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4D293" w14:textId="6DA2DAD2" w:rsidR="00CD12A5" w:rsidRDefault="081C5840" w:rsidP="00700E00">
      <w:pPr>
        <w:rPr>
          <w:rFonts w:eastAsia="Aptos"/>
          <w:lang w:val="en-GB"/>
          <w14:textOutline w14:w="0" w14:cap="flat" w14:cmpd="sng" w14:algn="ctr">
            <w14:noFill/>
            <w14:prstDash w14:val="solid"/>
            <w14:bevel/>
          </w14:textOutline>
        </w:rPr>
      </w:pPr>
      <w:r w:rsidRPr="2A737BE9">
        <w:rPr>
          <w:rFonts w:eastAsia="Aptos"/>
          <w:b/>
          <w:bCs/>
          <w:lang w:val="en-GB"/>
        </w:rPr>
        <w:t>Table List</w:t>
      </w:r>
    </w:p>
    <w:p w14:paraId="1CD45F31" w14:textId="239D00D3" w:rsidR="081C5840" w:rsidRDefault="081C5840" w:rsidP="2A737BE9">
      <w:pPr>
        <w:rPr>
          <w:rFonts w:eastAsia="Aptos"/>
          <w:b/>
          <w:bCs/>
        </w:rPr>
      </w:pPr>
      <w:r w:rsidRPr="2A737BE9">
        <w:rPr>
          <w:rFonts w:eastAsia="Aptos"/>
          <w:b/>
          <w:bCs/>
        </w:rPr>
        <w:t xml:space="preserve">Table 1: </w:t>
      </w:r>
      <w:r w:rsidRPr="2A737BE9">
        <w:rPr>
          <w:rFonts w:eastAsia="Aptos"/>
        </w:rPr>
        <w:t xml:space="preserve">Sites </w:t>
      </w:r>
      <w:proofErr w:type="spellStart"/>
      <w:r w:rsidRPr="2A737BE9">
        <w:rPr>
          <w:rFonts w:eastAsia="Aptos"/>
        </w:rPr>
        <w:t>with</w:t>
      </w:r>
      <w:proofErr w:type="spellEnd"/>
      <w:r w:rsidRPr="2A737BE9">
        <w:rPr>
          <w:rFonts w:eastAsia="Aptos"/>
        </w:rPr>
        <w:t xml:space="preserve"> </w:t>
      </w:r>
      <w:proofErr w:type="spellStart"/>
      <w:r w:rsidRPr="2A737BE9">
        <w:rPr>
          <w:rFonts w:eastAsia="Aptos"/>
        </w:rPr>
        <w:t>published</w:t>
      </w:r>
      <w:proofErr w:type="spellEnd"/>
      <w:r w:rsidRPr="2A737BE9">
        <w:rPr>
          <w:rFonts w:eastAsia="Aptos"/>
        </w:rPr>
        <w:t xml:space="preserve"> APW (CF, HM)</w:t>
      </w:r>
    </w:p>
    <w:p w14:paraId="42A82700" w14:textId="29C85000" w:rsidR="081C5840" w:rsidRDefault="081C5840" w:rsidP="2A737BE9">
      <w:pPr>
        <w:rPr>
          <w:rFonts w:eastAsia="Aptos"/>
        </w:rPr>
      </w:pPr>
      <w:r w:rsidRPr="2A737BE9">
        <w:rPr>
          <w:rFonts w:eastAsia="Aptos"/>
          <w:b/>
          <w:bCs/>
        </w:rPr>
        <w:t xml:space="preserve">Table 2: </w:t>
      </w:r>
      <w:r w:rsidRPr="2A737BE9">
        <w:rPr>
          <w:rFonts w:eastAsia="Aptos"/>
        </w:rPr>
        <w:t xml:space="preserve">Summary </w:t>
      </w:r>
      <w:proofErr w:type="spellStart"/>
      <w:r w:rsidRPr="2A737BE9">
        <w:rPr>
          <w:rFonts w:eastAsia="Aptos"/>
        </w:rPr>
        <w:t>of</w:t>
      </w:r>
      <w:proofErr w:type="spellEnd"/>
      <w:r w:rsidRPr="2A737BE9">
        <w:rPr>
          <w:rFonts w:eastAsia="Aptos"/>
        </w:rPr>
        <w:t xml:space="preserve"> APW </w:t>
      </w:r>
      <w:proofErr w:type="spellStart"/>
      <w:r w:rsidRPr="2A737BE9">
        <w:rPr>
          <w:rFonts w:eastAsia="Aptos"/>
        </w:rPr>
        <w:t>typology</w:t>
      </w:r>
      <w:proofErr w:type="spellEnd"/>
      <w:r w:rsidRPr="2A737BE9">
        <w:rPr>
          <w:rFonts w:eastAsia="Aptos"/>
        </w:rPr>
        <w:t xml:space="preserve"> and </w:t>
      </w:r>
      <w:proofErr w:type="spellStart"/>
      <w:r w:rsidRPr="2A737BE9">
        <w:rPr>
          <w:rFonts w:eastAsia="Aptos"/>
        </w:rPr>
        <w:t>identified</w:t>
      </w:r>
      <w:proofErr w:type="spellEnd"/>
      <w:r w:rsidRPr="2A737BE9">
        <w:rPr>
          <w:rFonts w:eastAsia="Aptos"/>
        </w:rPr>
        <w:t xml:space="preserve"> </w:t>
      </w:r>
      <w:proofErr w:type="spellStart"/>
      <w:r w:rsidRPr="2A737BE9">
        <w:rPr>
          <w:rFonts w:eastAsia="Aptos"/>
        </w:rPr>
        <w:t>examples</w:t>
      </w:r>
      <w:proofErr w:type="spellEnd"/>
      <w:r w:rsidRPr="2A737BE9">
        <w:rPr>
          <w:rFonts w:eastAsia="Aptos"/>
        </w:rPr>
        <w:t xml:space="preserve"> (HM)</w:t>
      </w:r>
    </w:p>
    <w:p w14:paraId="4055431D" w14:textId="77777777" w:rsidR="0054650B" w:rsidRDefault="0054650B" w:rsidP="2A737BE9">
      <w:pPr>
        <w:rPr>
          <w:rFonts w:eastAsia="Aptos"/>
        </w:rPr>
      </w:pPr>
    </w:p>
    <w:p w14:paraId="6D211CB9" w14:textId="5C13C789" w:rsidR="0054650B" w:rsidRDefault="0054650B" w:rsidP="2A737BE9">
      <w:pPr>
        <w:rPr>
          <w:rFonts w:eastAsia="Aptos"/>
          <w:b/>
          <w:bCs/>
        </w:rPr>
      </w:pPr>
      <w:proofErr w:type="spellStart"/>
      <w:r>
        <w:rPr>
          <w:rFonts w:eastAsia="Aptos"/>
          <w:b/>
          <w:bCs/>
        </w:rPr>
        <w:t>Supplementary</w:t>
      </w:r>
      <w:proofErr w:type="spellEnd"/>
      <w:r>
        <w:rPr>
          <w:rFonts w:eastAsia="Aptos"/>
          <w:b/>
          <w:bCs/>
        </w:rPr>
        <w:t xml:space="preserve"> </w:t>
      </w:r>
      <w:proofErr w:type="spellStart"/>
      <w:r>
        <w:rPr>
          <w:rFonts w:eastAsia="Aptos"/>
          <w:b/>
          <w:bCs/>
        </w:rPr>
        <w:t>materials</w:t>
      </w:r>
      <w:proofErr w:type="spellEnd"/>
    </w:p>
    <w:p w14:paraId="5BC4DA7A" w14:textId="77777777" w:rsidR="001647A0" w:rsidRDefault="001647A0" w:rsidP="001647A0">
      <w:pPr>
        <w:rPr>
          <w:rFonts w:eastAsia="Aptos"/>
          <w:b/>
          <w:bCs/>
        </w:rPr>
      </w:pPr>
      <w:r>
        <w:rPr>
          <w:rFonts w:eastAsia="Aptos"/>
          <w:b/>
          <w:bCs/>
        </w:rPr>
        <w:t xml:space="preserve">Table S1: </w:t>
      </w:r>
      <w:r w:rsidRPr="00F52033">
        <w:rPr>
          <w:color w:val="000000" w:themeColor="text1"/>
        </w:rPr>
        <w:t xml:space="preserve">Summary </w:t>
      </w:r>
      <w:proofErr w:type="spellStart"/>
      <w:r w:rsidRPr="00F52033">
        <w:rPr>
          <w:color w:val="000000" w:themeColor="text1"/>
        </w:rPr>
        <w:t>of</w:t>
      </w:r>
      <w:proofErr w:type="spellEnd"/>
      <w:r w:rsidRPr="00F52033">
        <w:rPr>
          <w:color w:val="000000" w:themeColor="text1"/>
        </w:rPr>
        <w:t xml:space="preserve"> </w:t>
      </w:r>
      <w:proofErr w:type="spellStart"/>
      <w:r w:rsidRPr="00F52033">
        <w:rPr>
          <w:color w:val="000000" w:themeColor="text1"/>
        </w:rPr>
        <w:t>instrument</w:t>
      </w:r>
      <w:proofErr w:type="spellEnd"/>
      <w:r w:rsidRPr="00F52033">
        <w:rPr>
          <w:color w:val="000000" w:themeColor="text1"/>
        </w:rPr>
        <w:t xml:space="preserve"> </w:t>
      </w:r>
      <w:proofErr w:type="spellStart"/>
      <w:r w:rsidRPr="00F52033">
        <w:rPr>
          <w:color w:val="000000" w:themeColor="text1"/>
        </w:rPr>
        <w:t>parameters</w:t>
      </w:r>
      <w:proofErr w:type="spellEnd"/>
      <w:r w:rsidRPr="00F52033">
        <w:rPr>
          <w:color w:val="000000" w:themeColor="text1"/>
        </w:rPr>
        <w:t>.</w:t>
      </w:r>
    </w:p>
    <w:p w14:paraId="29FE610C" w14:textId="746FCEBD" w:rsidR="001647A0" w:rsidRDefault="001647A0" w:rsidP="001647A0">
      <w:pPr>
        <w:rPr>
          <w:rFonts w:eastAsia="Aptos"/>
          <w:b/>
          <w:bCs/>
        </w:rPr>
      </w:pPr>
      <w:r>
        <w:rPr>
          <w:rFonts w:eastAsia="Aptos"/>
          <w:b/>
          <w:bCs/>
        </w:rPr>
        <w:t xml:space="preserve">Table S2: </w:t>
      </w:r>
      <w:r w:rsidRPr="00541148">
        <w:t xml:space="preserve">LA-ICP-MS </w:t>
      </w:r>
      <w:proofErr w:type="spellStart"/>
      <w:r w:rsidRPr="00541148">
        <w:t>data</w:t>
      </w:r>
      <w:proofErr w:type="spellEnd"/>
      <w:r w:rsidRPr="00541148">
        <w:t xml:space="preserve"> </w:t>
      </w:r>
      <w:proofErr w:type="spellStart"/>
      <w:r w:rsidRPr="00541148">
        <w:t>for</w:t>
      </w:r>
      <w:proofErr w:type="spellEnd"/>
      <w:r w:rsidRPr="00541148">
        <w:t xml:space="preserve"> </w:t>
      </w:r>
      <w:proofErr w:type="spellStart"/>
      <w:r w:rsidRPr="00541148">
        <w:t>the</w:t>
      </w:r>
      <w:proofErr w:type="spellEnd"/>
      <w:r w:rsidRPr="00541148">
        <w:t xml:space="preserve"> </w:t>
      </w:r>
      <w:proofErr w:type="spellStart"/>
      <w:r w:rsidRPr="00541148">
        <w:t>samples</w:t>
      </w:r>
      <w:proofErr w:type="spellEnd"/>
      <w:r w:rsidRPr="00541148">
        <w:t xml:space="preserve"> </w:t>
      </w:r>
      <w:proofErr w:type="spellStart"/>
      <w:r w:rsidRPr="00541148">
        <w:t>analysed</w:t>
      </w:r>
      <w:proofErr w:type="spellEnd"/>
      <w:r w:rsidRPr="00541148">
        <w:t xml:space="preserve"> </w:t>
      </w:r>
      <w:proofErr w:type="spellStart"/>
      <w:r w:rsidRPr="00541148">
        <w:t>along</w:t>
      </w:r>
      <w:proofErr w:type="spellEnd"/>
      <w:r w:rsidRPr="00541148">
        <w:t xml:space="preserve"> </w:t>
      </w:r>
      <w:proofErr w:type="spellStart"/>
      <w:r w:rsidRPr="00541148">
        <w:t>with</w:t>
      </w:r>
      <w:proofErr w:type="spellEnd"/>
      <w:r w:rsidRPr="00541148">
        <w:t xml:space="preserve"> </w:t>
      </w:r>
      <w:proofErr w:type="spellStart"/>
      <w:r w:rsidRPr="00541148">
        <w:t>information</w:t>
      </w:r>
      <w:proofErr w:type="spellEnd"/>
      <w:r w:rsidRPr="00541148">
        <w:t xml:space="preserve"> on </w:t>
      </w:r>
      <w:proofErr w:type="spellStart"/>
      <w:r w:rsidRPr="00541148">
        <w:t>the</w:t>
      </w:r>
      <w:proofErr w:type="spellEnd"/>
      <w:r w:rsidRPr="00541148">
        <w:t xml:space="preserve"> </w:t>
      </w:r>
      <w:proofErr w:type="spellStart"/>
      <w:r w:rsidRPr="00541148">
        <w:t>chemical</w:t>
      </w:r>
      <w:proofErr w:type="spellEnd"/>
      <w:r w:rsidRPr="00541148">
        <w:t xml:space="preserve"> </w:t>
      </w:r>
      <w:proofErr w:type="spellStart"/>
      <w:r w:rsidRPr="00541148">
        <w:t>group</w:t>
      </w:r>
      <w:proofErr w:type="spellEnd"/>
      <w:r w:rsidRPr="00541148">
        <w:t xml:space="preserve">, </w:t>
      </w:r>
      <w:proofErr w:type="spellStart"/>
      <w:r w:rsidRPr="00541148">
        <w:t>fabric</w:t>
      </w:r>
      <w:proofErr w:type="spellEnd"/>
      <w:r w:rsidRPr="00541148">
        <w:t xml:space="preserve">, </w:t>
      </w:r>
      <w:proofErr w:type="spellStart"/>
      <w:r w:rsidRPr="00541148">
        <w:t>decoration</w:t>
      </w:r>
      <w:proofErr w:type="spellEnd"/>
      <w:r w:rsidRPr="00541148">
        <w:t xml:space="preserve"> </w:t>
      </w:r>
      <w:proofErr w:type="spellStart"/>
      <w:r w:rsidRPr="00541148">
        <w:t>patterns</w:t>
      </w:r>
      <w:proofErr w:type="spellEnd"/>
      <w:r w:rsidRPr="00541148">
        <w:t xml:space="preserve">, APW type, </w:t>
      </w:r>
      <w:proofErr w:type="spellStart"/>
      <w:r w:rsidRPr="00541148">
        <w:t>context</w:t>
      </w:r>
      <w:proofErr w:type="spellEnd"/>
      <w:r w:rsidRPr="00541148">
        <w:t xml:space="preserve"> and </w:t>
      </w:r>
      <w:proofErr w:type="spellStart"/>
      <w:r w:rsidRPr="00541148">
        <w:t>dating</w:t>
      </w:r>
      <w:proofErr w:type="spellEnd"/>
      <w:r w:rsidRPr="00541148">
        <w:t xml:space="preserve"> </w:t>
      </w:r>
      <w:proofErr w:type="spellStart"/>
      <w:r w:rsidRPr="00541148">
        <w:t>of</w:t>
      </w:r>
      <w:proofErr w:type="spellEnd"/>
      <w:r w:rsidRPr="00541148">
        <w:t xml:space="preserve"> </w:t>
      </w:r>
      <w:proofErr w:type="spellStart"/>
      <w:r w:rsidRPr="00541148">
        <w:t>samples</w:t>
      </w:r>
      <w:proofErr w:type="spellEnd"/>
      <w:r w:rsidRPr="00541148">
        <w:t xml:space="preserve">. Oxides </w:t>
      </w:r>
      <w:proofErr w:type="spellStart"/>
      <w:r w:rsidRPr="00541148">
        <w:t>are</w:t>
      </w:r>
      <w:proofErr w:type="spellEnd"/>
      <w:r w:rsidRPr="00541148">
        <w:t xml:space="preserve"> in wt%</w:t>
      </w:r>
      <w:r>
        <w:t>,</w:t>
      </w:r>
      <w:r w:rsidRPr="00541148">
        <w:t xml:space="preserve"> </w:t>
      </w:r>
      <w:proofErr w:type="spellStart"/>
      <w:r w:rsidRPr="00541148">
        <w:t>elements</w:t>
      </w:r>
      <w:proofErr w:type="spellEnd"/>
      <w:r w:rsidRPr="00541148">
        <w:t xml:space="preserve"> in ppm. Blank </w:t>
      </w:r>
      <w:proofErr w:type="spellStart"/>
      <w:r w:rsidRPr="00541148">
        <w:t>cells</w:t>
      </w:r>
      <w:proofErr w:type="spellEnd"/>
      <w:r w:rsidRPr="00541148">
        <w:t xml:space="preserve">= </w:t>
      </w:r>
      <w:proofErr w:type="spellStart"/>
      <w:r w:rsidRPr="00541148">
        <w:t>below</w:t>
      </w:r>
      <w:proofErr w:type="spellEnd"/>
      <w:r w:rsidRPr="00541148">
        <w:t xml:space="preserve"> </w:t>
      </w:r>
      <w:proofErr w:type="spellStart"/>
      <w:r w:rsidRPr="00541148">
        <w:t>the</w:t>
      </w:r>
      <w:proofErr w:type="spellEnd"/>
      <w:r w:rsidRPr="00541148">
        <w:t xml:space="preserve"> </w:t>
      </w:r>
      <w:proofErr w:type="spellStart"/>
      <w:r w:rsidRPr="00541148">
        <w:t>detection</w:t>
      </w:r>
      <w:proofErr w:type="spellEnd"/>
      <w:r w:rsidRPr="00541148">
        <w:t xml:space="preserve"> </w:t>
      </w:r>
      <w:proofErr w:type="spellStart"/>
      <w:r w:rsidRPr="00541148">
        <w:t>limits</w:t>
      </w:r>
      <w:proofErr w:type="spellEnd"/>
    </w:p>
    <w:p w14:paraId="1EDDE453" w14:textId="5B6EE15F" w:rsidR="001647A0" w:rsidRPr="0054650B" w:rsidRDefault="001647A0" w:rsidP="001647A0">
      <w:pPr>
        <w:rPr>
          <w:rFonts w:eastAsia="Aptos"/>
          <w:b/>
          <w:bCs/>
        </w:rPr>
      </w:pPr>
      <w:r w:rsidRPr="01B6BC44">
        <w:rPr>
          <w:rFonts w:eastAsia="Aptos"/>
          <w:b/>
          <w:bCs/>
        </w:rPr>
        <w:t>Table S3:</w:t>
      </w:r>
      <w:r>
        <w:t xml:space="preserve"> </w:t>
      </w:r>
      <w:r w:rsidRPr="01B6BC44">
        <w:rPr>
          <w:lang w:val="en-GB"/>
        </w:rPr>
        <w:t xml:space="preserve">Accuracy and precision for measurements of glass standard NIST612 measured by LA-ICP-MS. SD = standard deviation, RSD = relative standard deviation. NIST 612 reference values from: </w:t>
      </w:r>
      <w:r>
        <w:t xml:space="preserve">Jochum KP, Weis U, Stoll B, Kuzmin D, Yang Q, Raczek I, et al 2011. Determination </w:t>
      </w:r>
      <w:proofErr w:type="spellStart"/>
      <w:r>
        <w:t>of</w:t>
      </w:r>
      <w:proofErr w:type="spellEnd"/>
      <w:r>
        <w:t xml:space="preserve"> </w:t>
      </w:r>
      <w:proofErr w:type="spellStart"/>
      <w:r>
        <w:t>reference</w:t>
      </w:r>
      <w:proofErr w:type="spellEnd"/>
      <w:r>
        <w:t xml:space="preserve"> </w:t>
      </w:r>
      <w:proofErr w:type="spellStart"/>
      <w:r>
        <w:t>values</w:t>
      </w:r>
      <w:proofErr w:type="spellEnd"/>
      <w:r>
        <w:t xml:space="preserve"> </w:t>
      </w:r>
      <w:proofErr w:type="spellStart"/>
      <w:r>
        <w:t>for</w:t>
      </w:r>
      <w:proofErr w:type="spellEnd"/>
      <w:r>
        <w:t xml:space="preserve"> NIST SRM 610–617 </w:t>
      </w:r>
      <w:proofErr w:type="spellStart"/>
      <w:r>
        <w:t>glasses</w:t>
      </w:r>
      <w:proofErr w:type="spellEnd"/>
      <w:r>
        <w:t xml:space="preserve"> </w:t>
      </w:r>
      <w:proofErr w:type="spellStart"/>
      <w:r>
        <w:t>following</w:t>
      </w:r>
      <w:proofErr w:type="spellEnd"/>
      <w:r>
        <w:t xml:space="preserve"> ISO </w:t>
      </w:r>
      <w:proofErr w:type="spellStart"/>
      <w:r>
        <w:t>guidelines</w:t>
      </w:r>
      <w:proofErr w:type="spellEnd"/>
      <w:r>
        <w:t xml:space="preserve">. Geostandards and </w:t>
      </w:r>
      <w:proofErr w:type="spellStart"/>
      <w:r>
        <w:t>Geoanalytical</w:t>
      </w:r>
      <w:proofErr w:type="spellEnd"/>
      <w:r>
        <w:t xml:space="preserve"> Research 35(4), 397-429.</w:t>
      </w:r>
    </w:p>
    <w:p w14:paraId="64E437CF" w14:textId="2E694497" w:rsidR="2A737BE9" w:rsidRDefault="2A737BE9" w:rsidP="2A737BE9">
      <w:pPr>
        <w:rPr>
          <w:rFonts w:eastAsia="Aptos"/>
          <w:b/>
          <w:bCs/>
          <w:lang w:val="en-GB"/>
        </w:rPr>
      </w:pPr>
    </w:p>
    <w:p w14:paraId="22121324" w14:textId="220CB684" w:rsidR="081C5840" w:rsidRDefault="081C5840" w:rsidP="2A737BE9">
      <w:pPr>
        <w:rPr>
          <w:rFonts w:eastAsia="Aptos"/>
          <w:lang w:val="en-GB"/>
        </w:rPr>
      </w:pPr>
      <w:r w:rsidRPr="2A737BE9">
        <w:rPr>
          <w:rFonts w:eastAsia="Aptos"/>
          <w:b/>
          <w:bCs/>
          <w:lang w:val="en-GB"/>
        </w:rPr>
        <w:t>Figure List</w:t>
      </w:r>
    </w:p>
    <w:p w14:paraId="1D6143EF" w14:textId="459F9694" w:rsidR="00CD12A5" w:rsidRPr="007550B1" w:rsidRDefault="00CD12A5" w:rsidP="00700E00">
      <w:pPr>
        <w:rPr>
          <w:rFonts w:eastAsia="Aptos"/>
          <w:lang w:val="en-GB"/>
          <w14:textOutline w14:w="0" w14:cap="flat" w14:cmpd="sng" w14:algn="ctr">
            <w14:noFill/>
            <w14:prstDash w14:val="solid"/>
            <w14:bevel/>
          </w14:textOutline>
        </w:rPr>
      </w:pPr>
      <w:r w:rsidRPr="007550B1">
        <w:rPr>
          <w:rFonts w:eastAsia="Aptos"/>
          <w:lang w:val="en-GB"/>
          <w14:textOutline w14:w="0" w14:cap="flat" w14:cmpd="sng" w14:algn="ctr">
            <w14:noFill/>
            <w14:prstDash w14:val="solid"/>
            <w14:bevel/>
          </w14:textOutline>
        </w:rPr>
        <w:t>Figure 1: African Painted Ware (APW) jar</w:t>
      </w:r>
      <w:r w:rsidR="3572C722" w:rsidRPr="007550B1">
        <w:rPr>
          <w:rFonts w:eastAsia="Aptos"/>
          <w:lang w:val="en-GB"/>
          <w14:textOutline w14:w="0" w14:cap="flat" w14:cmpd="sng" w14:algn="ctr">
            <w14:noFill/>
            <w14:prstDash w14:val="solid"/>
            <w14:bevel/>
          </w14:textOutline>
        </w:rPr>
        <w:t xml:space="preserve">, </w:t>
      </w:r>
      <w:r w:rsidRPr="007550B1">
        <w:rPr>
          <w:rFonts w:eastAsia="Aptos"/>
          <w:lang w:val="en-GB"/>
          <w14:textOutline w14:w="0" w14:cap="flat" w14:cmpd="sng" w14:algn="ctr">
            <w14:noFill/>
            <w14:prstDash w14:val="solid"/>
            <w14:bevel/>
          </w14:textOutline>
        </w:rPr>
        <w:t xml:space="preserve">Carton 1915, Figure 3 </w:t>
      </w:r>
    </w:p>
    <w:p w14:paraId="3B35713E" w14:textId="77777777" w:rsidR="00CD12A5" w:rsidRPr="007550B1" w:rsidRDefault="00CD12A5" w:rsidP="00700E00">
      <w:pPr>
        <w:rPr>
          <w:rFonts w:eastAsia="Aptos"/>
          <w:lang w:val="en-GB"/>
          <w14:textOutline w14:w="0" w14:cap="flat" w14:cmpd="sng" w14:algn="ctr">
            <w14:noFill/>
            <w14:prstDash w14:val="solid"/>
            <w14:bevel/>
          </w14:textOutline>
        </w:rPr>
      </w:pPr>
    </w:p>
    <w:p w14:paraId="29025A07" w14:textId="7076AEF4" w:rsidR="00FB3B87" w:rsidRPr="007550B1" w:rsidRDefault="00700E00" w:rsidP="00700E00">
      <w:pPr>
        <w:rPr>
          <w:rFonts w:eastAsia="Aptos"/>
          <w:lang w:val="en-GB"/>
        </w:rPr>
      </w:pPr>
      <w:r w:rsidRPr="007550B1">
        <w:rPr>
          <w:rFonts w:eastAsia="Aptos"/>
          <w:lang w:val="en-GB"/>
          <w14:textOutline w14:w="0" w14:cap="flat" w14:cmpd="sng" w14:algn="ctr">
            <w14:noFill/>
            <w14:prstDash w14:val="solid"/>
            <w14:bevel/>
          </w14:textOutline>
        </w:rPr>
        <w:t xml:space="preserve">Figure </w:t>
      </w:r>
      <w:r w:rsidR="00CD12A5" w:rsidRPr="007550B1">
        <w:rPr>
          <w:rFonts w:eastAsia="Aptos"/>
          <w:lang w:val="en-GB"/>
          <w14:textOutline w14:w="0" w14:cap="flat" w14:cmpd="sng" w14:algn="ctr">
            <w14:noFill/>
            <w14:prstDash w14:val="solid"/>
            <w14:bevel/>
          </w14:textOutline>
        </w:rPr>
        <w:t>2</w:t>
      </w:r>
      <w:r w:rsidRPr="007550B1">
        <w:rPr>
          <w:rFonts w:eastAsia="Aptos"/>
          <w:lang w:val="en-GB"/>
          <w14:textOutline w14:w="0" w14:cap="flat" w14:cmpd="sng" w14:algn="ctr">
            <w14:noFill/>
            <w14:prstDash w14:val="solid"/>
            <w14:bevel/>
          </w14:textOutline>
        </w:rPr>
        <w:t>: D</w:t>
      </w:r>
      <w:proofErr w:type="spellStart"/>
      <w:r w:rsidRPr="007550B1">
        <w:rPr>
          <w:lang w:val="en-US"/>
        </w:rPr>
        <w:t>istribution</w:t>
      </w:r>
      <w:proofErr w:type="spellEnd"/>
      <w:r w:rsidR="00654C20" w:rsidRPr="007550B1">
        <w:rPr>
          <w:lang w:val="en-US"/>
        </w:rPr>
        <w:t xml:space="preserve"> map</w:t>
      </w:r>
      <w:r w:rsidRPr="007550B1">
        <w:rPr>
          <w:lang w:val="en-US"/>
        </w:rPr>
        <w:t xml:space="preserve"> with published</w:t>
      </w:r>
      <w:r w:rsidR="00654C20" w:rsidRPr="007550B1">
        <w:rPr>
          <w:lang w:val="en-US"/>
        </w:rPr>
        <w:t xml:space="preserve"> L</w:t>
      </w:r>
      <w:r w:rsidRPr="007550B1">
        <w:rPr>
          <w:lang w:val="en-US"/>
        </w:rPr>
        <w:t xml:space="preserve">ate </w:t>
      </w:r>
      <w:r w:rsidR="00654C20" w:rsidRPr="007550B1">
        <w:rPr>
          <w:lang w:val="en-US"/>
        </w:rPr>
        <w:t>A</w:t>
      </w:r>
      <w:r w:rsidRPr="007550B1">
        <w:rPr>
          <w:lang w:val="en-US"/>
        </w:rPr>
        <w:t xml:space="preserve">ntique </w:t>
      </w:r>
      <w:r w:rsidR="00654C20" w:rsidRPr="007550B1">
        <w:rPr>
          <w:lang w:val="en-US"/>
        </w:rPr>
        <w:t>African P</w:t>
      </w:r>
      <w:r w:rsidRPr="007550B1">
        <w:rPr>
          <w:lang w:val="en-US"/>
        </w:rPr>
        <w:t xml:space="preserve">ainted </w:t>
      </w:r>
      <w:r w:rsidR="00654C20" w:rsidRPr="007550B1">
        <w:rPr>
          <w:lang w:val="en-US"/>
        </w:rPr>
        <w:t>W</w:t>
      </w:r>
      <w:r w:rsidRPr="007550B1">
        <w:rPr>
          <w:lang w:val="en-US"/>
        </w:rPr>
        <w:t>are</w:t>
      </w:r>
      <w:r w:rsidR="00654C20" w:rsidRPr="007550B1">
        <w:rPr>
          <w:lang w:val="en-US"/>
        </w:rPr>
        <w:t xml:space="preserve"> (APW) sites</w:t>
      </w:r>
      <w:r w:rsidRPr="007550B1">
        <w:rPr>
          <w:rFonts w:eastAsia="Aptos"/>
          <w:lang w:val="en-GB"/>
        </w:rPr>
        <w:t xml:space="preserve"> and possible workshops (HM)</w:t>
      </w:r>
    </w:p>
    <w:p w14:paraId="1E0C5D32" w14:textId="0565EA31" w:rsidR="00320E22" w:rsidRPr="007550B1" w:rsidRDefault="00320E22" w:rsidP="00700E00">
      <w:pPr>
        <w:rPr>
          <w:lang w:val="en-US"/>
        </w:rPr>
      </w:pPr>
    </w:p>
    <w:p w14:paraId="4873028C" w14:textId="7471EED5" w:rsidR="3DFD8E8B" w:rsidRDefault="3DFD8E8B" w:rsidP="01B6BC44">
      <w:pPr>
        <w:rPr>
          <w:lang w:val="en-US"/>
        </w:rPr>
      </w:pPr>
      <w:r w:rsidRPr="01B6BC44">
        <w:rPr>
          <w:highlight w:val="yellow"/>
          <w:lang w:val="en-US"/>
        </w:rPr>
        <w:t>Figure 3: Typology of APW - closed forms; APW 4c see: Baratte et al 2009, 190, fig. 145.39 (HM)</w:t>
      </w:r>
      <w:r w:rsidRPr="01B6BC44">
        <w:rPr>
          <w:lang w:val="en-US"/>
        </w:rPr>
        <w:t xml:space="preserve"> </w:t>
      </w:r>
      <w:r>
        <w:br/>
      </w:r>
    </w:p>
    <w:p w14:paraId="75EE704A" w14:textId="77777777" w:rsidR="007550B1" w:rsidRPr="007550B1" w:rsidRDefault="007550B1" w:rsidP="00665C41">
      <w:pPr>
        <w:rPr>
          <w:lang w:val="en-US"/>
        </w:rPr>
      </w:pPr>
    </w:p>
    <w:p w14:paraId="13DC3008" w14:textId="50C536CF" w:rsidR="00665C41" w:rsidRPr="007550B1" w:rsidRDefault="00665C41" w:rsidP="00665C41">
      <w:pPr>
        <w:rPr>
          <w:lang w:val="en-US"/>
        </w:rPr>
      </w:pPr>
      <w:r w:rsidRPr="2A737BE9">
        <w:rPr>
          <w:lang w:val="en-GB"/>
        </w:rPr>
        <w:t>Figure 4: Typology of APW - open forms</w:t>
      </w:r>
      <w:r w:rsidRPr="2A737BE9">
        <w:rPr>
          <w:lang w:val="en-US"/>
        </w:rPr>
        <w:t> (HM)</w:t>
      </w:r>
    </w:p>
    <w:p w14:paraId="32F318D9" w14:textId="77777777" w:rsidR="007550B1" w:rsidRDefault="007550B1" w:rsidP="0095413B">
      <w:pPr>
        <w:rPr>
          <w:lang w:val="en-GB"/>
        </w:rPr>
      </w:pPr>
    </w:p>
    <w:p w14:paraId="25CABDE3" w14:textId="5756AB36" w:rsidR="00632D00" w:rsidRPr="007550B1" w:rsidRDefault="0095413B" w:rsidP="0095413B">
      <w:pPr>
        <w:rPr>
          <w:lang w:val="en-GB"/>
        </w:rPr>
      </w:pPr>
      <w:r w:rsidRPr="007550B1">
        <w:rPr>
          <w:lang w:val="en-GB"/>
        </w:rPr>
        <w:t>Figure 5: Decoration patterns (DP) of APW (HM)</w:t>
      </w:r>
    </w:p>
    <w:p w14:paraId="738B16DD" w14:textId="60DC1A32" w:rsidR="0095413B" w:rsidRPr="007550B1" w:rsidRDefault="00632D00" w:rsidP="0095413B">
      <w:pPr>
        <w:rPr>
          <w:lang w:val="en-US"/>
        </w:rPr>
      </w:pPr>
      <w:r w:rsidRPr="2A737BE9">
        <w:rPr>
          <w:lang w:val="en-GB"/>
        </w:rPr>
        <w:t>NOTE:  might has to be separated fig.5a (1)-(3) and fig.5b (4)</w:t>
      </w:r>
      <w:r w:rsidR="0095413B" w:rsidRPr="2A737BE9">
        <w:rPr>
          <w:lang w:val="en-US"/>
        </w:rPr>
        <w:t> </w:t>
      </w:r>
      <w:r w:rsidRPr="2A737BE9">
        <w:rPr>
          <w:lang w:val="en-US"/>
        </w:rPr>
        <w:t xml:space="preserve">- as it should be </w:t>
      </w:r>
      <w:proofErr w:type="gramStart"/>
      <w:r w:rsidR="2160F8EE" w:rsidRPr="2A737BE9">
        <w:rPr>
          <w:lang w:val="en-US"/>
        </w:rPr>
        <w:t>fill</w:t>
      </w:r>
      <w:proofErr w:type="gramEnd"/>
      <w:r w:rsidR="2160F8EE" w:rsidRPr="2A737BE9">
        <w:rPr>
          <w:lang w:val="en-US"/>
        </w:rPr>
        <w:t xml:space="preserve"> a page</w:t>
      </w:r>
      <w:r w:rsidRPr="2A737BE9">
        <w:rPr>
          <w:lang w:val="en-US"/>
        </w:rPr>
        <w:t xml:space="preserve"> - therefore tiff and ai - file are submitted.</w:t>
      </w:r>
    </w:p>
    <w:p w14:paraId="18EC2D7E" w14:textId="77777777" w:rsidR="007550B1" w:rsidRDefault="007550B1" w:rsidP="00411622">
      <w:pPr>
        <w:rPr>
          <w:lang w:val="en-GB"/>
        </w:rPr>
      </w:pPr>
    </w:p>
    <w:p w14:paraId="26249E0B" w14:textId="330D1BB1" w:rsidR="00411622" w:rsidRPr="007550B1" w:rsidRDefault="00632D00" w:rsidP="00411622">
      <w:pPr>
        <w:rPr>
          <w:lang w:val="en-US"/>
        </w:rPr>
      </w:pPr>
      <w:r w:rsidRPr="007550B1">
        <w:rPr>
          <w:lang w:val="en-GB"/>
        </w:rPr>
        <w:t xml:space="preserve">Figure 6a and b: </w:t>
      </w:r>
      <w:r w:rsidR="00411622" w:rsidRPr="007550B1">
        <w:rPr>
          <w:rStyle w:val="normaltextrun"/>
          <w:lang w:val="en-GB"/>
        </w:rPr>
        <w:t xml:space="preserve"> Chimtou - all analysed samples (CH P)</w:t>
      </w:r>
      <w:r w:rsidR="00411622" w:rsidRPr="007550B1">
        <w:rPr>
          <w:rStyle w:val="eop"/>
          <w:lang w:val="en-US"/>
        </w:rPr>
        <w:t> (HM; VO)</w:t>
      </w:r>
    </w:p>
    <w:p w14:paraId="2BE20A8C" w14:textId="77777777" w:rsidR="007550B1" w:rsidRDefault="007550B1" w:rsidP="00411622">
      <w:pPr>
        <w:rPr>
          <w:rStyle w:val="normaltextrun"/>
          <w:lang w:val="en-GB"/>
        </w:rPr>
      </w:pPr>
    </w:p>
    <w:p w14:paraId="25F6C5D2" w14:textId="0F79C291" w:rsidR="00411622" w:rsidRPr="007550B1" w:rsidRDefault="00411622" w:rsidP="00411622">
      <w:pPr>
        <w:rPr>
          <w:rStyle w:val="eop"/>
          <w:lang w:val="en-US"/>
        </w:rPr>
      </w:pPr>
      <w:r w:rsidRPr="2A737BE9">
        <w:rPr>
          <w:rStyle w:val="normaltextrun"/>
          <w:lang w:val="en-GB"/>
        </w:rPr>
        <w:t>Figure 7: Bulla Regia - all analysed samples (BR P)</w:t>
      </w:r>
      <w:r w:rsidRPr="2A737BE9">
        <w:rPr>
          <w:rStyle w:val="eop"/>
          <w:lang w:val="en-US"/>
        </w:rPr>
        <w:t> (HM; VO)</w:t>
      </w:r>
    </w:p>
    <w:p w14:paraId="44CBC4F8" w14:textId="77777777" w:rsidR="007550B1" w:rsidRDefault="007550B1" w:rsidP="00411622">
      <w:pPr>
        <w:rPr>
          <w:lang w:val="en-US"/>
        </w:rPr>
      </w:pPr>
    </w:p>
    <w:p w14:paraId="658FCD93" w14:textId="19BB62D8" w:rsidR="007550B1" w:rsidRPr="007550B1" w:rsidRDefault="007550B1" w:rsidP="00411622">
      <w:pPr>
        <w:rPr>
          <w:lang w:val="en-US"/>
        </w:rPr>
      </w:pPr>
      <w:r w:rsidRPr="2A737BE9">
        <w:rPr>
          <w:lang w:val="en-US"/>
        </w:rPr>
        <w:t xml:space="preserve">Figure 8: One of the storage jars and </w:t>
      </w:r>
      <w:proofErr w:type="spellStart"/>
      <w:r w:rsidRPr="2A737BE9">
        <w:rPr>
          <w:i/>
          <w:iCs/>
          <w:lang w:val="en-US"/>
        </w:rPr>
        <w:t>tubuli</w:t>
      </w:r>
      <w:proofErr w:type="spellEnd"/>
      <w:r w:rsidRPr="2A737BE9">
        <w:rPr>
          <w:lang w:val="en-US"/>
        </w:rPr>
        <w:t xml:space="preserve"> sampled (HM)</w:t>
      </w:r>
    </w:p>
    <w:p w14:paraId="1B1C5F5E" w14:textId="77777777" w:rsidR="007550B1" w:rsidRDefault="007550B1" w:rsidP="007550B1">
      <w:pPr>
        <w:rPr>
          <w:lang w:val="en-GB"/>
        </w:rPr>
      </w:pPr>
    </w:p>
    <w:p w14:paraId="213ABF75" w14:textId="42C6975A" w:rsidR="007550B1" w:rsidRPr="007550B1" w:rsidRDefault="007550B1" w:rsidP="007550B1">
      <w:pPr>
        <w:rPr>
          <w:lang w:val="en-US"/>
        </w:rPr>
      </w:pPr>
      <w:r w:rsidRPr="2A737BE9">
        <w:rPr>
          <w:lang w:val="en-GB"/>
        </w:rPr>
        <w:t>Figure 9:</w:t>
      </w:r>
      <w:r w:rsidR="00154E9C" w:rsidRPr="2A737BE9">
        <w:rPr>
          <w:lang w:val="en-GB"/>
        </w:rPr>
        <w:t xml:space="preserve"> </w:t>
      </w:r>
      <w:r w:rsidRPr="2A737BE9">
        <w:rPr>
          <w:lang w:val="en-GB"/>
        </w:rPr>
        <w:t xml:space="preserve">Geological map with surveyed sites – after P. </w:t>
      </w:r>
      <w:proofErr w:type="spellStart"/>
      <w:r w:rsidRPr="2A737BE9">
        <w:rPr>
          <w:lang w:val="en-GB"/>
        </w:rPr>
        <w:t>Sainfeld</w:t>
      </w:r>
      <w:proofErr w:type="spellEnd"/>
      <w:r w:rsidRPr="2A737BE9">
        <w:rPr>
          <w:lang w:val="en-GB"/>
        </w:rPr>
        <w:t xml:space="preserve"> and CH. Gottis (1948-1949), published by the Geological Service of the Directorate of Public Works of Tunisia (Mines, Industry and Energy Service).</w:t>
      </w:r>
      <w:r w:rsidRPr="2A737BE9">
        <w:rPr>
          <w:lang w:val="en-US"/>
        </w:rPr>
        <w:t> (HM)</w:t>
      </w:r>
    </w:p>
    <w:p w14:paraId="09E30A84" w14:textId="77777777" w:rsidR="007550B1" w:rsidRDefault="007550B1" w:rsidP="007550B1">
      <w:pPr>
        <w:rPr>
          <w:color w:val="000000"/>
          <w:lang w:val="en-US"/>
        </w:rPr>
      </w:pPr>
    </w:p>
    <w:p w14:paraId="1DF384A4" w14:textId="39F95DBF" w:rsidR="007550B1" w:rsidRPr="007550B1" w:rsidRDefault="007550B1" w:rsidP="007550B1">
      <w:pPr>
        <w:rPr>
          <w:lang w:val="en-US"/>
        </w:rPr>
      </w:pPr>
      <w:r w:rsidRPr="2A737BE9">
        <w:rPr>
          <w:color w:val="000000" w:themeColor="text1"/>
          <w:lang w:val="en-US"/>
        </w:rPr>
        <w:t>Figure 1</w:t>
      </w:r>
      <w:r w:rsidR="5EA6854A" w:rsidRPr="2A737BE9">
        <w:rPr>
          <w:color w:val="000000" w:themeColor="text1"/>
          <w:lang w:val="en-US"/>
        </w:rPr>
        <w:t>0</w:t>
      </w:r>
      <w:r w:rsidRPr="2A737BE9">
        <w:rPr>
          <w:color w:val="000000" w:themeColor="text1"/>
          <w:lang w:val="en-US"/>
        </w:rPr>
        <w:t>: Thin section photomicrographs of the five main petrographic fabrics and one outlier detected in 5</w:t>
      </w:r>
      <w:r w:rsidR="6489EA5B" w:rsidRPr="2A737BE9">
        <w:rPr>
          <w:color w:val="000000" w:themeColor="text1"/>
          <w:lang w:val="en-US"/>
        </w:rPr>
        <w:t>7</w:t>
      </w:r>
      <w:r w:rsidRPr="2A737BE9">
        <w:rPr>
          <w:color w:val="000000" w:themeColor="text1"/>
          <w:lang w:val="en-US"/>
        </w:rPr>
        <w:t xml:space="preserve"> painted ceramics. The fabrics differ mainly in terms of textural features. All images taken in crossed polars (XP). Image width=3.2 mm.  (VO)</w:t>
      </w:r>
    </w:p>
    <w:p w14:paraId="21382678" w14:textId="77777777" w:rsidR="007550B1" w:rsidRDefault="007550B1" w:rsidP="007550B1">
      <w:pPr>
        <w:rPr>
          <w:color w:val="000000"/>
          <w:lang w:val="en-GB"/>
        </w:rPr>
      </w:pPr>
    </w:p>
    <w:p w14:paraId="0D5239C2" w14:textId="7C459842" w:rsidR="007550B1" w:rsidRPr="007550B1" w:rsidRDefault="007550B1" w:rsidP="007550B1">
      <w:pPr>
        <w:rPr>
          <w:lang w:val="en-US"/>
        </w:rPr>
      </w:pPr>
      <w:r w:rsidRPr="2A737BE9">
        <w:rPr>
          <w:color w:val="000000" w:themeColor="text1"/>
          <w:lang w:val="en-GB"/>
        </w:rPr>
        <w:t xml:space="preserve">Figure 11: Thin section photomicrographs of the main fabrics detected in the architectural </w:t>
      </w:r>
      <w:proofErr w:type="spellStart"/>
      <w:r w:rsidRPr="2A737BE9">
        <w:rPr>
          <w:i/>
          <w:iCs/>
          <w:color w:val="000000" w:themeColor="text1"/>
          <w:lang w:val="en-GB"/>
        </w:rPr>
        <w:t>tubuli</w:t>
      </w:r>
      <w:proofErr w:type="spellEnd"/>
      <w:r w:rsidRPr="2A737BE9">
        <w:rPr>
          <w:i/>
          <w:iCs/>
          <w:color w:val="000000" w:themeColor="text1"/>
          <w:lang w:val="en-GB"/>
        </w:rPr>
        <w:t xml:space="preserve"> </w:t>
      </w:r>
      <w:r w:rsidRPr="2A737BE9">
        <w:rPr>
          <w:color w:val="000000" w:themeColor="text1"/>
          <w:lang w:val="en-GB"/>
        </w:rPr>
        <w:t>analysed and of those of clay sources sampled near the sites showing calcareous fabrics that can be related to the painted wares. Differences between clay samples and ceramics can be accentuated by clay processing methods used by the ancient potters. All images taken in crossed polars (XP). Image width=3.2 mm.</w:t>
      </w:r>
      <w:r w:rsidRPr="2A737BE9">
        <w:rPr>
          <w:color w:val="000000" w:themeColor="text1"/>
          <w:lang w:val="en-US"/>
        </w:rPr>
        <w:t> (VO)</w:t>
      </w:r>
    </w:p>
    <w:p w14:paraId="698BE818" w14:textId="77777777" w:rsidR="007550B1" w:rsidRDefault="007550B1" w:rsidP="007550B1">
      <w:pPr>
        <w:rPr>
          <w:color w:val="000000"/>
          <w:lang w:val="en-GB"/>
        </w:rPr>
      </w:pPr>
    </w:p>
    <w:p w14:paraId="1094331A" w14:textId="14EF25FF" w:rsidR="007550B1" w:rsidRPr="007550B1" w:rsidRDefault="007550B1" w:rsidP="007550B1">
      <w:pPr>
        <w:rPr>
          <w:lang w:val="en-US"/>
        </w:rPr>
      </w:pPr>
      <w:r w:rsidRPr="2A737BE9">
        <w:rPr>
          <w:color w:val="000000" w:themeColor="text1"/>
          <w:lang w:val="en-GB"/>
        </w:rPr>
        <w:t xml:space="preserve">Figure 12: PCA of the 22 ceramic elements/oxides using log-ratio transformed data for the painted wares, storage jars, </w:t>
      </w:r>
      <w:proofErr w:type="spellStart"/>
      <w:r w:rsidRPr="2A737BE9">
        <w:rPr>
          <w:i/>
          <w:iCs/>
          <w:color w:val="000000" w:themeColor="text1"/>
          <w:lang w:val="en-GB"/>
        </w:rPr>
        <w:t>tubuli</w:t>
      </w:r>
      <w:proofErr w:type="spellEnd"/>
      <w:r w:rsidRPr="2A737BE9">
        <w:rPr>
          <w:color w:val="000000" w:themeColor="text1"/>
          <w:lang w:val="en-GB"/>
        </w:rPr>
        <w:t xml:space="preserve"> and raw materials samples (upper). Plot of loadings for components 1 and 2 determining the geochemical patterning (below). </w:t>
      </w:r>
      <w:r w:rsidRPr="2A737BE9">
        <w:rPr>
          <w:color w:val="000000" w:themeColor="text1"/>
          <w:lang w:val="en-US"/>
        </w:rPr>
        <w:t> (VO)</w:t>
      </w:r>
    </w:p>
    <w:p w14:paraId="2311BE27" w14:textId="77777777" w:rsidR="007550B1" w:rsidRDefault="007550B1" w:rsidP="007550B1">
      <w:pPr>
        <w:rPr>
          <w:color w:val="000000"/>
          <w:lang w:val="en-GB"/>
        </w:rPr>
      </w:pPr>
    </w:p>
    <w:p w14:paraId="7D3F8F1D" w14:textId="35917198" w:rsidR="007550B1" w:rsidRPr="007550B1" w:rsidRDefault="007550B1" w:rsidP="007550B1">
      <w:pPr>
        <w:rPr>
          <w:lang w:val="en-US"/>
        </w:rPr>
      </w:pPr>
      <w:r w:rsidRPr="007550B1">
        <w:rPr>
          <w:color w:val="000000"/>
          <w:lang w:val="en-GB"/>
        </w:rPr>
        <w:t>Figure 13: HCA results in the form of a dendrogram, using the average-linkage method.</w:t>
      </w:r>
      <w:r w:rsidRPr="007550B1">
        <w:rPr>
          <w:color w:val="000000"/>
          <w:lang w:val="en-US"/>
        </w:rPr>
        <w:t> </w:t>
      </w:r>
      <w:r>
        <w:rPr>
          <w:color w:val="000000"/>
          <w:lang w:val="en-US"/>
        </w:rPr>
        <w:t>(VO)</w:t>
      </w:r>
    </w:p>
    <w:p w14:paraId="1602F541" w14:textId="77777777" w:rsidR="007550B1" w:rsidRDefault="007550B1" w:rsidP="007550B1">
      <w:pPr>
        <w:rPr>
          <w:color w:val="000000"/>
          <w:lang w:val="en-GB"/>
        </w:rPr>
      </w:pPr>
    </w:p>
    <w:p w14:paraId="20F1A542" w14:textId="24C47C26" w:rsidR="007550B1" w:rsidRPr="007550B1" w:rsidRDefault="007550B1" w:rsidP="007550B1">
      <w:pPr>
        <w:rPr>
          <w:lang w:val="en-US"/>
        </w:rPr>
      </w:pPr>
      <w:r w:rsidRPr="2A737BE9">
        <w:rPr>
          <w:color w:val="000000" w:themeColor="text1"/>
          <w:lang w:val="en-GB"/>
        </w:rPr>
        <w:t>Figur</w:t>
      </w:r>
      <w:r w:rsidR="57A8127C" w:rsidRPr="2A737BE9">
        <w:rPr>
          <w:color w:val="000000" w:themeColor="text1"/>
          <w:lang w:val="en-GB"/>
        </w:rPr>
        <w:t>e 14</w:t>
      </w:r>
      <w:r w:rsidRPr="2A737BE9">
        <w:rPr>
          <w:color w:val="000000" w:themeColor="text1"/>
          <w:lang w:val="en-GB"/>
        </w:rPr>
        <w:t>: Examples of Raman spectra of red and brown pigments attributed respectively to hematite (sample Chi P22) (a), hematite combined with magnetite (sample BR P8, dark areas) (b) and goethite (sample Chi P14) (c).</w:t>
      </w:r>
      <w:r w:rsidRPr="2A737BE9">
        <w:rPr>
          <w:color w:val="000000" w:themeColor="text1"/>
          <w:lang w:val="en-US"/>
        </w:rPr>
        <w:t> (VO)</w:t>
      </w:r>
    </w:p>
    <w:p w14:paraId="0A502119" w14:textId="77777777" w:rsidR="007550B1" w:rsidRDefault="007550B1" w:rsidP="007550B1">
      <w:pPr>
        <w:rPr>
          <w:lang w:val="en-US"/>
        </w:rPr>
      </w:pPr>
    </w:p>
    <w:p w14:paraId="37702D93" w14:textId="38DF7705" w:rsidR="007550B1" w:rsidRPr="007550B1" w:rsidRDefault="0583CB14" w:rsidP="01B6BC44">
      <w:pPr>
        <w:rPr>
          <w:highlight w:val="yellow"/>
        </w:rPr>
      </w:pPr>
      <w:r w:rsidRPr="01B6BC44">
        <w:rPr>
          <w:highlight w:val="yellow"/>
        </w:rPr>
        <w:t xml:space="preserve">Figure 15: Late </w:t>
      </w:r>
      <w:proofErr w:type="spellStart"/>
      <w:r w:rsidRPr="01B6BC44">
        <w:rPr>
          <w:highlight w:val="yellow"/>
        </w:rPr>
        <w:t>Antique</w:t>
      </w:r>
      <w:proofErr w:type="spellEnd"/>
      <w:r w:rsidRPr="01B6BC44">
        <w:rPr>
          <w:highlight w:val="yellow"/>
        </w:rPr>
        <w:t xml:space="preserve"> </w:t>
      </w:r>
      <w:proofErr w:type="spellStart"/>
      <w:r w:rsidRPr="01B6BC44">
        <w:rPr>
          <w:highlight w:val="yellow"/>
        </w:rPr>
        <w:t>workshops</w:t>
      </w:r>
      <w:proofErr w:type="spellEnd"/>
      <w:r w:rsidRPr="01B6BC44">
        <w:rPr>
          <w:highlight w:val="yellow"/>
        </w:rPr>
        <w:t xml:space="preserve"> and </w:t>
      </w:r>
      <w:proofErr w:type="spellStart"/>
      <w:r w:rsidRPr="01B6BC44">
        <w:rPr>
          <w:highlight w:val="yellow"/>
        </w:rPr>
        <w:t>distribution</w:t>
      </w:r>
      <w:proofErr w:type="spellEnd"/>
      <w:r w:rsidRPr="01B6BC44">
        <w:rPr>
          <w:highlight w:val="yellow"/>
        </w:rPr>
        <w:t xml:space="preserve"> </w:t>
      </w:r>
      <w:proofErr w:type="spellStart"/>
      <w:r w:rsidRPr="01B6BC44">
        <w:rPr>
          <w:highlight w:val="yellow"/>
        </w:rPr>
        <w:t>patterns</w:t>
      </w:r>
      <w:proofErr w:type="spellEnd"/>
      <w:r w:rsidRPr="01B6BC44">
        <w:rPr>
          <w:highlight w:val="yellow"/>
        </w:rPr>
        <w:t xml:space="preserve"> (</w:t>
      </w:r>
      <w:proofErr w:type="spellStart"/>
      <w:r w:rsidRPr="01B6BC44">
        <w:rPr>
          <w:highlight w:val="yellow"/>
        </w:rPr>
        <w:t>drawings</w:t>
      </w:r>
      <w:proofErr w:type="spellEnd"/>
      <w:r w:rsidRPr="01B6BC44">
        <w:rPr>
          <w:highlight w:val="yellow"/>
        </w:rPr>
        <w:t xml:space="preserve">: </w:t>
      </w:r>
      <w:proofErr w:type="spellStart"/>
      <w:r w:rsidRPr="01B6BC44">
        <w:rPr>
          <w:highlight w:val="yellow"/>
        </w:rPr>
        <w:t>Mukai</w:t>
      </w:r>
      <w:proofErr w:type="spellEnd"/>
      <w:r w:rsidRPr="01B6BC44">
        <w:rPr>
          <w:highlight w:val="yellow"/>
        </w:rPr>
        <w:t xml:space="preserve"> 2016, fig. 15.5; von Rummel and Möller 2019, fig. 15.40) (HM)</w:t>
      </w:r>
    </w:p>
    <w:p w14:paraId="00269E32" w14:textId="078620B2" w:rsidR="1F6E14D7" w:rsidRDefault="1F6E14D7" w:rsidP="01B6BC44">
      <w:pPr>
        <w:rPr>
          <w:highlight w:val="yellow"/>
          <w:lang w:val="en-US"/>
        </w:rPr>
      </w:pPr>
    </w:p>
    <w:p w14:paraId="54315B7C" w14:textId="76271AF7" w:rsidR="0583CB14" w:rsidRDefault="0583CB14" w:rsidP="01B6BC44">
      <w:pPr>
        <w:rPr>
          <w:color w:val="000000" w:themeColor="text1"/>
        </w:rPr>
      </w:pPr>
      <w:r w:rsidRPr="01B6BC44">
        <w:rPr>
          <w:color w:val="000000" w:themeColor="text1"/>
          <w:highlight w:val="yellow"/>
        </w:rPr>
        <w:t xml:space="preserve">Figure 16: North-western and </w:t>
      </w:r>
      <w:proofErr w:type="spellStart"/>
      <w:r w:rsidRPr="01B6BC44">
        <w:rPr>
          <w:color w:val="000000" w:themeColor="text1"/>
          <w:highlight w:val="yellow"/>
        </w:rPr>
        <w:t>north-eastern</w:t>
      </w:r>
      <w:proofErr w:type="spellEnd"/>
      <w:r w:rsidRPr="01B6BC44">
        <w:rPr>
          <w:color w:val="000000" w:themeColor="text1"/>
          <w:highlight w:val="yellow"/>
        </w:rPr>
        <w:t xml:space="preserve"> </w:t>
      </w:r>
      <w:proofErr w:type="spellStart"/>
      <w:r w:rsidRPr="01B6BC44">
        <w:rPr>
          <w:color w:val="000000" w:themeColor="text1"/>
          <w:highlight w:val="yellow"/>
        </w:rPr>
        <w:t>production</w:t>
      </w:r>
      <w:proofErr w:type="spellEnd"/>
      <w:r w:rsidRPr="01B6BC44">
        <w:rPr>
          <w:color w:val="000000" w:themeColor="text1"/>
          <w:highlight w:val="yellow"/>
        </w:rPr>
        <w:t xml:space="preserve"> </w:t>
      </w:r>
      <w:proofErr w:type="spellStart"/>
      <w:r w:rsidRPr="01B6BC44">
        <w:rPr>
          <w:color w:val="000000" w:themeColor="text1"/>
          <w:highlight w:val="yellow"/>
        </w:rPr>
        <w:t>groups</w:t>
      </w:r>
      <w:proofErr w:type="spellEnd"/>
      <w:r w:rsidRPr="01B6BC44">
        <w:rPr>
          <w:color w:val="000000" w:themeColor="text1"/>
          <w:highlight w:val="yellow"/>
        </w:rPr>
        <w:t>:  BR/CHI APW 12 and BR/CHI DP (2) (</w:t>
      </w:r>
      <w:proofErr w:type="spellStart"/>
      <w:r w:rsidRPr="01B6BC44">
        <w:rPr>
          <w:color w:val="000000" w:themeColor="text1"/>
          <w:highlight w:val="yellow"/>
        </w:rPr>
        <w:t>photos</w:t>
      </w:r>
      <w:proofErr w:type="spellEnd"/>
      <w:r w:rsidRPr="01B6BC44">
        <w:rPr>
          <w:color w:val="000000" w:themeColor="text1"/>
          <w:highlight w:val="yellow"/>
        </w:rPr>
        <w:t>/</w:t>
      </w:r>
      <w:proofErr w:type="spellStart"/>
      <w:r w:rsidRPr="01B6BC44">
        <w:rPr>
          <w:color w:val="000000" w:themeColor="text1"/>
          <w:highlight w:val="yellow"/>
        </w:rPr>
        <w:t>drawings</w:t>
      </w:r>
      <w:proofErr w:type="spellEnd"/>
      <w:r w:rsidRPr="01B6BC44">
        <w:rPr>
          <w:color w:val="000000" w:themeColor="text1"/>
          <w:highlight w:val="yellow"/>
        </w:rPr>
        <w:t xml:space="preserve">: </w:t>
      </w:r>
      <w:proofErr w:type="spellStart"/>
      <w:r w:rsidRPr="01B6BC44">
        <w:rPr>
          <w:color w:val="000000" w:themeColor="text1"/>
          <w:highlight w:val="yellow"/>
        </w:rPr>
        <w:t>Bonifay</w:t>
      </w:r>
      <w:proofErr w:type="spellEnd"/>
      <w:r w:rsidRPr="01B6BC44">
        <w:rPr>
          <w:color w:val="000000" w:themeColor="text1"/>
          <w:highlight w:val="yellow"/>
        </w:rPr>
        <w:t xml:space="preserve"> 2004, 302, Figure 169.1; Ben </w:t>
      </w:r>
      <w:proofErr w:type="spellStart"/>
      <w:r w:rsidRPr="01B6BC44">
        <w:rPr>
          <w:color w:val="000000" w:themeColor="text1"/>
          <w:highlight w:val="yellow"/>
        </w:rPr>
        <w:t>Nejma</w:t>
      </w:r>
      <w:proofErr w:type="spellEnd"/>
      <w:r w:rsidRPr="01B6BC44">
        <w:rPr>
          <w:color w:val="000000" w:themeColor="text1"/>
          <w:highlight w:val="yellow"/>
        </w:rPr>
        <w:t xml:space="preserve"> et al. 2023, 425.; </w:t>
      </w:r>
      <w:proofErr w:type="spellStart"/>
      <w:r w:rsidRPr="01B6BC44">
        <w:rPr>
          <w:color w:val="000000" w:themeColor="text1"/>
          <w:highlight w:val="yellow"/>
        </w:rPr>
        <w:t>Fulford</w:t>
      </w:r>
      <w:proofErr w:type="spellEnd"/>
      <w:r w:rsidRPr="01B6BC44">
        <w:rPr>
          <w:color w:val="000000" w:themeColor="text1"/>
          <w:highlight w:val="yellow"/>
        </w:rPr>
        <w:t xml:space="preserve"> 1984, Figure 89; </w:t>
      </w:r>
      <w:proofErr w:type="spellStart"/>
      <w:r w:rsidRPr="01B6BC44">
        <w:rPr>
          <w:color w:val="000000" w:themeColor="text1"/>
          <w:highlight w:val="yellow"/>
        </w:rPr>
        <w:t>Biagini</w:t>
      </w:r>
      <w:proofErr w:type="spellEnd"/>
      <w:r w:rsidRPr="01B6BC44">
        <w:rPr>
          <w:color w:val="000000" w:themeColor="text1"/>
          <w:highlight w:val="yellow"/>
        </w:rPr>
        <w:t xml:space="preserve"> 2007, 425.23; von Rummel and Möller 2019, fig.14.37; </w:t>
      </w:r>
      <w:proofErr w:type="spellStart"/>
      <w:r w:rsidRPr="01B6BC44">
        <w:rPr>
          <w:color w:val="000000" w:themeColor="text1"/>
          <w:highlight w:val="yellow"/>
        </w:rPr>
        <w:t>Fenwick</w:t>
      </w:r>
      <w:proofErr w:type="spellEnd"/>
      <w:r w:rsidRPr="01B6BC44">
        <w:rPr>
          <w:color w:val="000000" w:themeColor="text1"/>
          <w:highlight w:val="yellow"/>
        </w:rPr>
        <w:t xml:space="preserve"> et al. 2023, fig. 15.6) (HM)</w:t>
      </w:r>
      <w:r>
        <w:br/>
      </w:r>
    </w:p>
    <w:p w14:paraId="1D463FDE" w14:textId="77777777" w:rsidR="007550B1" w:rsidRPr="007550B1" w:rsidRDefault="007550B1" w:rsidP="007550B1">
      <w:pPr>
        <w:rPr>
          <w:lang w:val="en-US"/>
        </w:rPr>
      </w:pPr>
    </w:p>
    <w:p w14:paraId="54F4B02B" w14:textId="77777777" w:rsidR="007550B1" w:rsidRPr="007550B1" w:rsidRDefault="007550B1" w:rsidP="00411622">
      <w:pPr>
        <w:rPr>
          <w:lang w:val="en-US"/>
        </w:rPr>
      </w:pPr>
    </w:p>
    <w:p w14:paraId="5445D3FA" w14:textId="7C7B6D7F" w:rsidR="00632D00" w:rsidRPr="007550B1" w:rsidRDefault="00632D00" w:rsidP="00632D00">
      <w:pPr>
        <w:rPr>
          <w:lang w:val="en-US"/>
        </w:rPr>
      </w:pPr>
    </w:p>
    <w:p w14:paraId="4EDCAA05" w14:textId="77777777" w:rsidR="0095413B" w:rsidRPr="00632D00" w:rsidRDefault="0095413B" w:rsidP="00665C41">
      <w:pPr>
        <w:rPr>
          <w:lang w:val="en-GB"/>
        </w:rPr>
      </w:pPr>
    </w:p>
    <w:p w14:paraId="31D60004" w14:textId="04B097E0" w:rsidR="00320E22" w:rsidRPr="00411622" w:rsidRDefault="00320E22" w:rsidP="00700E00">
      <w:pPr>
        <w:rPr>
          <w:lang w:val="en-GB"/>
        </w:rPr>
      </w:pPr>
    </w:p>
    <w:sectPr w:rsidR="00320E22" w:rsidRPr="00411622" w:rsidSect="00A27CD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4F0"/>
    <w:rsid w:val="000374C7"/>
    <w:rsid w:val="000A20CD"/>
    <w:rsid w:val="000C2A87"/>
    <w:rsid w:val="001200A8"/>
    <w:rsid w:val="00154E9C"/>
    <w:rsid w:val="001647A0"/>
    <w:rsid w:val="001D29F4"/>
    <w:rsid w:val="002D46F4"/>
    <w:rsid w:val="00320E22"/>
    <w:rsid w:val="00366DD2"/>
    <w:rsid w:val="003B75F9"/>
    <w:rsid w:val="00411622"/>
    <w:rsid w:val="004602DA"/>
    <w:rsid w:val="00465E47"/>
    <w:rsid w:val="00546175"/>
    <w:rsid w:val="0054650B"/>
    <w:rsid w:val="00570B49"/>
    <w:rsid w:val="005A3D94"/>
    <w:rsid w:val="00632D00"/>
    <w:rsid w:val="00654C20"/>
    <w:rsid w:val="00665C41"/>
    <w:rsid w:val="006A0782"/>
    <w:rsid w:val="006E14F0"/>
    <w:rsid w:val="00700E00"/>
    <w:rsid w:val="007550B1"/>
    <w:rsid w:val="007A78A0"/>
    <w:rsid w:val="007C1CB6"/>
    <w:rsid w:val="0086267C"/>
    <w:rsid w:val="008B15E8"/>
    <w:rsid w:val="008C4A25"/>
    <w:rsid w:val="00922BB3"/>
    <w:rsid w:val="0095413B"/>
    <w:rsid w:val="00A27CD7"/>
    <w:rsid w:val="00AB665B"/>
    <w:rsid w:val="00B217D4"/>
    <w:rsid w:val="00B414FF"/>
    <w:rsid w:val="00C05CED"/>
    <w:rsid w:val="00CD12A5"/>
    <w:rsid w:val="00D008DE"/>
    <w:rsid w:val="00E677EC"/>
    <w:rsid w:val="00ED5ED7"/>
    <w:rsid w:val="00ED5FEE"/>
    <w:rsid w:val="00EE502A"/>
    <w:rsid w:val="00FB3B87"/>
    <w:rsid w:val="00FC8795"/>
    <w:rsid w:val="00FF7DE4"/>
    <w:rsid w:val="01B6BC44"/>
    <w:rsid w:val="0583CB14"/>
    <w:rsid w:val="064BAB7A"/>
    <w:rsid w:val="081C5840"/>
    <w:rsid w:val="0BD50404"/>
    <w:rsid w:val="0DFFB151"/>
    <w:rsid w:val="15396CBC"/>
    <w:rsid w:val="1F6E14D7"/>
    <w:rsid w:val="2160F8EE"/>
    <w:rsid w:val="2185BF98"/>
    <w:rsid w:val="2337D9AA"/>
    <w:rsid w:val="2356846D"/>
    <w:rsid w:val="262CAD7E"/>
    <w:rsid w:val="27452F0B"/>
    <w:rsid w:val="2A737BE9"/>
    <w:rsid w:val="3353B358"/>
    <w:rsid w:val="3572C722"/>
    <w:rsid w:val="35927413"/>
    <w:rsid w:val="37DF4BFF"/>
    <w:rsid w:val="3BBF0194"/>
    <w:rsid w:val="3DFD8E8B"/>
    <w:rsid w:val="41AE1022"/>
    <w:rsid w:val="42E6485C"/>
    <w:rsid w:val="45ED94A5"/>
    <w:rsid w:val="47787E93"/>
    <w:rsid w:val="49E19896"/>
    <w:rsid w:val="501251BA"/>
    <w:rsid w:val="5570AF2F"/>
    <w:rsid w:val="57A8127C"/>
    <w:rsid w:val="57DE0F67"/>
    <w:rsid w:val="5DD3C7F3"/>
    <w:rsid w:val="5EA6854A"/>
    <w:rsid w:val="631DCDC7"/>
    <w:rsid w:val="6489EA5B"/>
    <w:rsid w:val="670E24E5"/>
    <w:rsid w:val="6A7A67E5"/>
    <w:rsid w:val="6CBDC3FF"/>
    <w:rsid w:val="6CF98417"/>
    <w:rsid w:val="70704EB9"/>
    <w:rsid w:val="71532B6B"/>
    <w:rsid w:val="72D9249B"/>
    <w:rsid w:val="7D31E3FC"/>
    <w:rsid w:val="7DAEDD3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4:docId w14:val="06E72024"/>
  <w14:defaultImageDpi w14:val="32767"/>
  <w15:chartTrackingRefBased/>
  <w15:docId w15:val="{50A889CC-F825-43DB-AEA5-ABC84F56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200A8"/>
    <w:rPr>
      <w:rFonts w:ascii="Times New Roman" w:eastAsia="Times New Roman" w:hAnsi="Times New Roman" w:cs="Times New Roman"/>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700E00"/>
    <w:pPr>
      <w:pBdr>
        <w:top w:val="nil"/>
        <w:left w:val="nil"/>
        <w:bottom w:val="nil"/>
        <w:right w:val="nil"/>
        <w:between w:val="nil"/>
        <w:bar w:val="nil"/>
      </w:pBdr>
    </w:pPr>
    <w:rPr>
      <w:rFonts w:eastAsia="Arial Unicode MS"/>
      <w:sz w:val="20"/>
      <w:szCs w:val="20"/>
      <w:bdr w:val="nil"/>
      <w:lang w:val="en-US"/>
    </w:rPr>
  </w:style>
  <w:style w:type="character" w:customStyle="1" w:styleId="CommentTextChar">
    <w:name w:val="Comment Text Char"/>
    <w:basedOn w:val="DefaultParagraphFont"/>
    <w:link w:val="CommentText"/>
    <w:uiPriority w:val="99"/>
    <w:rsid w:val="00700E00"/>
    <w:rPr>
      <w:rFonts w:ascii="Times New Roman" w:eastAsia="Arial Unicode MS" w:hAnsi="Times New Roman" w:cs="Times New Roman"/>
      <w:sz w:val="20"/>
      <w:szCs w:val="20"/>
      <w:bdr w:val="nil"/>
      <w:lang w:val="en-US"/>
    </w:rPr>
  </w:style>
  <w:style w:type="character" w:styleId="CommentReference">
    <w:name w:val="annotation reference"/>
    <w:basedOn w:val="DefaultParagraphFont"/>
    <w:uiPriority w:val="99"/>
    <w:semiHidden/>
    <w:unhideWhenUsed/>
    <w:rsid w:val="00700E00"/>
    <w:rPr>
      <w:sz w:val="16"/>
      <w:szCs w:val="16"/>
    </w:rPr>
  </w:style>
  <w:style w:type="paragraph" w:styleId="BalloonText">
    <w:name w:val="Balloon Text"/>
    <w:basedOn w:val="Normal"/>
    <w:link w:val="BalloonTextChar"/>
    <w:uiPriority w:val="99"/>
    <w:semiHidden/>
    <w:unhideWhenUsed/>
    <w:rsid w:val="00700E00"/>
    <w:rPr>
      <w:sz w:val="18"/>
      <w:szCs w:val="18"/>
    </w:rPr>
  </w:style>
  <w:style w:type="character" w:customStyle="1" w:styleId="BalloonTextChar">
    <w:name w:val="Balloon Text Char"/>
    <w:basedOn w:val="DefaultParagraphFont"/>
    <w:link w:val="BalloonText"/>
    <w:uiPriority w:val="99"/>
    <w:semiHidden/>
    <w:rsid w:val="00700E00"/>
    <w:rPr>
      <w:rFonts w:ascii="Times New Roman" w:hAnsi="Times New Roman" w:cs="Times New Roman"/>
      <w:sz w:val="18"/>
      <w:szCs w:val="18"/>
    </w:rPr>
  </w:style>
  <w:style w:type="character" w:customStyle="1" w:styleId="normaltextrun">
    <w:name w:val="normaltextrun"/>
    <w:basedOn w:val="DefaultParagraphFont"/>
    <w:rsid w:val="00665C41"/>
  </w:style>
  <w:style w:type="character" w:customStyle="1" w:styleId="eop">
    <w:name w:val="eop"/>
    <w:basedOn w:val="DefaultParagraphFont"/>
    <w:rsid w:val="00665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75968">
      <w:bodyDiv w:val="1"/>
      <w:marLeft w:val="0"/>
      <w:marRight w:val="0"/>
      <w:marTop w:val="0"/>
      <w:marBottom w:val="0"/>
      <w:divBdr>
        <w:top w:val="none" w:sz="0" w:space="0" w:color="auto"/>
        <w:left w:val="none" w:sz="0" w:space="0" w:color="auto"/>
        <w:bottom w:val="none" w:sz="0" w:space="0" w:color="auto"/>
        <w:right w:val="none" w:sz="0" w:space="0" w:color="auto"/>
      </w:divBdr>
    </w:div>
    <w:div w:id="225800134">
      <w:bodyDiv w:val="1"/>
      <w:marLeft w:val="0"/>
      <w:marRight w:val="0"/>
      <w:marTop w:val="0"/>
      <w:marBottom w:val="0"/>
      <w:divBdr>
        <w:top w:val="none" w:sz="0" w:space="0" w:color="auto"/>
        <w:left w:val="none" w:sz="0" w:space="0" w:color="auto"/>
        <w:bottom w:val="none" w:sz="0" w:space="0" w:color="auto"/>
        <w:right w:val="none" w:sz="0" w:space="0" w:color="auto"/>
      </w:divBdr>
    </w:div>
    <w:div w:id="280377898">
      <w:bodyDiv w:val="1"/>
      <w:marLeft w:val="0"/>
      <w:marRight w:val="0"/>
      <w:marTop w:val="0"/>
      <w:marBottom w:val="0"/>
      <w:divBdr>
        <w:top w:val="none" w:sz="0" w:space="0" w:color="auto"/>
        <w:left w:val="none" w:sz="0" w:space="0" w:color="auto"/>
        <w:bottom w:val="none" w:sz="0" w:space="0" w:color="auto"/>
        <w:right w:val="none" w:sz="0" w:space="0" w:color="auto"/>
      </w:divBdr>
    </w:div>
    <w:div w:id="373430353">
      <w:bodyDiv w:val="1"/>
      <w:marLeft w:val="0"/>
      <w:marRight w:val="0"/>
      <w:marTop w:val="0"/>
      <w:marBottom w:val="0"/>
      <w:divBdr>
        <w:top w:val="none" w:sz="0" w:space="0" w:color="auto"/>
        <w:left w:val="none" w:sz="0" w:space="0" w:color="auto"/>
        <w:bottom w:val="none" w:sz="0" w:space="0" w:color="auto"/>
        <w:right w:val="none" w:sz="0" w:space="0" w:color="auto"/>
      </w:divBdr>
    </w:div>
    <w:div w:id="773401546">
      <w:bodyDiv w:val="1"/>
      <w:marLeft w:val="0"/>
      <w:marRight w:val="0"/>
      <w:marTop w:val="0"/>
      <w:marBottom w:val="0"/>
      <w:divBdr>
        <w:top w:val="none" w:sz="0" w:space="0" w:color="auto"/>
        <w:left w:val="none" w:sz="0" w:space="0" w:color="auto"/>
        <w:bottom w:val="none" w:sz="0" w:space="0" w:color="auto"/>
        <w:right w:val="none" w:sz="0" w:space="0" w:color="auto"/>
      </w:divBdr>
    </w:div>
    <w:div w:id="1043481557">
      <w:bodyDiv w:val="1"/>
      <w:marLeft w:val="0"/>
      <w:marRight w:val="0"/>
      <w:marTop w:val="0"/>
      <w:marBottom w:val="0"/>
      <w:divBdr>
        <w:top w:val="none" w:sz="0" w:space="0" w:color="auto"/>
        <w:left w:val="none" w:sz="0" w:space="0" w:color="auto"/>
        <w:bottom w:val="none" w:sz="0" w:space="0" w:color="auto"/>
        <w:right w:val="none" w:sz="0" w:space="0" w:color="auto"/>
      </w:divBdr>
    </w:div>
    <w:div w:id="1074468034">
      <w:bodyDiv w:val="1"/>
      <w:marLeft w:val="0"/>
      <w:marRight w:val="0"/>
      <w:marTop w:val="0"/>
      <w:marBottom w:val="0"/>
      <w:divBdr>
        <w:top w:val="none" w:sz="0" w:space="0" w:color="auto"/>
        <w:left w:val="none" w:sz="0" w:space="0" w:color="auto"/>
        <w:bottom w:val="none" w:sz="0" w:space="0" w:color="auto"/>
        <w:right w:val="none" w:sz="0" w:space="0" w:color="auto"/>
      </w:divBdr>
    </w:div>
    <w:div w:id="1176962477">
      <w:bodyDiv w:val="1"/>
      <w:marLeft w:val="0"/>
      <w:marRight w:val="0"/>
      <w:marTop w:val="0"/>
      <w:marBottom w:val="0"/>
      <w:divBdr>
        <w:top w:val="none" w:sz="0" w:space="0" w:color="auto"/>
        <w:left w:val="none" w:sz="0" w:space="0" w:color="auto"/>
        <w:bottom w:val="none" w:sz="0" w:space="0" w:color="auto"/>
        <w:right w:val="none" w:sz="0" w:space="0" w:color="auto"/>
      </w:divBdr>
    </w:div>
    <w:div w:id="1182008537">
      <w:bodyDiv w:val="1"/>
      <w:marLeft w:val="0"/>
      <w:marRight w:val="0"/>
      <w:marTop w:val="0"/>
      <w:marBottom w:val="0"/>
      <w:divBdr>
        <w:top w:val="none" w:sz="0" w:space="0" w:color="auto"/>
        <w:left w:val="none" w:sz="0" w:space="0" w:color="auto"/>
        <w:bottom w:val="none" w:sz="0" w:space="0" w:color="auto"/>
        <w:right w:val="none" w:sz="0" w:space="0" w:color="auto"/>
      </w:divBdr>
    </w:div>
    <w:div w:id="1341932847">
      <w:bodyDiv w:val="1"/>
      <w:marLeft w:val="0"/>
      <w:marRight w:val="0"/>
      <w:marTop w:val="0"/>
      <w:marBottom w:val="0"/>
      <w:divBdr>
        <w:top w:val="none" w:sz="0" w:space="0" w:color="auto"/>
        <w:left w:val="none" w:sz="0" w:space="0" w:color="auto"/>
        <w:bottom w:val="none" w:sz="0" w:space="0" w:color="auto"/>
        <w:right w:val="none" w:sz="0" w:space="0" w:color="auto"/>
      </w:divBdr>
    </w:div>
    <w:div w:id="1485122671">
      <w:bodyDiv w:val="1"/>
      <w:marLeft w:val="0"/>
      <w:marRight w:val="0"/>
      <w:marTop w:val="0"/>
      <w:marBottom w:val="0"/>
      <w:divBdr>
        <w:top w:val="none" w:sz="0" w:space="0" w:color="auto"/>
        <w:left w:val="none" w:sz="0" w:space="0" w:color="auto"/>
        <w:bottom w:val="none" w:sz="0" w:space="0" w:color="auto"/>
        <w:right w:val="none" w:sz="0" w:space="0" w:color="auto"/>
      </w:divBdr>
      <w:divsChild>
        <w:div w:id="1239368731">
          <w:marLeft w:val="0"/>
          <w:marRight w:val="0"/>
          <w:marTop w:val="0"/>
          <w:marBottom w:val="0"/>
          <w:divBdr>
            <w:top w:val="none" w:sz="0" w:space="0" w:color="auto"/>
            <w:left w:val="none" w:sz="0" w:space="0" w:color="auto"/>
            <w:bottom w:val="none" w:sz="0" w:space="0" w:color="auto"/>
            <w:right w:val="none" w:sz="0" w:space="0" w:color="auto"/>
          </w:divBdr>
        </w:div>
        <w:div w:id="1286892420">
          <w:marLeft w:val="0"/>
          <w:marRight w:val="0"/>
          <w:marTop w:val="0"/>
          <w:marBottom w:val="0"/>
          <w:divBdr>
            <w:top w:val="none" w:sz="0" w:space="0" w:color="auto"/>
            <w:left w:val="none" w:sz="0" w:space="0" w:color="auto"/>
            <w:bottom w:val="none" w:sz="0" w:space="0" w:color="auto"/>
            <w:right w:val="none" w:sz="0" w:space="0" w:color="auto"/>
          </w:divBdr>
        </w:div>
      </w:divsChild>
    </w:div>
    <w:div w:id="1562642201">
      <w:bodyDiv w:val="1"/>
      <w:marLeft w:val="0"/>
      <w:marRight w:val="0"/>
      <w:marTop w:val="0"/>
      <w:marBottom w:val="0"/>
      <w:divBdr>
        <w:top w:val="none" w:sz="0" w:space="0" w:color="auto"/>
        <w:left w:val="none" w:sz="0" w:space="0" w:color="auto"/>
        <w:bottom w:val="none" w:sz="0" w:space="0" w:color="auto"/>
        <w:right w:val="none" w:sz="0" w:space="0" w:color="auto"/>
      </w:divBdr>
    </w:div>
    <w:div w:id="1912155799">
      <w:bodyDiv w:val="1"/>
      <w:marLeft w:val="0"/>
      <w:marRight w:val="0"/>
      <w:marTop w:val="0"/>
      <w:marBottom w:val="0"/>
      <w:divBdr>
        <w:top w:val="none" w:sz="0" w:space="0" w:color="auto"/>
        <w:left w:val="none" w:sz="0" w:space="0" w:color="auto"/>
        <w:bottom w:val="none" w:sz="0" w:space="0" w:color="auto"/>
        <w:right w:val="none" w:sz="0" w:space="0" w:color="auto"/>
      </w:divBdr>
    </w:div>
    <w:div w:id="2079357984">
      <w:bodyDiv w:val="1"/>
      <w:marLeft w:val="0"/>
      <w:marRight w:val="0"/>
      <w:marTop w:val="0"/>
      <w:marBottom w:val="0"/>
      <w:divBdr>
        <w:top w:val="none" w:sz="0" w:space="0" w:color="auto"/>
        <w:left w:val="none" w:sz="0" w:space="0" w:color="auto"/>
        <w:bottom w:val="none" w:sz="0" w:space="0" w:color="auto"/>
        <w:right w:val="none" w:sz="0" w:space="0" w:color="auto"/>
      </w:divBdr>
    </w:div>
    <w:div w:id="212946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d29865e-bf68-45db-a2f7-6fedea17b630" xsi:nil="true"/>
    <lcf76f155ced4ddcb4097134ff3c332f xmlns="fa7c2b44-da97-4f6d-ae1e-dc3d6bfa84b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479F8A200C4D48A051FD0BD6255964" ma:contentTypeVersion="17" ma:contentTypeDescription="Create a new document." ma:contentTypeScope="" ma:versionID="2db59c6954f585c99f51e81ba0bd1387">
  <xsd:schema xmlns:xsd="http://www.w3.org/2001/XMLSchema" xmlns:xs="http://www.w3.org/2001/XMLSchema" xmlns:p="http://schemas.microsoft.com/office/2006/metadata/properties" xmlns:ns2="fa7c2b44-da97-4f6d-ae1e-dc3d6bfa84b8" xmlns:ns3="2d29865e-bf68-45db-a2f7-6fedea17b630" targetNamespace="http://schemas.microsoft.com/office/2006/metadata/properties" ma:root="true" ma:fieldsID="457333a3dd0ffb4e25ca66406e166739" ns2:_="" ns3:_="">
    <xsd:import namespace="fa7c2b44-da97-4f6d-ae1e-dc3d6bfa84b8"/>
    <xsd:import namespace="2d29865e-bf68-45db-a2f7-6fedea17b6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c2b44-da97-4f6d-ae1e-dc3d6bfa84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79a89b1-2c2c-4f7f-9bd7-7914fb13a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29865e-bf68-45db-a2f7-6fedea17b6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f725e93-1ec7-4c8c-b477-4af732d5fc96}" ma:internalName="TaxCatchAll" ma:showField="CatchAllData" ma:web="2d29865e-bf68-45db-a2f7-6fedea17b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DCA69-4B79-4C0F-AFD3-57A2BB54A8CC}">
  <ds:schemaRefs>
    <ds:schemaRef ds:uri="http://schemas.microsoft.com/sharepoint/v3/contenttype/forms"/>
  </ds:schemaRefs>
</ds:datastoreItem>
</file>

<file path=customXml/itemProps2.xml><?xml version="1.0" encoding="utf-8"?>
<ds:datastoreItem xmlns:ds="http://schemas.openxmlformats.org/officeDocument/2006/customXml" ds:itemID="{494C8796-3DF8-4423-96C2-63CD08C9B825}">
  <ds:schemaRefs>
    <ds:schemaRef ds:uri="http://schemas.microsoft.com/office/2006/metadata/properties"/>
    <ds:schemaRef ds:uri="http://schemas.microsoft.com/office/infopath/2007/PartnerControls"/>
    <ds:schemaRef ds:uri="2d29865e-bf68-45db-a2f7-6fedea17b630"/>
    <ds:schemaRef ds:uri="fa7c2b44-da97-4f6d-ae1e-dc3d6bfa84b8"/>
  </ds:schemaRefs>
</ds:datastoreItem>
</file>

<file path=customXml/itemProps3.xml><?xml version="1.0" encoding="utf-8"?>
<ds:datastoreItem xmlns:ds="http://schemas.openxmlformats.org/officeDocument/2006/customXml" ds:itemID="{729FC5B8-F6BC-47E2-A33D-3C13F3871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c2b44-da97-4f6d-ae1e-dc3d6bfa84b8"/>
    <ds:schemaRef ds:uri="2d29865e-bf68-45db-a2f7-6fedea17b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2936</Characters>
  <Application>Microsoft Office Word</Application>
  <DocSecurity>4</DocSecurity>
  <Lines>24</Lines>
  <Paragraphs>6</Paragraphs>
  <ScaleCrop>false</ScaleCrop>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Möller</dc:creator>
  <cp:keywords/>
  <dc:description/>
  <cp:lastModifiedBy>hmoeller.archaeologie@gmail.com</cp:lastModifiedBy>
  <cp:revision>13</cp:revision>
  <dcterms:created xsi:type="dcterms:W3CDTF">2024-10-18T11:39:00Z</dcterms:created>
  <dcterms:modified xsi:type="dcterms:W3CDTF">2025-01-20T14:34:00Z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0x0101009E479F8A200C4D48A051FD0BD6255964</vt:lpwstr>
  </property>
  <property fmtid="{D5CDD505-2E9C-101B-9397-08002B2CF9AE}" pid="3" name="MediaServiceImageTags">
    <vt:lpwstr/>
  </property>
</Properties>
</file>