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2D5B" w14:textId="4671C9E2" w:rsidR="00E15E2F" w:rsidRPr="00266FA9" w:rsidRDefault="00040698" w:rsidP="008B1182">
      <w:pPr>
        <w:spacing w:after="0" w:line="240" w:lineRule="auto"/>
        <w:jc w:val="center"/>
        <w:rPr>
          <w:rFonts w:ascii="Garamond" w:hAnsi="Garamond"/>
          <w:b/>
          <w:sz w:val="24"/>
          <w:szCs w:val="24"/>
          <w:lang w:eastAsia="ko-KR"/>
        </w:rPr>
      </w:pPr>
      <w:r w:rsidRPr="00266FA9">
        <w:rPr>
          <w:rFonts w:ascii="Garamond" w:hAnsi="Garamond"/>
          <w:b/>
          <w:sz w:val="24"/>
          <w:szCs w:val="24"/>
          <w:lang w:eastAsia="ko-KR"/>
        </w:rPr>
        <w:t>A</w:t>
      </w:r>
      <w:r w:rsidR="00755ECF" w:rsidRPr="00266FA9">
        <w:rPr>
          <w:rFonts w:ascii="Garamond" w:hAnsi="Garamond"/>
          <w:b/>
          <w:sz w:val="24"/>
          <w:szCs w:val="24"/>
          <w:lang w:eastAsia="ko-KR"/>
        </w:rPr>
        <w:t>ppendix: Data Sources</w:t>
      </w:r>
      <w:r w:rsidR="004E3820" w:rsidRPr="00266FA9">
        <w:rPr>
          <w:rFonts w:ascii="Garamond" w:hAnsi="Garamond"/>
          <w:b/>
          <w:sz w:val="24"/>
          <w:szCs w:val="24"/>
          <w:lang w:eastAsia="ko-KR"/>
        </w:rPr>
        <w:t xml:space="preserve"> and Coding</w:t>
      </w:r>
    </w:p>
    <w:p w14:paraId="078AD40D" w14:textId="3BBB22F4" w:rsidR="009402E6" w:rsidRPr="00266FA9" w:rsidRDefault="009402E6" w:rsidP="008B1182">
      <w:pPr>
        <w:spacing w:after="0" w:line="240" w:lineRule="auto"/>
        <w:rPr>
          <w:rFonts w:ascii="Garamond" w:hAnsi="Garamond"/>
          <w:sz w:val="24"/>
          <w:szCs w:val="24"/>
        </w:rPr>
      </w:pPr>
    </w:p>
    <w:p w14:paraId="1538CD2D" w14:textId="77777777" w:rsidR="00004331" w:rsidRPr="00266FA9" w:rsidRDefault="00004331" w:rsidP="008B1182">
      <w:pPr>
        <w:spacing w:after="0" w:line="240" w:lineRule="auto"/>
        <w:rPr>
          <w:rFonts w:ascii="Garamond" w:hAnsi="Garamond"/>
          <w:sz w:val="24"/>
          <w:szCs w:val="24"/>
        </w:rPr>
      </w:pPr>
    </w:p>
    <w:p w14:paraId="5A4873A8" w14:textId="7C9F243E" w:rsidR="00004331" w:rsidRPr="00266FA9" w:rsidRDefault="00004331" w:rsidP="008B1182">
      <w:pPr>
        <w:spacing w:after="0" w:line="240" w:lineRule="auto"/>
        <w:rPr>
          <w:rFonts w:ascii="Garamond" w:hAnsi="Garamond"/>
          <w:b/>
          <w:sz w:val="24"/>
          <w:szCs w:val="24"/>
        </w:rPr>
      </w:pPr>
      <w:r w:rsidRPr="00266FA9">
        <w:rPr>
          <w:rFonts w:ascii="Garamond" w:hAnsi="Garamond"/>
          <w:b/>
          <w:sz w:val="24"/>
          <w:szCs w:val="24"/>
        </w:rPr>
        <w:t>I. D</w:t>
      </w:r>
      <w:r w:rsidR="002111F0" w:rsidRPr="00266FA9">
        <w:rPr>
          <w:rFonts w:ascii="Garamond" w:hAnsi="Garamond"/>
          <w:b/>
          <w:sz w:val="24"/>
          <w:szCs w:val="24"/>
        </w:rPr>
        <w:t>ata</w:t>
      </w:r>
      <w:r w:rsidRPr="00266FA9">
        <w:rPr>
          <w:rFonts w:ascii="Garamond" w:hAnsi="Garamond"/>
          <w:b/>
          <w:sz w:val="24"/>
          <w:szCs w:val="24"/>
        </w:rPr>
        <w:t xml:space="preserve"> </w:t>
      </w:r>
    </w:p>
    <w:p w14:paraId="348D4E94" w14:textId="79A77A83" w:rsidR="00CC79D5" w:rsidRPr="00266FA9" w:rsidRDefault="00CC79D5" w:rsidP="008B1182">
      <w:pPr>
        <w:spacing w:after="0" w:line="240" w:lineRule="auto"/>
        <w:rPr>
          <w:rFonts w:ascii="Garamond" w:hAnsi="Garamond"/>
          <w:sz w:val="24"/>
          <w:szCs w:val="24"/>
        </w:rPr>
      </w:pPr>
    </w:p>
    <w:p w14:paraId="2913E316" w14:textId="72CA6A83" w:rsidR="00FB2D10" w:rsidRPr="00266FA9" w:rsidRDefault="00FB2D10" w:rsidP="008B1182">
      <w:pPr>
        <w:spacing w:after="0" w:line="240" w:lineRule="auto"/>
        <w:rPr>
          <w:rFonts w:ascii="Garamond" w:hAnsi="Garamond"/>
          <w:sz w:val="24"/>
          <w:szCs w:val="24"/>
        </w:rPr>
      </w:pPr>
      <w:r w:rsidRPr="00266FA9">
        <w:rPr>
          <w:rFonts w:ascii="Garamond" w:hAnsi="Garamond"/>
          <w:sz w:val="24"/>
          <w:szCs w:val="24"/>
        </w:rPr>
        <w:t>T</w:t>
      </w:r>
      <w:r w:rsidR="00733501" w:rsidRPr="00266FA9">
        <w:rPr>
          <w:rFonts w:ascii="Garamond" w:hAnsi="Garamond"/>
          <w:sz w:val="24"/>
          <w:szCs w:val="24"/>
        </w:rPr>
        <w:t xml:space="preserve">his study draws on a total of </w:t>
      </w:r>
      <w:r w:rsidR="00D052CB" w:rsidRPr="00266FA9">
        <w:rPr>
          <w:rFonts w:ascii="Garamond" w:hAnsi="Garamond"/>
          <w:sz w:val="24"/>
          <w:szCs w:val="24"/>
        </w:rPr>
        <w:t>3</w:t>
      </w:r>
      <w:r w:rsidR="00D51733" w:rsidRPr="00266FA9">
        <w:rPr>
          <w:rFonts w:ascii="Garamond" w:hAnsi="Garamond"/>
          <w:sz w:val="24"/>
          <w:szCs w:val="24"/>
        </w:rPr>
        <w:t>3</w:t>
      </w:r>
      <w:r w:rsidR="00D052CB" w:rsidRPr="00266FA9">
        <w:rPr>
          <w:rFonts w:ascii="Garamond" w:hAnsi="Garamond"/>
          <w:sz w:val="24"/>
          <w:szCs w:val="24"/>
        </w:rPr>
        <w:t>8</w:t>
      </w:r>
      <w:r w:rsidRPr="00266FA9">
        <w:rPr>
          <w:rFonts w:ascii="Garamond" w:hAnsi="Garamond"/>
          <w:sz w:val="24"/>
          <w:szCs w:val="24"/>
        </w:rPr>
        <w:t xml:space="preserve"> texts, which consist of 93 U</w:t>
      </w:r>
      <w:r w:rsidR="00363117" w:rsidRPr="00266FA9">
        <w:rPr>
          <w:rFonts w:ascii="Garamond" w:hAnsi="Garamond"/>
          <w:sz w:val="24"/>
          <w:szCs w:val="24"/>
        </w:rPr>
        <w:t xml:space="preserve">nited </w:t>
      </w:r>
      <w:r w:rsidRPr="00266FA9">
        <w:rPr>
          <w:rFonts w:ascii="Garamond" w:hAnsi="Garamond"/>
          <w:sz w:val="24"/>
          <w:szCs w:val="24"/>
        </w:rPr>
        <w:t>N</w:t>
      </w:r>
      <w:r w:rsidR="00363117" w:rsidRPr="00266FA9">
        <w:rPr>
          <w:rFonts w:ascii="Garamond" w:hAnsi="Garamond"/>
          <w:sz w:val="24"/>
          <w:szCs w:val="24"/>
        </w:rPr>
        <w:t>ations</w:t>
      </w:r>
      <w:r w:rsidRPr="00266FA9">
        <w:rPr>
          <w:rFonts w:ascii="Garamond" w:hAnsi="Garamond"/>
          <w:sz w:val="24"/>
          <w:szCs w:val="24"/>
        </w:rPr>
        <w:t xml:space="preserve"> documents, 13 documents from the </w:t>
      </w:r>
      <w:r w:rsidR="00363117" w:rsidRPr="00266FA9">
        <w:rPr>
          <w:rFonts w:ascii="Garamond" w:hAnsi="Garamond"/>
          <w:sz w:val="24"/>
          <w:szCs w:val="24"/>
        </w:rPr>
        <w:t>International Labor Organization’s</w:t>
      </w:r>
      <w:r w:rsidRPr="00266FA9">
        <w:rPr>
          <w:rFonts w:ascii="Garamond" w:hAnsi="Garamond"/>
          <w:sz w:val="24"/>
          <w:szCs w:val="24"/>
        </w:rPr>
        <w:t xml:space="preserve"> </w:t>
      </w:r>
      <w:r w:rsidR="008A2230" w:rsidRPr="00266FA9">
        <w:rPr>
          <w:rFonts w:ascii="Garamond" w:hAnsi="Garamond"/>
          <w:sz w:val="24"/>
          <w:szCs w:val="24"/>
        </w:rPr>
        <w:t>Committee of Experts on the Application of Conventions and Recommendations (CEACR)</w:t>
      </w:r>
      <w:r w:rsidRPr="00266FA9">
        <w:rPr>
          <w:rFonts w:ascii="Garamond" w:hAnsi="Garamond"/>
          <w:sz w:val="24"/>
          <w:szCs w:val="24"/>
        </w:rPr>
        <w:t xml:space="preserve">, and </w:t>
      </w:r>
      <w:r w:rsidR="00D052CB" w:rsidRPr="00266FA9">
        <w:rPr>
          <w:rFonts w:ascii="Garamond" w:hAnsi="Garamond"/>
          <w:sz w:val="24"/>
          <w:szCs w:val="24"/>
        </w:rPr>
        <w:t>2</w:t>
      </w:r>
      <w:r w:rsidR="00CB4898" w:rsidRPr="00266FA9">
        <w:rPr>
          <w:rFonts w:ascii="Garamond" w:hAnsi="Garamond"/>
          <w:sz w:val="24"/>
          <w:szCs w:val="24"/>
        </w:rPr>
        <w:t>3</w:t>
      </w:r>
      <w:r w:rsidR="00D052CB" w:rsidRPr="00266FA9">
        <w:rPr>
          <w:rFonts w:ascii="Garamond" w:hAnsi="Garamond"/>
          <w:sz w:val="24"/>
          <w:szCs w:val="24"/>
        </w:rPr>
        <w:t>2</w:t>
      </w:r>
      <w:r w:rsidRPr="00266FA9">
        <w:rPr>
          <w:rFonts w:ascii="Garamond" w:hAnsi="Garamond"/>
          <w:sz w:val="24"/>
          <w:szCs w:val="24"/>
        </w:rPr>
        <w:t xml:space="preserve"> </w:t>
      </w:r>
      <w:r w:rsidR="00C23E17" w:rsidRPr="00266FA9">
        <w:rPr>
          <w:rFonts w:ascii="Garamond" w:hAnsi="Garamond"/>
          <w:sz w:val="24"/>
          <w:szCs w:val="24"/>
        </w:rPr>
        <w:t>statements</w:t>
      </w:r>
      <w:r w:rsidR="005C38E1" w:rsidRPr="00266FA9">
        <w:rPr>
          <w:rFonts w:ascii="Garamond" w:hAnsi="Garamond"/>
          <w:sz w:val="24"/>
          <w:szCs w:val="24"/>
        </w:rPr>
        <w:t xml:space="preserve"> </w:t>
      </w:r>
      <w:r w:rsidR="00886A95" w:rsidRPr="00266FA9">
        <w:rPr>
          <w:rFonts w:ascii="Garamond" w:hAnsi="Garamond"/>
          <w:sz w:val="24"/>
          <w:szCs w:val="24"/>
        </w:rPr>
        <w:t>issued by</w:t>
      </w:r>
      <w:r w:rsidRPr="00266FA9">
        <w:rPr>
          <w:rFonts w:ascii="Garamond" w:hAnsi="Garamond"/>
          <w:sz w:val="24"/>
          <w:szCs w:val="24"/>
        </w:rPr>
        <w:t xml:space="preserve"> the Japanese government.</w:t>
      </w:r>
      <w:r w:rsidR="00590BA1" w:rsidRPr="00266FA9">
        <w:rPr>
          <w:rFonts w:ascii="Garamond" w:hAnsi="Garamond"/>
          <w:sz w:val="24"/>
          <w:szCs w:val="24"/>
        </w:rPr>
        <w:t xml:space="preserve"> </w:t>
      </w:r>
    </w:p>
    <w:p w14:paraId="1D9A98A5" w14:textId="77777777" w:rsidR="00FB2D10" w:rsidRPr="00266FA9" w:rsidRDefault="00FB2D10" w:rsidP="008B1182">
      <w:pPr>
        <w:spacing w:after="0" w:line="240" w:lineRule="auto"/>
        <w:rPr>
          <w:rFonts w:ascii="Garamond" w:hAnsi="Garamond"/>
          <w:sz w:val="24"/>
          <w:szCs w:val="24"/>
        </w:rPr>
      </w:pPr>
    </w:p>
    <w:p w14:paraId="512F132F" w14:textId="207BCAEC" w:rsidR="00904998" w:rsidRPr="00266FA9" w:rsidRDefault="00004331" w:rsidP="008B1182">
      <w:pPr>
        <w:spacing w:after="0" w:line="240" w:lineRule="auto"/>
        <w:rPr>
          <w:rFonts w:ascii="Garamond" w:hAnsi="Garamond" w:cs="Times New Roman"/>
          <w:b/>
          <w:sz w:val="24"/>
          <w:szCs w:val="24"/>
        </w:rPr>
      </w:pPr>
      <w:r w:rsidRPr="00266FA9">
        <w:rPr>
          <w:rFonts w:ascii="Garamond" w:hAnsi="Garamond"/>
          <w:b/>
          <w:sz w:val="24"/>
          <w:szCs w:val="24"/>
        </w:rPr>
        <w:t>(</w:t>
      </w:r>
      <w:r w:rsidR="002E3973" w:rsidRPr="00266FA9">
        <w:rPr>
          <w:rFonts w:ascii="Garamond" w:hAnsi="Garamond"/>
          <w:b/>
          <w:sz w:val="24"/>
          <w:szCs w:val="24"/>
        </w:rPr>
        <w:t>1</w:t>
      </w:r>
      <w:r w:rsidRPr="00266FA9">
        <w:rPr>
          <w:rFonts w:ascii="Garamond" w:hAnsi="Garamond"/>
          <w:b/>
          <w:sz w:val="24"/>
          <w:szCs w:val="24"/>
        </w:rPr>
        <w:t>)</w:t>
      </w:r>
      <w:r w:rsidR="00904998" w:rsidRPr="00266FA9">
        <w:rPr>
          <w:rFonts w:ascii="Garamond" w:hAnsi="Garamond"/>
          <w:b/>
          <w:sz w:val="24"/>
          <w:szCs w:val="24"/>
        </w:rPr>
        <w:t xml:space="preserve"> Japan’s </w:t>
      </w:r>
      <w:r w:rsidR="00E80A47" w:rsidRPr="00266FA9">
        <w:rPr>
          <w:rFonts w:ascii="Garamond" w:hAnsi="Garamond"/>
          <w:b/>
          <w:sz w:val="24"/>
          <w:szCs w:val="24"/>
        </w:rPr>
        <w:t>responses as reflected in UN documents</w:t>
      </w:r>
      <w:r w:rsidR="00904998" w:rsidRPr="00266FA9">
        <w:rPr>
          <w:rFonts w:ascii="Garamond" w:hAnsi="Garamond"/>
          <w:b/>
          <w:sz w:val="24"/>
          <w:szCs w:val="24"/>
        </w:rPr>
        <w:t xml:space="preserve"> </w:t>
      </w:r>
      <w:r w:rsidR="00904998" w:rsidRPr="00266FA9">
        <w:rPr>
          <w:rFonts w:ascii="Garamond" w:hAnsi="Garamond" w:cs="Times New Roman"/>
          <w:b/>
          <w:sz w:val="24"/>
          <w:szCs w:val="24"/>
        </w:rPr>
        <w:t>(</w:t>
      </w:r>
      <w:bookmarkStart w:id="0" w:name="_Hlk129771715"/>
      <w:r w:rsidR="00904998" w:rsidRPr="00266FA9">
        <w:rPr>
          <w:rFonts w:ascii="Garamond" w:hAnsi="Garamond" w:cs="Times New Roman"/>
          <w:b/>
          <w:sz w:val="24"/>
          <w:szCs w:val="24"/>
        </w:rPr>
        <w:t>1992–2021</w:t>
      </w:r>
      <w:bookmarkEnd w:id="0"/>
      <w:r w:rsidR="00904998" w:rsidRPr="00266FA9">
        <w:rPr>
          <w:rFonts w:ascii="Garamond" w:hAnsi="Garamond" w:cs="Times New Roman"/>
          <w:b/>
          <w:sz w:val="24"/>
          <w:szCs w:val="24"/>
        </w:rPr>
        <w:t>)</w:t>
      </w:r>
      <w:r w:rsidR="00E80A47" w:rsidRPr="00266FA9">
        <w:rPr>
          <w:rFonts w:ascii="Garamond" w:hAnsi="Garamond" w:cs="Times New Roman"/>
          <w:b/>
          <w:sz w:val="24"/>
          <w:szCs w:val="24"/>
        </w:rPr>
        <w:t xml:space="preserve"> </w:t>
      </w:r>
    </w:p>
    <w:p w14:paraId="130A8CFE" w14:textId="77777777" w:rsidR="00904998" w:rsidRPr="00266FA9" w:rsidRDefault="00904998" w:rsidP="008B1182">
      <w:pPr>
        <w:spacing w:after="0" w:line="240" w:lineRule="auto"/>
        <w:rPr>
          <w:rFonts w:ascii="Garamond" w:hAnsi="Garamond"/>
          <w:sz w:val="24"/>
          <w:szCs w:val="24"/>
        </w:rPr>
      </w:pPr>
    </w:p>
    <w:p w14:paraId="6B3CF5F9" w14:textId="0690BC70" w:rsidR="00F75DB9" w:rsidRPr="00266FA9" w:rsidRDefault="008A2230" w:rsidP="008B1182">
      <w:pPr>
        <w:spacing w:after="0" w:line="240" w:lineRule="auto"/>
        <w:rPr>
          <w:rFonts w:ascii="Garamond" w:hAnsi="Garamond"/>
          <w:sz w:val="24"/>
          <w:szCs w:val="24"/>
        </w:rPr>
      </w:pPr>
      <w:r w:rsidRPr="00266FA9">
        <w:rPr>
          <w:rFonts w:ascii="Garamond" w:hAnsi="Garamond"/>
          <w:sz w:val="24"/>
          <w:szCs w:val="24"/>
        </w:rPr>
        <w:t>UN</w:t>
      </w:r>
      <w:r w:rsidR="00F74C98" w:rsidRPr="00266FA9">
        <w:rPr>
          <w:rFonts w:ascii="Garamond" w:hAnsi="Garamond"/>
          <w:sz w:val="24"/>
          <w:szCs w:val="24"/>
        </w:rPr>
        <w:t xml:space="preserve"> documents containing the keyword “comfort women” </w:t>
      </w:r>
      <w:r w:rsidR="000F136D" w:rsidRPr="00266FA9">
        <w:rPr>
          <w:rFonts w:ascii="Garamond" w:hAnsi="Garamond"/>
          <w:sz w:val="24"/>
          <w:szCs w:val="24"/>
        </w:rPr>
        <w:t xml:space="preserve">between 1992–2021 </w:t>
      </w:r>
      <w:r w:rsidR="00F74C98" w:rsidRPr="00266FA9">
        <w:rPr>
          <w:rFonts w:ascii="Garamond" w:hAnsi="Garamond"/>
          <w:sz w:val="24"/>
          <w:szCs w:val="24"/>
        </w:rPr>
        <w:t xml:space="preserve">were collected from the United Nations Digital Library (https://digitallibrary.un.org). Of the 567 documents found using the “fulltext search” option, I compiled all documents </w:t>
      </w:r>
      <w:r w:rsidR="00312321" w:rsidRPr="00266FA9">
        <w:rPr>
          <w:rFonts w:ascii="Garamond" w:hAnsi="Garamond"/>
          <w:sz w:val="24"/>
          <w:szCs w:val="24"/>
        </w:rPr>
        <w:t xml:space="preserve">that contain information on Japan’s </w:t>
      </w:r>
      <w:r w:rsidR="00E80A47" w:rsidRPr="00266FA9">
        <w:rPr>
          <w:rFonts w:ascii="Garamond" w:hAnsi="Garamond"/>
          <w:sz w:val="24"/>
          <w:szCs w:val="24"/>
        </w:rPr>
        <w:t>official position on the comfort women issue</w:t>
      </w:r>
      <w:r w:rsidR="00F74C98" w:rsidRPr="00266FA9">
        <w:rPr>
          <w:rFonts w:ascii="Garamond" w:hAnsi="Garamond"/>
          <w:sz w:val="24"/>
          <w:szCs w:val="24"/>
        </w:rPr>
        <w:t>.</w:t>
      </w:r>
      <w:r w:rsidR="00E80A47" w:rsidRPr="00266FA9">
        <w:rPr>
          <w:rFonts w:ascii="Garamond" w:hAnsi="Garamond"/>
          <w:sz w:val="24"/>
          <w:szCs w:val="24"/>
        </w:rPr>
        <w:t xml:space="preserve"> </w:t>
      </w:r>
      <w:r w:rsidR="00F74C98" w:rsidRPr="00266FA9">
        <w:rPr>
          <w:rFonts w:ascii="Garamond" w:hAnsi="Garamond"/>
          <w:sz w:val="24"/>
          <w:szCs w:val="24"/>
        </w:rPr>
        <w:t>These include</w:t>
      </w:r>
      <w:r w:rsidR="00E80A47" w:rsidRPr="00266FA9">
        <w:rPr>
          <w:rFonts w:ascii="Garamond" w:hAnsi="Garamond"/>
          <w:sz w:val="24"/>
          <w:szCs w:val="24"/>
        </w:rPr>
        <w:t xml:space="preserve"> </w:t>
      </w:r>
      <w:r w:rsidR="00312321" w:rsidRPr="00266FA9">
        <w:rPr>
          <w:rFonts w:ascii="Garamond" w:hAnsi="Garamond"/>
          <w:sz w:val="24"/>
          <w:szCs w:val="24"/>
        </w:rPr>
        <w:t>the</w:t>
      </w:r>
      <w:r w:rsidR="008615B7" w:rsidRPr="00266FA9">
        <w:rPr>
          <w:rFonts w:ascii="Garamond" w:hAnsi="Garamond"/>
          <w:sz w:val="24"/>
          <w:szCs w:val="24"/>
        </w:rPr>
        <w:t xml:space="preserve"> reports that the</w:t>
      </w:r>
      <w:r w:rsidR="00312321" w:rsidRPr="00266FA9">
        <w:rPr>
          <w:rFonts w:ascii="Garamond" w:hAnsi="Garamond"/>
          <w:sz w:val="24"/>
          <w:szCs w:val="24"/>
        </w:rPr>
        <w:t xml:space="preserve"> Japanese government submitted to various UN bodies</w:t>
      </w:r>
      <w:r w:rsidR="002E3973" w:rsidRPr="00266FA9">
        <w:rPr>
          <w:rFonts w:ascii="Garamond" w:hAnsi="Garamond"/>
          <w:sz w:val="24"/>
          <w:szCs w:val="24"/>
        </w:rPr>
        <w:t xml:space="preserve">, UN meeting records, and </w:t>
      </w:r>
      <w:r w:rsidR="00982D4E" w:rsidRPr="00266FA9">
        <w:rPr>
          <w:rFonts w:ascii="Garamond" w:hAnsi="Garamond"/>
          <w:sz w:val="24"/>
          <w:szCs w:val="24"/>
        </w:rPr>
        <w:t xml:space="preserve">other UN </w:t>
      </w:r>
      <w:r w:rsidR="00891F64" w:rsidRPr="00266FA9">
        <w:rPr>
          <w:rFonts w:ascii="Garamond" w:hAnsi="Garamond"/>
          <w:sz w:val="24"/>
          <w:szCs w:val="24"/>
        </w:rPr>
        <w:t>documents</w:t>
      </w:r>
      <w:r w:rsidR="008615B7" w:rsidRPr="00266FA9">
        <w:rPr>
          <w:rFonts w:ascii="Garamond" w:hAnsi="Garamond"/>
          <w:sz w:val="24"/>
          <w:szCs w:val="24"/>
        </w:rPr>
        <w:t xml:space="preserve"> that </w:t>
      </w:r>
      <w:r w:rsidR="00891F64" w:rsidRPr="00266FA9">
        <w:rPr>
          <w:rFonts w:ascii="Garamond" w:hAnsi="Garamond"/>
          <w:sz w:val="24"/>
          <w:szCs w:val="24"/>
        </w:rPr>
        <w:t>include information on</w:t>
      </w:r>
      <w:r w:rsidR="00982D4E" w:rsidRPr="00266FA9">
        <w:rPr>
          <w:rFonts w:ascii="Garamond" w:hAnsi="Garamond"/>
          <w:sz w:val="24"/>
          <w:szCs w:val="24"/>
        </w:rPr>
        <w:t xml:space="preserve"> </w:t>
      </w:r>
      <w:r w:rsidR="00891F64" w:rsidRPr="00266FA9">
        <w:rPr>
          <w:rFonts w:ascii="Garamond" w:hAnsi="Garamond"/>
          <w:sz w:val="24"/>
          <w:szCs w:val="24"/>
        </w:rPr>
        <w:t xml:space="preserve">the </w:t>
      </w:r>
      <w:r w:rsidR="00982D4E" w:rsidRPr="00266FA9">
        <w:rPr>
          <w:rFonts w:ascii="Garamond" w:hAnsi="Garamond"/>
          <w:sz w:val="24"/>
          <w:szCs w:val="24"/>
        </w:rPr>
        <w:t>Japan</w:t>
      </w:r>
      <w:r w:rsidR="00891F64" w:rsidRPr="00266FA9">
        <w:rPr>
          <w:rFonts w:ascii="Garamond" w:hAnsi="Garamond"/>
          <w:sz w:val="24"/>
          <w:szCs w:val="24"/>
        </w:rPr>
        <w:t>ese government’s</w:t>
      </w:r>
      <w:r w:rsidR="00982D4E" w:rsidRPr="00266FA9">
        <w:rPr>
          <w:rFonts w:ascii="Garamond" w:hAnsi="Garamond"/>
          <w:sz w:val="24"/>
          <w:szCs w:val="24"/>
        </w:rPr>
        <w:t xml:space="preserve"> stance. </w:t>
      </w:r>
      <w:r w:rsidR="00891F64" w:rsidRPr="00266FA9">
        <w:rPr>
          <w:rFonts w:ascii="Garamond" w:hAnsi="Garamond"/>
          <w:sz w:val="24"/>
          <w:szCs w:val="24"/>
        </w:rPr>
        <w:t>D</w:t>
      </w:r>
      <w:r w:rsidR="00F75DB9" w:rsidRPr="00266FA9">
        <w:rPr>
          <w:rFonts w:ascii="Garamond" w:hAnsi="Garamond"/>
          <w:sz w:val="24"/>
          <w:szCs w:val="24"/>
        </w:rPr>
        <w:t>ates reflect document release dates rather than event dates, which sometimes differ.</w:t>
      </w:r>
      <w:r w:rsidR="0072542A" w:rsidRPr="00266FA9">
        <w:rPr>
          <w:rFonts w:ascii="Garamond" w:hAnsi="Garamond"/>
          <w:sz w:val="24"/>
          <w:szCs w:val="24"/>
        </w:rPr>
        <w:t xml:space="preserve"> Table 1 offers a complete list of the documents. </w:t>
      </w:r>
    </w:p>
    <w:p w14:paraId="68A305CF" w14:textId="5122C77D" w:rsidR="00E80A47" w:rsidRPr="00266FA9" w:rsidRDefault="00E80A47" w:rsidP="008B1182">
      <w:pPr>
        <w:spacing w:after="0" w:line="240" w:lineRule="auto"/>
        <w:rPr>
          <w:rFonts w:ascii="Garamond" w:hAnsi="Garamond"/>
          <w:sz w:val="24"/>
          <w:szCs w:val="24"/>
        </w:rPr>
      </w:pPr>
    </w:p>
    <w:p w14:paraId="556CA3E8" w14:textId="45ACEE54" w:rsidR="00E80A47" w:rsidRPr="00266FA9" w:rsidRDefault="00E80A47" w:rsidP="008B1182">
      <w:pPr>
        <w:spacing w:after="0" w:line="240" w:lineRule="auto"/>
        <w:jc w:val="center"/>
        <w:rPr>
          <w:rFonts w:ascii="Garamond" w:hAnsi="Garamond"/>
          <w:b/>
          <w:sz w:val="24"/>
          <w:szCs w:val="24"/>
        </w:rPr>
      </w:pPr>
      <w:r w:rsidRPr="00266FA9">
        <w:rPr>
          <w:rFonts w:ascii="Garamond" w:hAnsi="Garamond"/>
          <w:b/>
          <w:sz w:val="24"/>
          <w:szCs w:val="24"/>
        </w:rPr>
        <w:t xml:space="preserve">Table </w:t>
      </w:r>
      <w:r w:rsidR="0072542A" w:rsidRPr="00266FA9">
        <w:rPr>
          <w:rFonts w:ascii="Garamond" w:hAnsi="Garamond"/>
          <w:b/>
          <w:sz w:val="24"/>
          <w:szCs w:val="24"/>
        </w:rPr>
        <w:t>1</w:t>
      </w:r>
      <w:r w:rsidRPr="00266FA9">
        <w:rPr>
          <w:rFonts w:ascii="Garamond" w:hAnsi="Garamond"/>
          <w:b/>
          <w:sz w:val="24"/>
          <w:szCs w:val="24"/>
        </w:rPr>
        <w:t>: UN documents</w:t>
      </w:r>
    </w:p>
    <w:tbl>
      <w:tblPr>
        <w:tblW w:w="8800" w:type="dxa"/>
        <w:jc w:val="center"/>
        <w:tblLook w:val="04A0" w:firstRow="1" w:lastRow="0" w:firstColumn="1" w:lastColumn="0" w:noHBand="0" w:noVBand="1"/>
      </w:tblPr>
      <w:tblGrid>
        <w:gridCol w:w="1261"/>
        <w:gridCol w:w="3278"/>
        <w:gridCol w:w="1261"/>
        <w:gridCol w:w="3240"/>
      </w:tblGrid>
      <w:tr w:rsidR="00266FA9" w:rsidRPr="00266FA9" w14:paraId="5DA4BFAF" w14:textId="77777777" w:rsidTr="00F74C98">
        <w:trPr>
          <w:trHeight w:val="290"/>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BEA96" w14:textId="39F16400" w:rsidR="00F74C98" w:rsidRPr="00266FA9" w:rsidRDefault="008B0F68" w:rsidP="008B1182">
            <w:pPr>
              <w:spacing w:after="0" w:line="240" w:lineRule="auto"/>
              <w:jc w:val="center"/>
              <w:rPr>
                <w:rFonts w:ascii="Garamond" w:eastAsia="Times New Roman" w:hAnsi="Garamond" w:cs="Calibri"/>
              </w:rPr>
            </w:pPr>
            <w:r w:rsidRPr="00266FA9">
              <w:rPr>
                <w:rFonts w:ascii="Garamond" w:eastAsia="Times New Roman" w:hAnsi="Garamond" w:cs="Calibri"/>
              </w:rPr>
              <w:t xml:space="preserve"> </w:t>
            </w:r>
            <w:r w:rsidR="00F74C98" w:rsidRPr="00266FA9">
              <w:rPr>
                <w:rFonts w:ascii="Garamond" w:eastAsia="Times New Roman" w:hAnsi="Garamond" w:cs="Calibri"/>
              </w:rPr>
              <w:t>D</w:t>
            </w:r>
            <w:r w:rsidRPr="00266FA9">
              <w:rPr>
                <w:rFonts w:ascii="Garamond" w:eastAsia="Times New Roman" w:hAnsi="Garamond" w:cs="Calibri"/>
              </w:rPr>
              <w:t>ate</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9932B9F" w14:textId="5B82A417" w:rsidR="00F74C98" w:rsidRPr="00266FA9" w:rsidRDefault="00F74C98" w:rsidP="008B1182">
            <w:pPr>
              <w:spacing w:after="0" w:line="240" w:lineRule="auto"/>
              <w:jc w:val="center"/>
              <w:rPr>
                <w:rFonts w:ascii="Garamond" w:eastAsia="Times New Roman" w:hAnsi="Garamond" w:cs="Calibri"/>
              </w:rPr>
            </w:pPr>
            <w:r w:rsidRPr="00266FA9">
              <w:rPr>
                <w:rFonts w:ascii="Garamond" w:eastAsia="Times New Roman" w:hAnsi="Garamond" w:cs="Calibri"/>
              </w:rPr>
              <w:t>Doc</w:t>
            </w:r>
            <w:r w:rsidR="0071393D" w:rsidRPr="00266FA9">
              <w:rPr>
                <w:rFonts w:ascii="Garamond" w:eastAsia="Times New Roman" w:hAnsi="Garamond" w:cs="Calibri"/>
              </w:rPr>
              <w:t>ument</w:t>
            </w:r>
            <w:r w:rsidRPr="00266FA9">
              <w:rPr>
                <w:rFonts w:ascii="Garamond" w:eastAsia="Times New Roman" w:hAnsi="Garamond" w:cs="Calibri"/>
              </w:rPr>
              <w:t xml:space="preserve"> ID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DFD5644" w14:textId="27DD1B87" w:rsidR="00F74C98" w:rsidRPr="00266FA9" w:rsidRDefault="00F74C98" w:rsidP="008B1182">
            <w:pPr>
              <w:spacing w:after="0" w:line="240" w:lineRule="auto"/>
              <w:jc w:val="center"/>
              <w:rPr>
                <w:rFonts w:ascii="Garamond" w:eastAsia="Times New Roman" w:hAnsi="Garamond" w:cs="Calibri"/>
              </w:rPr>
            </w:pPr>
            <w:r w:rsidRPr="00266FA9">
              <w:rPr>
                <w:rFonts w:ascii="Garamond" w:eastAsia="Times New Roman" w:hAnsi="Garamond" w:cs="Calibri"/>
              </w:rPr>
              <w:t>D</w:t>
            </w:r>
            <w:r w:rsidR="008B0F68" w:rsidRPr="00266FA9">
              <w:rPr>
                <w:rFonts w:ascii="Garamond" w:eastAsia="Times New Roman" w:hAnsi="Garamond" w:cs="Calibri"/>
              </w:rPr>
              <w:t>ate</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AE350EF" w14:textId="4BD48773" w:rsidR="00F74C98" w:rsidRPr="00266FA9" w:rsidRDefault="00F74C98" w:rsidP="008B1182">
            <w:pPr>
              <w:spacing w:after="0" w:line="240" w:lineRule="auto"/>
              <w:jc w:val="center"/>
              <w:rPr>
                <w:rFonts w:ascii="Garamond" w:eastAsia="Times New Roman" w:hAnsi="Garamond" w:cs="Calibri"/>
              </w:rPr>
            </w:pPr>
            <w:r w:rsidRPr="00266FA9">
              <w:rPr>
                <w:rFonts w:ascii="Garamond" w:eastAsia="Times New Roman" w:hAnsi="Garamond" w:cs="Calibri"/>
              </w:rPr>
              <w:t>Doc</w:t>
            </w:r>
            <w:r w:rsidR="0071393D" w:rsidRPr="00266FA9">
              <w:rPr>
                <w:rFonts w:ascii="Garamond" w:eastAsia="Times New Roman" w:hAnsi="Garamond" w:cs="Calibri"/>
              </w:rPr>
              <w:t>ument</w:t>
            </w:r>
            <w:r w:rsidRPr="00266FA9">
              <w:rPr>
                <w:rFonts w:ascii="Garamond" w:eastAsia="Times New Roman" w:hAnsi="Garamond" w:cs="Calibri"/>
              </w:rPr>
              <w:t xml:space="preserve"> ID</w:t>
            </w:r>
          </w:p>
        </w:tc>
      </w:tr>
      <w:tr w:rsidR="00266FA9" w:rsidRPr="00266FA9" w14:paraId="0443FEFE"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45A74C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3/3/1992</w:t>
            </w:r>
          </w:p>
        </w:tc>
        <w:tc>
          <w:tcPr>
            <w:tcW w:w="3240" w:type="dxa"/>
            <w:tcBorders>
              <w:top w:val="nil"/>
              <w:left w:val="nil"/>
              <w:bottom w:val="single" w:sz="4" w:space="0" w:color="auto"/>
              <w:right w:val="single" w:sz="4" w:space="0" w:color="auto"/>
            </w:tcBorders>
            <w:shd w:val="clear" w:color="auto" w:fill="auto"/>
            <w:vAlign w:val="center"/>
            <w:hideMark/>
          </w:tcPr>
          <w:p w14:paraId="6D3E550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E/CN.4/1992/SR.45</w:t>
            </w:r>
          </w:p>
        </w:tc>
        <w:tc>
          <w:tcPr>
            <w:tcW w:w="1160" w:type="dxa"/>
            <w:tcBorders>
              <w:top w:val="nil"/>
              <w:left w:val="nil"/>
              <w:bottom w:val="single" w:sz="4" w:space="0" w:color="auto"/>
              <w:right w:val="single" w:sz="4" w:space="0" w:color="auto"/>
            </w:tcBorders>
            <w:shd w:val="clear" w:color="auto" w:fill="auto"/>
            <w:vAlign w:val="center"/>
            <w:hideMark/>
          </w:tcPr>
          <w:p w14:paraId="0B50AE8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5/30/2008</w:t>
            </w:r>
          </w:p>
        </w:tc>
        <w:tc>
          <w:tcPr>
            <w:tcW w:w="3240" w:type="dxa"/>
            <w:tcBorders>
              <w:top w:val="nil"/>
              <w:left w:val="nil"/>
              <w:bottom w:val="single" w:sz="4" w:space="0" w:color="auto"/>
              <w:right w:val="single" w:sz="4" w:space="0" w:color="auto"/>
            </w:tcBorders>
            <w:shd w:val="clear" w:color="auto" w:fill="auto"/>
            <w:vAlign w:val="center"/>
            <w:hideMark/>
          </w:tcPr>
          <w:p w14:paraId="31437749"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A/HRC/8/44</w:t>
            </w:r>
          </w:p>
        </w:tc>
      </w:tr>
      <w:tr w:rsidR="00266FA9" w:rsidRPr="00266FA9" w14:paraId="3AD84421"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F9A171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6/23/1992</w:t>
            </w:r>
          </w:p>
        </w:tc>
        <w:tc>
          <w:tcPr>
            <w:tcW w:w="3240" w:type="dxa"/>
            <w:tcBorders>
              <w:top w:val="nil"/>
              <w:left w:val="nil"/>
              <w:bottom w:val="single" w:sz="4" w:space="0" w:color="auto"/>
              <w:right w:val="single" w:sz="4" w:space="0" w:color="auto"/>
            </w:tcBorders>
            <w:shd w:val="clear" w:color="auto" w:fill="auto"/>
            <w:vAlign w:val="center"/>
            <w:hideMark/>
          </w:tcPr>
          <w:p w14:paraId="15748568"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E/CN.4/Sub.2/1992/34</w:t>
            </w:r>
          </w:p>
        </w:tc>
        <w:tc>
          <w:tcPr>
            <w:tcW w:w="1160" w:type="dxa"/>
            <w:tcBorders>
              <w:top w:val="nil"/>
              <w:left w:val="nil"/>
              <w:bottom w:val="single" w:sz="4" w:space="0" w:color="auto"/>
              <w:right w:val="single" w:sz="4" w:space="0" w:color="auto"/>
            </w:tcBorders>
            <w:shd w:val="clear" w:color="auto" w:fill="auto"/>
            <w:vAlign w:val="center"/>
            <w:hideMark/>
          </w:tcPr>
          <w:p w14:paraId="322E952A"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9/1/2008</w:t>
            </w:r>
          </w:p>
        </w:tc>
        <w:tc>
          <w:tcPr>
            <w:tcW w:w="3240" w:type="dxa"/>
            <w:tcBorders>
              <w:top w:val="nil"/>
              <w:left w:val="nil"/>
              <w:bottom w:val="single" w:sz="4" w:space="0" w:color="auto"/>
              <w:right w:val="single" w:sz="4" w:space="0" w:color="auto"/>
            </w:tcBorders>
            <w:shd w:val="clear" w:color="auto" w:fill="auto"/>
            <w:vAlign w:val="center"/>
            <w:hideMark/>
          </w:tcPr>
          <w:p w14:paraId="401D3071"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A/HRC/8/52</w:t>
            </w:r>
          </w:p>
        </w:tc>
      </w:tr>
      <w:tr w:rsidR="00266FA9" w:rsidRPr="00266FA9" w14:paraId="1C334420"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BA811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8/31/1992</w:t>
            </w:r>
          </w:p>
        </w:tc>
        <w:tc>
          <w:tcPr>
            <w:tcW w:w="3240" w:type="dxa"/>
            <w:tcBorders>
              <w:top w:val="nil"/>
              <w:left w:val="nil"/>
              <w:bottom w:val="single" w:sz="4" w:space="0" w:color="auto"/>
              <w:right w:val="single" w:sz="4" w:space="0" w:color="auto"/>
            </w:tcBorders>
            <w:shd w:val="clear" w:color="auto" w:fill="auto"/>
            <w:vAlign w:val="center"/>
            <w:hideMark/>
          </w:tcPr>
          <w:p w14:paraId="2EF7977E"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E/CN.4/Sub.2/1992/SR.31</w:t>
            </w:r>
          </w:p>
        </w:tc>
        <w:tc>
          <w:tcPr>
            <w:tcW w:w="1160" w:type="dxa"/>
            <w:tcBorders>
              <w:top w:val="nil"/>
              <w:left w:val="nil"/>
              <w:bottom w:val="single" w:sz="4" w:space="0" w:color="auto"/>
              <w:right w:val="single" w:sz="4" w:space="0" w:color="auto"/>
            </w:tcBorders>
            <w:shd w:val="clear" w:color="auto" w:fill="auto"/>
            <w:vAlign w:val="center"/>
            <w:hideMark/>
          </w:tcPr>
          <w:p w14:paraId="6B7B7677"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9/8/2008</w:t>
            </w:r>
          </w:p>
        </w:tc>
        <w:tc>
          <w:tcPr>
            <w:tcW w:w="3240" w:type="dxa"/>
            <w:tcBorders>
              <w:top w:val="nil"/>
              <w:left w:val="nil"/>
              <w:bottom w:val="single" w:sz="4" w:space="0" w:color="auto"/>
              <w:right w:val="single" w:sz="4" w:space="0" w:color="auto"/>
            </w:tcBorders>
            <w:shd w:val="clear" w:color="auto" w:fill="auto"/>
            <w:vAlign w:val="center"/>
            <w:hideMark/>
          </w:tcPr>
          <w:p w14:paraId="7A7CAE2F"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 /C/JPN/6</w:t>
            </w:r>
          </w:p>
        </w:tc>
      </w:tr>
      <w:tr w:rsidR="00266FA9" w:rsidRPr="00266FA9" w14:paraId="47D04DB3"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5C94D9F"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10/2/1992</w:t>
            </w:r>
          </w:p>
        </w:tc>
        <w:tc>
          <w:tcPr>
            <w:tcW w:w="3240" w:type="dxa"/>
            <w:tcBorders>
              <w:top w:val="nil"/>
              <w:left w:val="nil"/>
              <w:bottom w:val="single" w:sz="4" w:space="0" w:color="auto"/>
              <w:right w:val="single" w:sz="4" w:space="0" w:color="auto"/>
            </w:tcBorders>
            <w:shd w:val="clear" w:color="auto" w:fill="auto"/>
            <w:vAlign w:val="center"/>
            <w:hideMark/>
          </w:tcPr>
          <w:p w14:paraId="46B3D05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E/CN.4/Sub.2/1992/SR.23/Add.1</w:t>
            </w:r>
          </w:p>
        </w:tc>
        <w:tc>
          <w:tcPr>
            <w:tcW w:w="1160" w:type="dxa"/>
            <w:tcBorders>
              <w:top w:val="nil"/>
              <w:left w:val="nil"/>
              <w:bottom w:val="single" w:sz="4" w:space="0" w:color="auto"/>
              <w:right w:val="single" w:sz="4" w:space="0" w:color="auto"/>
            </w:tcBorders>
            <w:shd w:val="clear" w:color="auto" w:fill="auto"/>
            <w:vAlign w:val="center"/>
            <w:hideMark/>
          </w:tcPr>
          <w:p w14:paraId="7B4C4B94"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9/23/2008</w:t>
            </w:r>
          </w:p>
        </w:tc>
        <w:tc>
          <w:tcPr>
            <w:tcW w:w="3240" w:type="dxa"/>
            <w:tcBorders>
              <w:top w:val="nil"/>
              <w:left w:val="nil"/>
              <w:bottom w:val="single" w:sz="4" w:space="0" w:color="auto"/>
              <w:right w:val="single" w:sz="4" w:space="0" w:color="auto"/>
            </w:tcBorders>
            <w:shd w:val="clear" w:color="auto" w:fill="auto"/>
            <w:vAlign w:val="center"/>
            <w:hideMark/>
          </w:tcPr>
          <w:p w14:paraId="38FC72E3" w14:textId="77777777" w:rsidR="00F74C98" w:rsidRPr="00266FA9" w:rsidRDefault="00F74C98" w:rsidP="008B1182">
            <w:pPr>
              <w:spacing w:after="0" w:line="240" w:lineRule="auto"/>
              <w:rPr>
                <w:rFonts w:ascii="Garamond" w:eastAsia="Times New Roman" w:hAnsi="Garamond" w:cs="Arial"/>
              </w:rPr>
            </w:pPr>
            <w:r w:rsidRPr="00266FA9">
              <w:rPr>
                <w:rFonts w:ascii="Garamond" w:eastAsia="Times New Roman" w:hAnsi="Garamond" w:cs="Arial"/>
              </w:rPr>
              <w:t>CCPR/C/JPN/Q/5/Add.1</w:t>
            </w:r>
          </w:p>
        </w:tc>
      </w:tr>
      <w:tr w:rsidR="00266FA9" w:rsidRPr="00266FA9" w14:paraId="1E0EFE7B"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D41A0B3"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12/7/1992</w:t>
            </w:r>
          </w:p>
        </w:tc>
        <w:tc>
          <w:tcPr>
            <w:tcW w:w="3240" w:type="dxa"/>
            <w:tcBorders>
              <w:top w:val="nil"/>
              <w:left w:val="nil"/>
              <w:bottom w:val="single" w:sz="4" w:space="0" w:color="auto"/>
              <w:right w:val="single" w:sz="4" w:space="0" w:color="auto"/>
            </w:tcBorders>
            <w:shd w:val="clear" w:color="auto" w:fill="auto"/>
            <w:vAlign w:val="center"/>
            <w:hideMark/>
          </w:tcPr>
          <w:p w14:paraId="79BEB03E"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E/CN.4/Sub.2/1992/SR.8</w:t>
            </w:r>
          </w:p>
        </w:tc>
        <w:tc>
          <w:tcPr>
            <w:tcW w:w="1160" w:type="dxa"/>
            <w:tcBorders>
              <w:top w:val="nil"/>
              <w:left w:val="nil"/>
              <w:bottom w:val="single" w:sz="4" w:space="0" w:color="auto"/>
              <w:right w:val="single" w:sz="4" w:space="0" w:color="auto"/>
            </w:tcBorders>
            <w:shd w:val="clear" w:color="auto" w:fill="auto"/>
            <w:vAlign w:val="center"/>
            <w:hideMark/>
          </w:tcPr>
          <w:p w14:paraId="237C23BA"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9/27/2008</w:t>
            </w:r>
          </w:p>
        </w:tc>
        <w:tc>
          <w:tcPr>
            <w:tcW w:w="3240" w:type="dxa"/>
            <w:tcBorders>
              <w:top w:val="nil"/>
              <w:left w:val="nil"/>
              <w:bottom w:val="single" w:sz="4" w:space="0" w:color="auto"/>
              <w:right w:val="single" w:sz="4" w:space="0" w:color="auto"/>
            </w:tcBorders>
            <w:shd w:val="clear" w:color="auto" w:fill="auto"/>
            <w:vAlign w:val="center"/>
            <w:hideMark/>
          </w:tcPr>
          <w:p w14:paraId="6C734AF1"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A/63/PV.14</w:t>
            </w:r>
          </w:p>
        </w:tc>
      </w:tr>
      <w:tr w:rsidR="00266FA9" w:rsidRPr="00266FA9" w14:paraId="49B5B402"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045832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12/14/1992</w:t>
            </w:r>
          </w:p>
        </w:tc>
        <w:tc>
          <w:tcPr>
            <w:tcW w:w="3240" w:type="dxa"/>
            <w:tcBorders>
              <w:top w:val="nil"/>
              <w:left w:val="nil"/>
              <w:bottom w:val="single" w:sz="4" w:space="0" w:color="auto"/>
              <w:right w:val="single" w:sz="4" w:space="0" w:color="auto"/>
            </w:tcBorders>
            <w:shd w:val="clear" w:color="auto" w:fill="auto"/>
            <w:vAlign w:val="center"/>
            <w:hideMark/>
          </w:tcPr>
          <w:p w14:paraId="45C49002"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A/C.3/47/SR.57</w:t>
            </w:r>
          </w:p>
        </w:tc>
        <w:tc>
          <w:tcPr>
            <w:tcW w:w="1160" w:type="dxa"/>
            <w:tcBorders>
              <w:top w:val="nil"/>
              <w:left w:val="nil"/>
              <w:bottom w:val="single" w:sz="4" w:space="0" w:color="auto"/>
              <w:right w:val="single" w:sz="4" w:space="0" w:color="auto"/>
            </w:tcBorders>
            <w:shd w:val="clear" w:color="auto" w:fill="auto"/>
            <w:vAlign w:val="center"/>
            <w:hideMark/>
          </w:tcPr>
          <w:p w14:paraId="20D582B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11/5/2008</w:t>
            </w:r>
          </w:p>
        </w:tc>
        <w:tc>
          <w:tcPr>
            <w:tcW w:w="3240" w:type="dxa"/>
            <w:tcBorders>
              <w:top w:val="nil"/>
              <w:left w:val="nil"/>
              <w:bottom w:val="single" w:sz="4" w:space="0" w:color="auto"/>
              <w:right w:val="single" w:sz="4" w:space="0" w:color="auto"/>
            </w:tcBorders>
            <w:shd w:val="clear" w:color="auto" w:fill="auto"/>
            <w:vAlign w:val="center"/>
            <w:hideMark/>
          </w:tcPr>
          <w:p w14:paraId="3A04156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CAT/C/JPN/CO/1/Add.1</w:t>
            </w:r>
          </w:p>
        </w:tc>
      </w:tr>
      <w:tr w:rsidR="00266FA9" w:rsidRPr="00266FA9" w14:paraId="6C7513D7"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AC79547"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2/24/1993</w:t>
            </w:r>
          </w:p>
        </w:tc>
        <w:tc>
          <w:tcPr>
            <w:tcW w:w="3240" w:type="dxa"/>
            <w:tcBorders>
              <w:top w:val="nil"/>
              <w:left w:val="nil"/>
              <w:bottom w:val="single" w:sz="4" w:space="0" w:color="auto"/>
              <w:right w:val="single" w:sz="4" w:space="0" w:color="auto"/>
            </w:tcBorders>
            <w:shd w:val="clear" w:color="auto" w:fill="auto"/>
            <w:vAlign w:val="center"/>
            <w:hideMark/>
          </w:tcPr>
          <w:p w14:paraId="35B6BBD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E/CN.4/1993/SR.27</w:t>
            </w:r>
          </w:p>
        </w:tc>
        <w:tc>
          <w:tcPr>
            <w:tcW w:w="1160" w:type="dxa"/>
            <w:tcBorders>
              <w:top w:val="nil"/>
              <w:left w:val="nil"/>
              <w:bottom w:val="single" w:sz="4" w:space="0" w:color="auto"/>
              <w:right w:val="single" w:sz="4" w:space="0" w:color="auto"/>
            </w:tcBorders>
            <w:shd w:val="clear" w:color="auto" w:fill="auto"/>
            <w:vAlign w:val="center"/>
            <w:hideMark/>
          </w:tcPr>
          <w:p w14:paraId="3E518C1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11/7/2008</w:t>
            </w:r>
          </w:p>
        </w:tc>
        <w:tc>
          <w:tcPr>
            <w:tcW w:w="3240" w:type="dxa"/>
            <w:tcBorders>
              <w:top w:val="nil"/>
              <w:left w:val="nil"/>
              <w:bottom w:val="single" w:sz="4" w:space="0" w:color="auto"/>
              <w:right w:val="single" w:sz="4" w:space="0" w:color="auto"/>
            </w:tcBorders>
            <w:shd w:val="clear" w:color="auto" w:fill="auto"/>
            <w:vAlign w:val="center"/>
            <w:hideMark/>
          </w:tcPr>
          <w:p w14:paraId="5978056D"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CCPR/C/SR.2576</w:t>
            </w:r>
          </w:p>
        </w:tc>
      </w:tr>
      <w:tr w:rsidR="00266FA9" w:rsidRPr="00266FA9" w14:paraId="30E19DAA"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28718DD"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3/15/1993</w:t>
            </w:r>
          </w:p>
        </w:tc>
        <w:tc>
          <w:tcPr>
            <w:tcW w:w="3240" w:type="dxa"/>
            <w:tcBorders>
              <w:top w:val="nil"/>
              <w:left w:val="nil"/>
              <w:bottom w:val="single" w:sz="4" w:space="0" w:color="auto"/>
              <w:right w:val="single" w:sz="4" w:space="0" w:color="auto"/>
            </w:tcBorders>
            <w:shd w:val="clear" w:color="auto" w:fill="auto"/>
            <w:vAlign w:val="center"/>
            <w:hideMark/>
          </w:tcPr>
          <w:p w14:paraId="73D1B691"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E/CN.4/1993/SR.58</w:t>
            </w:r>
          </w:p>
        </w:tc>
        <w:tc>
          <w:tcPr>
            <w:tcW w:w="1160" w:type="dxa"/>
            <w:tcBorders>
              <w:top w:val="nil"/>
              <w:left w:val="nil"/>
              <w:bottom w:val="single" w:sz="4" w:space="0" w:color="auto"/>
              <w:right w:val="single" w:sz="4" w:space="0" w:color="auto"/>
            </w:tcBorders>
            <w:shd w:val="clear" w:color="auto" w:fill="auto"/>
            <w:vAlign w:val="center"/>
            <w:hideMark/>
          </w:tcPr>
          <w:p w14:paraId="4F55C22D"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8/7/2009</w:t>
            </w:r>
          </w:p>
        </w:tc>
        <w:tc>
          <w:tcPr>
            <w:tcW w:w="3240" w:type="dxa"/>
            <w:tcBorders>
              <w:top w:val="nil"/>
              <w:left w:val="nil"/>
              <w:bottom w:val="single" w:sz="4" w:space="0" w:color="auto"/>
              <w:right w:val="single" w:sz="4" w:space="0" w:color="auto"/>
            </w:tcBorders>
            <w:shd w:val="clear" w:color="auto" w:fill="auto"/>
            <w:vAlign w:val="center"/>
            <w:hideMark/>
          </w:tcPr>
          <w:p w14:paraId="28070899"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CEDAW/C/SR.890 (B)</w:t>
            </w:r>
          </w:p>
        </w:tc>
      </w:tr>
      <w:tr w:rsidR="00266FA9" w:rsidRPr="00266FA9" w14:paraId="7BDABB29"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A6A528E"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3/23/1993</w:t>
            </w:r>
          </w:p>
        </w:tc>
        <w:tc>
          <w:tcPr>
            <w:tcW w:w="3240" w:type="dxa"/>
            <w:tcBorders>
              <w:top w:val="nil"/>
              <w:left w:val="nil"/>
              <w:bottom w:val="single" w:sz="4" w:space="0" w:color="auto"/>
              <w:right w:val="single" w:sz="4" w:space="0" w:color="auto"/>
            </w:tcBorders>
            <w:shd w:val="clear" w:color="auto" w:fill="auto"/>
            <w:vAlign w:val="center"/>
            <w:hideMark/>
          </w:tcPr>
          <w:p w14:paraId="3BEDFC9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E/CN.4/1993/SR.38</w:t>
            </w:r>
          </w:p>
        </w:tc>
        <w:tc>
          <w:tcPr>
            <w:tcW w:w="1160" w:type="dxa"/>
            <w:tcBorders>
              <w:top w:val="nil"/>
              <w:left w:val="nil"/>
              <w:bottom w:val="single" w:sz="4" w:space="0" w:color="auto"/>
              <w:right w:val="single" w:sz="4" w:space="0" w:color="auto"/>
            </w:tcBorders>
            <w:shd w:val="clear" w:color="auto" w:fill="auto"/>
            <w:vAlign w:val="center"/>
            <w:hideMark/>
          </w:tcPr>
          <w:p w14:paraId="33FFC8A8"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10/27/2009</w:t>
            </w:r>
          </w:p>
        </w:tc>
        <w:tc>
          <w:tcPr>
            <w:tcW w:w="3240" w:type="dxa"/>
            <w:tcBorders>
              <w:top w:val="nil"/>
              <w:left w:val="nil"/>
              <w:bottom w:val="single" w:sz="4" w:space="0" w:color="auto"/>
              <w:right w:val="single" w:sz="4" w:space="0" w:color="auto"/>
            </w:tcBorders>
            <w:shd w:val="clear" w:color="auto" w:fill="auto"/>
            <w:vAlign w:val="center"/>
            <w:hideMark/>
          </w:tcPr>
          <w:p w14:paraId="76C1976A"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 /C.3/64/SR.11</w:t>
            </w:r>
          </w:p>
        </w:tc>
      </w:tr>
      <w:tr w:rsidR="00266FA9" w:rsidRPr="00266FA9" w14:paraId="3E3B8340"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14B0544"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6/23/1993</w:t>
            </w:r>
          </w:p>
        </w:tc>
        <w:tc>
          <w:tcPr>
            <w:tcW w:w="3240" w:type="dxa"/>
            <w:tcBorders>
              <w:top w:val="nil"/>
              <w:left w:val="nil"/>
              <w:bottom w:val="single" w:sz="4" w:space="0" w:color="auto"/>
              <w:right w:val="single" w:sz="4" w:space="0" w:color="auto"/>
            </w:tcBorders>
            <w:shd w:val="clear" w:color="auto" w:fill="auto"/>
            <w:vAlign w:val="center"/>
            <w:hideMark/>
          </w:tcPr>
          <w:p w14:paraId="0615AE7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E/CN.4/Sub.2/1993/30</w:t>
            </w:r>
          </w:p>
        </w:tc>
        <w:tc>
          <w:tcPr>
            <w:tcW w:w="1160" w:type="dxa"/>
            <w:tcBorders>
              <w:top w:val="nil"/>
              <w:left w:val="nil"/>
              <w:bottom w:val="single" w:sz="4" w:space="0" w:color="auto"/>
              <w:right w:val="single" w:sz="4" w:space="0" w:color="auto"/>
            </w:tcBorders>
            <w:shd w:val="clear" w:color="auto" w:fill="auto"/>
            <w:vAlign w:val="center"/>
            <w:hideMark/>
          </w:tcPr>
          <w:p w14:paraId="08D1C307"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12/7/2009</w:t>
            </w:r>
          </w:p>
        </w:tc>
        <w:tc>
          <w:tcPr>
            <w:tcW w:w="3240" w:type="dxa"/>
            <w:tcBorders>
              <w:top w:val="nil"/>
              <w:left w:val="nil"/>
              <w:bottom w:val="single" w:sz="4" w:space="0" w:color="auto"/>
              <w:right w:val="single" w:sz="4" w:space="0" w:color="auto"/>
            </w:tcBorders>
            <w:shd w:val="clear" w:color="auto" w:fill="auto"/>
            <w:vAlign w:val="center"/>
            <w:hideMark/>
          </w:tcPr>
          <w:p w14:paraId="723389D4"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A/C.3/64/SR.33</w:t>
            </w:r>
          </w:p>
        </w:tc>
      </w:tr>
      <w:tr w:rsidR="00266FA9" w:rsidRPr="00266FA9" w14:paraId="1E276B4A"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C27043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2/2/1994</w:t>
            </w:r>
          </w:p>
        </w:tc>
        <w:tc>
          <w:tcPr>
            <w:tcW w:w="3240" w:type="dxa"/>
            <w:tcBorders>
              <w:top w:val="nil"/>
              <w:left w:val="nil"/>
              <w:bottom w:val="single" w:sz="4" w:space="0" w:color="auto"/>
              <w:right w:val="single" w:sz="4" w:space="0" w:color="auto"/>
            </w:tcBorders>
            <w:shd w:val="clear" w:color="auto" w:fill="auto"/>
            <w:vAlign w:val="center"/>
            <w:hideMark/>
          </w:tcPr>
          <w:p w14:paraId="4FD8B2C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CEDAW/C/1994/L.1/Add.12</w:t>
            </w:r>
          </w:p>
        </w:tc>
        <w:tc>
          <w:tcPr>
            <w:tcW w:w="1160" w:type="dxa"/>
            <w:tcBorders>
              <w:top w:val="nil"/>
              <w:left w:val="nil"/>
              <w:bottom w:val="single" w:sz="4" w:space="0" w:color="auto"/>
              <w:right w:val="single" w:sz="4" w:space="0" w:color="auto"/>
            </w:tcBorders>
            <w:shd w:val="clear" w:color="auto" w:fill="auto"/>
            <w:vAlign w:val="center"/>
            <w:hideMark/>
          </w:tcPr>
          <w:p w14:paraId="474E5F9E"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6/4/2010</w:t>
            </w:r>
          </w:p>
        </w:tc>
        <w:tc>
          <w:tcPr>
            <w:tcW w:w="3240" w:type="dxa"/>
            <w:tcBorders>
              <w:top w:val="nil"/>
              <w:left w:val="nil"/>
              <w:bottom w:val="single" w:sz="4" w:space="0" w:color="auto"/>
              <w:right w:val="single" w:sz="4" w:space="0" w:color="auto"/>
            </w:tcBorders>
            <w:shd w:val="clear" w:color="auto" w:fill="auto"/>
            <w:vAlign w:val="center"/>
            <w:hideMark/>
          </w:tcPr>
          <w:p w14:paraId="24B71182"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CCPR/C/SR.2575</w:t>
            </w:r>
          </w:p>
        </w:tc>
      </w:tr>
      <w:tr w:rsidR="00266FA9" w:rsidRPr="00266FA9" w14:paraId="0A926730"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94BBF29"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3/15/1994</w:t>
            </w:r>
          </w:p>
        </w:tc>
        <w:tc>
          <w:tcPr>
            <w:tcW w:w="3240" w:type="dxa"/>
            <w:tcBorders>
              <w:top w:val="nil"/>
              <w:left w:val="nil"/>
              <w:bottom w:val="single" w:sz="4" w:space="0" w:color="auto"/>
              <w:right w:val="single" w:sz="4" w:space="0" w:color="auto"/>
            </w:tcBorders>
            <w:shd w:val="clear" w:color="auto" w:fill="auto"/>
            <w:vAlign w:val="center"/>
            <w:hideMark/>
          </w:tcPr>
          <w:p w14:paraId="19F17A7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CEDAW/C/SR.249</w:t>
            </w:r>
          </w:p>
        </w:tc>
        <w:tc>
          <w:tcPr>
            <w:tcW w:w="1160" w:type="dxa"/>
            <w:tcBorders>
              <w:top w:val="nil"/>
              <w:left w:val="nil"/>
              <w:bottom w:val="single" w:sz="4" w:space="0" w:color="auto"/>
              <w:right w:val="single" w:sz="4" w:space="0" w:color="auto"/>
            </w:tcBorders>
            <w:shd w:val="clear" w:color="auto" w:fill="auto"/>
            <w:vAlign w:val="center"/>
            <w:hideMark/>
          </w:tcPr>
          <w:p w14:paraId="5FF3D04A"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2/4/2011</w:t>
            </w:r>
          </w:p>
        </w:tc>
        <w:tc>
          <w:tcPr>
            <w:tcW w:w="3240" w:type="dxa"/>
            <w:tcBorders>
              <w:top w:val="nil"/>
              <w:left w:val="nil"/>
              <w:bottom w:val="single" w:sz="4" w:space="0" w:color="auto"/>
              <w:right w:val="single" w:sz="4" w:space="0" w:color="auto"/>
            </w:tcBorders>
            <w:shd w:val="clear" w:color="auto" w:fill="auto"/>
            <w:vAlign w:val="center"/>
            <w:hideMark/>
          </w:tcPr>
          <w:p w14:paraId="278A9567"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A/C.3/65/SR.12</w:t>
            </w:r>
          </w:p>
        </w:tc>
      </w:tr>
      <w:tr w:rsidR="00266FA9" w:rsidRPr="00266FA9" w14:paraId="0F6C14F2"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D8D5CF4"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4/12/1994</w:t>
            </w:r>
          </w:p>
        </w:tc>
        <w:tc>
          <w:tcPr>
            <w:tcW w:w="3240" w:type="dxa"/>
            <w:tcBorders>
              <w:top w:val="nil"/>
              <w:left w:val="nil"/>
              <w:bottom w:val="single" w:sz="4" w:space="0" w:color="auto"/>
              <w:right w:val="single" w:sz="4" w:space="0" w:color="auto"/>
            </w:tcBorders>
            <w:shd w:val="clear" w:color="auto" w:fill="auto"/>
            <w:vAlign w:val="center"/>
            <w:hideMark/>
          </w:tcPr>
          <w:p w14:paraId="2333BF2E"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A/49/38</w:t>
            </w:r>
          </w:p>
        </w:tc>
        <w:tc>
          <w:tcPr>
            <w:tcW w:w="1160" w:type="dxa"/>
            <w:tcBorders>
              <w:top w:val="nil"/>
              <w:left w:val="nil"/>
              <w:bottom w:val="single" w:sz="4" w:space="0" w:color="auto"/>
              <w:right w:val="single" w:sz="4" w:space="0" w:color="auto"/>
            </w:tcBorders>
            <w:shd w:val="clear" w:color="auto" w:fill="auto"/>
            <w:vAlign w:val="center"/>
            <w:hideMark/>
          </w:tcPr>
          <w:p w14:paraId="133A0694"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5/16/2011</w:t>
            </w:r>
          </w:p>
        </w:tc>
        <w:tc>
          <w:tcPr>
            <w:tcW w:w="3240" w:type="dxa"/>
            <w:tcBorders>
              <w:top w:val="nil"/>
              <w:left w:val="nil"/>
              <w:bottom w:val="single" w:sz="4" w:space="0" w:color="auto"/>
              <w:right w:val="single" w:sz="4" w:space="0" w:color="auto"/>
            </w:tcBorders>
            <w:shd w:val="clear" w:color="auto" w:fill="auto"/>
            <w:vAlign w:val="center"/>
            <w:hideMark/>
          </w:tcPr>
          <w:p w14:paraId="341B1E74"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E/C.12/JPN/3</w:t>
            </w:r>
          </w:p>
        </w:tc>
      </w:tr>
      <w:tr w:rsidR="00266FA9" w:rsidRPr="00266FA9" w14:paraId="2B8444A8"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06C425C"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7/5/1994</w:t>
            </w:r>
          </w:p>
        </w:tc>
        <w:tc>
          <w:tcPr>
            <w:tcW w:w="3240" w:type="dxa"/>
            <w:tcBorders>
              <w:top w:val="nil"/>
              <w:left w:val="nil"/>
              <w:bottom w:val="single" w:sz="4" w:space="0" w:color="auto"/>
              <w:right w:val="single" w:sz="4" w:space="0" w:color="auto"/>
            </w:tcBorders>
            <w:shd w:val="clear" w:color="auto" w:fill="auto"/>
            <w:vAlign w:val="center"/>
            <w:hideMark/>
          </w:tcPr>
          <w:p w14:paraId="143A90FA"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E/CN.4/Sub.2/1993/SR.21</w:t>
            </w:r>
          </w:p>
        </w:tc>
        <w:tc>
          <w:tcPr>
            <w:tcW w:w="1160" w:type="dxa"/>
            <w:tcBorders>
              <w:top w:val="nil"/>
              <w:left w:val="nil"/>
              <w:bottom w:val="single" w:sz="4" w:space="0" w:color="auto"/>
              <w:right w:val="single" w:sz="4" w:space="0" w:color="auto"/>
            </w:tcBorders>
            <w:shd w:val="clear" w:color="auto" w:fill="auto"/>
            <w:vAlign w:val="center"/>
            <w:hideMark/>
          </w:tcPr>
          <w:p w14:paraId="25D87A39"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9/15/2011</w:t>
            </w:r>
          </w:p>
        </w:tc>
        <w:tc>
          <w:tcPr>
            <w:tcW w:w="3240" w:type="dxa"/>
            <w:tcBorders>
              <w:top w:val="nil"/>
              <w:left w:val="nil"/>
              <w:bottom w:val="single" w:sz="4" w:space="0" w:color="auto"/>
              <w:right w:val="single" w:sz="4" w:space="0" w:color="auto"/>
            </w:tcBorders>
            <w:shd w:val="clear" w:color="auto" w:fill="auto"/>
            <w:vAlign w:val="center"/>
            <w:hideMark/>
          </w:tcPr>
          <w:p w14:paraId="7CD5A768"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CAT/C/JPN/2</w:t>
            </w:r>
          </w:p>
        </w:tc>
      </w:tr>
      <w:tr w:rsidR="00266FA9" w:rsidRPr="00266FA9" w14:paraId="495FFCB8"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C4AAEE3"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8/23/1994</w:t>
            </w:r>
          </w:p>
        </w:tc>
        <w:tc>
          <w:tcPr>
            <w:tcW w:w="3240" w:type="dxa"/>
            <w:tcBorders>
              <w:top w:val="nil"/>
              <w:left w:val="nil"/>
              <w:bottom w:val="single" w:sz="4" w:space="0" w:color="auto"/>
              <w:right w:val="single" w:sz="4" w:space="0" w:color="auto"/>
            </w:tcBorders>
            <w:shd w:val="clear" w:color="auto" w:fill="auto"/>
            <w:vAlign w:val="center"/>
            <w:hideMark/>
          </w:tcPr>
          <w:p w14:paraId="2823E361"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E/CN.4/Sub.2/1994/SR.25</w:t>
            </w:r>
          </w:p>
        </w:tc>
        <w:tc>
          <w:tcPr>
            <w:tcW w:w="1160" w:type="dxa"/>
            <w:tcBorders>
              <w:top w:val="nil"/>
              <w:left w:val="nil"/>
              <w:bottom w:val="single" w:sz="4" w:space="0" w:color="auto"/>
              <w:right w:val="single" w:sz="4" w:space="0" w:color="auto"/>
            </w:tcBorders>
            <w:shd w:val="clear" w:color="auto" w:fill="auto"/>
            <w:vAlign w:val="center"/>
            <w:hideMark/>
          </w:tcPr>
          <w:p w14:paraId="03D6BA7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11/11/2011</w:t>
            </w:r>
          </w:p>
        </w:tc>
        <w:tc>
          <w:tcPr>
            <w:tcW w:w="3240" w:type="dxa"/>
            <w:tcBorders>
              <w:top w:val="nil"/>
              <w:left w:val="nil"/>
              <w:bottom w:val="single" w:sz="4" w:space="0" w:color="auto"/>
              <w:right w:val="single" w:sz="4" w:space="0" w:color="auto"/>
            </w:tcBorders>
            <w:shd w:val="clear" w:color="auto" w:fill="auto"/>
            <w:vAlign w:val="center"/>
            <w:hideMark/>
          </w:tcPr>
          <w:p w14:paraId="5FBBF98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 /C.3/66/SR.12</w:t>
            </w:r>
          </w:p>
        </w:tc>
      </w:tr>
      <w:tr w:rsidR="00266FA9" w:rsidRPr="00266FA9" w14:paraId="7D7A87A9"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26EE86D"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3/5/1995</w:t>
            </w:r>
          </w:p>
        </w:tc>
        <w:tc>
          <w:tcPr>
            <w:tcW w:w="3240" w:type="dxa"/>
            <w:tcBorders>
              <w:top w:val="nil"/>
              <w:left w:val="nil"/>
              <w:bottom w:val="single" w:sz="4" w:space="0" w:color="auto"/>
              <w:right w:val="single" w:sz="4" w:space="0" w:color="auto"/>
            </w:tcBorders>
            <w:shd w:val="clear" w:color="auto" w:fill="auto"/>
            <w:vAlign w:val="center"/>
            <w:hideMark/>
          </w:tcPr>
          <w:p w14:paraId="73D75F4F"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E/CN.4/1995/SR.44</w:t>
            </w:r>
          </w:p>
        </w:tc>
        <w:tc>
          <w:tcPr>
            <w:tcW w:w="1160" w:type="dxa"/>
            <w:tcBorders>
              <w:top w:val="nil"/>
              <w:left w:val="nil"/>
              <w:bottom w:val="single" w:sz="4" w:space="0" w:color="auto"/>
              <w:right w:val="single" w:sz="4" w:space="0" w:color="auto"/>
            </w:tcBorders>
            <w:shd w:val="clear" w:color="auto" w:fill="auto"/>
            <w:vAlign w:val="center"/>
            <w:hideMark/>
          </w:tcPr>
          <w:p w14:paraId="28703F0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10/9/2012</w:t>
            </w:r>
          </w:p>
        </w:tc>
        <w:tc>
          <w:tcPr>
            <w:tcW w:w="3240" w:type="dxa"/>
            <w:tcBorders>
              <w:top w:val="nil"/>
              <w:left w:val="nil"/>
              <w:bottom w:val="single" w:sz="4" w:space="0" w:color="auto"/>
              <w:right w:val="single" w:sz="4" w:space="0" w:color="auto"/>
            </w:tcBorders>
            <w:shd w:val="clear" w:color="auto" w:fill="auto"/>
            <w:vAlign w:val="center"/>
            <w:hideMark/>
          </w:tcPr>
          <w:p w14:paraId="752DEA18"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CCPR/C/JPN/6</w:t>
            </w:r>
          </w:p>
        </w:tc>
      </w:tr>
      <w:tr w:rsidR="00266FA9" w:rsidRPr="00266FA9" w14:paraId="2BEF857A"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0B362C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6/13/1995</w:t>
            </w:r>
          </w:p>
        </w:tc>
        <w:tc>
          <w:tcPr>
            <w:tcW w:w="3240" w:type="dxa"/>
            <w:tcBorders>
              <w:top w:val="nil"/>
              <w:left w:val="nil"/>
              <w:bottom w:val="single" w:sz="4" w:space="0" w:color="auto"/>
              <w:right w:val="single" w:sz="4" w:space="0" w:color="auto"/>
            </w:tcBorders>
            <w:shd w:val="clear" w:color="auto" w:fill="auto"/>
            <w:vAlign w:val="center"/>
            <w:hideMark/>
          </w:tcPr>
          <w:p w14:paraId="5CE1DE1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E/CN.4/Sub.2/1995/28</w:t>
            </w:r>
          </w:p>
        </w:tc>
        <w:tc>
          <w:tcPr>
            <w:tcW w:w="1160" w:type="dxa"/>
            <w:tcBorders>
              <w:top w:val="nil"/>
              <w:left w:val="nil"/>
              <w:bottom w:val="single" w:sz="4" w:space="0" w:color="auto"/>
              <w:right w:val="single" w:sz="4" w:space="0" w:color="auto"/>
            </w:tcBorders>
            <w:shd w:val="clear" w:color="auto" w:fill="auto"/>
            <w:vAlign w:val="center"/>
            <w:hideMark/>
          </w:tcPr>
          <w:p w14:paraId="6011D1C0"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12/28/2012</w:t>
            </w:r>
          </w:p>
        </w:tc>
        <w:tc>
          <w:tcPr>
            <w:tcW w:w="3240" w:type="dxa"/>
            <w:tcBorders>
              <w:top w:val="nil"/>
              <w:left w:val="nil"/>
              <w:bottom w:val="single" w:sz="4" w:space="0" w:color="auto"/>
              <w:right w:val="single" w:sz="4" w:space="0" w:color="auto"/>
            </w:tcBorders>
            <w:shd w:val="clear" w:color="auto" w:fill="auto"/>
            <w:vAlign w:val="center"/>
            <w:hideMark/>
          </w:tcPr>
          <w:p w14:paraId="26A891D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 /C.3/67/SR.9</w:t>
            </w:r>
          </w:p>
        </w:tc>
      </w:tr>
      <w:tr w:rsidR="00266FA9" w:rsidRPr="00266FA9" w14:paraId="6AA2FDCD"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EE05EC8"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8/18/1995</w:t>
            </w:r>
          </w:p>
        </w:tc>
        <w:tc>
          <w:tcPr>
            <w:tcW w:w="3240" w:type="dxa"/>
            <w:tcBorders>
              <w:top w:val="nil"/>
              <w:left w:val="nil"/>
              <w:bottom w:val="single" w:sz="4" w:space="0" w:color="auto"/>
              <w:right w:val="single" w:sz="4" w:space="0" w:color="auto"/>
            </w:tcBorders>
            <w:shd w:val="clear" w:color="auto" w:fill="auto"/>
            <w:vAlign w:val="center"/>
            <w:hideMark/>
          </w:tcPr>
          <w:p w14:paraId="20A0E0BF"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E/CN.4/Sub.2/1995/SR.15</w:t>
            </w:r>
          </w:p>
        </w:tc>
        <w:tc>
          <w:tcPr>
            <w:tcW w:w="1160" w:type="dxa"/>
            <w:tcBorders>
              <w:top w:val="nil"/>
              <w:left w:val="nil"/>
              <w:bottom w:val="single" w:sz="4" w:space="0" w:color="auto"/>
              <w:right w:val="single" w:sz="4" w:space="0" w:color="auto"/>
            </w:tcBorders>
            <w:shd w:val="clear" w:color="auto" w:fill="auto"/>
            <w:vAlign w:val="center"/>
            <w:hideMark/>
          </w:tcPr>
          <w:p w14:paraId="56DABACE"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3/8/2013</w:t>
            </w:r>
          </w:p>
        </w:tc>
        <w:tc>
          <w:tcPr>
            <w:tcW w:w="3240" w:type="dxa"/>
            <w:tcBorders>
              <w:top w:val="nil"/>
              <w:left w:val="nil"/>
              <w:bottom w:val="single" w:sz="4" w:space="0" w:color="auto"/>
              <w:right w:val="single" w:sz="4" w:space="0" w:color="auto"/>
            </w:tcBorders>
            <w:shd w:val="clear" w:color="auto" w:fill="auto"/>
            <w:vAlign w:val="center"/>
            <w:hideMark/>
          </w:tcPr>
          <w:p w14:paraId="203D4C4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A/HRC/22/14/Add.1</w:t>
            </w:r>
          </w:p>
        </w:tc>
      </w:tr>
      <w:tr w:rsidR="00266FA9" w:rsidRPr="00266FA9" w14:paraId="5F10A662"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9EF976A"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3/27/1996</w:t>
            </w:r>
          </w:p>
        </w:tc>
        <w:tc>
          <w:tcPr>
            <w:tcW w:w="3240" w:type="dxa"/>
            <w:tcBorders>
              <w:top w:val="nil"/>
              <w:left w:val="nil"/>
              <w:bottom w:val="single" w:sz="4" w:space="0" w:color="auto"/>
              <w:right w:val="single" w:sz="4" w:space="0" w:color="auto"/>
            </w:tcBorders>
            <w:shd w:val="clear" w:color="auto" w:fill="auto"/>
            <w:vAlign w:val="center"/>
            <w:hideMark/>
          </w:tcPr>
          <w:p w14:paraId="47906D3D"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E/CN.4/1996/137</w:t>
            </w:r>
          </w:p>
        </w:tc>
        <w:tc>
          <w:tcPr>
            <w:tcW w:w="1160" w:type="dxa"/>
            <w:tcBorders>
              <w:top w:val="nil"/>
              <w:left w:val="nil"/>
              <w:bottom w:val="single" w:sz="4" w:space="0" w:color="auto"/>
              <w:right w:val="single" w:sz="4" w:space="0" w:color="auto"/>
            </w:tcBorders>
            <w:shd w:val="clear" w:color="auto" w:fill="auto"/>
            <w:vAlign w:val="center"/>
            <w:hideMark/>
          </w:tcPr>
          <w:p w14:paraId="0ABB8BB0"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5/27/2013</w:t>
            </w:r>
          </w:p>
        </w:tc>
        <w:tc>
          <w:tcPr>
            <w:tcW w:w="3240" w:type="dxa"/>
            <w:tcBorders>
              <w:top w:val="nil"/>
              <w:left w:val="nil"/>
              <w:bottom w:val="single" w:sz="4" w:space="0" w:color="auto"/>
              <w:right w:val="single" w:sz="4" w:space="0" w:color="auto"/>
            </w:tcBorders>
            <w:shd w:val="clear" w:color="auto" w:fill="auto"/>
            <w:vAlign w:val="center"/>
            <w:hideMark/>
          </w:tcPr>
          <w:p w14:paraId="57EAA03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CAT/C/SR.1155</w:t>
            </w:r>
          </w:p>
        </w:tc>
      </w:tr>
      <w:tr w:rsidR="00266FA9" w:rsidRPr="00266FA9" w14:paraId="58AD912A"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CCBDFFC"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4/17/1996</w:t>
            </w:r>
          </w:p>
        </w:tc>
        <w:tc>
          <w:tcPr>
            <w:tcW w:w="3240" w:type="dxa"/>
            <w:tcBorders>
              <w:top w:val="nil"/>
              <w:left w:val="nil"/>
              <w:bottom w:val="single" w:sz="4" w:space="0" w:color="auto"/>
              <w:right w:val="single" w:sz="4" w:space="0" w:color="auto"/>
            </w:tcBorders>
            <w:shd w:val="clear" w:color="auto" w:fill="auto"/>
            <w:vAlign w:val="center"/>
            <w:hideMark/>
          </w:tcPr>
          <w:p w14:paraId="545C8CF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E/CN.4/1996/SR.31</w:t>
            </w:r>
          </w:p>
        </w:tc>
        <w:tc>
          <w:tcPr>
            <w:tcW w:w="1160" w:type="dxa"/>
            <w:tcBorders>
              <w:top w:val="nil"/>
              <w:left w:val="nil"/>
              <w:bottom w:val="single" w:sz="4" w:space="0" w:color="auto"/>
              <w:right w:val="single" w:sz="4" w:space="0" w:color="auto"/>
            </w:tcBorders>
            <w:shd w:val="clear" w:color="auto" w:fill="auto"/>
            <w:vAlign w:val="center"/>
            <w:hideMark/>
          </w:tcPr>
          <w:p w14:paraId="7D994921"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5/31/2013</w:t>
            </w:r>
          </w:p>
        </w:tc>
        <w:tc>
          <w:tcPr>
            <w:tcW w:w="3240" w:type="dxa"/>
            <w:tcBorders>
              <w:top w:val="nil"/>
              <w:left w:val="nil"/>
              <w:bottom w:val="single" w:sz="4" w:space="0" w:color="auto"/>
              <w:right w:val="single" w:sz="4" w:space="0" w:color="auto"/>
            </w:tcBorders>
            <w:shd w:val="clear" w:color="auto" w:fill="auto"/>
            <w:vAlign w:val="center"/>
            <w:hideMark/>
          </w:tcPr>
          <w:p w14:paraId="7C976FE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E/C.12/2013/SR.4</w:t>
            </w:r>
          </w:p>
        </w:tc>
      </w:tr>
      <w:tr w:rsidR="00266FA9" w:rsidRPr="00266FA9" w14:paraId="547B0A3B"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A6EFC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7/19/1996</w:t>
            </w:r>
          </w:p>
        </w:tc>
        <w:tc>
          <w:tcPr>
            <w:tcW w:w="3240" w:type="dxa"/>
            <w:tcBorders>
              <w:top w:val="nil"/>
              <w:left w:val="nil"/>
              <w:bottom w:val="single" w:sz="4" w:space="0" w:color="auto"/>
              <w:right w:val="single" w:sz="4" w:space="0" w:color="auto"/>
            </w:tcBorders>
            <w:shd w:val="clear" w:color="auto" w:fill="auto"/>
            <w:vAlign w:val="center"/>
            <w:hideMark/>
          </w:tcPr>
          <w:p w14:paraId="4049278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E/CN.4/Sub.2/1996/24</w:t>
            </w:r>
          </w:p>
        </w:tc>
        <w:tc>
          <w:tcPr>
            <w:tcW w:w="1160" w:type="dxa"/>
            <w:tcBorders>
              <w:top w:val="nil"/>
              <w:left w:val="nil"/>
              <w:bottom w:val="single" w:sz="4" w:space="0" w:color="auto"/>
              <w:right w:val="single" w:sz="4" w:space="0" w:color="auto"/>
            </w:tcBorders>
            <w:shd w:val="clear" w:color="auto" w:fill="auto"/>
            <w:vAlign w:val="center"/>
            <w:hideMark/>
          </w:tcPr>
          <w:p w14:paraId="517EC434"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11/7/2013</w:t>
            </w:r>
          </w:p>
        </w:tc>
        <w:tc>
          <w:tcPr>
            <w:tcW w:w="3240" w:type="dxa"/>
            <w:tcBorders>
              <w:top w:val="nil"/>
              <w:left w:val="nil"/>
              <w:bottom w:val="single" w:sz="4" w:space="0" w:color="auto"/>
              <w:right w:val="single" w:sz="4" w:space="0" w:color="auto"/>
            </w:tcBorders>
            <w:shd w:val="clear" w:color="auto" w:fill="auto"/>
            <w:vAlign w:val="center"/>
            <w:hideMark/>
          </w:tcPr>
          <w:p w14:paraId="0739EE6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 /C.3/68/SR.10</w:t>
            </w:r>
          </w:p>
        </w:tc>
      </w:tr>
      <w:tr w:rsidR="00266FA9" w:rsidRPr="00266FA9" w14:paraId="70250F25"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F44511A"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8/19/1996</w:t>
            </w:r>
          </w:p>
        </w:tc>
        <w:tc>
          <w:tcPr>
            <w:tcW w:w="3240" w:type="dxa"/>
            <w:tcBorders>
              <w:top w:val="nil"/>
              <w:left w:val="nil"/>
              <w:bottom w:val="single" w:sz="4" w:space="0" w:color="auto"/>
              <w:right w:val="single" w:sz="4" w:space="0" w:color="auto"/>
            </w:tcBorders>
            <w:shd w:val="clear" w:color="auto" w:fill="auto"/>
            <w:vAlign w:val="center"/>
            <w:hideMark/>
          </w:tcPr>
          <w:p w14:paraId="4AE819DA"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E/CN.4/Sub.2/1996/SR.13</w:t>
            </w:r>
          </w:p>
        </w:tc>
        <w:tc>
          <w:tcPr>
            <w:tcW w:w="1160" w:type="dxa"/>
            <w:tcBorders>
              <w:top w:val="nil"/>
              <w:left w:val="nil"/>
              <w:bottom w:val="single" w:sz="4" w:space="0" w:color="auto"/>
              <w:right w:val="single" w:sz="4" w:space="0" w:color="auto"/>
            </w:tcBorders>
            <w:shd w:val="clear" w:color="auto" w:fill="auto"/>
            <w:vAlign w:val="center"/>
            <w:hideMark/>
          </w:tcPr>
          <w:p w14:paraId="45349E01"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1/29/2014</w:t>
            </w:r>
          </w:p>
        </w:tc>
        <w:tc>
          <w:tcPr>
            <w:tcW w:w="3240" w:type="dxa"/>
            <w:tcBorders>
              <w:top w:val="nil"/>
              <w:left w:val="nil"/>
              <w:bottom w:val="single" w:sz="4" w:space="0" w:color="auto"/>
              <w:right w:val="single" w:sz="4" w:space="0" w:color="auto"/>
            </w:tcBorders>
            <w:shd w:val="clear" w:color="auto" w:fill="auto"/>
            <w:vAlign w:val="center"/>
            <w:hideMark/>
          </w:tcPr>
          <w:p w14:paraId="0E9E7617"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S/PV.7105</w:t>
            </w:r>
          </w:p>
        </w:tc>
      </w:tr>
      <w:tr w:rsidR="00266FA9" w:rsidRPr="00266FA9" w14:paraId="45D4B445"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8C2E08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5/20/1997</w:t>
            </w:r>
          </w:p>
        </w:tc>
        <w:tc>
          <w:tcPr>
            <w:tcW w:w="3240" w:type="dxa"/>
            <w:tcBorders>
              <w:top w:val="nil"/>
              <w:left w:val="nil"/>
              <w:bottom w:val="single" w:sz="4" w:space="0" w:color="auto"/>
              <w:right w:val="single" w:sz="4" w:space="0" w:color="auto"/>
            </w:tcBorders>
            <w:shd w:val="clear" w:color="auto" w:fill="auto"/>
            <w:vAlign w:val="center"/>
            <w:hideMark/>
          </w:tcPr>
          <w:p w14:paraId="472C45AD"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E/CN.4/Sub.2/AC.2/1997/5</w:t>
            </w:r>
          </w:p>
        </w:tc>
        <w:tc>
          <w:tcPr>
            <w:tcW w:w="1160" w:type="dxa"/>
            <w:tcBorders>
              <w:top w:val="nil"/>
              <w:left w:val="nil"/>
              <w:bottom w:val="single" w:sz="4" w:space="0" w:color="auto"/>
              <w:right w:val="single" w:sz="4" w:space="0" w:color="auto"/>
            </w:tcBorders>
            <w:shd w:val="clear" w:color="auto" w:fill="auto"/>
            <w:vAlign w:val="center"/>
            <w:hideMark/>
          </w:tcPr>
          <w:p w14:paraId="0879E541"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5/19/2014</w:t>
            </w:r>
          </w:p>
        </w:tc>
        <w:tc>
          <w:tcPr>
            <w:tcW w:w="3240" w:type="dxa"/>
            <w:tcBorders>
              <w:top w:val="nil"/>
              <w:left w:val="nil"/>
              <w:bottom w:val="single" w:sz="4" w:space="0" w:color="auto"/>
              <w:right w:val="single" w:sz="4" w:space="0" w:color="auto"/>
            </w:tcBorders>
            <w:shd w:val="clear" w:color="auto" w:fill="auto"/>
            <w:vAlign w:val="center"/>
            <w:hideMark/>
          </w:tcPr>
          <w:p w14:paraId="475C9534"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CCPR/C/JPN/Q/6/Add.1</w:t>
            </w:r>
          </w:p>
        </w:tc>
      </w:tr>
      <w:tr w:rsidR="00266FA9" w:rsidRPr="00266FA9" w14:paraId="3F9371ED"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C14A6BE"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lastRenderedPageBreak/>
              <w:t>7/11/1997</w:t>
            </w:r>
          </w:p>
        </w:tc>
        <w:tc>
          <w:tcPr>
            <w:tcW w:w="3240" w:type="dxa"/>
            <w:tcBorders>
              <w:top w:val="nil"/>
              <w:left w:val="nil"/>
              <w:bottom w:val="single" w:sz="4" w:space="0" w:color="auto"/>
              <w:right w:val="single" w:sz="4" w:space="0" w:color="auto"/>
            </w:tcBorders>
            <w:shd w:val="clear" w:color="auto" w:fill="auto"/>
            <w:vAlign w:val="center"/>
            <w:hideMark/>
          </w:tcPr>
          <w:p w14:paraId="0F4D7B2D"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E/CN.4/Sub.2/1997/13</w:t>
            </w:r>
          </w:p>
        </w:tc>
        <w:tc>
          <w:tcPr>
            <w:tcW w:w="1160" w:type="dxa"/>
            <w:tcBorders>
              <w:top w:val="nil"/>
              <w:left w:val="nil"/>
              <w:bottom w:val="single" w:sz="4" w:space="0" w:color="auto"/>
              <w:right w:val="single" w:sz="4" w:space="0" w:color="auto"/>
            </w:tcBorders>
            <w:shd w:val="clear" w:color="auto" w:fill="auto"/>
            <w:vAlign w:val="center"/>
            <w:hideMark/>
          </w:tcPr>
          <w:p w14:paraId="2A7B310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8/11/2014</w:t>
            </w:r>
          </w:p>
        </w:tc>
        <w:tc>
          <w:tcPr>
            <w:tcW w:w="3240" w:type="dxa"/>
            <w:tcBorders>
              <w:top w:val="nil"/>
              <w:left w:val="nil"/>
              <w:bottom w:val="single" w:sz="4" w:space="0" w:color="auto"/>
              <w:right w:val="single" w:sz="4" w:space="0" w:color="auto"/>
            </w:tcBorders>
            <w:shd w:val="clear" w:color="auto" w:fill="auto"/>
            <w:vAlign w:val="center"/>
            <w:hideMark/>
          </w:tcPr>
          <w:p w14:paraId="5313F464"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CCPR/C/SR.3080</w:t>
            </w:r>
          </w:p>
        </w:tc>
      </w:tr>
      <w:tr w:rsidR="00266FA9" w:rsidRPr="00266FA9" w14:paraId="5EE4E31A"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686638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7/18/1997</w:t>
            </w:r>
          </w:p>
        </w:tc>
        <w:tc>
          <w:tcPr>
            <w:tcW w:w="3240" w:type="dxa"/>
            <w:tcBorders>
              <w:top w:val="nil"/>
              <w:left w:val="nil"/>
              <w:bottom w:val="single" w:sz="4" w:space="0" w:color="auto"/>
              <w:right w:val="single" w:sz="4" w:space="0" w:color="auto"/>
            </w:tcBorders>
            <w:shd w:val="clear" w:color="auto" w:fill="auto"/>
            <w:vAlign w:val="center"/>
            <w:hideMark/>
          </w:tcPr>
          <w:p w14:paraId="3CA4B7AA"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E/CN.4/1997/SR.39</w:t>
            </w:r>
          </w:p>
        </w:tc>
        <w:tc>
          <w:tcPr>
            <w:tcW w:w="1160" w:type="dxa"/>
            <w:tcBorders>
              <w:top w:val="nil"/>
              <w:left w:val="nil"/>
              <w:bottom w:val="single" w:sz="4" w:space="0" w:color="auto"/>
              <w:right w:val="single" w:sz="4" w:space="0" w:color="auto"/>
            </w:tcBorders>
            <w:shd w:val="clear" w:color="auto" w:fill="auto"/>
            <w:vAlign w:val="center"/>
            <w:hideMark/>
          </w:tcPr>
          <w:p w14:paraId="1626C023"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8/27/2014</w:t>
            </w:r>
          </w:p>
        </w:tc>
        <w:tc>
          <w:tcPr>
            <w:tcW w:w="3240" w:type="dxa"/>
            <w:tcBorders>
              <w:top w:val="nil"/>
              <w:left w:val="nil"/>
              <w:bottom w:val="single" w:sz="4" w:space="0" w:color="auto"/>
              <w:right w:val="single" w:sz="4" w:space="0" w:color="auto"/>
            </w:tcBorders>
            <w:shd w:val="clear" w:color="auto" w:fill="auto"/>
            <w:vAlign w:val="center"/>
            <w:hideMark/>
          </w:tcPr>
          <w:p w14:paraId="67A5CE3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CERD /C/SR.2310</w:t>
            </w:r>
          </w:p>
        </w:tc>
      </w:tr>
      <w:tr w:rsidR="00266FA9" w:rsidRPr="00266FA9" w14:paraId="5B8EF8CC"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DE9557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8/20/1997</w:t>
            </w:r>
          </w:p>
        </w:tc>
        <w:tc>
          <w:tcPr>
            <w:tcW w:w="3240" w:type="dxa"/>
            <w:tcBorders>
              <w:top w:val="nil"/>
              <w:left w:val="nil"/>
              <w:bottom w:val="single" w:sz="4" w:space="0" w:color="auto"/>
              <w:right w:val="single" w:sz="4" w:space="0" w:color="auto"/>
            </w:tcBorders>
            <w:shd w:val="clear" w:color="auto" w:fill="auto"/>
            <w:vAlign w:val="center"/>
            <w:hideMark/>
          </w:tcPr>
          <w:p w14:paraId="4B802A64"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E/CN.4/Sub.2/1997/SR.18</w:t>
            </w:r>
          </w:p>
        </w:tc>
        <w:tc>
          <w:tcPr>
            <w:tcW w:w="1160" w:type="dxa"/>
            <w:tcBorders>
              <w:top w:val="nil"/>
              <w:left w:val="nil"/>
              <w:bottom w:val="single" w:sz="4" w:space="0" w:color="auto"/>
              <w:right w:val="single" w:sz="4" w:space="0" w:color="auto"/>
            </w:tcBorders>
            <w:shd w:val="clear" w:color="auto" w:fill="auto"/>
            <w:vAlign w:val="center"/>
            <w:hideMark/>
          </w:tcPr>
          <w:p w14:paraId="0EE723B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9/16/2014</w:t>
            </w:r>
          </w:p>
        </w:tc>
        <w:tc>
          <w:tcPr>
            <w:tcW w:w="3240" w:type="dxa"/>
            <w:tcBorders>
              <w:top w:val="nil"/>
              <w:left w:val="nil"/>
              <w:bottom w:val="single" w:sz="4" w:space="0" w:color="auto"/>
              <w:right w:val="single" w:sz="4" w:space="0" w:color="auto"/>
            </w:tcBorders>
            <w:shd w:val="clear" w:color="auto" w:fill="auto"/>
            <w:vAlign w:val="center"/>
            <w:hideMark/>
          </w:tcPr>
          <w:p w14:paraId="5451A76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CEDAW/C/JPN/7-8</w:t>
            </w:r>
          </w:p>
        </w:tc>
      </w:tr>
      <w:tr w:rsidR="00266FA9" w:rsidRPr="00266FA9" w14:paraId="03487418"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6EB8BA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11/17/1997</w:t>
            </w:r>
          </w:p>
        </w:tc>
        <w:tc>
          <w:tcPr>
            <w:tcW w:w="3240" w:type="dxa"/>
            <w:tcBorders>
              <w:top w:val="nil"/>
              <w:left w:val="nil"/>
              <w:bottom w:val="single" w:sz="4" w:space="0" w:color="auto"/>
              <w:right w:val="single" w:sz="4" w:space="0" w:color="auto"/>
            </w:tcBorders>
            <w:shd w:val="clear" w:color="auto" w:fill="auto"/>
            <w:vAlign w:val="center"/>
            <w:hideMark/>
          </w:tcPr>
          <w:p w14:paraId="6559E5A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E/CN.4/Sub.2/1997/SR.19</w:t>
            </w:r>
          </w:p>
        </w:tc>
        <w:tc>
          <w:tcPr>
            <w:tcW w:w="1160" w:type="dxa"/>
            <w:tcBorders>
              <w:top w:val="nil"/>
              <w:left w:val="nil"/>
              <w:bottom w:val="single" w:sz="4" w:space="0" w:color="auto"/>
              <w:right w:val="single" w:sz="4" w:space="0" w:color="auto"/>
            </w:tcBorders>
            <w:shd w:val="clear" w:color="auto" w:fill="auto"/>
            <w:vAlign w:val="center"/>
            <w:hideMark/>
          </w:tcPr>
          <w:p w14:paraId="44CB2868"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11/11/2014</w:t>
            </w:r>
          </w:p>
        </w:tc>
        <w:tc>
          <w:tcPr>
            <w:tcW w:w="3240" w:type="dxa"/>
            <w:tcBorders>
              <w:top w:val="nil"/>
              <w:left w:val="nil"/>
              <w:bottom w:val="single" w:sz="4" w:space="0" w:color="auto"/>
              <w:right w:val="single" w:sz="4" w:space="0" w:color="auto"/>
            </w:tcBorders>
            <w:shd w:val="clear" w:color="auto" w:fill="auto"/>
            <w:vAlign w:val="center"/>
            <w:hideMark/>
          </w:tcPr>
          <w:p w14:paraId="40D9EC3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A/C.3/69/SR.12</w:t>
            </w:r>
          </w:p>
        </w:tc>
      </w:tr>
      <w:tr w:rsidR="00266FA9" w:rsidRPr="00266FA9" w14:paraId="1E0D0B79"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D9A7C5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8/28/1998</w:t>
            </w:r>
          </w:p>
        </w:tc>
        <w:tc>
          <w:tcPr>
            <w:tcW w:w="3240" w:type="dxa"/>
            <w:tcBorders>
              <w:top w:val="nil"/>
              <w:left w:val="nil"/>
              <w:bottom w:val="single" w:sz="4" w:space="0" w:color="auto"/>
              <w:right w:val="single" w:sz="4" w:space="0" w:color="auto"/>
            </w:tcBorders>
            <w:shd w:val="clear" w:color="auto" w:fill="auto"/>
            <w:vAlign w:val="center"/>
            <w:hideMark/>
          </w:tcPr>
          <w:p w14:paraId="7AA0AAE2"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CEDAW/C/JPN/4</w:t>
            </w:r>
          </w:p>
        </w:tc>
        <w:tc>
          <w:tcPr>
            <w:tcW w:w="1160" w:type="dxa"/>
            <w:tcBorders>
              <w:top w:val="nil"/>
              <w:left w:val="nil"/>
              <w:bottom w:val="single" w:sz="4" w:space="0" w:color="auto"/>
              <w:right w:val="single" w:sz="4" w:space="0" w:color="auto"/>
            </w:tcBorders>
            <w:shd w:val="clear" w:color="auto" w:fill="auto"/>
            <w:vAlign w:val="center"/>
            <w:hideMark/>
          </w:tcPr>
          <w:p w14:paraId="00C8A76D"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4/22/2015</w:t>
            </w:r>
          </w:p>
        </w:tc>
        <w:tc>
          <w:tcPr>
            <w:tcW w:w="3240" w:type="dxa"/>
            <w:tcBorders>
              <w:top w:val="nil"/>
              <w:left w:val="nil"/>
              <w:bottom w:val="single" w:sz="4" w:space="0" w:color="auto"/>
              <w:right w:val="single" w:sz="4" w:space="0" w:color="auto"/>
            </w:tcBorders>
            <w:shd w:val="clear" w:color="auto" w:fill="auto"/>
            <w:vAlign w:val="center"/>
            <w:hideMark/>
          </w:tcPr>
          <w:p w14:paraId="2CCBB5E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CAT/C/JPN/CO/2/Add.1</w:t>
            </w:r>
          </w:p>
        </w:tc>
      </w:tr>
      <w:tr w:rsidR="00266FA9" w:rsidRPr="00266FA9" w14:paraId="7A6F49C3"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57DEFA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8/20/1998</w:t>
            </w:r>
          </w:p>
        </w:tc>
        <w:tc>
          <w:tcPr>
            <w:tcW w:w="3240" w:type="dxa"/>
            <w:tcBorders>
              <w:top w:val="nil"/>
              <w:left w:val="nil"/>
              <w:bottom w:val="single" w:sz="4" w:space="0" w:color="auto"/>
              <w:right w:val="single" w:sz="4" w:space="0" w:color="auto"/>
            </w:tcBorders>
            <w:shd w:val="clear" w:color="auto" w:fill="auto"/>
            <w:vAlign w:val="center"/>
            <w:hideMark/>
          </w:tcPr>
          <w:p w14:paraId="7B6058F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E/CN.4/Sub.2/1998/SR.19</w:t>
            </w:r>
          </w:p>
        </w:tc>
        <w:tc>
          <w:tcPr>
            <w:tcW w:w="1160" w:type="dxa"/>
            <w:tcBorders>
              <w:top w:val="nil"/>
              <w:left w:val="nil"/>
              <w:bottom w:val="single" w:sz="4" w:space="0" w:color="auto"/>
              <w:right w:val="single" w:sz="4" w:space="0" w:color="auto"/>
            </w:tcBorders>
            <w:shd w:val="clear" w:color="auto" w:fill="auto"/>
            <w:vAlign w:val="center"/>
            <w:hideMark/>
          </w:tcPr>
          <w:p w14:paraId="3A42A65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11/2/2015</w:t>
            </w:r>
          </w:p>
        </w:tc>
        <w:tc>
          <w:tcPr>
            <w:tcW w:w="3240" w:type="dxa"/>
            <w:tcBorders>
              <w:top w:val="nil"/>
              <w:left w:val="nil"/>
              <w:bottom w:val="single" w:sz="4" w:space="0" w:color="auto"/>
              <w:right w:val="single" w:sz="4" w:space="0" w:color="auto"/>
            </w:tcBorders>
            <w:shd w:val="clear" w:color="auto" w:fill="auto"/>
            <w:vAlign w:val="center"/>
            <w:hideMark/>
          </w:tcPr>
          <w:p w14:paraId="29F36B7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A/C.1/70/PV.22</w:t>
            </w:r>
          </w:p>
        </w:tc>
      </w:tr>
      <w:tr w:rsidR="00266FA9" w:rsidRPr="00266FA9" w14:paraId="7C3D743E"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A6DB641"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7/16/2001</w:t>
            </w:r>
          </w:p>
        </w:tc>
        <w:tc>
          <w:tcPr>
            <w:tcW w:w="3240" w:type="dxa"/>
            <w:tcBorders>
              <w:top w:val="nil"/>
              <w:left w:val="nil"/>
              <w:bottom w:val="single" w:sz="4" w:space="0" w:color="auto"/>
              <w:right w:val="single" w:sz="4" w:space="0" w:color="auto"/>
            </w:tcBorders>
            <w:shd w:val="clear" w:color="auto" w:fill="auto"/>
            <w:vAlign w:val="center"/>
            <w:hideMark/>
          </w:tcPr>
          <w:p w14:paraId="7DF58B3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E/CN.4/Sub.2/2001/30</w:t>
            </w:r>
          </w:p>
        </w:tc>
        <w:tc>
          <w:tcPr>
            <w:tcW w:w="1160" w:type="dxa"/>
            <w:tcBorders>
              <w:top w:val="nil"/>
              <w:left w:val="nil"/>
              <w:bottom w:val="single" w:sz="4" w:space="0" w:color="auto"/>
              <w:right w:val="single" w:sz="4" w:space="0" w:color="auto"/>
            </w:tcBorders>
            <w:shd w:val="clear" w:color="auto" w:fill="auto"/>
            <w:vAlign w:val="center"/>
            <w:hideMark/>
          </w:tcPr>
          <w:p w14:paraId="4FE9BDC0"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11/3/2015</w:t>
            </w:r>
          </w:p>
        </w:tc>
        <w:tc>
          <w:tcPr>
            <w:tcW w:w="3240" w:type="dxa"/>
            <w:tcBorders>
              <w:top w:val="nil"/>
              <w:left w:val="nil"/>
              <w:bottom w:val="single" w:sz="4" w:space="0" w:color="auto"/>
              <w:right w:val="single" w:sz="4" w:space="0" w:color="auto"/>
            </w:tcBorders>
            <w:shd w:val="clear" w:color="auto" w:fill="auto"/>
            <w:vAlign w:val="center"/>
            <w:hideMark/>
          </w:tcPr>
          <w:p w14:paraId="55215EC4"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A/C.3/70/SR.12</w:t>
            </w:r>
          </w:p>
        </w:tc>
      </w:tr>
      <w:tr w:rsidR="00266FA9" w:rsidRPr="00266FA9" w14:paraId="64CB4CE9"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CA17611"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9/18/2001</w:t>
            </w:r>
          </w:p>
        </w:tc>
        <w:tc>
          <w:tcPr>
            <w:tcW w:w="3240" w:type="dxa"/>
            <w:tcBorders>
              <w:top w:val="nil"/>
              <w:left w:val="nil"/>
              <w:bottom w:val="single" w:sz="4" w:space="0" w:color="auto"/>
              <w:right w:val="single" w:sz="4" w:space="0" w:color="auto"/>
            </w:tcBorders>
            <w:shd w:val="clear" w:color="auto" w:fill="auto"/>
            <w:vAlign w:val="center"/>
            <w:hideMark/>
          </w:tcPr>
          <w:p w14:paraId="393B5AA5"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E/C.12/2001/SR.42</w:t>
            </w:r>
          </w:p>
        </w:tc>
        <w:tc>
          <w:tcPr>
            <w:tcW w:w="1160" w:type="dxa"/>
            <w:tcBorders>
              <w:top w:val="nil"/>
              <w:left w:val="nil"/>
              <w:bottom w:val="single" w:sz="4" w:space="0" w:color="auto"/>
              <w:right w:val="single" w:sz="4" w:space="0" w:color="auto"/>
            </w:tcBorders>
            <w:shd w:val="clear" w:color="auto" w:fill="auto"/>
            <w:vAlign w:val="center"/>
            <w:hideMark/>
          </w:tcPr>
          <w:p w14:paraId="3511381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6/3/2016</w:t>
            </w:r>
          </w:p>
        </w:tc>
        <w:tc>
          <w:tcPr>
            <w:tcW w:w="3240" w:type="dxa"/>
            <w:tcBorders>
              <w:top w:val="nil"/>
              <w:left w:val="nil"/>
              <w:bottom w:val="single" w:sz="4" w:space="0" w:color="auto"/>
              <w:right w:val="single" w:sz="4" w:space="0" w:color="auto"/>
            </w:tcBorders>
            <w:shd w:val="clear" w:color="auto" w:fill="auto"/>
            <w:vAlign w:val="center"/>
            <w:hideMark/>
          </w:tcPr>
          <w:p w14:paraId="70A0D2FE"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CAT/C/JPN/CO/2/Add.2</w:t>
            </w:r>
          </w:p>
        </w:tc>
      </w:tr>
      <w:tr w:rsidR="00266FA9" w:rsidRPr="00266FA9" w14:paraId="59F0B09F"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652838C"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12/5/2001</w:t>
            </w:r>
          </w:p>
        </w:tc>
        <w:tc>
          <w:tcPr>
            <w:tcW w:w="3240" w:type="dxa"/>
            <w:tcBorders>
              <w:top w:val="nil"/>
              <w:left w:val="nil"/>
              <w:bottom w:val="single" w:sz="4" w:space="0" w:color="auto"/>
              <w:right w:val="single" w:sz="4" w:space="0" w:color="auto"/>
            </w:tcBorders>
            <w:shd w:val="clear" w:color="auto" w:fill="auto"/>
            <w:vAlign w:val="center"/>
            <w:hideMark/>
          </w:tcPr>
          <w:p w14:paraId="068D8A3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E/CN.4/2001/SR.46</w:t>
            </w:r>
          </w:p>
        </w:tc>
        <w:tc>
          <w:tcPr>
            <w:tcW w:w="1160" w:type="dxa"/>
            <w:tcBorders>
              <w:top w:val="nil"/>
              <w:left w:val="nil"/>
              <w:bottom w:val="single" w:sz="4" w:space="0" w:color="auto"/>
              <w:right w:val="single" w:sz="4" w:space="0" w:color="auto"/>
            </w:tcBorders>
            <w:shd w:val="clear" w:color="auto" w:fill="auto"/>
            <w:vAlign w:val="center"/>
            <w:hideMark/>
          </w:tcPr>
          <w:p w14:paraId="7EFB6F0F"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1/19/2017</w:t>
            </w:r>
          </w:p>
        </w:tc>
        <w:tc>
          <w:tcPr>
            <w:tcW w:w="3240" w:type="dxa"/>
            <w:tcBorders>
              <w:top w:val="nil"/>
              <w:left w:val="nil"/>
              <w:bottom w:val="single" w:sz="4" w:space="0" w:color="auto"/>
              <w:right w:val="single" w:sz="4" w:space="0" w:color="auto"/>
            </w:tcBorders>
            <w:shd w:val="clear" w:color="auto" w:fill="auto"/>
            <w:vAlign w:val="center"/>
            <w:hideMark/>
          </w:tcPr>
          <w:p w14:paraId="0EE09CE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CERD/C/JPN/CO/7-9/Add.2</w:t>
            </w:r>
          </w:p>
        </w:tc>
      </w:tr>
      <w:tr w:rsidR="00266FA9" w:rsidRPr="00266FA9" w14:paraId="3D38FC26"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1B4A80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9/13/2002</w:t>
            </w:r>
          </w:p>
        </w:tc>
        <w:tc>
          <w:tcPr>
            <w:tcW w:w="3240" w:type="dxa"/>
            <w:tcBorders>
              <w:top w:val="nil"/>
              <w:left w:val="nil"/>
              <w:bottom w:val="single" w:sz="4" w:space="0" w:color="auto"/>
              <w:right w:val="single" w:sz="4" w:space="0" w:color="auto"/>
            </w:tcBorders>
            <w:shd w:val="clear" w:color="auto" w:fill="auto"/>
            <w:vAlign w:val="center"/>
            <w:hideMark/>
          </w:tcPr>
          <w:p w14:paraId="0A9E7CA5"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CEDAW/C/JPN/5</w:t>
            </w:r>
          </w:p>
        </w:tc>
        <w:tc>
          <w:tcPr>
            <w:tcW w:w="1160" w:type="dxa"/>
            <w:tcBorders>
              <w:top w:val="nil"/>
              <w:left w:val="nil"/>
              <w:bottom w:val="single" w:sz="4" w:space="0" w:color="auto"/>
              <w:right w:val="single" w:sz="4" w:space="0" w:color="auto"/>
            </w:tcBorders>
            <w:shd w:val="clear" w:color="auto" w:fill="auto"/>
            <w:vAlign w:val="center"/>
            <w:hideMark/>
          </w:tcPr>
          <w:p w14:paraId="7D207B97"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5/30/2017</w:t>
            </w:r>
          </w:p>
        </w:tc>
        <w:tc>
          <w:tcPr>
            <w:tcW w:w="3240" w:type="dxa"/>
            <w:tcBorders>
              <w:top w:val="nil"/>
              <w:left w:val="nil"/>
              <w:bottom w:val="single" w:sz="4" w:space="0" w:color="auto"/>
              <w:right w:val="single" w:sz="4" w:space="0" w:color="auto"/>
            </w:tcBorders>
            <w:shd w:val="clear" w:color="auto" w:fill="auto"/>
            <w:vAlign w:val="center"/>
            <w:hideMark/>
          </w:tcPr>
          <w:p w14:paraId="623242C9"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A/HRC/35/22/Add.5</w:t>
            </w:r>
          </w:p>
        </w:tc>
      </w:tr>
      <w:tr w:rsidR="00266FA9" w:rsidRPr="00266FA9" w14:paraId="5C7EC313"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E2E238F"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11/29/2002</w:t>
            </w:r>
          </w:p>
        </w:tc>
        <w:tc>
          <w:tcPr>
            <w:tcW w:w="3240" w:type="dxa"/>
            <w:tcBorders>
              <w:top w:val="nil"/>
              <w:left w:val="nil"/>
              <w:bottom w:val="single" w:sz="4" w:space="0" w:color="auto"/>
              <w:right w:val="single" w:sz="4" w:space="0" w:color="auto"/>
            </w:tcBorders>
            <w:shd w:val="clear" w:color="auto" w:fill="auto"/>
            <w:vAlign w:val="center"/>
            <w:hideMark/>
          </w:tcPr>
          <w:p w14:paraId="5B16F20D"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E/C.12/2002/12</w:t>
            </w:r>
          </w:p>
        </w:tc>
        <w:tc>
          <w:tcPr>
            <w:tcW w:w="1160" w:type="dxa"/>
            <w:tcBorders>
              <w:top w:val="nil"/>
              <w:left w:val="nil"/>
              <w:bottom w:val="single" w:sz="4" w:space="0" w:color="auto"/>
              <w:right w:val="single" w:sz="4" w:space="0" w:color="auto"/>
            </w:tcBorders>
            <w:shd w:val="clear" w:color="auto" w:fill="auto"/>
            <w:vAlign w:val="center"/>
            <w:hideMark/>
          </w:tcPr>
          <w:p w14:paraId="1A50B30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8/7/2017</w:t>
            </w:r>
          </w:p>
        </w:tc>
        <w:tc>
          <w:tcPr>
            <w:tcW w:w="3240" w:type="dxa"/>
            <w:tcBorders>
              <w:top w:val="nil"/>
              <w:left w:val="nil"/>
              <w:bottom w:val="single" w:sz="4" w:space="0" w:color="auto"/>
              <w:right w:val="single" w:sz="4" w:space="0" w:color="auto"/>
            </w:tcBorders>
            <w:shd w:val="clear" w:color="auto" w:fill="auto"/>
            <w:vAlign w:val="center"/>
            <w:hideMark/>
          </w:tcPr>
          <w:p w14:paraId="24F16A11"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CEDAW/C/SR.1375</w:t>
            </w:r>
          </w:p>
        </w:tc>
      </w:tr>
      <w:tr w:rsidR="00266FA9" w:rsidRPr="00266FA9" w14:paraId="7B07B7B3"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60E92E3"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1/6/2003</w:t>
            </w:r>
          </w:p>
        </w:tc>
        <w:tc>
          <w:tcPr>
            <w:tcW w:w="3240" w:type="dxa"/>
            <w:tcBorders>
              <w:top w:val="nil"/>
              <w:left w:val="nil"/>
              <w:bottom w:val="single" w:sz="4" w:space="0" w:color="auto"/>
              <w:right w:val="single" w:sz="4" w:space="0" w:color="auto"/>
            </w:tcBorders>
            <w:shd w:val="clear" w:color="auto" w:fill="auto"/>
            <w:vAlign w:val="center"/>
            <w:hideMark/>
          </w:tcPr>
          <w:p w14:paraId="7825BFEA"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E/CN.4/2003/75</w:t>
            </w:r>
          </w:p>
        </w:tc>
        <w:tc>
          <w:tcPr>
            <w:tcW w:w="1160" w:type="dxa"/>
            <w:tcBorders>
              <w:top w:val="nil"/>
              <w:left w:val="nil"/>
              <w:bottom w:val="single" w:sz="4" w:space="0" w:color="auto"/>
              <w:right w:val="single" w:sz="4" w:space="0" w:color="auto"/>
            </w:tcBorders>
            <w:shd w:val="clear" w:color="auto" w:fill="auto"/>
            <w:vAlign w:val="center"/>
            <w:hideMark/>
          </w:tcPr>
          <w:p w14:paraId="5B406FB7"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9/8/2017</w:t>
            </w:r>
          </w:p>
        </w:tc>
        <w:tc>
          <w:tcPr>
            <w:tcW w:w="3240" w:type="dxa"/>
            <w:tcBorders>
              <w:top w:val="nil"/>
              <w:left w:val="nil"/>
              <w:bottom w:val="single" w:sz="4" w:space="0" w:color="auto"/>
              <w:right w:val="single" w:sz="4" w:space="0" w:color="auto"/>
            </w:tcBorders>
            <w:shd w:val="clear" w:color="auto" w:fill="auto"/>
            <w:vAlign w:val="center"/>
            <w:hideMark/>
          </w:tcPr>
          <w:p w14:paraId="520A951F"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CCPR/C/120/2</w:t>
            </w:r>
          </w:p>
        </w:tc>
      </w:tr>
      <w:tr w:rsidR="00266FA9" w:rsidRPr="00266FA9" w14:paraId="501152B2"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1F4E60"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1/15/2003</w:t>
            </w:r>
          </w:p>
        </w:tc>
        <w:tc>
          <w:tcPr>
            <w:tcW w:w="3240" w:type="dxa"/>
            <w:tcBorders>
              <w:top w:val="nil"/>
              <w:left w:val="nil"/>
              <w:bottom w:val="single" w:sz="4" w:space="0" w:color="auto"/>
              <w:right w:val="single" w:sz="4" w:space="0" w:color="auto"/>
            </w:tcBorders>
            <w:shd w:val="clear" w:color="auto" w:fill="auto"/>
            <w:vAlign w:val="center"/>
            <w:hideMark/>
          </w:tcPr>
          <w:p w14:paraId="360EBEE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E/CN.4/Sub.2/2002/SR.25</w:t>
            </w:r>
          </w:p>
        </w:tc>
        <w:tc>
          <w:tcPr>
            <w:tcW w:w="1160" w:type="dxa"/>
            <w:tcBorders>
              <w:top w:val="nil"/>
              <w:left w:val="nil"/>
              <w:bottom w:val="single" w:sz="4" w:space="0" w:color="auto"/>
              <w:right w:val="single" w:sz="4" w:space="0" w:color="auto"/>
            </w:tcBorders>
            <w:shd w:val="clear" w:color="auto" w:fill="auto"/>
            <w:vAlign w:val="center"/>
            <w:hideMark/>
          </w:tcPr>
          <w:p w14:paraId="6EBF3BEC"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11/24/2017</w:t>
            </w:r>
          </w:p>
        </w:tc>
        <w:tc>
          <w:tcPr>
            <w:tcW w:w="3240" w:type="dxa"/>
            <w:tcBorders>
              <w:top w:val="nil"/>
              <w:left w:val="nil"/>
              <w:bottom w:val="single" w:sz="4" w:space="0" w:color="auto"/>
              <w:right w:val="single" w:sz="4" w:space="0" w:color="auto"/>
            </w:tcBorders>
            <w:shd w:val="clear" w:color="auto" w:fill="auto"/>
            <w:vAlign w:val="center"/>
            <w:hideMark/>
          </w:tcPr>
          <w:p w14:paraId="396AC4E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A/HRC/22/2</w:t>
            </w:r>
          </w:p>
        </w:tc>
      </w:tr>
      <w:tr w:rsidR="00266FA9" w:rsidRPr="00266FA9" w14:paraId="54C7BB28"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39E6303"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8/19/2003</w:t>
            </w:r>
          </w:p>
        </w:tc>
        <w:tc>
          <w:tcPr>
            <w:tcW w:w="3240" w:type="dxa"/>
            <w:tcBorders>
              <w:top w:val="nil"/>
              <w:left w:val="nil"/>
              <w:bottom w:val="single" w:sz="4" w:space="0" w:color="auto"/>
              <w:right w:val="single" w:sz="4" w:space="0" w:color="auto"/>
            </w:tcBorders>
            <w:shd w:val="clear" w:color="auto" w:fill="auto"/>
            <w:vAlign w:val="center"/>
            <w:hideMark/>
          </w:tcPr>
          <w:p w14:paraId="2E493698"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CEDAW/C/SR.617</w:t>
            </w:r>
          </w:p>
        </w:tc>
        <w:tc>
          <w:tcPr>
            <w:tcW w:w="1160" w:type="dxa"/>
            <w:tcBorders>
              <w:top w:val="nil"/>
              <w:left w:val="nil"/>
              <w:bottom w:val="single" w:sz="4" w:space="0" w:color="auto"/>
              <w:right w:val="single" w:sz="4" w:space="0" w:color="auto"/>
            </w:tcBorders>
            <w:shd w:val="clear" w:color="auto" w:fill="auto"/>
            <w:vAlign w:val="center"/>
            <w:hideMark/>
          </w:tcPr>
          <w:p w14:paraId="49C02A27"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1/4/2018</w:t>
            </w:r>
          </w:p>
        </w:tc>
        <w:tc>
          <w:tcPr>
            <w:tcW w:w="3240" w:type="dxa"/>
            <w:tcBorders>
              <w:top w:val="nil"/>
              <w:left w:val="nil"/>
              <w:bottom w:val="single" w:sz="4" w:space="0" w:color="auto"/>
              <w:right w:val="single" w:sz="4" w:space="0" w:color="auto"/>
            </w:tcBorders>
            <w:shd w:val="clear" w:color="auto" w:fill="auto"/>
            <w:vAlign w:val="center"/>
            <w:hideMark/>
          </w:tcPr>
          <w:p w14:paraId="6C1DF83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A/HRC/37/15</w:t>
            </w:r>
          </w:p>
        </w:tc>
      </w:tr>
      <w:tr w:rsidR="00266FA9" w:rsidRPr="00266FA9" w14:paraId="67D733D4"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D63C679"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4/8/2004</w:t>
            </w:r>
          </w:p>
        </w:tc>
        <w:tc>
          <w:tcPr>
            <w:tcW w:w="3240" w:type="dxa"/>
            <w:tcBorders>
              <w:top w:val="nil"/>
              <w:left w:val="nil"/>
              <w:bottom w:val="single" w:sz="4" w:space="0" w:color="auto"/>
              <w:right w:val="single" w:sz="4" w:space="0" w:color="auto"/>
            </w:tcBorders>
            <w:shd w:val="clear" w:color="auto" w:fill="auto"/>
            <w:vAlign w:val="center"/>
            <w:hideMark/>
          </w:tcPr>
          <w:p w14:paraId="47C1DAB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E/CN.4/2004/SR.36</w:t>
            </w:r>
          </w:p>
        </w:tc>
        <w:tc>
          <w:tcPr>
            <w:tcW w:w="1160" w:type="dxa"/>
            <w:tcBorders>
              <w:top w:val="nil"/>
              <w:left w:val="nil"/>
              <w:bottom w:val="single" w:sz="4" w:space="0" w:color="auto"/>
              <w:right w:val="single" w:sz="4" w:space="0" w:color="auto"/>
            </w:tcBorders>
            <w:shd w:val="clear" w:color="auto" w:fill="auto"/>
            <w:vAlign w:val="center"/>
            <w:hideMark/>
          </w:tcPr>
          <w:p w14:paraId="72F142C6"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8/23/2018</w:t>
            </w:r>
          </w:p>
        </w:tc>
        <w:tc>
          <w:tcPr>
            <w:tcW w:w="3240" w:type="dxa"/>
            <w:tcBorders>
              <w:top w:val="nil"/>
              <w:left w:val="nil"/>
              <w:bottom w:val="single" w:sz="4" w:space="0" w:color="auto"/>
              <w:right w:val="single" w:sz="4" w:space="0" w:color="auto"/>
            </w:tcBorders>
            <w:shd w:val="clear" w:color="auto" w:fill="auto"/>
            <w:vAlign w:val="center"/>
            <w:hideMark/>
          </w:tcPr>
          <w:p w14:paraId="2C9B960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CERD/C/SR.2662</w:t>
            </w:r>
          </w:p>
        </w:tc>
      </w:tr>
      <w:tr w:rsidR="00266FA9" w:rsidRPr="00266FA9" w14:paraId="073E805D"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5EC2914"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4/18/2005</w:t>
            </w:r>
          </w:p>
        </w:tc>
        <w:tc>
          <w:tcPr>
            <w:tcW w:w="3240" w:type="dxa"/>
            <w:tcBorders>
              <w:top w:val="nil"/>
              <w:left w:val="nil"/>
              <w:bottom w:val="single" w:sz="4" w:space="0" w:color="auto"/>
              <w:right w:val="single" w:sz="4" w:space="0" w:color="auto"/>
            </w:tcBorders>
            <w:shd w:val="clear" w:color="auto" w:fill="auto"/>
            <w:vAlign w:val="center"/>
            <w:hideMark/>
          </w:tcPr>
          <w:p w14:paraId="0FF0AEAC"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E/CN.4/2005/SR.36</w:t>
            </w:r>
          </w:p>
        </w:tc>
        <w:tc>
          <w:tcPr>
            <w:tcW w:w="1160" w:type="dxa"/>
            <w:tcBorders>
              <w:top w:val="nil"/>
              <w:left w:val="nil"/>
              <w:bottom w:val="single" w:sz="4" w:space="0" w:color="auto"/>
              <w:right w:val="single" w:sz="4" w:space="0" w:color="auto"/>
            </w:tcBorders>
            <w:shd w:val="clear" w:color="auto" w:fill="auto"/>
            <w:vAlign w:val="center"/>
            <w:hideMark/>
          </w:tcPr>
          <w:p w14:paraId="1F69BE20"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8/23/2018</w:t>
            </w:r>
          </w:p>
        </w:tc>
        <w:tc>
          <w:tcPr>
            <w:tcW w:w="3240" w:type="dxa"/>
            <w:tcBorders>
              <w:top w:val="nil"/>
              <w:left w:val="nil"/>
              <w:bottom w:val="single" w:sz="4" w:space="0" w:color="auto"/>
              <w:right w:val="single" w:sz="4" w:space="0" w:color="auto"/>
            </w:tcBorders>
            <w:shd w:val="clear" w:color="auto" w:fill="auto"/>
            <w:vAlign w:val="center"/>
            <w:hideMark/>
          </w:tcPr>
          <w:p w14:paraId="36AF8999"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CERD/C/SR.2663</w:t>
            </w:r>
          </w:p>
        </w:tc>
      </w:tr>
      <w:tr w:rsidR="00266FA9" w:rsidRPr="00266FA9" w14:paraId="567B310D"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3CF11B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6/26/2006</w:t>
            </w:r>
          </w:p>
        </w:tc>
        <w:tc>
          <w:tcPr>
            <w:tcW w:w="3240" w:type="dxa"/>
            <w:tcBorders>
              <w:top w:val="nil"/>
              <w:left w:val="nil"/>
              <w:bottom w:val="single" w:sz="4" w:space="0" w:color="auto"/>
              <w:right w:val="single" w:sz="4" w:space="0" w:color="auto"/>
            </w:tcBorders>
            <w:shd w:val="clear" w:color="auto" w:fill="auto"/>
            <w:vAlign w:val="center"/>
            <w:hideMark/>
          </w:tcPr>
          <w:p w14:paraId="39E7F146"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A/HRC/1/G/3</w:t>
            </w:r>
          </w:p>
        </w:tc>
        <w:tc>
          <w:tcPr>
            <w:tcW w:w="1160" w:type="dxa"/>
            <w:tcBorders>
              <w:top w:val="nil"/>
              <w:left w:val="nil"/>
              <w:bottom w:val="single" w:sz="4" w:space="0" w:color="auto"/>
              <w:right w:val="single" w:sz="4" w:space="0" w:color="auto"/>
            </w:tcBorders>
            <w:shd w:val="clear" w:color="auto" w:fill="auto"/>
            <w:vAlign w:val="center"/>
            <w:hideMark/>
          </w:tcPr>
          <w:p w14:paraId="121FE911"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11/14/2018</w:t>
            </w:r>
          </w:p>
        </w:tc>
        <w:tc>
          <w:tcPr>
            <w:tcW w:w="3240" w:type="dxa"/>
            <w:tcBorders>
              <w:top w:val="nil"/>
              <w:left w:val="nil"/>
              <w:bottom w:val="single" w:sz="4" w:space="0" w:color="auto"/>
              <w:right w:val="single" w:sz="4" w:space="0" w:color="auto"/>
            </w:tcBorders>
            <w:shd w:val="clear" w:color="auto" w:fill="auto"/>
            <w:vAlign w:val="center"/>
            <w:hideMark/>
          </w:tcPr>
          <w:p w14:paraId="6D3CF475"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CED/C/SR.258</w:t>
            </w:r>
          </w:p>
        </w:tc>
      </w:tr>
      <w:tr w:rsidR="00266FA9" w:rsidRPr="00266FA9" w14:paraId="280B4484"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F15A600"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11/2/2006</w:t>
            </w:r>
          </w:p>
        </w:tc>
        <w:tc>
          <w:tcPr>
            <w:tcW w:w="3240" w:type="dxa"/>
            <w:tcBorders>
              <w:top w:val="nil"/>
              <w:left w:val="nil"/>
              <w:bottom w:val="single" w:sz="4" w:space="0" w:color="auto"/>
              <w:right w:val="single" w:sz="4" w:space="0" w:color="auto"/>
            </w:tcBorders>
            <w:shd w:val="clear" w:color="auto" w:fill="auto"/>
            <w:vAlign w:val="center"/>
            <w:hideMark/>
          </w:tcPr>
          <w:p w14:paraId="0C8E2585"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A/C.3/61/SR.9</w:t>
            </w:r>
          </w:p>
        </w:tc>
        <w:tc>
          <w:tcPr>
            <w:tcW w:w="1160" w:type="dxa"/>
            <w:tcBorders>
              <w:top w:val="nil"/>
              <w:left w:val="nil"/>
              <w:bottom w:val="single" w:sz="4" w:space="0" w:color="auto"/>
              <w:right w:val="single" w:sz="4" w:space="0" w:color="auto"/>
            </w:tcBorders>
            <w:shd w:val="clear" w:color="auto" w:fill="auto"/>
            <w:vAlign w:val="center"/>
            <w:hideMark/>
          </w:tcPr>
          <w:p w14:paraId="444218C9"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11/23/2018</w:t>
            </w:r>
          </w:p>
        </w:tc>
        <w:tc>
          <w:tcPr>
            <w:tcW w:w="3240" w:type="dxa"/>
            <w:tcBorders>
              <w:top w:val="nil"/>
              <w:left w:val="nil"/>
              <w:bottom w:val="single" w:sz="4" w:space="0" w:color="auto"/>
              <w:right w:val="single" w:sz="4" w:space="0" w:color="auto"/>
            </w:tcBorders>
            <w:shd w:val="clear" w:color="auto" w:fill="auto"/>
            <w:vAlign w:val="center"/>
            <w:hideMark/>
          </w:tcPr>
          <w:p w14:paraId="36BDBD1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CED/C/SR.257</w:t>
            </w:r>
          </w:p>
        </w:tc>
      </w:tr>
      <w:tr w:rsidR="00266FA9" w:rsidRPr="00266FA9" w14:paraId="348E66E8"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35041C9"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11/22/2006</w:t>
            </w:r>
          </w:p>
        </w:tc>
        <w:tc>
          <w:tcPr>
            <w:tcW w:w="3240" w:type="dxa"/>
            <w:tcBorders>
              <w:top w:val="nil"/>
              <w:left w:val="nil"/>
              <w:bottom w:val="single" w:sz="4" w:space="0" w:color="auto"/>
              <w:right w:val="single" w:sz="4" w:space="0" w:color="auto"/>
            </w:tcBorders>
            <w:shd w:val="clear" w:color="auto" w:fill="auto"/>
            <w:vAlign w:val="center"/>
            <w:hideMark/>
          </w:tcPr>
          <w:p w14:paraId="48F8A0F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 /C.3/61/SR.34</w:t>
            </w:r>
          </w:p>
        </w:tc>
        <w:tc>
          <w:tcPr>
            <w:tcW w:w="1160" w:type="dxa"/>
            <w:tcBorders>
              <w:top w:val="nil"/>
              <w:left w:val="nil"/>
              <w:bottom w:val="single" w:sz="4" w:space="0" w:color="auto"/>
              <w:right w:val="single" w:sz="4" w:space="0" w:color="auto"/>
            </w:tcBorders>
            <w:shd w:val="clear" w:color="auto" w:fill="auto"/>
            <w:vAlign w:val="center"/>
            <w:hideMark/>
          </w:tcPr>
          <w:p w14:paraId="0543577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4/23/2019</w:t>
            </w:r>
          </w:p>
        </w:tc>
        <w:tc>
          <w:tcPr>
            <w:tcW w:w="3240" w:type="dxa"/>
            <w:tcBorders>
              <w:top w:val="nil"/>
              <w:left w:val="nil"/>
              <w:bottom w:val="single" w:sz="4" w:space="0" w:color="auto"/>
              <w:right w:val="single" w:sz="4" w:space="0" w:color="auto"/>
            </w:tcBorders>
            <w:shd w:val="clear" w:color="auto" w:fill="auto"/>
            <w:vAlign w:val="center"/>
            <w:hideMark/>
          </w:tcPr>
          <w:p w14:paraId="037EDA6E"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S/PV.8514</w:t>
            </w:r>
          </w:p>
        </w:tc>
      </w:tr>
      <w:tr w:rsidR="00266FA9" w:rsidRPr="00266FA9" w14:paraId="64037DDC"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60EADEB"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4/17/2007</w:t>
            </w:r>
          </w:p>
        </w:tc>
        <w:tc>
          <w:tcPr>
            <w:tcW w:w="3240" w:type="dxa"/>
            <w:tcBorders>
              <w:top w:val="nil"/>
              <w:left w:val="nil"/>
              <w:bottom w:val="single" w:sz="4" w:space="0" w:color="auto"/>
              <w:right w:val="single" w:sz="4" w:space="0" w:color="auto"/>
            </w:tcBorders>
            <w:shd w:val="clear" w:color="auto" w:fill="auto"/>
            <w:vAlign w:val="center"/>
            <w:hideMark/>
          </w:tcPr>
          <w:p w14:paraId="0C32EFD5"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A/HRC/4/SR.3</w:t>
            </w:r>
          </w:p>
        </w:tc>
        <w:tc>
          <w:tcPr>
            <w:tcW w:w="1160" w:type="dxa"/>
            <w:tcBorders>
              <w:top w:val="nil"/>
              <w:left w:val="nil"/>
              <w:bottom w:val="single" w:sz="4" w:space="0" w:color="auto"/>
              <w:right w:val="single" w:sz="4" w:space="0" w:color="auto"/>
            </w:tcBorders>
            <w:shd w:val="clear" w:color="auto" w:fill="auto"/>
            <w:vAlign w:val="center"/>
            <w:hideMark/>
          </w:tcPr>
          <w:p w14:paraId="19278198"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10/29/2019</w:t>
            </w:r>
          </w:p>
        </w:tc>
        <w:tc>
          <w:tcPr>
            <w:tcW w:w="3240" w:type="dxa"/>
            <w:tcBorders>
              <w:top w:val="nil"/>
              <w:left w:val="nil"/>
              <w:bottom w:val="single" w:sz="4" w:space="0" w:color="auto"/>
              <w:right w:val="single" w:sz="4" w:space="0" w:color="auto"/>
            </w:tcBorders>
            <w:shd w:val="clear" w:color="auto" w:fill="auto"/>
            <w:vAlign w:val="center"/>
            <w:hideMark/>
          </w:tcPr>
          <w:p w14:paraId="1BA35513"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S/PV.8649 (Resumption 1)</w:t>
            </w:r>
          </w:p>
        </w:tc>
      </w:tr>
      <w:tr w:rsidR="00266FA9" w:rsidRPr="00266FA9" w14:paraId="17F15D1E"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5005775"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5/1/2007</w:t>
            </w:r>
          </w:p>
        </w:tc>
        <w:tc>
          <w:tcPr>
            <w:tcW w:w="3240" w:type="dxa"/>
            <w:tcBorders>
              <w:top w:val="nil"/>
              <w:left w:val="nil"/>
              <w:bottom w:val="single" w:sz="4" w:space="0" w:color="auto"/>
              <w:right w:val="single" w:sz="4" w:space="0" w:color="auto"/>
            </w:tcBorders>
            <w:shd w:val="clear" w:color="auto" w:fill="auto"/>
            <w:vAlign w:val="center"/>
            <w:hideMark/>
          </w:tcPr>
          <w:p w14:paraId="29280AF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A/HRC/4/SR.16</w:t>
            </w:r>
          </w:p>
        </w:tc>
        <w:tc>
          <w:tcPr>
            <w:tcW w:w="1160" w:type="dxa"/>
            <w:tcBorders>
              <w:top w:val="nil"/>
              <w:left w:val="nil"/>
              <w:bottom w:val="single" w:sz="4" w:space="0" w:color="auto"/>
              <w:right w:val="single" w:sz="4" w:space="0" w:color="auto"/>
            </w:tcBorders>
            <w:shd w:val="clear" w:color="auto" w:fill="auto"/>
            <w:vAlign w:val="center"/>
            <w:hideMark/>
          </w:tcPr>
          <w:p w14:paraId="003A132F"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11/14/2019</w:t>
            </w:r>
          </w:p>
        </w:tc>
        <w:tc>
          <w:tcPr>
            <w:tcW w:w="3240" w:type="dxa"/>
            <w:tcBorders>
              <w:top w:val="nil"/>
              <w:left w:val="nil"/>
              <w:bottom w:val="single" w:sz="4" w:space="0" w:color="auto"/>
              <w:right w:val="single" w:sz="4" w:space="0" w:color="auto"/>
            </w:tcBorders>
            <w:shd w:val="clear" w:color="auto" w:fill="auto"/>
            <w:vAlign w:val="center"/>
            <w:hideMark/>
          </w:tcPr>
          <w:p w14:paraId="4EFE96F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A/C.3/74/SR.10</w:t>
            </w:r>
          </w:p>
        </w:tc>
      </w:tr>
      <w:tr w:rsidR="00266FA9" w:rsidRPr="00266FA9" w14:paraId="5F47EBD1"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18E074A"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5/9/2007</w:t>
            </w:r>
          </w:p>
        </w:tc>
        <w:tc>
          <w:tcPr>
            <w:tcW w:w="3240" w:type="dxa"/>
            <w:tcBorders>
              <w:top w:val="nil"/>
              <w:left w:val="nil"/>
              <w:bottom w:val="single" w:sz="4" w:space="0" w:color="auto"/>
              <w:right w:val="single" w:sz="4" w:space="0" w:color="auto"/>
            </w:tcBorders>
            <w:shd w:val="clear" w:color="auto" w:fill="auto"/>
            <w:vAlign w:val="center"/>
            <w:hideMark/>
          </w:tcPr>
          <w:p w14:paraId="60BA6EFB"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A/HRC/4/SR.18</w:t>
            </w:r>
          </w:p>
        </w:tc>
        <w:tc>
          <w:tcPr>
            <w:tcW w:w="1160" w:type="dxa"/>
            <w:tcBorders>
              <w:top w:val="nil"/>
              <w:left w:val="nil"/>
              <w:bottom w:val="single" w:sz="4" w:space="0" w:color="auto"/>
              <w:right w:val="single" w:sz="4" w:space="0" w:color="auto"/>
            </w:tcBorders>
            <w:shd w:val="clear" w:color="auto" w:fill="auto"/>
            <w:vAlign w:val="center"/>
            <w:hideMark/>
          </w:tcPr>
          <w:p w14:paraId="6B408FDD"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4/28/2020</w:t>
            </w:r>
          </w:p>
        </w:tc>
        <w:tc>
          <w:tcPr>
            <w:tcW w:w="3240" w:type="dxa"/>
            <w:tcBorders>
              <w:top w:val="nil"/>
              <w:left w:val="nil"/>
              <w:bottom w:val="single" w:sz="4" w:space="0" w:color="auto"/>
              <w:right w:val="single" w:sz="4" w:space="0" w:color="auto"/>
            </w:tcBorders>
            <w:shd w:val="clear" w:color="auto" w:fill="auto"/>
            <w:vAlign w:val="center"/>
            <w:hideMark/>
          </w:tcPr>
          <w:p w14:paraId="26DBF4B8"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CCPR/C/JPN/7</w:t>
            </w:r>
          </w:p>
        </w:tc>
      </w:tr>
      <w:tr w:rsidR="00266FA9" w:rsidRPr="00266FA9" w14:paraId="20BD550D"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52E9ADF"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11/5/2007</w:t>
            </w:r>
          </w:p>
        </w:tc>
        <w:tc>
          <w:tcPr>
            <w:tcW w:w="3240" w:type="dxa"/>
            <w:tcBorders>
              <w:top w:val="nil"/>
              <w:left w:val="nil"/>
              <w:bottom w:val="single" w:sz="4" w:space="0" w:color="auto"/>
              <w:right w:val="single" w:sz="4" w:space="0" w:color="auto"/>
            </w:tcBorders>
            <w:shd w:val="clear" w:color="auto" w:fill="auto"/>
            <w:vAlign w:val="center"/>
            <w:hideMark/>
          </w:tcPr>
          <w:p w14:paraId="47F85712"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A /C.3/62/SR.12</w:t>
            </w:r>
          </w:p>
        </w:tc>
        <w:tc>
          <w:tcPr>
            <w:tcW w:w="1160" w:type="dxa"/>
            <w:tcBorders>
              <w:top w:val="nil"/>
              <w:left w:val="nil"/>
              <w:bottom w:val="single" w:sz="4" w:space="0" w:color="auto"/>
              <w:right w:val="single" w:sz="4" w:space="0" w:color="auto"/>
            </w:tcBorders>
            <w:shd w:val="clear" w:color="auto" w:fill="auto"/>
            <w:vAlign w:val="center"/>
            <w:hideMark/>
          </w:tcPr>
          <w:p w14:paraId="1D312342"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12/29/2021</w:t>
            </w:r>
          </w:p>
        </w:tc>
        <w:tc>
          <w:tcPr>
            <w:tcW w:w="3240" w:type="dxa"/>
            <w:tcBorders>
              <w:top w:val="nil"/>
              <w:left w:val="nil"/>
              <w:bottom w:val="single" w:sz="4" w:space="0" w:color="auto"/>
              <w:right w:val="single" w:sz="4" w:space="0" w:color="auto"/>
            </w:tcBorders>
            <w:shd w:val="clear" w:color="auto" w:fill="auto"/>
            <w:vAlign w:val="center"/>
            <w:hideMark/>
          </w:tcPr>
          <w:p w14:paraId="01226D07"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CEDAW/C/JPN/9</w:t>
            </w:r>
          </w:p>
        </w:tc>
      </w:tr>
      <w:tr w:rsidR="00F74C98" w:rsidRPr="00266FA9" w14:paraId="3D8347AE" w14:textId="77777777" w:rsidTr="00F74C98">
        <w:trPr>
          <w:trHeight w:val="29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A748D59" w14:textId="77777777" w:rsidR="00F74C98" w:rsidRPr="00266FA9" w:rsidRDefault="00F74C98" w:rsidP="008B1182">
            <w:pPr>
              <w:spacing w:after="0" w:line="240" w:lineRule="auto"/>
              <w:jc w:val="right"/>
              <w:rPr>
                <w:rFonts w:ascii="Garamond" w:eastAsia="Times New Roman" w:hAnsi="Garamond" w:cs="Calibri"/>
              </w:rPr>
            </w:pPr>
            <w:r w:rsidRPr="00266FA9">
              <w:rPr>
                <w:rFonts w:ascii="Garamond" w:eastAsia="Times New Roman" w:hAnsi="Garamond" w:cs="Calibri"/>
              </w:rPr>
              <w:t>1/8/2008</w:t>
            </w:r>
          </w:p>
        </w:tc>
        <w:tc>
          <w:tcPr>
            <w:tcW w:w="3240" w:type="dxa"/>
            <w:tcBorders>
              <w:top w:val="nil"/>
              <w:left w:val="nil"/>
              <w:bottom w:val="single" w:sz="4" w:space="0" w:color="auto"/>
              <w:right w:val="single" w:sz="4" w:space="0" w:color="auto"/>
            </w:tcBorders>
            <w:shd w:val="clear" w:color="auto" w:fill="auto"/>
            <w:vAlign w:val="center"/>
            <w:hideMark/>
          </w:tcPr>
          <w:p w14:paraId="045F421A"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CAT/C/SR.770</w:t>
            </w:r>
          </w:p>
        </w:tc>
        <w:tc>
          <w:tcPr>
            <w:tcW w:w="1160" w:type="dxa"/>
            <w:tcBorders>
              <w:top w:val="nil"/>
              <w:left w:val="nil"/>
              <w:bottom w:val="single" w:sz="4" w:space="0" w:color="auto"/>
              <w:right w:val="single" w:sz="4" w:space="0" w:color="auto"/>
            </w:tcBorders>
            <w:shd w:val="clear" w:color="auto" w:fill="auto"/>
            <w:noWrap/>
            <w:vAlign w:val="center"/>
            <w:hideMark/>
          </w:tcPr>
          <w:p w14:paraId="55778219"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 </w:t>
            </w:r>
          </w:p>
        </w:tc>
        <w:tc>
          <w:tcPr>
            <w:tcW w:w="3240" w:type="dxa"/>
            <w:tcBorders>
              <w:top w:val="nil"/>
              <w:left w:val="nil"/>
              <w:bottom w:val="single" w:sz="4" w:space="0" w:color="auto"/>
              <w:right w:val="single" w:sz="4" w:space="0" w:color="auto"/>
            </w:tcBorders>
            <w:shd w:val="clear" w:color="auto" w:fill="auto"/>
            <w:noWrap/>
            <w:vAlign w:val="center"/>
            <w:hideMark/>
          </w:tcPr>
          <w:p w14:paraId="64C6E670" w14:textId="77777777" w:rsidR="00F74C98" w:rsidRPr="00266FA9" w:rsidRDefault="00F74C98" w:rsidP="008B1182">
            <w:pPr>
              <w:spacing w:after="0" w:line="240" w:lineRule="auto"/>
              <w:rPr>
                <w:rFonts w:ascii="Garamond" w:eastAsia="Times New Roman" w:hAnsi="Garamond" w:cs="Calibri"/>
              </w:rPr>
            </w:pPr>
            <w:r w:rsidRPr="00266FA9">
              <w:rPr>
                <w:rFonts w:ascii="Garamond" w:eastAsia="Times New Roman" w:hAnsi="Garamond" w:cs="Calibri"/>
              </w:rPr>
              <w:t> </w:t>
            </w:r>
          </w:p>
        </w:tc>
      </w:tr>
    </w:tbl>
    <w:p w14:paraId="037D2231" w14:textId="77777777" w:rsidR="00004331" w:rsidRPr="00266FA9" w:rsidRDefault="00004331" w:rsidP="008B1182">
      <w:pPr>
        <w:spacing w:after="0" w:line="240" w:lineRule="auto"/>
        <w:rPr>
          <w:rFonts w:ascii="Garamond" w:hAnsi="Garamond"/>
          <w:sz w:val="24"/>
          <w:szCs w:val="24"/>
        </w:rPr>
      </w:pPr>
    </w:p>
    <w:p w14:paraId="77B3CFCE" w14:textId="4D51E754" w:rsidR="002E3973" w:rsidRPr="00266FA9" w:rsidRDefault="00004331" w:rsidP="008B1182">
      <w:pPr>
        <w:spacing w:after="0" w:line="240" w:lineRule="auto"/>
        <w:rPr>
          <w:rFonts w:ascii="Garamond" w:hAnsi="Garamond"/>
          <w:b/>
          <w:sz w:val="24"/>
          <w:szCs w:val="24"/>
        </w:rPr>
      </w:pPr>
      <w:r w:rsidRPr="00266FA9">
        <w:rPr>
          <w:rFonts w:ascii="Garamond" w:hAnsi="Garamond"/>
          <w:b/>
          <w:sz w:val="24"/>
          <w:szCs w:val="24"/>
        </w:rPr>
        <w:t>(</w:t>
      </w:r>
      <w:r w:rsidR="002E3973" w:rsidRPr="00266FA9">
        <w:rPr>
          <w:rFonts w:ascii="Garamond" w:hAnsi="Garamond"/>
          <w:b/>
          <w:sz w:val="24"/>
          <w:szCs w:val="24"/>
        </w:rPr>
        <w:t>2</w:t>
      </w:r>
      <w:r w:rsidRPr="00266FA9">
        <w:rPr>
          <w:rFonts w:ascii="Garamond" w:hAnsi="Garamond"/>
          <w:b/>
          <w:sz w:val="24"/>
          <w:szCs w:val="24"/>
        </w:rPr>
        <w:t>)</w:t>
      </w:r>
      <w:r w:rsidR="002E3973" w:rsidRPr="00266FA9">
        <w:rPr>
          <w:rFonts w:ascii="Garamond" w:hAnsi="Garamond"/>
          <w:b/>
          <w:sz w:val="24"/>
          <w:szCs w:val="24"/>
        </w:rPr>
        <w:t xml:space="preserve"> Japan’s responses as reflected in ILO</w:t>
      </w:r>
      <w:r w:rsidR="004C64FF" w:rsidRPr="00266FA9">
        <w:rPr>
          <w:rFonts w:ascii="Garamond" w:hAnsi="Garamond"/>
          <w:b/>
          <w:sz w:val="24"/>
          <w:szCs w:val="24"/>
        </w:rPr>
        <w:t xml:space="preserve"> CEACR</w:t>
      </w:r>
      <w:r w:rsidR="002E3973" w:rsidRPr="00266FA9">
        <w:rPr>
          <w:rFonts w:ascii="Garamond" w:hAnsi="Garamond"/>
          <w:b/>
          <w:sz w:val="24"/>
          <w:szCs w:val="24"/>
        </w:rPr>
        <w:t xml:space="preserve"> documents (1992</w:t>
      </w:r>
      <w:r w:rsidR="006A6DFE" w:rsidRPr="00266FA9">
        <w:rPr>
          <w:rFonts w:ascii="Garamond" w:hAnsi="Garamond"/>
          <w:b/>
          <w:sz w:val="24"/>
          <w:szCs w:val="24"/>
        </w:rPr>
        <w:t>–</w:t>
      </w:r>
      <w:r w:rsidR="002E3973" w:rsidRPr="00266FA9">
        <w:rPr>
          <w:rFonts w:ascii="Garamond" w:hAnsi="Garamond"/>
          <w:b/>
          <w:sz w:val="24"/>
          <w:szCs w:val="24"/>
        </w:rPr>
        <w:t>2021)</w:t>
      </w:r>
    </w:p>
    <w:p w14:paraId="65404FE1" w14:textId="77777777" w:rsidR="002E3973" w:rsidRPr="00266FA9" w:rsidRDefault="002E3973" w:rsidP="008B1182">
      <w:pPr>
        <w:spacing w:after="0" w:line="240" w:lineRule="auto"/>
        <w:rPr>
          <w:rFonts w:ascii="Garamond" w:hAnsi="Garamond"/>
          <w:sz w:val="24"/>
          <w:szCs w:val="24"/>
        </w:rPr>
      </w:pPr>
    </w:p>
    <w:p w14:paraId="16504796" w14:textId="0EFFF413" w:rsidR="00FB2D10" w:rsidRPr="00266FA9" w:rsidRDefault="00715BBA" w:rsidP="008B1182">
      <w:pPr>
        <w:spacing w:after="0" w:line="240" w:lineRule="auto"/>
        <w:rPr>
          <w:rFonts w:ascii="Garamond" w:hAnsi="Garamond"/>
          <w:sz w:val="24"/>
          <w:szCs w:val="24"/>
        </w:rPr>
      </w:pPr>
      <w:r w:rsidRPr="00266FA9">
        <w:rPr>
          <w:rFonts w:ascii="Garamond" w:hAnsi="Garamond"/>
          <w:sz w:val="24"/>
          <w:szCs w:val="24"/>
        </w:rPr>
        <w:t>In addition,</w:t>
      </w:r>
      <w:r w:rsidR="00E80A47" w:rsidRPr="00266FA9">
        <w:rPr>
          <w:rFonts w:ascii="Garamond" w:hAnsi="Garamond"/>
          <w:sz w:val="24"/>
          <w:szCs w:val="24"/>
        </w:rPr>
        <w:t xml:space="preserve"> I collected all documents issued by the ILO’s Committee of Experts on the comfort women issue as it relates to the Forced Labour Convention, 1930 (No. 29)</w:t>
      </w:r>
      <w:r w:rsidR="004C64FF" w:rsidRPr="00266FA9">
        <w:rPr>
          <w:rFonts w:ascii="Garamond" w:hAnsi="Garamond"/>
          <w:sz w:val="24"/>
          <w:szCs w:val="24"/>
        </w:rPr>
        <w:t>, which Japan signed in 1932</w:t>
      </w:r>
      <w:r w:rsidR="00E80A47" w:rsidRPr="00266FA9">
        <w:rPr>
          <w:rFonts w:ascii="Garamond" w:hAnsi="Garamond"/>
          <w:sz w:val="24"/>
          <w:szCs w:val="24"/>
        </w:rPr>
        <w:t xml:space="preserve">. The CEACR has issued statements on the issue </w:t>
      </w:r>
      <w:r w:rsidR="00545094" w:rsidRPr="00266FA9">
        <w:rPr>
          <w:rFonts w:ascii="Garamond" w:hAnsi="Garamond"/>
          <w:sz w:val="24"/>
          <w:szCs w:val="24"/>
        </w:rPr>
        <w:t>periodically</w:t>
      </w:r>
      <w:r w:rsidR="00E80A47" w:rsidRPr="00266FA9">
        <w:rPr>
          <w:rFonts w:ascii="Garamond" w:hAnsi="Garamond"/>
          <w:sz w:val="24"/>
          <w:szCs w:val="24"/>
        </w:rPr>
        <w:t xml:space="preserve"> since 1996, and they are titled the “Individual Observation concerning Convention No. 29, Forced Labour, 1930 Japan (ratification: 1932).” </w:t>
      </w:r>
      <w:r w:rsidR="00FB2D10" w:rsidRPr="00266FA9">
        <w:rPr>
          <w:rFonts w:ascii="Garamond" w:hAnsi="Garamond"/>
          <w:sz w:val="24"/>
          <w:szCs w:val="24"/>
        </w:rPr>
        <w:t>Of these</w:t>
      </w:r>
      <w:r w:rsidRPr="00266FA9">
        <w:rPr>
          <w:rFonts w:ascii="Garamond" w:hAnsi="Garamond"/>
          <w:sz w:val="24"/>
          <w:szCs w:val="24"/>
        </w:rPr>
        <w:t xml:space="preserve"> documents</w:t>
      </w:r>
      <w:r w:rsidR="00FB2D10" w:rsidRPr="00266FA9">
        <w:rPr>
          <w:rFonts w:ascii="Garamond" w:hAnsi="Garamond"/>
          <w:sz w:val="24"/>
          <w:szCs w:val="24"/>
        </w:rPr>
        <w:t>, 13 contain</w:t>
      </w:r>
      <w:r w:rsidR="008A206A" w:rsidRPr="00266FA9">
        <w:rPr>
          <w:rFonts w:ascii="Garamond" w:hAnsi="Garamond"/>
          <w:sz w:val="24"/>
          <w:szCs w:val="24"/>
        </w:rPr>
        <w:t xml:space="preserve"> a summary of </w:t>
      </w:r>
      <w:r w:rsidRPr="00266FA9">
        <w:rPr>
          <w:rFonts w:ascii="Garamond" w:hAnsi="Garamond"/>
          <w:sz w:val="24"/>
          <w:szCs w:val="24"/>
        </w:rPr>
        <w:t>Japan’s responses to the committee’s comments and recommendations.</w:t>
      </w:r>
      <w:r w:rsidR="00FB2D10" w:rsidRPr="00266FA9">
        <w:rPr>
          <w:rFonts w:ascii="Garamond" w:hAnsi="Garamond"/>
          <w:sz w:val="24"/>
          <w:szCs w:val="24"/>
        </w:rPr>
        <w:t xml:space="preserve"> They were released in 1997, 1999, 2001, 2003–2005, 2007–2009, 2011, 2013, 2016, and 2019.</w:t>
      </w:r>
      <w:r w:rsidRPr="00266FA9">
        <w:rPr>
          <w:rFonts w:ascii="Garamond" w:hAnsi="Garamond"/>
          <w:sz w:val="24"/>
          <w:szCs w:val="24"/>
        </w:rPr>
        <w:t xml:space="preserve"> </w:t>
      </w:r>
      <w:r w:rsidR="00E80A47" w:rsidRPr="00266FA9">
        <w:rPr>
          <w:rFonts w:ascii="Garamond" w:hAnsi="Garamond"/>
          <w:sz w:val="24"/>
          <w:szCs w:val="24"/>
        </w:rPr>
        <w:t>The annual statements are available via the ILO’s NORMLEX information system (</w:t>
      </w:r>
      <w:r w:rsidR="00573355" w:rsidRPr="00266FA9">
        <w:rPr>
          <w:rFonts w:ascii="Garamond" w:hAnsi="Garamond"/>
          <w:sz w:val="24"/>
          <w:szCs w:val="24"/>
        </w:rPr>
        <w:t>https://www.ilo.org/dyn/normlex/en</w:t>
      </w:r>
      <w:r w:rsidR="00E80A47" w:rsidRPr="00266FA9">
        <w:rPr>
          <w:rFonts w:ascii="Garamond" w:hAnsi="Garamond"/>
          <w:sz w:val="24"/>
          <w:szCs w:val="24"/>
        </w:rPr>
        <w:t>)</w:t>
      </w:r>
      <w:r w:rsidR="00573355" w:rsidRPr="00266FA9">
        <w:rPr>
          <w:rFonts w:ascii="Garamond" w:hAnsi="Garamond"/>
          <w:sz w:val="24"/>
          <w:szCs w:val="24"/>
        </w:rPr>
        <w:t xml:space="preserve">, as well as </w:t>
      </w:r>
      <w:r w:rsidR="00E80A47" w:rsidRPr="00266FA9">
        <w:rPr>
          <w:rFonts w:ascii="Garamond" w:hAnsi="Garamond"/>
          <w:sz w:val="24"/>
          <w:szCs w:val="24"/>
        </w:rPr>
        <w:t>two Internet archives: the Korea-based Women's Human Rights Institute of Korea (https://www.archive814.or.kr) and the Japan-based Asia Women’s Fund (</w:t>
      </w:r>
      <w:r w:rsidR="00056D86" w:rsidRPr="00266FA9">
        <w:rPr>
          <w:rFonts w:ascii="Garamond" w:hAnsi="Garamond"/>
          <w:sz w:val="24"/>
          <w:szCs w:val="24"/>
        </w:rPr>
        <w:t>https://www.awf.or.jp</w:t>
      </w:r>
      <w:r w:rsidR="00E80A47" w:rsidRPr="00266FA9">
        <w:rPr>
          <w:rFonts w:ascii="Garamond" w:hAnsi="Garamond"/>
          <w:sz w:val="24"/>
          <w:szCs w:val="24"/>
        </w:rPr>
        <w:t>).</w:t>
      </w:r>
    </w:p>
    <w:p w14:paraId="73E8DEF1" w14:textId="25CE9F1D" w:rsidR="00FB2D10" w:rsidRPr="00266FA9" w:rsidRDefault="00056D86" w:rsidP="008B1182">
      <w:pPr>
        <w:spacing w:after="0" w:line="240" w:lineRule="auto"/>
        <w:rPr>
          <w:rFonts w:ascii="Garamond" w:hAnsi="Garamond"/>
          <w:sz w:val="24"/>
          <w:szCs w:val="24"/>
        </w:rPr>
      </w:pPr>
      <w:r w:rsidRPr="00266FA9">
        <w:rPr>
          <w:rFonts w:ascii="Garamond" w:hAnsi="Garamond"/>
          <w:sz w:val="24"/>
          <w:szCs w:val="24"/>
        </w:rPr>
        <w:tab/>
      </w:r>
    </w:p>
    <w:p w14:paraId="123E9F12" w14:textId="466BC411" w:rsidR="00004331" w:rsidRPr="00266FA9" w:rsidRDefault="00004331" w:rsidP="008B1182">
      <w:pPr>
        <w:spacing w:after="0" w:line="240" w:lineRule="auto"/>
        <w:rPr>
          <w:rFonts w:ascii="Garamond" w:hAnsi="Garamond"/>
          <w:b/>
          <w:sz w:val="24"/>
          <w:szCs w:val="24"/>
        </w:rPr>
      </w:pPr>
      <w:r w:rsidRPr="00266FA9">
        <w:rPr>
          <w:rFonts w:ascii="Garamond" w:hAnsi="Garamond"/>
          <w:b/>
          <w:sz w:val="24"/>
          <w:szCs w:val="24"/>
        </w:rPr>
        <w:t>(3)</w:t>
      </w:r>
      <w:r w:rsidR="00CA72D6" w:rsidRPr="00266FA9">
        <w:rPr>
          <w:rFonts w:ascii="Garamond" w:hAnsi="Garamond"/>
          <w:b/>
          <w:sz w:val="24"/>
          <w:szCs w:val="24"/>
        </w:rPr>
        <w:t xml:space="preserve"> Statements, remarks, and speeches by the Japanese government</w:t>
      </w:r>
      <w:r w:rsidRPr="00266FA9">
        <w:rPr>
          <w:rFonts w:ascii="Garamond" w:hAnsi="Garamond"/>
          <w:b/>
          <w:sz w:val="24"/>
          <w:szCs w:val="24"/>
        </w:rPr>
        <w:t xml:space="preserve"> </w:t>
      </w:r>
      <w:r w:rsidR="006A6DFE" w:rsidRPr="00266FA9">
        <w:rPr>
          <w:rFonts w:ascii="Garamond" w:hAnsi="Garamond"/>
          <w:b/>
          <w:sz w:val="24"/>
          <w:szCs w:val="24"/>
        </w:rPr>
        <w:t>(1992–2021)</w:t>
      </w:r>
    </w:p>
    <w:p w14:paraId="36830676" w14:textId="77777777" w:rsidR="00B036AC" w:rsidRPr="00266FA9" w:rsidRDefault="00B036AC" w:rsidP="008B1182">
      <w:pPr>
        <w:tabs>
          <w:tab w:val="left" w:pos="2180"/>
        </w:tabs>
        <w:spacing w:after="0" w:line="240" w:lineRule="auto"/>
        <w:rPr>
          <w:rFonts w:ascii="Garamond" w:hAnsi="Garamond"/>
          <w:sz w:val="24"/>
          <w:szCs w:val="24"/>
        </w:rPr>
      </w:pPr>
    </w:p>
    <w:p w14:paraId="2EAC185A" w14:textId="5012C2EC" w:rsidR="00653E59" w:rsidRPr="00266FA9" w:rsidRDefault="00004331" w:rsidP="008B1182">
      <w:pPr>
        <w:tabs>
          <w:tab w:val="left" w:pos="2180"/>
        </w:tabs>
        <w:spacing w:after="0" w:line="240" w:lineRule="auto"/>
        <w:rPr>
          <w:rFonts w:ascii="Garamond" w:hAnsi="Garamond"/>
          <w:sz w:val="24"/>
          <w:szCs w:val="24"/>
        </w:rPr>
      </w:pPr>
      <w:r w:rsidRPr="00266FA9">
        <w:rPr>
          <w:rFonts w:ascii="Garamond" w:hAnsi="Garamond"/>
          <w:sz w:val="24"/>
          <w:szCs w:val="24"/>
        </w:rPr>
        <w:t>Lastly,</w:t>
      </w:r>
      <w:r w:rsidR="00943296" w:rsidRPr="00266FA9">
        <w:rPr>
          <w:rFonts w:ascii="Garamond" w:hAnsi="Garamond"/>
          <w:sz w:val="24"/>
          <w:szCs w:val="24"/>
        </w:rPr>
        <w:t xml:space="preserve"> I collected all available statements</w:t>
      </w:r>
      <w:r w:rsidR="0003466B" w:rsidRPr="00266FA9">
        <w:rPr>
          <w:rFonts w:ascii="Garamond" w:hAnsi="Garamond"/>
          <w:sz w:val="24"/>
          <w:szCs w:val="24"/>
        </w:rPr>
        <w:t>, remarks</w:t>
      </w:r>
      <w:r w:rsidR="00D3529A" w:rsidRPr="00266FA9">
        <w:rPr>
          <w:rFonts w:ascii="Garamond" w:hAnsi="Garamond"/>
          <w:sz w:val="24"/>
          <w:szCs w:val="24"/>
        </w:rPr>
        <w:t xml:space="preserve">, and speeches </w:t>
      </w:r>
      <w:r w:rsidR="00943296" w:rsidRPr="00266FA9">
        <w:rPr>
          <w:rFonts w:ascii="Garamond" w:hAnsi="Garamond"/>
          <w:sz w:val="24"/>
          <w:szCs w:val="24"/>
        </w:rPr>
        <w:t>by Japan’s prime ministers, chief Cabinet secretaries</w:t>
      </w:r>
      <w:r w:rsidR="002F4070" w:rsidRPr="00266FA9">
        <w:rPr>
          <w:rFonts w:ascii="Garamond" w:hAnsi="Garamond"/>
          <w:sz w:val="24"/>
          <w:szCs w:val="24"/>
        </w:rPr>
        <w:t>,</w:t>
      </w:r>
      <w:r w:rsidR="00943296" w:rsidRPr="00266FA9">
        <w:rPr>
          <w:rFonts w:ascii="Garamond" w:hAnsi="Garamond"/>
          <w:sz w:val="24"/>
          <w:szCs w:val="24"/>
        </w:rPr>
        <w:t xml:space="preserve"> </w:t>
      </w:r>
      <w:r w:rsidR="00D3529A" w:rsidRPr="00266FA9">
        <w:rPr>
          <w:rFonts w:ascii="Garamond" w:hAnsi="Garamond"/>
          <w:sz w:val="24"/>
          <w:szCs w:val="24"/>
        </w:rPr>
        <w:t xml:space="preserve">and foreign ministry officials, </w:t>
      </w:r>
      <w:r w:rsidR="00943296" w:rsidRPr="00266FA9">
        <w:rPr>
          <w:rFonts w:ascii="Garamond" w:hAnsi="Garamond"/>
          <w:sz w:val="24"/>
          <w:szCs w:val="24"/>
        </w:rPr>
        <w:t xml:space="preserve">which contain the keyword “comfort women.” Given the focus on international </w:t>
      </w:r>
      <w:r w:rsidR="00CD0012" w:rsidRPr="00266FA9">
        <w:rPr>
          <w:rFonts w:ascii="Garamond" w:hAnsi="Garamond"/>
          <w:sz w:val="24"/>
          <w:szCs w:val="24"/>
        </w:rPr>
        <w:t>condemnations</w:t>
      </w:r>
      <w:r w:rsidR="00943296" w:rsidRPr="00266FA9">
        <w:rPr>
          <w:rFonts w:ascii="Garamond" w:hAnsi="Garamond"/>
          <w:sz w:val="24"/>
          <w:szCs w:val="24"/>
        </w:rPr>
        <w:t xml:space="preserve"> and Japan’s self-proclaimed mission to correct the </w:t>
      </w:r>
      <w:r w:rsidR="00CD0012" w:rsidRPr="00266FA9">
        <w:rPr>
          <w:rFonts w:ascii="Garamond" w:hAnsi="Garamond"/>
          <w:sz w:val="24"/>
          <w:szCs w:val="24"/>
        </w:rPr>
        <w:t>international community’s misu</w:t>
      </w:r>
      <w:r w:rsidR="00943296" w:rsidRPr="00266FA9">
        <w:rPr>
          <w:rFonts w:ascii="Garamond" w:hAnsi="Garamond"/>
          <w:sz w:val="24"/>
          <w:szCs w:val="24"/>
        </w:rPr>
        <w:t xml:space="preserve">nderstanding of the comfort </w:t>
      </w:r>
      <w:r w:rsidR="006A6DFE" w:rsidRPr="00266FA9">
        <w:rPr>
          <w:rFonts w:ascii="Garamond" w:hAnsi="Garamond"/>
          <w:sz w:val="24"/>
          <w:szCs w:val="24"/>
        </w:rPr>
        <w:t>women</w:t>
      </w:r>
      <w:r w:rsidR="00943296" w:rsidRPr="00266FA9">
        <w:rPr>
          <w:rFonts w:ascii="Garamond" w:hAnsi="Garamond"/>
          <w:sz w:val="24"/>
          <w:szCs w:val="24"/>
        </w:rPr>
        <w:t xml:space="preserve"> issue, I collected </w:t>
      </w:r>
      <w:r w:rsidR="0003466B" w:rsidRPr="00266FA9">
        <w:rPr>
          <w:rFonts w:ascii="Garamond" w:hAnsi="Garamond"/>
          <w:sz w:val="24"/>
          <w:szCs w:val="24"/>
        </w:rPr>
        <w:t>texts available</w:t>
      </w:r>
      <w:r w:rsidR="00943296" w:rsidRPr="00266FA9">
        <w:rPr>
          <w:rFonts w:ascii="Garamond" w:hAnsi="Garamond"/>
          <w:sz w:val="24"/>
          <w:szCs w:val="24"/>
        </w:rPr>
        <w:t xml:space="preserve"> in English. </w:t>
      </w:r>
      <w:r w:rsidR="00B1767A" w:rsidRPr="00266FA9">
        <w:rPr>
          <w:rFonts w:ascii="Garamond" w:hAnsi="Garamond"/>
          <w:sz w:val="24"/>
          <w:szCs w:val="24"/>
        </w:rPr>
        <w:t>The</w:t>
      </w:r>
      <w:r w:rsidR="000575CA" w:rsidRPr="00266FA9">
        <w:rPr>
          <w:rFonts w:ascii="Garamond" w:hAnsi="Garamond"/>
          <w:sz w:val="24"/>
          <w:szCs w:val="24"/>
        </w:rPr>
        <w:t xml:space="preserve"> texts were compiled fr</w:t>
      </w:r>
      <w:r w:rsidR="00943296" w:rsidRPr="00266FA9">
        <w:rPr>
          <w:rFonts w:ascii="Garamond" w:hAnsi="Garamond"/>
          <w:sz w:val="24"/>
          <w:szCs w:val="24"/>
        </w:rPr>
        <w:t>o</w:t>
      </w:r>
      <w:r w:rsidR="000575CA" w:rsidRPr="00266FA9">
        <w:rPr>
          <w:rFonts w:ascii="Garamond" w:hAnsi="Garamond"/>
          <w:sz w:val="24"/>
          <w:szCs w:val="24"/>
        </w:rPr>
        <w:t xml:space="preserve">m the following </w:t>
      </w:r>
      <w:r w:rsidR="0051209F" w:rsidRPr="00266FA9">
        <w:rPr>
          <w:rFonts w:ascii="Garamond" w:hAnsi="Garamond"/>
          <w:sz w:val="24"/>
          <w:szCs w:val="24"/>
        </w:rPr>
        <w:t>web sources</w:t>
      </w:r>
      <w:r w:rsidR="000575CA" w:rsidRPr="00266FA9">
        <w:rPr>
          <w:rFonts w:ascii="Garamond" w:hAnsi="Garamond"/>
          <w:sz w:val="24"/>
          <w:szCs w:val="24"/>
        </w:rPr>
        <w:t xml:space="preserve">: the </w:t>
      </w:r>
      <w:r w:rsidR="0051209F" w:rsidRPr="00266FA9">
        <w:rPr>
          <w:rFonts w:ascii="Garamond" w:hAnsi="Garamond"/>
          <w:sz w:val="24"/>
          <w:szCs w:val="24"/>
        </w:rPr>
        <w:t>M</w:t>
      </w:r>
      <w:r w:rsidR="000575CA" w:rsidRPr="00266FA9">
        <w:rPr>
          <w:rFonts w:ascii="Garamond" w:hAnsi="Garamond"/>
          <w:sz w:val="24"/>
          <w:szCs w:val="24"/>
        </w:rPr>
        <w:t>inistry</w:t>
      </w:r>
      <w:r w:rsidR="0051209F" w:rsidRPr="00266FA9">
        <w:rPr>
          <w:rFonts w:ascii="Garamond" w:hAnsi="Garamond"/>
          <w:sz w:val="24"/>
          <w:szCs w:val="24"/>
        </w:rPr>
        <w:t xml:space="preserve"> of Foreign Affairs </w:t>
      </w:r>
      <w:r w:rsidR="0051209F" w:rsidRPr="00266FA9">
        <w:rPr>
          <w:rFonts w:ascii="Garamond" w:hAnsi="Garamond"/>
          <w:sz w:val="24"/>
          <w:szCs w:val="24"/>
        </w:rPr>
        <w:lastRenderedPageBreak/>
        <w:t>of Japan</w:t>
      </w:r>
      <w:r w:rsidR="00813260" w:rsidRPr="00266FA9">
        <w:rPr>
          <w:rFonts w:ascii="Garamond" w:hAnsi="Garamond"/>
          <w:sz w:val="24"/>
          <w:szCs w:val="24"/>
        </w:rPr>
        <w:t xml:space="preserve">, including the archive of press conferences </w:t>
      </w:r>
      <w:r w:rsidR="00252517" w:rsidRPr="00266FA9">
        <w:rPr>
          <w:rFonts w:ascii="Garamond" w:hAnsi="Garamond"/>
          <w:sz w:val="24"/>
          <w:szCs w:val="24"/>
        </w:rPr>
        <w:t xml:space="preserve">and the annual </w:t>
      </w:r>
      <w:bookmarkStart w:id="1" w:name="_Hlk133875920"/>
      <w:r w:rsidR="00252517" w:rsidRPr="00266FA9">
        <w:rPr>
          <w:rFonts w:ascii="Garamond" w:hAnsi="Garamond"/>
          <w:sz w:val="24"/>
          <w:szCs w:val="24"/>
        </w:rPr>
        <w:t>Diplomatic Blue</w:t>
      </w:r>
      <w:r w:rsidR="00AC391E" w:rsidRPr="00266FA9">
        <w:rPr>
          <w:rFonts w:ascii="Garamond" w:hAnsi="Garamond"/>
          <w:sz w:val="24"/>
          <w:szCs w:val="24"/>
        </w:rPr>
        <w:t>b</w:t>
      </w:r>
      <w:r w:rsidR="00252517" w:rsidRPr="00266FA9">
        <w:rPr>
          <w:rFonts w:ascii="Garamond" w:hAnsi="Garamond"/>
          <w:sz w:val="24"/>
          <w:szCs w:val="24"/>
        </w:rPr>
        <w:t xml:space="preserve">ook </w:t>
      </w:r>
      <w:bookmarkEnd w:id="1"/>
      <w:r w:rsidR="00252517" w:rsidRPr="00266FA9">
        <w:rPr>
          <w:rFonts w:ascii="Garamond" w:hAnsi="Garamond"/>
          <w:sz w:val="24"/>
          <w:szCs w:val="24"/>
        </w:rPr>
        <w:t>(https://www.mofa.go.jp)</w:t>
      </w:r>
      <w:r w:rsidR="008766A0" w:rsidRPr="00266FA9">
        <w:rPr>
          <w:rFonts w:ascii="Garamond" w:hAnsi="Garamond"/>
          <w:sz w:val="24"/>
          <w:szCs w:val="24"/>
        </w:rPr>
        <w:t>;</w:t>
      </w:r>
      <w:r w:rsidR="000575CA" w:rsidRPr="00266FA9">
        <w:rPr>
          <w:rFonts w:ascii="Garamond" w:hAnsi="Garamond"/>
          <w:sz w:val="24"/>
          <w:szCs w:val="24"/>
        </w:rPr>
        <w:t xml:space="preserve"> Prime Minister of Japan and His Cabinet</w:t>
      </w:r>
      <w:r w:rsidR="00B66198" w:rsidRPr="00266FA9">
        <w:rPr>
          <w:rFonts w:ascii="Garamond" w:hAnsi="Garamond"/>
          <w:sz w:val="24"/>
          <w:szCs w:val="24"/>
        </w:rPr>
        <w:t xml:space="preserve">, including press conferences by the </w:t>
      </w:r>
      <w:r w:rsidR="00797D82" w:rsidRPr="00266FA9">
        <w:rPr>
          <w:rFonts w:ascii="Garamond" w:hAnsi="Garamond"/>
          <w:sz w:val="24"/>
          <w:szCs w:val="24"/>
        </w:rPr>
        <w:t>c</w:t>
      </w:r>
      <w:r w:rsidR="00B66198" w:rsidRPr="00266FA9">
        <w:rPr>
          <w:rFonts w:ascii="Garamond" w:hAnsi="Garamond"/>
          <w:sz w:val="24"/>
          <w:szCs w:val="24"/>
        </w:rPr>
        <w:t>hief Cabinet secretary</w:t>
      </w:r>
      <w:r w:rsidR="00FE1618" w:rsidRPr="00266FA9">
        <w:rPr>
          <w:rFonts w:ascii="Garamond" w:hAnsi="Garamond"/>
          <w:sz w:val="24"/>
          <w:szCs w:val="24"/>
        </w:rPr>
        <w:t xml:space="preserve"> (https://japan.kantei.go.jp)</w:t>
      </w:r>
      <w:r w:rsidR="008766A0" w:rsidRPr="00266FA9">
        <w:rPr>
          <w:rFonts w:ascii="Garamond" w:hAnsi="Garamond"/>
          <w:sz w:val="24"/>
          <w:szCs w:val="24"/>
        </w:rPr>
        <w:t>;</w:t>
      </w:r>
      <w:r w:rsidR="00F81A9B" w:rsidRPr="00266FA9">
        <w:rPr>
          <w:rFonts w:ascii="Garamond" w:hAnsi="Garamond"/>
          <w:sz w:val="24"/>
          <w:szCs w:val="24"/>
        </w:rPr>
        <w:t xml:space="preserve"> </w:t>
      </w:r>
      <w:r w:rsidR="00795035" w:rsidRPr="00266FA9">
        <w:rPr>
          <w:rFonts w:ascii="Garamond" w:hAnsi="Garamond"/>
          <w:sz w:val="24"/>
          <w:szCs w:val="24"/>
        </w:rPr>
        <w:t>the Digital Museum created by the Asian Women's Fund (https://www.awf.or.jp)</w:t>
      </w:r>
      <w:r w:rsidR="008766A0" w:rsidRPr="00266FA9">
        <w:rPr>
          <w:rFonts w:ascii="Garamond" w:hAnsi="Garamond"/>
          <w:sz w:val="24"/>
          <w:szCs w:val="24"/>
        </w:rPr>
        <w:t>;</w:t>
      </w:r>
      <w:r w:rsidR="00F81A9B" w:rsidRPr="00266FA9">
        <w:rPr>
          <w:rFonts w:ascii="Garamond" w:hAnsi="Garamond"/>
          <w:sz w:val="24"/>
          <w:szCs w:val="24"/>
        </w:rPr>
        <w:t xml:space="preserve"> “The World and Japan” Database</w:t>
      </w:r>
      <w:r w:rsidR="000575CA" w:rsidRPr="00266FA9">
        <w:rPr>
          <w:rFonts w:ascii="Garamond" w:hAnsi="Garamond"/>
          <w:sz w:val="24"/>
          <w:szCs w:val="24"/>
        </w:rPr>
        <w:t xml:space="preserve"> </w:t>
      </w:r>
      <w:r w:rsidR="00F81A9B" w:rsidRPr="00266FA9">
        <w:rPr>
          <w:rFonts w:ascii="Garamond" w:hAnsi="Garamond"/>
          <w:sz w:val="24"/>
          <w:szCs w:val="24"/>
        </w:rPr>
        <w:t>(</w:t>
      </w:r>
      <w:r w:rsidR="00FE1618" w:rsidRPr="00266FA9">
        <w:rPr>
          <w:rFonts w:ascii="Garamond" w:hAnsi="Garamond"/>
          <w:sz w:val="24"/>
          <w:szCs w:val="24"/>
        </w:rPr>
        <w:t>https://worldjpn.net</w:t>
      </w:r>
      <w:r w:rsidR="00F81A9B" w:rsidRPr="00266FA9">
        <w:rPr>
          <w:rFonts w:ascii="Garamond" w:hAnsi="Garamond"/>
          <w:sz w:val="24"/>
          <w:szCs w:val="24"/>
        </w:rPr>
        <w:t>)</w:t>
      </w:r>
      <w:r w:rsidR="00F72A94" w:rsidRPr="00266FA9">
        <w:rPr>
          <w:rFonts w:ascii="Garamond" w:hAnsi="Garamond"/>
          <w:sz w:val="24"/>
          <w:szCs w:val="24"/>
        </w:rPr>
        <w:t>;</w:t>
      </w:r>
      <w:r w:rsidR="00F81A9B" w:rsidRPr="00266FA9">
        <w:rPr>
          <w:rFonts w:ascii="Garamond" w:hAnsi="Garamond"/>
          <w:sz w:val="24"/>
          <w:szCs w:val="24"/>
        </w:rPr>
        <w:t xml:space="preserve"> </w:t>
      </w:r>
      <w:r w:rsidR="00A500CE" w:rsidRPr="00266FA9">
        <w:rPr>
          <w:rFonts w:ascii="Garamond" w:hAnsi="Garamond"/>
          <w:sz w:val="24"/>
          <w:szCs w:val="24"/>
        </w:rPr>
        <w:t xml:space="preserve">and </w:t>
      </w:r>
      <w:r w:rsidR="0051209F" w:rsidRPr="00266FA9">
        <w:rPr>
          <w:rFonts w:ascii="Garamond" w:hAnsi="Garamond"/>
          <w:sz w:val="24"/>
          <w:szCs w:val="24"/>
        </w:rPr>
        <w:t xml:space="preserve">the Center for Korean Legal Studies at Columbia Law School </w:t>
      </w:r>
      <w:r w:rsidR="000575CA" w:rsidRPr="00266FA9">
        <w:rPr>
          <w:rFonts w:ascii="Garamond" w:hAnsi="Garamond"/>
          <w:sz w:val="24"/>
          <w:szCs w:val="24"/>
        </w:rPr>
        <w:t>(</w:t>
      </w:r>
      <w:r w:rsidR="007251F6" w:rsidRPr="00266FA9">
        <w:rPr>
          <w:rFonts w:ascii="Garamond" w:hAnsi="Garamond"/>
          <w:sz w:val="24"/>
          <w:szCs w:val="24"/>
        </w:rPr>
        <w:t>https://kls.law.columbia.edu</w:t>
      </w:r>
      <w:r w:rsidR="000575CA" w:rsidRPr="00266FA9">
        <w:rPr>
          <w:rFonts w:ascii="Garamond" w:hAnsi="Garamond"/>
          <w:sz w:val="24"/>
          <w:szCs w:val="24"/>
        </w:rPr>
        <w:t>).</w:t>
      </w:r>
      <w:r w:rsidR="007251F6" w:rsidRPr="00266FA9">
        <w:rPr>
          <w:rFonts w:ascii="Garamond" w:hAnsi="Garamond"/>
          <w:sz w:val="24"/>
          <w:szCs w:val="24"/>
        </w:rPr>
        <w:t xml:space="preserve"> </w:t>
      </w:r>
      <w:r w:rsidR="00653E59" w:rsidRPr="00266FA9">
        <w:rPr>
          <w:rFonts w:ascii="Garamond" w:hAnsi="Garamond"/>
          <w:sz w:val="24"/>
          <w:szCs w:val="24"/>
        </w:rPr>
        <w:t>I add</w:t>
      </w:r>
      <w:r w:rsidR="006A6DFE" w:rsidRPr="00266FA9">
        <w:rPr>
          <w:rFonts w:ascii="Garamond" w:hAnsi="Garamond"/>
          <w:sz w:val="24"/>
          <w:szCs w:val="24"/>
        </w:rPr>
        <w:t>ed</w:t>
      </w:r>
      <w:r w:rsidR="00653E59" w:rsidRPr="00266FA9">
        <w:rPr>
          <w:rFonts w:ascii="Garamond" w:hAnsi="Garamond"/>
          <w:sz w:val="24"/>
          <w:szCs w:val="24"/>
        </w:rPr>
        <w:t xml:space="preserve"> statements from the Asian Women’s Fund despite the program’s ambiguous nature </w:t>
      </w:r>
      <w:r w:rsidR="00DC3ACF" w:rsidRPr="00266FA9">
        <w:rPr>
          <w:rFonts w:ascii="Garamond" w:hAnsi="Garamond"/>
          <w:sz w:val="24"/>
          <w:szCs w:val="24"/>
        </w:rPr>
        <w:t xml:space="preserve">as a non-government entity </w:t>
      </w:r>
      <w:r w:rsidR="00653E59" w:rsidRPr="00266FA9">
        <w:rPr>
          <w:rFonts w:ascii="Garamond" w:hAnsi="Garamond"/>
          <w:sz w:val="24"/>
          <w:szCs w:val="24"/>
        </w:rPr>
        <w:t xml:space="preserve">because it was established as a result of the Japanese government’s own deliberations </w:t>
      </w:r>
      <w:r w:rsidR="00AC391E" w:rsidRPr="00266FA9">
        <w:rPr>
          <w:rFonts w:ascii="Garamond" w:hAnsi="Garamond"/>
          <w:sz w:val="24"/>
          <w:szCs w:val="24"/>
        </w:rPr>
        <w:t xml:space="preserve">about </w:t>
      </w:r>
      <w:r w:rsidR="00653E59" w:rsidRPr="00266FA9">
        <w:rPr>
          <w:rFonts w:ascii="Garamond" w:hAnsi="Garamond"/>
          <w:sz w:val="24"/>
          <w:szCs w:val="24"/>
        </w:rPr>
        <w:t xml:space="preserve">the comfort women issue. The program’s establishment is itself an enunciation of the official view that the comfort women issue had already been legally resolved. </w:t>
      </w:r>
    </w:p>
    <w:p w14:paraId="2C5F610B" w14:textId="07288A96" w:rsidR="00004331" w:rsidRPr="00266FA9" w:rsidRDefault="00004331" w:rsidP="008B1182">
      <w:pPr>
        <w:tabs>
          <w:tab w:val="left" w:pos="2180"/>
        </w:tabs>
        <w:spacing w:after="0" w:line="240" w:lineRule="auto"/>
      </w:pPr>
    </w:p>
    <w:p w14:paraId="11A28A7A" w14:textId="76564685" w:rsidR="008A6967" w:rsidRPr="00266FA9" w:rsidRDefault="003549D2" w:rsidP="008B1182">
      <w:pPr>
        <w:spacing w:after="0" w:line="240" w:lineRule="auto"/>
        <w:jc w:val="center"/>
        <w:rPr>
          <w:rFonts w:ascii="Garamond" w:hAnsi="Garamond"/>
          <w:b/>
          <w:sz w:val="24"/>
          <w:szCs w:val="24"/>
        </w:rPr>
      </w:pPr>
      <w:r w:rsidRPr="00266FA9">
        <w:rPr>
          <w:rFonts w:ascii="Garamond" w:hAnsi="Garamond"/>
          <w:b/>
          <w:sz w:val="24"/>
          <w:szCs w:val="24"/>
        </w:rPr>
        <w:t xml:space="preserve">Table </w:t>
      </w:r>
      <w:r w:rsidR="006F456F" w:rsidRPr="00266FA9">
        <w:rPr>
          <w:rFonts w:ascii="Garamond" w:hAnsi="Garamond"/>
          <w:b/>
          <w:sz w:val="24"/>
          <w:szCs w:val="24"/>
        </w:rPr>
        <w:t>2</w:t>
      </w:r>
      <w:r w:rsidRPr="00266FA9">
        <w:rPr>
          <w:rFonts w:ascii="Garamond" w:hAnsi="Garamond"/>
          <w:b/>
          <w:sz w:val="24"/>
          <w:szCs w:val="24"/>
        </w:rPr>
        <w:t xml:space="preserve">: </w:t>
      </w:r>
      <w:r w:rsidR="006F456F" w:rsidRPr="00266FA9">
        <w:rPr>
          <w:rFonts w:ascii="Garamond" w:hAnsi="Garamond"/>
          <w:b/>
          <w:sz w:val="24"/>
          <w:szCs w:val="24"/>
        </w:rPr>
        <w:t>S</w:t>
      </w:r>
      <w:r w:rsidRPr="00266FA9">
        <w:rPr>
          <w:rFonts w:ascii="Garamond" w:hAnsi="Garamond"/>
          <w:b/>
          <w:sz w:val="24"/>
          <w:szCs w:val="24"/>
        </w:rPr>
        <w:t>tatements</w:t>
      </w:r>
      <w:r w:rsidR="006F456F" w:rsidRPr="00266FA9">
        <w:rPr>
          <w:rFonts w:ascii="Garamond" w:hAnsi="Garamond"/>
          <w:b/>
          <w:sz w:val="24"/>
          <w:szCs w:val="24"/>
        </w:rPr>
        <w:t xml:space="preserve">, </w:t>
      </w:r>
      <w:r w:rsidR="005B74D2" w:rsidRPr="00266FA9">
        <w:rPr>
          <w:rFonts w:ascii="Garamond" w:hAnsi="Garamond"/>
          <w:b/>
          <w:sz w:val="24"/>
          <w:szCs w:val="24"/>
        </w:rPr>
        <w:t xml:space="preserve">reports, and </w:t>
      </w:r>
      <w:r w:rsidR="000137B6" w:rsidRPr="00266FA9">
        <w:rPr>
          <w:rFonts w:ascii="Garamond" w:hAnsi="Garamond"/>
          <w:b/>
          <w:sz w:val="24"/>
          <w:szCs w:val="24"/>
        </w:rPr>
        <w:t>remarks</w:t>
      </w:r>
      <w:r w:rsidR="006F456F" w:rsidRPr="00266FA9">
        <w:rPr>
          <w:rFonts w:ascii="Garamond" w:hAnsi="Garamond"/>
          <w:b/>
          <w:sz w:val="24"/>
          <w:szCs w:val="24"/>
        </w:rPr>
        <w:t xml:space="preserve"> by the Japanese government</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300"/>
        <w:gridCol w:w="1261"/>
        <w:gridCol w:w="3060"/>
      </w:tblGrid>
      <w:tr w:rsidR="00266FA9" w:rsidRPr="00266FA9" w14:paraId="08812EAA"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6AA7" w14:textId="360B7E67" w:rsidR="002E080A" w:rsidRPr="00266FA9" w:rsidRDefault="002E080A" w:rsidP="008B1182">
            <w:pPr>
              <w:spacing w:after="0" w:line="240" w:lineRule="auto"/>
              <w:jc w:val="center"/>
              <w:rPr>
                <w:rFonts w:ascii="Garamond" w:eastAsia="Times New Roman" w:hAnsi="Garamond" w:cs="Calibri"/>
                <w:b/>
              </w:rPr>
            </w:pPr>
            <w:r w:rsidRPr="00266FA9">
              <w:rPr>
                <w:rFonts w:ascii="Garamond" w:eastAsia="Times New Roman" w:hAnsi="Garamond" w:cs="Calibri"/>
                <w:b/>
              </w:rPr>
              <w:t>DATE</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B6F40" w14:textId="77777777" w:rsidR="002E080A" w:rsidRPr="00266FA9" w:rsidRDefault="002E080A" w:rsidP="008B1182">
            <w:pPr>
              <w:spacing w:after="0" w:line="240" w:lineRule="auto"/>
              <w:jc w:val="center"/>
              <w:rPr>
                <w:rFonts w:ascii="Garamond" w:eastAsia="Times New Roman" w:hAnsi="Garamond" w:cs="Calibri"/>
                <w:b/>
              </w:rPr>
            </w:pPr>
            <w:r w:rsidRPr="00266FA9">
              <w:rPr>
                <w:rFonts w:ascii="Garamond" w:eastAsia="Times New Roman" w:hAnsi="Garamond" w:cs="Calibri"/>
                <w:b/>
              </w:rPr>
              <w:t>SOURCE</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9C88" w14:textId="77777777" w:rsidR="002E080A" w:rsidRPr="00266FA9" w:rsidRDefault="002E080A" w:rsidP="008B1182">
            <w:pPr>
              <w:spacing w:after="0" w:line="240" w:lineRule="auto"/>
              <w:jc w:val="center"/>
              <w:rPr>
                <w:rFonts w:ascii="Garamond" w:eastAsia="Times New Roman" w:hAnsi="Garamond" w:cs="Calibri"/>
                <w:b/>
              </w:rPr>
            </w:pPr>
            <w:r w:rsidRPr="00266FA9">
              <w:rPr>
                <w:rFonts w:ascii="Garamond" w:eastAsia="Times New Roman" w:hAnsi="Garamond" w:cs="Calibri"/>
                <w:b/>
              </w:rPr>
              <w:t>DATE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BC51" w14:textId="77777777" w:rsidR="002E080A" w:rsidRPr="00266FA9" w:rsidRDefault="002E080A" w:rsidP="008B1182">
            <w:pPr>
              <w:spacing w:after="0" w:line="240" w:lineRule="auto"/>
              <w:jc w:val="center"/>
              <w:rPr>
                <w:rFonts w:ascii="Garamond" w:eastAsia="Times New Roman" w:hAnsi="Garamond" w:cs="Calibri"/>
                <w:b/>
              </w:rPr>
            </w:pPr>
            <w:r w:rsidRPr="00266FA9">
              <w:rPr>
                <w:rFonts w:ascii="Garamond" w:eastAsia="Times New Roman" w:hAnsi="Garamond" w:cs="Calibri"/>
                <w:b/>
              </w:rPr>
              <w:t>SOURCE</w:t>
            </w:r>
          </w:p>
        </w:tc>
      </w:tr>
      <w:tr w:rsidR="00266FA9" w:rsidRPr="00266FA9" w14:paraId="19960B7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E74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1/17/1992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3775" w14:textId="20E07DD6" w:rsidR="002E080A" w:rsidRPr="00266FA9" w:rsidRDefault="00454C52"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9338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11/14/2014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AD2C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34099C5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3395D" w14:textId="00F12CD1"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4/1992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C69C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375C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11/18/2014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1AE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16BDB41"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02EB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7/6/1992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0724" w14:textId="7D7DA1C3"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Chief Cabinet Secretary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4BAE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2/20/2015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27E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8952A2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71CA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8/4/1993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72C1" w14:textId="04E5C32F"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Chief Cabinet Secretary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9324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2/25/2015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914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7C199BF1"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618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8/4/1993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1F3B" w14:textId="36DBE655"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Cabinet Secretariat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AF43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3/23/2015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7133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F9ADE52"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60C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8/31/1994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0E8D" w14:textId="350E692D" w:rsidR="002E080A" w:rsidRPr="00266FA9" w:rsidRDefault="00454C52"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1ED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3/26/2015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4CB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66838D4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B63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12/7/1994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78A7" w14:textId="5F416A78"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The Sub-committee to Address the Wartime Comfort Women Issue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979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5/13/2015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CF6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7384901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FE3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6/14/1995</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811C" w14:textId="1EE556D8"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Chief Cabinet Secretary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6F60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6/15/2015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135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1391D0A2"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80DD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7/18/1995</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771A1" w14:textId="07F36138"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Prime Minister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F11B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6/21/2015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813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1324F1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97E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8/11/1995</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D2C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Cabinet</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B0B0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8/14/2015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43F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6213319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02D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A667" w14:textId="2B4A9552" w:rsidR="002E080A" w:rsidRPr="00266FA9" w:rsidRDefault="005A1DED"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B56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81CB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DF13F1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1B4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DC1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5CD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10/23/2015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66EB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4C3EEE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1C9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2/6/1996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E5CD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B8BE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10/27/2015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E06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A7332B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13C4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3/5/1996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75B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D17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62EE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5D9F4A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1AB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4/23/1996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3655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E29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11/2/2015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6EA5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4B2E30D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C3E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6/7/1996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5399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EE4D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11/2/2015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F28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002B36D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3F8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6/18/1996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6B6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EBD4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11/11/2015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F765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71C98296"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33ECE" w14:textId="5FF02575"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10/1996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2BD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D35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11/13/2015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D86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71401E3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98A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1/11/1997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D2C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036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11/13/2015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A112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709BBD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0E2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1/17/1997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D6D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ECC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11/19/2015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F6C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1CCB3C9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8D94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1/21/1997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C03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1F3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12/15/2015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4C9B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1DEE4B39"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F13F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1/28/1997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CBDC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0C4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12/25/2015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0F0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4BC8275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8EB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12/16/1997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7E77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Cabinet</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543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12/28/2015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B50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50046E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ACF6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6/11/1998</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D01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2AD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12/28/2015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4DF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702ECE8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08A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7/15/1998</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DDF1B" w14:textId="3EB29AA2"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Prime Minister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4E7C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1/5/2016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B7B8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3ED6620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B46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9/1/2000</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EFC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A1BC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1/5/2016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9E9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26D2CA6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B3F1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9/1/2000</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151EB" w14:textId="64E30BF2"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Chief Cabinet Secretary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06D0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1/7/2016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6CE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51342F3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041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9/19/2000</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8D52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EBB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1/8/2016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0F6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323AF8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5351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1/1/2001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8057" w14:textId="05256DD6"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 xml:space="preserve">Prime Minister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452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1/15/2016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925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3869ED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AAE9" w14:textId="2049486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06/2001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7BB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275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1/26/2016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B1FF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5B52894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D8C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lastRenderedPageBreak/>
              <w:t>2/20/2002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E34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FD44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1/26/2016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EF46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F5F2DA9"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3B2C" w14:textId="79687195"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10/2002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CC58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37F6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1/27/2016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497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Deputy Chief Cabinet Secretary</w:t>
            </w:r>
          </w:p>
        </w:tc>
      </w:tr>
      <w:tr w:rsidR="00266FA9" w:rsidRPr="00266FA9" w14:paraId="53E5A1C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5993" w14:textId="682A84AE"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1/2003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4A8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The Government of Japan</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CB72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1/29/2016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01E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73A74B4"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B865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1/24/2005</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C880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C1E2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2/17/2016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D0A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39D0381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BF5A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1/24/2005</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06D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897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937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Deputy Chief Cabinet Secretary</w:t>
            </w:r>
          </w:p>
        </w:tc>
      </w:tr>
      <w:tr w:rsidR="00266FA9" w:rsidRPr="00266FA9" w14:paraId="4AD24E8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5AD9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8/26/2005</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59C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D7AD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3/11/2016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2EC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605FF91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65E9" w14:textId="4EE632DF" w:rsidR="002E080A" w:rsidRPr="00266FA9" w:rsidRDefault="00BD099E" w:rsidP="008B1182">
            <w:pPr>
              <w:spacing w:after="0" w:line="240" w:lineRule="auto"/>
              <w:jc w:val="right"/>
              <w:rPr>
                <w:rFonts w:ascii="Garamond" w:eastAsia="Times New Roman" w:hAnsi="Garamond" w:cs="Calibri"/>
              </w:rPr>
            </w:pPr>
            <w:r w:rsidRPr="00266FA9">
              <w:rPr>
                <w:rFonts w:ascii="Garamond" w:eastAsia="Times New Roman" w:hAnsi="Garamond" w:cs="Calibri"/>
              </w:rPr>
              <w:t>4/2006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543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FA12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4/1/2016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5BB5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3E3250F6"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484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11/19/2006</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FD9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8B9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4/22/2016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6A4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4EC32C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8B54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3/6/2007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00CD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3A9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5/17/2016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A72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Deputy Chief Cabinet Secretary</w:t>
            </w:r>
          </w:p>
        </w:tc>
      </w:tr>
      <w:tr w:rsidR="00266FA9" w:rsidRPr="00266FA9" w14:paraId="351EFFB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D66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2/20/2007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3278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6F4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5/30/2016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FAD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68BB6B3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D68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3/9/2007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40E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575B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5/31/2016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142C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527EB7E9"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DDA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3/20/2007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F98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CAF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5/31/2016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3E4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1EADAB1"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385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3/27/2007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360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Asian Women’s Fund</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A59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95E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7BCADA4"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AA6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4/3/2007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A96D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E3B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1B80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1083A6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E5E0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5/22/2007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BFF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E13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6/28/2016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B77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57374D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6901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6/19/2007</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6FA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CEE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7/25/2016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619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3A73CA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ECB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10/8/2009</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3B4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72CF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7/29/2016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4BA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9F742F6"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BD9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9/15/2011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C2B6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480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8/2/2016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9985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34DDC8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B80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12/14/2011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A42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6748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8/12/2016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9C1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4A6B18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B7B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12/14/2011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743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D5D8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8/24/2016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A3EC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C99DB0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71F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12/15/2011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373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2A5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8/24/2016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454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7CC993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848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12/18/2011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CA82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9EB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9/7/2016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55F7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227569D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FDC2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12/19/2011</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BA7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AD2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9/30/2016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E08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6CCABA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20B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4/25/2012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F9F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815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10/25/2016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A521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5809FA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2EBD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5/24/2012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180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BBF1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1/17/2017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EE8A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8407A9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474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6/22/2012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031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B88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1/19/2017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538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58C21DE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C128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9/27/2012</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A1C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30B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1/31/2017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480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5EE562A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C29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1/31/2013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359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725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2/1/2017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34BF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Government of Japan</w:t>
            </w:r>
          </w:p>
        </w:tc>
      </w:tr>
      <w:tr w:rsidR="00266FA9" w:rsidRPr="00266FA9" w14:paraId="0B8D354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3F9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3/29/2013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8AC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E936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2/3/2017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256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28D2D7DA"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335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5/9/2013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9950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45B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2/20/2017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A0A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068D067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993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5/14/2013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5B6B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34E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6/30/2017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CE15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1F72F59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F0D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5/15/2013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DAB1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9D4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6/30/2017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123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6A62DD2"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766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5/17/2013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168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2B76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7/11/2017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77A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730B4D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A27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5/21/2013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71A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14B7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7/24/2017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03B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529634CA"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4D6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5/22/2013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7CB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CAC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7/25/2017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EF9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46BF8C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FC2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5/27/2013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568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AC03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8/3/2017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C5D1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F933EC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81D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5/31/2013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569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F8B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8/7/2017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E1A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662846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3FA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6/18/2013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368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7D6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9/7/2017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F61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2F23EF8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993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7/25/2013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CA53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B96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9/15/2017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3B1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3BD724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CAA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7/26/2013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38D3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25F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9/27/2017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623E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2BA23C9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ABB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7/31/2013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6911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880F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9/29/2017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346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5A7BE6E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542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lastRenderedPageBreak/>
              <w:t>10/9/2013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49B4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E77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11/24/2017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463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246BC73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F35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11/6/2013</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BB0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EF7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12/12/2017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65B5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085C5ED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761C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FCBD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C7A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12/27/2017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5BB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3F65B3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F0C0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1/31/2014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9C6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4BFF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1/9/2018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4CC8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974CD1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5109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2/20/2014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182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3DB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1/16/2018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ECCD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C9427E4"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BB5C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2/21/2014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A754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11B2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2/9/2018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B673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6ABC0C4E"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070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2/24/2014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8AE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086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2/23/2018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F40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3BE0399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030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2/28/2014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CC3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BF1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2/23/2018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808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E4D369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978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77F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51B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EE4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r>
      <w:tr w:rsidR="00266FA9" w:rsidRPr="00266FA9" w14:paraId="2CB8150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05D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FD6E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1E3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5/9/2018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D3F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7EA1A32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AD7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CA9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534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6/19/2018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978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3EE889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D074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3/12/2014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0F3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F52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8/2/2018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547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EC6E08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916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3/14/2014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EAB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8DA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9/11/2018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51E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131FAA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059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3/24/2014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433F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AC6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9/20/2018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AAB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7CC44A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B4E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3/13/2014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F2C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6EB7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9/25/2018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4EA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7F473D5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20C5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3/18/2014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11BE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8D9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10/30/2018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71B7"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BDB564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A085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3/27/2014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505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00B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11/20/2018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1D5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C67D89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A6F7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4/16/2014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D12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E32A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11/21/2018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5C6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3E296F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399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4/17/2014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D41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9359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2/12/2019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EDB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558128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A4B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4/18/2014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DFD4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F74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2/22/2019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0A6B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1CC8A34"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C3F8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6/13/2014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007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FBE6"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2/26/2019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98D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8FC547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EC58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6/20/2014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C7A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Study Team on the Details Leading to the Drafting of the Kono Statement etc.</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5067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10/17/2019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320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270B56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159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6/20/2014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5E0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F60F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10/18/2019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82B4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6DD05E2"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AFD4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7/25/2014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E7E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613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11/13/2019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46F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777142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A9F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8/4/2014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FE3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468E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12/27/2019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59B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0498803"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F9D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8/5/2014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3BE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AB4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5/19/2020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18D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BBF0F7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8C6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C61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5994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10/14/2020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61DB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EEDD3E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DFC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8/7/2014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F0A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85C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10/21/2020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B28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F7909A2"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4B57"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9/5/2014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1D32"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70A24"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12/25/2020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CE0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AEDC845"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67F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451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7A9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1/8/2021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E62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Prime Minister</w:t>
            </w:r>
          </w:p>
        </w:tc>
      </w:tr>
      <w:tr w:rsidR="00266FA9" w:rsidRPr="00266FA9" w14:paraId="37F50A5D"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8ED10"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B4B2A"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Deputy 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679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1/8/2021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FEAD"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2BC7D9D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719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9/17/2014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2A07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Deputy 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244C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1/9/2021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465F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478D35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00A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9/18/2014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E973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Deputy 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6B6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1/14/2021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43E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4420725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05C1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9/19/2014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B92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600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1/13/2021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125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F943410"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117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9/22/2014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8DC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975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1/15/2021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614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1CA5116"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12C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9/26/2014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CC70"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C49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1/20/2021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E83E"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60257128"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5AC8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10/3/2014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8BAB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F79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1/22/2021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DF74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3FFD247C"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F542"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10/14/2014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A3C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7848"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1/23/2021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5971"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03097AB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D7A1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10/15/2014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BF4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82F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2/3/2021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5A2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D5E1B1F"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914F"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10/15/2014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145B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48EE"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2/16/2021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CF5F"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7B74DAF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432A"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lastRenderedPageBreak/>
              <w:t>10/16/2014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6E6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946C"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4/23/2021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BF84"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164AA339"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B99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10/16/2014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604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1A6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5/5/2021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7588"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F3134A7"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79C1"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10/21/2014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B5DB"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7D1B"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6/2/2021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59E3"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66FA9" w:rsidRPr="00266FA9" w14:paraId="5213BA4B"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C6AD"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10/22/2014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DD25"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FCFD9"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6/16/2021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597F6"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r w:rsidR="002E080A" w:rsidRPr="00266FA9" w14:paraId="68D6BDC1" w14:textId="77777777" w:rsidTr="00E04A83">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EA7E3"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10/24/2014</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B84BC"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Chief Cabinet Secretary</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EEE5" w14:textId="77777777" w:rsidR="002E080A" w:rsidRPr="00266FA9" w:rsidRDefault="002E080A" w:rsidP="008B1182">
            <w:pPr>
              <w:spacing w:after="0" w:line="240" w:lineRule="auto"/>
              <w:jc w:val="right"/>
              <w:rPr>
                <w:rFonts w:ascii="Garamond" w:eastAsia="Times New Roman" w:hAnsi="Garamond" w:cs="Calibri"/>
              </w:rPr>
            </w:pPr>
            <w:r w:rsidRPr="00266FA9">
              <w:rPr>
                <w:rFonts w:ascii="Garamond" w:eastAsia="Times New Roman" w:hAnsi="Garamond" w:cs="Calibri"/>
              </w:rPr>
              <w:t>12/16/2021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B5C9" w14:textId="77777777" w:rsidR="002E080A" w:rsidRPr="00266FA9" w:rsidRDefault="002E080A" w:rsidP="008B1182">
            <w:pPr>
              <w:spacing w:after="0" w:line="240" w:lineRule="auto"/>
              <w:rPr>
                <w:rFonts w:ascii="Garamond" w:eastAsia="Times New Roman" w:hAnsi="Garamond" w:cs="Calibri"/>
              </w:rPr>
            </w:pPr>
            <w:r w:rsidRPr="00266FA9">
              <w:rPr>
                <w:rFonts w:ascii="Garamond" w:eastAsia="Times New Roman" w:hAnsi="Garamond" w:cs="Calibri"/>
              </w:rPr>
              <w:t>Foreign Ministry</w:t>
            </w:r>
          </w:p>
        </w:tc>
      </w:tr>
    </w:tbl>
    <w:p w14:paraId="60062C0F" w14:textId="77777777" w:rsidR="008A6967" w:rsidRPr="00266FA9" w:rsidRDefault="008A6967" w:rsidP="008B1182">
      <w:pPr>
        <w:tabs>
          <w:tab w:val="left" w:pos="2180"/>
        </w:tabs>
        <w:spacing w:after="0" w:line="240" w:lineRule="auto"/>
        <w:rPr>
          <w:rFonts w:ascii="Garamond" w:hAnsi="Garamond"/>
          <w:sz w:val="24"/>
          <w:szCs w:val="24"/>
        </w:rPr>
      </w:pPr>
    </w:p>
    <w:p w14:paraId="61074C56" w14:textId="43AB1757" w:rsidR="00056D86" w:rsidRPr="00266FA9" w:rsidRDefault="00004331" w:rsidP="008B1182">
      <w:pPr>
        <w:tabs>
          <w:tab w:val="left" w:pos="2180"/>
        </w:tabs>
        <w:spacing w:after="0" w:line="240" w:lineRule="auto"/>
        <w:rPr>
          <w:rFonts w:ascii="Garamond" w:hAnsi="Garamond"/>
          <w:b/>
          <w:sz w:val="24"/>
          <w:szCs w:val="24"/>
        </w:rPr>
      </w:pPr>
      <w:r w:rsidRPr="00266FA9">
        <w:rPr>
          <w:rFonts w:ascii="Garamond" w:hAnsi="Garamond"/>
          <w:b/>
          <w:sz w:val="24"/>
          <w:szCs w:val="24"/>
        </w:rPr>
        <w:t>II. Coding</w:t>
      </w:r>
    </w:p>
    <w:p w14:paraId="1955280F" w14:textId="7AAB20F8" w:rsidR="00004331" w:rsidRPr="00266FA9" w:rsidRDefault="00004331" w:rsidP="008B1182">
      <w:pPr>
        <w:tabs>
          <w:tab w:val="left" w:pos="2180"/>
        </w:tabs>
        <w:spacing w:after="0" w:line="240" w:lineRule="auto"/>
        <w:rPr>
          <w:rFonts w:ascii="Garamond" w:hAnsi="Garamond"/>
          <w:b/>
          <w:sz w:val="24"/>
          <w:szCs w:val="24"/>
        </w:rPr>
      </w:pPr>
    </w:p>
    <w:p w14:paraId="4A2530D1" w14:textId="2FC9A703" w:rsidR="001A6F01" w:rsidRPr="00266FA9" w:rsidRDefault="001A6F01" w:rsidP="001A6F01">
      <w:pPr>
        <w:spacing w:after="0" w:line="240" w:lineRule="auto"/>
        <w:rPr>
          <w:rFonts w:ascii="Garamond" w:hAnsi="Garamond"/>
          <w:sz w:val="24"/>
          <w:szCs w:val="24"/>
        </w:rPr>
      </w:pPr>
      <w:r w:rsidRPr="00266FA9">
        <w:rPr>
          <w:rFonts w:ascii="Garamond" w:hAnsi="Garamond"/>
          <w:sz w:val="24"/>
          <w:szCs w:val="24"/>
        </w:rPr>
        <w:t>Coding was based on</w:t>
      </w:r>
      <w:r w:rsidRPr="00266FA9">
        <w:t xml:space="preserve"> </w:t>
      </w:r>
      <w:r w:rsidRPr="00266FA9">
        <w:rPr>
          <w:rFonts w:ascii="Garamond" w:hAnsi="Garamond"/>
          <w:sz w:val="24"/>
          <w:szCs w:val="24"/>
        </w:rPr>
        <w:t>an inductive process of reading this corpus of texts and identifying specific and repeatedly used phrases that indicate different types of evasive rhetoric. Each category is associated with straightforward, unambiguous stock phrases that are consistently used to refute international condemnation. First, responses coded as “claims of legality” involve a justificatory invocation of the postwar settlements Japan reached with relevant parties. Specific keywords include the 1951 San Francisco Peace Treaty and the 1965 treaty that normalized relations between Japan and Korea. Second, responses coded as “claims of the inapplicability of relevant treaties” involve Japan’s rebuttal of international condemnation that draws on specific human rights treaties and conventions (e.g., the Convention on the Elimination of all Forms of Discrimination Against Women (CEDAW)) on the ground that they cannot be retroactively applied to the comfort women case. Third, responses coded as “claims of the inapplicability of relevant norms” refer to Japan’s repeated assertion that relevant norms (e.g., norms concerning sexual slavery) are inapplicable to the case. Fourth, responses coded as “equivocation” include vague statements that either obscure Japan’s agency or implicate other states in the same wrongdoings. Fifth, responses coded as “non-disparagement pledges” include a justificatory invocation of Japan’s 2015 agreement with Korea, which includes an agreement to refrain from criticizing each other at the United Nations. For illustrative purposes, Table 3 below shows excerpts from some of the relevant texts and how they were coded.</w:t>
      </w:r>
    </w:p>
    <w:p w14:paraId="1EF5801A" w14:textId="77777777" w:rsidR="00CC328B" w:rsidRPr="00266FA9" w:rsidRDefault="00CC328B" w:rsidP="008B1182">
      <w:pPr>
        <w:tabs>
          <w:tab w:val="left" w:pos="2180"/>
        </w:tabs>
        <w:spacing w:after="0" w:line="240" w:lineRule="auto"/>
        <w:rPr>
          <w:rFonts w:ascii="Garamond" w:hAnsi="Garamond"/>
          <w:sz w:val="24"/>
          <w:szCs w:val="24"/>
        </w:rPr>
      </w:pPr>
    </w:p>
    <w:p w14:paraId="67D1ED4B" w14:textId="5B8E3C99" w:rsidR="00AE02B2" w:rsidRPr="00266FA9" w:rsidRDefault="00AE02B2" w:rsidP="008B1182">
      <w:pPr>
        <w:tabs>
          <w:tab w:val="left" w:pos="2180"/>
        </w:tabs>
        <w:spacing w:after="0" w:line="240" w:lineRule="auto"/>
        <w:jc w:val="center"/>
        <w:rPr>
          <w:rFonts w:ascii="Garamond" w:hAnsi="Garamond"/>
          <w:b/>
          <w:sz w:val="24"/>
          <w:szCs w:val="24"/>
        </w:rPr>
      </w:pPr>
      <w:r w:rsidRPr="00266FA9">
        <w:rPr>
          <w:rFonts w:ascii="Garamond" w:hAnsi="Garamond"/>
          <w:b/>
          <w:sz w:val="24"/>
          <w:szCs w:val="24"/>
        </w:rPr>
        <w:t xml:space="preserve">Table </w:t>
      </w:r>
      <w:r w:rsidR="00852446" w:rsidRPr="00266FA9">
        <w:rPr>
          <w:rFonts w:ascii="Garamond" w:hAnsi="Garamond"/>
          <w:b/>
          <w:sz w:val="24"/>
          <w:szCs w:val="24"/>
        </w:rPr>
        <w:t>3</w:t>
      </w:r>
      <w:r w:rsidRPr="00266FA9">
        <w:rPr>
          <w:rFonts w:ascii="Garamond" w:hAnsi="Garamond"/>
          <w:b/>
          <w:sz w:val="24"/>
          <w:szCs w:val="24"/>
        </w:rPr>
        <w:t xml:space="preserve">: Coding </w:t>
      </w:r>
      <w:r w:rsidR="00852446" w:rsidRPr="00266FA9">
        <w:rPr>
          <w:rFonts w:ascii="Garamond" w:hAnsi="Garamond"/>
          <w:b/>
          <w:sz w:val="24"/>
          <w:szCs w:val="24"/>
        </w:rPr>
        <w:t>e</w:t>
      </w:r>
      <w:r w:rsidRPr="00266FA9">
        <w:rPr>
          <w:rFonts w:ascii="Garamond" w:hAnsi="Garamond"/>
          <w:b/>
          <w:sz w:val="24"/>
          <w:szCs w:val="24"/>
        </w:rPr>
        <w:t>xample</w:t>
      </w:r>
      <w:r w:rsidR="00852446" w:rsidRPr="00266FA9">
        <w:rPr>
          <w:rFonts w:ascii="Garamond" w:hAnsi="Garamond"/>
          <w:b/>
          <w:sz w:val="24"/>
          <w:szCs w:val="24"/>
        </w:rPr>
        <w:t>s</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25"/>
        <w:gridCol w:w="2165"/>
      </w:tblGrid>
      <w:tr w:rsidR="00266FA9" w:rsidRPr="00266FA9" w14:paraId="784A5E4C" w14:textId="77777777" w:rsidTr="009A6EC9">
        <w:trPr>
          <w:trHeight w:val="315"/>
          <w:jc w:val="center"/>
        </w:trPr>
        <w:tc>
          <w:tcPr>
            <w:tcW w:w="6925" w:type="dxa"/>
            <w:tcMar>
              <w:top w:w="30" w:type="dxa"/>
              <w:left w:w="45" w:type="dxa"/>
              <w:bottom w:w="30" w:type="dxa"/>
              <w:right w:w="45" w:type="dxa"/>
            </w:tcMar>
            <w:vAlign w:val="center"/>
            <w:hideMark/>
          </w:tcPr>
          <w:p w14:paraId="1D32E457" w14:textId="77777777" w:rsidR="009A6EC9" w:rsidRPr="00266FA9" w:rsidRDefault="009A6EC9" w:rsidP="008B1182">
            <w:pPr>
              <w:spacing w:after="0" w:line="240" w:lineRule="auto"/>
              <w:jc w:val="center"/>
              <w:rPr>
                <w:rFonts w:ascii="Garamond" w:eastAsia="Times New Roman" w:hAnsi="Garamond" w:cs="Calibri"/>
                <w:b/>
              </w:rPr>
            </w:pPr>
            <w:r w:rsidRPr="00266FA9">
              <w:rPr>
                <w:rFonts w:ascii="Garamond" w:eastAsia="Times New Roman" w:hAnsi="Garamond" w:cs="Calibri"/>
                <w:b/>
              </w:rPr>
              <w:t>Text</w:t>
            </w:r>
          </w:p>
        </w:tc>
        <w:tc>
          <w:tcPr>
            <w:tcW w:w="2165" w:type="dxa"/>
            <w:tcMar>
              <w:top w:w="30" w:type="dxa"/>
              <w:left w:w="45" w:type="dxa"/>
              <w:bottom w:w="30" w:type="dxa"/>
              <w:right w:w="45" w:type="dxa"/>
            </w:tcMar>
            <w:vAlign w:val="center"/>
            <w:hideMark/>
          </w:tcPr>
          <w:p w14:paraId="446E98F3" w14:textId="79F4C135" w:rsidR="009A6EC9" w:rsidRPr="00266FA9" w:rsidRDefault="004F46AB" w:rsidP="008B1182">
            <w:pPr>
              <w:spacing w:after="0" w:line="240" w:lineRule="auto"/>
              <w:jc w:val="center"/>
              <w:rPr>
                <w:rFonts w:ascii="Garamond" w:eastAsia="Times New Roman" w:hAnsi="Garamond" w:cs="Calibri"/>
                <w:b/>
              </w:rPr>
            </w:pPr>
            <w:r w:rsidRPr="00266FA9">
              <w:rPr>
                <w:rFonts w:ascii="Garamond" w:eastAsia="Times New Roman" w:hAnsi="Garamond" w:cs="Calibri"/>
                <w:b/>
              </w:rPr>
              <w:t>Rhetorical Strategies</w:t>
            </w:r>
          </w:p>
        </w:tc>
      </w:tr>
      <w:tr w:rsidR="00266FA9" w:rsidRPr="00266FA9" w14:paraId="3B64FB67" w14:textId="77777777" w:rsidTr="007A60F9">
        <w:trPr>
          <w:trHeight w:val="2246"/>
          <w:jc w:val="center"/>
        </w:trPr>
        <w:tc>
          <w:tcPr>
            <w:tcW w:w="6925" w:type="dxa"/>
            <w:tcMar>
              <w:top w:w="30" w:type="dxa"/>
              <w:left w:w="45" w:type="dxa"/>
              <w:bottom w:w="30" w:type="dxa"/>
              <w:right w:w="45" w:type="dxa"/>
            </w:tcMar>
            <w:vAlign w:val="center"/>
            <w:hideMark/>
          </w:tcPr>
          <w:p w14:paraId="58108996" w14:textId="43D1EDA0" w:rsidR="009A6EC9" w:rsidRPr="00266FA9" w:rsidRDefault="009A6EC9" w:rsidP="008B1182">
            <w:pPr>
              <w:spacing w:after="0" w:line="240" w:lineRule="auto"/>
              <w:rPr>
                <w:rFonts w:ascii="Garamond" w:eastAsia="Times New Roman" w:hAnsi="Garamond" w:cs="Calibri"/>
              </w:rPr>
            </w:pPr>
            <w:r w:rsidRPr="00266FA9">
              <w:rPr>
                <w:rFonts w:ascii="Garamond" w:eastAsia="Times New Roman" w:hAnsi="Garamond" w:cs="Calibri"/>
              </w:rPr>
              <w:t xml:space="preserve">The Government of Japan has sincerely dealt with issues of compensation as well as property and claims pertaining to the Second World War, including the comfort women issue, under the </w:t>
            </w:r>
            <w:r w:rsidRPr="00266FA9">
              <w:rPr>
                <w:rFonts w:ascii="Garamond" w:eastAsia="Times New Roman" w:hAnsi="Garamond" w:cs="Calibri"/>
                <w:bCs/>
              </w:rPr>
              <w:t>San Francisco Peace Treaty</w:t>
            </w:r>
            <w:r w:rsidRPr="00266FA9">
              <w:rPr>
                <w:rFonts w:ascii="Garamond" w:eastAsia="Times New Roman" w:hAnsi="Garamond" w:cs="Calibri"/>
              </w:rPr>
              <w:t xml:space="preserve"> … In particular, the Agreement on </w:t>
            </w:r>
            <w:r w:rsidRPr="00266FA9">
              <w:rPr>
                <w:rFonts w:ascii="Garamond" w:eastAsia="Times New Roman" w:hAnsi="Garamond" w:cs="Calibri"/>
                <w:bCs/>
              </w:rPr>
              <w:t>the Settlement of Problems Concerning Property and Claims and on Economic Co-operation between Japan and the Republic of Korea</w:t>
            </w:r>
            <w:r w:rsidRPr="00266FA9">
              <w:rPr>
                <w:rFonts w:ascii="Garamond" w:eastAsia="Times New Roman" w:hAnsi="Garamond" w:cs="Calibri"/>
              </w:rPr>
              <w:t xml:space="preserve"> stipulates that “problems concerning property, rights, and interests of the two Contracting Parties and their nationals (including juridical persons) and concerning claims between the Contracting Parties and their nationals … have been</w:t>
            </w:r>
            <w:r w:rsidRPr="00266FA9">
              <w:rPr>
                <w:rFonts w:ascii="Garamond" w:eastAsia="Times New Roman" w:hAnsi="Garamond" w:cs="Calibri"/>
                <w:bCs/>
              </w:rPr>
              <w:t xml:space="preserve"> settled completely and finally</w:t>
            </w:r>
            <w:r w:rsidRPr="00266FA9">
              <w:rPr>
                <w:rFonts w:ascii="Garamond" w:eastAsia="Times New Roman" w:hAnsi="Garamond" w:cs="Calibri"/>
              </w:rPr>
              <w:t>” … (Source: CEDAW/C/JPN/7-8)</w:t>
            </w:r>
          </w:p>
        </w:tc>
        <w:tc>
          <w:tcPr>
            <w:tcW w:w="2165" w:type="dxa"/>
            <w:tcMar>
              <w:top w:w="30" w:type="dxa"/>
              <w:left w:w="45" w:type="dxa"/>
              <w:bottom w:w="30" w:type="dxa"/>
              <w:right w:w="45" w:type="dxa"/>
            </w:tcMar>
            <w:vAlign w:val="center"/>
            <w:hideMark/>
          </w:tcPr>
          <w:p w14:paraId="0D7B22A0" w14:textId="77777777"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legality</w:t>
            </w:r>
          </w:p>
        </w:tc>
      </w:tr>
      <w:tr w:rsidR="00266FA9" w:rsidRPr="00266FA9" w14:paraId="2C61B9D0" w14:textId="77777777" w:rsidTr="007A60F9">
        <w:trPr>
          <w:trHeight w:val="1463"/>
          <w:jc w:val="center"/>
        </w:trPr>
        <w:tc>
          <w:tcPr>
            <w:tcW w:w="6925" w:type="dxa"/>
            <w:vMerge w:val="restart"/>
            <w:tcMar>
              <w:top w:w="30" w:type="dxa"/>
              <w:left w:w="45" w:type="dxa"/>
              <w:bottom w:w="30" w:type="dxa"/>
              <w:right w:w="45" w:type="dxa"/>
            </w:tcMar>
            <w:vAlign w:val="center"/>
            <w:hideMark/>
          </w:tcPr>
          <w:p w14:paraId="2C0D81D9" w14:textId="0CE792DA" w:rsidR="009A6EC9" w:rsidRPr="00266FA9" w:rsidRDefault="009A6EC9" w:rsidP="008B1182">
            <w:pPr>
              <w:spacing w:after="0" w:line="240" w:lineRule="auto"/>
              <w:rPr>
                <w:rFonts w:ascii="Garamond" w:eastAsia="Times New Roman" w:hAnsi="Garamond" w:cs="Calibri"/>
              </w:rPr>
            </w:pPr>
            <w:r w:rsidRPr="00266FA9">
              <w:rPr>
                <w:rFonts w:ascii="Garamond" w:eastAsia="Times New Roman" w:hAnsi="Garamond" w:cs="Calibri"/>
                <w:bCs/>
              </w:rPr>
              <w:t>Since the Covenant has no retroactive effect and does not apply to issues arising in Japan before Japan’s accession of the Covenant (1979), it is not appropriate to mention the issue of the comfort women before and during the Second World War in the report on the measures implemented under the Covenant</w:t>
            </w:r>
            <w:r w:rsidRPr="00266FA9">
              <w:rPr>
                <w:rFonts w:ascii="Garamond" w:eastAsia="Times New Roman" w:hAnsi="Garamond" w:cs="Calibri"/>
              </w:rPr>
              <w:t xml:space="preserve">. </w:t>
            </w:r>
            <w:proofErr w:type="gramStart"/>
            <w:r w:rsidRPr="00266FA9">
              <w:rPr>
                <w:rFonts w:ascii="Garamond" w:eastAsia="Times New Roman" w:hAnsi="Garamond" w:cs="Calibri"/>
              </w:rPr>
              <w:t>However</w:t>
            </w:r>
            <w:proofErr w:type="gramEnd"/>
            <w:r w:rsidRPr="00266FA9">
              <w:rPr>
                <w:rFonts w:ascii="Garamond" w:eastAsia="Times New Roman" w:hAnsi="Garamond" w:cs="Calibri"/>
              </w:rPr>
              <w:t xml:space="preserve"> … </w:t>
            </w:r>
            <w:r w:rsidRPr="00266FA9">
              <w:rPr>
                <w:rFonts w:ascii="Garamond" w:eastAsia="Times New Roman" w:hAnsi="Garamond" w:cs="Calibri"/>
                <w:bCs/>
              </w:rPr>
              <w:t xml:space="preserve">Japan concluded the San Francisco Peace Treaty, bilateral peace </w:t>
            </w:r>
            <w:r w:rsidRPr="00266FA9">
              <w:rPr>
                <w:rFonts w:ascii="Garamond" w:eastAsia="Times New Roman" w:hAnsi="Garamond" w:cs="Calibri"/>
                <w:bCs/>
              </w:rPr>
              <w:lastRenderedPageBreak/>
              <w:t>treaties, agreements and instruments with countries concerned</w:t>
            </w:r>
            <w:r w:rsidRPr="00266FA9">
              <w:rPr>
                <w:rFonts w:ascii="Garamond" w:eastAsia="Times New Roman" w:hAnsi="Garamond" w:cs="Calibri"/>
              </w:rPr>
              <w:t xml:space="preserve"> … The Asian Woman’s Fund (AWF), established in 1995, with financial support by the Government amounting to approximately 4800 million yen, </w:t>
            </w:r>
            <w:proofErr w:type="gramStart"/>
            <w:r w:rsidRPr="00266FA9">
              <w:rPr>
                <w:rFonts w:ascii="Garamond" w:eastAsia="Times New Roman" w:hAnsi="Garamond" w:cs="Calibri"/>
              </w:rPr>
              <w:t>provided assistance to</w:t>
            </w:r>
            <w:proofErr w:type="gramEnd"/>
            <w:r w:rsidRPr="00266FA9">
              <w:rPr>
                <w:rFonts w:ascii="Garamond" w:eastAsia="Times New Roman" w:hAnsi="Garamond" w:cs="Calibri"/>
              </w:rPr>
              <w:t xml:space="preserve"> former comfort women, including medical care and welfare services. The AWF also provided direct payment totalling approximately 600 million yen funded by contribution from Japanese people … (Source: CCPR/C/JPN/6)</w:t>
            </w:r>
          </w:p>
        </w:tc>
        <w:tc>
          <w:tcPr>
            <w:tcW w:w="2165" w:type="dxa"/>
            <w:tcMar>
              <w:top w:w="30" w:type="dxa"/>
              <w:left w:w="45" w:type="dxa"/>
              <w:bottom w:w="30" w:type="dxa"/>
              <w:right w:w="45" w:type="dxa"/>
            </w:tcMar>
            <w:vAlign w:val="center"/>
            <w:hideMark/>
          </w:tcPr>
          <w:p w14:paraId="1D3B3D19" w14:textId="36682421"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lastRenderedPageBreak/>
              <w:t>Claiming inapplicability of relevant treaties and conventions</w:t>
            </w:r>
          </w:p>
        </w:tc>
      </w:tr>
      <w:tr w:rsidR="00266FA9" w:rsidRPr="00266FA9" w14:paraId="4DBE2620" w14:textId="77777777" w:rsidTr="007A60F9">
        <w:trPr>
          <w:trHeight w:val="896"/>
          <w:jc w:val="center"/>
        </w:trPr>
        <w:tc>
          <w:tcPr>
            <w:tcW w:w="6925" w:type="dxa"/>
            <w:vMerge/>
            <w:tcMar>
              <w:top w:w="30" w:type="dxa"/>
              <w:left w:w="45" w:type="dxa"/>
              <w:bottom w:w="30" w:type="dxa"/>
              <w:right w:w="45" w:type="dxa"/>
            </w:tcMar>
            <w:vAlign w:val="center"/>
          </w:tcPr>
          <w:p w14:paraId="69BAD366" w14:textId="77777777" w:rsidR="009A6EC9" w:rsidRPr="00266FA9" w:rsidRDefault="009A6EC9" w:rsidP="008B1182">
            <w:pPr>
              <w:spacing w:after="0" w:line="240" w:lineRule="auto"/>
              <w:rPr>
                <w:rFonts w:ascii="Garamond" w:eastAsia="Times New Roman" w:hAnsi="Garamond" w:cs="Calibri"/>
                <w:bCs/>
              </w:rPr>
            </w:pPr>
          </w:p>
        </w:tc>
        <w:tc>
          <w:tcPr>
            <w:tcW w:w="2165" w:type="dxa"/>
            <w:tcMar>
              <w:top w:w="30" w:type="dxa"/>
              <w:left w:w="45" w:type="dxa"/>
              <w:bottom w:w="30" w:type="dxa"/>
              <w:right w:w="45" w:type="dxa"/>
            </w:tcMar>
            <w:vAlign w:val="center"/>
          </w:tcPr>
          <w:p w14:paraId="3F4CD61B" w14:textId="28455827"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legality</w:t>
            </w:r>
          </w:p>
        </w:tc>
      </w:tr>
      <w:tr w:rsidR="00266FA9" w:rsidRPr="00266FA9" w14:paraId="271F34CE" w14:textId="77777777" w:rsidTr="007A60F9">
        <w:trPr>
          <w:trHeight w:val="1220"/>
          <w:jc w:val="center"/>
        </w:trPr>
        <w:tc>
          <w:tcPr>
            <w:tcW w:w="6925" w:type="dxa"/>
            <w:vMerge w:val="restart"/>
            <w:tcMar>
              <w:top w:w="30" w:type="dxa"/>
              <w:left w:w="45" w:type="dxa"/>
              <w:bottom w:w="30" w:type="dxa"/>
              <w:right w:w="45" w:type="dxa"/>
            </w:tcMar>
            <w:vAlign w:val="center"/>
          </w:tcPr>
          <w:p w14:paraId="779761AB" w14:textId="7292ADAC" w:rsidR="009A6EC9" w:rsidRPr="00266FA9" w:rsidRDefault="009A6EC9" w:rsidP="008B1182">
            <w:pPr>
              <w:spacing w:after="0" w:line="240" w:lineRule="auto"/>
              <w:rPr>
                <w:rFonts w:ascii="Garamond" w:eastAsia="Times New Roman" w:hAnsi="Garamond" w:cs="Calibri"/>
              </w:rPr>
            </w:pPr>
            <w:r w:rsidRPr="00266FA9">
              <w:rPr>
                <w:rFonts w:ascii="Garamond" w:eastAsia="Times New Roman" w:hAnsi="Garamond" w:cs="Calibri"/>
              </w:rPr>
              <w:t xml:space="preserve">The remarks in this paragraph have no relation to the Special Rapporteur’s mandate. </w:t>
            </w:r>
            <w:proofErr w:type="gramStart"/>
            <w:r w:rsidRPr="00266FA9">
              <w:rPr>
                <w:rFonts w:ascii="Garamond" w:eastAsia="Times New Roman" w:hAnsi="Garamond" w:cs="Calibri"/>
              </w:rPr>
              <w:t>Therefore</w:t>
            </w:r>
            <w:proofErr w:type="gramEnd"/>
            <w:r w:rsidRPr="00266FA9">
              <w:rPr>
                <w:rFonts w:ascii="Garamond" w:eastAsia="Times New Roman" w:hAnsi="Garamond" w:cs="Calibri"/>
              </w:rPr>
              <w:t xml:space="preserve"> it is not necessary to comment on the report’s content in this paragraph, but commenting for reference, it is inappropriate to regard “comfort women” as “the system of sexual slavery.” In addition, other remarks contain factual errors and they are also inappropriate. … The Government of Japan addressed in good faith the issues of reparations, property and claims arising from the Second World War, according to the provisions of the San Francisco Peace Treaty and other related treaties, agreements and instruments. The issues, including the so-called “comfort women” issue, have been legally settled by these treaties, agreements and instruments … (Source: A/HRC/1/G/3)</w:t>
            </w:r>
          </w:p>
        </w:tc>
        <w:tc>
          <w:tcPr>
            <w:tcW w:w="2165" w:type="dxa"/>
            <w:tcMar>
              <w:top w:w="30" w:type="dxa"/>
              <w:left w:w="45" w:type="dxa"/>
              <w:bottom w:w="30" w:type="dxa"/>
              <w:right w:w="45" w:type="dxa"/>
            </w:tcMar>
            <w:vAlign w:val="center"/>
          </w:tcPr>
          <w:p w14:paraId="058ADCCE" w14:textId="2FFA4D73"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inapplicability of relevant treaties and conventions</w:t>
            </w:r>
          </w:p>
        </w:tc>
      </w:tr>
      <w:tr w:rsidR="00266FA9" w:rsidRPr="00266FA9" w14:paraId="049E961F" w14:textId="77777777" w:rsidTr="009A6EC9">
        <w:trPr>
          <w:trHeight w:val="1373"/>
          <w:jc w:val="center"/>
        </w:trPr>
        <w:tc>
          <w:tcPr>
            <w:tcW w:w="6925" w:type="dxa"/>
            <w:vMerge/>
            <w:tcMar>
              <w:top w:w="30" w:type="dxa"/>
              <w:left w:w="45" w:type="dxa"/>
              <w:bottom w:w="30" w:type="dxa"/>
              <w:right w:w="45" w:type="dxa"/>
            </w:tcMar>
            <w:vAlign w:val="center"/>
          </w:tcPr>
          <w:p w14:paraId="7F963906" w14:textId="77777777" w:rsidR="009A6EC9" w:rsidRPr="00266FA9" w:rsidRDefault="009A6EC9" w:rsidP="008B1182">
            <w:pPr>
              <w:spacing w:after="0" w:line="240" w:lineRule="auto"/>
              <w:rPr>
                <w:rFonts w:ascii="Garamond" w:eastAsia="Times New Roman" w:hAnsi="Garamond" w:cs="Calibri"/>
              </w:rPr>
            </w:pPr>
          </w:p>
        </w:tc>
        <w:tc>
          <w:tcPr>
            <w:tcW w:w="2165" w:type="dxa"/>
            <w:tcMar>
              <w:top w:w="30" w:type="dxa"/>
              <w:left w:w="45" w:type="dxa"/>
              <w:bottom w:w="30" w:type="dxa"/>
              <w:right w:w="45" w:type="dxa"/>
            </w:tcMar>
            <w:vAlign w:val="center"/>
          </w:tcPr>
          <w:p w14:paraId="41169610" w14:textId="47419A22"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inapplicability of relevant norms</w:t>
            </w:r>
          </w:p>
        </w:tc>
      </w:tr>
      <w:tr w:rsidR="00266FA9" w:rsidRPr="00266FA9" w14:paraId="3D1D6B49" w14:textId="77777777" w:rsidTr="007A60F9">
        <w:trPr>
          <w:trHeight w:val="410"/>
          <w:jc w:val="center"/>
        </w:trPr>
        <w:tc>
          <w:tcPr>
            <w:tcW w:w="6925" w:type="dxa"/>
            <w:vMerge/>
            <w:tcMar>
              <w:top w:w="30" w:type="dxa"/>
              <w:left w:w="45" w:type="dxa"/>
              <w:bottom w:w="30" w:type="dxa"/>
              <w:right w:w="45" w:type="dxa"/>
            </w:tcMar>
            <w:vAlign w:val="center"/>
          </w:tcPr>
          <w:p w14:paraId="03FE278A" w14:textId="77777777" w:rsidR="009A6EC9" w:rsidRPr="00266FA9" w:rsidRDefault="009A6EC9" w:rsidP="008B1182">
            <w:pPr>
              <w:spacing w:after="0" w:line="240" w:lineRule="auto"/>
              <w:rPr>
                <w:rFonts w:ascii="Garamond" w:eastAsia="Times New Roman" w:hAnsi="Garamond" w:cs="Calibri"/>
              </w:rPr>
            </w:pPr>
          </w:p>
        </w:tc>
        <w:tc>
          <w:tcPr>
            <w:tcW w:w="2165" w:type="dxa"/>
            <w:tcMar>
              <w:top w:w="30" w:type="dxa"/>
              <w:left w:w="45" w:type="dxa"/>
              <w:bottom w:w="30" w:type="dxa"/>
              <w:right w:w="45" w:type="dxa"/>
            </w:tcMar>
            <w:vAlign w:val="center"/>
          </w:tcPr>
          <w:p w14:paraId="483F9B39" w14:textId="6F72ACE9"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legality</w:t>
            </w:r>
          </w:p>
        </w:tc>
      </w:tr>
      <w:tr w:rsidR="00266FA9" w:rsidRPr="00266FA9" w14:paraId="2C5579C2" w14:textId="77777777" w:rsidTr="007A60F9">
        <w:trPr>
          <w:trHeight w:val="1724"/>
          <w:jc w:val="center"/>
        </w:trPr>
        <w:tc>
          <w:tcPr>
            <w:tcW w:w="6925" w:type="dxa"/>
            <w:vMerge w:val="restart"/>
            <w:tcMar>
              <w:top w:w="30" w:type="dxa"/>
              <w:left w:w="45" w:type="dxa"/>
              <w:bottom w:w="30" w:type="dxa"/>
              <w:right w:w="45" w:type="dxa"/>
            </w:tcMar>
            <w:vAlign w:val="center"/>
            <w:hideMark/>
          </w:tcPr>
          <w:p w14:paraId="3C223622" w14:textId="5227448F" w:rsidR="009A6EC9" w:rsidRPr="00266FA9" w:rsidRDefault="009A6EC9" w:rsidP="008B1182">
            <w:pPr>
              <w:spacing w:after="0" w:line="240" w:lineRule="auto"/>
              <w:rPr>
                <w:rFonts w:ascii="Garamond" w:eastAsia="Times New Roman" w:hAnsi="Garamond" w:cs="Calibri"/>
              </w:rPr>
            </w:pPr>
            <w:r w:rsidRPr="00266FA9">
              <w:rPr>
                <w:rFonts w:ascii="Garamond" w:eastAsia="Times New Roman" w:hAnsi="Garamond" w:cs="Calibri"/>
              </w:rPr>
              <w:t xml:space="preserve">The Committee notes the Government’s repeated statement in its report that it has no intention of denying or trivializing the “comfort women” issue … </w:t>
            </w:r>
            <w:r w:rsidRPr="00266FA9">
              <w:rPr>
                <w:rFonts w:ascii="Garamond" w:eastAsia="Times New Roman" w:hAnsi="Garamond" w:cs="Calibri"/>
                <w:bCs/>
              </w:rPr>
              <w:t>As a result of diplomatic efforts, the Government of Japan and the Government of the ROK reached an Agreement on this issue in December 2015, which declares that the “comfort women” issue is resolved “finally and irreversibly” and that the two Governments will refrain from accusing or criticizing each other regarding this issue in the international community, including at the United Nations</w:t>
            </w:r>
            <w:r w:rsidRPr="00266FA9">
              <w:rPr>
                <w:rFonts w:ascii="Garamond" w:eastAsia="Times New Roman" w:hAnsi="Garamond" w:cs="Calibri"/>
              </w:rPr>
              <w:t xml:space="preserve"> … In its response to the joint observations of the FKTU and the KCTU, the Government also indicates that it has conducted a full-scale fact finding study on the “comfort women” issue since early 1990’s, and that </w:t>
            </w:r>
            <w:r w:rsidRPr="00266FA9">
              <w:rPr>
                <w:rFonts w:ascii="Garamond" w:eastAsia="Times New Roman" w:hAnsi="Garamond" w:cs="Calibri"/>
                <w:bCs/>
              </w:rPr>
              <w:t xml:space="preserve">the “forceful taking away” of “comfort women” by the military and government authorities could not be confirmed in any of the documents that the Government was able to identify in the abovementioned study </w:t>
            </w:r>
            <w:r w:rsidRPr="00266FA9">
              <w:rPr>
                <w:rFonts w:ascii="Garamond" w:eastAsia="Times New Roman" w:hAnsi="Garamond" w:cs="Calibri"/>
              </w:rPr>
              <w:t>… (Source: CEACR 2019)</w:t>
            </w:r>
          </w:p>
        </w:tc>
        <w:tc>
          <w:tcPr>
            <w:tcW w:w="2165" w:type="dxa"/>
            <w:tcMar>
              <w:top w:w="30" w:type="dxa"/>
              <w:left w:w="45" w:type="dxa"/>
              <w:bottom w:w="30" w:type="dxa"/>
              <w:right w:w="45" w:type="dxa"/>
            </w:tcMar>
            <w:vAlign w:val="center"/>
            <w:hideMark/>
          </w:tcPr>
          <w:p w14:paraId="07837A77" w14:textId="0D3B9BDC"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Making non-disparagement pledges</w:t>
            </w:r>
          </w:p>
        </w:tc>
      </w:tr>
      <w:tr w:rsidR="00266FA9" w:rsidRPr="00266FA9" w14:paraId="7FCD0F7A" w14:textId="77777777" w:rsidTr="007A60F9">
        <w:trPr>
          <w:trHeight w:val="887"/>
          <w:jc w:val="center"/>
        </w:trPr>
        <w:tc>
          <w:tcPr>
            <w:tcW w:w="6925" w:type="dxa"/>
            <w:vMerge/>
            <w:tcMar>
              <w:top w:w="30" w:type="dxa"/>
              <w:left w:w="45" w:type="dxa"/>
              <w:bottom w:w="30" w:type="dxa"/>
              <w:right w:w="45" w:type="dxa"/>
            </w:tcMar>
            <w:vAlign w:val="center"/>
          </w:tcPr>
          <w:p w14:paraId="59680679" w14:textId="77777777" w:rsidR="009A6EC9" w:rsidRPr="00266FA9" w:rsidRDefault="009A6EC9" w:rsidP="008B1182">
            <w:pPr>
              <w:spacing w:after="0" w:line="240" w:lineRule="auto"/>
              <w:rPr>
                <w:rFonts w:ascii="Garamond" w:eastAsia="Times New Roman" w:hAnsi="Garamond" w:cs="Calibri"/>
              </w:rPr>
            </w:pPr>
          </w:p>
        </w:tc>
        <w:tc>
          <w:tcPr>
            <w:tcW w:w="2165" w:type="dxa"/>
            <w:tcMar>
              <w:top w:w="30" w:type="dxa"/>
              <w:left w:w="45" w:type="dxa"/>
              <w:bottom w:w="30" w:type="dxa"/>
              <w:right w:w="45" w:type="dxa"/>
            </w:tcMar>
            <w:vAlign w:val="center"/>
          </w:tcPr>
          <w:p w14:paraId="06CD3C9B" w14:textId="3CAC313F"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inapplicability of relevant norms</w:t>
            </w:r>
          </w:p>
        </w:tc>
      </w:tr>
      <w:tr w:rsidR="00266FA9" w:rsidRPr="00266FA9" w14:paraId="2D80289C" w14:textId="77777777" w:rsidTr="007A60F9">
        <w:trPr>
          <w:trHeight w:val="914"/>
          <w:jc w:val="center"/>
        </w:trPr>
        <w:tc>
          <w:tcPr>
            <w:tcW w:w="6925" w:type="dxa"/>
            <w:vMerge w:val="restart"/>
            <w:tcMar>
              <w:top w:w="30" w:type="dxa"/>
              <w:left w:w="45" w:type="dxa"/>
              <w:bottom w:w="30" w:type="dxa"/>
              <w:right w:w="45" w:type="dxa"/>
            </w:tcMar>
            <w:vAlign w:val="center"/>
            <w:hideMark/>
          </w:tcPr>
          <w:p w14:paraId="662CC4D7" w14:textId="36750FA8" w:rsidR="009A6EC9" w:rsidRPr="00266FA9" w:rsidRDefault="009A6EC9" w:rsidP="008B1182">
            <w:pPr>
              <w:spacing w:after="0" w:line="240" w:lineRule="auto"/>
              <w:rPr>
                <w:rFonts w:ascii="Garamond" w:eastAsia="Times New Roman" w:hAnsi="Garamond" w:cs="Calibri"/>
              </w:rPr>
            </w:pPr>
            <w:r w:rsidRPr="00266FA9">
              <w:rPr>
                <w:rFonts w:ascii="Garamond" w:eastAsia="Times New Roman" w:hAnsi="Garamond" w:cs="Calibri"/>
                <w:bCs/>
              </w:rPr>
              <w:t>Throughout history, women’s dignity and basic human rights have often been infringed upon during the many wars and conflicts of the past</w:t>
            </w:r>
            <w:r w:rsidRPr="00266FA9">
              <w:rPr>
                <w:rFonts w:ascii="Garamond" w:eastAsia="Times New Roman" w:hAnsi="Garamond" w:cs="Calibri"/>
              </w:rPr>
              <w:t xml:space="preserve">. The Government of Japan places paramount importance on and is committed to doing its utmost to ensure that the 21st century is free from further violations of women’s dignity and basic human rights. 59. Lastly, the Government of Japan considers that </w:t>
            </w:r>
            <w:r w:rsidRPr="00266FA9">
              <w:rPr>
                <w:rFonts w:ascii="Garamond" w:eastAsia="Times New Roman" w:hAnsi="Garamond" w:cs="Calibri"/>
                <w:bCs/>
              </w:rPr>
              <w:t>it is not appropriate for this report to take up the comfort women issue in terms of the implementation of State Party’s undertakings under the Convention as this Convention does not apply to any issues that occurred prior to Japan’s conclusion thereof (1999)</w:t>
            </w:r>
            <w:r w:rsidRPr="00266FA9">
              <w:rPr>
                <w:rFonts w:ascii="Garamond" w:eastAsia="Times New Roman" w:hAnsi="Garamond" w:cs="Calibri"/>
              </w:rPr>
              <w:t xml:space="preserve">. </w:t>
            </w:r>
            <w:r w:rsidRPr="00266FA9">
              <w:rPr>
                <w:rFonts w:ascii="Garamond" w:eastAsia="Times New Roman" w:hAnsi="Garamond" w:cs="Calibri"/>
                <w:bCs/>
              </w:rPr>
              <w:t xml:space="preserve">With regard to the expression “sexual slave” used in the Committee’s concluding observations concerning Japan’s report, the Government of Japan has considered the definition of “slavery” stipulated in Article 1 of the Slavery Convention, concluded in 1926, and finds that it is inappropriate to consider the comfort women system as “slavery” from the perspective of international law at the time </w:t>
            </w:r>
            <w:r w:rsidRPr="00266FA9">
              <w:rPr>
                <w:rFonts w:ascii="Garamond" w:eastAsia="Times New Roman" w:hAnsi="Garamond" w:cs="Calibri"/>
              </w:rPr>
              <w:t>… (Source:</w:t>
            </w:r>
            <w:r w:rsidRPr="00266FA9">
              <w:rPr>
                <w:rFonts w:ascii="Garamond" w:eastAsia="Times New Roman" w:hAnsi="Garamond" w:cs="Calibri"/>
                <w:bCs/>
              </w:rPr>
              <w:t xml:space="preserve"> </w:t>
            </w:r>
            <w:r w:rsidRPr="00266FA9">
              <w:rPr>
                <w:rFonts w:ascii="Garamond" w:eastAsia="Times New Roman" w:hAnsi="Garamond" w:cs="Calibri"/>
              </w:rPr>
              <w:t>CAT/C/JPN/CO/2/Add.1)</w:t>
            </w:r>
          </w:p>
        </w:tc>
        <w:tc>
          <w:tcPr>
            <w:tcW w:w="2165" w:type="dxa"/>
            <w:tcMar>
              <w:top w:w="30" w:type="dxa"/>
              <w:left w:w="45" w:type="dxa"/>
              <w:bottom w:w="30" w:type="dxa"/>
              <w:right w:w="45" w:type="dxa"/>
            </w:tcMar>
            <w:vAlign w:val="center"/>
            <w:hideMark/>
          </w:tcPr>
          <w:p w14:paraId="5E88633D" w14:textId="5E3B2FC4"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Equivocating</w:t>
            </w:r>
          </w:p>
        </w:tc>
      </w:tr>
      <w:tr w:rsidR="00266FA9" w:rsidRPr="00266FA9" w14:paraId="42EC37A3" w14:textId="77777777" w:rsidTr="007A60F9">
        <w:trPr>
          <w:trHeight w:val="1553"/>
          <w:jc w:val="center"/>
        </w:trPr>
        <w:tc>
          <w:tcPr>
            <w:tcW w:w="6925" w:type="dxa"/>
            <w:vMerge/>
            <w:tcMar>
              <w:top w:w="30" w:type="dxa"/>
              <w:left w:w="45" w:type="dxa"/>
              <w:bottom w:w="30" w:type="dxa"/>
              <w:right w:w="45" w:type="dxa"/>
            </w:tcMar>
            <w:vAlign w:val="center"/>
          </w:tcPr>
          <w:p w14:paraId="5A307AD3" w14:textId="77777777" w:rsidR="009A6EC9" w:rsidRPr="00266FA9" w:rsidRDefault="009A6EC9" w:rsidP="008B1182">
            <w:pPr>
              <w:spacing w:after="0" w:line="240" w:lineRule="auto"/>
              <w:rPr>
                <w:rFonts w:ascii="Garamond" w:eastAsia="Times New Roman" w:hAnsi="Garamond" w:cs="Calibri"/>
                <w:bCs/>
              </w:rPr>
            </w:pPr>
          </w:p>
        </w:tc>
        <w:tc>
          <w:tcPr>
            <w:tcW w:w="2165" w:type="dxa"/>
            <w:tcMar>
              <w:top w:w="30" w:type="dxa"/>
              <w:left w:w="45" w:type="dxa"/>
              <w:bottom w:w="30" w:type="dxa"/>
              <w:right w:w="45" w:type="dxa"/>
            </w:tcMar>
            <w:vAlign w:val="center"/>
          </w:tcPr>
          <w:p w14:paraId="10E4E4F2" w14:textId="72F1DEA9"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 xml:space="preserve">Claiming inapplicability of relevant treaties and conventions </w:t>
            </w:r>
          </w:p>
        </w:tc>
      </w:tr>
      <w:tr w:rsidR="00266FA9" w:rsidRPr="00266FA9" w14:paraId="2A08207A" w14:textId="77777777" w:rsidTr="007A60F9">
        <w:trPr>
          <w:trHeight w:val="1454"/>
          <w:jc w:val="center"/>
        </w:trPr>
        <w:tc>
          <w:tcPr>
            <w:tcW w:w="6925" w:type="dxa"/>
            <w:vMerge/>
            <w:tcMar>
              <w:top w:w="30" w:type="dxa"/>
              <w:left w:w="45" w:type="dxa"/>
              <w:bottom w:w="30" w:type="dxa"/>
              <w:right w:w="45" w:type="dxa"/>
            </w:tcMar>
            <w:vAlign w:val="center"/>
          </w:tcPr>
          <w:p w14:paraId="3F65DF5A" w14:textId="77777777" w:rsidR="009A6EC9" w:rsidRPr="00266FA9" w:rsidRDefault="009A6EC9" w:rsidP="008B1182">
            <w:pPr>
              <w:spacing w:after="0" w:line="240" w:lineRule="auto"/>
              <w:rPr>
                <w:rFonts w:ascii="Garamond" w:eastAsia="Times New Roman" w:hAnsi="Garamond" w:cs="Calibri"/>
                <w:bCs/>
              </w:rPr>
            </w:pPr>
          </w:p>
        </w:tc>
        <w:tc>
          <w:tcPr>
            <w:tcW w:w="2165" w:type="dxa"/>
            <w:tcMar>
              <w:top w:w="30" w:type="dxa"/>
              <w:left w:w="45" w:type="dxa"/>
              <w:bottom w:w="30" w:type="dxa"/>
              <w:right w:w="45" w:type="dxa"/>
            </w:tcMar>
            <w:vAlign w:val="center"/>
          </w:tcPr>
          <w:p w14:paraId="42366453" w14:textId="0BA9020A"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Claiming inapplicability of relevant norms</w:t>
            </w:r>
          </w:p>
        </w:tc>
      </w:tr>
      <w:tr w:rsidR="00266FA9" w:rsidRPr="00266FA9" w14:paraId="4AE7E204" w14:textId="77777777" w:rsidTr="00036AF9">
        <w:trPr>
          <w:trHeight w:val="410"/>
          <w:jc w:val="center"/>
        </w:trPr>
        <w:tc>
          <w:tcPr>
            <w:tcW w:w="6925" w:type="dxa"/>
            <w:vMerge w:val="restart"/>
            <w:tcMar>
              <w:top w:w="30" w:type="dxa"/>
              <w:left w:w="45" w:type="dxa"/>
              <w:bottom w:w="30" w:type="dxa"/>
              <w:right w:w="45" w:type="dxa"/>
            </w:tcMar>
            <w:vAlign w:val="center"/>
          </w:tcPr>
          <w:p w14:paraId="4EE84A0D" w14:textId="5D5CCB20" w:rsidR="00AA14BC" w:rsidRPr="00266FA9" w:rsidRDefault="00AA14BC" w:rsidP="008B1182">
            <w:pPr>
              <w:spacing w:after="0" w:line="240" w:lineRule="auto"/>
              <w:rPr>
                <w:rFonts w:ascii="Garamond" w:eastAsia="Times New Roman" w:hAnsi="Garamond" w:cs="Calibri"/>
                <w:bCs/>
              </w:rPr>
            </w:pPr>
            <w:r w:rsidRPr="00266FA9">
              <w:rPr>
                <w:rFonts w:ascii="Garamond" w:eastAsia="Times New Roman" w:hAnsi="Garamond" w:cs="Calibri"/>
                <w:bCs/>
              </w:rPr>
              <w:lastRenderedPageBreak/>
              <w:t xml:space="preserve">In December 2015, the foreign ministers of Japan and the Republic of Korea had reached an agreement and had confirmed that the long-standing issue of the “comfort women” had been resolved finally and irreversibly. Each of the two Governments was </w:t>
            </w:r>
            <w:proofErr w:type="gramStart"/>
            <w:r w:rsidRPr="00266FA9">
              <w:rPr>
                <w:rFonts w:ascii="Garamond" w:eastAsia="Times New Roman" w:hAnsi="Garamond" w:cs="Calibri"/>
                <w:bCs/>
              </w:rPr>
              <w:t>making an effort</w:t>
            </w:r>
            <w:proofErr w:type="gramEnd"/>
            <w:r w:rsidRPr="00266FA9">
              <w:rPr>
                <w:rFonts w:ascii="Garamond" w:eastAsia="Times New Roman" w:hAnsi="Garamond" w:cs="Calibri"/>
                <w:bCs/>
              </w:rPr>
              <w:t xml:space="preserve"> to faithfully implement that agreement. Engraving in its heart the past, when the dignity and </w:t>
            </w:r>
            <w:proofErr w:type="spellStart"/>
            <w:r w:rsidRPr="00266FA9">
              <w:rPr>
                <w:rFonts w:ascii="Garamond" w:eastAsia="Times New Roman" w:hAnsi="Garamond" w:cs="Calibri"/>
                <w:bCs/>
              </w:rPr>
              <w:t>honour</w:t>
            </w:r>
            <w:proofErr w:type="spellEnd"/>
            <w:r w:rsidRPr="00266FA9">
              <w:rPr>
                <w:rFonts w:ascii="Garamond" w:eastAsia="Times New Roman" w:hAnsi="Garamond" w:cs="Calibri"/>
                <w:bCs/>
              </w:rPr>
              <w:t xml:space="preserve"> of many women were severely injured during wars in the twentieth century, Japan would lead the world in making the twenty-first century an era in which women’s human rights were not infringed upon. However, since the Convention did not apply retrospectively to any issues that occurred prior to its ratification by Japan in 1985, it was not appropriate to address the “comfort women” issue in terms of the implementation of the State party’s duties regarding the Convention … (Source: CEDAW/C/SR.1375) </w:t>
            </w:r>
          </w:p>
        </w:tc>
        <w:tc>
          <w:tcPr>
            <w:tcW w:w="2165" w:type="dxa"/>
            <w:tcMar>
              <w:top w:w="30" w:type="dxa"/>
              <w:left w:w="45" w:type="dxa"/>
              <w:bottom w:w="30" w:type="dxa"/>
              <w:right w:w="45" w:type="dxa"/>
            </w:tcMar>
            <w:vAlign w:val="center"/>
          </w:tcPr>
          <w:p w14:paraId="0B137147" w14:textId="2B8D145A" w:rsidR="00AA14BC" w:rsidRPr="00266FA9" w:rsidRDefault="00AA14BC" w:rsidP="008B1182">
            <w:pPr>
              <w:spacing w:after="0" w:line="240" w:lineRule="auto"/>
              <w:rPr>
                <w:rFonts w:ascii="Garamond" w:eastAsia="Times New Roman" w:hAnsi="Garamond" w:cs="Calibri"/>
              </w:rPr>
            </w:pPr>
            <w:r w:rsidRPr="00266FA9">
              <w:rPr>
                <w:rFonts w:ascii="Garamond" w:eastAsia="Times New Roman" w:hAnsi="Garamond" w:cs="Calibri"/>
              </w:rPr>
              <w:t>Citing non-disparagement pledges</w:t>
            </w:r>
          </w:p>
          <w:p w14:paraId="406DB980" w14:textId="11A892C6" w:rsidR="00AA14BC" w:rsidRPr="00266FA9" w:rsidRDefault="00AA14BC" w:rsidP="008B1182">
            <w:pPr>
              <w:spacing w:after="0" w:line="240" w:lineRule="auto"/>
              <w:rPr>
                <w:rFonts w:ascii="Garamond" w:eastAsia="Times New Roman" w:hAnsi="Garamond" w:cs="Calibri"/>
              </w:rPr>
            </w:pPr>
          </w:p>
        </w:tc>
      </w:tr>
      <w:tr w:rsidR="00266FA9" w:rsidRPr="00266FA9" w14:paraId="17D5906C" w14:textId="77777777" w:rsidTr="00AA14BC">
        <w:trPr>
          <w:trHeight w:val="590"/>
          <w:jc w:val="center"/>
        </w:trPr>
        <w:tc>
          <w:tcPr>
            <w:tcW w:w="6925" w:type="dxa"/>
            <w:vMerge/>
            <w:tcMar>
              <w:top w:w="30" w:type="dxa"/>
              <w:left w:w="45" w:type="dxa"/>
              <w:bottom w:w="30" w:type="dxa"/>
              <w:right w:w="45" w:type="dxa"/>
            </w:tcMar>
            <w:vAlign w:val="center"/>
          </w:tcPr>
          <w:p w14:paraId="4F237749" w14:textId="77777777" w:rsidR="00AA14BC" w:rsidRPr="00266FA9" w:rsidRDefault="00AA14BC" w:rsidP="008B1182">
            <w:pPr>
              <w:spacing w:after="0" w:line="240" w:lineRule="auto"/>
              <w:rPr>
                <w:rFonts w:ascii="Garamond" w:eastAsia="Times New Roman" w:hAnsi="Garamond" w:cs="Calibri"/>
                <w:bCs/>
              </w:rPr>
            </w:pPr>
          </w:p>
        </w:tc>
        <w:tc>
          <w:tcPr>
            <w:tcW w:w="2165" w:type="dxa"/>
            <w:tcMar>
              <w:top w:w="30" w:type="dxa"/>
              <w:left w:w="45" w:type="dxa"/>
              <w:bottom w:w="30" w:type="dxa"/>
              <w:right w:w="45" w:type="dxa"/>
            </w:tcMar>
            <w:vAlign w:val="center"/>
          </w:tcPr>
          <w:p w14:paraId="352E28E6" w14:textId="77777777" w:rsidR="00AA14BC" w:rsidRPr="00266FA9" w:rsidRDefault="00AA14BC" w:rsidP="008B1182">
            <w:pPr>
              <w:spacing w:after="0" w:line="240" w:lineRule="auto"/>
              <w:rPr>
                <w:rFonts w:ascii="Garamond" w:eastAsia="Times New Roman" w:hAnsi="Garamond" w:cs="Calibri"/>
              </w:rPr>
            </w:pPr>
            <w:r w:rsidRPr="00266FA9">
              <w:rPr>
                <w:rFonts w:ascii="Garamond" w:eastAsia="Times New Roman" w:hAnsi="Garamond" w:cs="Calibri"/>
              </w:rPr>
              <w:t>Equivocating</w:t>
            </w:r>
          </w:p>
          <w:p w14:paraId="1EA41565" w14:textId="77777777" w:rsidR="00AA14BC" w:rsidRPr="00266FA9" w:rsidRDefault="00AA14BC" w:rsidP="008B1182">
            <w:pPr>
              <w:spacing w:after="0" w:line="240" w:lineRule="auto"/>
              <w:rPr>
                <w:rFonts w:ascii="Garamond" w:eastAsia="Times New Roman" w:hAnsi="Garamond" w:cs="Calibri"/>
              </w:rPr>
            </w:pPr>
          </w:p>
        </w:tc>
      </w:tr>
      <w:tr w:rsidR="00266FA9" w:rsidRPr="00266FA9" w14:paraId="6F42B074" w14:textId="77777777" w:rsidTr="009A6EC9">
        <w:trPr>
          <w:trHeight w:val="2268"/>
          <w:jc w:val="center"/>
        </w:trPr>
        <w:tc>
          <w:tcPr>
            <w:tcW w:w="6925" w:type="dxa"/>
            <w:vMerge/>
            <w:tcMar>
              <w:top w:w="30" w:type="dxa"/>
              <w:left w:w="45" w:type="dxa"/>
              <w:bottom w:w="30" w:type="dxa"/>
              <w:right w:w="45" w:type="dxa"/>
            </w:tcMar>
            <w:vAlign w:val="center"/>
          </w:tcPr>
          <w:p w14:paraId="02625F21" w14:textId="77777777" w:rsidR="00AA14BC" w:rsidRPr="00266FA9" w:rsidRDefault="00AA14BC" w:rsidP="008B1182">
            <w:pPr>
              <w:spacing w:after="0" w:line="240" w:lineRule="auto"/>
              <w:rPr>
                <w:rFonts w:ascii="Garamond" w:eastAsia="Times New Roman" w:hAnsi="Garamond" w:cs="Calibri"/>
                <w:bCs/>
              </w:rPr>
            </w:pPr>
          </w:p>
        </w:tc>
        <w:tc>
          <w:tcPr>
            <w:tcW w:w="2165" w:type="dxa"/>
            <w:tcMar>
              <w:top w:w="30" w:type="dxa"/>
              <w:left w:w="45" w:type="dxa"/>
              <w:bottom w:w="30" w:type="dxa"/>
              <w:right w:w="45" w:type="dxa"/>
            </w:tcMar>
            <w:vAlign w:val="center"/>
          </w:tcPr>
          <w:p w14:paraId="12E82791" w14:textId="3C57DCCA" w:rsidR="00AA14BC" w:rsidRPr="00266FA9" w:rsidRDefault="00AA14BC" w:rsidP="008B1182">
            <w:pPr>
              <w:spacing w:after="0" w:line="240" w:lineRule="auto"/>
              <w:rPr>
                <w:rFonts w:ascii="Garamond" w:eastAsia="Times New Roman" w:hAnsi="Garamond" w:cs="Calibri"/>
              </w:rPr>
            </w:pPr>
            <w:r w:rsidRPr="00266FA9">
              <w:rPr>
                <w:rFonts w:ascii="Garamond" w:eastAsia="Times New Roman" w:hAnsi="Garamond" w:cs="Calibri"/>
              </w:rPr>
              <w:t>Claiming inapplicability of relevant treaties and conventions</w:t>
            </w:r>
          </w:p>
        </w:tc>
      </w:tr>
      <w:tr w:rsidR="009A6EC9" w:rsidRPr="00266FA9" w14:paraId="2B521EA0" w14:textId="77777777" w:rsidTr="009A6EC9">
        <w:trPr>
          <w:trHeight w:val="590"/>
          <w:jc w:val="center"/>
        </w:trPr>
        <w:tc>
          <w:tcPr>
            <w:tcW w:w="6925" w:type="dxa"/>
            <w:tcMar>
              <w:top w:w="30" w:type="dxa"/>
              <w:left w:w="45" w:type="dxa"/>
              <w:bottom w:w="30" w:type="dxa"/>
              <w:right w:w="45" w:type="dxa"/>
            </w:tcMar>
            <w:vAlign w:val="center"/>
          </w:tcPr>
          <w:p w14:paraId="20AA110D" w14:textId="265EF2B3" w:rsidR="009A6EC9" w:rsidRPr="00266FA9" w:rsidRDefault="009A6EC9" w:rsidP="008B1182">
            <w:pPr>
              <w:spacing w:after="0" w:line="240" w:lineRule="auto"/>
              <w:rPr>
                <w:rFonts w:ascii="Garamond" w:eastAsia="Times New Roman" w:hAnsi="Garamond" w:cs="Calibri"/>
                <w:bCs/>
              </w:rPr>
            </w:pPr>
            <w:r w:rsidRPr="00266FA9">
              <w:rPr>
                <w:rFonts w:ascii="Garamond" w:eastAsia="Times New Roman" w:hAnsi="Garamond" w:cs="Calibri"/>
                <w:bCs/>
              </w:rPr>
              <w:t>On many occasions, his Government had expressed its apologies and remorse to the former “comfort women” and had established the Asian Women's Fund to atone for offences against their dignity and honour. It was bearing the full operational cost of the Fund and providing all possible assistance to its fund-raising activities. As of March 1997, some 470 million yen (US$ 4 million) had been contributed by the Japanese people. Atonement money had been offered to the Philippines in August 1996 and the Republic of Korea in 1997, in which countries medical and welfare support projects had been initiated with government funds. The Fund had also concluded a Memorandum of Understanding with the Indonesian Government to build facilities for elderly people, particularly seriously ill women … (Source: E/CN.4/1997/SR.39)</w:t>
            </w:r>
          </w:p>
        </w:tc>
        <w:tc>
          <w:tcPr>
            <w:tcW w:w="2165" w:type="dxa"/>
            <w:tcMar>
              <w:top w:w="30" w:type="dxa"/>
              <w:left w:w="45" w:type="dxa"/>
              <w:bottom w:w="30" w:type="dxa"/>
              <w:right w:w="45" w:type="dxa"/>
            </w:tcMar>
            <w:vAlign w:val="center"/>
          </w:tcPr>
          <w:p w14:paraId="375CEEEC" w14:textId="6BCB4939" w:rsidR="009A6EC9" w:rsidRPr="00266FA9" w:rsidRDefault="009A6EC9" w:rsidP="008B1182">
            <w:pPr>
              <w:spacing w:after="0" w:line="240" w:lineRule="auto"/>
              <w:jc w:val="center"/>
              <w:rPr>
                <w:rFonts w:ascii="Garamond" w:eastAsia="Times New Roman" w:hAnsi="Garamond" w:cs="Calibri"/>
              </w:rPr>
            </w:pPr>
            <w:r w:rsidRPr="00266FA9">
              <w:rPr>
                <w:rFonts w:ascii="Garamond" w:eastAsia="Times New Roman" w:hAnsi="Garamond" w:cs="Calibri"/>
              </w:rPr>
              <w:t>NA</w:t>
            </w:r>
          </w:p>
        </w:tc>
      </w:tr>
    </w:tbl>
    <w:p w14:paraId="7CB5CD07" w14:textId="43E316E5" w:rsidR="00930600" w:rsidRPr="00266FA9" w:rsidRDefault="00930600" w:rsidP="008B1182">
      <w:pPr>
        <w:spacing w:after="0" w:line="240" w:lineRule="auto"/>
        <w:rPr>
          <w:rFonts w:ascii="Garamond" w:hAnsi="Garamond"/>
          <w:b/>
          <w:sz w:val="24"/>
          <w:szCs w:val="24"/>
        </w:rPr>
      </w:pPr>
    </w:p>
    <w:sectPr w:rsidR="00930600" w:rsidRPr="00266F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A411" w14:textId="77777777" w:rsidR="00876D99" w:rsidRDefault="00876D99" w:rsidP="00DC6FA2">
      <w:pPr>
        <w:spacing w:after="0" w:line="240" w:lineRule="auto"/>
      </w:pPr>
      <w:r>
        <w:separator/>
      </w:r>
    </w:p>
  </w:endnote>
  <w:endnote w:type="continuationSeparator" w:id="0">
    <w:p w14:paraId="1EEA0C80" w14:textId="77777777" w:rsidR="00876D99" w:rsidRDefault="00876D99" w:rsidP="00DC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DF66" w14:textId="77777777" w:rsidR="008B465C" w:rsidRDefault="008B4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BA0" w14:textId="77777777" w:rsidR="008B465C" w:rsidRDefault="008B4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2807" w14:textId="77777777" w:rsidR="008B465C" w:rsidRDefault="008B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3774" w14:textId="77777777" w:rsidR="00876D99" w:rsidRDefault="00876D99" w:rsidP="00DC6FA2">
      <w:pPr>
        <w:spacing w:after="0" w:line="240" w:lineRule="auto"/>
      </w:pPr>
      <w:r>
        <w:separator/>
      </w:r>
    </w:p>
  </w:footnote>
  <w:footnote w:type="continuationSeparator" w:id="0">
    <w:p w14:paraId="3B938E68" w14:textId="77777777" w:rsidR="00876D99" w:rsidRDefault="00876D99" w:rsidP="00DC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0837" w14:textId="77777777" w:rsidR="008B465C" w:rsidRDefault="008B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95486"/>
      <w:docPartObj>
        <w:docPartGallery w:val="Page Numbers (Top of Page)"/>
        <w:docPartUnique/>
      </w:docPartObj>
    </w:sdtPr>
    <w:sdtEndPr>
      <w:rPr>
        <w:noProof/>
      </w:rPr>
    </w:sdtEndPr>
    <w:sdtContent>
      <w:p w14:paraId="02509740" w14:textId="3A6F68B6" w:rsidR="008B465C" w:rsidRDefault="008B46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ACDD0" w14:textId="77777777" w:rsidR="008B465C" w:rsidRDefault="008B4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D4A5" w14:textId="77777777" w:rsidR="008B465C" w:rsidRDefault="008B4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DD"/>
    <w:rsid w:val="0000398F"/>
    <w:rsid w:val="00004331"/>
    <w:rsid w:val="00005D55"/>
    <w:rsid w:val="00006ACA"/>
    <w:rsid w:val="00013183"/>
    <w:rsid w:val="000137B6"/>
    <w:rsid w:val="0001466D"/>
    <w:rsid w:val="00025073"/>
    <w:rsid w:val="000273EF"/>
    <w:rsid w:val="0003466B"/>
    <w:rsid w:val="000354E5"/>
    <w:rsid w:val="00036AF9"/>
    <w:rsid w:val="00040698"/>
    <w:rsid w:val="0005001E"/>
    <w:rsid w:val="00051F1B"/>
    <w:rsid w:val="00056D86"/>
    <w:rsid w:val="000575CA"/>
    <w:rsid w:val="000732D9"/>
    <w:rsid w:val="00074B92"/>
    <w:rsid w:val="00075426"/>
    <w:rsid w:val="00094E15"/>
    <w:rsid w:val="000A0D04"/>
    <w:rsid w:val="000A2515"/>
    <w:rsid w:val="000A47E3"/>
    <w:rsid w:val="000A66EA"/>
    <w:rsid w:val="000A68C1"/>
    <w:rsid w:val="000B0083"/>
    <w:rsid w:val="000B2E66"/>
    <w:rsid w:val="000E7343"/>
    <w:rsid w:val="000F136D"/>
    <w:rsid w:val="000F71C9"/>
    <w:rsid w:val="00103B57"/>
    <w:rsid w:val="0011129D"/>
    <w:rsid w:val="00127A1E"/>
    <w:rsid w:val="001508F9"/>
    <w:rsid w:val="0017466C"/>
    <w:rsid w:val="001811B3"/>
    <w:rsid w:val="001867AB"/>
    <w:rsid w:val="001939C1"/>
    <w:rsid w:val="00195EE7"/>
    <w:rsid w:val="001A0E07"/>
    <w:rsid w:val="001A263B"/>
    <w:rsid w:val="001A312D"/>
    <w:rsid w:val="001A4BBE"/>
    <w:rsid w:val="001A6D3E"/>
    <w:rsid w:val="001A6F01"/>
    <w:rsid w:val="001B2A53"/>
    <w:rsid w:val="001C0B48"/>
    <w:rsid w:val="001C376B"/>
    <w:rsid w:val="001C7BEE"/>
    <w:rsid w:val="001D0C0C"/>
    <w:rsid w:val="001F1A90"/>
    <w:rsid w:val="001F7E7A"/>
    <w:rsid w:val="002111F0"/>
    <w:rsid w:val="00233C61"/>
    <w:rsid w:val="0023625F"/>
    <w:rsid w:val="00241F30"/>
    <w:rsid w:val="0024586B"/>
    <w:rsid w:val="00252517"/>
    <w:rsid w:val="00261383"/>
    <w:rsid w:val="00266FA9"/>
    <w:rsid w:val="00271432"/>
    <w:rsid w:val="002915F6"/>
    <w:rsid w:val="002920CF"/>
    <w:rsid w:val="0029331B"/>
    <w:rsid w:val="00294B08"/>
    <w:rsid w:val="002952A1"/>
    <w:rsid w:val="002A36DC"/>
    <w:rsid w:val="002A43BE"/>
    <w:rsid w:val="002A46C0"/>
    <w:rsid w:val="002C1F90"/>
    <w:rsid w:val="002C279F"/>
    <w:rsid w:val="002D0920"/>
    <w:rsid w:val="002D346C"/>
    <w:rsid w:val="002D493B"/>
    <w:rsid w:val="002E080A"/>
    <w:rsid w:val="002E3973"/>
    <w:rsid w:val="002E4079"/>
    <w:rsid w:val="002E5CA3"/>
    <w:rsid w:val="002F1F52"/>
    <w:rsid w:val="002F4070"/>
    <w:rsid w:val="003032BA"/>
    <w:rsid w:val="00312321"/>
    <w:rsid w:val="00350269"/>
    <w:rsid w:val="003549D2"/>
    <w:rsid w:val="00360EEE"/>
    <w:rsid w:val="003624DE"/>
    <w:rsid w:val="00363117"/>
    <w:rsid w:val="003677F1"/>
    <w:rsid w:val="00375B4E"/>
    <w:rsid w:val="0037719F"/>
    <w:rsid w:val="00381C53"/>
    <w:rsid w:val="00390145"/>
    <w:rsid w:val="003A0FB6"/>
    <w:rsid w:val="003A716D"/>
    <w:rsid w:val="003B4949"/>
    <w:rsid w:val="003B701F"/>
    <w:rsid w:val="003B711E"/>
    <w:rsid w:val="003C1163"/>
    <w:rsid w:val="003C1807"/>
    <w:rsid w:val="003C34B6"/>
    <w:rsid w:val="003C6321"/>
    <w:rsid w:val="003D326E"/>
    <w:rsid w:val="003D5A9A"/>
    <w:rsid w:val="003E557B"/>
    <w:rsid w:val="0040326D"/>
    <w:rsid w:val="00411D28"/>
    <w:rsid w:val="0041250E"/>
    <w:rsid w:val="0041705F"/>
    <w:rsid w:val="00424324"/>
    <w:rsid w:val="004243F9"/>
    <w:rsid w:val="004336A4"/>
    <w:rsid w:val="00436BE3"/>
    <w:rsid w:val="00444083"/>
    <w:rsid w:val="00446A3E"/>
    <w:rsid w:val="0044764D"/>
    <w:rsid w:val="004500CA"/>
    <w:rsid w:val="00451828"/>
    <w:rsid w:val="00454C52"/>
    <w:rsid w:val="00462783"/>
    <w:rsid w:val="00481830"/>
    <w:rsid w:val="004824A9"/>
    <w:rsid w:val="004A1C4B"/>
    <w:rsid w:val="004A4C57"/>
    <w:rsid w:val="004A6403"/>
    <w:rsid w:val="004B4130"/>
    <w:rsid w:val="004B6313"/>
    <w:rsid w:val="004C64FF"/>
    <w:rsid w:val="004D4837"/>
    <w:rsid w:val="004D6189"/>
    <w:rsid w:val="004E1438"/>
    <w:rsid w:val="004E3820"/>
    <w:rsid w:val="004F3DFA"/>
    <w:rsid w:val="004F46AB"/>
    <w:rsid w:val="00505B53"/>
    <w:rsid w:val="0051209F"/>
    <w:rsid w:val="00514929"/>
    <w:rsid w:val="005223B1"/>
    <w:rsid w:val="00535788"/>
    <w:rsid w:val="00543BFC"/>
    <w:rsid w:val="00545094"/>
    <w:rsid w:val="00552635"/>
    <w:rsid w:val="00560697"/>
    <w:rsid w:val="00562E77"/>
    <w:rsid w:val="005668C4"/>
    <w:rsid w:val="00573355"/>
    <w:rsid w:val="00590BA1"/>
    <w:rsid w:val="005A1DED"/>
    <w:rsid w:val="005B1169"/>
    <w:rsid w:val="005B4F2D"/>
    <w:rsid w:val="005B74D2"/>
    <w:rsid w:val="005C01E9"/>
    <w:rsid w:val="005C38E1"/>
    <w:rsid w:val="005D2D9D"/>
    <w:rsid w:val="005F1BB3"/>
    <w:rsid w:val="0060299D"/>
    <w:rsid w:val="00615750"/>
    <w:rsid w:val="00616447"/>
    <w:rsid w:val="00617A5D"/>
    <w:rsid w:val="00632A19"/>
    <w:rsid w:val="006435CA"/>
    <w:rsid w:val="0064594E"/>
    <w:rsid w:val="00647609"/>
    <w:rsid w:val="00647816"/>
    <w:rsid w:val="00653E59"/>
    <w:rsid w:val="00654924"/>
    <w:rsid w:val="00672D87"/>
    <w:rsid w:val="006879E8"/>
    <w:rsid w:val="00692746"/>
    <w:rsid w:val="00696250"/>
    <w:rsid w:val="006A6DFE"/>
    <w:rsid w:val="006B66B4"/>
    <w:rsid w:val="006B7A01"/>
    <w:rsid w:val="006C7317"/>
    <w:rsid w:val="006D0145"/>
    <w:rsid w:val="006F456F"/>
    <w:rsid w:val="007043AC"/>
    <w:rsid w:val="00710FA4"/>
    <w:rsid w:val="00713274"/>
    <w:rsid w:val="0071393D"/>
    <w:rsid w:val="00715BBA"/>
    <w:rsid w:val="007251F6"/>
    <w:rsid w:val="0072542A"/>
    <w:rsid w:val="00733501"/>
    <w:rsid w:val="00751DBD"/>
    <w:rsid w:val="00755ECF"/>
    <w:rsid w:val="0076377C"/>
    <w:rsid w:val="00786035"/>
    <w:rsid w:val="007878B6"/>
    <w:rsid w:val="00795035"/>
    <w:rsid w:val="007962D2"/>
    <w:rsid w:val="00797D82"/>
    <w:rsid w:val="007A0AD7"/>
    <w:rsid w:val="007A24B4"/>
    <w:rsid w:val="007A60F9"/>
    <w:rsid w:val="007A6B80"/>
    <w:rsid w:val="007B5D6B"/>
    <w:rsid w:val="007C0A10"/>
    <w:rsid w:val="007C23FD"/>
    <w:rsid w:val="007C57F9"/>
    <w:rsid w:val="007D0C62"/>
    <w:rsid w:val="007D6129"/>
    <w:rsid w:val="00802A04"/>
    <w:rsid w:val="00813260"/>
    <w:rsid w:val="008135F7"/>
    <w:rsid w:val="00827593"/>
    <w:rsid w:val="00831166"/>
    <w:rsid w:val="00841D7A"/>
    <w:rsid w:val="00845440"/>
    <w:rsid w:val="00852446"/>
    <w:rsid w:val="00856FA3"/>
    <w:rsid w:val="00857922"/>
    <w:rsid w:val="008606FA"/>
    <w:rsid w:val="008615B7"/>
    <w:rsid w:val="0087520B"/>
    <w:rsid w:val="00875E81"/>
    <w:rsid w:val="008766A0"/>
    <w:rsid w:val="00876D99"/>
    <w:rsid w:val="00880B2F"/>
    <w:rsid w:val="0088675D"/>
    <w:rsid w:val="00886A95"/>
    <w:rsid w:val="00891F64"/>
    <w:rsid w:val="00892025"/>
    <w:rsid w:val="0089555B"/>
    <w:rsid w:val="008A101C"/>
    <w:rsid w:val="008A206A"/>
    <w:rsid w:val="008A2230"/>
    <w:rsid w:val="008A27ED"/>
    <w:rsid w:val="008A4D67"/>
    <w:rsid w:val="008A6967"/>
    <w:rsid w:val="008B0F68"/>
    <w:rsid w:val="008B1182"/>
    <w:rsid w:val="008B2AF9"/>
    <w:rsid w:val="008B30E0"/>
    <w:rsid w:val="008B465C"/>
    <w:rsid w:val="008C5AE2"/>
    <w:rsid w:val="008D69A2"/>
    <w:rsid w:val="008E194B"/>
    <w:rsid w:val="008E3C41"/>
    <w:rsid w:val="008E52D8"/>
    <w:rsid w:val="009039B0"/>
    <w:rsid w:val="00904998"/>
    <w:rsid w:val="009174FD"/>
    <w:rsid w:val="00930600"/>
    <w:rsid w:val="009402E6"/>
    <w:rsid w:val="00943296"/>
    <w:rsid w:val="00947D68"/>
    <w:rsid w:val="00950350"/>
    <w:rsid w:val="00952769"/>
    <w:rsid w:val="00957CB0"/>
    <w:rsid w:val="00967BDA"/>
    <w:rsid w:val="00973FCA"/>
    <w:rsid w:val="00982D4E"/>
    <w:rsid w:val="009836CB"/>
    <w:rsid w:val="00986A7D"/>
    <w:rsid w:val="009A6EC9"/>
    <w:rsid w:val="009A747E"/>
    <w:rsid w:val="009B3259"/>
    <w:rsid w:val="009B33E4"/>
    <w:rsid w:val="009B7A07"/>
    <w:rsid w:val="009D485E"/>
    <w:rsid w:val="009D5D7B"/>
    <w:rsid w:val="009E4D79"/>
    <w:rsid w:val="009E5749"/>
    <w:rsid w:val="00A12B17"/>
    <w:rsid w:val="00A32710"/>
    <w:rsid w:val="00A500CE"/>
    <w:rsid w:val="00A751EF"/>
    <w:rsid w:val="00A923DE"/>
    <w:rsid w:val="00A925F2"/>
    <w:rsid w:val="00AA0307"/>
    <w:rsid w:val="00AA13CE"/>
    <w:rsid w:val="00AA14BC"/>
    <w:rsid w:val="00AA746D"/>
    <w:rsid w:val="00AB5158"/>
    <w:rsid w:val="00AC391E"/>
    <w:rsid w:val="00AD3321"/>
    <w:rsid w:val="00AD44EA"/>
    <w:rsid w:val="00AE02B2"/>
    <w:rsid w:val="00AE44C6"/>
    <w:rsid w:val="00AE5957"/>
    <w:rsid w:val="00AE5A7B"/>
    <w:rsid w:val="00AF133B"/>
    <w:rsid w:val="00AF7D47"/>
    <w:rsid w:val="00B003C7"/>
    <w:rsid w:val="00B036AC"/>
    <w:rsid w:val="00B1767A"/>
    <w:rsid w:val="00B26123"/>
    <w:rsid w:val="00B312D8"/>
    <w:rsid w:val="00B35DB3"/>
    <w:rsid w:val="00B501DD"/>
    <w:rsid w:val="00B61B5E"/>
    <w:rsid w:val="00B66198"/>
    <w:rsid w:val="00B8190F"/>
    <w:rsid w:val="00B82157"/>
    <w:rsid w:val="00B83493"/>
    <w:rsid w:val="00B84BDC"/>
    <w:rsid w:val="00BA5D26"/>
    <w:rsid w:val="00BD099E"/>
    <w:rsid w:val="00BD312B"/>
    <w:rsid w:val="00BD4F02"/>
    <w:rsid w:val="00BE2709"/>
    <w:rsid w:val="00C02F4B"/>
    <w:rsid w:val="00C10FE5"/>
    <w:rsid w:val="00C13521"/>
    <w:rsid w:val="00C21279"/>
    <w:rsid w:val="00C23E17"/>
    <w:rsid w:val="00C26B31"/>
    <w:rsid w:val="00C46E7C"/>
    <w:rsid w:val="00C539DE"/>
    <w:rsid w:val="00C567F6"/>
    <w:rsid w:val="00C63CD6"/>
    <w:rsid w:val="00CA72D6"/>
    <w:rsid w:val="00CB0EAD"/>
    <w:rsid w:val="00CB4898"/>
    <w:rsid w:val="00CB67F4"/>
    <w:rsid w:val="00CC328B"/>
    <w:rsid w:val="00CC6514"/>
    <w:rsid w:val="00CC79D5"/>
    <w:rsid w:val="00CD0012"/>
    <w:rsid w:val="00CF6D35"/>
    <w:rsid w:val="00D052CB"/>
    <w:rsid w:val="00D31D5C"/>
    <w:rsid w:val="00D3529A"/>
    <w:rsid w:val="00D43849"/>
    <w:rsid w:val="00D45CA7"/>
    <w:rsid w:val="00D51733"/>
    <w:rsid w:val="00D61525"/>
    <w:rsid w:val="00D76E40"/>
    <w:rsid w:val="00D8275A"/>
    <w:rsid w:val="00D82E93"/>
    <w:rsid w:val="00D85BB6"/>
    <w:rsid w:val="00D87224"/>
    <w:rsid w:val="00D87E48"/>
    <w:rsid w:val="00D948CE"/>
    <w:rsid w:val="00DA2D76"/>
    <w:rsid w:val="00DB4417"/>
    <w:rsid w:val="00DC1846"/>
    <w:rsid w:val="00DC3720"/>
    <w:rsid w:val="00DC3ACF"/>
    <w:rsid w:val="00DC6FA2"/>
    <w:rsid w:val="00DD2670"/>
    <w:rsid w:val="00DD2E54"/>
    <w:rsid w:val="00DE56AD"/>
    <w:rsid w:val="00DF12E9"/>
    <w:rsid w:val="00DF39D2"/>
    <w:rsid w:val="00DF6264"/>
    <w:rsid w:val="00E04A83"/>
    <w:rsid w:val="00E053DA"/>
    <w:rsid w:val="00E06CCC"/>
    <w:rsid w:val="00E10E3B"/>
    <w:rsid w:val="00E15E2F"/>
    <w:rsid w:val="00E35749"/>
    <w:rsid w:val="00E364E6"/>
    <w:rsid w:val="00E51CF7"/>
    <w:rsid w:val="00E57F5F"/>
    <w:rsid w:val="00E60D33"/>
    <w:rsid w:val="00E625BC"/>
    <w:rsid w:val="00E74629"/>
    <w:rsid w:val="00E80A47"/>
    <w:rsid w:val="00E82FB7"/>
    <w:rsid w:val="00E861DD"/>
    <w:rsid w:val="00E8633B"/>
    <w:rsid w:val="00E93AF6"/>
    <w:rsid w:val="00E9513F"/>
    <w:rsid w:val="00EA7663"/>
    <w:rsid w:val="00EB09E5"/>
    <w:rsid w:val="00EC410C"/>
    <w:rsid w:val="00EC570F"/>
    <w:rsid w:val="00EC7FD7"/>
    <w:rsid w:val="00EE37FD"/>
    <w:rsid w:val="00EE48B4"/>
    <w:rsid w:val="00F027B3"/>
    <w:rsid w:val="00F02A2C"/>
    <w:rsid w:val="00F07816"/>
    <w:rsid w:val="00F21356"/>
    <w:rsid w:val="00F32514"/>
    <w:rsid w:val="00F378CB"/>
    <w:rsid w:val="00F46F63"/>
    <w:rsid w:val="00F5020A"/>
    <w:rsid w:val="00F5698E"/>
    <w:rsid w:val="00F608F1"/>
    <w:rsid w:val="00F6218A"/>
    <w:rsid w:val="00F7139F"/>
    <w:rsid w:val="00F72A94"/>
    <w:rsid w:val="00F74C98"/>
    <w:rsid w:val="00F75DB9"/>
    <w:rsid w:val="00F81A9B"/>
    <w:rsid w:val="00F85CCF"/>
    <w:rsid w:val="00F872C1"/>
    <w:rsid w:val="00F96010"/>
    <w:rsid w:val="00F96B04"/>
    <w:rsid w:val="00FB2D10"/>
    <w:rsid w:val="00FC6269"/>
    <w:rsid w:val="00FD3DCE"/>
    <w:rsid w:val="00FD51B7"/>
    <w:rsid w:val="00FD7EEE"/>
    <w:rsid w:val="00FE1618"/>
    <w:rsid w:val="00FE2034"/>
    <w:rsid w:val="00FE3957"/>
    <w:rsid w:val="00FE77B7"/>
    <w:rsid w:val="00FF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7D863"/>
  <w15:chartTrackingRefBased/>
  <w15:docId w15:val="{ABE3ACB9-06CE-4F7B-8496-F24944F0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321"/>
    <w:rPr>
      <w:sz w:val="16"/>
      <w:szCs w:val="16"/>
    </w:rPr>
  </w:style>
  <w:style w:type="paragraph" w:styleId="CommentText">
    <w:name w:val="annotation text"/>
    <w:basedOn w:val="Normal"/>
    <w:link w:val="CommentTextChar"/>
    <w:uiPriority w:val="99"/>
    <w:unhideWhenUsed/>
    <w:rsid w:val="00312321"/>
    <w:pPr>
      <w:spacing w:line="240" w:lineRule="auto"/>
    </w:pPr>
    <w:rPr>
      <w:sz w:val="20"/>
      <w:szCs w:val="20"/>
    </w:rPr>
  </w:style>
  <w:style w:type="character" w:customStyle="1" w:styleId="CommentTextChar">
    <w:name w:val="Comment Text Char"/>
    <w:basedOn w:val="DefaultParagraphFont"/>
    <w:link w:val="CommentText"/>
    <w:uiPriority w:val="99"/>
    <w:rsid w:val="00312321"/>
    <w:rPr>
      <w:sz w:val="20"/>
      <w:szCs w:val="20"/>
    </w:rPr>
  </w:style>
  <w:style w:type="paragraph" w:styleId="BalloonText">
    <w:name w:val="Balloon Text"/>
    <w:basedOn w:val="Normal"/>
    <w:link w:val="BalloonTextChar"/>
    <w:uiPriority w:val="99"/>
    <w:semiHidden/>
    <w:unhideWhenUsed/>
    <w:rsid w:val="00312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21"/>
    <w:rPr>
      <w:rFonts w:ascii="Segoe UI" w:hAnsi="Segoe UI" w:cs="Segoe UI"/>
      <w:sz w:val="18"/>
      <w:szCs w:val="18"/>
    </w:rPr>
  </w:style>
  <w:style w:type="character" w:styleId="Hyperlink">
    <w:name w:val="Hyperlink"/>
    <w:basedOn w:val="DefaultParagraphFont"/>
    <w:uiPriority w:val="99"/>
    <w:unhideWhenUsed/>
    <w:rsid w:val="007B5D6B"/>
    <w:rPr>
      <w:color w:val="0563C1" w:themeColor="hyperlink"/>
      <w:u w:val="single"/>
    </w:rPr>
  </w:style>
  <w:style w:type="character" w:styleId="UnresolvedMention">
    <w:name w:val="Unresolved Mention"/>
    <w:basedOn w:val="DefaultParagraphFont"/>
    <w:uiPriority w:val="99"/>
    <w:semiHidden/>
    <w:unhideWhenUsed/>
    <w:rsid w:val="007B5D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57F5F"/>
    <w:rPr>
      <w:b/>
      <w:bCs/>
    </w:rPr>
  </w:style>
  <w:style w:type="character" w:customStyle="1" w:styleId="CommentSubjectChar">
    <w:name w:val="Comment Subject Char"/>
    <w:basedOn w:val="CommentTextChar"/>
    <w:link w:val="CommentSubject"/>
    <w:uiPriority w:val="99"/>
    <w:semiHidden/>
    <w:rsid w:val="00E57F5F"/>
    <w:rPr>
      <w:b/>
      <w:bCs/>
      <w:sz w:val="20"/>
      <w:szCs w:val="20"/>
    </w:rPr>
  </w:style>
  <w:style w:type="table" w:styleId="TableGrid">
    <w:name w:val="Table Grid"/>
    <w:basedOn w:val="TableNormal"/>
    <w:uiPriority w:val="39"/>
    <w:rsid w:val="0046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B30E0"/>
  </w:style>
  <w:style w:type="character" w:customStyle="1" w:styleId="highlight">
    <w:name w:val="highlight"/>
    <w:basedOn w:val="DefaultParagraphFont"/>
    <w:rsid w:val="00F378CB"/>
  </w:style>
  <w:style w:type="paragraph" w:styleId="Header">
    <w:name w:val="header"/>
    <w:basedOn w:val="Normal"/>
    <w:link w:val="HeaderChar"/>
    <w:uiPriority w:val="99"/>
    <w:unhideWhenUsed/>
    <w:rsid w:val="00DC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2"/>
  </w:style>
  <w:style w:type="paragraph" w:styleId="Footer">
    <w:name w:val="footer"/>
    <w:basedOn w:val="Normal"/>
    <w:link w:val="FooterChar"/>
    <w:uiPriority w:val="99"/>
    <w:unhideWhenUsed/>
    <w:rsid w:val="00DC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FA2"/>
  </w:style>
  <w:style w:type="paragraph" w:styleId="Revision">
    <w:name w:val="Revision"/>
    <w:hidden/>
    <w:uiPriority w:val="99"/>
    <w:semiHidden/>
    <w:rsid w:val="00025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0145">
      <w:bodyDiv w:val="1"/>
      <w:marLeft w:val="0"/>
      <w:marRight w:val="0"/>
      <w:marTop w:val="0"/>
      <w:marBottom w:val="0"/>
      <w:divBdr>
        <w:top w:val="none" w:sz="0" w:space="0" w:color="auto"/>
        <w:left w:val="none" w:sz="0" w:space="0" w:color="auto"/>
        <w:bottom w:val="none" w:sz="0" w:space="0" w:color="auto"/>
        <w:right w:val="none" w:sz="0" w:space="0" w:color="auto"/>
      </w:divBdr>
    </w:div>
    <w:div w:id="393357888">
      <w:bodyDiv w:val="1"/>
      <w:marLeft w:val="0"/>
      <w:marRight w:val="0"/>
      <w:marTop w:val="0"/>
      <w:marBottom w:val="0"/>
      <w:divBdr>
        <w:top w:val="none" w:sz="0" w:space="0" w:color="auto"/>
        <w:left w:val="none" w:sz="0" w:space="0" w:color="auto"/>
        <w:bottom w:val="none" w:sz="0" w:space="0" w:color="auto"/>
        <w:right w:val="none" w:sz="0" w:space="0" w:color="auto"/>
      </w:divBdr>
    </w:div>
    <w:div w:id="680082792">
      <w:bodyDiv w:val="1"/>
      <w:marLeft w:val="0"/>
      <w:marRight w:val="0"/>
      <w:marTop w:val="0"/>
      <w:marBottom w:val="0"/>
      <w:divBdr>
        <w:top w:val="none" w:sz="0" w:space="0" w:color="auto"/>
        <w:left w:val="none" w:sz="0" w:space="0" w:color="auto"/>
        <w:bottom w:val="none" w:sz="0" w:space="0" w:color="auto"/>
        <w:right w:val="none" w:sz="0" w:space="0" w:color="auto"/>
      </w:divBdr>
    </w:div>
    <w:div w:id="972442801">
      <w:bodyDiv w:val="1"/>
      <w:marLeft w:val="0"/>
      <w:marRight w:val="0"/>
      <w:marTop w:val="0"/>
      <w:marBottom w:val="0"/>
      <w:divBdr>
        <w:top w:val="none" w:sz="0" w:space="0" w:color="auto"/>
        <w:left w:val="none" w:sz="0" w:space="0" w:color="auto"/>
        <w:bottom w:val="none" w:sz="0" w:space="0" w:color="auto"/>
        <w:right w:val="none" w:sz="0" w:space="0" w:color="auto"/>
      </w:divBdr>
    </w:div>
    <w:div w:id="1151407801">
      <w:bodyDiv w:val="1"/>
      <w:marLeft w:val="0"/>
      <w:marRight w:val="0"/>
      <w:marTop w:val="0"/>
      <w:marBottom w:val="0"/>
      <w:divBdr>
        <w:top w:val="none" w:sz="0" w:space="0" w:color="auto"/>
        <w:left w:val="none" w:sz="0" w:space="0" w:color="auto"/>
        <w:bottom w:val="none" w:sz="0" w:space="0" w:color="auto"/>
        <w:right w:val="none" w:sz="0" w:space="0" w:color="auto"/>
      </w:divBdr>
    </w:div>
    <w:div w:id="1383552207">
      <w:bodyDiv w:val="1"/>
      <w:marLeft w:val="0"/>
      <w:marRight w:val="0"/>
      <w:marTop w:val="0"/>
      <w:marBottom w:val="0"/>
      <w:divBdr>
        <w:top w:val="none" w:sz="0" w:space="0" w:color="auto"/>
        <w:left w:val="none" w:sz="0" w:space="0" w:color="auto"/>
        <w:bottom w:val="none" w:sz="0" w:space="0" w:color="auto"/>
        <w:right w:val="none" w:sz="0" w:space="0" w:color="auto"/>
      </w:divBdr>
    </w:div>
    <w:div w:id="1459880704">
      <w:bodyDiv w:val="1"/>
      <w:marLeft w:val="0"/>
      <w:marRight w:val="0"/>
      <w:marTop w:val="0"/>
      <w:marBottom w:val="0"/>
      <w:divBdr>
        <w:top w:val="none" w:sz="0" w:space="0" w:color="auto"/>
        <w:left w:val="none" w:sz="0" w:space="0" w:color="auto"/>
        <w:bottom w:val="none" w:sz="0" w:space="0" w:color="auto"/>
        <w:right w:val="none" w:sz="0" w:space="0" w:color="auto"/>
      </w:divBdr>
    </w:div>
    <w:div w:id="1865166491">
      <w:bodyDiv w:val="1"/>
      <w:marLeft w:val="0"/>
      <w:marRight w:val="0"/>
      <w:marTop w:val="0"/>
      <w:marBottom w:val="0"/>
      <w:divBdr>
        <w:top w:val="none" w:sz="0" w:space="0" w:color="auto"/>
        <w:left w:val="none" w:sz="0" w:space="0" w:color="auto"/>
        <w:bottom w:val="none" w:sz="0" w:space="0" w:color="auto"/>
        <w:right w:val="none" w:sz="0" w:space="0" w:color="auto"/>
      </w:divBdr>
    </w:div>
    <w:div w:id="1891764802">
      <w:bodyDiv w:val="1"/>
      <w:marLeft w:val="0"/>
      <w:marRight w:val="0"/>
      <w:marTop w:val="0"/>
      <w:marBottom w:val="0"/>
      <w:divBdr>
        <w:top w:val="none" w:sz="0" w:space="0" w:color="auto"/>
        <w:left w:val="none" w:sz="0" w:space="0" w:color="auto"/>
        <w:bottom w:val="none" w:sz="0" w:space="0" w:color="auto"/>
        <w:right w:val="none" w:sz="0" w:space="0" w:color="auto"/>
      </w:divBdr>
    </w:div>
    <w:div w:id="21093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000C-3D11-48CA-832C-767185DD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Junghyu KIM</dc:creator>
  <cp:keywords/>
  <dc:description/>
  <cp:lastModifiedBy>Eleanor Phillips</cp:lastModifiedBy>
  <cp:revision>2</cp:revision>
  <dcterms:created xsi:type="dcterms:W3CDTF">2024-07-02T06:52:00Z</dcterms:created>
  <dcterms:modified xsi:type="dcterms:W3CDTF">2024-07-02T06:52:00Z</dcterms:modified>
</cp:coreProperties>
</file>