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594D7" w14:textId="77777777" w:rsidR="002F0FF4" w:rsidRPr="002F0FF4" w:rsidRDefault="001261C9" w:rsidP="002F0FF4">
      <w:pPr>
        <w:spacing w:after="120"/>
        <w:jc w:val="center"/>
        <w:rPr>
          <w:rFonts w:ascii="Times New Roman" w:hAnsi="Times New Roman"/>
          <w:b/>
          <w:sz w:val="30"/>
          <w:szCs w:val="30"/>
        </w:rPr>
      </w:pPr>
      <w:r>
        <w:rPr>
          <w:rFonts w:ascii="Times New Roman" w:hAnsi="Times New Roman"/>
          <w:b/>
          <w:sz w:val="30"/>
          <w:szCs w:val="30"/>
        </w:rPr>
        <w:t xml:space="preserve">On </w:t>
      </w:r>
      <w:r w:rsidR="001B45D4" w:rsidRPr="002F0FF4">
        <w:rPr>
          <w:rFonts w:ascii="Times New Roman" w:hAnsi="Times New Roman"/>
          <w:b/>
          <w:sz w:val="30"/>
          <w:szCs w:val="30"/>
        </w:rPr>
        <w:t>Policy</w:t>
      </w:r>
      <w:r w:rsidR="002E6188">
        <w:rPr>
          <w:rFonts w:ascii="Times New Roman" w:hAnsi="Times New Roman"/>
          <w:b/>
          <w:sz w:val="30"/>
          <w:szCs w:val="30"/>
        </w:rPr>
        <w:t xml:space="preserve"> </w:t>
      </w:r>
      <w:r w:rsidR="001B45D4" w:rsidRPr="002F0FF4">
        <w:rPr>
          <w:rFonts w:ascii="Times New Roman" w:hAnsi="Times New Roman"/>
          <w:b/>
          <w:sz w:val="30"/>
          <w:szCs w:val="30"/>
        </w:rPr>
        <w:t>Responsiveness</w:t>
      </w:r>
      <w:r w:rsidR="002F0FF4" w:rsidRPr="002F0FF4">
        <w:rPr>
          <w:rFonts w:ascii="Times New Roman" w:hAnsi="Times New Roman"/>
          <w:b/>
          <w:sz w:val="30"/>
          <w:szCs w:val="30"/>
        </w:rPr>
        <w:t>:</w:t>
      </w:r>
    </w:p>
    <w:p w14:paraId="74EBE9B9" w14:textId="77777777" w:rsidR="003011F9" w:rsidRDefault="00FF49BA" w:rsidP="002F0FF4">
      <w:pPr>
        <w:jc w:val="center"/>
        <w:rPr>
          <w:rFonts w:ascii="Times New Roman" w:hAnsi="Times New Roman"/>
          <w:b/>
          <w:sz w:val="26"/>
          <w:szCs w:val="26"/>
        </w:rPr>
      </w:pPr>
      <w:r>
        <w:rPr>
          <w:rFonts w:ascii="Times New Roman" w:hAnsi="Times New Roman"/>
          <w:b/>
          <w:sz w:val="26"/>
          <w:szCs w:val="26"/>
        </w:rPr>
        <w:t xml:space="preserve">Conditions for </w:t>
      </w:r>
      <w:r w:rsidR="00D667D5">
        <w:rPr>
          <w:rFonts w:ascii="Times New Roman" w:hAnsi="Times New Roman"/>
          <w:b/>
          <w:sz w:val="26"/>
          <w:szCs w:val="26"/>
        </w:rPr>
        <w:t xml:space="preserve">Effective </w:t>
      </w:r>
      <w:r>
        <w:rPr>
          <w:rFonts w:ascii="Times New Roman" w:hAnsi="Times New Roman"/>
          <w:b/>
          <w:sz w:val="26"/>
          <w:szCs w:val="26"/>
        </w:rPr>
        <w:t>Demand and Supply</w:t>
      </w:r>
      <w:r w:rsidR="001B45D4">
        <w:rPr>
          <w:rFonts w:ascii="Times New Roman" w:hAnsi="Times New Roman"/>
          <w:b/>
          <w:sz w:val="26"/>
          <w:szCs w:val="26"/>
        </w:rPr>
        <w:t>*</w:t>
      </w:r>
    </w:p>
    <w:p w14:paraId="06D7E025" w14:textId="77777777" w:rsidR="004104BE" w:rsidRDefault="004104BE" w:rsidP="002F0FF4">
      <w:pPr>
        <w:jc w:val="center"/>
        <w:rPr>
          <w:rFonts w:ascii="Times New Roman" w:hAnsi="Times New Roman"/>
          <w:b/>
          <w:sz w:val="26"/>
          <w:szCs w:val="26"/>
        </w:rPr>
      </w:pPr>
    </w:p>
    <w:p w14:paraId="521E652A" w14:textId="77777777" w:rsidR="004E351D" w:rsidRDefault="004E351D" w:rsidP="004E351D">
      <w:pPr>
        <w:jc w:val="center"/>
        <w:rPr>
          <w:rFonts w:ascii="Times New Roman" w:hAnsi="Times New Roman"/>
          <w:sz w:val="24"/>
        </w:rPr>
      </w:pPr>
      <w:r>
        <w:rPr>
          <w:rFonts w:ascii="Times New Roman" w:hAnsi="Times New Roman"/>
          <w:sz w:val="24"/>
        </w:rPr>
        <w:t>Christopher Wlezien</w:t>
      </w:r>
    </w:p>
    <w:p w14:paraId="731BEE98" w14:textId="77777777" w:rsidR="004E351D" w:rsidRDefault="004E351D" w:rsidP="004E351D">
      <w:pPr>
        <w:jc w:val="center"/>
        <w:rPr>
          <w:rFonts w:ascii="Times New Roman" w:hAnsi="Times New Roman"/>
          <w:sz w:val="24"/>
        </w:rPr>
      </w:pPr>
      <w:r>
        <w:rPr>
          <w:rFonts w:ascii="Times New Roman" w:hAnsi="Times New Roman"/>
          <w:sz w:val="24"/>
        </w:rPr>
        <w:t>University of Texas at Austin</w:t>
      </w:r>
    </w:p>
    <w:p w14:paraId="119D4478" w14:textId="77777777" w:rsidR="004E351D" w:rsidRDefault="004E351D" w:rsidP="004E351D">
      <w:pPr>
        <w:spacing w:after="120"/>
        <w:jc w:val="center"/>
        <w:rPr>
          <w:rFonts w:ascii="Times New Roman" w:hAnsi="Times New Roman"/>
          <w:sz w:val="24"/>
        </w:rPr>
      </w:pPr>
      <w:hyperlink r:id="rId8" w:history="1">
        <w:r w:rsidRPr="00BC2FD9">
          <w:rPr>
            <w:rStyle w:val="Hyperlink"/>
            <w:rFonts w:ascii="Times New Roman" w:hAnsi="Times New Roman"/>
            <w:sz w:val="24"/>
          </w:rPr>
          <w:t>Wlezien@austin.utexas.edu</w:t>
        </w:r>
      </w:hyperlink>
    </w:p>
    <w:p w14:paraId="739A135E" w14:textId="77777777" w:rsidR="006231DA" w:rsidRDefault="006231DA" w:rsidP="006231DA">
      <w:pPr>
        <w:widowControl/>
        <w:autoSpaceDE/>
        <w:autoSpaceDN/>
        <w:adjustRightInd/>
        <w:jc w:val="center"/>
        <w:rPr>
          <w:rFonts w:ascii="Times New Roman" w:eastAsia="Calibri" w:hAnsi="Times New Roman"/>
          <w:b/>
          <w:bCs/>
          <w:sz w:val="28"/>
          <w:szCs w:val="28"/>
        </w:rPr>
      </w:pPr>
    </w:p>
    <w:p w14:paraId="00B02AD0" w14:textId="04CACFFF" w:rsidR="0089524B" w:rsidRDefault="0089524B" w:rsidP="006231DA">
      <w:pPr>
        <w:widowControl/>
        <w:autoSpaceDE/>
        <w:autoSpaceDN/>
        <w:adjustRightInd/>
        <w:jc w:val="center"/>
        <w:rPr>
          <w:rFonts w:ascii="Times New Roman" w:eastAsia="Calibri" w:hAnsi="Times New Roman"/>
          <w:b/>
          <w:bCs/>
          <w:sz w:val="28"/>
          <w:szCs w:val="28"/>
        </w:rPr>
      </w:pPr>
      <w:r w:rsidRPr="00834689">
        <w:rPr>
          <w:rFonts w:ascii="Times New Roman" w:eastAsia="Calibri" w:hAnsi="Times New Roman"/>
          <w:b/>
          <w:bCs/>
          <w:sz w:val="28"/>
          <w:szCs w:val="28"/>
        </w:rPr>
        <w:t>Online appendices</w:t>
      </w:r>
    </w:p>
    <w:p w14:paraId="2B350BDC" w14:textId="77777777" w:rsidR="006231DA" w:rsidRPr="00834689" w:rsidRDefault="006231DA" w:rsidP="006231DA">
      <w:pPr>
        <w:widowControl/>
        <w:autoSpaceDE/>
        <w:autoSpaceDN/>
        <w:adjustRightInd/>
        <w:jc w:val="center"/>
        <w:rPr>
          <w:rFonts w:ascii="Times New Roman" w:eastAsia="Calibri" w:hAnsi="Times New Roman"/>
          <w:b/>
          <w:bCs/>
          <w:sz w:val="28"/>
          <w:szCs w:val="28"/>
        </w:rPr>
      </w:pPr>
    </w:p>
    <w:p w14:paraId="01671248" w14:textId="77777777" w:rsidR="0089524B" w:rsidRDefault="0089524B" w:rsidP="0089524B">
      <w:pPr>
        <w:keepLines/>
        <w:tabs>
          <w:tab w:val="left" w:pos="0"/>
          <w:tab w:val="left" w:pos="7830"/>
        </w:tabs>
        <w:suppressAutoHyphens/>
        <w:spacing w:after="240" w:line="480" w:lineRule="auto"/>
        <w:rPr>
          <w:rFonts w:ascii="Times New Roman" w:eastAsia="Calibri" w:hAnsi="Times New Roman"/>
          <w:b/>
          <w:bCs/>
          <w:sz w:val="24"/>
        </w:rPr>
      </w:pPr>
      <w:r>
        <w:rPr>
          <w:rFonts w:ascii="Times New Roman" w:eastAsia="Calibri" w:hAnsi="Times New Roman"/>
          <w:b/>
          <w:bCs/>
          <w:sz w:val="24"/>
        </w:rPr>
        <w:t>Appendix A: On government decisions, policy outputs, and outcomes</w:t>
      </w:r>
    </w:p>
    <w:p w14:paraId="6A3507C8" w14:textId="77777777" w:rsidR="0089524B" w:rsidRDefault="0089524B" w:rsidP="0089524B">
      <w:pPr>
        <w:pStyle w:val="NormalWeb"/>
        <w:spacing w:before="0" w:beforeAutospacing="0" w:after="120" w:afterAutospacing="0" w:line="480" w:lineRule="auto"/>
        <w:rPr>
          <w:color w:val="000000"/>
          <w:kern w:val="24"/>
        </w:rPr>
      </w:pPr>
      <w:r>
        <w:rPr>
          <w:color w:val="000000"/>
          <w:kern w:val="24"/>
        </w:rPr>
        <w:t>As discussed in the text, it may be that members of the public are motivated less by the policy decisions – or implemented “outputs” – governments produce and more by the results of those policies, what we in the policy community often refer to as “outcomes.”</w:t>
      </w:r>
      <w:r w:rsidRPr="008949A4">
        <w:rPr>
          <w:rStyle w:val="FootnoteReference"/>
          <w:color w:val="000000"/>
          <w:kern w:val="24"/>
          <w:vertAlign w:val="superscript"/>
        </w:rPr>
        <w:footnoteReference w:id="1"/>
      </w:r>
      <w:r>
        <w:rPr>
          <w:color w:val="000000"/>
          <w:kern w:val="24"/>
        </w:rPr>
        <w:t xml:space="preserve">  Outputs and outcomes can be closely related, particularly in those areas where governments mostly control what happens out in the world, for instance, abortion access, a politically salient issue.  They almost always are different, however, sometimes substantially so, as in the case of economic growth, another politically salient issue, seemingly the queen of political issues, but one where policy influences typically are dwarfed by non-policy determinants.</w:t>
      </w:r>
      <w:r w:rsidRPr="006A78EF">
        <w:rPr>
          <w:rStyle w:val="FootnoteReference"/>
          <w:color w:val="000000"/>
          <w:kern w:val="24"/>
          <w:vertAlign w:val="superscript"/>
        </w:rPr>
        <w:footnoteReference w:id="2"/>
      </w:r>
      <w:r w:rsidRPr="006A78EF">
        <w:rPr>
          <w:color w:val="000000"/>
          <w:kern w:val="24"/>
          <w:vertAlign w:val="superscript"/>
        </w:rPr>
        <w:t xml:space="preserve">  </w:t>
      </w:r>
      <w:r>
        <w:rPr>
          <w:color w:val="000000"/>
          <w:kern w:val="24"/>
        </w:rPr>
        <w:t>Since outcomes may matter more to people where they can observe conditions, especially when they cannot easily observe policies, it may be that people at least partly draw inferences about policy actions based on conditions in such cases, as for pollution (Buchanan 2023).</w:t>
      </w:r>
      <w:r w:rsidRPr="00882722">
        <w:rPr>
          <w:rStyle w:val="FootnoteReference"/>
          <w:color w:val="000000"/>
          <w:kern w:val="24"/>
          <w:vertAlign w:val="superscript"/>
        </w:rPr>
        <w:footnoteReference w:id="3"/>
      </w:r>
      <w:r w:rsidRPr="00882722">
        <w:rPr>
          <w:color w:val="000000"/>
          <w:kern w:val="24"/>
          <w:vertAlign w:val="superscript"/>
        </w:rPr>
        <w:t xml:space="preserve"> </w:t>
      </w:r>
      <w:r>
        <w:rPr>
          <w:color w:val="000000"/>
          <w:kern w:val="24"/>
        </w:rPr>
        <w:t xml:space="preserve"> Detecting outcomes is not always easy, however.  National security is one obvious case, but there are many other less obvious ones, including the bulk of government regulation.  Even where people value and can observe </w:t>
      </w:r>
      <w:r>
        <w:rPr>
          <w:color w:val="000000"/>
          <w:kern w:val="24"/>
        </w:rPr>
        <w:lastRenderedPageBreak/>
        <w:t>conditions, attributing responsibility remains difficult</w:t>
      </w:r>
      <w:r w:rsidRPr="00DE21E5">
        <w:rPr>
          <w:color w:val="000000"/>
          <w:kern w:val="24"/>
        </w:rPr>
        <w:t xml:space="preserve"> </w:t>
      </w:r>
      <w:r>
        <w:rPr>
          <w:color w:val="000000"/>
          <w:kern w:val="24"/>
        </w:rPr>
        <w:t xml:space="preserve">in most areas in which government is involved, though this varies with political institutions and policy areas. Unclear responsibility attenuates the connections to those </w:t>
      </w:r>
      <w:proofErr w:type="gramStart"/>
      <w:r>
        <w:rPr>
          <w:color w:val="000000"/>
          <w:kern w:val="24"/>
        </w:rPr>
        <w:t>outcomes, and</w:t>
      </w:r>
      <w:proofErr w:type="gramEnd"/>
      <w:r>
        <w:rPr>
          <w:color w:val="000000"/>
          <w:kern w:val="24"/>
        </w:rPr>
        <w:t xml:space="preserve"> may further diminish incentives for policymakers to do anything with policy.   </w:t>
      </w:r>
    </w:p>
    <w:p w14:paraId="0F786EC4" w14:textId="77777777" w:rsidR="0089524B" w:rsidRPr="00FA3948" w:rsidRDefault="0089524B" w:rsidP="0089524B">
      <w:pPr>
        <w:pStyle w:val="NormalWeb"/>
        <w:spacing w:before="0" w:beforeAutospacing="0" w:after="120" w:afterAutospacing="0" w:line="480" w:lineRule="auto"/>
        <w:rPr>
          <w:color w:val="000000"/>
          <w:kern w:val="24"/>
        </w:rPr>
      </w:pPr>
      <w:r>
        <w:rPr>
          <w:color w:val="000000"/>
          <w:kern w:val="24"/>
        </w:rPr>
        <w:t xml:space="preserve">Where people care more about outcomes, it may be that they prioritize areas where conditions are suboptimal, what we typically refer to as “problems.” At the very least, problems may drive policy change, and there is reason to suppose that this depends on their importance </w:t>
      </w:r>
      <w:r w:rsidRPr="006E040A">
        <w:rPr>
          <w:color w:val="000000"/>
          <w:kern w:val="24"/>
          <w:u w:val="single"/>
        </w:rPr>
        <w:t>and</w:t>
      </w:r>
      <w:r>
        <w:rPr>
          <w:color w:val="000000"/>
          <w:kern w:val="24"/>
        </w:rPr>
        <w:t xml:space="preserve"> the degree to which there are problems in </w:t>
      </w:r>
      <w:r w:rsidRPr="003726AC">
        <w:rPr>
          <w:i/>
          <w:iCs/>
          <w:color w:val="000000"/>
          <w:kern w:val="24"/>
        </w:rPr>
        <w:t>other</w:t>
      </w:r>
      <w:r>
        <w:rPr>
          <w:color w:val="000000"/>
          <w:kern w:val="24"/>
        </w:rPr>
        <w:t xml:space="preserve"> important areas.  That is, politicians may need to pick and choose, and increases (decreases) in problem status in one area can impact the demand for attention in another. All of this strikes me as the consensus among scholars of policy agendas and representation (see, e.g., Jones and Baumgartner 2005; Wlezien 2005; Jennings and Wlezien 2011), but public preferences for government action – both the extent to which people want the government to do something and what they think government should or might do – also may matter for elected officials.</w:t>
      </w:r>
      <w:r w:rsidRPr="007441A8">
        <w:rPr>
          <w:rStyle w:val="FootnoteReference"/>
          <w:color w:val="000000"/>
          <w:kern w:val="24"/>
          <w:vertAlign w:val="superscript"/>
        </w:rPr>
        <w:footnoteReference w:id="4"/>
      </w:r>
      <w:r>
        <w:rPr>
          <w:color w:val="000000"/>
          <w:kern w:val="24"/>
        </w:rPr>
        <w:t xml:space="preserve">  Of course, controlling outcomes can be a difficult task for politicians, as the policy means to those ends are not always clear, and other non-policy factors often are more important determinants.</w:t>
      </w:r>
      <w:r w:rsidRPr="003726AC">
        <w:rPr>
          <w:rStyle w:val="FootnoteReference"/>
          <w:color w:val="000000"/>
          <w:kern w:val="24"/>
          <w:vertAlign w:val="superscript"/>
        </w:rPr>
        <w:footnoteReference w:id="5"/>
      </w:r>
      <w:r>
        <w:rPr>
          <w:color w:val="000000"/>
          <w:kern w:val="24"/>
        </w:rPr>
        <w:t xml:space="preserve">  The attention political actors pay to particular issues may matter here too, and it may be that this is an</w:t>
      </w:r>
      <w:r w:rsidRPr="00404DC0">
        <w:rPr>
          <w:color w:val="000000"/>
          <w:kern w:val="24"/>
        </w:rPr>
        <w:t xml:space="preserve"> end unto itself</w:t>
      </w:r>
      <w:r>
        <w:rPr>
          <w:color w:val="000000"/>
          <w:kern w:val="24"/>
        </w:rPr>
        <w:t xml:space="preserve"> for some citizens; if true, policy actions may not matter much.  This all relates to what drives people’s political judgments, which provides incentives to elected officials and their competitors.  </w:t>
      </w:r>
    </w:p>
    <w:p w14:paraId="2C46189A" w14:textId="77777777" w:rsidR="006231DA" w:rsidRDefault="006231DA" w:rsidP="0089524B">
      <w:pPr>
        <w:keepLines/>
        <w:tabs>
          <w:tab w:val="left" w:pos="0"/>
          <w:tab w:val="left" w:pos="7830"/>
        </w:tabs>
        <w:suppressAutoHyphens/>
        <w:spacing w:line="480" w:lineRule="auto"/>
        <w:rPr>
          <w:rFonts w:ascii="Times New Roman" w:eastAsia="Calibri" w:hAnsi="Times New Roman"/>
          <w:b/>
          <w:bCs/>
          <w:sz w:val="24"/>
        </w:rPr>
      </w:pPr>
    </w:p>
    <w:p w14:paraId="1A3E1E09" w14:textId="591596C6" w:rsidR="0089524B" w:rsidRPr="003726AC" w:rsidRDefault="0089524B" w:rsidP="0089524B">
      <w:pPr>
        <w:keepLines/>
        <w:tabs>
          <w:tab w:val="left" w:pos="0"/>
          <w:tab w:val="left" w:pos="7830"/>
        </w:tabs>
        <w:suppressAutoHyphens/>
        <w:spacing w:line="480" w:lineRule="auto"/>
        <w:rPr>
          <w:rFonts w:ascii="Times New Roman" w:eastAsia="Calibri" w:hAnsi="Times New Roman"/>
          <w:b/>
          <w:bCs/>
          <w:sz w:val="24"/>
        </w:rPr>
      </w:pPr>
      <w:r w:rsidRPr="00221AEA">
        <w:rPr>
          <w:rFonts w:ascii="Times New Roman" w:eastAsia="Calibri" w:hAnsi="Times New Roman"/>
          <w:b/>
          <w:bCs/>
          <w:sz w:val="24"/>
        </w:rPr>
        <w:lastRenderedPageBreak/>
        <w:t>Appendix</w:t>
      </w:r>
      <w:r>
        <w:rPr>
          <w:rFonts w:ascii="Times New Roman" w:eastAsia="Calibri" w:hAnsi="Times New Roman"/>
          <w:b/>
          <w:bCs/>
          <w:sz w:val="24"/>
        </w:rPr>
        <w:t xml:space="preserve"> B</w:t>
      </w:r>
      <w:r w:rsidRPr="00221AEA">
        <w:rPr>
          <w:rFonts w:ascii="Times New Roman" w:eastAsia="Calibri" w:hAnsi="Times New Roman"/>
          <w:b/>
          <w:bCs/>
          <w:sz w:val="24"/>
        </w:rPr>
        <w:t xml:space="preserve">: </w:t>
      </w:r>
      <w:r>
        <w:rPr>
          <w:rFonts w:ascii="Times New Roman" w:hAnsi="Times New Roman"/>
          <w:b/>
          <w:bCs/>
          <w:color w:val="000000"/>
          <w:kern w:val="24"/>
          <w:sz w:val="24"/>
        </w:rPr>
        <w:t>Who gets represented?</w:t>
      </w:r>
    </w:p>
    <w:p w14:paraId="5C130806" w14:textId="77777777" w:rsidR="0089524B" w:rsidRPr="004610F8" w:rsidRDefault="0089524B" w:rsidP="0089524B">
      <w:pPr>
        <w:pStyle w:val="NormalWeb"/>
        <w:spacing w:before="0" w:beforeAutospacing="0" w:after="120" w:afterAutospacing="0" w:line="480" w:lineRule="auto"/>
        <w:rPr>
          <w:color w:val="000000"/>
          <w:kern w:val="24"/>
        </w:rPr>
      </w:pPr>
      <w:r>
        <w:t>Scholars and political observers have focused heavily on whether groups with resources, especially high incomes, are more “influential” than others (Elkjaer and Klitgaard 2024). Since (much) democratic theory highlights the median voter, we might expect representation of those with</w:t>
      </w:r>
      <w:r w:rsidRPr="00E06266">
        <w:rPr>
          <w:color w:val="000000"/>
          <w:kern w:val="24"/>
        </w:rPr>
        <w:t xml:space="preserve"> middling income</w:t>
      </w:r>
      <w:r>
        <w:rPr>
          <w:color w:val="000000"/>
          <w:kern w:val="24"/>
        </w:rPr>
        <w:t>s.  However, other theory (and research) recognizes variation in the influence of voters, pointing toward representation those with</w:t>
      </w:r>
      <w:r w:rsidRPr="00E06266">
        <w:rPr>
          <w:color w:val="000000"/>
          <w:kern w:val="24"/>
        </w:rPr>
        <w:t xml:space="preserve"> high(er) incomes</w:t>
      </w:r>
      <w:r>
        <w:rPr>
          <w:color w:val="000000"/>
          <w:kern w:val="24"/>
        </w:rPr>
        <w:t>, who participate more in politics than those with less.</w:t>
      </w:r>
      <w:r>
        <w:t xml:space="preserve">  Little research posits that </w:t>
      </w:r>
      <w:proofErr w:type="gramStart"/>
      <w:r>
        <w:t>low income</w:t>
      </w:r>
      <w:proofErr w:type="gramEnd"/>
      <w:r>
        <w:t xml:space="preserve"> voters are decisive, so there is r</w:t>
      </w:r>
      <w:r w:rsidRPr="00E06266">
        <w:rPr>
          <w:color w:val="000000"/>
          <w:kern w:val="24"/>
        </w:rPr>
        <w:t xml:space="preserve">eason to expect that both </w:t>
      </w:r>
      <w:r>
        <w:rPr>
          <w:color w:val="000000"/>
          <w:kern w:val="24"/>
        </w:rPr>
        <w:t xml:space="preserve">middle and high income voters </w:t>
      </w:r>
      <w:r w:rsidRPr="00E06266">
        <w:rPr>
          <w:color w:val="000000"/>
          <w:kern w:val="24"/>
        </w:rPr>
        <w:t>matter more than the poor.</w:t>
      </w:r>
      <w:r w:rsidRPr="00917235">
        <w:rPr>
          <w:rStyle w:val="FootnoteReference"/>
          <w:color w:val="000000"/>
          <w:kern w:val="24"/>
          <w:vertAlign w:val="superscript"/>
        </w:rPr>
        <w:footnoteReference w:id="6"/>
      </w:r>
      <w:r w:rsidRPr="00917235">
        <w:rPr>
          <w:color w:val="000000"/>
          <w:kern w:val="24"/>
          <w:vertAlign w:val="superscript"/>
        </w:rPr>
        <w:t xml:space="preserve"> </w:t>
      </w:r>
      <w:r>
        <w:rPr>
          <w:color w:val="000000"/>
          <w:kern w:val="24"/>
        </w:rPr>
        <w:t xml:space="preserve">Is this what we observe?  And what about the </w:t>
      </w:r>
      <w:proofErr w:type="gramStart"/>
      <w:r>
        <w:rPr>
          <w:color w:val="000000"/>
          <w:kern w:val="24"/>
        </w:rPr>
        <w:t>middle and high income</w:t>
      </w:r>
      <w:proofErr w:type="gramEnd"/>
      <w:r>
        <w:rPr>
          <w:color w:val="000000"/>
          <w:kern w:val="24"/>
        </w:rPr>
        <w:t xml:space="preserve"> groups?  Are </w:t>
      </w:r>
      <w:r w:rsidRPr="00E06266">
        <w:rPr>
          <w:color w:val="000000"/>
          <w:kern w:val="24"/>
        </w:rPr>
        <w:t xml:space="preserve">the </w:t>
      </w:r>
      <w:r>
        <w:rPr>
          <w:color w:val="000000"/>
          <w:kern w:val="24"/>
        </w:rPr>
        <w:t>latte</w:t>
      </w:r>
      <w:r w:rsidRPr="00E06266">
        <w:rPr>
          <w:color w:val="000000"/>
          <w:kern w:val="24"/>
        </w:rPr>
        <w:t xml:space="preserve">r more </w:t>
      </w:r>
      <w:r>
        <w:rPr>
          <w:color w:val="000000"/>
          <w:kern w:val="24"/>
        </w:rPr>
        <w:t xml:space="preserve">influential </w:t>
      </w:r>
      <w:r w:rsidRPr="00E06266">
        <w:rPr>
          <w:color w:val="000000"/>
          <w:kern w:val="24"/>
        </w:rPr>
        <w:t xml:space="preserve">than the </w:t>
      </w:r>
      <w:r>
        <w:rPr>
          <w:color w:val="000000"/>
          <w:kern w:val="24"/>
        </w:rPr>
        <w:t>former</w:t>
      </w:r>
      <w:r w:rsidRPr="00E06266">
        <w:rPr>
          <w:color w:val="000000"/>
          <w:kern w:val="24"/>
        </w:rPr>
        <w:t>?</w:t>
      </w:r>
    </w:p>
    <w:p w14:paraId="6127B654" w14:textId="77777777" w:rsidR="0089524B" w:rsidRPr="00472FF3" w:rsidRDefault="0089524B" w:rsidP="0089524B">
      <w:pPr>
        <w:pStyle w:val="NormalWeb"/>
        <w:spacing w:before="240" w:beforeAutospacing="0" w:after="120" w:afterAutospacing="0" w:line="480" w:lineRule="auto"/>
      </w:pPr>
      <w:r>
        <w:rPr>
          <w:color w:val="000000"/>
          <w:kern w:val="24"/>
        </w:rPr>
        <w:t>To begin with, it is important to recognize that there are substantial p</w:t>
      </w:r>
      <w:r w:rsidRPr="00E06266">
        <w:rPr>
          <w:color w:val="000000"/>
          <w:kern w:val="24"/>
        </w:rPr>
        <w:t>reference similarities</w:t>
      </w:r>
      <w:r>
        <w:rPr>
          <w:color w:val="000000"/>
          <w:kern w:val="24"/>
        </w:rPr>
        <w:t xml:space="preserve"> across income groups.  Consider the data from Gilens’ now-classic (2012) examination of representational inequality in the US, in which he found that the rich influence policy decisions and the middle and poor not at all.</w:t>
      </w:r>
      <w:r w:rsidRPr="00472FF3">
        <w:rPr>
          <w:rStyle w:val="FootnoteReference"/>
          <w:color w:val="000000"/>
          <w:kern w:val="24"/>
          <w:vertAlign w:val="superscript"/>
        </w:rPr>
        <w:footnoteReference w:id="7"/>
      </w:r>
      <w:r>
        <w:rPr>
          <w:color w:val="000000"/>
          <w:kern w:val="24"/>
        </w:rPr>
        <w:t xml:space="preserve">  </w:t>
      </w:r>
      <w:r>
        <w:t>That conclusion was based on regression analysis including preferences of the different groups – the 90</w:t>
      </w:r>
      <w:r w:rsidRPr="00472FF3">
        <w:rPr>
          <w:vertAlign w:val="superscript"/>
        </w:rPr>
        <w:t>th</w:t>
      </w:r>
      <w:r>
        <w:t>, 50</w:t>
      </w:r>
      <w:r w:rsidRPr="00472FF3">
        <w:rPr>
          <w:vertAlign w:val="superscript"/>
        </w:rPr>
        <w:t>th</w:t>
      </w:r>
      <w:r>
        <w:t>, and 10</w:t>
      </w:r>
      <w:r w:rsidRPr="00472FF3">
        <w:rPr>
          <w:vertAlign w:val="superscript"/>
        </w:rPr>
        <w:t>th</w:t>
      </w:r>
      <w:r>
        <w:t xml:space="preserve"> income percentiles – on the right-hand-side, which has spawned a massive growth of research around the world that essentially duplicated his research design (see Elkjaer and Klitgaard 2024).  Yet, as can be seen in Figure B1, the similarities in preferences across income groups on the 1,779 issues in Gilens’ dataset are striking.  Majorities of all three groups agree over 80% of the time, and majorities of the rich and middle agree over 90% of the time (also see Bashir 2015).  The difference in support between </w:t>
      </w:r>
      <w:r>
        <w:lastRenderedPageBreak/>
        <w:t>preferences of the middle and rich is less than 6 percentage points on average, which is important given that the theoretical range is 100 points.</w:t>
      </w:r>
      <w:r w:rsidRPr="00E917DB">
        <w:rPr>
          <w:rStyle w:val="FootnoteReference"/>
          <w:vertAlign w:val="superscript"/>
        </w:rPr>
        <w:footnoteReference w:id="8"/>
      </w:r>
      <w:r w:rsidRPr="00E917DB">
        <w:rPr>
          <w:vertAlign w:val="superscript"/>
        </w:rPr>
        <w:t xml:space="preserve"> </w:t>
      </w:r>
      <w:r>
        <w:rPr>
          <w:color w:val="000000"/>
          <w:kern w:val="24"/>
        </w:rPr>
        <w:t xml:space="preserve"> Even those numbers may </w:t>
      </w:r>
      <w:r w:rsidRPr="00E06266">
        <w:rPr>
          <w:color w:val="000000"/>
          <w:kern w:val="24"/>
        </w:rPr>
        <w:t xml:space="preserve">exaggerate </w:t>
      </w:r>
      <w:r>
        <w:rPr>
          <w:color w:val="000000"/>
          <w:kern w:val="24"/>
        </w:rPr>
        <w:t xml:space="preserve">true </w:t>
      </w:r>
      <w:r w:rsidRPr="00E06266">
        <w:rPr>
          <w:color w:val="000000"/>
          <w:kern w:val="24"/>
        </w:rPr>
        <w:t>differences</w:t>
      </w:r>
      <w:r>
        <w:rPr>
          <w:color w:val="000000"/>
          <w:kern w:val="24"/>
        </w:rPr>
        <w:t xml:space="preserve"> given that most of the policy questions in the dataset do not offer a “don’t know” option, encouraging respondents to guess, sometimes randomly, which can artificially expand preference gaps across groups with different levels of knowledge and information (Elkjaer and Wlezien 2025)</w:t>
      </w:r>
      <w:r w:rsidRPr="00E06266">
        <w:rPr>
          <w:color w:val="000000"/>
          <w:kern w:val="24"/>
        </w:rPr>
        <w:t>.</w:t>
      </w:r>
      <w:r>
        <w:rPr>
          <w:color w:val="000000"/>
          <w:kern w:val="24"/>
        </w:rPr>
        <w:t xml:space="preserve">  </w:t>
      </w:r>
    </w:p>
    <w:p w14:paraId="4B8AA0C9" w14:textId="77777777" w:rsidR="0089524B" w:rsidRDefault="0089524B" w:rsidP="0089524B">
      <w:pPr>
        <w:pStyle w:val="NormalWeb"/>
        <w:spacing w:before="240" w:beforeAutospacing="0" w:after="120" w:afterAutospacing="0" w:line="480" w:lineRule="auto"/>
        <w:rPr>
          <w:color w:val="000000"/>
          <w:kern w:val="24"/>
        </w:rPr>
      </w:pPr>
      <w:r>
        <w:rPr>
          <w:color w:val="000000"/>
          <w:kern w:val="24"/>
        </w:rPr>
        <w:t>When preference majorities differ in the U.S., who wins?  Branham, et al (2017) answered this question using Gilens’ dataset for 1,779 different policies.  On the 10% of the policies where the rich and middle disagree in the Gilens dataset, the rich tend to win only slightly more than the middle, about 53% of the time.  Focusing only on successful changes to the status quo – as opposed to blocking policy changes – the gap increases somewhat, as policies the rich support (and middle oppose) are adopted 36% of the time and those the middle support (and rich oppose) in 26% of the cases.</w:t>
      </w:r>
      <w:r w:rsidRPr="00F76095">
        <w:rPr>
          <w:rStyle w:val="FootnoteReference"/>
          <w:color w:val="000000"/>
          <w:kern w:val="24"/>
          <w:vertAlign w:val="superscript"/>
        </w:rPr>
        <w:footnoteReference w:id="9"/>
      </w:r>
      <w:r>
        <w:rPr>
          <w:color w:val="000000"/>
          <w:kern w:val="24"/>
        </w:rPr>
        <w:t xml:space="preserve">  This tendency for the rich to do only a little better than the middle is supported by research in a large number of other countries (Persson and Sundell 2024), implying that the pattern does not owe to </w:t>
      </w:r>
      <w:proofErr w:type="spellStart"/>
      <w:r>
        <w:rPr>
          <w:color w:val="000000"/>
          <w:kern w:val="24"/>
        </w:rPr>
        <w:t>countermajoritarian</w:t>
      </w:r>
      <w:proofErr w:type="spellEnd"/>
      <w:r>
        <w:rPr>
          <w:color w:val="000000"/>
          <w:kern w:val="24"/>
        </w:rPr>
        <w:t xml:space="preserve"> veto players that are present in the U.S. (Enns, et al 2014).  Based on these analyses, the rich do not dominate democratic politics in the U.S. or elsewhere, but even a 50-50 split </w:t>
      </w:r>
      <w:r w:rsidRPr="00921B55">
        <w:rPr>
          <w:i/>
          <w:iCs/>
          <w:color w:val="000000"/>
          <w:kern w:val="24"/>
        </w:rPr>
        <w:t>may</w:t>
      </w:r>
      <w:r>
        <w:rPr>
          <w:color w:val="000000"/>
          <w:kern w:val="24"/>
        </w:rPr>
        <w:t xml:space="preserve"> not be good news from the point of view of democratic representation, as this is more than we would expect were the middle effectively driving policy, where the rich would never win. </w:t>
      </w:r>
    </w:p>
    <w:p w14:paraId="20472AEB" w14:textId="77777777" w:rsidR="0089524B" w:rsidRDefault="0089524B" w:rsidP="0089524B">
      <w:pPr>
        <w:pStyle w:val="NormalWeb"/>
        <w:spacing w:before="240" w:beforeAutospacing="0" w:after="120" w:afterAutospacing="0" w:line="480" w:lineRule="auto"/>
        <w:rPr>
          <w:color w:val="000000"/>
          <w:kern w:val="24"/>
        </w:rPr>
      </w:pPr>
      <w:r>
        <w:rPr>
          <w:color w:val="000000"/>
          <w:kern w:val="24"/>
        </w:rPr>
        <w:lastRenderedPageBreak/>
        <w:t>The tendency points to additional obstacles to effective representation, the specific mechanisms of which remain unclear.  Do the results reflect differential leverage over the policymaking process, which many scholars seem to think but for which there is limited evidence (Burgoon, et al 2022)?</w:t>
      </w:r>
      <w:r w:rsidRPr="00C63131">
        <w:rPr>
          <w:rStyle w:val="FootnoteReference"/>
          <w:color w:val="000000"/>
          <w:kern w:val="24"/>
          <w:vertAlign w:val="superscript"/>
        </w:rPr>
        <w:footnoteReference w:id="10"/>
      </w:r>
      <w:r w:rsidRPr="00C63131">
        <w:rPr>
          <w:color w:val="000000"/>
          <w:kern w:val="24"/>
          <w:vertAlign w:val="superscript"/>
        </w:rPr>
        <w:t xml:space="preserve"> </w:t>
      </w:r>
      <w:r>
        <w:rPr>
          <w:color w:val="000000"/>
          <w:kern w:val="24"/>
        </w:rPr>
        <w:t xml:space="preserve"> Or is there something else at work, including the characteristics of elected officials themselves, who tend to have higher incomes, education, and the like, as we have discussed (Butler 2014)?  Information levels also tend to be higher among those with higher incomes (and education), making their preference signals more meaningful and potentially influential (Elkjaer 2020).</w:t>
      </w:r>
      <w:r w:rsidRPr="00B547D5">
        <w:rPr>
          <w:rStyle w:val="FootnoteReference"/>
          <w:color w:val="000000"/>
          <w:kern w:val="24"/>
          <w:vertAlign w:val="superscript"/>
        </w:rPr>
        <w:footnoteReference w:id="11"/>
      </w:r>
      <w:r>
        <w:rPr>
          <w:color w:val="000000"/>
          <w:kern w:val="24"/>
        </w:rPr>
        <w:t xml:space="preserve">  It may be that the seeming representational bias is (partly) an artifact of measurement of preferences itself, noted above (Elkjaer and Wlezien 2025).  There also may be real differences in preferences and actual bias in representation because of the </w:t>
      </w:r>
      <w:r w:rsidRPr="00921B55">
        <w:rPr>
          <w:i/>
          <w:iCs/>
          <w:color w:val="000000"/>
          <w:kern w:val="24"/>
        </w:rPr>
        <w:t>alignment</w:t>
      </w:r>
      <w:r>
        <w:rPr>
          <w:color w:val="000000"/>
          <w:kern w:val="24"/>
        </w:rPr>
        <w:t xml:space="preserve"> between the preferences of elected officials and certain groups, not because the former are more </w:t>
      </w:r>
      <w:r w:rsidRPr="00921B55">
        <w:rPr>
          <w:i/>
          <w:iCs/>
          <w:color w:val="000000"/>
          <w:kern w:val="24"/>
        </w:rPr>
        <w:t>responsive</w:t>
      </w:r>
      <w:r>
        <w:rPr>
          <w:color w:val="000000"/>
          <w:kern w:val="24"/>
        </w:rPr>
        <w:t xml:space="preserve"> to the latter (Enns 2024).  From the point of view of who “wins” in policymaking, of course, the distinction between alignment and responsiveness may be of little consequence.</w:t>
      </w:r>
    </w:p>
    <w:p w14:paraId="6546426D" w14:textId="77777777" w:rsidR="0089524B" w:rsidRDefault="0089524B" w:rsidP="0089524B">
      <w:pPr>
        <w:pStyle w:val="NormalWeb"/>
        <w:spacing w:before="240" w:beforeAutospacing="0" w:after="120" w:afterAutospacing="0" w:line="480" w:lineRule="auto"/>
      </w:pPr>
      <w:r>
        <w:rPr>
          <w:color w:val="000000"/>
          <w:kern w:val="24"/>
        </w:rPr>
        <w:t>There is more research to do on the influence of different income groups and other groups as well, including e</w:t>
      </w:r>
      <w:r w:rsidRPr="00F66BFE">
        <w:rPr>
          <w:color w:val="000000"/>
          <w:kern w:val="24"/>
        </w:rPr>
        <w:t>ducation</w:t>
      </w:r>
      <w:r>
        <w:rPr>
          <w:color w:val="000000"/>
          <w:kern w:val="24"/>
        </w:rPr>
        <w:t>, gender, and r</w:t>
      </w:r>
      <w:r w:rsidRPr="00F66BFE">
        <w:rPr>
          <w:color w:val="000000"/>
          <w:kern w:val="24"/>
        </w:rPr>
        <w:t>ace and ethnicity</w:t>
      </w:r>
      <w:r>
        <w:t>, among others (Enns and Wlezien 2011).</w:t>
      </w:r>
      <w:r>
        <w:rPr>
          <w:color w:val="000000"/>
          <w:kern w:val="24"/>
        </w:rPr>
        <w:t xml:space="preserve">  </w:t>
      </w:r>
      <w:r w:rsidRPr="00F66BFE">
        <w:rPr>
          <w:color w:val="000000"/>
          <w:kern w:val="24"/>
        </w:rPr>
        <w:t>Part</w:t>
      </w:r>
      <w:r>
        <w:rPr>
          <w:color w:val="000000"/>
          <w:kern w:val="24"/>
        </w:rPr>
        <w:t>isan groups</w:t>
      </w:r>
      <w:r w:rsidRPr="00F66BFE">
        <w:rPr>
          <w:color w:val="000000"/>
          <w:kern w:val="24"/>
        </w:rPr>
        <w:t xml:space="preserve"> may be of special importance</w:t>
      </w:r>
      <w:r>
        <w:rPr>
          <w:color w:val="000000"/>
          <w:kern w:val="24"/>
        </w:rPr>
        <w:t xml:space="preserve"> given their importance to elections a</w:t>
      </w:r>
      <w:r w:rsidRPr="00F66BFE">
        <w:rPr>
          <w:color w:val="000000"/>
          <w:kern w:val="24"/>
        </w:rPr>
        <w:t xml:space="preserve">nd </w:t>
      </w:r>
      <w:r>
        <w:rPr>
          <w:color w:val="000000"/>
          <w:kern w:val="24"/>
        </w:rPr>
        <w:t>the greater preference gaps they tend to exhibit</w:t>
      </w:r>
      <w:r w:rsidRPr="00F66BFE">
        <w:rPr>
          <w:color w:val="000000"/>
          <w:kern w:val="24"/>
        </w:rPr>
        <w:t xml:space="preserve"> </w:t>
      </w:r>
      <w:r>
        <w:rPr>
          <w:color w:val="000000"/>
          <w:kern w:val="24"/>
        </w:rPr>
        <w:t>on various issues</w:t>
      </w:r>
      <w:r w:rsidRPr="00F66BFE">
        <w:rPr>
          <w:color w:val="000000"/>
          <w:kern w:val="24"/>
        </w:rPr>
        <w:t>.</w:t>
      </w:r>
      <w:r w:rsidRPr="00C8664D">
        <w:rPr>
          <w:rStyle w:val="FootnoteReference"/>
          <w:color w:val="000000"/>
          <w:kern w:val="24"/>
          <w:vertAlign w:val="superscript"/>
        </w:rPr>
        <w:footnoteReference w:id="12"/>
      </w:r>
      <w:r w:rsidRPr="00C8664D">
        <w:rPr>
          <w:vertAlign w:val="superscript"/>
        </w:rPr>
        <w:t xml:space="preserve"> </w:t>
      </w:r>
      <w:r>
        <w:t xml:space="preserve"> </w:t>
      </w:r>
      <w:r w:rsidRPr="00F66BFE">
        <w:rPr>
          <w:color w:val="000000"/>
          <w:kern w:val="24"/>
        </w:rPr>
        <w:t>To the extent there are di</w:t>
      </w:r>
      <w:r>
        <w:rPr>
          <w:color w:val="000000"/>
          <w:kern w:val="24"/>
        </w:rPr>
        <w:t>fferences</w:t>
      </w:r>
      <w:r w:rsidRPr="00F66BFE">
        <w:rPr>
          <w:color w:val="000000"/>
          <w:kern w:val="24"/>
        </w:rPr>
        <w:t xml:space="preserve"> across parti</w:t>
      </w:r>
      <w:r>
        <w:rPr>
          <w:color w:val="000000"/>
          <w:kern w:val="24"/>
        </w:rPr>
        <w:t>sans</w:t>
      </w:r>
      <w:r w:rsidRPr="00F66BFE">
        <w:rPr>
          <w:color w:val="000000"/>
          <w:kern w:val="24"/>
        </w:rPr>
        <w:t xml:space="preserve">, we </w:t>
      </w:r>
      <w:r>
        <w:rPr>
          <w:color w:val="000000"/>
          <w:kern w:val="24"/>
        </w:rPr>
        <w:t xml:space="preserve">still </w:t>
      </w:r>
      <w:r w:rsidRPr="00F66BFE">
        <w:rPr>
          <w:color w:val="000000"/>
          <w:kern w:val="24"/>
        </w:rPr>
        <w:t xml:space="preserve">may see less congruence </w:t>
      </w:r>
      <w:r>
        <w:rPr>
          <w:color w:val="000000"/>
          <w:kern w:val="24"/>
        </w:rPr>
        <w:t xml:space="preserve">between policy and </w:t>
      </w:r>
      <w:r w:rsidRPr="00F66BFE">
        <w:rPr>
          <w:color w:val="000000"/>
          <w:kern w:val="24"/>
        </w:rPr>
        <w:t xml:space="preserve">the median </w:t>
      </w:r>
      <w:r w:rsidRPr="00F66BFE">
        <w:rPr>
          <w:color w:val="000000"/>
          <w:kern w:val="24"/>
        </w:rPr>
        <w:lastRenderedPageBreak/>
        <w:t>person/voter</w:t>
      </w:r>
      <w:r>
        <w:rPr>
          <w:color w:val="000000"/>
          <w:kern w:val="24"/>
        </w:rPr>
        <w:t>, e</w:t>
      </w:r>
      <w:r w:rsidRPr="00ED6CF4">
        <w:rPr>
          <w:color w:val="000000"/>
          <w:kern w:val="24"/>
        </w:rPr>
        <w:t xml:space="preserve">specially where </w:t>
      </w:r>
      <w:proofErr w:type="gramStart"/>
      <w:r w:rsidRPr="00ED6CF4">
        <w:rPr>
          <w:color w:val="000000"/>
          <w:kern w:val="24"/>
        </w:rPr>
        <w:t xml:space="preserve">particular </w:t>
      </w:r>
      <w:r>
        <w:rPr>
          <w:color w:val="000000"/>
          <w:kern w:val="24"/>
        </w:rPr>
        <w:t>parties</w:t>
      </w:r>
      <w:proofErr w:type="gramEnd"/>
      <w:r w:rsidRPr="00ED6CF4">
        <w:rPr>
          <w:color w:val="000000"/>
          <w:kern w:val="24"/>
        </w:rPr>
        <w:t xml:space="preserve"> control policy</w:t>
      </w:r>
      <w:r>
        <w:rPr>
          <w:color w:val="000000"/>
          <w:kern w:val="24"/>
        </w:rPr>
        <w:t>, per our discussion of electoral (and government) institutions.</w:t>
      </w:r>
      <w:r>
        <w:t xml:space="preserve"> </w:t>
      </w:r>
    </w:p>
    <w:p w14:paraId="5201F7BD" w14:textId="77777777" w:rsidR="0089524B" w:rsidRDefault="0089524B" w:rsidP="0089524B">
      <w:pPr>
        <w:pStyle w:val="NormalWeb"/>
        <w:spacing w:before="0" w:beforeAutospacing="0" w:after="0" w:afterAutospacing="0" w:line="216" w:lineRule="auto"/>
        <w:rPr>
          <w:color w:val="000000"/>
          <w:kern w:val="24"/>
        </w:rPr>
      </w:pPr>
    </w:p>
    <w:p w14:paraId="3726984B" w14:textId="77777777" w:rsidR="0089524B" w:rsidRDefault="0089524B" w:rsidP="0089524B">
      <w:pPr>
        <w:pStyle w:val="NormalWeb"/>
        <w:spacing w:before="0" w:beforeAutospacing="0" w:after="0" w:afterAutospacing="0" w:line="216" w:lineRule="auto"/>
        <w:rPr>
          <w:color w:val="000000"/>
          <w:kern w:val="24"/>
        </w:rPr>
      </w:pPr>
    </w:p>
    <w:p w14:paraId="35C07EB4" w14:textId="77777777" w:rsidR="0089524B" w:rsidRDefault="0089524B" w:rsidP="0089524B">
      <w:pPr>
        <w:pStyle w:val="NormalWeb"/>
        <w:spacing w:before="0" w:beforeAutospacing="0" w:after="0" w:afterAutospacing="0" w:line="216" w:lineRule="auto"/>
        <w:rPr>
          <w:color w:val="000000"/>
          <w:kern w:val="24"/>
        </w:rPr>
      </w:pPr>
    </w:p>
    <w:p w14:paraId="365B6ED9" w14:textId="77777777" w:rsidR="0089524B" w:rsidRDefault="0089524B" w:rsidP="0089524B">
      <w:pPr>
        <w:pStyle w:val="NormalWeb"/>
        <w:spacing w:before="0" w:beforeAutospacing="0" w:after="0" w:afterAutospacing="0" w:line="216" w:lineRule="auto"/>
        <w:rPr>
          <w:color w:val="000000"/>
          <w:kern w:val="24"/>
        </w:rPr>
      </w:pPr>
    </w:p>
    <w:p w14:paraId="536F2D42" w14:textId="34C9A212" w:rsidR="0089524B" w:rsidRDefault="0089524B" w:rsidP="0089524B">
      <w:pPr>
        <w:pStyle w:val="NormalWeb"/>
        <w:spacing w:before="0" w:beforeAutospacing="0" w:after="0" w:afterAutospacing="0" w:line="216" w:lineRule="auto"/>
        <w:rPr>
          <w:color w:val="000000"/>
          <w:kern w:val="24"/>
        </w:rPr>
      </w:pPr>
      <w:r w:rsidRPr="00417F15">
        <w:rPr>
          <w:color w:val="000000"/>
          <w:kern w:val="24"/>
        </w:rPr>
        <w:t xml:space="preserve">Figure </w:t>
      </w:r>
      <w:r>
        <w:rPr>
          <w:color w:val="000000"/>
          <w:kern w:val="24"/>
        </w:rPr>
        <w:t>B1</w:t>
      </w:r>
      <w:r w:rsidRPr="00417F15">
        <w:rPr>
          <w:color w:val="000000"/>
          <w:kern w:val="24"/>
        </w:rPr>
        <w:t xml:space="preserve">. Policy Support for the Poor, Middle and Rich, 1779 Issues, 1981-2002 </w:t>
      </w:r>
    </w:p>
    <w:p w14:paraId="6B2818C3" w14:textId="77777777" w:rsidR="0089524B" w:rsidRPr="004612D8" w:rsidRDefault="0089524B" w:rsidP="0089524B">
      <w:pPr>
        <w:pStyle w:val="NormalWeb"/>
        <w:spacing w:before="0" w:beforeAutospacing="0" w:after="0" w:afterAutospacing="0" w:line="216" w:lineRule="auto"/>
      </w:pPr>
      <w:r>
        <w:rPr>
          <w:color w:val="000000"/>
          <w:kern w:val="24"/>
        </w:rPr>
        <w:t xml:space="preserve">                  </w:t>
      </w:r>
      <w:r w:rsidRPr="00417F15">
        <w:rPr>
          <w:color w:val="000000"/>
          <w:kern w:val="24"/>
        </w:rPr>
        <w:t>(10</w:t>
      </w:r>
      <w:proofErr w:type="spellStart"/>
      <w:r w:rsidRPr="00417F15">
        <w:rPr>
          <w:color w:val="000000"/>
          <w:kern w:val="24"/>
          <w:position w:val="12"/>
          <w:vertAlign w:val="superscript"/>
        </w:rPr>
        <w:t>th</w:t>
      </w:r>
      <w:proofErr w:type="spellEnd"/>
      <w:r w:rsidRPr="00417F15">
        <w:rPr>
          <w:color w:val="000000"/>
          <w:kern w:val="24"/>
        </w:rPr>
        <w:t>, 50</w:t>
      </w:r>
      <w:proofErr w:type="spellStart"/>
      <w:r w:rsidRPr="00417F15">
        <w:rPr>
          <w:color w:val="000000"/>
          <w:kern w:val="24"/>
          <w:position w:val="12"/>
          <w:vertAlign w:val="superscript"/>
        </w:rPr>
        <w:t>th</w:t>
      </w:r>
      <w:proofErr w:type="spellEnd"/>
      <w:r w:rsidRPr="00417F15">
        <w:rPr>
          <w:color w:val="000000"/>
          <w:kern w:val="24"/>
        </w:rPr>
        <w:t>, and 90</w:t>
      </w:r>
      <w:proofErr w:type="spellStart"/>
      <w:r w:rsidRPr="00417F15">
        <w:rPr>
          <w:color w:val="000000"/>
          <w:kern w:val="24"/>
          <w:position w:val="12"/>
          <w:vertAlign w:val="superscript"/>
        </w:rPr>
        <w:t>th</w:t>
      </w:r>
      <w:proofErr w:type="spellEnd"/>
      <w:r w:rsidRPr="00417F15">
        <w:rPr>
          <w:color w:val="000000"/>
          <w:kern w:val="24"/>
        </w:rPr>
        <w:t xml:space="preserve"> Percentiles)</w:t>
      </w:r>
    </w:p>
    <w:p w14:paraId="7C4ADE3B" w14:textId="77777777" w:rsidR="0089524B" w:rsidRDefault="0089524B" w:rsidP="0089524B">
      <w:pPr>
        <w:pStyle w:val="NormalWeb"/>
        <w:spacing w:before="120" w:beforeAutospacing="0" w:after="0" w:afterAutospacing="0" w:line="480" w:lineRule="auto"/>
        <w:rPr>
          <w:rFonts w:eastAsia="Calibri"/>
          <w:b/>
          <w:bCs/>
        </w:rPr>
      </w:pPr>
      <w:r>
        <w:rPr>
          <w:rFonts w:eastAsia="Calibri"/>
          <w:noProof/>
        </w:rPr>
        <w:drawing>
          <wp:inline distT="0" distB="0" distL="0" distR="0" wp14:anchorId="2F373112" wp14:editId="73624050">
            <wp:extent cx="5778500" cy="4711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8500" cy="4711700"/>
                    </a:xfrm>
                    <a:prstGeom prst="rect">
                      <a:avLst/>
                    </a:prstGeom>
                    <a:noFill/>
                    <a:ln>
                      <a:noFill/>
                    </a:ln>
                  </pic:spPr>
                </pic:pic>
              </a:graphicData>
            </a:graphic>
          </wp:inline>
        </w:drawing>
      </w:r>
    </w:p>
    <w:p w14:paraId="2C6FECA1" w14:textId="76E89437" w:rsidR="006231DA" w:rsidRDefault="0089524B" w:rsidP="0089524B">
      <w:pPr>
        <w:pStyle w:val="NormalWeb"/>
        <w:spacing w:before="120" w:beforeAutospacing="0" w:after="0" w:afterAutospacing="0" w:line="480" w:lineRule="auto"/>
        <w:jc w:val="center"/>
        <w:rPr>
          <w:rFonts w:eastAsia="Calibri"/>
          <w:b/>
          <w:bCs/>
        </w:rPr>
      </w:pPr>
      <w:r>
        <w:rPr>
          <w:noProof/>
        </w:rPr>
        <mc:AlternateContent>
          <mc:Choice Requires="wps">
            <w:drawing>
              <wp:anchor distT="0" distB="0" distL="114300" distR="114300" simplePos="0" relativeHeight="251659264" behindDoc="0" locked="0" layoutInCell="1" allowOverlap="1" wp14:anchorId="1B4A2B2C" wp14:editId="0766FAA6">
                <wp:simplePos x="0" y="0"/>
                <wp:positionH relativeFrom="column">
                  <wp:posOffset>0</wp:posOffset>
                </wp:positionH>
                <wp:positionV relativeFrom="paragraph">
                  <wp:posOffset>0</wp:posOffset>
                </wp:positionV>
                <wp:extent cx="172720" cy="389890"/>
                <wp:effectExtent l="0" t="0" r="0" b="0"/>
                <wp:wrapNone/>
                <wp:docPr id="157614681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389890"/>
                        </a:xfrm>
                        <a:prstGeom prst="rect">
                          <a:avLst/>
                        </a:prstGeom>
                        <a:noFill/>
                        <a:ln>
                          <a:noFill/>
                        </a:ln>
                        <a:effectLst/>
                      </wps:spPr>
                      <wps:txbx>
                        <w:txbxContent>
                          <w:p w14:paraId="0A56C492" w14:textId="77777777" w:rsidR="0089524B" w:rsidRDefault="0089524B" w:rsidP="0089524B">
                            <w:pPr>
                              <w:kinsoku w:val="0"/>
                              <w:overflowPunct w:val="0"/>
                              <w:textAlignment w:val="baseline"/>
                              <w:rPr>
                                <w:rFonts w:ascii="Helvetica" w:eastAsia="MS Gothic" w:hAnsi="Helvetica"/>
                                <w:color w:val="000000"/>
                                <w:kern w:val="24"/>
                                <w:sz w:val="24"/>
                              </w:rPr>
                            </w:pPr>
                            <w:r>
                              <w:rPr>
                                <w:rFonts w:ascii="Helvetica" w:eastAsia="MS Gothic" w:hAnsi="Helvetica"/>
                                <w:color w:val="000000"/>
                                <w:kern w:val="24"/>
                              </w:rPr>
                              <w:t xml:space="preserve">.  </w:t>
                            </w:r>
                          </w:p>
                        </w:txbxContent>
                      </wps:txbx>
                      <wps:bodyPr vert="horz" wrap="none" lIns="68580" tIns="34290" rIns="68580" bIns="34290" numCol="1" anchor="ctr"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1B4A2B2C" id="Rectangle 1" o:spid="_x0000_s1026" style="position:absolute;left:0;text-align:left;margin-left:0;margin-top:0;width:13.6pt;height:30.7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" filled="f" stroked="f">
                <v:textbox style="mso-fit-shape-to-text:t" inset="5.4pt,2.7pt,5.4pt,2.7pt">
                  <w:txbxContent>
                    <w:p w14:paraId="0A56C492" w14:textId="77777777" w:rsidR="0089524B" w:rsidRDefault="0089524B" w:rsidP="0089524B">
                      <w:pPr>
                        <w:kinsoku w:val="0"/>
                        <w:overflowPunct w:val="0"/>
                        <w:textAlignment w:val="baseline"/>
                        <w:rPr>
                          <w:rFonts w:ascii="Helvetica" w:eastAsia="MS Gothic" w:hAnsi="Helvetica"/>
                          <w:color w:val="000000"/>
                          <w:kern w:val="24"/>
                          <w:sz w:val="24"/>
                        </w:rPr>
                      </w:pPr>
                      <w:r>
                        <w:rPr>
                          <w:rFonts w:ascii="Helvetica" w:eastAsia="MS Gothic" w:hAnsi="Helvetica"/>
                          <w:color w:val="000000"/>
                          <w:kern w:val="24"/>
                        </w:rPr>
                        <w:t xml:space="preserve">.  </w:t>
                      </w:r>
                    </w:p>
                  </w:txbxContent>
                </v:textbox>
              </v:rect>
            </w:pict>
          </mc:Fallback>
        </mc:AlternateContent>
      </w:r>
      <w:r w:rsidRPr="00417F15">
        <w:rPr>
          <w:rFonts w:eastAsia="MS Gothic"/>
          <w:color w:val="000000"/>
          <w:kern w:val="24"/>
        </w:rPr>
        <w:t xml:space="preserve">Source: Gilens-Page </w:t>
      </w:r>
      <w:r w:rsidR="00DA0F11">
        <w:rPr>
          <w:rFonts w:eastAsia="MS Gothic"/>
          <w:color w:val="000000"/>
          <w:kern w:val="24"/>
        </w:rPr>
        <w:t xml:space="preserve">(2014) </w:t>
      </w:r>
      <w:r w:rsidRPr="00417F15">
        <w:rPr>
          <w:rFonts w:eastAsia="MS Gothic"/>
          <w:color w:val="000000"/>
          <w:kern w:val="24"/>
        </w:rPr>
        <w:t>dataset</w:t>
      </w:r>
      <w:r>
        <w:rPr>
          <w:rFonts w:eastAsia="Calibri"/>
          <w:b/>
          <w:bCs/>
        </w:rPr>
        <w:t xml:space="preserve"> </w:t>
      </w:r>
      <w:r>
        <w:rPr>
          <w:rFonts w:eastAsia="Calibri"/>
          <w:b/>
          <w:bCs/>
        </w:rPr>
        <w:br w:type="page"/>
      </w:r>
    </w:p>
    <w:p w14:paraId="5F3C8521" w14:textId="5CD5B9EC" w:rsidR="0089524B" w:rsidRDefault="0089524B" w:rsidP="006231DA">
      <w:pPr>
        <w:pStyle w:val="NormalWeb"/>
        <w:spacing w:before="120" w:beforeAutospacing="0" w:after="0" w:afterAutospacing="0" w:line="480" w:lineRule="auto"/>
        <w:rPr>
          <w:b/>
          <w:bCs/>
          <w:color w:val="000000"/>
          <w:kern w:val="24"/>
        </w:rPr>
      </w:pPr>
      <w:r>
        <w:rPr>
          <w:rFonts w:eastAsia="Calibri"/>
          <w:b/>
          <w:bCs/>
        </w:rPr>
        <w:lastRenderedPageBreak/>
        <w:t xml:space="preserve">Appendix C: </w:t>
      </w:r>
      <w:r w:rsidRPr="007A2B2B">
        <w:rPr>
          <w:b/>
          <w:bCs/>
          <w:color w:val="000000"/>
          <w:kern w:val="24"/>
        </w:rPr>
        <w:t>Polarization</w:t>
      </w:r>
      <w:r>
        <w:rPr>
          <w:b/>
          <w:bCs/>
          <w:color w:val="000000"/>
          <w:kern w:val="24"/>
        </w:rPr>
        <w:t>, representation, and responsiveness</w:t>
      </w:r>
    </w:p>
    <w:p w14:paraId="2FCC1B08" w14:textId="77777777" w:rsidR="0089524B" w:rsidRDefault="0089524B" w:rsidP="0089524B">
      <w:pPr>
        <w:pStyle w:val="NormalWeb"/>
        <w:spacing w:before="0" w:beforeAutospacing="0" w:after="120" w:afterAutospacing="0" w:line="480" w:lineRule="auto"/>
        <w:rPr>
          <w:color w:val="000000"/>
          <w:kern w:val="24"/>
        </w:rPr>
      </w:pPr>
      <w:r>
        <w:rPr>
          <w:color w:val="000000"/>
          <w:kern w:val="24"/>
        </w:rPr>
        <w:t xml:space="preserve">In our discussion of research on electoral institutions we have seen that political polarization may have consequences for policy representation.  </w:t>
      </w:r>
      <w:r w:rsidRPr="00453CD5">
        <w:rPr>
          <w:color w:val="000000"/>
          <w:kern w:val="24"/>
        </w:rPr>
        <w:t>Of special i</w:t>
      </w:r>
      <w:r>
        <w:rPr>
          <w:color w:val="000000"/>
          <w:kern w:val="24"/>
        </w:rPr>
        <w:t>mportance</w:t>
      </w:r>
      <w:r w:rsidRPr="00453CD5">
        <w:rPr>
          <w:color w:val="000000"/>
          <w:kern w:val="24"/>
        </w:rPr>
        <w:t xml:space="preserve"> </w:t>
      </w:r>
      <w:r>
        <w:rPr>
          <w:color w:val="000000"/>
          <w:kern w:val="24"/>
        </w:rPr>
        <w:t>is</w:t>
      </w:r>
      <w:r w:rsidRPr="00453CD5">
        <w:rPr>
          <w:color w:val="000000"/>
          <w:kern w:val="24"/>
        </w:rPr>
        <w:t xml:space="preserve"> the polarization of political elites/parties</w:t>
      </w:r>
      <w:r>
        <w:rPr>
          <w:color w:val="000000"/>
          <w:kern w:val="24"/>
        </w:rPr>
        <w:t>, as t</w:t>
      </w:r>
      <w:r w:rsidRPr="00453CD5">
        <w:rPr>
          <w:color w:val="000000"/>
          <w:kern w:val="24"/>
        </w:rPr>
        <w:t>his tends to make congruence (and responsiveness) harder</w:t>
      </w:r>
      <w:r>
        <w:rPr>
          <w:color w:val="000000"/>
          <w:kern w:val="24"/>
        </w:rPr>
        <w:t>, for two reasons.  Where parties can act independently of others, as in single party parliamentary systems or presidential ones where there is unified party control, polarization increases extremity.  Where parties are not able to act independently, coordination is required.  In some systems, e.g., where there are proportional election rules, this can happen via coalition government, though polarization may make it more difficult for parties to reach an agreement.</w:t>
      </w:r>
      <w:r w:rsidRPr="00696979">
        <w:rPr>
          <w:rStyle w:val="FootnoteReference"/>
          <w:color w:val="000000"/>
          <w:kern w:val="24"/>
          <w:vertAlign w:val="superscript"/>
        </w:rPr>
        <w:footnoteReference w:id="13"/>
      </w:r>
      <w:r w:rsidRPr="00696979">
        <w:rPr>
          <w:color w:val="000000"/>
          <w:kern w:val="24"/>
          <w:vertAlign w:val="superscript"/>
        </w:rPr>
        <w:t xml:space="preserve"> </w:t>
      </w:r>
      <w:r>
        <w:rPr>
          <w:color w:val="000000"/>
          <w:kern w:val="24"/>
        </w:rPr>
        <w:t xml:space="preserve"> In other systems, e.g., presidential systems with divided government, coordination across branches (and/or chambers) controlled by different parties is required, and that presumably will be more difficult the greater the differences between them (see Binder 2003; Theriault 2008; Hughes and Carlson 2015).</w:t>
      </w:r>
      <w:r w:rsidRPr="00495FA5">
        <w:rPr>
          <w:rStyle w:val="FootnoteReference"/>
          <w:color w:val="000000"/>
          <w:kern w:val="24"/>
          <w:vertAlign w:val="superscript"/>
        </w:rPr>
        <w:footnoteReference w:id="14"/>
      </w:r>
      <w:r>
        <w:rPr>
          <w:color w:val="000000"/>
          <w:kern w:val="24"/>
        </w:rPr>
        <w:t xml:space="preserve">  </w:t>
      </w:r>
    </w:p>
    <w:p w14:paraId="4435C5CB" w14:textId="77777777" w:rsidR="0089524B" w:rsidRPr="00EB1D94" w:rsidRDefault="0089524B" w:rsidP="0089524B">
      <w:pPr>
        <w:pStyle w:val="NormalWeb"/>
        <w:spacing w:before="200" w:beforeAutospacing="0" w:after="120" w:afterAutospacing="0" w:line="480" w:lineRule="auto"/>
        <w:rPr>
          <w:color w:val="000000"/>
          <w:kern w:val="24"/>
        </w:rPr>
      </w:pPr>
      <w:r>
        <w:rPr>
          <w:color w:val="000000"/>
          <w:kern w:val="24"/>
        </w:rPr>
        <w:t xml:space="preserve">The specific implications for policy representation may depend on whether we considering the congruence between governments actions and the public that we observe right after elections and the responsiveness in between them.  For example, as we have discussed, in proportional (PR) systems, </w:t>
      </w:r>
      <w:r w:rsidRPr="00453CD5">
        <w:rPr>
          <w:color w:val="000000"/>
          <w:kern w:val="24"/>
        </w:rPr>
        <w:t xml:space="preserve">coalition </w:t>
      </w:r>
      <w:r>
        <w:rPr>
          <w:color w:val="000000"/>
          <w:kern w:val="24"/>
        </w:rPr>
        <w:t xml:space="preserve">agreements allow governments to partly overcome differences across parties, though greater polarization presumably may not make that easier or more likely.  It would appear to make even more difficult government responsiveness to opinion </w:t>
      </w:r>
      <w:r w:rsidRPr="00453CD5">
        <w:rPr>
          <w:color w:val="000000"/>
          <w:kern w:val="24"/>
        </w:rPr>
        <w:t>in between elections</w:t>
      </w:r>
      <w:r>
        <w:rPr>
          <w:color w:val="000000"/>
          <w:kern w:val="24"/>
        </w:rPr>
        <w:t xml:space="preserve">, however, as agreements can be limiting, and polarization makes it more likely that parties will </w:t>
      </w:r>
      <w:r>
        <w:rPr>
          <w:color w:val="000000"/>
          <w:kern w:val="24"/>
        </w:rPr>
        <w:lastRenderedPageBreak/>
        <w:t xml:space="preserve">favor different responses to changes in public policy sentiment.  For government institutions, we might expect polarization, particularly with divided government, to complicate congruence but not necessarily weaken responsiveness (also see Maedgen and Wlezien 2024).  Whether this is true remains to be seen.    </w:t>
      </w:r>
    </w:p>
    <w:p w14:paraId="5DF1C5F3" w14:textId="77777777" w:rsidR="0089524B" w:rsidRDefault="0089524B" w:rsidP="0089524B">
      <w:pPr>
        <w:pStyle w:val="NormalWeb"/>
        <w:spacing w:before="200" w:beforeAutospacing="0" w:after="0" w:afterAutospacing="0" w:line="480" w:lineRule="auto"/>
        <w:rPr>
          <w:color w:val="000000"/>
          <w:kern w:val="24"/>
        </w:rPr>
      </w:pPr>
      <w:r>
        <w:rPr>
          <w:color w:val="000000"/>
          <w:kern w:val="24"/>
        </w:rPr>
        <w:t xml:space="preserve">The problems associated with elite polarization may be greater where it is grounded in and/or </w:t>
      </w:r>
      <w:r w:rsidRPr="00453CD5">
        <w:rPr>
          <w:color w:val="000000"/>
          <w:kern w:val="24"/>
        </w:rPr>
        <w:t>supported by polarization</w:t>
      </w:r>
      <w:r>
        <w:rPr>
          <w:color w:val="000000"/>
          <w:kern w:val="24"/>
        </w:rPr>
        <w:t xml:space="preserve"> in the public, of course</w:t>
      </w:r>
      <w:r w:rsidRPr="00453CD5">
        <w:rPr>
          <w:color w:val="000000"/>
          <w:kern w:val="24"/>
        </w:rPr>
        <w:t>.</w:t>
      </w:r>
      <w:r>
        <w:rPr>
          <w:color w:val="000000"/>
          <w:kern w:val="24"/>
        </w:rPr>
        <w:t xml:space="preserve">  The basic intuition is </w:t>
      </w:r>
      <w:proofErr w:type="gramStart"/>
      <w:r>
        <w:rPr>
          <w:color w:val="000000"/>
          <w:kern w:val="24"/>
        </w:rPr>
        <w:t>fairly obvious</w:t>
      </w:r>
      <w:proofErr w:type="gramEnd"/>
      <w:r>
        <w:rPr>
          <w:color w:val="000000"/>
          <w:kern w:val="24"/>
        </w:rPr>
        <w:t>, as partisan differences in policy preferences encourage elite difference and conflict, and policymaking gridlock itself.  This may be most pronounced when that polarization is coupled with increased party identification, as this may weaken accountability for policy misrepresentation (and other things) (see Arceneaux 2008; Kayser and Wlezien 2011;</w:t>
      </w:r>
      <w:r w:rsidRPr="000D3F8B">
        <w:rPr>
          <w:color w:val="000000"/>
          <w:kern w:val="24"/>
        </w:rPr>
        <w:t xml:space="preserve"> </w:t>
      </w:r>
      <w:r>
        <w:rPr>
          <w:color w:val="000000"/>
          <w:kern w:val="24"/>
        </w:rPr>
        <w:t>but see Whiteley and Kolln 2019).  The main point is that party polarization almost certainly does not aid the representation of public policy preferences in government actions, though the specific form of impacts may depend on circumstances, both institutional and behavioral.</w:t>
      </w:r>
    </w:p>
    <w:p w14:paraId="133F54B5" w14:textId="77777777" w:rsidR="0089524B" w:rsidRDefault="0089524B" w:rsidP="0089524B">
      <w:pPr>
        <w:spacing w:after="240"/>
        <w:jc w:val="center"/>
        <w:rPr>
          <w:rFonts w:ascii="Times New Roman" w:hAnsi="Times New Roman"/>
          <w:b/>
          <w:bCs/>
          <w:sz w:val="24"/>
        </w:rPr>
      </w:pPr>
    </w:p>
    <w:p w14:paraId="1F43E6E0" w14:textId="51826A92" w:rsidR="0089524B" w:rsidRDefault="0089524B" w:rsidP="0089524B">
      <w:pPr>
        <w:spacing w:after="240"/>
        <w:jc w:val="center"/>
        <w:rPr>
          <w:rFonts w:ascii="Times New Roman" w:hAnsi="Times New Roman"/>
          <w:b/>
          <w:bCs/>
          <w:sz w:val="24"/>
        </w:rPr>
      </w:pPr>
      <w:r>
        <w:rPr>
          <w:rFonts w:ascii="Times New Roman" w:hAnsi="Times New Roman"/>
          <w:b/>
          <w:bCs/>
          <w:sz w:val="24"/>
        </w:rPr>
        <w:t>REFERENCES</w:t>
      </w:r>
    </w:p>
    <w:p w14:paraId="50CE79D3" w14:textId="52C1001B" w:rsidR="0089524B" w:rsidRDefault="0089524B" w:rsidP="0089524B">
      <w:pPr>
        <w:spacing w:after="240" w:line="480" w:lineRule="auto"/>
        <w:jc w:val="center"/>
        <w:rPr>
          <w:rFonts w:ascii="Times New Roman" w:hAnsi="Times New Roman"/>
          <w:sz w:val="24"/>
        </w:rPr>
      </w:pPr>
      <w:r>
        <w:rPr>
          <w:rFonts w:ascii="Times New Roman" w:hAnsi="Times New Roman"/>
          <w:b/>
          <w:bCs/>
          <w:sz w:val="24"/>
        </w:rPr>
        <w:t>(Online Appendices)</w:t>
      </w:r>
    </w:p>
    <w:p w14:paraId="0AFCF2EC" w14:textId="77777777" w:rsidR="0089524B" w:rsidRPr="006E3C6F" w:rsidRDefault="0089524B" w:rsidP="0089524B">
      <w:pPr>
        <w:pStyle w:val="Citation"/>
        <w:spacing w:after="0" w:line="480" w:lineRule="auto"/>
        <w:ind w:left="284" w:hanging="284"/>
        <w:rPr>
          <w:rFonts w:ascii="Times New Roman" w:hAnsi="Times New Roman"/>
          <w:sz w:val="24"/>
          <w:szCs w:val="24"/>
        </w:rPr>
      </w:pPr>
      <w:r>
        <w:rPr>
          <w:rFonts w:ascii="Times New Roman" w:hAnsi="Times New Roman"/>
          <w:color w:val="000000"/>
          <w:kern w:val="24"/>
          <w:sz w:val="24"/>
          <w:szCs w:val="24"/>
        </w:rPr>
        <w:t xml:space="preserve">Arceneaux, Kevin. </w:t>
      </w:r>
      <w:proofErr w:type="gramStart"/>
      <w:r>
        <w:rPr>
          <w:rFonts w:ascii="Times New Roman" w:hAnsi="Times New Roman"/>
          <w:color w:val="000000"/>
          <w:kern w:val="24"/>
          <w:sz w:val="24"/>
          <w:szCs w:val="24"/>
        </w:rPr>
        <w:t>2008.  “</w:t>
      </w:r>
      <w:proofErr w:type="gramEnd"/>
      <w:r>
        <w:rPr>
          <w:rFonts w:ascii="Times New Roman" w:hAnsi="Times New Roman"/>
          <w:color w:val="000000"/>
          <w:kern w:val="24"/>
          <w:sz w:val="24"/>
          <w:szCs w:val="24"/>
        </w:rPr>
        <w:t xml:space="preserve">Can Partisan Cues Diminish Accountability?”  </w:t>
      </w:r>
      <w:r w:rsidRPr="005829AC">
        <w:rPr>
          <w:rFonts w:ascii="Times New Roman" w:hAnsi="Times New Roman"/>
          <w:i/>
          <w:iCs/>
          <w:color w:val="000000"/>
          <w:kern w:val="24"/>
          <w:sz w:val="24"/>
          <w:szCs w:val="24"/>
        </w:rPr>
        <w:t>Political Behavior</w:t>
      </w:r>
      <w:r>
        <w:rPr>
          <w:rFonts w:ascii="Times New Roman" w:hAnsi="Times New Roman"/>
          <w:color w:val="000000"/>
          <w:kern w:val="24"/>
          <w:sz w:val="24"/>
          <w:szCs w:val="24"/>
        </w:rPr>
        <w:t xml:space="preserve"> 30(2): 139-160.</w:t>
      </w:r>
    </w:p>
    <w:p w14:paraId="25000F85" w14:textId="77777777" w:rsidR="0089524B" w:rsidRDefault="0089524B" w:rsidP="0089524B">
      <w:pPr>
        <w:keepLines/>
        <w:tabs>
          <w:tab w:val="left" w:pos="0"/>
        </w:tabs>
        <w:suppressAutoHyphens/>
        <w:spacing w:line="480" w:lineRule="auto"/>
        <w:ind w:left="284" w:hanging="284"/>
        <w:rPr>
          <w:rFonts w:ascii="Times New Roman" w:eastAsia="ヒラギノ角ゴ Pro W3" w:hAnsi="Times New Roman"/>
          <w:color w:val="000000"/>
          <w:sz w:val="24"/>
        </w:rPr>
      </w:pPr>
      <w:r>
        <w:rPr>
          <w:rFonts w:ascii="Times New Roman" w:eastAsia="ヒラギノ角ゴ Pro W3" w:hAnsi="Times New Roman"/>
          <w:color w:val="000000"/>
          <w:sz w:val="24"/>
        </w:rPr>
        <w:t xml:space="preserve">Bashir, Omar. </w:t>
      </w:r>
      <w:proofErr w:type="gramStart"/>
      <w:r>
        <w:rPr>
          <w:rFonts w:ascii="Times New Roman" w:eastAsia="ヒラギノ角ゴ Pro W3" w:hAnsi="Times New Roman"/>
          <w:color w:val="000000"/>
          <w:sz w:val="24"/>
        </w:rPr>
        <w:t>2015.  “</w:t>
      </w:r>
      <w:proofErr w:type="gramEnd"/>
      <w:r>
        <w:rPr>
          <w:rFonts w:ascii="Times New Roman" w:eastAsia="ヒラギノ角ゴ Pro W3" w:hAnsi="Times New Roman"/>
          <w:color w:val="000000"/>
          <w:sz w:val="24"/>
        </w:rPr>
        <w:t xml:space="preserve">Testing Inferences about American Politics: A Review of the ‘Oligarchy’ Result.”  </w:t>
      </w:r>
      <w:r w:rsidRPr="00C21036">
        <w:rPr>
          <w:rFonts w:ascii="Times New Roman" w:eastAsia="ヒラギノ角ゴ Pro W3" w:hAnsi="Times New Roman"/>
          <w:i/>
          <w:color w:val="000000"/>
          <w:sz w:val="24"/>
        </w:rPr>
        <w:t>Research and Politics</w:t>
      </w:r>
      <w:r>
        <w:rPr>
          <w:rFonts w:ascii="Times New Roman" w:eastAsia="ヒラギノ角ゴ Pro W3" w:hAnsi="Times New Roman"/>
          <w:color w:val="000000"/>
          <w:sz w:val="24"/>
        </w:rPr>
        <w:t xml:space="preserve"> (October-December 2015): 1-7.</w:t>
      </w:r>
    </w:p>
    <w:p w14:paraId="0E60153F" w14:textId="77777777" w:rsidR="0089524B" w:rsidRPr="00161436" w:rsidRDefault="0089524B" w:rsidP="0089524B">
      <w:pPr>
        <w:spacing w:line="480" w:lineRule="auto"/>
        <w:ind w:left="240" w:hanging="240"/>
        <w:rPr>
          <w:rFonts w:ascii="Times New Roman" w:hAnsi="Times New Roman"/>
          <w:bCs/>
          <w:color w:val="333333"/>
          <w:sz w:val="24"/>
        </w:rPr>
      </w:pPr>
      <w:r w:rsidRPr="00161436">
        <w:rPr>
          <w:rFonts w:ascii="Times New Roman" w:hAnsi="Times New Roman"/>
          <w:bCs/>
          <w:color w:val="333333"/>
          <w:sz w:val="24"/>
        </w:rPr>
        <w:t xml:space="preserve">Binder, Sarah. 2003.  </w:t>
      </w:r>
      <w:r w:rsidRPr="00161436">
        <w:rPr>
          <w:rFonts w:ascii="Times New Roman" w:hAnsi="Times New Roman"/>
          <w:bCs/>
          <w:i/>
          <w:iCs/>
          <w:color w:val="333333"/>
          <w:sz w:val="24"/>
        </w:rPr>
        <w:t>Stalemate</w:t>
      </w:r>
      <w:r w:rsidRPr="00161436">
        <w:rPr>
          <w:rFonts w:ascii="Times New Roman" w:hAnsi="Times New Roman"/>
          <w:bCs/>
          <w:color w:val="333333"/>
          <w:sz w:val="24"/>
        </w:rPr>
        <w:t>. Washington, D.C.: Brookings.</w:t>
      </w:r>
    </w:p>
    <w:p w14:paraId="171BC0A5" w14:textId="77777777" w:rsidR="0089524B" w:rsidRDefault="0089524B" w:rsidP="0089524B">
      <w:pPr>
        <w:spacing w:line="480" w:lineRule="auto"/>
        <w:ind w:left="240" w:hanging="240"/>
        <w:rPr>
          <w:rFonts w:ascii="Times New Roman" w:hAnsi="Times New Roman"/>
          <w:bCs/>
          <w:color w:val="333333"/>
          <w:sz w:val="24"/>
          <w:lang w:val="en"/>
        </w:rPr>
      </w:pPr>
      <w:r>
        <w:rPr>
          <w:rFonts w:ascii="Times New Roman" w:hAnsi="Times New Roman"/>
          <w:bCs/>
          <w:color w:val="333333"/>
          <w:sz w:val="24"/>
          <w:lang w:val="en"/>
        </w:rPr>
        <w:t xml:space="preserve">Branham, J. Alexander, Stuart Soroka, and Christopher Wlezien. </w:t>
      </w:r>
      <w:proofErr w:type="gramStart"/>
      <w:r>
        <w:rPr>
          <w:rFonts w:ascii="Times New Roman" w:hAnsi="Times New Roman"/>
          <w:bCs/>
          <w:color w:val="333333"/>
          <w:sz w:val="24"/>
          <w:lang w:val="en"/>
        </w:rPr>
        <w:t>2017.  “</w:t>
      </w:r>
      <w:proofErr w:type="gramEnd"/>
      <w:r>
        <w:rPr>
          <w:rFonts w:ascii="Times New Roman" w:hAnsi="Times New Roman"/>
          <w:bCs/>
          <w:color w:val="333333"/>
          <w:sz w:val="24"/>
          <w:lang w:val="en"/>
        </w:rPr>
        <w:t xml:space="preserve">When do the Rich </w:t>
      </w:r>
      <w:r>
        <w:rPr>
          <w:rFonts w:ascii="Times New Roman" w:hAnsi="Times New Roman"/>
          <w:bCs/>
          <w:color w:val="333333"/>
          <w:sz w:val="24"/>
          <w:lang w:val="en"/>
        </w:rPr>
        <w:lastRenderedPageBreak/>
        <w:t xml:space="preserve">Win?” </w:t>
      </w:r>
      <w:r w:rsidRPr="007F0838">
        <w:rPr>
          <w:rFonts w:ascii="Times New Roman" w:hAnsi="Times New Roman"/>
          <w:bCs/>
          <w:i/>
          <w:color w:val="333333"/>
          <w:sz w:val="24"/>
          <w:lang w:val="en"/>
        </w:rPr>
        <w:t>Political Science Quarterly</w:t>
      </w:r>
      <w:r>
        <w:rPr>
          <w:rFonts w:ascii="Times New Roman" w:hAnsi="Times New Roman"/>
          <w:bCs/>
          <w:color w:val="333333"/>
          <w:sz w:val="24"/>
          <w:lang w:val="en"/>
        </w:rPr>
        <w:t xml:space="preserve"> 132(1): 43-62. </w:t>
      </w:r>
    </w:p>
    <w:p w14:paraId="1EBA3A9B" w14:textId="77777777" w:rsidR="0089524B" w:rsidRDefault="0089524B" w:rsidP="0089524B">
      <w:pPr>
        <w:keepLines/>
        <w:tabs>
          <w:tab w:val="left" w:pos="0"/>
        </w:tabs>
        <w:suppressAutoHyphens/>
        <w:spacing w:line="480" w:lineRule="auto"/>
        <w:ind w:left="284" w:hanging="284"/>
        <w:jc w:val="both"/>
        <w:rPr>
          <w:rFonts w:ascii="Times New Roman" w:hAnsi="Times New Roman"/>
          <w:sz w:val="24"/>
        </w:rPr>
      </w:pPr>
      <w:r>
        <w:rPr>
          <w:rFonts w:ascii="Times New Roman" w:hAnsi="Times New Roman"/>
          <w:sz w:val="24"/>
        </w:rPr>
        <w:t xml:space="preserve">Buchanan, Ross. </w:t>
      </w:r>
      <w:proofErr w:type="gramStart"/>
      <w:r>
        <w:rPr>
          <w:rFonts w:ascii="Times New Roman" w:hAnsi="Times New Roman"/>
          <w:sz w:val="24"/>
        </w:rPr>
        <w:t>2023.  “</w:t>
      </w:r>
      <w:proofErr w:type="gramEnd"/>
      <w:r>
        <w:rPr>
          <w:rFonts w:ascii="Times New Roman" w:hAnsi="Times New Roman"/>
          <w:sz w:val="24"/>
        </w:rPr>
        <w:t xml:space="preserve">Pollution and the Public: How Information Accessibility Conditions the Public’s Responsiveness to Policy and Outcomes.”  </w:t>
      </w:r>
      <w:r w:rsidRPr="00C67038">
        <w:rPr>
          <w:rFonts w:ascii="Times New Roman" w:hAnsi="Times New Roman"/>
          <w:i/>
          <w:iCs/>
          <w:sz w:val="24"/>
        </w:rPr>
        <w:t>Journal of Pub</w:t>
      </w:r>
      <w:r>
        <w:rPr>
          <w:rFonts w:ascii="Times New Roman" w:hAnsi="Times New Roman"/>
          <w:i/>
          <w:iCs/>
          <w:sz w:val="24"/>
        </w:rPr>
        <w:t>l</w:t>
      </w:r>
      <w:r w:rsidRPr="00C67038">
        <w:rPr>
          <w:rFonts w:ascii="Times New Roman" w:hAnsi="Times New Roman"/>
          <w:i/>
          <w:iCs/>
          <w:sz w:val="24"/>
        </w:rPr>
        <w:t>ic Policy</w:t>
      </w:r>
      <w:r>
        <w:rPr>
          <w:rFonts w:ascii="Times New Roman" w:hAnsi="Times New Roman"/>
          <w:sz w:val="24"/>
        </w:rPr>
        <w:t xml:space="preserve"> 43(1): 115-134.</w:t>
      </w:r>
    </w:p>
    <w:p w14:paraId="69671CC8" w14:textId="77777777" w:rsidR="0089524B" w:rsidRDefault="0089524B" w:rsidP="0089524B">
      <w:pPr>
        <w:widowControl/>
        <w:tabs>
          <w:tab w:val="left" w:pos="284"/>
          <w:tab w:val="left" w:pos="567"/>
        </w:tabs>
        <w:autoSpaceDE/>
        <w:autoSpaceDN/>
        <w:adjustRightInd/>
        <w:spacing w:line="480" w:lineRule="auto"/>
        <w:ind w:left="142" w:hanging="142"/>
        <w:rPr>
          <w:rFonts w:ascii="Times New Roman" w:hAnsi="Times New Roman"/>
          <w:color w:val="222222"/>
          <w:sz w:val="24"/>
          <w:highlight w:val="white"/>
        </w:rPr>
      </w:pPr>
      <w:r>
        <w:rPr>
          <w:rFonts w:ascii="Times New Roman" w:hAnsi="Times New Roman"/>
          <w:color w:val="222222"/>
          <w:sz w:val="24"/>
          <w:highlight w:val="white"/>
        </w:rPr>
        <w:t xml:space="preserve">Burgoon, Brian, Noam Lupu, Jonas Pontusson, and Wouter Schakel. </w:t>
      </w:r>
      <w:proofErr w:type="gramStart"/>
      <w:r>
        <w:rPr>
          <w:rFonts w:ascii="Times New Roman" w:hAnsi="Times New Roman"/>
          <w:color w:val="222222"/>
          <w:sz w:val="24"/>
          <w:highlight w:val="white"/>
        </w:rPr>
        <w:t>2022.  “</w:t>
      </w:r>
      <w:proofErr w:type="gramEnd"/>
      <w:r>
        <w:rPr>
          <w:rFonts w:ascii="Times New Roman" w:hAnsi="Times New Roman"/>
          <w:color w:val="222222"/>
          <w:sz w:val="24"/>
          <w:highlight w:val="white"/>
        </w:rPr>
        <w:t xml:space="preserve">Understanding Unequal Representation.”  </w:t>
      </w:r>
      <w:r w:rsidRPr="00D7529D">
        <w:rPr>
          <w:rFonts w:ascii="Times New Roman" w:hAnsi="Times New Roman"/>
          <w:i/>
          <w:iCs/>
          <w:color w:val="222222"/>
          <w:sz w:val="24"/>
          <w:highlight w:val="white"/>
        </w:rPr>
        <w:t>European Journal of Political Research</w:t>
      </w:r>
      <w:r>
        <w:rPr>
          <w:rFonts w:ascii="Times New Roman" w:hAnsi="Times New Roman"/>
          <w:color w:val="222222"/>
          <w:sz w:val="24"/>
          <w:highlight w:val="white"/>
        </w:rPr>
        <w:t xml:space="preserve"> 61(2):297-303.</w:t>
      </w:r>
    </w:p>
    <w:p w14:paraId="33C801A5" w14:textId="77777777" w:rsidR="0089524B" w:rsidRDefault="0089524B" w:rsidP="0089524B">
      <w:pPr>
        <w:keepLines/>
        <w:tabs>
          <w:tab w:val="left" w:pos="0"/>
        </w:tabs>
        <w:suppressAutoHyphens/>
        <w:spacing w:line="480" w:lineRule="auto"/>
        <w:ind w:left="284" w:hanging="284"/>
        <w:jc w:val="both"/>
        <w:rPr>
          <w:rFonts w:ascii="Times New Roman" w:eastAsia="ヒラギノ角ゴ Pro W3" w:hAnsi="Times New Roman"/>
          <w:color w:val="000000"/>
          <w:sz w:val="24"/>
        </w:rPr>
      </w:pPr>
      <w:r>
        <w:rPr>
          <w:rFonts w:ascii="Times New Roman" w:eastAsia="ヒラギノ角ゴ Pro W3" w:hAnsi="Times New Roman"/>
          <w:color w:val="000000"/>
          <w:sz w:val="24"/>
        </w:rPr>
        <w:t xml:space="preserve">Butler, Daniel. 2014.  </w:t>
      </w:r>
      <w:r w:rsidRPr="003030C5">
        <w:rPr>
          <w:rFonts w:ascii="Times New Roman" w:eastAsia="ヒラギノ角ゴ Pro W3" w:hAnsi="Times New Roman"/>
          <w:i/>
          <w:iCs/>
          <w:color w:val="000000"/>
          <w:sz w:val="24"/>
        </w:rPr>
        <w:t>Representing the Advantaged</w:t>
      </w:r>
      <w:r>
        <w:rPr>
          <w:rFonts w:ascii="Times New Roman" w:eastAsia="ヒラギノ角ゴ Pro W3" w:hAnsi="Times New Roman"/>
          <w:color w:val="000000"/>
          <w:sz w:val="24"/>
        </w:rPr>
        <w:t>.  Cambridge University Press.</w:t>
      </w:r>
    </w:p>
    <w:p w14:paraId="1AF3DA61" w14:textId="77777777" w:rsidR="0089524B" w:rsidRDefault="0089524B" w:rsidP="0089524B">
      <w:pPr>
        <w:widowControl/>
        <w:tabs>
          <w:tab w:val="left" w:pos="284"/>
          <w:tab w:val="left" w:pos="567"/>
        </w:tabs>
        <w:autoSpaceDE/>
        <w:autoSpaceDN/>
        <w:adjustRightInd/>
        <w:spacing w:line="480" w:lineRule="auto"/>
        <w:ind w:left="142" w:hanging="142"/>
        <w:rPr>
          <w:rFonts w:ascii="Times New Roman" w:eastAsia="ヒラギノ角ゴ Pro W3" w:hAnsi="Times New Roman"/>
          <w:color w:val="000000"/>
          <w:sz w:val="24"/>
        </w:rPr>
      </w:pPr>
      <w:r w:rsidRPr="00944FEF">
        <w:rPr>
          <w:rFonts w:ascii="Times New Roman" w:hAnsi="Times New Roman"/>
          <w:color w:val="222222"/>
          <w:sz w:val="24"/>
          <w:highlight w:val="white"/>
        </w:rPr>
        <w:t>Egan, P</w:t>
      </w:r>
      <w:r>
        <w:rPr>
          <w:rFonts w:ascii="Times New Roman" w:hAnsi="Times New Roman"/>
          <w:color w:val="222222"/>
          <w:sz w:val="24"/>
          <w:highlight w:val="white"/>
        </w:rPr>
        <w:t>atrick.</w:t>
      </w:r>
      <w:r w:rsidRPr="00944FEF">
        <w:rPr>
          <w:rFonts w:ascii="Times New Roman" w:hAnsi="Times New Roman"/>
          <w:color w:val="222222"/>
          <w:sz w:val="24"/>
          <w:highlight w:val="white"/>
        </w:rPr>
        <w:t xml:space="preserve"> 2013. </w:t>
      </w:r>
      <w:r w:rsidRPr="00944FEF">
        <w:rPr>
          <w:rFonts w:ascii="Times New Roman" w:hAnsi="Times New Roman"/>
          <w:i/>
          <w:color w:val="222222"/>
          <w:sz w:val="24"/>
        </w:rPr>
        <w:t>Partisan priorities: How issue ownership drives and distorts American politics</w:t>
      </w:r>
      <w:r w:rsidRPr="00944FEF">
        <w:rPr>
          <w:rFonts w:ascii="Times New Roman" w:hAnsi="Times New Roman"/>
          <w:color w:val="222222"/>
          <w:sz w:val="24"/>
          <w:highlight w:val="white"/>
        </w:rPr>
        <w:t>. Cambridge University Press.</w:t>
      </w:r>
    </w:p>
    <w:p w14:paraId="180D8100" w14:textId="77777777" w:rsidR="0089524B" w:rsidRDefault="0089524B" w:rsidP="0089524B">
      <w:pPr>
        <w:tabs>
          <w:tab w:val="center" w:pos="4680"/>
        </w:tabs>
        <w:suppressAutoHyphens/>
        <w:spacing w:line="480" w:lineRule="auto"/>
        <w:ind w:left="284" w:hanging="284"/>
        <w:rPr>
          <w:rFonts w:ascii="Times New Roman" w:eastAsia="ヒラギノ角ゴ Pro W3" w:hAnsi="Times New Roman"/>
          <w:color w:val="000000"/>
          <w:sz w:val="24"/>
        </w:rPr>
      </w:pPr>
      <w:r>
        <w:rPr>
          <w:rFonts w:ascii="Times New Roman" w:eastAsia="ヒラギノ角ゴ Pro W3" w:hAnsi="Times New Roman"/>
          <w:color w:val="000000"/>
          <w:sz w:val="24"/>
        </w:rPr>
        <w:t xml:space="preserve">Elkjaer, Mads. </w:t>
      </w:r>
      <w:proofErr w:type="gramStart"/>
      <w:r>
        <w:rPr>
          <w:rFonts w:ascii="Times New Roman" w:eastAsia="ヒラギノ角ゴ Pro W3" w:hAnsi="Times New Roman"/>
          <w:color w:val="000000"/>
          <w:sz w:val="24"/>
        </w:rPr>
        <w:t>2020.  “</w:t>
      </w:r>
      <w:proofErr w:type="gramEnd"/>
      <w:r>
        <w:rPr>
          <w:rFonts w:ascii="Times New Roman" w:eastAsia="ヒラギノ角ゴ Pro W3" w:hAnsi="Times New Roman"/>
          <w:color w:val="000000"/>
          <w:sz w:val="24"/>
        </w:rPr>
        <w:t xml:space="preserve">What Drives Unequal Policy Responsiveness?”  </w:t>
      </w:r>
      <w:r w:rsidRPr="00E75D8D">
        <w:rPr>
          <w:rFonts w:ascii="Times New Roman" w:eastAsia="ヒラギノ角ゴ Pro W3" w:hAnsi="Times New Roman"/>
          <w:i/>
          <w:iCs/>
          <w:color w:val="000000"/>
          <w:sz w:val="24"/>
        </w:rPr>
        <w:t xml:space="preserve">Comparative Political Studies </w:t>
      </w:r>
      <w:r>
        <w:rPr>
          <w:rFonts w:ascii="Times New Roman" w:eastAsia="ヒラギノ角ゴ Pro W3" w:hAnsi="Times New Roman"/>
          <w:color w:val="000000"/>
          <w:sz w:val="24"/>
        </w:rPr>
        <w:t>53(14):2213-2245.</w:t>
      </w:r>
    </w:p>
    <w:p w14:paraId="591A9498" w14:textId="77777777" w:rsidR="0089524B" w:rsidRPr="00944FEF" w:rsidRDefault="0089524B" w:rsidP="0089524B">
      <w:pPr>
        <w:widowControl/>
        <w:tabs>
          <w:tab w:val="left" w:pos="284"/>
          <w:tab w:val="left" w:pos="567"/>
        </w:tabs>
        <w:autoSpaceDE/>
        <w:autoSpaceDN/>
        <w:adjustRightInd/>
        <w:spacing w:line="480" w:lineRule="auto"/>
        <w:ind w:left="142" w:hanging="142"/>
        <w:rPr>
          <w:rFonts w:ascii="Times New Roman" w:eastAsia="ヒラギノ角ゴ Pro W3" w:hAnsi="Times New Roman"/>
          <w:color w:val="000000"/>
          <w:sz w:val="24"/>
        </w:rPr>
      </w:pPr>
      <w:r w:rsidRPr="00944FEF">
        <w:rPr>
          <w:rFonts w:ascii="Times New Roman" w:hAnsi="Times New Roman"/>
          <w:color w:val="222222"/>
          <w:sz w:val="24"/>
          <w:highlight w:val="white"/>
        </w:rPr>
        <w:t>Elkjær, M</w:t>
      </w:r>
      <w:r>
        <w:rPr>
          <w:rFonts w:ascii="Times New Roman" w:hAnsi="Times New Roman"/>
          <w:color w:val="222222"/>
          <w:sz w:val="24"/>
          <w:highlight w:val="white"/>
        </w:rPr>
        <w:t>ads,</w:t>
      </w:r>
      <w:r w:rsidRPr="00944FEF">
        <w:rPr>
          <w:rFonts w:ascii="Times New Roman" w:hAnsi="Times New Roman"/>
          <w:color w:val="222222"/>
          <w:sz w:val="24"/>
          <w:highlight w:val="white"/>
        </w:rPr>
        <w:t xml:space="preserve"> and</w:t>
      </w:r>
      <w:r>
        <w:rPr>
          <w:rFonts w:ascii="Times New Roman" w:hAnsi="Times New Roman"/>
          <w:color w:val="222222"/>
          <w:sz w:val="24"/>
          <w:highlight w:val="white"/>
        </w:rPr>
        <w:t xml:space="preserve"> Michael</w:t>
      </w:r>
      <w:r w:rsidRPr="00944FEF">
        <w:rPr>
          <w:rFonts w:ascii="Times New Roman" w:hAnsi="Times New Roman"/>
          <w:color w:val="222222"/>
          <w:sz w:val="24"/>
          <w:highlight w:val="white"/>
        </w:rPr>
        <w:t xml:space="preserve"> Klitgaard</w:t>
      </w:r>
      <w:r>
        <w:rPr>
          <w:rFonts w:ascii="Times New Roman" w:hAnsi="Times New Roman"/>
          <w:color w:val="222222"/>
          <w:sz w:val="24"/>
          <w:highlight w:val="white"/>
        </w:rPr>
        <w:t>. 2024. “Economic I</w:t>
      </w:r>
      <w:r w:rsidRPr="00944FEF">
        <w:rPr>
          <w:rFonts w:ascii="Times New Roman" w:hAnsi="Times New Roman"/>
          <w:color w:val="222222"/>
          <w:sz w:val="24"/>
          <w:highlight w:val="white"/>
        </w:rPr>
        <w:t xml:space="preserve">nequality and </w:t>
      </w:r>
      <w:r>
        <w:rPr>
          <w:rFonts w:ascii="Times New Roman" w:hAnsi="Times New Roman"/>
          <w:color w:val="222222"/>
          <w:sz w:val="24"/>
          <w:highlight w:val="white"/>
        </w:rPr>
        <w:t>P</w:t>
      </w:r>
      <w:r w:rsidRPr="00944FEF">
        <w:rPr>
          <w:rFonts w:ascii="Times New Roman" w:hAnsi="Times New Roman"/>
          <w:color w:val="222222"/>
          <w:sz w:val="24"/>
          <w:highlight w:val="white"/>
        </w:rPr>
        <w:t xml:space="preserve">olitical </w:t>
      </w:r>
      <w:r>
        <w:rPr>
          <w:rFonts w:ascii="Times New Roman" w:hAnsi="Times New Roman"/>
          <w:color w:val="222222"/>
          <w:sz w:val="24"/>
          <w:highlight w:val="white"/>
        </w:rPr>
        <w:t>R</w:t>
      </w:r>
      <w:r w:rsidRPr="00944FEF">
        <w:rPr>
          <w:rFonts w:ascii="Times New Roman" w:hAnsi="Times New Roman"/>
          <w:color w:val="222222"/>
          <w:sz w:val="24"/>
          <w:highlight w:val="white"/>
        </w:rPr>
        <w:t xml:space="preserve">esponsiveness: A </w:t>
      </w:r>
      <w:r>
        <w:rPr>
          <w:rFonts w:ascii="Times New Roman" w:hAnsi="Times New Roman"/>
          <w:color w:val="222222"/>
          <w:sz w:val="24"/>
          <w:highlight w:val="white"/>
        </w:rPr>
        <w:t>S</w:t>
      </w:r>
      <w:r w:rsidRPr="00944FEF">
        <w:rPr>
          <w:rFonts w:ascii="Times New Roman" w:hAnsi="Times New Roman"/>
          <w:color w:val="222222"/>
          <w:sz w:val="24"/>
          <w:highlight w:val="white"/>
        </w:rPr>
        <w:t xml:space="preserve">ystematic </w:t>
      </w:r>
      <w:r>
        <w:rPr>
          <w:rFonts w:ascii="Times New Roman" w:hAnsi="Times New Roman"/>
          <w:color w:val="222222"/>
          <w:sz w:val="24"/>
          <w:highlight w:val="white"/>
        </w:rPr>
        <w:t>R</w:t>
      </w:r>
      <w:r w:rsidRPr="00944FEF">
        <w:rPr>
          <w:rFonts w:ascii="Times New Roman" w:hAnsi="Times New Roman"/>
          <w:color w:val="222222"/>
          <w:sz w:val="24"/>
          <w:highlight w:val="white"/>
        </w:rPr>
        <w:t xml:space="preserve">eview. </w:t>
      </w:r>
      <w:r w:rsidRPr="00944FEF">
        <w:rPr>
          <w:rFonts w:ascii="Times New Roman" w:hAnsi="Times New Roman"/>
          <w:i/>
          <w:color w:val="222222"/>
          <w:sz w:val="24"/>
          <w:highlight w:val="white"/>
        </w:rPr>
        <w:t>Perspectives on Politics</w:t>
      </w:r>
      <w:r>
        <w:rPr>
          <w:rFonts w:ascii="Times New Roman" w:hAnsi="Times New Roman"/>
          <w:color w:val="222222"/>
          <w:sz w:val="24"/>
        </w:rPr>
        <w:t xml:space="preserve"> 22(2):318-337.</w:t>
      </w:r>
    </w:p>
    <w:p w14:paraId="6BC382E0" w14:textId="77777777" w:rsidR="0089524B" w:rsidRPr="00AC1B8C" w:rsidRDefault="0089524B" w:rsidP="0089524B">
      <w:pPr>
        <w:tabs>
          <w:tab w:val="center" w:pos="4680"/>
        </w:tabs>
        <w:suppressAutoHyphens/>
        <w:spacing w:line="480" w:lineRule="auto"/>
        <w:ind w:left="284" w:hanging="284"/>
        <w:rPr>
          <w:rFonts w:ascii="Times New Roman" w:eastAsia="ヒラギノ角ゴ Pro W3" w:hAnsi="Times New Roman"/>
          <w:color w:val="000000"/>
          <w:sz w:val="24"/>
        </w:rPr>
      </w:pPr>
      <w:r>
        <w:rPr>
          <w:rFonts w:ascii="Times New Roman" w:eastAsia="ヒラギノ角ゴ Pro W3" w:hAnsi="Times New Roman"/>
          <w:color w:val="000000"/>
          <w:sz w:val="24"/>
        </w:rPr>
        <w:t xml:space="preserve">Elkjaer, Mads, and Christopher Wlezien. </w:t>
      </w:r>
      <w:proofErr w:type="gramStart"/>
      <w:r>
        <w:rPr>
          <w:rFonts w:ascii="Times New Roman" w:eastAsia="ヒラギノ角ゴ Pro W3" w:hAnsi="Times New Roman"/>
          <w:color w:val="000000"/>
          <w:sz w:val="24"/>
        </w:rPr>
        <w:t>2025.  “</w:t>
      </w:r>
      <w:proofErr w:type="gramEnd"/>
      <w:r>
        <w:rPr>
          <w:rFonts w:ascii="Times New Roman" w:eastAsia="ヒラギノ角ゴ Pro W3" w:hAnsi="Times New Roman"/>
          <w:color w:val="000000"/>
          <w:sz w:val="24"/>
        </w:rPr>
        <w:t xml:space="preserve">Estimating Public Opinion from Surveys.”  </w:t>
      </w:r>
      <w:r w:rsidRPr="00944FEF">
        <w:rPr>
          <w:rFonts w:ascii="Times New Roman" w:eastAsia="ヒラギノ角ゴ Pro W3" w:hAnsi="Times New Roman"/>
          <w:i/>
          <w:iCs/>
          <w:color w:val="000000"/>
          <w:sz w:val="24"/>
        </w:rPr>
        <w:t>Political Science Research and Methods</w:t>
      </w:r>
      <w:r>
        <w:rPr>
          <w:rFonts w:ascii="Times New Roman" w:eastAsia="ヒラギノ角ゴ Pro W3" w:hAnsi="Times New Roman"/>
          <w:color w:val="000000"/>
          <w:sz w:val="24"/>
        </w:rPr>
        <w:t xml:space="preserve"> 13(3): 663-679.</w:t>
      </w:r>
    </w:p>
    <w:p w14:paraId="4680CEA6" w14:textId="77777777" w:rsidR="0089524B" w:rsidRPr="00917235" w:rsidRDefault="0089524B" w:rsidP="0089524B">
      <w:pPr>
        <w:tabs>
          <w:tab w:val="center" w:pos="4680"/>
        </w:tabs>
        <w:suppressAutoHyphens/>
        <w:spacing w:line="480" w:lineRule="auto"/>
        <w:ind w:left="284" w:hanging="284"/>
        <w:rPr>
          <w:rFonts w:ascii="Times New Roman" w:eastAsia="ヒラギノ角ゴ Pro W3" w:hAnsi="Times New Roman"/>
          <w:color w:val="000000"/>
          <w:sz w:val="24"/>
        </w:rPr>
      </w:pPr>
      <w:r w:rsidRPr="00917235">
        <w:rPr>
          <w:rFonts w:ascii="Times New Roman" w:eastAsia="ヒラギノ角ゴ Pro W3" w:hAnsi="Times New Roman"/>
          <w:color w:val="000000"/>
          <w:sz w:val="24"/>
        </w:rPr>
        <w:t>Enns</w:t>
      </w:r>
      <w:r w:rsidRPr="00917235">
        <w:rPr>
          <w:rFonts w:ascii="Times New Roman" w:hAnsi="Times New Roman"/>
          <w:sz w:val="24"/>
        </w:rPr>
        <w:t xml:space="preserve">, Peter. </w:t>
      </w:r>
      <w:proofErr w:type="gramStart"/>
      <w:r w:rsidRPr="00917235">
        <w:rPr>
          <w:rFonts w:ascii="Times New Roman" w:hAnsi="Times New Roman"/>
          <w:sz w:val="24"/>
        </w:rPr>
        <w:t>2024.  “</w:t>
      </w:r>
      <w:proofErr w:type="gramEnd"/>
      <w:r w:rsidRPr="00917235">
        <w:rPr>
          <w:rFonts w:ascii="Times New Roman" w:hAnsi="Times New Roman"/>
          <w:sz w:val="24"/>
        </w:rPr>
        <w:t xml:space="preserve">How a Seemingly Innocuous and Intuitive Methodological Choice Misled a Generation of Research on Policy Responsiveness.” Unpublished </w:t>
      </w:r>
      <w:proofErr w:type="spellStart"/>
      <w:r w:rsidRPr="00917235">
        <w:rPr>
          <w:rFonts w:ascii="Times New Roman" w:hAnsi="Times New Roman"/>
          <w:sz w:val="24"/>
        </w:rPr>
        <w:t>ms.</w:t>
      </w:r>
      <w:proofErr w:type="spellEnd"/>
    </w:p>
    <w:p w14:paraId="56849922" w14:textId="77777777" w:rsidR="0089524B" w:rsidRPr="00B35478" w:rsidRDefault="0089524B" w:rsidP="0089524B">
      <w:pPr>
        <w:tabs>
          <w:tab w:val="center" w:pos="4680"/>
        </w:tabs>
        <w:suppressAutoHyphens/>
        <w:spacing w:line="480" w:lineRule="auto"/>
        <w:ind w:left="284" w:hanging="284"/>
        <w:rPr>
          <w:rFonts w:ascii="Times New Roman" w:eastAsia="ヒラギノ角ゴ Pro W3" w:hAnsi="Times New Roman"/>
          <w:color w:val="000000"/>
          <w:sz w:val="24"/>
        </w:rPr>
      </w:pPr>
      <w:r>
        <w:rPr>
          <w:rFonts w:ascii="Times New Roman" w:eastAsia="ヒラギノ角ゴ Pro W3" w:hAnsi="Times New Roman"/>
          <w:color w:val="000000"/>
          <w:sz w:val="24"/>
        </w:rPr>
        <w:t xml:space="preserve">Enns, Peter, Nathan Kelly, Jana Morgan, Thomas </w:t>
      </w:r>
      <w:proofErr w:type="spellStart"/>
      <w:r>
        <w:rPr>
          <w:rFonts w:ascii="Times New Roman" w:eastAsia="ヒラギノ角ゴ Pro W3" w:hAnsi="Times New Roman"/>
          <w:color w:val="000000"/>
          <w:sz w:val="24"/>
        </w:rPr>
        <w:t>Volsco</w:t>
      </w:r>
      <w:proofErr w:type="spellEnd"/>
      <w:r>
        <w:rPr>
          <w:rFonts w:ascii="Times New Roman" w:eastAsia="ヒラギノ角ゴ Pro W3" w:hAnsi="Times New Roman"/>
          <w:color w:val="000000"/>
          <w:sz w:val="24"/>
        </w:rPr>
        <w:t xml:space="preserve">, and Christopher Witko. </w:t>
      </w:r>
      <w:proofErr w:type="gramStart"/>
      <w:r>
        <w:rPr>
          <w:rFonts w:ascii="Times New Roman" w:eastAsia="ヒラギノ角ゴ Pro W3" w:hAnsi="Times New Roman"/>
          <w:color w:val="000000"/>
          <w:sz w:val="24"/>
        </w:rPr>
        <w:t>2014.  “</w:t>
      </w:r>
      <w:proofErr w:type="gramEnd"/>
      <w:r>
        <w:rPr>
          <w:rFonts w:ascii="Times New Roman" w:eastAsia="ヒラギノ角ゴ Pro W3" w:hAnsi="Times New Roman"/>
          <w:color w:val="000000"/>
          <w:sz w:val="24"/>
        </w:rPr>
        <w:t xml:space="preserve">Conditional Status Quo Bias and Top Income Shares.”  </w:t>
      </w:r>
      <w:r w:rsidRPr="00884168">
        <w:rPr>
          <w:rFonts w:ascii="Times New Roman" w:eastAsia="ヒラギノ角ゴ Pro W3" w:hAnsi="Times New Roman"/>
          <w:i/>
          <w:iCs/>
          <w:color w:val="000000"/>
          <w:sz w:val="24"/>
        </w:rPr>
        <w:t>Journal of Politics</w:t>
      </w:r>
      <w:r>
        <w:rPr>
          <w:rFonts w:ascii="Times New Roman" w:eastAsia="ヒラギノ角ゴ Pro W3" w:hAnsi="Times New Roman"/>
          <w:color w:val="000000"/>
          <w:sz w:val="24"/>
        </w:rPr>
        <w:t xml:space="preserve"> 76(2):289-303.</w:t>
      </w:r>
    </w:p>
    <w:p w14:paraId="37F39D98" w14:textId="77777777" w:rsidR="0089524B" w:rsidRPr="00B35478" w:rsidRDefault="0089524B" w:rsidP="0089524B">
      <w:pPr>
        <w:tabs>
          <w:tab w:val="center" w:pos="4680"/>
        </w:tabs>
        <w:suppressAutoHyphens/>
        <w:spacing w:line="480" w:lineRule="auto"/>
        <w:ind w:left="284" w:hanging="284"/>
        <w:rPr>
          <w:rFonts w:ascii="Times New Roman" w:eastAsia="ヒラギノ角ゴ Pro W3" w:hAnsi="Times New Roman"/>
          <w:color w:val="000000"/>
          <w:sz w:val="24"/>
        </w:rPr>
      </w:pPr>
      <w:r w:rsidRPr="00B35478">
        <w:rPr>
          <w:rFonts w:ascii="Times New Roman" w:eastAsia="ヒラギノ角ゴ Pro W3" w:hAnsi="Times New Roman"/>
          <w:color w:val="000000"/>
          <w:sz w:val="24"/>
        </w:rPr>
        <w:t xml:space="preserve">Enns, Peter and Christopher Wlezien, eds. 2011. </w:t>
      </w:r>
      <w:r w:rsidRPr="00B35478">
        <w:rPr>
          <w:rFonts w:ascii="Times New Roman" w:eastAsia="ヒラギノ角ゴ Pro W3" w:hAnsi="Times New Roman"/>
          <w:i/>
          <w:color w:val="000000"/>
          <w:sz w:val="24"/>
        </w:rPr>
        <w:t>Who Gets Represented?</w:t>
      </w:r>
      <w:r w:rsidRPr="00B35478">
        <w:rPr>
          <w:rFonts w:ascii="Times New Roman" w:eastAsia="ヒラギノ角ゴ Pro W3" w:hAnsi="Times New Roman"/>
          <w:color w:val="000000"/>
          <w:sz w:val="24"/>
        </w:rPr>
        <w:t xml:space="preserve"> New York: Russell Sage Foundation.</w:t>
      </w:r>
    </w:p>
    <w:p w14:paraId="17F1ADCF" w14:textId="77777777" w:rsidR="0089524B" w:rsidRDefault="0089524B" w:rsidP="0089524B">
      <w:pPr>
        <w:keepLines/>
        <w:tabs>
          <w:tab w:val="left" w:pos="0"/>
        </w:tabs>
        <w:suppressAutoHyphens/>
        <w:spacing w:line="480" w:lineRule="auto"/>
        <w:ind w:left="284" w:hanging="284"/>
        <w:rPr>
          <w:rFonts w:ascii="Times New Roman" w:hAnsi="Times New Roman"/>
          <w:bCs/>
          <w:color w:val="333333"/>
          <w:sz w:val="24"/>
          <w:lang w:val="en"/>
        </w:rPr>
      </w:pPr>
      <w:r>
        <w:rPr>
          <w:rFonts w:ascii="Times New Roman" w:hAnsi="Times New Roman"/>
          <w:bCs/>
          <w:color w:val="333333"/>
          <w:sz w:val="24"/>
          <w:lang w:val="en"/>
        </w:rPr>
        <w:t xml:space="preserve">Fowler, Anthony, and Will Howell. </w:t>
      </w:r>
      <w:proofErr w:type="gramStart"/>
      <w:r>
        <w:rPr>
          <w:rFonts w:ascii="Times New Roman" w:hAnsi="Times New Roman"/>
          <w:bCs/>
          <w:color w:val="333333"/>
          <w:sz w:val="24"/>
          <w:lang w:val="en"/>
        </w:rPr>
        <w:t>2023.  “</w:t>
      </w:r>
      <w:proofErr w:type="gramEnd"/>
      <w:r>
        <w:rPr>
          <w:rFonts w:ascii="Times New Roman" w:hAnsi="Times New Roman"/>
          <w:bCs/>
          <w:color w:val="333333"/>
          <w:sz w:val="24"/>
          <w:lang w:val="en"/>
        </w:rPr>
        <w:t xml:space="preserve">Updating amidst Disagreement: New Experimental Evidence </w:t>
      </w:r>
      <w:r w:rsidRPr="00EA78FA">
        <w:rPr>
          <w:rFonts w:ascii="Times New Roman" w:hAnsi="Times New Roman"/>
          <w:bCs/>
          <w:color w:val="333333"/>
          <w:sz w:val="24"/>
          <w:lang w:val="en"/>
        </w:rPr>
        <w:t xml:space="preserve">on Partisan Cues.”  </w:t>
      </w:r>
      <w:r w:rsidRPr="00EA78FA">
        <w:rPr>
          <w:rFonts w:ascii="Times New Roman" w:hAnsi="Times New Roman"/>
          <w:bCs/>
          <w:i/>
          <w:iCs/>
          <w:color w:val="333333"/>
          <w:sz w:val="24"/>
          <w:lang w:val="en"/>
        </w:rPr>
        <w:t>Public Opinion Quarterly</w:t>
      </w:r>
      <w:r w:rsidRPr="00EA78FA">
        <w:rPr>
          <w:rFonts w:ascii="Times New Roman" w:hAnsi="Times New Roman"/>
          <w:bCs/>
          <w:color w:val="333333"/>
          <w:sz w:val="24"/>
          <w:lang w:val="en"/>
        </w:rPr>
        <w:t xml:space="preserve"> 87(1):24-43.</w:t>
      </w:r>
    </w:p>
    <w:p w14:paraId="2DA58CA8" w14:textId="77777777" w:rsidR="0089524B" w:rsidRPr="00B35478" w:rsidRDefault="0089524B" w:rsidP="0089524B">
      <w:pPr>
        <w:keepLines/>
        <w:tabs>
          <w:tab w:val="left" w:pos="0"/>
        </w:tabs>
        <w:suppressAutoHyphens/>
        <w:spacing w:line="480" w:lineRule="auto"/>
        <w:ind w:left="284" w:hanging="284"/>
        <w:rPr>
          <w:rFonts w:ascii="Times New Roman" w:eastAsia="ヒラギノ角ゴ Pro W3" w:hAnsi="Times New Roman"/>
          <w:color w:val="000000"/>
          <w:sz w:val="24"/>
        </w:rPr>
      </w:pPr>
      <w:r w:rsidRPr="00B35478">
        <w:rPr>
          <w:rFonts w:ascii="Times New Roman" w:eastAsia="ヒラギノ角ゴ Pro W3" w:hAnsi="Times New Roman"/>
          <w:color w:val="000000"/>
          <w:sz w:val="24"/>
        </w:rPr>
        <w:t xml:space="preserve">Gilens, Martin. 2012.  </w:t>
      </w:r>
      <w:r w:rsidRPr="00B35478">
        <w:rPr>
          <w:rFonts w:ascii="Times New Roman" w:eastAsia="ヒラギノ角ゴ Pro W3" w:hAnsi="Times New Roman"/>
          <w:i/>
          <w:color w:val="000000"/>
          <w:sz w:val="24"/>
        </w:rPr>
        <w:t>Affluence and Influence</w:t>
      </w:r>
      <w:r w:rsidRPr="00B35478">
        <w:rPr>
          <w:rFonts w:ascii="Times New Roman" w:eastAsia="ヒラギノ角ゴ Pro W3" w:hAnsi="Times New Roman"/>
          <w:color w:val="000000"/>
          <w:sz w:val="24"/>
        </w:rPr>
        <w:t>.  Princeton: Princeton University Press.</w:t>
      </w:r>
    </w:p>
    <w:p w14:paraId="4311D42F" w14:textId="77777777" w:rsidR="0089524B" w:rsidRDefault="0089524B" w:rsidP="0089524B">
      <w:pPr>
        <w:keepLines/>
        <w:tabs>
          <w:tab w:val="left" w:pos="0"/>
        </w:tabs>
        <w:suppressAutoHyphens/>
        <w:spacing w:line="480" w:lineRule="auto"/>
        <w:ind w:left="284" w:hanging="284"/>
        <w:rPr>
          <w:rFonts w:ascii="Times New Roman" w:hAnsi="Times New Roman"/>
          <w:sz w:val="24"/>
        </w:rPr>
      </w:pPr>
      <w:r>
        <w:rPr>
          <w:rFonts w:ascii="Times New Roman" w:hAnsi="Times New Roman"/>
          <w:sz w:val="24"/>
        </w:rPr>
        <w:lastRenderedPageBreak/>
        <w:t xml:space="preserve">Gilens, Martin and Benjamin Page. </w:t>
      </w:r>
      <w:proofErr w:type="gramStart"/>
      <w:r>
        <w:rPr>
          <w:rFonts w:ascii="Times New Roman" w:hAnsi="Times New Roman"/>
          <w:sz w:val="24"/>
        </w:rPr>
        <w:t>2014.  “</w:t>
      </w:r>
      <w:proofErr w:type="gramEnd"/>
      <w:r>
        <w:rPr>
          <w:rFonts w:ascii="Times New Roman" w:hAnsi="Times New Roman"/>
          <w:sz w:val="24"/>
        </w:rPr>
        <w:t xml:space="preserve">Testing Theories of American Politics: Elites, Interest Groups and Average Citizens.”  </w:t>
      </w:r>
      <w:r w:rsidRPr="0040037B">
        <w:rPr>
          <w:rFonts w:ascii="Times New Roman" w:hAnsi="Times New Roman"/>
          <w:i/>
          <w:sz w:val="24"/>
        </w:rPr>
        <w:t>Perspectives on Politics</w:t>
      </w:r>
      <w:r>
        <w:rPr>
          <w:rFonts w:ascii="Times New Roman" w:hAnsi="Times New Roman"/>
          <w:sz w:val="24"/>
        </w:rPr>
        <w:t xml:space="preserve"> 12:564-5.</w:t>
      </w:r>
    </w:p>
    <w:p w14:paraId="1E05F009" w14:textId="77777777" w:rsidR="0089524B" w:rsidRPr="00231692" w:rsidRDefault="0089524B" w:rsidP="0089524B">
      <w:pPr>
        <w:spacing w:line="480" w:lineRule="auto"/>
        <w:ind w:left="284" w:hanging="284"/>
        <w:rPr>
          <w:rFonts w:ascii="Times New Roman" w:eastAsia="ヒラギノ角ゴ Pro W3" w:hAnsi="Times New Roman"/>
          <w:color w:val="000000"/>
          <w:sz w:val="24"/>
          <w:lang w:val="en-GB"/>
        </w:rPr>
      </w:pPr>
      <w:r>
        <w:rPr>
          <w:rFonts w:ascii="Times New Roman" w:hAnsi="Times New Roman"/>
          <w:color w:val="000000"/>
          <w:kern w:val="24"/>
          <w:sz w:val="24"/>
        </w:rPr>
        <w:t xml:space="preserve">Hertel-Fernandez, Alexander, Mato Mildenberger, and Leah Stokes. </w:t>
      </w:r>
      <w:proofErr w:type="gramStart"/>
      <w:r>
        <w:rPr>
          <w:rFonts w:ascii="Times New Roman" w:hAnsi="Times New Roman"/>
          <w:color w:val="000000"/>
          <w:kern w:val="24"/>
          <w:sz w:val="24"/>
        </w:rPr>
        <w:t>2019.  “</w:t>
      </w:r>
      <w:proofErr w:type="gramEnd"/>
      <w:r>
        <w:rPr>
          <w:rFonts w:ascii="Times New Roman" w:hAnsi="Times New Roman"/>
          <w:color w:val="000000"/>
          <w:kern w:val="24"/>
          <w:sz w:val="24"/>
        </w:rPr>
        <w:t xml:space="preserve">Legislative Staff and Representation in Congress.” </w:t>
      </w:r>
      <w:r w:rsidRPr="00FB77C5">
        <w:rPr>
          <w:rFonts w:ascii="Times New Roman" w:hAnsi="Times New Roman"/>
          <w:i/>
          <w:iCs/>
          <w:color w:val="000000"/>
          <w:kern w:val="24"/>
          <w:sz w:val="24"/>
        </w:rPr>
        <w:t>American Political Science Review</w:t>
      </w:r>
      <w:r>
        <w:rPr>
          <w:rFonts w:ascii="Times New Roman" w:hAnsi="Times New Roman"/>
          <w:color w:val="000000"/>
          <w:kern w:val="24"/>
          <w:sz w:val="24"/>
        </w:rPr>
        <w:t xml:space="preserve"> (1):1-18.</w:t>
      </w:r>
    </w:p>
    <w:p w14:paraId="64D63E64" w14:textId="77777777" w:rsidR="0089524B" w:rsidRDefault="0089524B" w:rsidP="0089524B">
      <w:pPr>
        <w:keepLines/>
        <w:tabs>
          <w:tab w:val="left" w:pos="0"/>
        </w:tabs>
        <w:suppressAutoHyphens/>
        <w:spacing w:line="480" w:lineRule="auto"/>
        <w:ind w:left="284" w:hanging="284"/>
        <w:rPr>
          <w:rFonts w:ascii="Times New Roman" w:hAnsi="Times New Roman"/>
          <w:color w:val="333333"/>
          <w:sz w:val="24"/>
          <w:shd w:val="clear" w:color="auto" w:fill="FFFFFF"/>
        </w:rPr>
      </w:pPr>
      <w:r>
        <w:rPr>
          <w:rFonts w:ascii="Times New Roman" w:hAnsi="Times New Roman"/>
          <w:bCs/>
          <w:color w:val="333333"/>
          <w:sz w:val="24"/>
          <w:lang w:val="en"/>
        </w:rPr>
        <w:t xml:space="preserve">Hughes, Tyler, and Deven Carlson. </w:t>
      </w:r>
      <w:proofErr w:type="gramStart"/>
      <w:r w:rsidRPr="00BE61A8">
        <w:rPr>
          <w:rFonts w:ascii="Times New Roman" w:hAnsi="Times New Roman"/>
          <w:bCs/>
          <w:color w:val="333333"/>
          <w:sz w:val="24"/>
          <w:lang w:val="en"/>
        </w:rPr>
        <w:t>2015.  “</w:t>
      </w:r>
      <w:proofErr w:type="gramEnd"/>
      <w:r w:rsidRPr="00BE61A8">
        <w:rPr>
          <w:rFonts w:ascii="Times New Roman" w:hAnsi="Times New Roman"/>
          <w:color w:val="333333"/>
          <w:sz w:val="24"/>
          <w:shd w:val="clear" w:color="auto" w:fill="FFFFFF"/>
        </w:rPr>
        <w:t>Divided Government and Delay in the Legislative Process: Evidence From Important Bills, 1949-2010. </w:t>
      </w:r>
      <w:r w:rsidRPr="00BE61A8">
        <w:rPr>
          <w:rFonts w:ascii="Times New Roman" w:hAnsi="Times New Roman"/>
          <w:i/>
          <w:iCs/>
          <w:color w:val="333333"/>
          <w:sz w:val="24"/>
          <w:shd w:val="clear" w:color="auto" w:fill="FFFFFF"/>
        </w:rPr>
        <w:t>American Politics Research</w:t>
      </w:r>
      <w:r w:rsidRPr="00BE61A8">
        <w:rPr>
          <w:rFonts w:ascii="Times New Roman" w:hAnsi="Times New Roman"/>
          <w:color w:val="333333"/>
          <w:sz w:val="24"/>
          <w:shd w:val="clear" w:color="auto" w:fill="FFFFFF"/>
        </w:rPr>
        <w:t> 43(5): 771-792.</w:t>
      </w:r>
    </w:p>
    <w:p w14:paraId="0A247A38" w14:textId="77777777" w:rsidR="0089524B" w:rsidRDefault="0089524B" w:rsidP="0089524B">
      <w:pPr>
        <w:keepLines/>
        <w:tabs>
          <w:tab w:val="left" w:pos="0"/>
        </w:tabs>
        <w:suppressAutoHyphens/>
        <w:spacing w:line="480" w:lineRule="auto"/>
        <w:ind w:left="284" w:hanging="284"/>
        <w:rPr>
          <w:rFonts w:ascii="Times New Roman" w:hAnsi="Times New Roman"/>
          <w:bCs/>
          <w:color w:val="333333"/>
          <w:sz w:val="24"/>
          <w:lang w:val="en"/>
        </w:rPr>
      </w:pPr>
      <w:r>
        <w:rPr>
          <w:rFonts w:ascii="Times New Roman" w:hAnsi="Times New Roman"/>
          <w:bCs/>
          <w:color w:val="333333"/>
          <w:sz w:val="24"/>
          <w:lang w:val="en"/>
        </w:rPr>
        <w:t xml:space="preserve">Jennings, Will, and Christopher Wlezien. 2011. “Distinguishing between Most Important Problems and Issues?”  </w:t>
      </w:r>
      <w:r w:rsidRPr="008C6E1D">
        <w:rPr>
          <w:rFonts w:ascii="Times New Roman" w:hAnsi="Times New Roman"/>
          <w:bCs/>
          <w:i/>
          <w:iCs/>
          <w:color w:val="333333"/>
          <w:sz w:val="24"/>
          <w:lang w:val="en"/>
        </w:rPr>
        <w:t>Public Opinion Quarterly</w:t>
      </w:r>
      <w:r>
        <w:rPr>
          <w:rFonts w:ascii="Times New Roman" w:hAnsi="Times New Roman"/>
          <w:bCs/>
          <w:color w:val="333333"/>
          <w:sz w:val="24"/>
          <w:lang w:val="en"/>
        </w:rPr>
        <w:t xml:space="preserve"> 75(3): 545-555.</w:t>
      </w:r>
    </w:p>
    <w:p w14:paraId="34715B6F" w14:textId="77777777" w:rsidR="0089524B" w:rsidRPr="00756923" w:rsidRDefault="0089524B" w:rsidP="0089524B">
      <w:pPr>
        <w:widowControl/>
        <w:autoSpaceDE/>
        <w:autoSpaceDN/>
        <w:adjustRightInd/>
        <w:spacing w:line="480" w:lineRule="auto"/>
        <w:ind w:left="480" w:hanging="480"/>
        <w:rPr>
          <w:rFonts w:ascii="Times New Roman" w:hAnsi="Times New Roman"/>
          <w:sz w:val="24"/>
        </w:rPr>
      </w:pPr>
      <w:r w:rsidRPr="00756923">
        <w:rPr>
          <w:rFonts w:ascii="Times New Roman" w:hAnsi="Times New Roman"/>
          <w:sz w:val="24"/>
        </w:rPr>
        <w:t xml:space="preserve">Jones, Bryan D., and Frank R. Baumgartner. 2005. </w:t>
      </w:r>
      <w:r w:rsidRPr="00756923">
        <w:rPr>
          <w:rFonts w:ascii="Times New Roman" w:hAnsi="Times New Roman"/>
          <w:i/>
          <w:iCs/>
          <w:sz w:val="24"/>
        </w:rPr>
        <w:t>The Politics of Attention: How Government Prioritizes Problems</w:t>
      </w:r>
      <w:r w:rsidRPr="00756923">
        <w:rPr>
          <w:rFonts w:ascii="Times New Roman" w:hAnsi="Times New Roman"/>
          <w:sz w:val="24"/>
        </w:rPr>
        <w:t>. University of Chicago Press.</w:t>
      </w:r>
    </w:p>
    <w:p w14:paraId="7BCD87CA" w14:textId="77777777" w:rsidR="0089524B" w:rsidRDefault="0089524B" w:rsidP="0089524B">
      <w:pPr>
        <w:spacing w:line="480" w:lineRule="auto"/>
        <w:ind w:left="240" w:hanging="240"/>
        <w:rPr>
          <w:rFonts w:ascii="Times New Roman" w:hAnsi="Times New Roman"/>
          <w:sz w:val="24"/>
        </w:rPr>
      </w:pPr>
      <w:r>
        <w:rPr>
          <w:rFonts w:ascii="Times New Roman" w:hAnsi="Times New Roman"/>
          <w:sz w:val="24"/>
        </w:rPr>
        <w:t xml:space="preserve">Kayser, Mark, and Christopher Wlezien. </w:t>
      </w:r>
      <w:proofErr w:type="gramStart"/>
      <w:r>
        <w:rPr>
          <w:rFonts w:ascii="Times New Roman" w:hAnsi="Times New Roman"/>
          <w:sz w:val="24"/>
        </w:rPr>
        <w:t>2011.  “</w:t>
      </w:r>
      <w:proofErr w:type="gramEnd"/>
      <w:r>
        <w:rPr>
          <w:rFonts w:ascii="Times New Roman" w:hAnsi="Times New Roman"/>
          <w:sz w:val="24"/>
        </w:rPr>
        <w:t xml:space="preserve">Performance Pressure: Patterns of Partisanship and the Economic Vote.”  </w:t>
      </w:r>
      <w:r w:rsidRPr="00030B99">
        <w:rPr>
          <w:rFonts w:ascii="Times New Roman" w:hAnsi="Times New Roman"/>
          <w:i/>
          <w:iCs/>
          <w:sz w:val="24"/>
        </w:rPr>
        <w:t>European Journal of Political Research</w:t>
      </w:r>
      <w:r>
        <w:rPr>
          <w:rFonts w:ascii="Times New Roman" w:hAnsi="Times New Roman"/>
          <w:sz w:val="24"/>
        </w:rPr>
        <w:t xml:space="preserve"> 50(3): 365-394.</w:t>
      </w:r>
    </w:p>
    <w:p w14:paraId="16DF41C1" w14:textId="77777777" w:rsidR="0089524B" w:rsidRDefault="0089524B" w:rsidP="0089524B">
      <w:pPr>
        <w:spacing w:line="480" w:lineRule="auto"/>
        <w:ind w:left="240" w:hanging="240"/>
        <w:rPr>
          <w:rFonts w:ascii="Times New Roman" w:hAnsi="Times New Roman"/>
          <w:sz w:val="24"/>
        </w:rPr>
      </w:pPr>
      <w:r>
        <w:rPr>
          <w:rFonts w:ascii="Times New Roman" w:hAnsi="Times New Roman"/>
          <w:sz w:val="24"/>
        </w:rPr>
        <w:t xml:space="preserve">Kelly, Nathan. 2009.  </w:t>
      </w:r>
      <w:r w:rsidRPr="00030B99">
        <w:rPr>
          <w:rFonts w:ascii="Times New Roman" w:hAnsi="Times New Roman"/>
          <w:i/>
          <w:iCs/>
          <w:sz w:val="24"/>
        </w:rPr>
        <w:t>The Politics of Income Inequality in the United States</w:t>
      </w:r>
      <w:r>
        <w:rPr>
          <w:rFonts w:ascii="Times New Roman" w:hAnsi="Times New Roman"/>
          <w:sz w:val="24"/>
        </w:rPr>
        <w:t>. Cambridge University Press.</w:t>
      </w:r>
    </w:p>
    <w:p w14:paraId="0DEA35D9" w14:textId="77777777" w:rsidR="0089524B" w:rsidRDefault="0089524B" w:rsidP="0089524B">
      <w:pPr>
        <w:keepLines/>
        <w:tabs>
          <w:tab w:val="left" w:pos="0"/>
        </w:tabs>
        <w:suppressAutoHyphens/>
        <w:spacing w:line="480" w:lineRule="auto"/>
        <w:ind w:left="284" w:hanging="284"/>
        <w:rPr>
          <w:rFonts w:ascii="Times New Roman" w:eastAsia="ヒラギノ角ゴ Pro W3" w:hAnsi="Times New Roman"/>
          <w:color w:val="000000"/>
          <w:sz w:val="24"/>
        </w:rPr>
      </w:pPr>
      <w:r>
        <w:rPr>
          <w:rFonts w:ascii="Times New Roman" w:eastAsia="ヒラギノ角ゴ Pro W3" w:hAnsi="Times New Roman"/>
          <w:color w:val="000000"/>
          <w:sz w:val="24"/>
        </w:rPr>
        <w:t xml:space="preserve">Maedgen, Jack, and Christopher Wlezien. </w:t>
      </w:r>
      <w:proofErr w:type="gramStart"/>
      <w:r>
        <w:rPr>
          <w:rFonts w:ascii="Times New Roman" w:eastAsia="ヒラギノ角ゴ Pro W3" w:hAnsi="Times New Roman"/>
          <w:color w:val="000000"/>
          <w:sz w:val="24"/>
        </w:rPr>
        <w:t>2024.  “</w:t>
      </w:r>
      <w:proofErr w:type="gramEnd"/>
      <w:r>
        <w:rPr>
          <w:rFonts w:ascii="Times New Roman" w:eastAsia="ヒラギノ角ゴ Pro W3" w:hAnsi="Times New Roman"/>
          <w:color w:val="000000"/>
          <w:sz w:val="24"/>
        </w:rPr>
        <w:t xml:space="preserve">Institutional Friction and Policy Responsiveness.” </w:t>
      </w:r>
      <w:r w:rsidRPr="00445F3A">
        <w:rPr>
          <w:rFonts w:ascii="Times New Roman" w:eastAsia="ヒラギノ角ゴ Pro W3" w:hAnsi="Times New Roman"/>
          <w:i/>
          <w:iCs/>
          <w:color w:val="000000"/>
          <w:sz w:val="24"/>
        </w:rPr>
        <w:t>Political Research Quarterly</w:t>
      </w:r>
      <w:r>
        <w:rPr>
          <w:rFonts w:ascii="Times New Roman" w:eastAsia="ヒラギノ角ゴ Pro W3" w:hAnsi="Times New Roman"/>
          <w:color w:val="000000"/>
          <w:sz w:val="24"/>
        </w:rPr>
        <w:t xml:space="preserve"> 77(4):1262-1278.</w:t>
      </w:r>
    </w:p>
    <w:p w14:paraId="6D208A2A" w14:textId="77777777" w:rsidR="0089524B" w:rsidRPr="00EE1DA7" w:rsidRDefault="0089524B" w:rsidP="0089524B">
      <w:pPr>
        <w:spacing w:line="480" w:lineRule="auto"/>
        <w:ind w:left="284" w:hanging="284"/>
        <w:rPr>
          <w:rFonts w:ascii="Times New Roman" w:hAnsi="Times New Roman"/>
          <w:color w:val="000000"/>
          <w:kern w:val="24"/>
          <w:sz w:val="24"/>
        </w:rPr>
      </w:pPr>
      <w:r w:rsidRPr="00B35478">
        <w:rPr>
          <w:rFonts w:ascii="Times New Roman" w:eastAsia="ヒラギノ角ゴ Pro W3" w:hAnsi="Times New Roman"/>
          <w:color w:val="000000"/>
          <w:sz w:val="24"/>
        </w:rPr>
        <w:t xml:space="preserve">Page, Benjamin I. and Robert Y. Shapiro. 1992. </w:t>
      </w:r>
      <w:r w:rsidRPr="00B35478">
        <w:rPr>
          <w:rFonts w:ascii="Times New Roman" w:eastAsia="ヒラギノ角ゴ Pro W3" w:hAnsi="Times New Roman"/>
          <w:i/>
          <w:color w:val="000000"/>
          <w:sz w:val="24"/>
        </w:rPr>
        <w:t>The Rational Public: Fifty Years of Trends in Americans</w:t>
      </w:r>
      <w:r w:rsidRPr="00B35478">
        <w:rPr>
          <w:rFonts w:ascii="Times New Roman" w:eastAsia="ヒラギノ角ゴ Pro W3" w:hAnsi="Times New Roman"/>
          <w:color w:val="000000"/>
          <w:sz w:val="24"/>
        </w:rPr>
        <w:t>. Policy Preferences. Chicago: University of Chicago Press.</w:t>
      </w:r>
    </w:p>
    <w:p w14:paraId="14616047" w14:textId="77777777" w:rsidR="0089524B" w:rsidRPr="00E13252" w:rsidRDefault="0089524B" w:rsidP="0089524B">
      <w:pPr>
        <w:keepLines/>
        <w:tabs>
          <w:tab w:val="left" w:pos="0"/>
        </w:tabs>
        <w:suppressAutoHyphens/>
        <w:spacing w:line="480" w:lineRule="auto"/>
        <w:ind w:left="284" w:hanging="284"/>
        <w:rPr>
          <w:rFonts w:ascii="Times New Roman" w:eastAsia="ヒラギノ角ゴ Pro W3" w:hAnsi="Times New Roman"/>
          <w:color w:val="000000"/>
          <w:sz w:val="24"/>
        </w:rPr>
      </w:pPr>
      <w:r>
        <w:rPr>
          <w:rFonts w:ascii="Times New Roman" w:hAnsi="Times New Roman"/>
          <w:bCs/>
          <w:color w:val="333333"/>
          <w:sz w:val="24"/>
          <w:lang w:val="en"/>
        </w:rPr>
        <w:t xml:space="preserve">Persson, Mikael, and Anders Sundell. </w:t>
      </w:r>
      <w:proofErr w:type="gramStart"/>
      <w:r>
        <w:rPr>
          <w:rFonts w:ascii="Times New Roman" w:hAnsi="Times New Roman"/>
          <w:bCs/>
          <w:color w:val="333333"/>
          <w:sz w:val="24"/>
          <w:lang w:val="en"/>
        </w:rPr>
        <w:t>2024.  “</w:t>
      </w:r>
      <w:proofErr w:type="gramEnd"/>
      <w:r>
        <w:rPr>
          <w:rFonts w:ascii="Times New Roman" w:hAnsi="Times New Roman"/>
          <w:bCs/>
          <w:color w:val="333333"/>
          <w:sz w:val="24"/>
          <w:lang w:val="en"/>
        </w:rPr>
        <w:t xml:space="preserve">The Rich have a Slight Edge.” </w:t>
      </w:r>
      <w:r w:rsidRPr="00DA59ED">
        <w:rPr>
          <w:rFonts w:ascii="Times New Roman" w:hAnsi="Times New Roman"/>
          <w:bCs/>
          <w:i/>
          <w:iCs/>
          <w:color w:val="333333"/>
          <w:sz w:val="24"/>
          <w:lang w:val="en"/>
        </w:rPr>
        <w:t>British Journal of Political Science</w:t>
      </w:r>
      <w:r>
        <w:rPr>
          <w:rFonts w:ascii="Times New Roman" w:hAnsi="Times New Roman"/>
          <w:bCs/>
          <w:color w:val="333333"/>
          <w:sz w:val="24"/>
          <w:lang w:val="en"/>
        </w:rPr>
        <w:t xml:space="preserve"> 54(2): 514-525.</w:t>
      </w:r>
    </w:p>
    <w:p w14:paraId="76B7305F" w14:textId="77777777" w:rsidR="0089524B" w:rsidRDefault="0089524B" w:rsidP="0089524B">
      <w:pPr>
        <w:keepLines/>
        <w:tabs>
          <w:tab w:val="left" w:pos="0"/>
        </w:tabs>
        <w:suppressAutoHyphens/>
        <w:spacing w:line="480" w:lineRule="auto"/>
        <w:ind w:left="284" w:hanging="284"/>
        <w:rPr>
          <w:rFonts w:ascii="Times New Roman" w:hAnsi="Times New Roman"/>
          <w:color w:val="000000"/>
          <w:kern w:val="24"/>
          <w:sz w:val="24"/>
        </w:rPr>
      </w:pPr>
      <w:proofErr w:type="spellStart"/>
      <w:r>
        <w:rPr>
          <w:rFonts w:ascii="Times New Roman" w:hAnsi="Times New Roman"/>
          <w:color w:val="000000"/>
          <w:kern w:val="24"/>
          <w:sz w:val="24"/>
        </w:rPr>
        <w:t>Petrocik</w:t>
      </w:r>
      <w:proofErr w:type="spellEnd"/>
      <w:r>
        <w:rPr>
          <w:rFonts w:ascii="Times New Roman" w:hAnsi="Times New Roman"/>
          <w:color w:val="000000"/>
          <w:kern w:val="24"/>
          <w:sz w:val="24"/>
        </w:rPr>
        <w:t xml:space="preserve">, John. </w:t>
      </w:r>
      <w:proofErr w:type="gramStart"/>
      <w:r>
        <w:rPr>
          <w:rFonts w:ascii="Times New Roman" w:hAnsi="Times New Roman"/>
          <w:color w:val="000000"/>
          <w:kern w:val="24"/>
          <w:sz w:val="24"/>
        </w:rPr>
        <w:t>1996.  “</w:t>
      </w:r>
      <w:proofErr w:type="gramEnd"/>
      <w:r>
        <w:rPr>
          <w:rFonts w:ascii="Times New Roman" w:hAnsi="Times New Roman"/>
          <w:color w:val="000000"/>
          <w:kern w:val="24"/>
          <w:sz w:val="24"/>
        </w:rPr>
        <w:t xml:space="preserve">Issue Ownership in Presidential Elections, with a 1980 Case Study.” </w:t>
      </w:r>
      <w:r w:rsidRPr="00EA13CF">
        <w:rPr>
          <w:rFonts w:ascii="Times New Roman" w:hAnsi="Times New Roman"/>
          <w:i/>
          <w:iCs/>
          <w:color w:val="000000"/>
          <w:kern w:val="24"/>
          <w:sz w:val="24"/>
        </w:rPr>
        <w:t>American Journal of Political Science</w:t>
      </w:r>
      <w:r>
        <w:rPr>
          <w:rFonts w:ascii="Times New Roman" w:hAnsi="Times New Roman"/>
          <w:color w:val="000000"/>
          <w:kern w:val="24"/>
          <w:sz w:val="24"/>
        </w:rPr>
        <w:t xml:space="preserve"> 40(3): 825-850.</w:t>
      </w:r>
    </w:p>
    <w:p w14:paraId="6CC7AFA2" w14:textId="77777777" w:rsidR="0089524B" w:rsidRPr="00B35478" w:rsidRDefault="0089524B" w:rsidP="008952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line="480" w:lineRule="auto"/>
        <w:ind w:left="284" w:hanging="284"/>
        <w:rPr>
          <w:rFonts w:ascii="Times New Roman" w:hAnsi="Times New Roman"/>
          <w:sz w:val="24"/>
        </w:rPr>
      </w:pPr>
      <w:r>
        <w:rPr>
          <w:rFonts w:ascii="Times New Roman" w:hAnsi="Times New Roman"/>
          <w:sz w:val="24"/>
        </w:rPr>
        <w:lastRenderedPageBreak/>
        <w:t xml:space="preserve">Soroka, Stuart, N. and Christopher Wlezien. 2022.  </w:t>
      </w:r>
      <w:r w:rsidRPr="00DC6317">
        <w:rPr>
          <w:rFonts w:ascii="Times New Roman" w:hAnsi="Times New Roman"/>
          <w:i/>
          <w:iCs/>
          <w:sz w:val="24"/>
        </w:rPr>
        <w:t>Information and Democracy</w:t>
      </w:r>
      <w:r>
        <w:rPr>
          <w:rFonts w:ascii="Times New Roman" w:hAnsi="Times New Roman"/>
          <w:sz w:val="24"/>
        </w:rPr>
        <w:t>.  Cambridge University Press.</w:t>
      </w:r>
    </w:p>
    <w:p w14:paraId="43A9D542" w14:textId="77777777" w:rsidR="0089524B" w:rsidRDefault="0089524B" w:rsidP="008952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line="480" w:lineRule="auto"/>
        <w:ind w:left="284" w:hanging="284"/>
        <w:rPr>
          <w:rFonts w:ascii="Times New Roman" w:eastAsia="ヒラギノ角ゴ Pro W3" w:hAnsi="Times New Roman"/>
          <w:color w:val="000000"/>
          <w:sz w:val="24"/>
        </w:rPr>
      </w:pPr>
      <w:r w:rsidRPr="00B35478">
        <w:rPr>
          <w:rFonts w:ascii="Times New Roman" w:eastAsia="ヒラギノ角ゴ Pro W3" w:hAnsi="Times New Roman"/>
          <w:color w:val="000000"/>
          <w:sz w:val="24"/>
        </w:rPr>
        <w:t xml:space="preserve">Soroka, Stuart N. and Christopher Wlezien. 2010. </w:t>
      </w:r>
      <w:r w:rsidRPr="00B35478">
        <w:rPr>
          <w:rFonts w:ascii="Times New Roman" w:eastAsia="ヒラギノ角ゴ Pro W3" w:hAnsi="Times New Roman"/>
          <w:i/>
          <w:color w:val="000000"/>
          <w:sz w:val="24"/>
        </w:rPr>
        <w:t>Degrees of Democracy</w:t>
      </w:r>
      <w:r w:rsidRPr="00B35478">
        <w:rPr>
          <w:rFonts w:ascii="Times New Roman" w:eastAsia="ヒラギノ角ゴ Pro W3" w:hAnsi="Times New Roman"/>
          <w:color w:val="000000"/>
          <w:sz w:val="24"/>
        </w:rPr>
        <w:t>. New York: Cambridge University Press.</w:t>
      </w:r>
    </w:p>
    <w:p w14:paraId="6567251C" w14:textId="77777777" w:rsidR="0089524B" w:rsidRDefault="0089524B" w:rsidP="0089524B">
      <w:pPr>
        <w:keepLines/>
        <w:tabs>
          <w:tab w:val="left" w:pos="0"/>
        </w:tabs>
        <w:suppressAutoHyphens/>
        <w:spacing w:line="480" w:lineRule="auto"/>
        <w:ind w:left="284" w:hanging="284"/>
        <w:rPr>
          <w:rFonts w:ascii="Times New Roman" w:hAnsi="Times New Roman"/>
          <w:sz w:val="24"/>
        </w:rPr>
      </w:pPr>
      <w:r>
        <w:rPr>
          <w:rFonts w:ascii="Times New Roman" w:hAnsi="Times New Roman"/>
          <w:sz w:val="24"/>
        </w:rPr>
        <w:t xml:space="preserve">Stokes, Susan. 2001.  </w:t>
      </w:r>
      <w:r w:rsidRPr="00882722">
        <w:rPr>
          <w:rFonts w:ascii="Times New Roman" w:hAnsi="Times New Roman"/>
          <w:i/>
          <w:iCs/>
          <w:sz w:val="24"/>
        </w:rPr>
        <w:t>Mandates and Democracy</w:t>
      </w:r>
      <w:r>
        <w:rPr>
          <w:rFonts w:ascii="Times New Roman" w:hAnsi="Times New Roman"/>
          <w:sz w:val="24"/>
        </w:rPr>
        <w:t>. Cambridge: Cambridge University Press.</w:t>
      </w:r>
    </w:p>
    <w:p w14:paraId="41077EBC" w14:textId="77777777" w:rsidR="0089524B" w:rsidRDefault="0089524B" w:rsidP="0089524B">
      <w:pPr>
        <w:keepLines/>
        <w:tabs>
          <w:tab w:val="left" w:pos="0"/>
        </w:tabs>
        <w:suppressAutoHyphens/>
        <w:spacing w:line="480" w:lineRule="auto"/>
        <w:ind w:left="284" w:hanging="284"/>
        <w:rPr>
          <w:rFonts w:ascii="Times New Roman" w:hAnsi="Times New Roman"/>
          <w:sz w:val="24"/>
        </w:rPr>
      </w:pPr>
      <w:r>
        <w:rPr>
          <w:rFonts w:ascii="Times New Roman" w:hAnsi="Times New Roman"/>
          <w:sz w:val="24"/>
        </w:rPr>
        <w:t xml:space="preserve">Theriault, Sean. 2008.  </w:t>
      </w:r>
      <w:r w:rsidRPr="00E6179E">
        <w:rPr>
          <w:rFonts w:ascii="Times New Roman" w:hAnsi="Times New Roman"/>
          <w:i/>
          <w:iCs/>
          <w:sz w:val="24"/>
        </w:rPr>
        <w:t>Party Polarization in Congress</w:t>
      </w:r>
      <w:r>
        <w:rPr>
          <w:rFonts w:ascii="Times New Roman" w:hAnsi="Times New Roman"/>
          <w:sz w:val="24"/>
        </w:rPr>
        <w:t>. Cambridge University Press.</w:t>
      </w:r>
    </w:p>
    <w:p w14:paraId="5795CAC9" w14:textId="77777777" w:rsidR="0089524B" w:rsidRPr="00161436" w:rsidRDefault="0089524B" w:rsidP="0089524B">
      <w:pPr>
        <w:keepLines/>
        <w:tabs>
          <w:tab w:val="left" w:pos="0"/>
        </w:tabs>
        <w:suppressAutoHyphens/>
        <w:spacing w:line="480" w:lineRule="auto"/>
        <w:ind w:left="284" w:hanging="284"/>
        <w:rPr>
          <w:rFonts w:ascii="Times New Roman" w:hAnsi="Times New Roman"/>
          <w:sz w:val="24"/>
        </w:rPr>
      </w:pPr>
      <w:r w:rsidRPr="00161436">
        <w:rPr>
          <w:rFonts w:ascii="Times New Roman" w:hAnsi="Times New Roman"/>
          <w:sz w:val="24"/>
        </w:rPr>
        <w:t>Whiteley, P</w:t>
      </w:r>
      <w:r>
        <w:rPr>
          <w:rFonts w:ascii="Times New Roman" w:hAnsi="Times New Roman"/>
          <w:sz w:val="24"/>
        </w:rPr>
        <w:t>aul</w:t>
      </w:r>
      <w:r w:rsidRPr="00161436">
        <w:rPr>
          <w:rFonts w:ascii="Times New Roman" w:hAnsi="Times New Roman"/>
          <w:sz w:val="24"/>
        </w:rPr>
        <w:t xml:space="preserve">., &amp; </w:t>
      </w:r>
      <w:r>
        <w:rPr>
          <w:rFonts w:ascii="Times New Roman" w:hAnsi="Times New Roman"/>
          <w:sz w:val="24"/>
        </w:rPr>
        <w:t xml:space="preserve">Ann-Kristin </w:t>
      </w:r>
      <w:r w:rsidRPr="00161436">
        <w:rPr>
          <w:rFonts w:ascii="Times New Roman" w:hAnsi="Times New Roman"/>
          <w:sz w:val="24"/>
        </w:rPr>
        <w:t xml:space="preserve">Kölln. </w:t>
      </w:r>
      <w:proofErr w:type="gramStart"/>
      <w:r w:rsidRPr="00161436">
        <w:rPr>
          <w:rFonts w:ascii="Times New Roman" w:hAnsi="Times New Roman"/>
          <w:sz w:val="24"/>
        </w:rPr>
        <w:t xml:space="preserve">2018. </w:t>
      </w:r>
      <w:r>
        <w:rPr>
          <w:rFonts w:ascii="Times New Roman" w:hAnsi="Times New Roman"/>
          <w:sz w:val="24"/>
        </w:rPr>
        <w:t xml:space="preserve"> “</w:t>
      </w:r>
      <w:proofErr w:type="gramEnd"/>
      <w:r w:rsidRPr="00161436">
        <w:rPr>
          <w:rFonts w:ascii="Times New Roman" w:hAnsi="Times New Roman"/>
          <w:sz w:val="24"/>
        </w:rPr>
        <w:t>How do different sources of partisanship influence government accountability in Europe?</w:t>
      </w:r>
      <w:r>
        <w:rPr>
          <w:rFonts w:ascii="Times New Roman" w:hAnsi="Times New Roman"/>
          <w:sz w:val="24"/>
        </w:rPr>
        <w:t xml:space="preserve">” </w:t>
      </w:r>
      <w:r w:rsidRPr="00161436">
        <w:rPr>
          <w:rFonts w:ascii="Times New Roman" w:hAnsi="Times New Roman"/>
          <w:sz w:val="24"/>
        </w:rPr>
        <w:t xml:space="preserve"> </w:t>
      </w:r>
      <w:r w:rsidRPr="00161436">
        <w:rPr>
          <w:rFonts w:ascii="Times New Roman" w:hAnsi="Times New Roman"/>
          <w:i/>
          <w:iCs/>
          <w:sz w:val="24"/>
        </w:rPr>
        <w:t>International Political Science Review</w:t>
      </w:r>
      <w:r w:rsidRPr="00161436">
        <w:rPr>
          <w:rFonts w:ascii="Times New Roman" w:hAnsi="Times New Roman"/>
          <w:sz w:val="24"/>
        </w:rPr>
        <w:t>, 40(4)</w:t>
      </w:r>
      <w:r>
        <w:rPr>
          <w:rFonts w:ascii="Times New Roman" w:hAnsi="Times New Roman"/>
          <w:sz w:val="24"/>
        </w:rPr>
        <w:t xml:space="preserve">: </w:t>
      </w:r>
      <w:r w:rsidRPr="00161436">
        <w:rPr>
          <w:rFonts w:ascii="Times New Roman" w:hAnsi="Times New Roman"/>
          <w:sz w:val="24"/>
        </w:rPr>
        <w:t>502-517.</w:t>
      </w:r>
    </w:p>
    <w:p w14:paraId="28916EB7" w14:textId="77777777" w:rsidR="0089524B" w:rsidRDefault="0089524B" w:rsidP="0089524B">
      <w:pPr>
        <w:pStyle w:val="BodyA"/>
        <w:spacing w:line="480" w:lineRule="auto"/>
        <w:ind w:left="142" w:hanging="142"/>
        <w:rPr>
          <w:rFonts w:ascii="Times New Roman" w:hAnsi="Times New Roman"/>
        </w:rPr>
      </w:pPr>
      <w:r>
        <w:rPr>
          <w:rFonts w:ascii="Times New Roman" w:hAnsi="Times New Roman"/>
        </w:rPr>
        <w:t xml:space="preserve">Witko, Christopher, Jana Morgan, Nathan Kelly, and Peter Enns. 2021.  </w:t>
      </w:r>
      <w:r w:rsidRPr="00C63131">
        <w:rPr>
          <w:rFonts w:ascii="Times New Roman" w:hAnsi="Times New Roman"/>
          <w:i/>
          <w:iCs/>
        </w:rPr>
        <w:t>Hijacking the Agenda</w:t>
      </w:r>
      <w:r>
        <w:rPr>
          <w:rFonts w:ascii="Times New Roman" w:hAnsi="Times New Roman"/>
        </w:rPr>
        <w:t>.  New York: Russell Sage.</w:t>
      </w:r>
    </w:p>
    <w:p w14:paraId="6E513952" w14:textId="77777777" w:rsidR="0089524B" w:rsidRPr="00B35478" w:rsidRDefault="0089524B" w:rsidP="0089524B">
      <w:pPr>
        <w:keepLines/>
        <w:tabs>
          <w:tab w:val="left" w:pos="0"/>
          <w:tab w:val="left" w:pos="7830"/>
        </w:tabs>
        <w:suppressAutoHyphens/>
        <w:spacing w:line="480" w:lineRule="auto"/>
        <w:ind w:left="284" w:hanging="284"/>
        <w:rPr>
          <w:rFonts w:ascii="Times New Roman" w:eastAsia="ヒラギノ角ゴ Pro W3" w:hAnsi="Times New Roman"/>
          <w:color w:val="000000"/>
          <w:sz w:val="24"/>
        </w:rPr>
      </w:pPr>
      <w:r>
        <w:rPr>
          <w:rFonts w:ascii="Times New Roman" w:eastAsia="ヒラギノ角ゴ Pro W3" w:hAnsi="Times New Roman"/>
          <w:color w:val="000000"/>
          <w:sz w:val="24"/>
        </w:rPr>
        <w:t xml:space="preserve">Wlezien, Christopher. 2005. “On the Salience of Political Issues: The Problem with ‘Most Important Problem.”  </w:t>
      </w:r>
      <w:r w:rsidRPr="003101C0">
        <w:rPr>
          <w:rFonts w:ascii="Times New Roman" w:eastAsia="ヒラギノ角ゴ Pro W3" w:hAnsi="Times New Roman"/>
          <w:i/>
          <w:color w:val="000000"/>
          <w:sz w:val="24"/>
        </w:rPr>
        <w:t>Electoral Studies</w:t>
      </w:r>
      <w:r>
        <w:rPr>
          <w:rFonts w:ascii="Times New Roman" w:eastAsia="ヒラギノ角ゴ Pro W3" w:hAnsi="Times New Roman"/>
          <w:color w:val="000000"/>
          <w:sz w:val="24"/>
        </w:rPr>
        <w:t xml:space="preserve"> 24:555-579.</w:t>
      </w:r>
    </w:p>
    <w:p w14:paraId="3D10ECA2" w14:textId="77777777" w:rsidR="0089524B" w:rsidRDefault="0089524B" w:rsidP="0089524B">
      <w:pPr>
        <w:pStyle w:val="Citation"/>
        <w:spacing w:after="0" w:line="480" w:lineRule="auto"/>
        <w:ind w:left="284" w:hanging="284"/>
        <w:rPr>
          <w:rFonts w:ascii="Times New Roman" w:eastAsia="Arial Unicode MS" w:hAnsi="Times New Roman"/>
          <w:sz w:val="24"/>
          <w:szCs w:val="24"/>
        </w:rPr>
      </w:pPr>
      <w:r>
        <w:rPr>
          <w:rFonts w:ascii="Times New Roman" w:eastAsia="Arial Unicode MS" w:hAnsi="Times New Roman"/>
          <w:sz w:val="24"/>
          <w:szCs w:val="24"/>
        </w:rPr>
        <w:t xml:space="preserve">Wlezien, Christopher and Stuart Soroka. </w:t>
      </w:r>
      <w:proofErr w:type="gramStart"/>
      <w:r>
        <w:rPr>
          <w:rFonts w:ascii="Times New Roman" w:eastAsia="Arial Unicode MS" w:hAnsi="Times New Roman"/>
          <w:sz w:val="24"/>
          <w:szCs w:val="24"/>
        </w:rPr>
        <w:t>2003.  “</w:t>
      </w:r>
      <w:proofErr w:type="gramEnd"/>
      <w:r>
        <w:rPr>
          <w:rFonts w:ascii="Times New Roman" w:eastAsia="Arial Unicode MS" w:hAnsi="Times New Roman"/>
          <w:sz w:val="24"/>
          <w:szCs w:val="24"/>
        </w:rPr>
        <w:t xml:space="preserve">Measures and Models of Budgetary Policy.”  </w:t>
      </w:r>
      <w:r w:rsidRPr="00250517">
        <w:rPr>
          <w:rFonts w:ascii="Times New Roman" w:eastAsia="Arial Unicode MS" w:hAnsi="Times New Roman"/>
          <w:i/>
          <w:iCs/>
          <w:sz w:val="24"/>
          <w:szCs w:val="24"/>
        </w:rPr>
        <w:t>Policy Studies Journal</w:t>
      </w:r>
      <w:r>
        <w:rPr>
          <w:rFonts w:ascii="Times New Roman" w:eastAsia="Arial Unicode MS" w:hAnsi="Times New Roman"/>
          <w:sz w:val="24"/>
          <w:szCs w:val="24"/>
        </w:rPr>
        <w:t xml:space="preserve"> 31(2): 273-286.</w:t>
      </w:r>
    </w:p>
    <w:p w14:paraId="4D52E7C8" w14:textId="77777777" w:rsidR="0089524B" w:rsidRPr="00AD2BED" w:rsidRDefault="0089524B" w:rsidP="0089524B">
      <w:pPr>
        <w:keepLines/>
        <w:tabs>
          <w:tab w:val="left" w:pos="0"/>
          <w:tab w:val="left" w:pos="7830"/>
        </w:tabs>
        <w:suppressAutoHyphens/>
        <w:spacing w:line="480" w:lineRule="auto"/>
        <w:ind w:left="284" w:hanging="284"/>
        <w:rPr>
          <w:rFonts w:ascii="Times New Roman" w:eastAsia="ヒラギノ角ゴ Pro W3" w:hAnsi="Times New Roman"/>
          <w:color w:val="000000"/>
          <w:sz w:val="24"/>
        </w:rPr>
      </w:pPr>
      <w:r>
        <w:rPr>
          <w:rFonts w:ascii="Times New Roman" w:eastAsia="Arial Unicode MS" w:hAnsi="Times New Roman"/>
          <w:sz w:val="24"/>
        </w:rPr>
        <w:t>Wlezien, Christopher and Stuart Soroka</w:t>
      </w:r>
      <w:r w:rsidRPr="00AD2BED">
        <w:rPr>
          <w:rFonts w:ascii="Times New Roman" w:eastAsia="ヒラギノ角ゴ Pro W3" w:hAnsi="Times New Roman"/>
          <w:color w:val="000000"/>
          <w:sz w:val="24"/>
        </w:rPr>
        <w:t xml:space="preserve">. 2011. “Inequality in Policy Responsiveness.” In Peter Enns and Christopher Wlezien (eds.), </w:t>
      </w:r>
      <w:r w:rsidRPr="00AD2BED">
        <w:rPr>
          <w:rFonts w:ascii="Times New Roman" w:eastAsia="ヒラギノ角ゴ Pro W3" w:hAnsi="Times New Roman"/>
          <w:i/>
          <w:color w:val="000000"/>
          <w:sz w:val="24"/>
        </w:rPr>
        <w:t>Who Gets Represented?</w:t>
      </w:r>
      <w:r w:rsidRPr="00AD2BED">
        <w:rPr>
          <w:rFonts w:ascii="Times New Roman" w:eastAsia="ヒラギノ角ゴ Pro W3" w:hAnsi="Times New Roman"/>
          <w:color w:val="000000"/>
          <w:sz w:val="24"/>
        </w:rPr>
        <w:t xml:space="preserve"> New York: Russell Sage Foundation. </w:t>
      </w:r>
    </w:p>
    <w:p w14:paraId="0092B0D6" w14:textId="77777777" w:rsidR="0089524B" w:rsidRDefault="0089524B" w:rsidP="0089524B">
      <w:pPr>
        <w:pStyle w:val="Citation"/>
        <w:spacing w:after="0" w:line="480" w:lineRule="auto"/>
        <w:ind w:left="284" w:hanging="284"/>
        <w:rPr>
          <w:rFonts w:ascii="Times New Roman" w:eastAsia="Arial Unicode MS" w:hAnsi="Times New Roman"/>
          <w:sz w:val="24"/>
          <w:szCs w:val="24"/>
        </w:rPr>
      </w:pPr>
    </w:p>
    <w:p w14:paraId="1696B8AB" w14:textId="77777777" w:rsidR="0089524B" w:rsidRPr="00907013" w:rsidRDefault="0089524B" w:rsidP="0089524B">
      <w:pPr>
        <w:keepLines/>
        <w:tabs>
          <w:tab w:val="left" w:pos="0"/>
          <w:tab w:val="left" w:pos="7830"/>
        </w:tabs>
        <w:suppressAutoHyphens/>
        <w:spacing w:line="480" w:lineRule="auto"/>
        <w:ind w:left="284" w:hanging="284"/>
        <w:rPr>
          <w:rFonts w:ascii="Times New Roman" w:eastAsia="Calibri" w:hAnsi="Times New Roman"/>
          <w:sz w:val="24"/>
        </w:rPr>
      </w:pPr>
    </w:p>
    <w:p w14:paraId="05856859" w14:textId="302A315A" w:rsidR="00315C3B" w:rsidRDefault="00315C3B" w:rsidP="00853644">
      <w:pPr>
        <w:keepLines/>
        <w:tabs>
          <w:tab w:val="left" w:pos="0"/>
          <w:tab w:val="left" w:pos="7830"/>
        </w:tabs>
        <w:suppressAutoHyphens/>
        <w:spacing w:after="240" w:line="480" w:lineRule="auto"/>
        <w:rPr>
          <w:color w:val="000000"/>
          <w:kern w:val="24"/>
        </w:rPr>
      </w:pPr>
    </w:p>
    <w:p w14:paraId="16D3C643" w14:textId="77777777" w:rsidR="004E2828" w:rsidRPr="00E56836" w:rsidRDefault="004E2828" w:rsidP="00E56836">
      <w:pPr>
        <w:keepLines/>
        <w:tabs>
          <w:tab w:val="left" w:pos="0"/>
          <w:tab w:val="left" w:pos="7830"/>
        </w:tabs>
        <w:suppressAutoHyphens/>
        <w:spacing w:line="480" w:lineRule="auto"/>
        <w:ind w:left="284" w:hanging="284"/>
        <w:jc w:val="both"/>
        <w:rPr>
          <w:rFonts w:ascii="Times New Roman" w:eastAsia="ヒラギノ角ゴ Pro W3" w:hAnsi="Times New Roman"/>
          <w:color w:val="000000"/>
          <w:sz w:val="24"/>
        </w:rPr>
      </w:pPr>
    </w:p>
    <w:sectPr w:rsidR="004E2828" w:rsidRPr="00E56836" w:rsidSect="00AF4DC3">
      <w:footerReference w:type="default" r:id="rId10"/>
      <w:endnotePr>
        <w:numFmt w:val="decimal"/>
      </w:endnotePr>
      <w:pgSz w:w="12240" w:h="15840"/>
      <w:pgMar w:top="1728" w:right="1440" w:bottom="1440" w:left="1440" w:header="1728" w:footer="86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135EA" w14:textId="77777777" w:rsidR="0069090C" w:rsidRDefault="0069090C">
      <w:r>
        <w:separator/>
      </w:r>
    </w:p>
  </w:endnote>
  <w:endnote w:type="continuationSeparator" w:id="0">
    <w:p w14:paraId="35EF50B8" w14:textId="77777777" w:rsidR="0069090C" w:rsidRDefault="00690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ヒラギノ角ゴ Pro W3">
    <w:altName w:val="MS Mincho"/>
    <w:charset w:val="80"/>
    <w:family w:val="auto"/>
    <w:pitch w:val="variable"/>
    <w:sig w:usb0="E00002FF"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Deja Vu Serif">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EBE32" w14:textId="77777777" w:rsidR="00A617E4" w:rsidRDefault="00A617E4">
    <w:pPr>
      <w:pStyle w:val="Footer"/>
      <w:jc w:val="center"/>
    </w:pPr>
    <w:r>
      <w:fldChar w:fldCharType="begin"/>
    </w:r>
    <w:r>
      <w:instrText xml:space="preserve"> PAGE   \* MERGEFORMAT </w:instrText>
    </w:r>
    <w:r>
      <w:fldChar w:fldCharType="separate"/>
    </w:r>
    <w:r w:rsidR="00181374">
      <w:rPr>
        <w:noProof/>
      </w:rPr>
      <w:t>1</w:t>
    </w:r>
    <w:r>
      <w:rPr>
        <w:noProof/>
      </w:rPr>
      <w:fldChar w:fldCharType="end"/>
    </w:r>
  </w:p>
  <w:p w14:paraId="2B837648" w14:textId="77777777" w:rsidR="00A617E4" w:rsidRDefault="00A617E4">
    <w:pP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618BB" w14:textId="77777777" w:rsidR="0069090C" w:rsidRDefault="0069090C">
      <w:r>
        <w:separator/>
      </w:r>
    </w:p>
  </w:footnote>
  <w:footnote w:type="continuationSeparator" w:id="0">
    <w:p w14:paraId="19BF3668" w14:textId="77777777" w:rsidR="0069090C" w:rsidRDefault="0069090C">
      <w:r>
        <w:continuationSeparator/>
      </w:r>
    </w:p>
  </w:footnote>
  <w:footnote w:id="1">
    <w:p w14:paraId="14AA669C" w14:textId="77777777" w:rsidR="0089524B" w:rsidRPr="008949A4" w:rsidRDefault="0089524B" w:rsidP="0089524B">
      <w:pPr>
        <w:pStyle w:val="FootnoteText"/>
        <w:rPr>
          <w:rFonts w:ascii="Times New Roman" w:hAnsi="Times New Roman"/>
        </w:rPr>
      </w:pPr>
      <w:r w:rsidRPr="008949A4">
        <w:rPr>
          <w:rStyle w:val="FootnoteReference"/>
          <w:rFonts w:ascii="Times New Roman" w:hAnsi="Times New Roman"/>
          <w:vertAlign w:val="superscript"/>
        </w:rPr>
        <w:footnoteRef/>
      </w:r>
      <w:r w:rsidRPr="008949A4">
        <w:rPr>
          <w:rFonts w:ascii="Times New Roman" w:hAnsi="Times New Roman"/>
        </w:rPr>
        <w:t xml:space="preserve"> </w:t>
      </w:r>
      <w:r w:rsidRPr="008949A4">
        <w:rPr>
          <w:rFonts w:ascii="Times New Roman" w:hAnsi="Times New Roman"/>
          <w:color w:val="000000"/>
          <w:kern w:val="24"/>
        </w:rPr>
        <w:t>Decisions and outputs often are quite different</w:t>
      </w:r>
      <w:r>
        <w:rPr>
          <w:rFonts w:ascii="Times New Roman" w:hAnsi="Times New Roman"/>
          <w:color w:val="000000"/>
          <w:kern w:val="24"/>
        </w:rPr>
        <w:t xml:space="preserve"> too</w:t>
      </w:r>
      <w:r w:rsidRPr="008949A4">
        <w:rPr>
          <w:rFonts w:ascii="Times New Roman" w:hAnsi="Times New Roman"/>
          <w:color w:val="000000"/>
          <w:kern w:val="24"/>
        </w:rPr>
        <w:t xml:space="preserve">, even when they seemingly should not be (see </w:t>
      </w:r>
      <w:r>
        <w:rPr>
          <w:rFonts w:ascii="Times New Roman" w:hAnsi="Times New Roman"/>
          <w:color w:val="000000"/>
          <w:kern w:val="24"/>
        </w:rPr>
        <w:t xml:space="preserve">Wlezien and </w:t>
      </w:r>
      <w:r w:rsidRPr="008949A4">
        <w:rPr>
          <w:rFonts w:ascii="Times New Roman" w:hAnsi="Times New Roman"/>
          <w:color w:val="000000"/>
          <w:kern w:val="24"/>
        </w:rPr>
        <w:t>Soroka 2004).</w:t>
      </w:r>
    </w:p>
  </w:footnote>
  <w:footnote w:id="2">
    <w:p w14:paraId="682F19E7" w14:textId="77777777" w:rsidR="0089524B" w:rsidRPr="006A78EF" w:rsidRDefault="0089524B" w:rsidP="0089524B">
      <w:pPr>
        <w:pStyle w:val="FootnoteText"/>
        <w:rPr>
          <w:rFonts w:ascii="Times New Roman" w:hAnsi="Times New Roman"/>
        </w:rPr>
      </w:pPr>
      <w:r w:rsidRPr="006A78EF">
        <w:rPr>
          <w:rStyle w:val="FootnoteReference"/>
          <w:rFonts w:ascii="Times New Roman" w:hAnsi="Times New Roman"/>
          <w:vertAlign w:val="superscript"/>
        </w:rPr>
        <w:footnoteRef/>
      </w:r>
      <w:r w:rsidRPr="006A78EF">
        <w:rPr>
          <w:rFonts w:ascii="Times New Roman" w:hAnsi="Times New Roman"/>
          <w:vertAlign w:val="superscript"/>
        </w:rPr>
        <w:t xml:space="preserve"> </w:t>
      </w:r>
      <w:r w:rsidRPr="006A78EF">
        <w:rPr>
          <w:rFonts w:ascii="Times New Roman" w:hAnsi="Times New Roman"/>
        </w:rPr>
        <w:t xml:space="preserve">This may be true even where governments matter (Kelly 2009).  </w:t>
      </w:r>
    </w:p>
  </w:footnote>
  <w:footnote w:id="3">
    <w:p w14:paraId="7201ABB3" w14:textId="77777777" w:rsidR="0089524B" w:rsidRPr="00882722" w:rsidRDefault="0089524B" w:rsidP="0089524B">
      <w:pPr>
        <w:pStyle w:val="FootnoteText"/>
        <w:rPr>
          <w:rFonts w:ascii="Times New Roman" w:hAnsi="Times New Roman"/>
        </w:rPr>
      </w:pPr>
      <w:r w:rsidRPr="00882722">
        <w:rPr>
          <w:rStyle w:val="FootnoteReference"/>
          <w:rFonts w:ascii="Times New Roman" w:hAnsi="Times New Roman"/>
          <w:vertAlign w:val="superscript"/>
        </w:rPr>
        <w:footnoteRef/>
      </w:r>
      <w:r w:rsidRPr="00882722">
        <w:rPr>
          <w:rFonts w:ascii="Times New Roman" w:hAnsi="Times New Roman"/>
        </w:rPr>
        <w:t xml:space="preserve"> </w:t>
      </w:r>
      <w:r w:rsidRPr="00882722">
        <w:rPr>
          <w:rFonts w:ascii="Times New Roman" w:hAnsi="Times New Roman"/>
          <w:color w:val="000000"/>
          <w:kern w:val="24"/>
        </w:rPr>
        <w:t xml:space="preserve">A focus on outcomes even may lead politicians to </w:t>
      </w:r>
      <w:r w:rsidRPr="003726AC">
        <w:rPr>
          <w:rFonts w:ascii="Times New Roman" w:hAnsi="Times New Roman"/>
          <w:i/>
          <w:iCs/>
          <w:color w:val="000000"/>
          <w:kern w:val="24"/>
        </w:rPr>
        <w:t xml:space="preserve">not </w:t>
      </w:r>
      <w:r w:rsidRPr="00882722">
        <w:rPr>
          <w:rFonts w:ascii="Times New Roman" w:hAnsi="Times New Roman"/>
          <w:color w:val="000000"/>
          <w:kern w:val="24"/>
        </w:rPr>
        <w:t xml:space="preserve">represent policy preferences that will produce results that people </w:t>
      </w:r>
      <w:r>
        <w:rPr>
          <w:rFonts w:ascii="Times New Roman" w:hAnsi="Times New Roman"/>
          <w:color w:val="000000"/>
          <w:kern w:val="24"/>
        </w:rPr>
        <w:t xml:space="preserve">do not </w:t>
      </w:r>
      <w:r w:rsidRPr="00882722">
        <w:rPr>
          <w:rFonts w:ascii="Times New Roman" w:hAnsi="Times New Roman"/>
          <w:color w:val="000000"/>
          <w:kern w:val="24"/>
        </w:rPr>
        <w:t xml:space="preserve">want (Stokes 2001).  </w:t>
      </w:r>
    </w:p>
  </w:footnote>
  <w:footnote w:id="4">
    <w:p w14:paraId="4524EABD" w14:textId="77777777" w:rsidR="0089524B" w:rsidRPr="007441A8" w:rsidRDefault="0089524B" w:rsidP="0089524B">
      <w:pPr>
        <w:pStyle w:val="FootnoteText"/>
        <w:rPr>
          <w:rFonts w:ascii="Times New Roman" w:hAnsi="Times New Roman"/>
        </w:rPr>
      </w:pPr>
      <w:r w:rsidRPr="007441A8">
        <w:rPr>
          <w:rStyle w:val="FootnoteReference"/>
          <w:rFonts w:ascii="Times New Roman" w:hAnsi="Times New Roman"/>
          <w:vertAlign w:val="superscript"/>
        </w:rPr>
        <w:footnoteRef/>
      </w:r>
      <w:r w:rsidRPr="007441A8">
        <w:rPr>
          <w:rFonts w:ascii="Times New Roman" w:hAnsi="Times New Roman"/>
        </w:rPr>
        <w:t xml:space="preserve"> This underscores the importance of the distinction between priorities and policies.  </w:t>
      </w:r>
    </w:p>
  </w:footnote>
  <w:footnote w:id="5">
    <w:p w14:paraId="344E201D" w14:textId="77777777" w:rsidR="0089524B" w:rsidRPr="003726AC" w:rsidRDefault="0089524B" w:rsidP="0089524B">
      <w:pPr>
        <w:pStyle w:val="FootnoteText"/>
        <w:rPr>
          <w:rFonts w:ascii="Times New Roman" w:hAnsi="Times New Roman"/>
        </w:rPr>
      </w:pPr>
      <w:r w:rsidRPr="003726AC">
        <w:rPr>
          <w:rStyle w:val="FootnoteReference"/>
          <w:rFonts w:ascii="Times New Roman" w:hAnsi="Times New Roman"/>
          <w:vertAlign w:val="superscript"/>
        </w:rPr>
        <w:footnoteRef/>
      </w:r>
      <w:r w:rsidRPr="003726AC">
        <w:rPr>
          <w:rFonts w:ascii="Times New Roman" w:hAnsi="Times New Roman"/>
        </w:rPr>
        <w:t xml:space="preserve"> </w:t>
      </w:r>
      <w:r w:rsidRPr="003726AC">
        <w:rPr>
          <w:rFonts w:ascii="Times New Roman" w:hAnsi="Times New Roman"/>
          <w:color w:val="000000"/>
          <w:kern w:val="24"/>
        </w:rPr>
        <w:t>Where outcomes matter, ownership may be a potential complicating force, as some politicians and parties are seen by voters as best able to deliver what people want (</w:t>
      </w:r>
      <w:proofErr w:type="spellStart"/>
      <w:r w:rsidRPr="003726AC">
        <w:rPr>
          <w:rFonts w:ascii="Times New Roman" w:hAnsi="Times New Roman"/>
          <w:color w:val="000000"/>
          <w:kern w:val="24"/>
        </w:rPr>
        <w:t>Petrocik</w:t>
      </w:r>
      <w:proofErr w:type="spellEnd"/>
      <w:r w:rsidRPr="003726AC">
        <w:rPr>
          <w:rFonts w:ascii="Times New Roman" w:hAnsi="Times New Roman"/>
          <w:color w:val="000000"/>
          <w:kern w:val="24"/>
        </w:rPr>
        <w:t xml:space="preserve"> 1996; Egan 2013)</w:t>
      </w:r>
      <w:r>
        <w:rPr>
          <w:rFonts w:ascii="Times New Roman" w:hAnsi="Times New Roman"/>
          <w:color w:val="000000"/>
          <w:kern w:val="24"/>
        </w:rPr>
        <w:t xml:space="preserve">. </w:t>
      </w:r>
    </w:p>
  </w:footnote>
  <w:footnote w:id="6">
    <w:p w14:paraId="3432CF01" w14:textId="77777777" w:rsidR="0089524B" w:rsidRPr="00917235" w:rsidRDefault="0089524B" w:rsidP="0089524B">
      <w:pPr>
        <w:pStyle w:val="FootnoteText"/>
        <w:rPr>
          <w:rFonts w:ascii="Times New Roman" w:hAnsi="Times New Roman"/>
        </w:rPr>
      </w:pPr>
      <w:r w:rsidRPr="00917235">
        <w:rPr>
          <w:rStyle w:val="FootnoteReference"/>
          <w:rFonts w:ascii="Times New Roman" w:hAnsi="Times New Roman"/>
          <w:vertAlign w:val="superscript"/>
        </w:rPr>
        <w:footnoteRef/>
      </w:r>
      <w:r w:rsidRPr="00917235">
        <w:rPr>
          <w:rFonts w:ascii="Times New Roman" w:hAnsi="Times New Roman"/>
        </w:rPr>
        <w:t xml:space="preserve"> It may be that </w:t>
      </w:r>
      <w:r>
        <w:rPr>
          <w:rFonts w:ascii="Times New Roman" w:hAnsi="Times New Roman"/>
        </w:rPr>
        <w:t xml:space="preserve">certain </w:t>
      </w:r>
      <w:r w:rsidRPr="00917235">
        <w:rPr>
          <w:rFonts w:ascii="Times New Roman" w:hAnsi="Times New Roman"/>
        </w:rPr>
        <w:t xml:space="preserve">political parties provide representation of the poor because of the preferences of </w:t>
      </w:r>
      <w:r>
        <w:rPr>
          <w:rFonts w:ascii="Times New Roman" w:hAnsi="Times New Roman"/>
        </w:rPr>
        <w:t xml:space="preserve">better-off </w:t>
      </w:r>
      <w:r w:rsidRPr="00917235">
        <w:rPr>
          <w:rFonts w:ascii="Times New Roman" w:hAnsi="Times New Roman"/>
        </w:rPr>
        <w:t xml:space="preserve">co-partisans.  </w:t>
      </w:r>
    </w:p>
  </w:footnote>
  <w:footnote w:id="7">
    <w:p w14:paraId="1C3C245E" w14:textId="77777777" w:rsidR="0089524B" w:rsidRPr="00472FF3" w:rsidRDefault="0089524B" w:rsidP="0089524B">
      <w:pPr>
        <w:pStyle w:val="FootnoteText"/>
        <w:rPr>
          <w:rFonts w:ascii="Times New Roman" w:hAnsi="Times New Roman"/>
        </w:rPr>
      </w:pPr>
      <w:r w:rsidRPr="00472FF3">
        <w:rPr>
          <w:rStyle w:val="FootnoteReference"/>
          <w:rFonts w:ascii="Times New Roman" w:hAnsi="Times New Roman"/>
          <w:vertAlign w:val="superscript"/>
        </w:rPr>
        <w:footnoteRef/>
      </w:r>
      <w:r w:rsidRPr="00472FF3">
        <w:rPr>
          <w:rFonts w:ascii="Times New Roman" w:hAnsi="Times New Roman"/>
        </w:rPr>
        <w:t xml:space="preserve"> </w:t>
      </w:r>
      <w:r w:rsidRPr="00472FF3">
        <w:rPr>
          <w:rFonts w:ascii="Times New Roman" w:hAnsi="Times New Roman"/>
          <w:color w:val="000000"/>
          <w:kern w:val="24"/>
        </w:rPr>
        <w:t xml:space="preserve">Also </w:t>
      </w:r>
      <w:r>
        <w:rPr>
          <w:rFonts w:ascii="Times New Roman" w:hAnsi="Times New Roman"/>
          <w:color w:val="000000"/>
          <w:kern w:val="24"/>
        </w:rPr>
        <w:t xml:space="preserve">see </w:t>
      </w:r>
      <w:r w:rsidRPr="00472FF3">
        <w:rPr>
          <w:rFonts w:ascii="Times New Roman" w:hAnsi="Times New Roman"/>
          <w:color w:val="000000"/>
          <w:kern w:val="24"/>
        </w:rPr>
        <w:t>Gilens and Page (2014).</w:t>
      </w:r>
      <w:r w:rsidRPr="00472FF3">
        <w:rPr>
          <w:rFonts w:ascii="Times New Roman" w:hAnsi="Times New Roman"/>
        </w:rPr>
        <w:t xml:space="preserve">  </w:t>
      </w:r>
    </w:p>
  </w:footnote>
  <w:footnote w:id="8">
    <w:p w14:paraId="4A4BFD2B" w14:textId="77777777" w:rsidR="0089524B" w:rsidRPr="00E917DB" w:rsidRDefault="0089524B" w:rsidP="0089524B">
      <w:pPr>
        <w:pStyle w:val="FootnoteText"/>
        <w:rPr>
          <w:rFonts w:ascii="Times New Roman" w:hAnsi="Times New Roman"/>
        </w:rPr>
      </w:pPr>
      <w:r w:rsidRPr="00E917DB">
        <w:rPr>
          <w:rStyle w:val="FootnoteReference"/>
          <w:rFonts w:ascii="Times New Roman" w:hAnsi="Times New Roman"/>
          <w:vertAlign w:val="superscript"/>
        </w:rPr>
        <w:footnoteRef/>
      </w:r>
      <w:r w:rsidRPr="00E917DB">
        <w:rPr>
          <w:rFonts w:ascii="Times New Roman" w:hAnsi="Times New Roman"/>
        </w:rPr>
        <w:t xml:space="preserve"> The average gap is larger where</w:t>
      </w:r>
      <w:r w:rsidRPr="00E917DB">
        <w:rPr>
          <w:rFonts w:ascii="Times New Roman" w:hAnsi="Times New Roman"/>
          <w:color w:val="000000"/>
          <w:kern w:val="24"/>
        </w:rPr>
        <w:t xml:space="preserve"> majorities of the groups disagree, just about 11 points.   </w:t>
      </w:r>
    </w:p>
  </w:footnote>
  <w:footnote w:id="9">
    <w:p w14:paraId="603C3E59" w14:textId="77777777" w:rsidR="0089524B" w:rsidRPr="00F76095" w:rsidRDefault="0089524B" w:rsidP="0089524B">
      <w:pPr>
        <w:pStyle w:val="FootnoteText"/>
        <w:rPr>
          <w:rFonts w:ascii="Times New Roman" w:hAnsi="Times New Roman"/>
        </w:rPr>
      </w:pPr>
      <w:r w:rsidRPr="00F76095">
        <w:rPr>
          <w:rStyle w:val="FootnoteReference"/>
          <w:rFonts w:ascii="Times New Roman" w:hAnsi="Times New Roman"/>
          <w:vertAlign w:val="superscript"/>
        </w:rPr>
        <w:footnoteRef/>
      </w:r>
      <w:r w:rsidRPr="00F76095">
        <w:rPr>
          <w:rFonts w:ascii="Times New Roman" w:hAnsi="Times New Roman"/>
          <w:vertAlign w:val="superscript"/>
        </w:rPr>
        <w:t xml:space="preserve"> </w:t>
      </w:r>
      <w:r w:rsidRPr="00F76095">
        <w:rPr>
          <w:rFonts w:ascii="Times New Roman" w:hAnsi="Times New Roman"/>
          <w:color w:val="000000"/>
          <w:kern w:val="24"/>
        </w:rPr>
        <w:t xml:space="preserve">Branham, et al </w:t>
      </w:r>
      <w:r>
        <w:rPr>
          <w:rFonts w:ascii="Times New Roman" w:hAnsi="Times New Roman"/>
          <w:color w:val="000000"/>
          <w:kern w:val="24"/>
        </w:rPr>
        <w:t xml:space="preserve">(2017) </w:t>
      </w:r>
      <w:r w:rsidRPr="00F76095">
        <w:rPr>
          <w:rFonts w:ascii="Times New Roman" w:hAnsi="Times New Roman"/>
          <w:color w:val="000000"/>
          <w:kern w:val="24"/>
        </w:rPr>
        <w:t xml:space="preserve">also find that the poor fair slightly worse, </w:t>
      </w:r>
      <w:r>
        <w:rPr>
          <w:rFonts w:ascii="Times New Roman" w:hAnsi="Times New Roman"/>
          <w:color w:val="000000"/>
          <w:kern w:val="24"/>
        </w:rPr>
        <w:t>getting policy change they support</w:t>
      </w:r>
      <w:r w:rsidRPr="00F76095">
        <w:rPr>
          <w:rFonts w:ascii="Times New Roman" w:hAnsi="Times New Roman"/>
          <w:color w:val="000000"/>
          <w:kern w:val="24"/>
        </w:rPr>
        <w:t xml:space="preserve"> only 19% of the time when opposed by the rich </w:t>
      </w:r>
      <w:r>
        <w:rPr>
          <w:rFonts w:ascii="Times New Roman" w:hAnsi="Times New Roman"/>
          <w:color w:val="000000"/>
          <w:kern w:val="24"/>
        </w:rPr>
        <w:t>(</w:t>
      </w:r>
      <w:r w:rsidRPr="00F76095">
        <w:rPr>
          <w:rFonts w:ascii="Times New Roman" w:hAnsi="Times New Roman"/>
          <w:color w:val="000000"/>
          <w:kern w:val="24"/>
        </w:rPr>
        <w:t>and middl</w:t>
      </w:r>
      <w:r>
        <w:rPr>
          <w:rFonts w:ascii="Times New Roman" w:hAnsi="Times New Roman"/>
          <w:color w:val="000000"/>
          <w:kern w:val="24"/>
        </w:rPr>
        <w:t>e)</w:t>
      </w:r>
      <w:r w:rsidRPr="00F76095">
        <w:rPr>
          <w:rFonts w:ascii="Times New Roman" w:hAnsi="Times New Roman"/>
          <w:color w:val="000000"/>
          <w:kern w:val="24"/>
        </w:rPr>
        <w:t xml:space="preserve">.  </w:t>
      </w:r>
    </w:p>
  </w:footnote>
  <w:footnote w:id="10">
    <w:p w14:paraId="0230D379" w14:textId="77777777" w:rsidR="0089524B" w:rsidRPr="00C63131" w:rsidRDefault="0089524B" w:rsidP="0089524B">
      <w:pPr>
        <w:pStyle w:val="FootnoteText"/>
        <w:rPr>
          <w:rFonts w:ascii="Times New Roman" w:hAnsi="Times New Roman"/>
        </w:rPr>
      </w:pPr>
      <w:r w:rsidRPr="00C63131">
        <w:rPr>
          <w:rStyle w:val="FootnoteReference"/>
          <w:rFonts w:ascii="Times New Roman" w:hAnsi="Times New Roman"/>
          <w:vertAlign w:val="superscript"/>
        </w:rPr>
        <w:footnoteRef/>
      </w:r>
      <w:r w:rsidRPr="00C63131">
        <w:rPr>
          <w:rFonts w:ascii="Times New Roman" w:hAnsi="Times New Roman"/>
        </w:rPr>
        <w:t xml:space="preserve"> But see Witko, et </w:t>
      </w:r>
      <w:proofErr w:type="spellStart"/>
      <w:r w:rsidRPr="00C63131">
        <w:rPr>
          <w:rFonts w:ascii="Times New Roman" w:hAnsi="Times New Roman"/>
        </w:rPr>
        <w:t>al’s</w:t>
      </w:r>
      <w:proofErr w:type="spellEnd"/>
      <w:r>
        <w:rPr>
          <w:rFonts w:ascii="Times New Roman" w:hAnsi="Times New Roman"/>
        </w:rPr>
        <w:t xml:space="preserve"> (2021)</w:t>
      </w:r>
      <w:r w:rsidRPr="00C63131">
        <w:rPr>
          <w:rFonts w:ascii="Times New Roman" w:hAnsi="Times New Roman"/>
        </w:rPr>
        <w:t xml:space="preserve"> analysis of agenda-setting in the U</w:t>
      </w:r>
      <w:r>
        <w:rPr>
          <w:rFonts w:ascii="Times New Roman" w:hAnsi="Times New Roman"/>
        </w:rPr>
        <w:t>.</w:t>
      </w:r>
      <w:r w:rsidRPr="00C63131">
        <w:rPr>
          <w:rFonts w:ascii="Times New Roman" w:hAnsi="Times New Roman"/>
        </w:rPr>
        <w:t>S.</w:t>
      </w:r>
    </w:p>
  </w:footnote>
  <w:footnote w:id="11">
    <w:p w14:paraId="262D7517" w14:textId="77777777" w:rsidR="0089524B" w:rsidRPr="00B547D5" w:rsidRDefault="0089524B" w:rsidP="0089524B">
      <w:pPr>
        <w:pStyle w:val="FootnoteText"/>
        <w:rPr>
          <w:rFonts w:ascii="Times New Roman" w:hAnsi="Times New Roman"/>
        </w:rPr>
      </w:pPr>
      <w:r w:rsidRPr="00B547D5">
        <w:rPr>
          <w:rStyle w:val="FootnoteReference"/>
          <w:rFonts w:ascii="Times New Roman" w:hAnsi="Times New Roman"/>
          <w:vertAlign w:val="superscript"/>
        </w:rPr>
        <w:footnoteRef/>
      </w:r>
      <w:r w:rsidRPr="00B547D5">
        <w:rPr>
          <w:rFonts w:ascii="Times New Roman" w:hAnsi="Times New Roman"/>
          <w:vertAlign w:val="superscript"/>
        </w:rPr>
        <w:t xml:space="preserve"> </w:t>
      </w:r>
      <w:r w:rsidRPr="00B547D5">
        <w:rPr>
          <w:rFonts w:ascii="Times New Roman" w:hAnsi="Times New Roman"/>
          <w:color w:val="000000"/>
          <w:kern w:val="24"/>
        </w:rPr>
        <w:t>This is what we might expect based on the thermostatic model (Soroka and Wlezien 2010; 2022), but the tendency may be broader</w:t>
      </w:r>
      <w:r>
        <w:rPr>
          <w:rFonts w:ascii="Times New Roman" w:hAnsi="Times New Roman"/>
          <w:color w:val="000000"/>
          <w:kern w:val="24"/>
        </w:rPr>
        <w:t xml:space="preserve"> (also see Hertel-Fernandez, et al 2019)</w:t>
      </w:r>
      <w:r w:rsidRPr="00B547D5">
        <w:rPr>
          <w:rFonts w:ascii="Times New Roman" w:hAnsi="Times New Roman"/>
          <w:color w:val="000000"/>
          <w:kern w:val="24"/>
        </w:rPr>
        <w:t xml:space="preserve">.  </w:t>
      </w:r>
    </w:p>
  </w:footnote>
  <w:footnote w:id="12">
    <w:p w14:paraId="38F1CCAC" w14:textId="77777777" w:rsidR="0089524B" w:rsidRPr="00C8664D" w:rsidRDefault="0089524B" w:rsidP="0089524B">
      <w:pPr>
        <w:pStyle w:val="FootnoteText"/>
        <w:rPr>
          <w:rFonts w:ascii="Times New Roman" w:hAnsi="Times New Roman"/>
        </w:rPr>
      </w:pPr>
      <w:r w:rsidRPr="00C8664D">
        <w:rPr>
          <w:rStyle w:val="FootnoteReference"/>
          <w:rFonts w:ascii="Times New Roman" w:hAnsi="Times New Roman"/>
          <w:vertAlign w:val="superscript"/>
        </w:rPr>
        <w:footnoteRef/>
      </w:r>
      <w:r w:rsidRPr="00C8664D">
        <w:rPr>
          <w:rFonts w:ascii="Times New Roman" w:hAnsi="Times New Roman"/>
        </w:rPr>
        <w:t xml:space="preserve"> That said, partisans often are more similar than they are different</w:t>
      </w:r>
      <w:r>
        <w:rPr>
          <w:rFonts w:ascii="Times New Roman" w:hAnsi="Times New Roman"/>
        </w:rPr>
        <w:t xml:space="preserve"> (also see Fowler and Howell 2023)</w:t>
      </w:r>
      <w:r w:rsidRPr="00C8664D">
        <w:rPr>
          <w:rFonts w:ascii="Times New Roman" w:hAnsi="Times New Roman"/>
        </w:rPr>
        <w:t xml:space="preserve">, and where they do differ there is striking parallelism over time (Page and Shapiro 1992; Soroka and Wlezien </w:t>
      </w:r>
      <w:r>
        <w:rPr>
          <w:rFonts w:ascii="Times New Roman" w:hAnsi="Times New Roman"/>
        </w:rPr>
        <w:t>2022</w:t>
      </w:r>
      <w:r w:rsidRPr="00C8664D">
        <w:rPr>
          <w:rFonts w:ascii="Times New Roman" w:hAnsi="Times New Roman"/>
        </w:rPr>
        <w:t xml:space="preserve">; </w:t>
      </w:r>
      <w:r>
        <w:rPr>
          <w:rFonts w:ascii="Times New Roman" w:hAnsi="Times New Roman"/>
        </w:rPr>
        <w:t xml:space="preserve">also see Wlezien and Soroka </w:t>
      </w:r>
      <w:r w:rsidRPr="00C8664D">
        <w:rPr>
          <w:rFonts w:ascii="Times New Roman" w:hAnsi="Times New Roman"/>
        </w:rPr>
        <w:t>20</w:t>
      </w:r>
      <w:r>
        <w:rPr>
          <w:rFonts w:ascii="Times New Roman" w:hAnsi="Times New Roman"/>
        </w:rPr>
        <w:t>11</w:t>
      </w:r>
      <w:r w:rsidRPr="00C8664D">
        <w:rPr>
          <w:rFonts w:ascii="Times New Roman" w:hAnsi="Times New Roman"/>
        </w:rPr>
        <w:t xml:space="preserve">).  </w:t>
      </w:r>
    </w:p>
  </w:footnote>
  <w:footnote w:id="13">
    <w:p w14:paraId="2F45C0BF" w14:textId="77777777" w:rsidR="0089524B" w:rsidRPr="00696979" w:rsidRDefault="0089524B" w:rsidP="0089524B">
      <w:pPr>
        <w:pStyle w:val="FootnoteText"/>
        <w:rPr>
          <w:rFonts w:ascii="Times New Roman" w:hAnsi="Times New Roman"/>
        </w:rPr>
      </w:pPr>
      <w:r w:rsidRPr="00696979">
        <w:rPr>
          <w:rStyle w:val="FootnoteReference"/>
          <w:rFonts w:ascii="Times New Roman" w:hAnsi="Times New Roman"/>
          <w:vertAlign w:val="superscript"/>
        </w:rPr>
        <w:footnoteRef/>
      </w:r>
      <w:r w:rsidRPr="00696979">
        <w:rPr>
          <w:rFonts w:ascii="Times New Roman" w:hAnsi="Times New Roman"/>
        </w:rPr>
        <w:t xml:space="preserve"> This also can complicate dynamic responsiveness to opinion change that occurs in between elections, as we have seen.</w:t>
      </w:r>
    </w:p>
  </w:footnote>
  <w:footnote w:id="14">
    <w:p w14:paraId="22002632" w14:textId="77777777" w:rsidR="0089524B" w:rsidRPr="00495FA5" w:rsidRDefault="0089524B" w:rsidP="0089524B">
      <w:pPr>
        <w:pStyle w:val="FootnoteText"/>
        <w:rPr>
          <w:rFonts w:ascii="Times New Roman" w:hAnsi="Times New Roman"/>
        </w:rPr>
      </w:pPr>
      <w:r w:rsidRPr="00495FA5">
        <w:rPr>
          <w:rStyle w:val="FootnoteReference"/>
          <w:rFonts w:ascii="Times New Roman" w:hAnsi="Times New Roman"/>
          <w:vertAlign w:val="superscript"/>
        </w:rPr>
        <w:footnoteRef/>
      </w:r>
      <w:r w:rsidRPr="00495FA5">
        <w:rPr>
          <w:rFonts w:ascii="Times New Roman" w:hAnsi="Times New Roman"/>
        </w:rPr>
        <w:t xml:space="preserve"> That said, governments have undertaken substantial policy action even with party polarization and divided government.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C1DB2"/>
    <w:multiLevelType w:val="multilevel"/>
    <w:tmpl w:val="D02000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90C54"/>
    <w:multiLevelType w:val="multilevel"/>
    <w:tmpl w:val="4EAA3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B96456"/>
    <w:multiLevelType w:val="hybridMultilevel"/>
    <w:tmpl w:val="5380DE82"/>
    <w:lvl w:ilvl="0" w:tplc="ACB0511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8217A7"/>
    <w:multiLevelType w:val="multilevel"/>
    <w:tmpl w:val="3600FA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4C402A"/>
    <w:multiLevelType w:val="multilevel"/>
    <w:tmpl w:val="7764B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4D16C5"/>
    <w:multiLevelType w:val="hybridMultilevel"/>
    <w:tmpl w:val="21F06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77295A"/>
    <w:multiLevelType w:val="hybridMultilevel"/>
    <w:tmpl w:val="632030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1E201A"/>
    <w:multiLevelType w:val="hybridMultilevel"/>
    <w:tmpl w:val="ADDE9E42"/>
    <w:lvl w:ilvl="0" w:tplc="2472AB9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C0568B"/>
    <w:multiLevelType w:val="multilevel"/>
    <w:tmpl w:val="9AE4CC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8B4714"/>
    <w:multiLevelType w:val="hybridMultilevel"/>
    <w:tmpl w:val="0A98CFAC"/>
    <w:lvl w:ilvl="0" w:tplc="A69AEE62">
      <w:start w:val="2"/>
      <w:numFmt w:val="decimal"/>
      <w:lvlText w:val="(%1)"/>
      <w:lvlJc w:val="left"/>
      <w:pPr>
        <w:tabs>
          <w:tab w:val="num" w:pos="720"/>
        </w:tabs>
        <w:ind w:left="720" w:hanging="360"/>
      </w:pPr>
    </w:lvl>
    <w:lvl w:ilvl="1" w:tplc="C3E00B6C" w:tentative="1">
      <w:start w:val="1"/>
      <w:numFmt w:val="decimal"/>
      <w:lvlText w:val="(%2)"/>
      <w:lvlJc w:val="left"/>
      <w:pPr>
        <w:tabs>
          <w:tab w:val="num" w:pos="1440"/>
        </w:tabs>
        <w:ind w:left="1440" w:hanging="360"/>
      </w:pPr>
    </w:lvl>
    <w:lvl w:ilvl="2" w:tplc="B05687CE" w:tentative="1">
      <w:start w:val="1"/>
      <w:numFmt w:val="decimal"/>
      <w:lvlText w:val="(%3)"/>
      <w:lvlJc w:val="left"/>
      <w:pPr>
        <w:tabs>
          <w:tab w:val="num" w:pos="2160"/>
        </w:tabs>
        <w:ind w:left="2160" w:hanging="360"/>
      </w:pPr>
    </w:lvl>
    <w:lvl w:ilvl="3" w:tplc="529CC37A" w:tentative="1">
      <w:start w:val="1"/>
      <w:numFmt w:val="decimal"/>
      <w:lvlText w:val="(%4)"/>
      <w:lvlJc w:val="left"/>
      <w:pPr>
        <w:tabs>
          <w:tab w:val="num" w:pos="2880"/>
        </w:tabs>
        <w:ind w:left="2880" w:hanging="360"/>
      </w:pPr>
    </w:lvl>
    <w:lvl w:ilvl="4" w:tplc="D8BC5B96" w:tentative="1">
      <w:start w:val="1"/>
      <w:numFmt w:val="decimal"/>
      <w:lvlText w:val="(%5)"/>
      <w:lvlJc w:val="left"/>
      <w:pPr>
        <w:tabs>
          <w:tab w:val="num" w:pos="3600"/>
        </w:tabs>
        <w:ind w:left="3600" w:hanging="360"/>
      </w:pPr>
    </w:lvl>
    <w:lvl w:ilvl="5" w:tplc="1054D542" w:tentative="1">
      <w:start w:val="1"/>
      <w:numFmt w:val="decimal"/>
      <w:lvlText w:val="(%6)"/>
      <w:lvlJc w:val="left"/>
      <w:pPr>
        <w:tabs>
          <w:tab w:val="num" w:pos="4320"/>
        </w:tabs>
        <w:ind w:left="4320" w:hanging="360"/>
      </w:pPr>
    </w:lvl>
    <w:lvl w:ilvl="6" w:tplc="E6B44B78" w:tentative="1">
      <w:start w:val="1"/>
      <w:numFmt w:val="decimal"/>
      <w:lvlText w:val="(%7)"/>
      <w:lvlJc w:val="left"/>
      <w:pPr>
        <w:tabs>
          <w:tab w:val="num" w:pos="5040"/>
        </w:tabs>
        <w:ind w:left="5040" w:hanging="360"/>
      </w:pPr>
    </w:lvl>
    <w:lvl w:ilvl="7" w:tplc="8C1EF92E" w:tentative="1">
      <w:start w:val="1"/>
      <w:numFmt w:val="decimal"/>
      <w:lvlText w:val="(%8)"/>
      <w:lvlJc w:val="left"/>
      <w:pPr>
        <w:tabs>
          <w:tab w:val="num" w:pos="5760"/>
        </w:tabs>
        <w:ind w:left="5760" w:hanging="360"/>
      </w:pPr>
    </w:lvl>
    <w:lvl w:ilvl="8" w:tplc="DE7E232A" w:tentative="1">
      <w:start w:val="1"/>
      <w:numFmt w:val="decimal"/>
      <w:lvlText w:val="(%9)"/>
      <w:lvlJc w:val="left"/>
      <w:pPr>
        <w:tabs>
          <w:tab w:val="num" w:pos="6480"/>
        </w:tabs>
        <w:ind w:left="6480" w:hanging="360"/>
      </w:pPr>
    </w:lvl>
  </w:abstractNum>
  <w:abstractNum w:abstractNumId="10" w15:restartNumberingAfterBreak="0">
    <w:nsid w:val="53193AA3"/>
    <w:multiLevelType w:val="multilevel"/>
    <w:tmpl w:val="57E45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3348A5"/>
    <w:multiLevelType w:val="hybridMultilevel"/>
    <w:tmpl w:val="65F6EE94"/>
    <w:lvl w:ilvl="0" w:tplc="04090001">
      <w:start w:val="1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1B380A"/>
    <w:multiLevelType w:val="hybridMultilevel"/>
    <w:tmpl w:val="CEF07A80"/>
    <w:lvl w:ilvl="0" w:tplc="FBDE2D14">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117D88"/>
    <w:multiLevelType w:val="hybridMultilevel"/>
    <w:tmpl w:val="5E10ED74"/>
    <w:lvl w:ilvl="0" w:tplc="FEDC0564">
      <w:start w:val="1"/>
      <w:numFmt w:val="decimal"/>
      <w:lvlText w:val="(%1)"/>
      <w:lvlJc w:val="left"/>
      <w:pPr>
        <w:tabs>
          <w:tab w:val="num" w:pos="720"/>
        </w:tabs>
        <w:ind w:left="720" w:hanging="360"/>
      </w:pPr>
    </w:lvl>
    <w:lvl w:ilvl="1" w:tplc="1326DB88" w:tentative="1">
      <w:start w:val="1"/>
      <w:numFmt w:val="decimal"/>
      <w:lvlText w:val="(%2)"/>
      <w:lvlJc w:val="left"/>
      <w:pPr>
        <w:tabs>
          <w:tab w:val="num" w:pos="1440"/>
        </w:tabs>
        <w:ind w:left="1440" w:hanging="360"/>
      </w:pPr>
    </w:lvl>
    <w:lvl w:ilvl="2" w:tplc="A342B5CA" w:tentative="1">
      <w:start w:val="1"/>
      <w:numFmt w:val="decimal"/>
      <w:lvlText w:val="(%3)"/>
      <w:lvlJc w:val="left"/>
      <w:pPr>
        <w:tabs>
          <w:tab w:val="num" w:pos="2160"/>
        </w:tabs>
        <w:ind w:left="2160" w:hanging="360"/>
      </w:pPr>
    </w:lvl>
    <w:lvl w:ilvl="3" w:tplc="BC9A168E" w:tentative="1">
      <w:start w:val="1"/>
      <w:numFmt w:val="decimal"/>
      <w:lvlText w:val="(%4)"/>
      <w:lvlJc w:val="left"/>
      <w:pPr>
        <w:tabs>
          <w:tab w:val="num" w:pos="2880"/>
        </w:tabs>
        <w:ind w:left="2880" w:hanging="360"/>
      </w:pPr>
    </w:lvl>
    <w:lvl w:ilvl="4" w:tplc="A2065E1C" w:tentative="1">
      <w:start w:val="1"/>
      <w:numFmt w:val="decimal"/>
      <w:lvlText w:val="(%5)"/>
      <w:lvlJc w:val="left"/>
      <w:pPr>
        <w:tabs>
          <w:tab w:val="num" w:pos="3600"/>
        </w:tabs>
        <w:ind w:left="3600" w:hanging="360"/>
      </w:pPr>
    </w:lvl>
    <w:lvl w:ilvl="5" w:tplc="D69E2856" w:tentative="1">
      <w:start w:val="1"/>
      <w:numFmt w:val="decimal"/>
      <w:lvlText w:val="(%6)"/>
      <w:lvlJc w:val="left"/>
      <w:pPr>
        <w:tabs>
          <w:tab w:val="num" w:pos="4320"/>
        </w:tabs>
        <w:ind w:left="4320" w:hanging="360"/>
      </w:pPr>
    </w:lvl>
    <w:lvl w:ilvl="6" w:tplc="D9F4061C" w:tentative="1">
      <w:start w:val="1"/>
      <w:numFmt w:val="decimal"/>
      <w:lvlText w:val="(%7)"/>
      <w:lvlJc w:val="left"/>
      <w:pPr>
        <w:tabs>
          <w:tab w:val="num" w:pos="5040"/>
        </w:tabs>
        <w:ind w:left="5040" w:hanging="360"/>
      </w:pPr>
    </w:lvl>
    <w:lvl w:ilvl="7" w:tplc="A2645C2E" w:tentative="1">
      <w:start w:val="1"/>
      <w:numFmt w:val="decimal"/>
      <w:lvlText w:val="(%8)"/>
      <w:lvlJc w:val="left"/>
      <w:pPr>
        <w:tabs>
          <w:tab w:val="num" w:pos="5760"/>
        </w:tabs>
        <w:ind w:left="5760" w:hanging="360"/>
      </w:pPr>
    </w:lvl>
    <w:lvl w:ilvl="8" w:tplc="C430E73C" w:tentative="1">
      <w:start w:val="1"/>
      <w:numFmt w:val="decimal"/>
      <w:lvlText w:val="(%9)"/>
      <w:lvlJc w:val="left"/>
      <w:pPr>
        <w:tabs>
          <w:tab w:val="num" w:pos="6480"/>
        </w:tabs>
        <w:ind w:left="6480" w:hanging="360"/>
      </w:pPr>
    </w:lvl>
  </w:abstractNum>
  <w:abstractNum w:abstractNumId="14" w15:restartNumberingAfterBreak="0">
    <w:nsid w:val="73AD0781"/>
    <w:multiLevelType w:val="multilevel"/>
    <w:tmpl w:val="32A8E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3F0387"/>
    <w:multiLevelType w:val="multilevel"/>
    <w:tmpl w:val="08AE4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AE3F59"/>
    <w:multiLevelType w:val="hybridMultilevel"/>
    <w:tmpl w:val="32A4316E"/>
    <w:lvl w:ilvl="0" w:tplc="69E4AC6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7831688">
    <w:abstractNumId w:val="11"/>
  </w:num>
  <w:num w:numId="2" w16cid:durableId="1103186809">
    <w:abstractNumId w:val="5"/>
  </w:num>
  <w:num w:numId="3" w16cid:durableId="828441924">
    <w:abstractNumId w:val="2"/>
  </w:num>
  <w:num w:numId="4" w16cid:durableId="524290274">
    <w:abstractNumId w:val="6"/>
  </w:num>
  <w:num w:numId="5" w16cid:durableId="1755933345">
    <w:abstractNumId w:val="1"/>
    <w:lvlOverride w:ilvl="1">
      <w:lvl w:ilvl="1">
        <w:numFmt w:val="bullet"/>
        <w:lvlText w:val=""/>
        <w:lvlJc w:val="left"/>
        <w:pPr>
          <w:tabs>
            <w:tab w:val="num" w:pos="1440"/>
          </w:tabs>
          <w:ind w:left="1440" w:hanging="360"/>
        </w:pPr>
        <w:rPr>
          <w:rFonts w:ascii="Symbol" w:hAnsi="Symbol" w:hint="default"/>
          <w:sz w:val="20"/>
        </w:rPr>
      </w:lvl>
    </w:lvlOverride>
  </w:num>
  <w:num w:numId="6" w16cid:durableId="1693340616">
    <w:abstractNumId w:val="14"/>
    <w:lvlOverride w:ilvl="1">
      <w:lvl w:ilvl="1">
        <w:numFmt w:val="bullet"/>
        <w:lvlText w:val=""/>
        <w:lvlJc w:val="left"/>
        <w:pPr>
          <w:tabs>
            <w:tab w:val="num" w:pos="1440"/>
          </w:tabs>
          <w:ind w:left="1440" w:hanging="360"/>
        </w:pPr>
        <w:rPr>
          <w:rFonts w:ascii="Symbol" w:hAnsi="Symbol" w:hint="default"/>
          <w:sz w:val="20"/>
        </w:rPr>
      </w:lvl>
    </w:lvlOverride>
  </w:num>
  <w:num w:numId="7" w16cid:durableId="1583028067">
    <w:abstractNumId w:val="3"/>
    <w:lvlOverride w:ilvl="1">
      <w:lvl w:ilvl="1">
        <w:numFmt w:val="bullet"/>
        <w:lvlText w:val=""/>
        <w:lvlJc w:val="left"/>
        <w:pPr>
          <w:tabs>
            <w:tab w:val="num" w:pos="1440"/>
          </w:tabs>
          <w:ind w:left="1440" w:hanging="360"/>
        </w:pPr>
        <w:rPr>
          <w:rFonts w:ascii="Symbol" w:hAnsi="Symbol" w:hint="default"/>
          <w:sz w:val="20"/>
        </w:rPr>
      </w:lvl>
    </w:lvlOverride>
  </w:num>
  <w:num w:numId="8" w16cid:durableId="1595478386">
    <w:abstractNumId w:val="0"/>
    <w:lvlOverride w:ilvl="1">
      <w:lvl w:ilvl="1">
        <w:numFmt w:val="bullet"/>
        <w:lvlText w:val=""/>
        <w:lvlJc w:val="left"/>
        <w:pPr>
          <w:tabs>
            <w:tab w:val="num" w:pos="1440"/>
          </w:tabs>
          <w:ind w:left="1440" w:hanging="360"/>
        </w:pPr>
        <w:rPr>
          <w:rFonts w:ascii="Symbol" w:hAnsi="Symbol" w:hint="default"/>
          <w:sz w:val="20"/>
        </w:rPr>
      </w:lvl>
    </w:lvlOverride>
  </w:num>
  <w:num w:numId="9" w16cid:durableId="1662734557">
    <w:abstractNumId w:val="15"/>
    <w:lvlOverride w:ilvl="1">
      <w:lvl w:ilvl="1">
        <w:numFmt w:val="bullet"/>
        <w:lvlText w:val=""/>
        <w:lvlJc w:val="left"/>
        <w:pPr>
          <w:tabs>
            <w:tab w:val="num" w:pos="1440"/>
          </w:tabs>
          <w:ind w:left="1440" w:hanging="360"/>
        </w:pPr>
        <w:rPr>
          <w:rFonts w:ascii="Symbol" w:hAnsi="Symbol" w:hint="default"/>
          <w:sz w:val="20"/>
        </w:rPr>
      </w:lvl>
    </w:lvlOverride>
  </w:num>
  <w:num w:numId="10" w16cid:durableId="1941988983">
    <w:abstractNumId w:val="10"/>
    <w:lvlOverride w:ilvl="1">
      <w:lvl w:ilvl="1">
        <w:numFmt w:val="bullet"/>
        <w:lvlText w:val=""/>
        <w:lvlJc w:val="left"/>
        <w:pPr>
          <w:tabs>
            <w:tab w:val="num" w:pos="1440"/>
          </w:tabs>
          <w:ind w:left="1440" w:hanging="360"/>
        </w:pPr>
        <w:rPr>
          <w:rFonts w:ascii="Symbol" w:hAnsi="Symbol" w:hint="default"/>
          <w:sz w:val="20"/>
        </w:rPr>
      </w:lvl>
    </w:lvlOverride>
  </w:num>
  <w:num w:numId="11" w16cid:durableId="493302273">
    <w:abstractNumId w:val="8"/>
    <w:lvlOverride w:ilvl="1">
      <w:lvl w:ilvl="1">
        <w:numFmt w:val="bullet"/>
        <w:lvlText w:val=""/>
        <w:lvlJc w:val="left"/>
        <w:pPr>
          <w:tabs>
            <w:tab w:val="num" w:pos="1440"/>
          </w:tabs>
          <w:ind w:left="1440" w:hanging="360"/>
        </w:pPr>
        <w:rPr>
          <w:rFonts w:ascii="Symbol" w:hAnsi="Symbol" w:hint="default"/>
          <w:sz w:val="20"/>
        </w:rPr>
      </w:lvl>
    </w:lvlOverride>
  </w:num>
  <w:num w:numId="12" w16cid:durableId="127207472">
    <w:abstractNumId w:val="8"/>
  </w:num>
  <w:num w:numId="13" w16cid:durableId="932321986">
    <w:abstractNumId w:val="12"/>
  </w:num>
  <w:num w:numId="14" w16cid:durableId="1299724833">
    <w:abstractNumId w:val="16"/>
  </w:num>
  <w:num w:numId="15" w16cid:durableId="1177427890">
    <w:abstractNumId w:val="13"/>
  </w:num>
  <w:num w:numId="16" w16cid:durableId="432823172">
    <w:abstractNumId w:val="9"/>
  </w:num>
  <w:num w:numId="17" w16cid:durableId="829641157">
    <w:abstractNumId w:val="7"/>
  </w:num>
  <w:num w:numId="18" w16cid:durableId="8268694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74A"/>
    <w:rsid w:val="000009F7"/>
    <w:rsid w:val="00000A83"/>
    <w:rsid w:val="00000E73"/>
    <w:rsid w:val="00001171"/>
    <w:rsid w:val="000014B8"/>
    <w:rsid w:val="00001710"/>
    <w:rsid w:val="000026D1"/>
    <w:rsid w:val="0000294C"/>
    <w:rsid w:val="00003449"/>
    <w:rsid w:val="000038E9"/>
    <w:rsid w:val="00003DD4"/>
    <w:rsid w:val="00003DD6"/>
    <w:rsid w:val="0000441B"/>
    <w:rsid w:val="000048E7"/>
    <w:rsid w:val="00005ABF"/>
    <w:rsid w:val="00006CDC"/>
    <w:rsid w:val="00006EA8"/>
    <w:rsid w:val="0000713F"/>
    <w:rsid w:val="00007144"/>
    <w:rsid w:val="00007DCD"/>
    <w:rsid w:val="00007E3B"/>
    <w:rsid w:val="000104A8"/>
    <w:rsid w:val="00010546"/>
    <w:rsid w:val="00010591"/>
    <w:rsid w:val="00010A4F"/>
    <w:rsid w:val="00010B95"/>
    <w:rsid w:val="00010D43"/>
    <w:rsid w:val="00011481"/>
    <w:rsid w:val="00012B2F"/>
    <w:rsid w:val="0001304F"/>
    <w:rsid w:val="00013199"/>
    <w:rsid w:val="0001358A"/>
    <w:rsid w:val="00013C7D"/>
    <w:rsid w:val="00013E3E"/>
    <w:rsid w:val="00014872"/>
    <w:rsid w:val="000148BE"/>
    <w:rsid w:val="000150EC"/>
    <w:rsid w:val="0001548D"/>
    <w:rsid w:val="00015849"/>
    <w:rsid w:val="00015938"/>
    <w:rsid w:val="000166B7"/>
    <w:rsid w:val="00016BA0"/>
    <w:rsid w:val="0001707A"/>
    <w:rsid w:val="000171F5"/>
    <w:rsid w:val="00017418"/>
    <w:rsid w:val="00020349"/>
    <w:rsid w:val="000217F1"/>
    <w:rsid w:val="0002239E"/>
    <w:rsid w:val="000225BD"/>
    <w:rsid w:val="00022A26"/>
    <w:rsid w:val="0002380B"/>
    <w:rsid w:val="00024690"/>
    <w:rsid w:val="00024BBE"/>
    <w:rsid w:val="0002569B"/>
    <w:rsid w:val="000257E7"/>
    <w:rsid w:val="000267DB"/>
    <w:rsid w:val="0002766D"/>
    <w:rsid w:val="00027740"/>
    <w:rsid w:val="00027B3E"/>
    <w:rsid w:val="000303D4"/>
    <w:rsid w:val="0003049F"/>
    <w:rsid w:val="00030605"/>
    <w:rsid w:val="00030B99"/>
    <w:rsid w:val="00031AC7"/>
    <w:rsid w:val="00032413"/>
    <w:rsid w:val="00032EB7"/>
    <w:rsid w:val="000332B1"/>
    <w:rsid w:val="00034B43"/>
    <w:rsid w:val="00034E61"/>
    <w:rsid w:val="0003511E"/>
    <w:rsid w:val="0003650C"/>
    <w:rsid w:val="00036CE0"/>
    <w:rsid w:val="000376AB"/>
    <w:rsid w:val="00037970"/>
    <w:rsid w:val="00037B5A"/>
    <w:rsid w:val="0004033B"/>
    <w:rsid w:val="000406AD"/>
    <w:rsid w:val="00040EE6"/>
    <w:rsid w:val="0004167C"/>
    <w:rsid w:val="00041B2D"/>
    <w:rsid w:val="0004215A"/>
    <w:rsid w:val="000423D2"/>
    <w:rsid w:val="0004241F"/>
    <w:rsid w:val="000425E9"/>
    <w:rsid w:val="00042A7C"/>
    <w:rsid w:val="00044967"/>
    <w:rsid w:val="0004663D"/>
    <w:rsid w:val="00046C3A"/>
    <w:rsid w:val="00046FD8"/>
    <w:rsid w:val="000472FF"/>
    <w:rsid w:val="0004734D"/>
    <w:rsid w:val="000473D4"/>
    <w:rsid w:val="000509F5"/>
    <w:rsid w:val="00050B07"/>
    <w:rsid w:val="00050C95"/>
    <w:rsid w:val="00050D49"/>
    <w:rsid w:val="000517E5"/>
    <w:rsid w:val="000517FD"/>
    <w:rsid w:val="00052EF2"/>
    <w:rsid w:val="00054640"/>
    <w:rsid w:val="00054E5E"/>
    <w:rsid w:val="000551A9"/>
    <w:rsid w:val="00055A27"/>
    <w:rsid w:val="000561DD"/>
    <w:rsid w:val="00056F08"/>
    <w:rsid w:val="00056FD3"/>
    <w:rsid w:val="00056FE2"/>
    <w:rsid w:val="000602AD"/>
    <w:rsid w:val="00060486"/>
    <w:rsid w:val="00061872"/>
    <w:rsid w:val="00061CEA"/>
    <w:rsid w:val="0006250F"/>
    <w:rsid w:val="00062A34"/>
    <w:rsid w:val="0006303A"/>
    <w:rsid w:val="000646E1"/>
    <w:rsid w:val="000649E0"/>
    <w:rsid w:val="00064ACD"/>
    <w:rsid w:val="00064F1E"/>
    <w:rsid w:val="00065131"/>
    <w:rsid w:val="00065818"/>
    <w:rsid w:val="00066D49"/>
    <w:rsid w:val="00066D8C"/>
    <w:rsid w:val="00067803"/>
    <w:rsid w:val="000706B5"/>
    <w:rsid w:val="00070810"/>
    <w:rsid w:val="00070C79"/>
    <w:rsid w:val="00071767"/>
    <w:rsid w:val="00071EE0"/>
    <w:rsid w:val="00072ACB"/>
    <w:rsid w:val="00072B3C"/>
    <w:rsid w:val="0007386E"/>
    <w:rsid w:val="000744D5"/>
    <w:rsid w:val="00075AFF"/>
    <w:rsid w:val="00075F83"/>
    <w:rsid w:val="00077039"/>
    <w:rsid w:val="00077749"/>
    <w:rsid w:val="000777E9"/>
    <w:rsid w:val="000806FA"/>
    <w:rsid w:val="000808F9"/>
    <w:rsid w:val="00081685"/>
    <w:rsid w:val="000825AC"/>
    <w:rsid w:val="00082793"/>
    <w:rsid w:val="000827BF"/>
    <w:rsid w:val="00082AF3"/>
    <w:rsid w:val="00082B44"/>
    <w:rsid w:val="00083A58"/>
    <w:rsid w:val="00083EE4"/>
    <w:rsid w:val="00084B0E"/>
    <w:rsid w:val="00085669"/>
    <w:rsid w:val="0008583B"/>
    <w:rsid w:val="00086CB8"/>
    <w:rsid w:val="000871AE"/>
    <w:rsid w:val="0008745A"/>
    <w:rsid w:val="0009000A"/>
    <w:rsid w:val="00090D8B"/>
    <w:rsid w:val="00091479"/>
    <w:rsid w:val="0009284F"/>
    <w:rsid w:val="00092ADA"/>
    <w:rsid w:val="00093708"/>
    <w:rsid w:val="000939BE"/>
    <w:rsid w:val="00094269"/>
    <w:rsid w:val="00094425"/>
    <w:rsid w:val="0009463C"/>
    <w:rsid w:val="00094FF7"/>
    <w:rsid w:val="0009514D"/>
    <w:rsid w:val="00096D28"/>
    <w:rsid w:val="00097350"/>
    <w:rsid w:val="00097F32"/>
    <w:rsid w:val="000A0129"/>
    <w:rsid w:val="000A0639"/>
    <w:rsid w:val="000A1041"/>
    <w:rsid w:val="000A1E62"/>
    <w:rsid w:val="000A207B"/>
    <w:rsid w:val="000A22C8"/>
    <w:rsid w:val="000A3091"/>
    <w:rsid w:val="000A37B2"/>
    <w:rsid w:val="000A3D4D"/>
    <w:rsid w:val="000A49A4"/>
    <w:rsid w:val="000A5D2D"/>
    <w:rsid w:val="000A674F"/>
    <w:rsid w:val="000A682E"/>
    <w:rsid w:val="000A6B10"/>
    <w:rsid w:val="000A76FB"/>
    <w:rsid w:val="000A79F3"/>
    <w:rsid w:val="000A7E11"/>
    <w:rsid w:val="000B0094"/>
    <w:rsid w:val="000B0AFD"/>
    <w:rsid w:val="000B2154"/>
    <w:rsid w:val="000B31A5"/>
    <w:rsid w:val="000B370B"/>
    <w:rsid w:val="000B3C24"/>
    <w:rsid w:val="000B4407"/>
    <w:rsid w:val="000B4CA3"/>
    <w:rsid w:val="000B50B5"/>
    <w:rsid w:val="000B51CE"/>
    <w:rsid w:val="000B528D"/>
    <w:rsid w:val="000B60E8"/>
    <w:rsid w:val="000B622A"/>
    <w:rsid w:val="000B7C73"/>
    <w:rsid w:val="000C0C7D"/>
    <w:rsid w:val="000C0C96"/>
    <w:rsid w:val="000C1636"/>
    <w:rsid w:val="000C191F"/>
    <w:rsid w:val="000C1971"/>
    <w:rsid w:val="000C1BC3"/>
    <w:rsid w:val="000C21B0"/>
    <w:rsid w:val="000C3B45"/>
    <w:rsid w:val="000C3CE2"/>
    <w:rsid w:val="000C3E1B"/>
    <w:rsid w:val="000C4280"/>
    <w:rsid w:val="000C4727"/>
    <w:rsid w:val="000C4E0E"/>
    <w:rsid w:val="000C525C"/>
    <w:rsid w:val="000C5BF8"/>
    <w:rsid w:val="000C5E47"/>
    <w:rsid w:val="000C6ED8"/>
    <w:rsid w:val="000C7000"/>
    <w:rsid w:val="000C7048"/>
    <w:rsid w:val="000D0DD1"/>
    <w:rsid w:val="000D0F38"/>
    <w:rsid w:val="000D0F6F"/>
    <w:rsid w:val="000D0FBA"/>
    <w:rsid w:val="000D10B1"/>
    <w:rsid w:val="000D11AE"/>
    <w:rsid w:val="000D1579"/>
    <w:rsid w:val="000D1928"/>
    <w:rsid w:val="000D1CB0"/>
    <w:rsid w:val="000D2323"/>
    <w:rsid w:val="000D3ABB"/>
    <w:rsid w:val="000D3F8B"/>
    <w:rsid w:val="000D44CD"/>
    <w:rsid w:val="000D58BF"/>
    <w:rsid w:val="000D6104"/>
    <w:rsid w:val="000D7B64"/>
    <w:rsid w:val="000E0571"/>
    <w:rsid w:val="000E0811"/>
    <w:rsid w:val="000E081E"/>
    <w:rsid w:val="000E1317"/>
    <w:rsid w:val="000E154F"/>
    <w:rsid w:val="000E2351"/>
    <w:rsid w:val="000E2E39"/>
    <w:rsid w:val="000E3DDA"/>
    <w:rsid w:val="000E40B3"/>
    <w:rsid w:val="000E51E8"/>
    <w:rsid w:val="000E55FC"/>
    <w:rsid w:val="000E5A34"/>
    <w:rsid w:val="000E6500"/>
    <w:rsid w:val="000E6F3D"/>
    <w:rsid w:val="000E7629"/>
    <w:rsid w:val="000E7918"/>
    <w:rsid w:val="000F05F1"/>
    <w:rsid w:val="000F157A"/>
    <w:rsid w:val="000F185B"/>
    <w:rsid w:val="000F1929"/>
    <w:rsid w:val="000F2421"/>
    <w:rsid w:val="000F275F"/>
    <w:rsid w:val="000F27E7"/>
    <w:rsid w:val="000F3806"/>
    <w:rsid w:val="000F3AD3"/>
    <w:rsid w:val="000F4587"/>
    <w:rsid w:val="000F4789"/>
    <w:rsid w:val="000F543E"/>
    <w:rsid w:val="000F5DDA"/>
    <w:rsid w:val="000F66FF"/>
    <w:rsid w:val="000F6A04"/>
    <w:rsid w:val="000F7968"/>
    <w:rsid w:val="000F7AD3"/>
    <w:rsid w:val="00100935"/>
    <w:rsid w:val="00100E93"/>
    <w:rsid w:val="00101250"/>
    <w:rsid w:val="00101B0B"/>
    <w:rsid w:val="00101F63"/>
    <w:rsid w:val="00102135"/>
    <w:rsid w:val="001029F5"/>
    <w:rsid w:val="00105820"/>
    <w:rsid w:val="00105D9C"/>
    <w:rsid w:val="00105E2C"/>
    <w:rsid w:val="001066BC"/>
    <w:rsid w:val="00106F64"/>
    <w:rsid w:val="001107AD"/>
    <w:rsid w:val="00110CFB"/>
    <w:rsid w:val="00110DBB"/>
    <w:rsid w:val="001120A9"/>
    <w:rsid w:val="001122F4"/>
    <w:rsid w:val="001125DC"/>
    <w:rsid w:val="00113257"/>
    <w:rsid w:val="00113489"/>
    <w:rsid w:val="001138AC"/>
    <w:rsid w:val="00113D01"/>
    <w:rsid w:val="00114A20"/>
    <w:rsid w:val="00114BC1"/>
    <w:rsid w:val="00114C14"/>
    <w:rsid w:val="00114C65"/>
    <w:rsid w:val="001154E3"/>
    <w:rsid w:val="00115633"/>
    <w:rsid w:val="00115EE9"/>
    <w:rsid w:val="00116381"/>
    <w:rsid w:val="00117F63"/>
    <w:rsid w:val="00117FA9"/>
    <w:rsid w:val="00120A2D"/>
    <w:rsid w:val="0012158D"/>
    <w:rsid w:val="00121E09"/>
    <w:rsid w:val="0012206A"/>
    <w:rsid w:val="0012280A"/>
    <w:rsid w:val="00123D62"/>
    <w:rsid w:val="001247A8"/>
    <w:rsid w:val="001249A1"/>
    <w:rsid w:val="00124BF5"/>
    <w:rsid w:val="001261C9"/>
    <w:rsid w:val="001266EF"/>
    <w:rsid w:val="00130964"/>
    <w:rsid w:val="001315D7"/>
    <w:rsid w:val="00132303"/>
    <w:rsid w:val="00132FEA"/>
    <w:rsid w:val="00133472"/>
    <w:rsid w:val="00133594"/>
    <w:rsid w:val="00133AEA"/>
    <w:rsid w:val="00133B09"/>
    <w:rsid w:val="00133D27"/>
    <w:rsid w:val="00133D64"/>
    <w:rsid w:val="001342ED"/>
    <w:rsid w:val="00134C0F"/>
    <w:rsid w:val="00135135"/>
    <w:rsid w:val="00135286"/>
    <w:rsid w:val="001355FD"/>
    <w:rsid w:val="001358BC"/>
    <w:rsid w:val="00135CE9"/>
    <w:rsid w:val="00135FFB"/>
    <w:rsid w:val="00136A6E"/>
    <w:rsid w:val="0013708C"/>
    <w:rsid w:val="001373F8"/>
    <w:rsid w:val="00137552"/>
    <w:rsid w:val="00137636"/>
    <w:rsid w:val="00137AFE"/>
    <w:rsid w:val="00137DA7"/>
    <w:rsid w:val="00137E70"/>
    <w:rsid w:val="0014009E"/>
    <w:rsid w:val="00140F42"/>
    <w:rsid w:val="001411D5"/>
    <w:rsid w:val="00141852"/>
    <w:rsid w:val="00142004"/>
    <w:rsid w:val="001421B4"/>
    <w:rsid w:val="00142F29"/>
    <w:rsid w:val="0014338E"/>
    <w:rsid w:val="00145449"/>
    <w:rsid w:val="00145D98"/>
    <w:rsid w:val="00146922"/>
    <w:rsid w:val="0014722C"/>
    <w:rsid w:val="00147E89"/>
    <w:rsid w:val="001513EF"/>
    <w:rsid w:val="00151C5B"/>
    <w:rsid w:val="00152677"/>
    <w:rsid w:val="00152817"/>
    <w:rsid w:val="00153CA9"/>
    <w:rsid w:val="00153DBE"/>
    <w:rsid w:val="00154568"/>
    <w:rsid w:val="001548F5"/>
    <w:rsid w:val="00154A0D"/>
    <w:rsid w:val="00154D5B"/>
    <w:rsid w:val="00156A90"/>
    <w:rsid w:val="00157053"/>
    <w:rsid w:val="001571A5"/>
    <w:rsid w:val="0016000B"/>
    <w:rsid w:val="0016075F"/>
    <w:rsid w:val="00162068"/>
    <w:rsid w:val="00162234"/>
    <w:rsid w:val="00162AE1"/>
    <w:rsid w:val="00162EA6"/>
    <w:rsid w:val="001647FD"/>
    <w:rsid w:val="001650BF"/>
    <w:rsid w:val="00165C5C"/>
    <w:rsid w:val="00166637"/>
    <w:rsid w:val="00166C6B"/>
    <w:rsid w:val="00166F55"/>
    <w:rsid w:val="0016707F"/>
    <w:rsid w:val="00170C2B"/>
    <w:rsid w:val="00171420"/>
    <w:rsid w:val="00171754"/>
    <w:rsid w:val="00171DFE"/>
    <w:rsid w:val="0017250E"/>
    <w:rsid w:val="00172657"/>
    <w:rsid w:val="00172E53"/>
    <w:rsid w:val="00173AC0"/>
    <w:rsid w:val="00173BFF"/>
    <w:rsid w:val="00173CD3"/>
    <w:rsid w:val="001748DD"/>
    <w:rsid w:val="0017537F"/>
    <w:rsid w:val="001753A0"/>
    <w:rsid w:val="00175DDC"/>
    <w:rsid w:val="001760D6"/>
    <w:rsid w:val="00176B07"/>
    <w:rsid w:val="00177C15"/>
    <w:rsid w:val="00180051"/>
    <w:rsid w:val="00180347"/>
    <w:rsid w:val="00180DD9"/>
    <w:rsid w:val="00181121"/>
    <w:rsid w:val="00181374"/>
    <w:rsid w:val="00183BB4"/>
    <w:rsid w:val="00184608"/>
    <w:rsid w:val="00185F41"/>
    <w:rsid w:val="001866B9"/>
    <w:rsid w:val="00186899"/>
    <w:rsid w:val="00186C13"/>
    <w:rsid w:val="001876CF"/>
    <w:rsid w:val="00187DBF"/>
    <w:rsid w:val="00190B43"/>
    <w:rsid w:val="0019145C"/>
    <w:rsid w:val="00191C20"/>
    <w:rsid w:val="00192157"/>
    <w:rsid w:val="001921A3"/>
    <w:rsid w:val="001921AD"/>
    <w:rsid w:val="0019228D"/>
    <w:rsid w:val="00192503"/>
    <w:rsid w:val="00192C27"/>
    <w:rsid w:val="00193207"/>
    <w:rsid w:val="0019339C"/>
    <w:rsid w:val="001936A8"/>
    <w:rsid w:val="00194EA0"/>
    <w:rsid w:val="00195239"/>
    <w:rsid w:val="001953E7"/>
    <w:rsid w:val="001962A1"/>
    <w:rsid w:val="001969EB"/>
    <w:rsid w:val="00196E5A"/>
    <w:rsid w:val="001976E1"/>
    <w:rsid w:val="00197728"/>
    <w:rsid w:val="001A04FD"/>
    <w:rsid w:val="001A11D6"/>
    <w:rsid w:val="001A144A"/>
    <w:rsid w:val="001A1491"/>
    <w:rsid w:val="001A1609"/>
    <w:rsid w:val="001A1782"/>
    <w:rsid w:val="001A17D3"/>
    <w:rsid w:val="001A249B"/>
    <w:rsid w:val="001A485D"/>
    <w:rsid w:val="001A5F98"/>
    <w:rsid w:val="001A6284"/>
    <w:rsid w:val="001A6294"/>
    <w:rsid w:val="001A64E5"/>
    <w:rsid w:val="001A69AA"/>
    <w:rsid w:val="001A6D14"/>
    <w:rsid w:val="001A6F03"/>
    <w:rsid w:val="001A702A"/>
    <w:rsid w:val="001A7266"/>
    <w:rsid w:val="001B0041"/>
    <w:rsid w:val="001B0D5E"/>
    <w:rsid w:val="001B1040"/>
    <w:rsid w:val="001B1711"/>
    <w:rsid w:val="001B19C2"/>
    <w:rsid w:val="001B1C5D"/>
    <w:rsid w:val="001B233A"/>
    <w:rsid w:val="001B2482"/>
    <w:rsid w:val="001B2B44"/>
    <w:rsid w:val="001B2FBD"/>
    <w:rsid w:val="001B3F72"/>
    <w:rsid w:val="001B44F6"/>
    <w:rsid w:val="001B45D4"/>
    <w:rsid w:val="001B604B"/>
    <w:rsid w:val="001B7F03"/>
    <w:rsid w:val="001C30AC"/>
    <w:rsid w:val="001C4165"/>
    <w:rsid w:val="001C4651"/>
    <w:rsid w:val="001C4C16"/>
    <w:rsid w:val="001C4D40"/>
    <w:rsid w:val="001C5002"/>
    <w:rsid w:val="001C57E1"/>
    <w:rsid w:val="001C604F"/>
    <w:rsid w:val="001C63E7"/>
    <w:rsid w:val="001D136A"/>
    <w:rsid w:val="001D172F"/>
    <w:rsid w:val="001D23DA"/>
    <w:rsid w:val="001D2A1A"/>
    <w:rsid w:val="001D2DFB"/>
    <w:rsid w:val="001D3C59"/>
    <w:rsid w:val="001D3D95"/>
    <w:rsid w:val="001D3FEA"/>
    <w:rsid w:val="001D4055"/>
    <w:rsid w:val="001D5062"/>
    <w:rsid w:val="001D54F2"/>
    <w:rsid w:val="001D576A"/>
    <w:rsid w:val="001D6138"/>
    <w:rsid w:val="001D61F8"/>
    <w:rsid w:val="001D7462"/>
    <w:rsid w:val="001E02B1"/>
    <w:rsid w:val="001E064F"/>
    <w:rsid w:val="001E095E"/>
    <w:rsid w:val="001E1AAC"/>
    <w:rsid w:val="001E1BE8"/>
    <w:rsid w:val="001E1DA4"/>
    <w:rsid w:val="001E396D"/>
    <w:rsid w:val="001E4852"/>
    <w:rsid w:val="001E5044"/>
    <w:rsid w:val="001E6A79"/>
    <w:rsid w:val="001E76BB"/>
    <w:rsid w:val="001F01B0"/>
    <w:rsid w:val="001F0756"/>
    <w:rsid w:val="001F281A"/>
    <w:rsid w:val="001F3128"/>
    <w:rsid w:val="001F35A6"/>
    <w:rsid w:val="001F3F6C"/>
    <w:rsid w:val="001F4E23"/>
    <w:rsid w:val="001F53A3"/>
    <w:rsid w:val="001F5AEC"/>
    <w:rsid w:val="001F5CD4"/>
    <w:rsid w:val="001F6346"/>
    <w:rsid w:val="001F74D2"/>
    <w:rsid w:val="002005A0"/>
    <w:rsid w:val="00200B91"/>
    <w:rsid w:val="00201431"/>
    <w:rsid w:val="00201711"/>
    <w:rsid w:val="0020176C"/>
    <w:rsid w:val="0020209A"/>
    <w:rsid w:val="00202C1F"/>
    <w:rsid w:val="002040BA"/>
    <w:rsid w:val="00205469"/>
    <w:rsid w:val="00205EB0"/>
    <w:rsid w:val="00206255"/>
    <w:rsid w:val="002063A7"/>
    <w:rsid w:val="00207355"/>
    <w:rsid w:val="002077AB"/>
    <w:rsid w:val="00207A9F"/>
    <w:rsid w:val="0021009D"/>
    <w:rsid w:val="00210AC2"/>
    <w:rsid w:val="00211BE0"/>
    <w:rsid w:val="00211CAF"/>
    <w:rsid w:val="00212D88"/>
    <w:rsid w:val="002130C5"/>
    <w:rsid w:val="0021356B"/>
    <w:rsid w:val="002135AA"/>
    <w:rsid w:val="002135D5"/>
    <w:rsid w:val="00213765"/>
    <w:rsid w:val="0021384F"/>
    <w:rsid w:val="0021398F"/>
    <w:rsid w:val="00213EF6"/>
    <w:rsid w:val="00214142"/>
    <w:rsid w:val="002144AF"/>
    <w:rsid w:val="002146E4"/>
    <w:rsid w:val="002148AA"/>
    <w:rsid w:val="002151F2"/>
    <w:rsid w:val="002158D7"/>
    <w:rsid w:val="002169E5"/>
    <w:rsid w:val="0021702D"/>
    <w:rsid w:val="00217140"/>
    <w:rsid w:val="00217794"/>
    <w:rsid w:val="00217C34"/>
    <w:rsid w:val="00220082"/>
    <w:rsid w:val="002200F3"/>
    <w:rsid w:val="002203C4"/>
    <w:rsid w:val="00220417"/>
    <w:rsid w:val="002206EB"/>
    <w:rsid w:val="00220902"/>
    <w:rsid w:val="00220A1E"/>
    <w:rsid w:val="00220B05"/>
    <w:rsid w:val="00221488"/>
    <w:rsid w:val="00221AEA"/>
    <w:rsid w:val="00221C84"/>
    <w:rsid w:val="00221FD0"/>
    <w:rsid w:val="00222432"/>
    <w:rsid w:val="00222E93"/>
    <w:rsid w:val="00223902"/>
    <w:rsid w:val="00224662"/>
    <w:rsid w:val="00225098"/>
    <w:rsid w:val="0022533D"/>
    <w:rsid w:val="002261EB"/>
    <w:rsid w:val="00226704"/>
    <w:rsid w:val="002272AC"/>
    <w:rsid w:val="002274A0"/>
    <w:rsid w:val="00227771"/>
    <w:rsid w:val="002279AF"/>
    <w:rsid w:val="00230095"/>
    <w:rsid w:val="002302D1"/>
    <w:rsid w:val="00230541"/>
    <w:rsid w:val="0023062C"/>
    <w:rsid w:val="00231057"/>
    <w:rsid w:val="0023135D"/>
    <w:rsid w:val="002314F4"/>
    <w:rsid w:val="00231692"/>
    <w:rsid w:val="00231700"/>
    <w:rsid w:val="00231BAD"/>
    <w:rsid w:val="00232015"/>
    <w:rsid w:val="0023207B"/>
    <w:rsid w:val="0023273D"/>
    <w:rsid w:val="00232ECA"/>
    <w:rsid w:val="002332C9"/>
    <w:rsid w:val="0023390C"/>
    <w:rsid w:val="00233D88"/>
    <w:rsid w:val="00233EF7"/>
    <w:rsid w:val="00234B48"/>
    <w:rsid w:val="00234E68"/>
    <w:rsid w:val="00235455"/>
    <w:rsid w:val="0023572F"/>
    <w:rsid w:val="00235B98"/>
    <w:rsid w:val="0023675A"/>
    <w:rsid w:val="002369C5"/>
    <w:rsid w:val="002370EF"/>
    <w:rsid w:val="00237DD2"/>
    <w:rsid w:val="0024069D"/>
    <w:rsid w:val="00241C5B"/>
    <w:rsid w:val="002421D0"/>
    <w:rsid w:val="00242A8E"/>
    <w:rsid w:val="00242C4D"/>
    <w:rsid w:val="00242DF6"/>
    <w:rsid w:val="002430A8"/>
    <w:rsid w:val="00243244"/>
    <w:rsid w:val="002432FA"/>
    <w:rsid w:val="00246659"/>
    <w:rsid w:val="00246759"/>
    <w:rsid w:val="00246D21"/>
    <w:rsid w:val="0024787B"/>
    <w:rsid w:val="00247EC9"/>
    <w:rsid w:val="00250049"/>
    <w:rsid w:val="002501A9"/>
    <w:rsid w:val="002509BD"/>
    <w:rsid w:val="00250F0A"/>
    <w:rsid w:val="00251906"/>
    <w:rsid w:val="00251B4B"/>
    <w:rsid w:val="00251BDE"/>
    <w:rsid w:val="00252E6B"/>
    <w:rsid w:val="00253C03"/>
    <w:rsid w:val="00253FD1"/>
    <w:rsid w:val="00254838"/>
    <w:rsid w:val="00254A2A"/>
    <w:rsid w:val="00255A5D"/>
    <w:rsid w:val="00255D71"/>
    <w:rsid w:val="00257347"/>
    <w:rsid w:val="00257C3E"/>
    <w:rsid w:val="00260846"/>
    <w:rsid w:val="002617B2"/>
    <w:rsid w:val="002618C7"/>
    <w:rsid w:val="0026370D"/>
    <w:rsid w:val="00263796"/>
    <w:rsid w:val="002637C4"/>
    <w:rsid w:val="00263F95"/>
    <w:rsid w:val="00264C7B"/>
    <w:rsid w:val="00264F68"/>
    <w:rsid w:val="002655AB"/>
    <w:rsid w:val="00266374"/>
    <w:rsid w:val="002664C5"/>
    <w:rsid w:val="00266759"/>
    <w:rsid w:val="002675E7"/>
    <w:rsid w:val="002676A9"/>
    <w:rsid w:val="00267BCE"/>
    <w:rsid w:val="00267E84"/>
    <w:rsid w:val="00270277"/>
    <w:rsid w:val="002705D4"/>
    <w:rsid w:val="00270FDA"/>
    <w:rsid w:val="00270FE4"/>
    <w:rsid w:val="0027115E"/>
    <w:rsid w:val="00271303"/>
    <w:rsid w:val="00271AF7"/>
    <w:rsid w:val="00272EF1"/>
    <w:rsid w:val="00273510"/>
    <w:rsid w:val="00273DBD"/>
    <w:rsid w:val="002743ED"/>
    <w:rsid w:val="0027451C"/>
    <w:rsid w:val="0027547A"/>
    <w:rsid w:val="00275502"/>
    <w:rsid w:val="00275A67"/>
    <w:rsid w:val="00277283"/>
    <w:rsid w:val="00277A8F"/>
    <w:rsid w:val="00277EB4"/>
    <w:rsid w:val="00281402"/>
    <w:rsid w:val="00282D20"/>
    <w:rsid w:val="0028350C"/>
    <w:rsid w:val="00283589"/>
    <w:rsid w:val="00283D43"/>
    <w:rsid w:val="0028421C"/>
    <w:rsid w:val="00284B6E"/>
    <w:rsid w:val="002852D9"/>
    <w:rsid w:val="0028648A"/>
    <w:rsid w:val="00286A89"/>
    <w:rsid w:val="00286E64"/>
    <w:rsid w:val="002875EE"/>
    <w:rsid w:val="00287F8B"/>
    <w:rsid w:val="002905F1"/>
    <w:rsid w:val="0029078D"/>
    <w:rsid w:val="002911E9"/>
    <w:rsid w:val="002924CA"/>
    <w:rsid w:val="002926EE"/>
    <w:rsid w:val="002941D4"/>
    <w:rsid w:val="00294BE8"/>
    <w:rsid w:val="00294FBB"/>
    <w:rsid w:val="0029502F"/>
    <w:rsid w:val="0029506A"/>
    <w:rsid w:val="00296B52"/>
    <w:rsid w:val="00297434"/>
    <w:rsid w:val="0029761A"/>
    <w:rsid w:val="00297774"/>
    <w:rsid w:val="00297B66"/>
    <w:rsid w:val="002A12DB"/>
    <w:rsid w:val="002A1491"/>
    <w:rsid w:val="002A154E"/>
    <w:rsid w:val="002A18F4"/>
    <w:rsid w:val="002A2464"/>
    <w:rsid w:val="002A2AC4"/>
    <w:rsid w:val="002A2BDC"/>
    <w:rsid w:val="002A2D76"/>
    <w:rsid w:val="002A2EB8"/>
    <w:rsid w:val="002A2F3A"/>
    <w:rsid w:val="002A43D9"/>
    <w:rsid w:val="002A494E"/>
    <w:rsid w:val="002A5416"/>
    <w:rsid w:val="002A65FE"/>
    <w:rsid w:val="002A6977"/>
    <w:rsid w:val="002A78C5"/>
    <w:rsid w:val="002B07CA"/>
    <w:rsid w:val="002B144B"/>
    <w:rsid w:val="002B1BCC"/>
    <w:rsid w:val="002B2292"/>
    <w:rsid w:val="002B27BC"/>
    <w:rsid w:val="002B3853"/>
    <w:rsid w:val="002B3A3E"/>
    <w:rsid w:val="002B3F55"/>
    <w:rsid w:val="002B4203"/>
    <w:rsid w:val="002B4EE8"/>
    <w:rsid w:val="002B5CE5"/>
    <w:rsid w:val="002B65CA"/>
    <w:rsid w:val="002B6707"/>
    <w:rsid w:val="002B758F"/>
    <w:rsid w:val="002B764C"/>
    <w:rsid w:val="002B779E"/>
    <w:rsid w:val="002B793F"/>
    <w:rsid w:val="002C0399"/>
    <w:rsid w:val="002C15BC"/>
    <w:rsid w:val="002C193B"/>
    <w:rsid w:val="002C1B21"/>
    <w:rsid w:val="002C2231"/>
    <w:rsid w:val="002C29A6"/>
    <w:rsid w:val="002C2B64"/>
    <w:rsid w:val="002C4966"/>
    <w:rsid w:val="002C4DFB"/>
    <w:rsid w:val="002C5547"/>
    <w:rsid w:val="002C55E6"/>
    <w:rsid w:val="002C563A"/>
    <w:rsid w:val="002C582B"/>
    <w:rsid w:val="002C6A5C"/>
    <w:rsid w:val="002C7D1C"/>
    <w:rsid w:val="002C7E3F"/>
    <w:rsid w:val="002D1015"/>
    <w:rsid w:val="002D20B4"/>
    <w:rsid w:val="002D3A0B"/>
    <w:rsid w:val="002D4033"/>
    <w:rsid w:val="002D4075"/>
    <w:rsid w:val="002D493D"/>
    <w:rsid w:val="002D4F56"/>
    <w:rsid w:val="002D551E"/>
    <w:rsid w:val="002D6003"/>
    <w:rsid w:val="002D6579"/>
    <w:rsid w:val="002D6CD2"/>
    <w:rsid w:val="002D6CE8"/>
    <w:rsid w:val="002D71A4"/>
    <w:rsid w:val="002D77F9"/>
    <w:rsid w:val="002D7D4D"/>
    <w:rsid w:val="002E0382"/>
    <w:rsid w:val="002E0399"/>
    <w:rsid w:val="002E03BB"/>
    <w:rsid w:val="002E089D"/>
    <w:rsid w:val="002E09DB"/>
    <w:rsid w:val="002E1877"/>
    <w:rsid w:val="002E22C8"/>
    <w:rsid w:val="002E3953"/>
    <w:rsid w:val="002E4699"/>
    <w:rsid w:val="002E4F07"/>
    <w:rsid w:val="002E55D1"/>
    <w:rsid w:val="002E6188"/>
    <w:rsid w:val="002E63D6"/>
    <w:rsid w:val="002E69ED"/>
    <w:rsid w:val="002E7A54"/>
    <w:rsid w:val="002E7D5B"/>
    <w:rsid w:val="002F0A7B"/>
    <w:rsid w:val="002F0B68"/>
    <w:rsid w:val="002F0C3F"/>
    <w:rsid w:val="002F0FF4"/>
    <w:rsid w:val="002F12AA"/>
    <w:rsid w:val="002F12E9"/>
    <w:rsid w:val="002F17F0"/>
    <w:rsid w:val="002F2C30"/>
    <w:rsid w:val="002F3443"/>
    <w:rsid w:val="002F3EE0"/>
    <w:rsid w:val="002F4C2B"/>
    <w:rsid w:val="002F65B0"/>
    <w:rsid w:val="002F6C07"/>
    <w:rsid w:val="002F6DC3"/>
    <w:rsid w:val="002F7AB8"/>
    <w:rsid w:val="003011F9"/>
    <w:rsid w:val="00301565"/>
    <w:rsid w:val="00301C32"/>
    <w:rsid w:val="0030202E"/>
    <w:rsid w:val="003023A0"/>
    <w:rsid w:val="00302943"/>
    <w:rsid w:val="00302E09"/>
    <w:rsid w:val="003030C5"/>
    <w:rsid w:val="00303470"/>
    <w:rsid w:val="00304353"/>
    <w:rsid w:val="003054DE"/>
    <w:rsid w:val="00305FB2"/>
    <w:rsid w:val="0030617B"/>
    <w:rsid w:val="00306677"/>
    <w:rsid w:val="00307D97"/>
    <w:rsid w:val="00307E21"/>
    <w:rsid w:val="003101C0"/>
    <w:rsid w:val="00310849"/>
    <w:rsid w:val="00310C90"/>
    <w:rsid w:val="00312012"/>
    <w:rsid w:val="00312C89"/>
    <w:rsid w:val="0031358B"/>
    <w:rsid w:val="003135CC"/>
    <w:rsid w:val="00314025"/>
    <w:rsid w:val="003148DD"/>
    <w:rsid w:val="003148FF"/>
    <w:rsid w:val="00314FBB"/>
    <w:rsid w:val="003157D0"/>
    <w:rsid w:val="003158D7"/>
    <w:rsid w:val="00315C3B"/>
    <w:rsid w:val="00316C4E"/>
    <w:rsid w:val="00317C44"/>
    <w:rsid w:val="003200C5"/>
    <w:rsid w:val="003206C9"/>
    <w:rsid w:val="00320968"/>
    <w:rsid w:val="0032149D"/>
    <w:rsid w:val="00321D67"/>
    <w:rsid w:val="00321E91"/>
    <w:rsid w:val="00322340"/>
    <w:rsid w:val="00322977"/>
    <w:rsid w:val="00322E4C"/>
    <w:rsid w:val="00323AB8"/>
    <w:rsid w:val="00324F91"/>
    <w:rsid w:val="003251D9"/>
    <w:rsid w:val="00325810"/>
    <w:rsid w:val="003258D0"/>
    <w:rsid w:val="00325B14"/>
    <w:rsid w:val="00325F7E"/>
    <w:rsid w:val="00326561"/>
    <w:rsid w:val="00326A13"/>
    <w:rsid w:val="00326E40"/>
    <w:rsid w:val="003273A4"/>
    <w:rsid w:val="00327DFA"/>
    <w:rsid w:val="00330439"/>
    <w:rsid w:val="00330560"/>
    <w:rsid w:val="00330B73"/>
    <w:rsid w:val="00330F85"/>
    <w:rsid w:val="00330FA8"/>
    <w:rsid w:val="0033116D"/>
    <w:rsid w:val="00331B3F"/>
    <w:rsid w:val="00331EE8"/>
    <w:rsid w:val="003320BB"/>
    <w:rsid w:val="00333A10"/>
    <w:rsid w:val="00333A31"/>
    <w:rsid w:val="00333A99"/>
    <w:rsid w:val="003343B6"/>
    <w:rsid w:val="003345D5"/>
    <w:rsid w:val="00334ACD"/>
    <w:rsid w:val="00334D54"/>
    <w:rsid w:val="00335A7C"/>
    <w:rsid w:val="00335F3F"/>
    <w:rsid w:val="003360AA"/>
    <w:rsid w:val="00336BB5"/>
    <w:rsid w:val="0033758E"/>
    <w:rsid w:val="00337AB3"/>
    <w:rsid w:val="0034049F"/>
    <w:rsid w:val="00340864"/>
    <w:rsid w:val="00341083"/>
    <w:rsid w:val="003416C0"/>
    <w:rsid w:val="00341D5E"/>
    <w:rsid w:val="00341FFA"/>
    <w:rsid w:val="00342363"/>
    <w:rsid w:val="00344A0F"/>
    <w:rsid w:val="00344C2D"/>
    <w:rsid w:val="00344FBC"/>
    <w:rsid w:val="00345940"/>
    <w:rsid w:val="00346078"/>
    <w:rsid w:val="00350CCD"/>
    <w:rsid w:val="00351724"/>
    <w:rsid w:val="00351E93"/>
    <w:rsid w:val="00352558"/>
    <w:rsid w:val="003526B9"/>
    <w:rsid w:val="00352EAD"/>
    <w:rsid w:val="00352F84"/>
    <w:rsid w:val="00353352"/>
    <w:rsid w:val="00353D56"/>
    <w:rsid w:val="003548FB"/>
    <w:rsid w:val="00355758"/>
    <w:rsid w:val="00356006"/>
    <w:rsid w:val="003565D0"/>
    <w:rsid w:val="00356745"/>
    <w:rsid w:val="00357A96"/>
    <w:rsid w:val="003600E8"/>
    <w:rsid w:val="003600FC"/>
    <w:rsid w:val="00360419"/>
    <w:rsid w:val="0036068A"/>
    <w:rsid w:val="0036070C"/>
    <w:rsid w:val="003609A1"/>
    <w:rsid w:val="00360A56"/>
    <w:rsid w:val="00360D95"/>
    <w:rsid w:val="00361071"/>
    <w:rsid w:val="003612B8"/>
    <w:rsid w:val="0036147F"/>
    <w:rsid w:val="00361E0B"/>
    <w:rsid w:val="0036262E"/>
    <w:rsid w:val="00362DA6"/>
    <w:rsid w:val="00363A76"/>
    <w:rsid w:val="00363F00"/>
    <w:rsid w:val="003642D2"/>
    <w:rsid w:val="00365402"/>
    <w:rsid w:val="00365C82"/>
    <w:rsid w:val="003661E4"/>
    <w:rsid w:val="003662AB"/>
    <w:rsid w:val="00366B55"/>
    <w:rsid w:val="00367481"/>
    <w:rsid w:val="00367614"/>
    <w:rsid w:val="003677C6"/>
    <w:rsid w:val="00367988"/>
    <w:rsid w:val="00367D25"/>
    <w:rsid w:val="00370AAD"/>
    <w:rsid w:val="003711B9"/>
    <w:rsid w:val="00371F77"/>
    <w:rsid w:val="003723D5"/>
    <w:rsid w:val="003726AC"/>
    <w:rsid w:val="003727BE"/>
    <w:rsid w:val="00372E9F"/>
    <w:rsid w:val="00373431"/>
    <w:rsid w:val="003734AF"/>
    <w:rsid w:val="0037399B"/>
    <w:rsid w:val="0037457B"/>
    <w:rsid w:val="00374EAF"/>
    <w:rsid w:val="00375C01"/>
    <w:rsid w:val="00376743"/>
    <w:rsid w:val="0037677D"/>
    <w:rsid w:val="00377056"/>
    <w:rsid w:val="003812BE"/>
    <w:rsid w:val="0038167E"/>
    <w:rsid w:val="003823E3"/>
    <w:rsid w:val="00382645"/>
    <w:rsid w:val="00382EAE"/>
    <w:rsid w:val="00383534"/>
    <w:rsid w:val="00383CAA"/>
    <w:rsid w:val="00383D11"/>
    <w:rsid w:val="00383D68"/>
    <w:rsid w:val="00384871"/>
    <w:rsid w:val="00385218"/>
    <w:rsid w:val="00385927"/>
    <w:rsid w:val="0038683B"/>
    <w:rsid w:val="0038736E"/>
    <w:rsid w:val="00387865"/>
    <w:rsid w:val="00387A6A"/>
    <w:rsid w:val="003903DC"/>
    <w:rsid w:val="00390693"/>
    <w:rsid w:val="00391257"/>
    <w:rsid w:val="003922CE"/>
    <w:rsid w:val="00393DD4"/>
    <w:rsid w:val="003940EF"/>
    <w:rsid w:val="00394C8C"/>
    <w:rsid w:val="00394CE0"/>
    <w:rsid w:val="00395784"/>
    <w:rsid w:val="0039650C"/>
    <w:rsid w:val="003971BA"/>
    <w:rsid w:val="00397374"/>
    <w:rsid w:val="003A02FB"/>
    <w:rsid w:val="003A0EE5"/>
    <w:rsid w:val="003A1680"/>
    <w:rsid w:val="003A1E92"/>
    <w:rsid w:val="003A2BD9"/>
    <w:rsid w:val="003A2D95"/>
    <w:rsid w:val="003A37B8"/>
    <w:rsid w:val="003A3838"/>
    <w:rsid w:val="003A4642"/>
    <w:rsid w:val="003A4FB1"/>
    <w:rsid w:val="003A538D"/>
    <w:rsid w:val="003A5448"/>
    <w:rsid w:val="003A560A"/>
    <w:rsid w:val="003A57AC"/>
    <w:rsid w:val="003A5C0D"/>
    <w:rsid w:val="003A603C"/>
    <w:rsid w:val="003A63B0"/>
    <w:rsid w:val="003A6CD5"/>
    <w:rsid w:val="003A6F84"/>
    <w:rsid w:val="003A7903"/>
    <w:rsid w:val="003B0591"/>
    <w:rsid w:val="003B0757"/>
    <w:rsid w:val="003B0BA3"/>
    <w:rsid w:val="003B0D93"/>
    <w:rsid w:val="003B0E7D"/>
    <w:rsid w:val="003B2A97"/>
    <w:rsid w:val="003B2C5C"/>
    <w:rsid w:val="003B2C5F"/>
    <w:rsid w:val="003B2FD1"/>
    <w:rsid w:val="003B30BD"/>
    <w:rsid w:val="003B37C6"/>
    <w:rsid w:val="003B386C"/>
    <w:rsid w:val="003B38CB"/>
    <w:rsid w:val="003B3ECE"/>
    <w:rsid w:val="003B43F0"/>
    <w:rsid w:val="003B4434"/>
    <w:rsid w:val="003B4D12"/>
    <w:rsid w:val="003B5D6B"/>
    <w:rsid w:val="003B63E4"/>
    <w:rsid w:val="003B66FA"/>
    <w:rsid w:val="003B6FD7"/>
    <w:rsid w:val="003B7165"/>
    <w:rsid w:val="003B749A"/>
    <w:rsid w:val="003B7684"/>
    <w:rsid w:val="003C0362"/>
    <w:rsid w:val="003C16C5"/>
    <w:rsid w:val="003C199A"/>
    <w:rsid w:val="003C1A69"/>
    <w:rsid w:val="003C1B71"/>
    <w:rsid w:val="003C1CB2"/>
    <w:rsid w:val="003C221B"/>
    <w:rsid w:val="003C25AC"/>
    <w:rsid w:val="003C6AE4"/>
    <w:rsid w:val="003C6C33"/>
    <w:rsid w:val="003C6C9A"/>
    <w:rsid w:val="003C6D61"/>
    <w:rsid w:val="003C75CF"/>
    <w:rsid w:val="003C7DD5"/>
    <w:rsid w:val="003D0393"/>
    <w:rsid w:val="003D19D2"/>
    <w:rsid w:val="003D24E5"/>
    <w:rsid w:val="003D3391"/>
    <w:rsid w:val="003D384D"/>
    <w:rsid w:val="003D4030"/>
    <w:rsid w:val="003D4A47"/>
    <w:rsid w:val="003D4BCB"/>
    <w:rsid w:val="003D4BE2"/>
    <w:rsid w:val="003D509B"/>
    <w:rsid w:val="003D6ABC"/>
    <w:rsid w:val="003D6F13"/>
    <w:rsid w:val="003E010B"/>
    <w:rsid w:val="003E0237"/>
    <w:rsid w:val="003E070B"/>
    <w:rsid w:val="003E1514"/>
    <w:rsid w:val="003E15D7"/>
    <w:rsid w:val="003E2E1B"/>
    <w:rsid w:val="003E5F95"/>
    <w:rsid w:val="003E635F"/>
    <w:rsid w:val="003E6F44"/>
    <w:rsid w:val="003E7BBF"/>
    <w:rsid w:val="003F030E"/>
    <w:rsid w:val="003F083C"/>
    <w:rsid w:val="003F109C"/>
    <w:rsid w:val="003F2C99"/>
    <w:rsid w:val="003F3B21"/>
    <w:rsid w:val="003F3C56"/>
    <w:rsid w:val="003F40A8"/>
    <w:rsid w:val="003F560D"/>
    <w:rsid w:val="003F5922"/>
    <w:rsid w:val="003F5D8A"/>
    <w:rsid w:val="003F5E88"/>
    <w:rsid w:val="003F663F"/>
    <w:rsid w:val="003F6642"/>
    <w:rsid w:val="003F69EF"/>
    <w:rsid w:val="003F702F"/>
    <w:rsid w:val="003F7C8E"/>
    <w:rsid w:val="0040037B"/>
    <w:rsid w:val="00400BBC"/>
    <w:rsid w:val="004017CC"/>
    <w:rsid w:val="004019BE"/>
    <w:rsid w:val="00401B3A"/>
    <w:rsid w:val="00401E5C"/>
    <w:rsid w:val="0040200F"/>
    <w:rsid w:val="0040221E"/>
    <w:rsid w:val="0040290D"/>
    <w:rsid w:val="00402DCB"/>
    <w:rsid w:val="00403619"/>
    <w:rsid w:val="00403837"/>
    <w:rsid w:val="00404098"/>
    <w:rsid w:val="00404160"/>
    <w:rsid w:val="004049FF"/>
    <w:rsid w:val="00404DC0"/>
    <w:rsid w:val="00405ED5"/>
    <w:rsid w:val="00406221"/>
    <w:rsid w:val="004075CD"/>
    <w:rsid w:val="00410136"/>
    <w:rsid w:val="004104BE"/>
    <w:rsid w:val="00410B80"/>
    <w:rsid w:val="00411712"/>
    <w:rsid w:val="00411DF0"/>
    <w:rsid w:val="00412203"/>
    <w:rsid w:val="004123F6"/>
    <w:rsid w:val="0041260F"/>
    <w:rsid w:val="00413A6A"/>
    <w:rsid w:val="00413FB7"/>
    <w:rsid w:val="0041449E"/>
    <w:rsid w:val="00414AB1"/>
    <w:rsid w:val="00415AAF"/>
    <w:rsid w:val="0041604A"/>
    <w:rsid w:val="004163D3"/>
    <w:rsid w:val="0041671F"/>
    <w:rsid w:val="0041688E"/>
    <w:rsid w:val="004176DA"/>
    <w:rsid w:val="00417894"/>
    <w:rsid w:val="0042074A"/>
    <w:rsid w:val="004217F5"/>
    <w:rsid w:val="004219B7"/>
    <w:rsid w:val="00423C55"/>
    <w:rsid w:val="004247B5"/>
    <w:rsid w:val="00426F5B"/>
    <w:rsid w:val="00427727"/>
    <w:rsid w:val="0043060E"/>
    <w:rsid w:val="00430652"/>
    <w:rsid w:val="00430A13"/>
    <w:rsid w:val="00431446"/>
    <w:rsid w:val="004315B0"/>
    <w:rsid w:val="0043277A"/>
    <w:rsid w:val="00432F5C"/>
    <w:rsid w:val="0043342F"/>
    <w:rsid w:val="004334BE"/>
    <w:rsid w:val="004361A6"/>
    <w:rsid w:val="00436657"/>
    <w:rsid w:val="00440D7B"/>
    <w:rsid w:val="004426B5"/>
    <w:rsid w:val="00442797"/>
    <w:rsid w:val="004430C6"/>
    <w:rsid w:val="00444CAA"/>
    <w:rsid w:val="00444E51"/>
    <w:rsid w:val="00445428"/>
    <w:rsid w:val="0044591C"/>
    <w:rsid w:val="00445F3A"/>
    <w:rsid w:val="00445F9C"/>
    <w:rsid w:val="004468CA"/>
    <w:rsid w:val="00446B3C"/>
    <w:rsid w:val="00446D95"/>
    <w:rsid w:val="00450758"/>
    <w:rsid w:val="00451278"/>
    <w:rsid w:val="004514F5"/>
    <w:rsid w:val="00451F6F"/>
    <w:rsid w:val="0045254C"/>
    <w:rsid w:val="00452813"/>
    <w:rsid w:val="0045291D"/>
    <w:rsid w:val="00452DE3"/>
    <w:rsid w:val="004539B2"/>
    <w:rsid w:val="00453CD5"/>
    <w:rsid w:val="0045519A"/>
    <w:rsid w:val="0045554B"/>
    <w:rsid w:val="00456570"/>
    <w:rsid w:val="004565CC"/>
    <w:rsid w:val="004575B4"/>
    <w:rsid w:val="004579DB"/>
    <w:rsid w:val="00460027"/>
    <w:rsid w:val="0046084F"/>
    <w:rsid w:val="0046086B"/>
    <w:rsid w:val="004610F8"/>
    <w:rsid w:val="004612D8"/>
    <w:rsid w:val="00461A76"/>
    <w:rsid w:val="0046353C"/>
    <w:rsid w:val="004638B1"/>
    <w:rsid w:val="00463FC6"/>
    <w:rsid w:val="00463FFA"/>
    <w:rsid w:val="00464347"/>
    <w:rsid w:val="00464398"/>
    <w:rsid w:val="004654D7"/>
    <w:rsid w:val="00465D1F"/>
    <w:rsid w:val="00466B7B"/>
    <w:rsid w:val="00467EF9"/>
    <w:rsid w:val="00470BD9"/>
    <w:rsid w:val="00470CA8"/>
    <w:rsid w:val="00470DB3"/>
    <w:rsid w:val="0047105C"/>
    <w:rsid w:val="0047140F"/>
    <w:rsid w:val="00472196"/>
    <w:rsid w:val="0047232C"/>
    <w:rsid w:val="00472C5C"/>
    <w:rsid w:val="00472FF3"/>
    <w:rsid w:val="00473475"/>
    <w:rsid w:val="00475D6D"/>
    <w:rsid w:val="004760E6"/>
    <w:rsid w:val="004767C9"/>
    <w:rsid w:val="00476BC1"/>
    <w:rsid w:val="00477008"/>
    <w:rsid w:val="00477761"/>
    <w:rsid w:val="00477C38"/>
    <w:rsid w:val="004812BE"/>
    <w:rsid w:val="0048228E"/>
    <w:rsid w:val="00483391"/>
    <w:rsid w:val="004833C2"/>
    <w:rsid w:val="00483633"/>
    <w:rsid w:val="00483DCB"/>
    <w:rsid w:val="00483E82"/>
    <w:rsid w:val="004845AE"/>
    <w:rsid w:val="00484872"/>
    <w:rsid w:val="00485B36"/>
    <w:rsid w:val="00485C41"/>
    <w:rsid w:val="004871FD"/>
    <w:rsid w:val="0048730D"/>
    <w:rsid w:val="00490724"/>
    <w:rsid w:val="00490A5F"/>
    <w:rsid w:val="00491245"/>
    <w:rsid w:val="00491D20"/>
    <w:rsid w:val="0049203A"/>
    <w:rsid w:val="00492719"/>
    <w:rsid w:val="00492CAE"/>
    <w:rsid w:val="00493227"/>
    <w:rsid w:val="00493757"/>
    <w:rsid w:val="0049393C"/>
    <w:rsid w:val="00493C8E"/>
    <w:rsid w:val="00493EE5"/>
    <w:rsid w:val="004944C1"/>
    <w:rsid w:val="00494CBD"/>
    <w:rsid w:val="00495C7E"/>
    <w:rsid w:val="00495FA5"/>
    <w:rsid w:val="004967C3"/>
    <w:rsid w:val="00496CB8"/>
    <w:rsid w:val="00497356"/>
    <w:rsid w:val="00497DC7"/>
    <w:rsid w:val="004A065D"/>
    <w:rsid w:val="004A146A"/>
    <w:rsid w:val="004A1501"/>
    <w:rsid w:val="004A159F"/>
    <w:rsid w:val="004A1A84"/>
    <w:rsid w:val="004A292D"/>
    <w:rsid w:val="004A3126"/>
    <w:rsid w:val="004A3A2C"/>
    <w:rsid w:val="004A3BF1"/>
    <w:rsid w:val="004A3D4A"/>
    <w:rsid w:val="004A513C"/>
    <w:rsid w:val="004A56CF"/>
    <w:rsid w:val="004A58A8"/>
    <w:rsid w:val="004A5BCB"/>
    <w:rsid w:val="004A6406"/>
    <w:rsid w:val="004A6640"/>
    <w:rsid w:val="004A74AC"/>
    <w:rsid w:val="004B09E3"/>
    <w:rsid w:val="004B0BD0"/>
    <w:rsid w:val="004B1CC6"/>
    <w:rsid w:val="004B2267"/>
    <w:rsid w:val="004B25F0"/>
    <w:rsid w:val="004B2BD5"/>
    <w:rsid w:val="004B31C5"/>
    <w:rsid w:val="004B39C8"/>
    <w:rsid w:val="004B4376"/>
    <w:rsid w:val="004B4A85"/>
    <w:rsid w:val="004B5866"/>
    <w:rsid w:val="004B5A1F"/>
    <w:rsid w:val="004B5D49"/>
    <w:rsid w:val="004B62E5"/>
    <w:rsid w:val="004B6564"/>
    <w:rsid w:val="004B66C1"/>
    <w:rsid w:val="004B68D5"/>
    <w:rsid w:val="004B7205"/>
    <w:rsid w:val="004B7617"/>
    <w:rsid w:val="004B7918"/>
    <w:rsid w:val="004B7D70"/>
    <w:rsid w:val="004B7EA0"/>
    <w:rsid w:val="004C0063"/>
    <w:rsid w:val="004C02E7"/>
    <w:rsid w:val="004C0575"/>
    <w:rsid w:val="004C0823"/>
    <w:rsid w:val="004C2234"/>
    <w:rsid w:val="004C2E6D"/>
    <w:rsid w:val="004C346E"/>
    <w:rsid w:val="004C3829"/>
    <w:rsid w:val="004C38CB"/>
    <w:rsid w:val="004C3D0E"/>
    <w:rsid w:val="004C4536"/>
    <w:rsid w:val="004C7307"/>
    <w:rsid w:val="004C7B60"/>
    <w:rsid w:val="004D0221"/>
    <w:rsid w:val="004D0652"/>
    <w:rsid w:val="004D09D4"/>
    <w:rsid w:val="004D2FC8"/>
    <w:rsid w:val="004D5962"/>
    <w:rsid w:val="004D5BFA"/>
    <w:rsid w:val="004D5ED3"/>
    <w:rsid w:val="004D6619"/>
    <w:rsid w:val="004D67FF"/>
    <w:rsid w:val="004D6CC7"/>
    <w:rsid w:val="004E0F91"/>
    <w:rsid w:val="004E192E"/>
    <w:rsid w:val="004E2667"/>
    <w:rsid w:val="004E2828"/>
    <w:rsid w:val="004E351D"/>
    <w:rsid w:val="004E422C"/>
    <w:rsid w:val="004E48C3"/>
    <w:rsid w:val="004E565D"/>
    <w:rsid w:val="004F000D"/>
    <w:rsid w:val="004F0AD8"/>
    <w:rsid w:val="004F1061"/>
    <w:rsid w:val="004F118F"/>
    <w:rsid w:val="004F238A"/>
    <w:rsid w:val="004F26A9"/>
    <w:rsid w:val="004F2704"/>
    <w:rsid w:val="004F28B9"/>
    <w:rsid w:val="004F2D12"/>
    <w:rsid w:val="004F31F0"/>
    <w:rsid w:val="004F3775"/>
    <w:rsid w:val="004F3E4B"/>
    <w:rsid w:val="004F3FF3"/>
    <w:rsid w:val="004F4346"/>
    <w:rsid w:val="004F477D"/>
    <w:rsid w:val="004F4AB6"/>
    <w:rsid w:val="004F5FDE"/>
    <w:rsid w:val="00500C48"/>
    <w:rsid w:val="00500F38"/>
    <w:rsid w:val="0050205E"/>
    <w:rsid w:val="00502286"/>
    <w:rsid w:val="00502375"/>
    <w:rsid w:val="00502D1B"/>
    <w:rsid w:val="00502FC4"/>
    <w:rsid w:val="0050316F"/>
    <w:rsid w:val="005034CD"/>
    <w:rsid w:val="00503BDD"/>
    <w:rsid w:val="00504303"/>
    <w:rsid w:val="00504680"/>
    <w:rsid w:val="00504AFA"/>
    <w:rsid w:val="00505BEE"/>
    <w:rsid w:val="00505EC9"/>
    <w:rsid w:val="005069C7"/>
    <w:rsid w:val="00507CA9"/>
    <w:rsid w:val="00507E81"/>
    <w:rsid w:val="00510335"/>
    <w:rsid w:val="005104EC"/>
    <w:rsid w:val="005107BF"/>
    <w:rsid w:val="00510A3A"/>
    <w:rsid w:val="00511856"/>
    <w:rsid w:val="00511B39"/>
    <w:rsid w:val="0051255F"/>
    <w:rsid w:val="00512C55"/>
    <w:rsid w:val="00513456"/>
    <w:rsid w:val="00513C20"/>
    <w:rsid w:val="00514859"/>
    <w:rsid w:val="00514EE2"/>
    <w:rsid w:val="0051574A"/>
    <w:rsid w:val="00516585"/>
    <w:rsid w:val="00516E6C"/>
    <w:rsid w:val="00516FBA"/>
    <w:rsid w:val="005172C8"/>
    <w:rsid w:val="0051738D"/>
    <w:rsid w:val="00517712"/>
    <w:rsid w:val="005177AF"/>
    <w:rsid w:val="00517CC0"/>
    <w:rsid w:val="00521CB0"/>
    <w:rsid w:val="0052237C"/>
    <w:rsid w:val="00522674"/>
    <w:rsid w:val="005240BA"/>
    <w:rsid w:val="0052441D"/>
    <w:rsid w:val="00524469"/>
    <w:rsid w:val="00524C68"/>
    <w:rsid w:val="00525709"/>
    <w:rsid w:val="005259BB"/>
    <w:rsid w:val="00525A37"/>
    <w:rsid w:val="00525E3A"/>
    <w:rsid w:val="00526AA0"/>
    <w:rsid w:val="00526C1C"/>
    <w:rsid w:val="0052723F"/>
    <w:rsid w:val="00527487"/>
    <w:rsid w:val="00530AB0"/>
    <w:rsid w:val="00531085"/>
    <w:rsid w:val="00531BC1"/>
    <w:rsid w:val="00532987"/>
    <w:rsid w:val="00532E01"/>
    <w:rsid w:val="00533FCA"/>
    <w:rsid w:val="00534FE2"/>
    <w:rsid w:val="00535190"/>
    <w:rsid w:val="00535531"/>
    <w:rsid w:val="0053617B"/>
    <w:rsid w:val="005365B1"/>
    <w:rsid w:val="00536C50"/>
    <w:rsid w:val="005376DE"/>
    <w:rsid w:val="005379AB"/>
    <w:rsid w:val="00537EA2"/>
    <w:rsid w:val="005408F9"/>
    <w:rsid w:val="00540ABC"/>
    <w:rsid w:val="00542C1F"/>
    <w:rsid w:val="00545CCD"/>
    <w:rsid w:val="0054689F"/>
    <w:rsid w:val="005472C5"/>
    <w:rsid w:val="0054758C"/>
    <w:rsid w:val="005478D7"/>
    <w:rsid w:val="00547B2B"/>
    <w:rsid w:val="00547E68"/>
    <w:rsid w:val="00550BED"/>
    <w:rsid w:val="00551CDC"/>
    <w:rsid w:val="0055226E"/>
    <w:rsid w:val="005522AF"/>
    <w:rsid w:val="00552408"/>
    <w:rsid w:val="00553CF3"/>
    <w:rsid w:val="00554A15"/>
    <w:rsid w:val="0055625B"/>
    <w:rsid w:val="00556C8E"/>
    <w:rsid w:val="005570DA"/>
    <w:rsid w:val="005570DE"/>
    <w:rsid w:val="00557597"/>
    <w:rsid w:val="005608B7"/>
    <w:rsid w:val="005609A5"/>
    <w:rsid w:val="0056272A"/>
    <w:rsid w:val="00564AD2"/>
    <w:rsid w:val="00564CBC"/>
    <w:rsid w:val="00565079"/>
    <w:rsid w:val="00565C95"/>
    <w:rsid w:val="005663D1"/>
    <w:rsid w:val="0056667C"/>
    <w:rsid w:val="0056681A"/>
    <w:rsid w:val="00566E48"/>
    <w:rsid w:val="00567C20"/>
    <w:rsid w:val="0057063E"/>
    <w:rsid w:val="0057168E"/>
    <w:rsid w:val="00572753"/>
    <w:rsid w:val="0057295F"/>
    <w:rsid w:val="00573917"/>
    <w:rsid w:val="00573B01"/>
    <w:rsid w:val="00573EA8"/>
    <w:rsid w:val="005743EC"/>
    <w:rsid w:val="00576BDD"/>
    <w:rsid w:val="00576F9B"/>
    <w:rsid w:val="0057769B"/>
    <w:rsid w:val="005776DB"/>
    <w:rsid w:val="00577C0B"/>
    <w:rsid w:val="0058068A"/>
    <w:rsid w:val="00580C24"/>
    <w:rsid w:val="0058124A"/>
    <w:rsid w:val="0058143A"/>
    <w:rsid w:val="00581AC2"/>
    <w:rsid w:val="00581EB6"/>
    <w:rsid w:val="005829AC"/>
    <w:rsid w:val="005829C2"/>
    <w:rsid w:val="00582A76"/>
    <w:rsid w:val="00582CA2"/>
    <w:rsid w:val="005837D1"/>
    <w:rsid w:val="00583961"/>
    <w:rsid w:val="00584031"/>
    <w:rsid w:val="0058638B"/>
    <w:rsid w:val="005865C9"/>
    <w:rsid w:val="00586747"/>
    <w:rsid w:val="0058720D"/>
    <w:rsid w:val="00587C37"/>
    <w:rsid w:val="00587EC9"/>
    <w:rsid w:val="00587F71"/>
    <w:rsid w:val="005906D2"/>
    <w:rsid w:val="0059369E"/>
    <w:rsid w:val="00593BF0"/>
    <w:rsid w:val="00593F55"/>
    <w:rsid w:val="0059413E"/>
    <w:rsid w:val="00594171"/>
    <w:rsid w:val="005955FE"/>
    <w:rsid w:val="0059575A"/>
    <w:rsid w:val="00596FD2"/>
    <w:rsid w:val="00597688"/>
    <w:rsid w:val="005A05D8"/>
    <w:rsid w:val="005A0A0E"/>
    <w:rsid w:val="005A0EA5"/>
    <w:rsid w:val="005A0F64"/>
    <w:rsid w:val="005A11E8"/>
    <w:rsid w:val="005A1316"/>
    <w:rsid w:val="005A1823"/>
    <w:rsid w:val="005A1993"/>
    <w:rsid w:val="005A2884"/>
    <w:rsid w:val="005A354D"/>
    <w:rsid w:val="005A39E4"/>
    <w:rsid w:val="005A4C04"/>
    <w:rsid w:val="005A51F0"/>
    <w:rsid w:val="005A534D"/>
    <w:rsid w:val="005A590C"/>
    <w:rsid w:val="005A5E4E"/>
    <w:rsid w:val="005A6F34"/>
    <w:rsid w:val="005A73A7"/>
    <w:rsid w:val="005A748F"/>
    <w:rsid w:val="005A74FE"/>
    <w:rsid w:val="005B03F2"/>
    <w:rsid w:val="005B0913"/>
    <w:rsid w:val="005B0E1F"/>
    <w:rsid w:val="005B1451"/>
    <w:rsid w:val="005B17AC"/>
    <w:rsid w:val="005B1E6E"/>
    <w:rsid w:val="005B2072"/>
    <w:rsid w:val="005B2BBE"/>
    <w:rsid w:val="005B3219"/>
    <w:rsid w:val="005B374B"/>
    <w:rsid w:val="005B3840"/>
    <w:rsid w:val="005B3BE1"/>
    <w:rsid w:val="005B52B7"/>
    <w:rsid w:val="005B5DDE"/>
    <w:rsid w:val="005B640C"/>
    <w:rsid w:val="005B676E"/>
    <w:rsid w:val="005B678A"/>
    <w:rsid w:val="005B7CE4"/>
    <w:rsid w:val="005B7FF1"/>
    <w:rsid w:val="005C0DEF"/>
    <w:rsid w:val="005C1348"/>
    <w:rsid w:val="005C15D7"/>
    <w:rsid w:val="005C1BF9"/>
    <w:rsid w:val="005C382F"/>
    <w:rsid w:val="005C3ECE"/>
    <w:rsid w:val="005C4355"/>
    <w:rsid w:val="005C5971"/>
    <w:rsid w:val="005C5D28"/>
    <w:rsid w:val="005C626D"/>
    <w:rsid w:val="005C67A6"/>
    <w:rsid w:val="005C6D28"/>
    <w:rsid w:val="005C6F84"/>
    <w:rsid w:val="005C732C"/>
    <w:rsid w:val="005C781F"/>
    <w:rsid w:val="005D0209"/>
    <w:rsid w:val="005D05AB"/>
    <w:rsid w:val="005D123C"/>
    <w:rsid w:val="005D2A8D"/>
    <w:rsid w:val="005D3658"/>
    <w:rsid w:val="005D4AA5"/>
    <w:rsid w:val="005D5342"/>
    <w:rsid w:val="005D549C"/>
    <w:rsid w:val="005D5BB8"/>
    <w:rsid w:val="005D5FAE"/>
    <w:rsid w:val="005D725C"/>
    <w:rsid w:val="005E070E"/>
    <w:rsid w:val="005E0C31"/>
    <w:rsid w:val="005E17D4"/>
    <w:rsid w:val="005E1B76"/>
    <w:rsid w:val="005E1FDD"/>
    <w:rsid w:val="005E233E"/>
    <w:rsid w:val="005E2EDC"/>
    <w:rsid w:val="005E3179"/>
    <w:rsid w:val="005E3859"/>
    <w:rsid w:val="005E44E3"/>
    <w:rsid w:val="005E47E3"/>
    <w:rsid w:val="005E6577"/>
    <w:rsid w:val="005E6D19"/>
    <w:rsid w:val="005E7277"/>
    <w:rsid w:val="005E7437"/>
    <w:rsid w:val="005E7D32"/>
    <w:rsid w:val="005F0B03"/>
    <w:rsid w:val="005F1396"/>
    <w:rsid w:val="005F1609"/>
    <w:rsid w:val="005F1798"/>
    <w:rsid w:val="005F2307"/>
    <w:rsid w:val="005F2378"/>
    <w:rsid w:val="005F2E3E"/>
    <w:rsid w:val="005F3678"/>
    <w:rsid w:val="005F538F"/>
    <w:rsid w:val="005F578C"/>
    <w:rsid w:val="005F5F79"/>
    <w:rsid w:val="005F73C9"/>
    <w:rsid w:val="005F73F9"/>
    <w:rsid w:val="005F7DA4"/>
    <w:rsid w:val="00600559"/>
    <w:rsid w:val="00600746"/>
    <w:rsid w:val="00601088"/>
    <w:rsid w:val="00602253"/>
    <w:rsid w:val="00602ACC"/>
    <w:rsid w:val="00603A54"/>
    <w:rsid w:val="00603DB7"/>
    <w:rsid w:val="006048DC"/>
    <w:rsid w:val="00604A27"/>
    <w:rsid w:val="00604F67"/>
    <w:rsid w:val="00605EC1"/>
    <w:rsid w:val="00607B5E"/>
    <w:rsid w:val="00607DE7"/>
    <w:rsid w:val="00610360"/>
    <w:rsid w:val="00610900"/>
    <w:rsid w:val="0061091F"/>
    <w:rsid w:val="00611F36"/>
    <w:rsid w:val="006125A6"/>
    <w:rsid w:val="00612C44"/>
    <w:rsid w:val="00612CB6"/>
    <w:rsid w:val="00613481"/>
    <w:rsid w:val="00613533"/>
    <w:rsid w:val="0061368E"/>
    <w:rsid w:val="0061377B"/>
    <w:rsid w:val="00613B0E"/>
    <w:rsid w:val="00613DE0"/>
    <w:rsid w:val="00614236"/>
    <w:rsid w:val="006155CD"/>
    <w:rsid w:val="00615BBE"/>
    <w:rsid w:val="00615E88"/>
    <w:rsid w:val="006162FA"/>
    <w:rsid w:val="006166E0"/>
    <w:rsid w:val="00616E38"/>
    <w:rsid w:val="00617286"/>
    <w:rsid w:val="00617EB0"/>
    <w:rsid w:val="00620253"/>
    <w:rsid w:val="00621F12"/>
    <w:rsid w:val="006231DA"/>
    <w:rsid w:val="00623CC6"/>
    <w:rsid w:val="00625884"/>
    <w:rsid w:val="00625E66"/>
    <w:rsid w:val="006267C9"/>
    <w:rsid w:val="00627BFE"/>
    <w:rsid w:val="006303A0"/>
    <w:rsid w:val="0063067A"/>
    <w:rsid w:val="00631F15"/>
    <w:rsid w:val="00632576"/>
    <w:rsid w:val="00632897"/>
    <w:rsid w:val="00633B2C"/>
    <w:rsid w:val="00633E93"/>
    <w:rsid w:val="0063462B"/>
    <w:rsid w:val="00634D85"/>
    <w:rsid w:val="00635093"/>
    <w:rsid w:val="00635AF5"/>
    <w:rsid w:val="00635BB9"/>
    <w:rsid w:val="006361F8"/>
    <w:rsid w:val="00636A1E"/>
    <w:rsid w:val="006405E2"/>
    <w:rsid w:val="0064081B"/>
    <w:rsid w:val="00641028"/>
    <w:rsid w:val="006415E6"/>
    <w:rsid w:val="00642EDB"/>
    <w:rsid w:val="0064378A"/>
    <w:rsid w:val="00643DAD"/>
    <w:rsid w:val="006446BE"/>
    <w:rsid w:val="006471FE"/>
    <w:rsid w:val="00647384"/>
    <w:rsid w:val="00647E21"/>
    <w:rsid w:val="00647EE6"/>
    <w:rsid w:val="00650933"/>
    <w:rsid w:val="0065173E"/>
    <w:rsid w:val="006519EC"/>
    <w:rsid w:val="00651A31"/>
    <w:rsid w:val="00652867"/>
    <w:rsid w:val="00652C20"/>
    <w:rsid w:val="00652C43"/>
    <w:rsid w:val="00652EA9"/>
    <w:rsid w:val="00653277"/>
    <w:rsid w:val="00653481"/>
    <w:rsid w:val="006534C0"/>
    <w:rsid w:val="0065408C"/>
    <w:rsid w:val="00654188"/>
    <w:rsid w:val="00654193"/>
    <w:rsid w:val="00654E32"/>
    <w:rsid w:val="006567C6"/>
    <w:rsid w:val="00656AB4"/>
    <w:rsid w:val="00657450"/>
    <w:rsid w:val="006576AA"/>
    <w:rsid w:val="00660598"/>
    <w:rsid w:val="00660BF1"/>
    <w:rsid w:val="00661129"/>
    <w:rsid w:val="00661A82"/>
    <w:rsid w:val="00662810"/>
    <w:rsid w:val="006628F9"/>
    <w:rsid w:val="006629F6"/>
    <w:rsid w:val="00662D66"/>
    <w:rsid w:val="00663576"/>
    <w:rsid w:val="00664C1D"/>
    <w:rsid w:val="00664FD5"/>
    <w:rsid w:val="0066668A"/>
    <w:rsid w:val="006671CC"/>
    <w:rsid w:val="006673B9"/>
    <w:rsid w:val="00667AEC"/>
    <w:rsid w:val="00670227"/>
    <w:rsid w:val="00670DEF"/>
    <w:rsid w:val="006717E6"/>
    <w:rsid w:val="00672F23"/>
    <w:rsid w:val="00673488"/>
    <w:rsid w:val="006739D3"/>
    <w:rsid w:val="00673FFB"/>
    <w:rsid w:val="0067436C"/>
    <w:rsid w:val="0067441A"/>
    <w:rsid w:val="006754BB"/>
    <w:rsid w:val="00675A1F"/>
    <w:rsid w:val="006763FE"/>
    <w:rsid w:val="0067667E"/>
    <w:rsid w:val="0067670B"/>
    <w:rsid w:val="00677103"/>
    <w:rsid w:val="00677CC1"/>
    <w:rsid w:val="00677E49"/>
    <w:rsid w:val="006804D3"/>
    <w:rsid w:val="0068061C"/>
    <w:rsid w:val="006806AA"/>
    <w:rsid w:val="006817C6"/>
    <w:rsid w:val="00681F1F"/>
    <w:rsid w:val="00681FC9"/>
    <w:rsid w:val="006826A7"/>
    <w:rsid w:val="00682C5E"/>
    <w:rsid w:val="00683964"/>
    <w:rsid w:val="00683F3F"/>
    <w:rsid w:val="0068404A"/>
    <w:rsid w:val="00684993"/>
    <w:rsid w:val="00685AF0"/>
    <w:rsid w:val="00685DBF"/>
    <w:rsid w:val="00686165"/>
    <w:rsid w:val="00686377"/>
    <w:rsid w:val="00690230"/>
    <w:rsid w:val="00690300"/>
    <w:rsid w:val="0069090C"/>
    <w:rsid w:val="00691801"/>
    <w:rsid w:val="00692D81"/>
    <w:rsid w:val="00693046"/>
    <w:rsid w:val="00694157"/>
    <w:rsid w:val="00695575"/>
    <w:rsid w:val="006958AD"/>
    <w:rsid w:val="006960E9"/>
    <w:rsid w:val="00696979"/>
    <w:rsid w:val="00697321"/>
    <w:rsid w:val="00697EFC"/>
    <w:rsid w:val="006A0825"/>
    <w:rsid w:val="006A1908"/>
    <w:rsid w:val="006A198E"/>
    <w:rsid w:val="006A230C"/>
    <w:rsid w:val="006A264F"/>
    <w:rsid w:val="006A3148"/>
    <w:rsid w:val="006A3E99"/>
    <w:rsid w:val="006A6177"/>
    <w:rsid w:val="006A6308"/>
    <w:rsid w:val="006A6410"/>
    <w:rsid w:val="006A78EF"/>
    <w:rsid w:val="006A79FD"/>
    <w:rsid w:val="006A7E0D"/>
    <w:rsid w:val="006B0581"/>
    <w:rsid w:val="006B0A25"/>
    <w:rsid w:val="006B101B"/>
    <w:rsid w:val="006B1365"/>
    <w:rsid w:val="006B3951"/>
    <w:rsid w:val="006B3A1B"/>
    <w:rsid w:val="006B4545"/>
    <w:rsid w:val="006B512C"/>
    <w:rsid w:val="006B53B6"/>
    <w:rsid w:val="006B596D"/>
    <w:rsid w:val="006B6376"/>
    <w:rsid w:val="006B7DED"/>
    <w:rsid w:val="006C08B7"/>
    <w:rsid w:val="006C0BD1"/>
    <w:rsid w:val="006C0BD8"/>
    <w:rsid w:val="006C0F42"/>
    <w:rsid w:val="006C107C"/>
    <w:rsid w:val="006C2C2B"/>
    <w:rsid w:val="006C3CB8"/>
    <w:rsid w:val="006C3F0A"/>
    <w:rsid w:val="006C4EB4"/>
    <w:rsid w:val="006C4F89"/>
    <w:rsid w:val="006C54EC"/>
    <w:rsid w:val="006C5C00"/>
    <w:rsid w:val="006C63EC"/>
    <w:rsid w:val="006C642B"/>
    <w:rsid w:val="006C6C88"/>
    <w:rsid w:val="006C71DD"/>
    <w:rsid w:val="006D0D90"/>
    <w:rsid w:val="006D187B"/>
    <w:rsid w:val="006D1DB5"/>
    <w:rsid w:val="006D1ED4"/>
    <w:rsid w:val="006D1FBF"/>
    <w:rsid w:val="006D32F0"/>
    <w:rsid w:val="006D335F"/>
    <w:rsid w:val="006D4A8A"/>
    <w:rsid w:val="006D4ECC"/>
    <w:rsid w:val="006D6099"/>
    <w:rsid w:val="006D62F0"/>
    <w:rsid w:val="006D7596"/>
    <w:rsid w:val="006D7DF3"/>
    <w:rsid w:val="006D7FD7"/>
    <w:rsid w:val="006E040A"/>
    <w:rsid w:val="006E08CE"/>
    <w:rsid w:val="006E0E8E"/>
    <w:rsid w:val="006E1207"/>
    <w:rsid w:val="006E151D"/>
    <w:rsid w:val="006E22B1"/>
    <w:rsid w:val="006E2309"/>
    <w:rsid w:val="006E2659"/>
    <w:rsid w:val="006E3456"/>
    <w:rsid w:val="006E3C6F"/>
    <w:rsid w:val="006E4297"/>
    <w:rsid w:val="006E6928"/>
    <w:rsid w:val="006E7B09"/>
    <w:rsid w:val="006E7B72"/>
    <w:rsid w:val="006E7FAD"/>
    <w:rsid w:val="006F25D5"/>
    <w:rsid w:val="006F2E8E"/>
    <w:rsid w:val="006F33E3"/>
    <w:rsid w:val="006F38FC"/>
    <w:rsid w:val="006F48B5"/>
    <w:rsid w:val="006F50F0"/>
    <w:rsid w:val="006F5DC7"/>
    <w:rsid w:val="006F6D3B"/>
    <w:rsid w:val="006F7501"/>
    <w:rsid w:val="006F7B8D"/>
    <w:rsid w:val="00700548"/>
    <w:rsid w:val="00700890"/>
    <w:rsid w:val="00700ABF"/>
    <w:rsid w:val="00700FB4"/>
    <w:rsid w:val="00701BC9"/>
    <w:rsid w:val="00702E46"/>
    <w:rsid w:val="00703F7B"/>
    <w:rsid w:val="007041AE"/>
    <w:rsid w:val="00704401"/>
    <w:rsid w:val="00704E20"/>
    <w:rsid w:val="00705219"/>
    <w:rsid w:val="007056A9"/>
    <w:rsid w:val="0070628D"/>
    <w:rsid w:val="0070776A"/>
    <w:rsid w:val="0070792F"/>
    <w:rsid w:val="00707FFE"/>
    <w:rsid w:val="00710687"/>
    <w:rsid w:val="00710816"/>
    <w:rsid w:val="00710974"/>
    <w:rsid w:val="00710A0F"/>
    <w:rsid w:val="00710B77"/>
    <w:rsid w:val="0071148B"/>
    <w:rsid w:val="00711D5C"/>
    <w:rsid w:val="00712448"/>
    <w:rsid w:val="00712B73"/>
    <w:rsid w:val="00712C13"/>
    <w:rsid w:val="00712DEB"/>
    <w:rsid w:val="00713DBF"/>
    <w:rsid w:val="0071415C"/>
    <w:rsid w:val="007147E4"/>
    <w:rsid w:val="00714CCD"/>
    <w:rsid w:val="007154F7"/>
    <w:rsid w:val="007155B9"/>
    <w:rsid w:val="007158E5"/>
    <w:rsid w:val="00717B3C"/>
    <w:rsid w:val="00721560"/>
    <w:rsid w:val="0072166D"/>
    <w:rsid w:val="00721836"/>
    <w:rsid w:val="007218EF"/>
    <w:rsid w:val="00722044"/>
    <w:rsid w:val="0072206F"/>
    <w:rsid w:val="00723839"/>
    <w:rsid w:val="0072396B"/>
    <w:rsid w:val="00723D9D"/>
    <w:rsid w:val="007246BE"/>
    <w:rsid w:val="00725144"/>
    <w:rsid w:val="007252EC"/>
    <w:rsid w:val="00725FAE"/>
    <w:rsid w:val="007261C3"/>
    <w:rsid w:val="00726CC5"/>
    <w:rsid w:val="007271A5"/>
    <w:rsid w:val="007272F2"/>
    <w:rsid w:val="00730A5E"/>
    <w:rsid w:val="0073102F"/>
    <w:rsid w:val="007312B3"/>
    <w:rsid w:val="007316AE"/>
    <w:rsid w:val="007321CB"/>
    <w:rsid w:val="0073261F"/>
    <w:rsid w:val="00733388"/>
    <w:rsid w:val="0073379E"/>
    <w:rsid w:val="007339E3"/>
    <w:rsid w:val="00733B1A"/>
    <w:rsid w:val="0073675A"/>
    <w:rsid w:val="00737AE9"/>
    <w:rsid w:val="0074017B"/>
    <w:rsid w:val="007405DA"/>
    <w:rsid w:val="007406B2"/>
    <w:rsid w:val="00740C73"/>
    <w:rsid w:val="00740F08"/>
    <w:rsid w:val="00741684"/>
    <w:rsid w:val="007427D2"/>
    <w:rsid w:val="007428FB"/>
    <w:rsid w:val="00742C24"/>
    <w:rsid w:val="007437DA"/>
    <w:rsid w:val="00743B8C"/>
    <w:rsid w:val="007441A8"/>
    <w:rsid w:val="00744335"/>
    <w:rsid w:val="00744660"/>
    <w:rsid w:val="00744BB1"/>
    <w:rsid w:val="00744C29"/>
    <w:rsid w:val="00744E96"/>
    <w:rsid w:val="00744EED"/>
    <w:rsid w:val="0074555C"/>
    <w:rsid w:val="007456E2"/>
    <w:rsid w:val="00745816"/>
    <w:rsid w:val="00745F4D"/>
    <w:rsid w:val="007475D9"/>
    <w:rsid w:val="00747FBD"/>
    <w:rsid w:val="0075003B"/>
    <w:rsid w:val="00750805"/>
    <w:rsid w:val="0075097C"/>
    <w:rsid w:val="007511E6"/>
    <w:rsid w:val="007516B4"/>
    <w:rsid w:val="00751894"/>
    <w:rsid w:val="00751911"/>
    <w:rsid w:val="00751F02"/>
    <w:rsid w:val="007528F6"/>
    <w:rsid w:val="00753C9D"/>
    <w:rsid w:val="007543B5"/>
    <w:rsid w:val="00754666"/>
    <w:rsid w:val="00754DEA"/>
    <w:rsid w:val="00755091"/>
    <w:rsid w:val="00755537"/>
    <w:rsid w:val="00755838"/>
    <w:rsid w:val="00755CF4"/>
    <w:rsid w:val="007563A6"/>
    <w:rsid w:val="00756923"/>
    <w:rsid w:val="00757285"/>
    <w:rsid w:val="007577AD"/>
    <w:rsid w:val="0076064A"/>
    <w:rsid w:val="00760EE0"/>
    <w:rsid w:val="00761724"/>
    <w:rsid w:val="00761779"/>
    <w:rsid w:val="00762AEA"/>
    <w:rsid w:val="00762EDB"/>
    <w:rsid w:val="00763799"/>
    <w:rsid w:val="00763871"/>
    <w:rsid w:val="007638E7"/>
    <w:rsid w:val="007640E5"/>
    <w:rsid w:val="00764878"/>
    <w:rsid w:val="007648EB"/>
    <w:rsid w:val="00764AF7"/>
    <w:rsid w:val="00765630"/>
    <w:rsid w:val="00765DCA"/>
    <w:rsid w:val="007666F4"/>
    <w:rsid w:val="00766D7C"/>
    <w:rsid w:val="00766F5E"/>
    <w:rsid w:val="0077047D"/>
    <w:rsid w:val="00770780"/>
    <w:rsid w:val="00770ADE"/>
    <w:rsid w:val="00771838"/>
    <w:rsid w:val="007729FB"/>
    <w:rsid w:val="00772FBD"/>
    <w:rsid w:val="00773124"/>
    <w:rsid w:val="007732F4"/>
    <w:rsid w:val="00773311"/>
    <w:rsid w:val="007742E9"/>
    <w:rsid w:val="00774D4A"/>
    <w:rsid w:val="00776367"/>
    <w:rsid w:val="00776D06"/>
    <w:rsid w:val="007806FD"/>
    <w:rsid w:val="00780D0C"/>
    <w:rsid w:val="00781A66"/>
    <w:rsid w:val="00782A4E"/>
    <w:rsid w:val="00783087"/>
    <w:rsid w:val="00784626"/>
    <w:rsid w:val="007847D7"/>
    <w:rsid w:val="00784A5E"/>
    <w:rsid w:val="00784BCC"/>
    <w:rsid w:val="007854E8"/>
    <w:rsid w:val="00785548"/>
    <w:rsid w:val="00785DEE"/>
    <w:rsid w:val="00785EC7"/>
    <w:rsid w:val="00786008"/>
    <w:rsid w:val="0078656F"/>
    <w:rsid w:val="00786758"/>
    <w:rsid w:val="00790489"/>
    <w:rsid w:val="00791585"/>
    <w:rsid w:val="00791667"/>
    <w:rsid w:val="007918B5"/>
    <w:rsid w:val="007919E5"/>
    <w:rsid w:val="00791AB5"/>
    <w:rsid w:val="007929A0"/>
    <w:rsid w:val="00793222"/>
    <w:rsid w:val="00793DDF"/>
    <w:rsid w:val="00794455"/>
    <w:rsid w:val="00794627"/>
    <w:rsid w:val="00794D90"/>
    <w:rsid w:val="007966E0"/>
    <w:rsid w:val="00796BBB"/>
    <w:rsid w:val="007973DD"/>
    <w:rsid w:val="00797CDE"/>
    <w:rsid w:val="007A04C1"/>
    <w:rsid w:val="007A0F47"/>
    <w:rsid w:val="007A1C51"/>
    <w:rsid w:val="007A2B2B"/>
    <w:rsid w:val="007A2E2A"/>
    <w:rsid w:val="007A377A"/>
    <w:rsid w:val="007A38F5"/>
    <w:rsid w:val="007A4260"/>
    <w:rsid w:val="007A4C21"/>
    <w:rsid w:val="007A51B8"/>
    <w:rsid w:val="007A5DB4"/>
    <w:rsid w:val="007A6145"/>
    <w:rsid w:val="007A66E0"/>
    <w:rsid w:val="007A674E"/>
    <w:rsid w:val="007A6EC3"/>
    <w:rsid w:val="007B1882"/>
    <w:rsid w:val="007B1CE6"/>
    <w:rsid w:val="007B2896"/>
    <w:rsid w:val="007B28B5"/>
    <w:rsid w:val="007B3759"/>
    <w:rsid w:val="007B3D78"/>
    <w:rsid w:val="007B4B1D"/>
    <w:rsid w:val="007B52A1"/>
    <w:rsid w:val="007B6153"/>
    <w:rsid w:val="007B6314"/>
    <w:rsid w:val="007B6374"/>
    <w:rsid w:val="007B6DE6"/>
    <w:rsid w:val="007C0FF8"/>
    <w:rsid w:val="007C17AF"/>
    <w:rsid w:val="007C1852"/>
    <w:rsid w:val="007C1890"/>
    <w:rsid w:val="007C2ED1"/>
    <w:rsid w:val="007C3144"/>
    <w:rsid w:val="007C3796"/>
    <w:rsid w:val="007C3CE0"/>
    <w:rsid w:val="007C463C"/>
    <w:rsid w:val="007C4B7F"/>
    <w:rsid w:val="007C4EBD"/>
    <w:rsid w:val="007C533E"/>
    <w:rsid w:val="007C55B0"/>
    <w:rsid w:val="007C643D"/>
    <w:rsid w:val="007C70D4"/>
    <w:rsid w:val="007C7F66"/>
    <w:rsid w:val="007D1024"/>
    <w:rsid w:val="007D1F19"/>
    <w:rsid w:val="007D20E2"/>
    <w:rsid w:val="007D21E4"/>
    <w:rsid w:val="007D2FCD"/>
    <w:rsid w:val="007D36E9"/>
    <w:rsid w:val="007D3B8E"/>
    <w:rsid w:val="007D3E09"/>
    <w:rsid w:val="007D4611"/>
    <w:rsid w:val="007D51AE"/>
    <w:rsid w:val="007D535E"/>
    <w:rsid w:val="007D569B"/>
    <w:rsid w:val="007D580D"/>
    <w:rsid w:val="007D5987"/>
    <w:rsid w:val="007D5B74"/>
    <w:rsid w:val="007D66A7"/>
    <w:rsid w:val="007D684E"/>
    <w:rsid w:val="007D7145"/>
    <w:rsid w:val="007D785B"/>
    <w:rsid w:val="007D7B5B"/>
    <w:rsid w:val="007E0116"/>
    <w:rsid w:val="007E0EDF"/>
    <w:rsid w:val="007E23B1"/>
    <w:rsid w:val="007E28F8"/>
    <w:rsid w:val="007E3B00"/>
    <w:rsid w:val="007E3D2D"/>
    <w:rsid w:val="007E406F"/>
    <w:rsid w:val="007E4358"/>
    <w:rsid w:val="007E55BD"/>
    <w:rsid w:val="007E595E"/>
    <w:rsid w:val="007E59D6"/>
    <w:rsid w:val="007E5BC6"/>
    <w:rsid w:val="007E630F"/>
    <w:rsid w:val="007E64FB"/>
    <w:rsid w:val="007E7B22"/>
    <w:rsid w:val="007E7C05"/>
    <w:rsid w:val="007E7C10"/>
    <w:rsid w:val="007F0838"/>
    <w:rsid w:val="007F0C39"/>
    <w:rsid w:val="007F12C0"/>
    <w:rsid w:val="007F1782"/>
    <w:rsid w:val="007F1C58"/>
    <w:rsid w:val="007F1E47"/>
    <w:rsid w:val="007F1E91"/>
    <w:rsid w:val="007F1FEB"/>
    <w:rsid w:val="007F2622"/>
    <w:rsid w:val="007F27B0"/>
    <w:rsid w:val="007F3531"/>
    <w:rsid w:val="007F3DDB"/>
    <w:rsid w:val="007F3EA5"/>
    <w:rsid w:val="007F4731"/>
    <w:rsid w:val="007F59B0"/>
    <w:rsid w:val="007F60EB"/>
    <w:rsid w:val="007F6222"/>
    <w:rsid w:val="007F63D3"/>
    <w:rsid w:val="007F6C82"/>
    <w:rsid w:val="007F7751"/>
    <w:rsid w:val="007F7911"/>
    <w:rsid w:val="007F7DE6"/>
    <w:rsid w:val="007F7FFD"/>
    <w:rsid w:val="00800544"/>
    <w:rsid w:val="0080068A"/>
    <w:rsid w:val="008007C9"/>
    <w:rsid w:val="0080314A"/>
    <w:rsid w:val="00803445"/>
    <w:rsid w:val="008036A5"/>
    <w:rsid w:val="0080395B"/>
    <w:rsid w:val="00805D5A"/>
    <w:rsid w:val="00805FBA"/>
    <w:rsid w:val="00806EF6"/>
    <w:rsid w:val="00807BFF"/>
    <w:rsid w:val="00810C45"/>
    <w:rsid w:val="00810E40"/>
    <w:rsid w:val="0081126C"/>
    <w:rsid w:val="008113D3"/>
    <w:rsid w:val="00811456"/>
    <w:rsid w:val="00811E78"/>
    <w:rsid w:val="008120CB"/>
    <w:rsid w:val="0081214F"/>
    <w:rsid w:val="00812897"/>
    <w:rsid w:val="00812C55"/>
    <w:rsid w:val="00813E8E"/>
    <w:rsid w:val="00814403"/>
    <w:rsid w:val="00815E54"/>
    <w:rsid w:val="00816656"/>
    <w:rsid w:val="008171A3"/>
    <w:rsid w:val="0081783A"/>
    <w:rsid w:val="00817EE7"/>
    <w:rsid w:val="008204A7"/>
    <w:rsid w:val="008214E4"/>
    <w:rsid w:val="00821519"/>
    <w:rsid w:val="00821CA7"/>
    <w:rsid w:val="00821DB8"/>
    <w:rsid w:val="00822178"/>
    <w:rsid w:val="00822707"/>
    <w:rsid w:val="0082385D"/>
    <w:rsid w:val="00824A33"/>
    <w:rsid w:val="00824C09"/>
    <w:rsid w:val="008253E2"/>
    <w:rsid w:val="00826341"/>
    <w:rsid w:val="00826850"/>
    <w:rsid w:val="00826E52"/>
    <w:rsid w:val="00827CAD"/>
    <w:rsid w:val="00827EC3"/>
    <w:rsid w:val="0083023E"/>
    <w:rsid w:val="00830BDF"/>
    <w:rsid w:val="00830CCD"/>
    <w:rsid w:val="00831173"/>
    <w:rsid w:val="008315D4"/>
    <w:rsid w:val="00831819"/>
    <w:rsid w:val="00831973"/>
    <w:rsid w:val="00832416"/>
    <w:rsid w:val="0083317F"/>
    <w:rsid w:val="00833B58"/>
    <w:rsid w:val="00834077"/>
    <w:rsid w:val="008340F0"/>
    <w:rsid w:val="008344A3"/>
    <w:rsid w:val="0083460B"/>
    <w:rsid w:val="00835664"/>
    <w:rsid w:val="0083620B"/>
    <w:rsid w:val="00836CB8"/>
    <w:rsid w:val="00837522"/>
    <w:rsid w:val="008403E9"/>
    <w:rsid w:val="0084147F"/>
    <w:rsid w:val="00842066"/>
    <w:rsid w:val="008423FA"/>
    <w:rsid w:val="008425E4"/>
    <w:rsid w:val="008435E1"/>
    <w:rsid w:val="0084387A"/>
    <w:rsid w:val="00843BC9"/>
    <w:rsid w:val="00843C61"/>
    <w:rsid w:val="0084443C"/>
    <w:rsid w:val="00844C48"/>
    <w:rsid w:val="0084527B"/>
    <w:rsid w:val="00845C8C"/>
    <w:rsid w:val="00846B93"/>
    <w:rsid w:val="00846F65"/>
    <w:rsid w:val="00846F9C"/>
    <w:rsid w:val="00852B1B"/>
    <w:rsid w:val="00852B20"/>
    <w:rsid w:val="008532F6"/>
    <w:rsid w:val="00853644"/>
    <w:rsid w:val="008554EE"/>
    <w:rsid w:val="00855E88"/>
    <w:rsid w:val="00856638"/>
    <w:rsid w:val="00856D28"/>
    <w:rsid w:val="00856D62"/>
    <w:rsid w:val="00857847"/>
    <w:rsid w:val="00857A6C"/>
    <w:rsid w:val="00857AB8"/>
    <w:rsid w:val="0086001D"/>
    <w:rsid w:val="00860440"/>
    <w:rsid w:val="00861BCA"/>
    <w:rsid w:val="00861F33"/>
    <w:rsid w:val="00862250"/>
    <w:rsid w:val="008629DD"/>
    <w:rsid w:val="008635CE"/>
    <w:rsid w:val="008637E2"/>
    <w:rsid w:val="00864164"/>
    <w:rsid w:val="008642B5"/>
    <w:rsid w:val="008645B9"/>
    <w:rsid w:val="00864BEA"/>
    <w:rsid w:val="00865409"/>
    <w:rsid w:val="0086541F"/>
    <w:rsid w:val="00866241"/>
    <w:rsid w:val="008663C7"/>
    <w:rsid w:val="00866C84"/>
    <w:rsid w:val="00866C94"/>
    <w:rsid w:val="00867460"/>
    <w:rsid w:val="0086754E"/>
    <w:rsid w:val="00867E7E"/>
    <w:rsid w:val="00870010"/>
    <w:rsid w:val="00870EF6"/>
    <w:rsid w:val="0087124A"/>
    <w:rsid w:val="00871707"/>
    <w:rsid w:val="008719E5"/>
    <w:rsid w:val="00871A65"/>
    <w:rsid w:val="00871CB5"/>
    <w:rsid w:val="008722AB"/>
    <w:rsid w:val="008723EB"/>
    <w:rsid w:val="008724FA"/>
    <w:rsid w:val="00873F72"/>
    <w:rsid w:val="008743C1"/>
    <w:rsid w:val="00876A30"/>
    <w:rsid w:val="0087750B"/>
    <w:rsid w:val="00877589"/>
    <w:rsid w:val="00877BAB"/>
    <w:rsid w:val="00880CC0"/>
    <w:rsid w:val="0088104F"/>
    <w:rsid w:val="008813C3"/>
    <w:rsid w:val="0088159D"/>
    <w:rsid w:val="00882722"/>
    <w:rsid w:val="008829BB"/>
    <w:rsid w:val="0088335C"/>
    <w:rsid w:val="00884168"/>
    <w:rsid w:val="00885526"/>
    <w:rsid w:val="00885EDF"/>
    <w:rsid w:val="008865D7"/>
    <w:rsid w:val="00886B63"/>
    <w:rsid w:val="00886DBA"/>
    <w:rsid w:val="008870D6"/>
    <w:rsid w:val="00887EA3"/>
    <w:rsid w:val="0089055A"/>
    <w:rsid w:val="008905C1"/>
    <w:rsid w:val="00890824"/>
    <w:rsid w:val="00890933"/>
    <w:rsid w:val="0089099E"/>
    <w:rsid w:val="00890A23"/>
    <w:rsid w:val="00890DEA"/>
    <w:rsid w:val="0089149F"/>
    <w:rsid w:val="00891DBB"/>
    <w:rsid w:val="00891E3D"/>
    <w:rsid w:val="008929F3"/>
    <w:rsid w:val="00892C33"/>
    <w:rsid w:val="0089331F"/>
    <w:rsid w:val="00893D97"/>
    <w:rsid w:val="008949A4"/>
    <w:rsid w:val="0089524B"/>
    <w:rsid w:val="008968D7"/>
    <w:rsid w:val="00896BFD"/>
    <w:rsid w:val="008978BA"/>
    <w:rsid w:val="008978C4"/>
    <w:rsid w:val="008A0E61"/>
    <w:rsid w:val="008A0E6F"/>
    <w:rsid w:val="008A1013"/>
    <w:rsid w:val="008A1803"/>
    <w:rsid w:val="008A1C56"/>
    <w:rsid w:val="008A231E"/>
    <w:rsid w:val="008A4063"/>
    <w:rsid w:val="008A44D7"/>
    <w:rsid w:val="008A4879"/>
    <w:rsid w:val="008A48C9"/>
    <w:rsid w:val="008A5783"/>
    <w:rsid w:val="008A5F10"/>
    <w:rsid w:val="008A6709"/>
    <w:rsid w:val="008A7765"/>
    <w:rsid w:val="008A79DB"/>
    <w:rsid w:val="008A7A53"/>
    <w:rsid w:val="008A7A88"/>
    <w:rsid w:val="008B0222"/>
    <w:rsid w:val="008B12EE"/>
    <w:rsid w:val="008B1383"/>
    <w:rsid w:val="008B204C"/>
    <w:rsid w:val="008B2C8F"/>
    <w:rsid w:val="008B39D2"/>
    <w:rsid w:val="008B3C63"/>
    <w:rsid w:val="008B4064"/>
    <w:rsid w:val="008B4371"/>
    <w:rsid w:val="008B51D9"/>
    <w:rsid w:val="008B6815"/>
    <w:rsid w:val="008B7131"/>
    <w:rsid w:val="008B73B1"/>
    <w:rsid w:val="008B7605"/>
    <w:rsid w:val="008B7B42"/>
    <w:rsid w:val="008C0102"/>
    <w:rsid w:val="008C0736"/>
    <w:rsid w:val="008C0B9B"/>
    <w:rsid w:val="008C1243"/>
    <w:rsid w:val="008C13BD"/>
    <w:rsid w:val="008C16E2"/>
    <w:rsid w:val="008C176D"/>
    <w:rsid w:val="008C2B4C"/>
    <w:rsid w:val="008C2F8A"/>
    <w:rsid w:val="008C30D7"/>
    <w:rsid w:val="008C35BB"/>
    <w:rsid w:val="008C3995"/>
    <w:rsid w:val="008C42E5"/>
    <w:rsid w:val="008C4370"/>
    <w:rsid w:val="008C44D1"/>
    <w:rsid w:val="008C44D6"/>
    <w:rsid w:val="008C45E4"/>
    <w:rsid w:val="008C4A68"/>
    <w:rsid w:val="008C4AFC"/>
    <w:rsid w:val="008C4CF0"/>
    <w:rsid w:val="008C61AB"/>
    <w:rsid w:val="008C6DF8"/>
    <w:rsid w:val="008C6E0C"/>
    <w:rsid w:val="008C6E1D"/>
    <w:rsid w:val="008C747A"/>
    <w:rsid w:val="008C79ED"/>
    <w:rsid w:val="008D09B1"/>
    <w:rsid w:val="008D21DD"/>
    <w:rsid w:val="008D2631"/>
    <w:rsid w:val="008D2EF2"/>
    <w:rsid w:val="008D3186"/>
    <w:rsid w:val="008D3F4D"/>
    <w:rsid w:val="008D41F1"/>
    <w:rsid w:val="008D4F89"/>
    <w:rsid w:val="008D57BE"/>
    <w:rsid w:val="008D59E8"/>
    <w:rsid w:val="008D5AC8"/>
    <w:rsid w:val="008D646E"/>
    <w:rsid w:val="008D6DF8"/>
    <w:rsid w:val="008D7EC8"/>
    <w:rsid w:val="008E026C"/>
    <w:rsid w:val="008E09AB"/>
    <w:rsid w:val="008E0E38"/>
    <w:rsid w:val="008E1375"/>
    <w:rsid w:val="008E2685"/>
    <w:rsid w:val="008E2D0A"/>
    <w:rsid w:val="008E43AF"/>
    <w:rsid w:val="008E49E7"/>
    <w:rsid w:val="008E5036"/>
    <w:rsid w:val="008E5264"/>
    <w:rsid w:val="008E56E4"/>
    <w:rsid w:val="008E5D01"/>
    <w:rsid w:val="008E638D"/>
    <w:rsid w:val="008E6804"/>
    <w:rsid w:val="008E6B3E"/>
    <w:rsid w:val="008E781E"/>
    <w:rsid w:val="008E7ED1"/>
    <w:rsid w:val="008F054A"/>
    <w:rsid w:val="008F152C"/>
    <w:rsid w:val="008F1B21"/>
    <w:rsid w:val="008F1C73"/>
    <w:rsid w:val="008F1EAA"/>
    <w:rsid w:val="008F2EA8"/>
    <w:rsid w:val="008F3286"/>
    <w:rsid w:val="008F568A"/>
    <w:rsid w:val="008F5BA2"/>
    <w:rsid w:val="008F606C"/>
    <w:rsid w:val="008F61F7"/>
    <w:rsid w:val="008F622C"/>
    <w:rsid w:val="008F680F"/>
    <w:rsid w:val="008F6CD1"/>
    <w:rsid w:val="008F7072"/>
    <w:rsid w:val="008F7995"/>
    <w:rsid w:val="00900D96"/>
    <w:rsid w:val="00900EF7"/>
    <w:rsid w:val="00901E64"/>
    <w:rsid w:val="009020FF"/>
    <w:rsid w:val="00902768"/>
    <w:rsid w:val="00902965"/>
    <w:rsid w:val="009029E8"/>
    <w:rsid w:val="00902F4F"/>
    <w:rsid w:val="009032DD"/>
    <w:rsid w:val="0090378B"/>
    <w:rsid w:val="009043C3"/>
    <w:rsid w:val="009043F3"/>
    <w:rsid w:val="0090480F"/>
    <w:rsid w:val="009048B6"/>
    <w:rsid w:val="00904BB1"/>
    <w:rsid w:val="00906C81"/>
    <w:rsid w:val="00907240"/>
    <w:rsid w:val="00907399"/>
    <w:rsid w:val="009079CC"/>
    <w:rsid w:val="009103C6"/>
    <w:rsid w:val="00911392"/>
    <w:rsid w:val="0091189A"/>
    <w:rsid w:val="00911CED"/>
    <w:rsid w:val="009126E6"/>
    <w:rsid w:val="00913581"/>
    <w:rsid w:val="00913600"/>
    <w:rsid w:val="00913D99"/>
    <w:rsid w:val="00913E01"/>
    <w:rsid w:val="0091428F"/>
    <w:rsid w:val="00915481"/>
    <w:rsid w:val="009158EE"/>
    <w:rsid w:val="00916353"/>
    <w:rsid w:val="00917235"/>
    <w:rsid w:val="00920C74"/>
    <w:rsid w:val="00920FDB"/>
    <w:rsid w:val="00921006"/>
    <w:rsid w:val="009213D1"/>
    <w:rsid w:val="00921B55"/>
    <w:rsid w:val="0092373F"/>
    <w:rsid w:val="0092385A"/>
    <w:rsid w:val="009241DD"/>
    <w:rsid w:val="0092494E"/>
    <w:rsid w:val="00924A67"/>
    <w:rsid w:val="00924AD9"/>
    <w:rsid w:val="00924B14"/>
    <w:rsid w:val="00924D6A"/>
    <w:rsid w:val="00925288"/>
    <w:rsid w:val="00925B7A"/>
    <w:rsid w:val="00925DFC"/>
    <w:rsid w:val="00927E7A"/>
    <w:rsid w:val="0093089C"/>
    <w:rsid w:val="009309F2"/>
    <w:rsid w:val="00930DD7"/>
    <w:rsid w:val="00930E57"/>
    <w:rsid w:val="009311AF"/>
    <w:rsid w:val="0093161A"/>
    <w:rsid w:val="009316DF"/>
    <w:rsid w:val="0093259D"/>
    <w:rsid w:val="00933902"/>
    <w:rsid w:val="0093474B"/>
    <w:rsid w:val="00934A0A"/>
    <w:rsid w:val="0093503C"/>
    <w:rsid w:val="009353EB"/>
    <w:rsid w:val="00936663"/>
    <w:rsid w:val="009370A8"/>
    <w:rsid w:val="00937107"/>
    <w:rsid w:val="009377D2"/>
    <w:rsid w:val="00937A1D"/>
    <w:rsid w:val="00937A31"/>
    <w:rsid w:val="00937D4A"/>
    <w:rsid w:val="00940967"/>
    <w:rsid w:val="00940CC0"/>
    <w:rsid w:val="00941E4C"/>
    <w:rsid w:val="00942E26"/>
    <w:rsid w:val="00943D4F"/>
    <w:rsid w:val="00943D9F"/>
    <w:rsid w:val="00944C26"/>
    <w:rsid w:val="00944FE7"/>
    <w:rsid w:val="00944FEF"/>
    <w:rsid w:val="009455DA"/>
    <w:rsid w:val="00945C10"/>
    <w:rsid w:val="0094686F"/>
    <w:rsid w:val="00946906"/>
    <w:rsid w:val="0094717C"/>
    <w:rsid w:val="00947560"/>
    <w:rsid w:val="00947B15"/>
    <w:rsid w:val="0095011D"/>
    <w:rsid w:val="009501A6"/>
    <w:rsid w:val="0095057F"/>
    <w:rsid w:val="00950C5E"/>
    <w:rsid w:val="00950EF3"/>
    <w:rsid w:val="00951252"/>
    <w:rsid w:val="00951624"/>
    <w:rsid w:val="0095167F"/>
    <w:rsid w:val="00952411"/>
    <w:rsid w:val="00952F2E"/>
    <w:rsid w:val="009533C6"/>
    <w:rsid w:val="00953747"/>
    <w:rsid w:val="009550C3"/>
    <w:rsid w:val="0095529D"/>
    <w:rsid w:val="00955905"/>
    <w:rsid w:val="00956F5F"/>
    <w:rsid w:val="00957531"/>
    <w:rsid w:val="009600A3"/>
    <w:rsid w:val="00960E41"/>
    <w:rsid w:val="00961079"/>
    <w:rsid w:val="00961571"/>
    <w:rsid w:val="009615DA"/>
    <w:rsid w:val="00961A68"/>
    <w:rsid w:val="00961D52"/>
    <w:rsid w:val="00962BD0"/>
    <w:rsid w:val="00962C3C"/>
    <w:rsid w:val="00963F2B"/>
    <w:rsid w:val="009640C1"/>
    <w:rsid w:val="00964364"/>
    <w:rsid w:val="009643C0"/>
    <w:rsid w:val="00964E60"/>
    <w:rsid w:val="009655A1"/>
    <w:rsid w:val="009664D2"/>
    <w:rsid w:val="00966583"/>
    <w:rsid w:val="00970AFF"/>
    <w:rsid w:val="00970CAB"/>
    <w:rsid w:val="0097100E"/>
    <w:rsid w:val="00971038"/>
    <w:rsid w:val="009713C0"/>
    <w:rsid w:val="00974935"/>
    <w:rsid w:val="00974E27"/>
    <w:rsid w:val="00974F75"/>
    <w:rsid w:val="00975023"/>
    <w:rsid w:val="009754CB"/>
    <w:rsid w:val="009757FE"/>
    <w:rsid w:val="0097663D"/>
    <w:rsid w:val="009766D8"/>
    <w:rsid w:val="009772DB"/>
    <w:rsid w:val="009800A1"/>
    <w:rsid w:val="00980A33"/>
    <w:rsid w:val="00980F1C"/>
    <w:rsid w:val="00982074"/>
    <w:rsid w:val="00982300"/>
    <w:rsid w:val="00983148"/>
    <w:rsid w:val="009836F7"/>
    <w:rsid w:val="00983838"/>
    <w:rsid w:val="00983B70"/>
    <w:rsid w:val="009849D9"/>
    <w:rsid w:val="00985CB1"/>
    <w:rsid w:val="00985E62"/>
    <w:rsid w:val="00986062"/>
    <w:rsid w:val="009869B7"/>
    <w:rsid w:val="00986B86"/>
    <w:rsid w:val="0098757B"/>
    <w:rsid w:val="009900A7"/>
    <w:rsid w:val="00990E1A"/>
    <w:rsid w:val="0099164A"/>
    <w:rsid w:val="00992D84"/>
    <w:rsid w:val="00992EC4"/>
    <w:rsid w:val="0099314E"/>
    <w:rsid w:val="0099464A"/>
    <w:rsid w:val="0099473E"/>
    <w:rsid w:val="009947A9"/>
    <w:rsid w:val="00994B6F"/>
    <w:rsid w:val="00994FC8"/>
    <w:rsid w:val="00995192"/>
    <w:rsid w:val="009956E2"/>
    <w:rsid w:val="00996301"/>
    <w:rsid w:val="0099680C"/>
    <w:rsid w:val="00996E07"/>
    <w:rsid w:val="00996FD1"/>
    <w:rsid w:val="009A0000"/>
    <w:rsid w:val="009A10DC"/>
    <w:rsid w:val="009A154D"/>
    <w:rsid w:val="009A283D"/>
    <w:rsid w:val="009A2914"/>
    <w:rsid w:val="009A2D56"/>
    <w:rsid w:val="009A3159"/>
    <w:rsid w:val="009A3262"/>
    <w:rsid w:val="009A388C"/>
    <w:rsid w:val="009A3908"/>
    <w:rsid w:val="009A3918"/>
    <w:rsid w:val="009A3E27"/>
    <w:rsid w:val="009A429D"/>
    <w:rsid w:val="009A4624"/>
    <w:rsid w:val="009A5CB0"/>
    <w:rsid w:val="009A662C"/>
    <w:rsid w:val="009A69F5"/>
    <w:rsid w:val="009A6F37"/>
    <w:rsid w:val="009B0479"/>
    <w:rsid w:val="009B08DB"/>
    <w:rsid w:val="009B0982"/>
    <w:rsid w:val="009B10AB"/>
    <w:rsid w:val="009B170C"/>
    <w:rsid w:val="009B1C4B"/>
    <w:rsid w:val="009B1E2B"/>
    <w:rsid w:val="009B30E1"/>
    <w:rsid w:val="009B3452"/>
    <w:rsid w:val="009B3605"/>
    <w:rsid w:val="009B39C9"/>
    <w:rsid w:val="009B45D4"/>
    <w:rsid w:val="009B4EE0"/>
    <w:rsid w:val="009B5442"/>
    <w:rsid w:val="009B6361"/>
    <w:rsid w:val="009B649C"/>
    <w:rsid w:val="009B6D81"/>
    <w:rsid w:val="009B6EF2"/>
    <w:rsid w:val="009B7639"/>
    <w:rsid w:val="009C0950"/>
    <w:rsid w:val="009C0E6C"/>
    <w:rsid w:val="009C15EE"/>
    <w:rsid w:val="009C1A8D"/>
    <w:rsid w:val="009C1BCF"/>
    <w:rsid w:val="009C1DC4"/>
    <w:rsid w:val="009C2672"/>
    <w:rsid w:val="009C2F02"/>
    <w:rsid w:val="009C32A5"/>
    <w:rsid w:val="009C3B25"/>
    <w:rsid w:val="009C505D"/>
    <w:rsid w:val="009C5EEE"/>
    <w:rsid w:val="009C6881"/>
    <w:rsid w:val="009C69F7"/>
    <w:rsid w:val="009C6C45"/>
    <w:rsid w:val="009C722B"/>
    <w:rsid w:val="009D0477"/>
    <w:rsid w:val="009D0DF3"/>
    <w:rsid w:val="009D0FCB"/>
    <w:rsid w:val="009D15D2"/>
    <w:rsid w:val="009D22AC"/>
    <w:rsid w:val="009D2B20"/>
    <w:rsid w:val="009D2C53"/>
    <w:rsid w:val="009D2DFD"/>
    <w:rsid w:val="009D3026"/>
    <w:rsid w:val="009D3082"/>
    <w:rsid w:val="009D480B"/>
    <w:rsid w:val="009D54CC"/>
    <w:rsid w:val="009D6649"/>
    <w:rsid w:val="009D71E9"/>
    <w:rsid w:val="009E16A4"/>
    <w:rsid w:val="009E1C07"/>
    <w:rsid w:val="009E1F3A"/>
    <w:rsid w:val="009E298B"/>
    <w:rsid w:val="009E3566"/>
    <w:rsid w:val="009E3FEF"/>
    <w:rsid w:val="009E4388"/>
    <w:rsid w:val="009E4440"/>
    <w:rsid w:val="009E4977"/>
    <w:rsid w:val="009E4C95"/>
    <w:rsid w:val="009E52A4"/>
    <w:rsid w:val="009E556D"/>
    <w:rsid w:val="009E57A8"/>
    <w:rsid w:val="009E57CC"/>
    <w:rsid w:val="009E629A"/>
    <w:rsid w:val="009F0F96"/>
    <w:rsid w:val="009F1508"/>
    <w:rsid w:val="009F168B"/>
    <w:rsid w:val="009F1736"/>
    <w:rsid w:val="009F2135"/>
    <w:rsid w:val="009F228A"/>
    <w:rsid w:val="009F26A2"/>
    <w:rsid w:val="009F415A"/>
    <w:rsid w:val="009F5382"/>
    <w:rsid w:val="009F53A1"/>
    <w:rsid w:val="009F60E6"/>
    <w:rsid w:val="009F60FA"/>
    <w:rsid w:val="00A000F1"/>
    <w:rsid w:val="00A00364"/>
    <w:rsid w:val="00A00B5D"/>
    <w:rsid w:val="00A00E82"/>
    <w:rsid w:val="00A011D1"/>
    <w:rsid w:val="00A01A0D"/>
    <w:rsid w:val="00A02B41"/>
    <w:rsid w:val="00A03299"/>
    <w:rsid w:val="00A03514"/>
    <w:rsid w:val="00A0391D"/>
    <w:rsid w:val="00A04753"/>
    <w:rsid w:val="00A04AA9"/>
    <w:rsid w:val="00A052FD"/>
    <w:rsid w:val="00A056A0"/>
    <w:rsid w:val="00A059EE"/>
    <w:rsid w:val="00A05B85"/>
    <w:rsid w:val="00A06C61"/>
    <w:rsid w:val="00A0719F"/>
    <w:rsid w:val="00A07488"/>
    <w:rsid w:val="00A10039"/>
    <w:rsid w:val="00A103AC"/>
    <w:rsid w:val="00A10553"/>
    <w:rsid w:val="00A10892"/>
    <w:rsid w:val="00A10FC3"/>
    <w:rsid w:val="00A114CD"/>
    <w:rsid w:val="00A11AB4"/>
    <w:rsid w:val="00A12869"/>
    <w:rsid w:val="00A13208"/>
    <w:rsid w:val="00A137A2"/>
    <w:rsid w:val="00A137E9"/>
    <w:rsid w:val="00A14078"/>
    <w:rsid w:val="00A15146"/>
    <w:rsid w:val="00A15CA8"/>
    <w:rsid w:val="00A171BC"/>
    <w:rsid w:val="00A17836"/>
    <w:rsid w:val="00A17871"/>
    <w:rsid w:val="00A17892"/>
    <w:rsid w:val="00A205E4"/>
    <w:rsid w:val="00A2125B"/>
    <w:rsid w:val="00A221E4"/>
    <w:rsid w:val="00A2256F"/>
    <w:rsid w:val="00A23315"/>
    <w:rsid w:val="00A23A56"/>
    <w:rsid w:val="00A242CB"/>
    <w:rsid w:val="00A2466D"/>
    <w:rsid w:val="00A24859"/>
    <w:rsid w:val="00A25821"/>
    <w:rsid w:val="00A259AE"/>
    <w:rsid w:val="00A26020"/>
    <w:rsid w:val="00A26158"/>
    <w:rsid w:val="00A265F1"/>
    <w:rsid w:val="00A26A38"/>
    <w:rsid w:val="00A3019E"/>
    <w:rsid w:val="00A3038D"/>
    <w:rsid w:val="00A309EE"/>
    <w:rsid w:val="00A30E17"/>
    <w:rsid w:val="00A31513"/>
    <w:rsid w:val="00A319FB"/>
    <w:rsid w:val="00A31A88"/>
    <w:rsid w:val="00A31B6A"/>
    <w:rsid w:val="00A32461"/>
    <w:rsid w:val="00A3253E"/>
    <w:rsid w:val="00A326D0"/>
    <w:rsid w:val="00A32BA1"/>
    <w:rsid w:val="00A32F71"/>
    <w:rsid w:val="00A33085"/>
    <w:rsid w:val="00A33A2A"/>
    <w:rsid w:val="00A345FA"/>
    <w:rsid w:val="00A34D19"/>
    <w:rsid w:val="00A36796"/>
    <w:rsid w:val="00A36D14"/>
    <w:rsid w:val="00A37031"/>
    <w:rsid w:val="00A3715B"/>
    <w:rsid w:val="00A37F6C"/>
    <w:rsid w:val="00A40DD9"/>
    <w:rsid w:val="00A40E36"/>
    <w:rsid w:val="00A41294"/>
    <w:rsid w:val="00A420A6"/>
    <w:rsid w:val="00A420EB"/>
    <w:rsid w:val="00A424DA"/>
    <w:rsid w:val="00A4293A"/>
    <w:rsid w:val="00A42E02"/>
    <w:rsid w:val="00A447D9"/>
    <w:rsid w:val="00A46640"/>
    <w:rsid w:val="00A47B16"/>
    <w:rsid w:val="00A5238E"/>
    <w:rsid w:val="00A52944"/>
    <w:rsid w:val="00A52BEB"/>
    <w:rsid w:val="00A53377"/>
    <w:rsid w:val="00A542C3"/>
    <w:rsid w:val="00A547F3"/>
    <w:rsid w:val="00A54AEF"/>
    <w:rsid w:val="00A552EC"/>
    <w:rsid w:val="00A557FF"/>
    <w:rsid w:val="00A558B7"/>
    <w:rsid w:val="00A56186"/>
    <w:rsid w:val="00A56474"/>
    <w:rsid w:val="00A567EB"/>
    <w:rsid w:val="00A57F20"/>
    <w:rsid w:val="00A609DA"/>
    <w:rsid w:val="00A60F8F"/>
    <w:rsid w:val="00A617E4"/>
    <w:rsid w:val="00A63A93"/>
    <w:rsid w:val="00A63B72"/>
    <w:rsid w:val="00A64700"/>
    <w:rsid w:val="00A6500F"/>
    <w:rsid w:val="00A65795"/>
    <w:rsid w:val="00A65C3A"/>
    <w:rsid w:val="00A65DED"/>
    <w:rsid w:val="00A65FBD"/>
    <w:rsid w:val="00A6696C"/>
    <w:rsid w:val="00A66D50"/>
    <w:rsid w:val="00A676DD"/>
    <w:rsid w:val="00A708B6"/>
    <w:rsid w:val="00A70AD5"/>
    <w:rsid w:val="00A72FD8"/>
    <w:rsid w:val="00A7332C"/>
    <w:rsid w:val="00A74E51"/>
    <w:rsid w:val="00A75120"/>
    <w:rsid w:val="00A756C4"/>
    <w:rsid w:val="00A75FDF"/>
    <w:rsid w:val="00A7603C"/>
    <w:rsid w:val="00A7759D"/>
    <w:rsid w:val="00A775DF"/>
    <w:rsid w:val="00A807C6"/>
    <w:rsid w:val="00A80B4C"/>
    <w:rsid w:val="00A811CE"/>
    <w:rsid w:val="00A8231B"/>
    <w:rsid w:val="00A82C57"/>
    <w:rsid w:val="00A82D75"/>
    <w:rsid w:val="00A83549"/>
    <w:rsid w:val="00A849F3"/>
    <w:rsid w:val="00A85E15"/>
    <w:rsid w:val="00A86091"/>
    <w:rsid w:val="00A87BDB"/>
    <w:rsid w:val="00A87C14"/>
    <w:rsid w:val="00A87C9D"/>
    <w:rsid w:val="00A90290"/>
    <w:rsid w:val="00A90CE9"/>
    <w:rsid w:val="00A93586"/>
    <w:rsid w:val="00A94153"/>
    <w:rsid w:val="00A94AE4"/>
    <w:rsid w:val="00A97840"/>
    <w:rsid w:val="00AA0901"/>
    <w:rsid w:val="00AA0A99"/>
    <w:rsid w:val="00AA1033"/>
    <w:rsid w:val="00AA139D"/>
    <w:rsid w:val="00AA1437"/>
    <w:rsid w:val="00AA1701"/>
    <w:rsid w:val="00AA1B4E"/>
    <w:rsid w:val="00AA2251"/>
    <w:rsid w:val="00AA4789"/>
    <w:rsid w:val="00AA49E2"/>
    <w:rsid w:val="00AA5206"/>
    <w:rsid w:val="00AA5981"/>
    <w:rsid w:val="00AA5CF5"/>
    <w:rsid w:val="00AA65F5"/>
    <w:rsid w:val="00AA6E14"/>
    <w:rsid w:val="00AA7091"/>
    <w:rsid w:val="00AA7F15"/>
    <w:rsid w:val="00AA7FB5"/>
    <w:rsid w:val="00AB0870"/>
    <w:rsid w:val="00AB09EA"/>
    <w:rsid w:val="00AB0C48"/>
    <w:rsid w:val="00AB1874"/>
    <w:rsid w:val="00AB25FF"/>
    <w:rsid w:val="00AB26C2"/>
    <w:rsid w:val="00AB27C5"/>
    <w:rsid w:val="00AB31B5"/>
    <w:rsid w:val="00AB478F"/>
    <w:rsid w:val="00AB4D80"/>
    <w:rsid w:val="00AB5033"/>
    <w:rsid w:val="00AB56C6"/>
    <w:rsid w:val="00AB61F8"/>
    <w:rsid w:val="00AB6625"/>
    <w:rsid w:val="00AB679C"/>
    <w:rsid w:val="00AB6A22"/>
    <w:rsid w:val="00AB76AB"/>
    <w:rsid w:val="00AB7855"/>
    <w:rsid w:val="00AC08D7"/>
    <w:rsid w:val="00AC0E7D"/>
    <w:rsid w:val="00AC1409"/>
    <w:rsid w:val="00AC14F9"/>
    <w:rsid w:val="00AC1B5A"/>
    <w:rsid w:val="00AC1B8C"/>
    <w:rsid w:val="00AC2A9D"/>
    <w:rsid w:val="00AC3254"/>
    <w:rsid w:val="00AC36C4"/>
    <w:rsid w:val="00AC439E"/>
    <w:rsid w:val="00AC49BB"/>
    <w:rsid w:val="00AC591A"/>
    <w:rsid w:val="00AC5A20"/>
    <w:rsid w:val="00AC5E91"/>
    <w:rsid w:val="00AC6C37"/>
    <w:rsid w:val="00AC7E8E"/>
    <w:rsid w:val="00AD07BC"/>
    <w:rsid w:val="00AD1214"/>
    <w:rsid w:val="00AD139D"/>
    <w:rsid w:val="00AD1E53"/>
    <w:rsid w:val="00AD1F17"/>
    <w:rsid w:val="00AD2BED"/>
    <w:rsid w:val="00AD2FB4"/>
    <w:rsid w:val="00AD4419"/>
    <w:rsid w:val="00AD5996"/>
    <w:rsid w:val="00AD5D5A"/>
    <w:rsid w:val="00AD6BCC"/>
    <w:rsid w:val="00AD6F98"/>
    <w:rsid w:val="00AD76A5"/>
    <w:rsid w:val="00AD7744"/>
    <w:rsid w:val="00AE215A"/>
    <w:rsid w:val="00AE251E"/>
    <w:rsid w:val="00AE2E10"/>
    <w:rsid w:val="00AE2F4E"/>
    <w:rsid w:val="00AE47FA"/>
    <w:rsid w:val="00AE4AFD"/>
    <w:rsid w:val="00AE4C95"/>
    <w:rsid w:val="00AE5088"/>
    <w:rsid w:val="00AE6212"/>
    <w:rsid w:val="00AE7326"/>
    <w:rsid w:val="00AE77C4"/>
    <w:rsid w:val="00AE790E"/>
    <w:rsid w:val="00AE79E3"/>
    <w:rsid w:val="00AE7C58"/>
    <w:rsid w:val="00AE7DB8"/>
    <w:rsid w:val="00AF026F"/>
    <w:rsid w:val="00AF0B75"/>
    <w:rsid w:val="00AF0CDA"/>
    <w:rsid w:val="00AF116A"/>
    <w:rsid w:val="00AF1288"/>
    <w:rsid w:val="00AF141E"/>
    <w:rsid w:val="00AF2D19"/>
    <w:rsid w:val="00AF34CC"/>
    <w:rsid w:val="00AF4CB1"/>
    <w:rsid w:val="00AF4D93"/>
    <w:rsid w:val="00AF4DC3"/>
    <w:rsid w:val="00AF571D"/>
    <w:rsid w:val="00AF5831"/>
    <w:rsid w:val="00AF5F1E"/>
    <w:rsid w:val="00AF6C7C"/>
    <w:rsid w:val="00AF71C5"/>
    <w:rsid w:val="00AF726F"/>
    <w:rsid w:val="00B00E2D"/>
    <w:rsid w:val="00B012D0"/>
    <w:rsid w:val="00B015A7"/>
    <w:rsid w:val="00B01726"/>
    <w:rsid w:val="00B01879"/>
    <w:rsid w:val="00B01C67"/>
    <w:rsid w:val="00B01DEE"/>
    <w:rsid w:val="00B022DC"/>
    <w:rsid w:val="00B043A8"/>
    <w:rsid w:val="00B048D9"/>
    <w:rsid w:val="00B05B97"/>
    <w:rsid w:val="00B07057"/>
    <w:rsid w:val="00B07A91"/>
    <w:rsid w:val="00B1027C"/>
    <w:rsid w:val="00B10535"/>
    <w:rsid w:val="00B11203"/>
    <w:rsid w:val="00B11393"/>
    <w:rsid w:val="00B11511"/>
    <w:rsid w:val="00B11719"/>
    <w:rsid w:val="00B11BED"/>
    <w:rsid w:val="00B127A4"/>
    <w:rsid w:val="00B129C0"/>
    <w:rsid w:val="00B12C4F"/>
    <w:rsid w:val="00B135AC"/>
    <w:rsid w:val="00B13904"/>
    <w:rsid w:val="00B13DC5"/>
    <w:rsid w:val="00B13E2B"/>
    <w:rsid w:val="00B142B8"/>
    <w:rsid w:val="00B1569D"/>
    <w:rsid w:val="00B1660D"/>
    <w:rsid w:val="00B1688D"/>
    <w:rsid w:val="00B16EE6"/>
    <w:rsid w:val="00B170D7"/>
    <w:rsid w:val="00B173FE"/>
    <w:rsid w:val="00B177FA"/>
    <w:rsid w:val="00B17ECD"/>
    <w:rsid w:val="00B2060F"/>
    <w:rsid w:val="00B206AE"/>
    <w:rsid w:val="00B20D0A"/>
    <w:rsid w:val="00B2153F"/>
    <w:rsid w:val="00B22205"/>
    <w:rsid w:val="00B22671"/>
    <w:rsid w:val="00B228B5"/>
    <w:rsid w:val="00B22C5A"/>
    <w:rsid w:val="00B22CEE"/>
    <w:rsid w:val="00B23010"/>
    <w:rsid w:val="00B23164"/>
    <w:rsid w:val="00B23D91"/>
    <w:rsid w:val="00B23EDD"/>
    <w:rsid w:val="00B25748"/>
    <w:rsid w:val="00B3068C"/>
    <w:rsid w:val="00B30E98"/>
    <w:rsid w:val="00B30F02"/>
    <w:rsid w:val="00B323D3"/>
    <w:rsid w:val="00B33874"/>
    <w:rsid w:val="00B35478"/>
    <w:rsid w:val="00B359FA"/>
    <w:rsid w:val="00B366BD"/>
    <w:rsid w:val="00B368D2"/>
    <w:rsid w:val="00B36E9C"/>
    <w:rsid w:val="00B378B9"/>
    <w:rsid w:val="00B37DF9"/>
    <w:rsid w:val="00B403CB"/>
    <w:rsid w:val="00B40402"/>
    <w:rsid w:val="00B40B36"/>
    <w:rsid w:val="00B4108B"/>
    <w:rsid w:val="00B417D0"/>
    <w:rsid w:val="00B4185C"/>
    <w:rsid w:val="00B42103"/>
    <w:rsid w:val="00B4263B"/>
    <w:rsid w:val="00B42D2F"/>
    <w:rsid w:val="00B43346"/>
    <w:rsid w:val="00B43810"/>
    <w:rsid w:val="00B44B67"/>
    <w:rsid w:val="00B454CA"/>
    <w:rsid w:val="00B46712"/>
    <w:rsid w:val="00B46749"/>
    <w:rsid w:val="00B46E2F"/>
    <w:rsid w:val="00B46F82"/>
    <w:rsid w:val="00B470C8"/>
    <w:rsid w:val="00B47EF4"/>
    <w:rsid w:val="00B5048B"/>
    <w:rsid w:val="00B50D8D"/>
    <w:rsid w:val="00B50F09"/>
    <w:rsid w:val="00B51158"/>
    <w:rsid w:val="00B51428"/>
    <w:rsid w:val="00B514C2"/>
    <w:rsid w:val="00B51DE4"/>
    <w:rsid w:val="00B52034"/>
    <w:rsid w:val="00B5225B"/>
    <w:rsid w:val="00B53493"/>
    <w:rsid w:val="00B53B3E"/>
    <w:rsid w:val="00B53F66"/>
    <w:rsid w:val="00B547D5"/>
    <w:rsid w:val="00B54E12"/>
    <w:rsid w:val="00B550AF"/>
    <w:rsid w:val="00B55223"/>
    <w:rsid w:val="00B56A10"/>
    <w:rsid w:val="00B56E05"/>
    <w:rsid w:val="00B56EEA"/>
    <w:rsid w:val="00B574AE"/>
    <w:rsid w:val="00B60856"/>
    <w:rsid w:val="00B60F47"/>
    <w:rsid w:val="00B61868"/>
    <w:rsid w:val="00B6294B"/>
    <w:rsid w:val="00B636CD"/>
    <w:rsid w:val="00B64511"/>
    <w:rsid w:val="00B64585"/>
    <w:rsid w:val="00B648DA"/>
    <w:rsid w:val="00B64D03"/>
    <w:rsid w:val="00B654F6"/>
    <w:rsid w:val="00B65612"/>
    <w:rsid w:val="00B6567D"/>
    <w:rsid w:val="00B66623"/>
    <w:rsid w:val="00B66958"/>
    <w:rsid w:val="00B669B7"/>
    <w:rsid w:val="00B67178"/>
    <w:rsid w:val="00B67896"/>
    <w:rsid w:val="00B67AF4"/>
    <w:rsid w:val="00B67D9B"/>
    <w:rsid w:val="00B67FE6"/>
    <w:rsid w:val="00B70825"/>
    <w:rsid w:val="00B70BE5"/>
    <w:rsid w:val="00B70F4A"/>
    <w:rsid w:val="00B71249"/>
    <w:rsid w:val="00B71395"/>
    <w:rsid w:val="00B717EE"/>
    <w:rsid w:val="00B72782"/>
    <w:rsid w:val="00B728DC"/>
    <w:rsid w:val="00B72DC7"/>
    <w:rsid w:val="00B732DB"/>
    <w:rsid w:val="00B743AB"/>
    <w:rsid w:val="00B747F1"/>
    <w:rsid w:val="00B74D8E"/>
    <w:rsid w:val="00B752CD"/>
    <w:rsid w:val="00B75682"/>
    <w:rsid w:val="00B75C90"/>
    <w:rsid w:val="00B763F2"/>
    <w:rsid w:val="00B76689"/>
    <w:rsid w:val="00B76AC9"/>
    <w:rsid w:val="00B76B4E"/>
    <w:rsid w:val="00B76C92"/>
    <w:rsid w:val="00B80722"/>
    <w:rsid w:val="00B8081E"/>
    <w:rsid w:val="00B80BA9"/>
    <w:rsid w:val="00B80F99"/>
    <w:rsid w:val="00B811D8"/>
    <w:rsid w:val="00B812E0"/>
    <w:rsid w:val="00B81B0A"/>
    <w:rsid w:val="00B8352E"/>
    <w:rsid w:val="00B835FE"/>
    <w:rsid w:val="00B839A9"/>
    <w:rsid w:val="00B850EC"/>
    <w:rsid w:val="00B853B2"/>
    <w:rsid w:val="00B857B8"/>
    <w:rsid w:val="00B85BD3"/>
    <w:rsid w:val="00B85BF2"/>
    <w:rsid w:val="00B85D36"/>
    <w:rsid w:val="00B85F98"/>
    <w:rsid w:val="00B862AF"/>
    <w:rsid w:val="00B86311"/>
    <w:rsid w:val="00B868FD"/>
    <w:rsid w:val="00B86A31"/>
    <w:rsid w:val="00B87A87"/>
    <w:rsid w:val="00B87CC0"/>
    <w:rsid w:val="00B90083"/>
    <w:rsid w:val="00B904F8"/>
    <w:rsid w:val="00B9062F"/>
    <w:rsid w:val="00B908F8"/>
    <w:rsid w:val="00B9152E"/>
    <w:rsid w:val="00B9157A"/>
    <w:rsid w:val="00B91930"/>
    <w:rsid w:val="00B92552"/>
    <w:rsid w:val="00B9288E"/>
    <w:rsid w:val="00B92ACE"/>
    <w:rsid w:val="00B92C45"/>
    <w:rsid w:val="00B93C36"/>
    <w:rsid w:val="00B93D4B"/>
    <w:rsid w:val="00B93E71"/>
    <w:rsid w:val="00B94143"/>
    <w:rsid w:val="00B942E9"/>
    <w:rsid w:val="00B94563"/>
    <w:rsid w:val="00B947A6"/>
    <w:rsid w:val="00B94B1D"/>
    <w:rsid w:val="00B94DB4"/>
    <w:rsid w:val="00B9528C"/>
    <w:rsid w:val="00B953C3"/>
    <w:rsid w:val="00B95BCC"/>
    <w:rsid w:val="00B95BE3"/>
    <w:rsid w:val="00B95D40"/>
    <w:rsid w:val="00B962A7"/>
    <w:rsid w:val="00B964C7"/>
    <w:rsid w:val="00B96B98"/>
    <w:rsid w:val="00B96C81"/>
    <w:rsid w:val="00B97705"/>
    <w:rsid w:val="00B97C1C"/>
    <w:rsid w:val="00B97EEE"/>
    <w:rsid w:val="00BA122F"/>
    <w:rsid w:val="00BA140A"/>
    <w:rsid w:val="00BA172D"/>
    <w:rsid w:val="00BA29C5"/>
    <w:rsid w:val="00BA2AE3"/>
    <w:rsid w:val="00BA35ED"/>
    <w:rsid w:val="00BA38BE"/>
    <w:rsid w:val="00BA3DE5"/>
    <w:rsid w:val="00BA3F4F"/>
    <w:rsid w:val="00BA4687"/>
    <w:rsid w:val="00BA4AC2"/>
    <w:rsid w:val="00BA4E79"/>
    <w:rsid w:val="00BA5310"/>
    <w:rsid w:val="00BA587E"/>
    <w:rsid w:val="00BA5922"/>
    <w:rsid w:val="00BA66C7"/>
    <w:rsid w:val="00BA6F7C"/>
    <w:rsid w:val="00BB13B5"/>
    <w:rsid w:val="00BB1AD7"/>
    <w:rsid w:val="00BB21EC"/>
    <w:rsid w:val="00BB2CFD"/>
    <w:rsid w:val="00BB2E0B"/>
    <w:rsid w:val="00BB3575"/>
    <w:rsid w:val="00BB4E96"/>
    <w:rsid w:val="00BB59F2"/>
    <w:rsid w:val="00BB5B18"/>
    <w:rsid w:val="00BB5BB5"/>
    <w:rsid w:val="00BB6F23"/>
    <w:rsid w:val="00BB760C"/>
    <w:rsid w:val="00BC0654"/>
    <w:rsid w:val="00BC0BEE"/>
    <w:rsid w:val="00BC116B"/>
    <w:rsid w:val="00BC166F"/>
    <w:rsid w:val="00BC1770"/>
    <w:rsid w:val="00BC307C"/>
    <w:rsid w:val="00BC55A4"/>
    <w:rsid w:val="00BC61A5"/>
    <w:rsid w:val="00BC634D"/>
    <w:rsid w:val="00BD193E"/>
    <w:rsid w:val="00BD1DC8"/>
    <w:rsid w:val="00BD2647"/>
    <w:rsid w:val="00BD2981"/>
    <w:rsid w:val="00BD33E1"/>
    <w:rsid w:val="00BD3425"/>
    <w:rsid w:val="00BD65E8"/>
    <w:rsid w:val="00BD6E9B"/>
    <w:rsid w:val="00BD7817"/>
    <w:rsid w:val="00BE017B"/>
    <w:rsid w:val="00BE0D44"/>
    <w:rsid w:val="00BE0EE1"/>
    <w:rsid w:val="00BE12E8"/>
    <w:rsid w:val="00BE17D2"/>
    <w:rsid w:val="00BE1850"/>
    <w:rsid w:val="00BE2260"/>
    <w:rsid w:val="00BE29D7"/>
    <w:rsid w:val="00BE2AA1"/>
    <w:rsid w:val="00BE2E00"/>
    <w:rsid w:val="00BE3608"/>
    <w:rsid w:val="00BE382A"/>
    <w:rsid w:val="00BE3833"/>
    <w:rsid w:val="00BE3DDD"/>
    <w:rsid w:val="00BE4F92"/>
    <w:rsid w:val="00BE5225"/>
    <w:rsid w:val="00BE5362"/>
    <w:rsid w:val="00BE5428"/>
    <w:rsid w:val="00BE5FF2"/>
    <w:rsid w:val="00BE61A8"/>
    <w:rsid w:val="00BE646A"/>
    <w:rsid w:val="00BE68C6"/>
    <w:rsid w:val="00BE728D"/>
    <w:rsid w:val="00BE7AF6"/>
    <w:rsid w:val="00BF071B"/>
    <w:rsid w:val="00BF15B7"/>
    <w:rsid w:val="00BF2A82"/>
    <w:rsid w:val="00BF301C"/>
    <w:rsid w:val="00BF3797"/>
    <w:rsid w:val="00BF37BB"/>
    <w:rsid w:val="00BF3EF6"/>
    <w:rsid w:val="00BF3F14"/>
    <w:rsid w:val="00BF426E"/>
    <w:rsid w:val="00BF453B"/>
    <w:rsid w:val="00BF483A"/>
    <w:rsid w:val="00BF4C48"/>
    <w:rsid w:val="00BF557D"/>
    <w:rsid w:val="00BF5830"/>
    <w:rsid w:val="00BF6353"/>
    <w:rsid w:val="00BF655E"/>
    <w:rsid w:val="00BF7CCB"/>
    <w:rsid w:val="00BF7D54"/>
    <w:rsid w:val="00C0004A"/>
    <w:rsid w:val="00C006AE"/>
    <w:rsid w:val="00C00AA0"/>
    <w:rsid w:val="00C00B10"/>
    <w:rsid w:val="00C0104B"/>
    <w:rsid w:val="00C016B7"/>
    <w:rsid w:val="00C01966"/>
    <w:rsid w:val="00C01AD0"/>
    <w:rsid w:val="00C02642"/>
    <w:rsid w:val="00C02CF3"/>
    <w:rsid w:val="00C0359C"/>
    <w:rsid w:val="00C037F8"/>
    <w:rsid w:val="00C04327"/>
    <w:rsid w:val="00C057EE"/>
    <w:rsid w:val="00C072AF"/>
    <w:rsid w:val="00C07827"/>
    <w:rsid w:val="00C10625"/>
    <w:rsid w:val="00C10756"/>
    <w:rsid w:val="00C1275C"/>
    <w:rsid w:val="00C12A5B"/>
    <w:rsid w:val="00C131C7"/>
    <w:rsid w:val="00C13C34"/>
    <w:rsid w:val="00C143CE"/>
    <w:rsid w:val="00C1451B"/>
    <w:rsid w:val="00C14E8E"/>
    <w:rsid w:val="00C14F5B"/>
    <w:rsid w:val="00C15F6D"/>
    <w:rsid w:val="00C16AA4"/>
    <w:rsid w:val="00C200AE"/>
    <w:rsid w:val="00C201A2"/>
    <w:rsid w:val="00C2095B"/>
    <w:rsid w:val="00C20A03"/>
    <w:rsid w:val="00C20C1A"/>
    <w:rsid w:val="00C21036"/>
    <w:rsid w:val="00C218EC"/>
    <w:rsid w:val="00C219DC"/>
    <w:rsid w:val="00C21E9F"/>
    <w:rsid w:val="00C222E1"/>
    <w:rsid w:val="00C23C65"/>
    <w:rsid w:val="00C23D8C"/>
    <w:rsid w:val="00C24061"/>
    <w:rsid w:val="00C247F1"/>
    <w:rsid w:val="00C25106"/>
    <w:rsid w:val="00C25B27"/>
    <w:rsid w:val="00C263F8"/>
    <w:rsid w:val="00C26582"/>
    <w:rsid w:val="00C267FF"/>
    <w:rsid w:val="00C26E40"/>
    <w:rsid w:val="00C26EB2"/>
    <w:rsid w:val="00C27A24"/>
    <w:rsid w:val="00C27A94"/>
    <w:rsid w:val="00C30FE8"/>
    <w:rsid w:val="00C31738"/>
    <w:rsid w:val="00C321A6"/>
    <w:rsid w:val="00C32325"/>
    <w:rsid w:val="00C34172"/>
    <w:rsid w:val="00C34941"/>
    <w:rsid w:val="00C34FD7"/>
    <w:rsid w:val="00C35182"/>
    <w:rsid w:val="00C359D4"/>
    <w:rsid w:val="00C35DDF"/>
    <w:rsid w:val="00C40B35"/>
    <w:rsid w:val="00C419D7"/>
    <w:rsid w:val="00C41A3B"/>
    <w:rsid w:val="00C4202A"/>
    <w:rsid w:val="00C42985"/>
    <w:rsid w:val="00C42E2E"/>
    <w:rsid w:val="00C43E15"/>
    <w:rsid w:val="00C44524"/>
    <w:rsid w:val="00C44EF1"/>
    <w:rsid w:val="00C44F50"/>
    <w:rsid w:val="00C45734"/>
    <w:rsid w:val="00C45D40"/>
    <w:rsid w:val="00C45FE0"/>
    <w:rsid w:val="00C46EAF"/>
    <w:rsid w:val="00C47B3D"/>
    <w:rsid w:val="00C503D9"/>
    <w:rsid w:val="00C50696"/>
    <w:rsid w:val="00C512B8"/>
    <w:rsid w:val="00C5179C"/>
    <w:rsid w:val="00C53CB9"/>
    <w:rsid w:val="00C54EE7"/>
    <w:rsid w:val="00C55C9C"/>
    <w:rsid w:val="00C57DC2"/>
    <w:rsid w:val="00C6057F"/>
    <w:rsid w:val="00C60B89"/>
    <w:rsid w:val="00C618E5"/>
    <w:rsid w:val="00C623E6"/>
    <w:rsid w:val="00C625F4"/>
    <w:rsid w:val="00C62793"/>
    <w:rsid w:val="00C62934"/>
    <w:rsid w:val="00C63070"/>
    <w:rsid w:val="00C63131"/>
    <w:rsid w:val="00C65401"/>
    <w:rsid w:val="00C6559D"/>
    <w:rsid w:val="00C65B2F"/>
    <w:rsid w:val="00C66BDE"/>
    <w:rsid w:val="00C67038"/>
    <w:rsid w:val="00C67877"/>
    <w:rsid w:val="00C70422"/>
    <w:rsid w:val="00C70FEE"/>
    <w:rsid w:val="00C715C9"/>
    <w:rsid w:val="00C715E5"/>
    <w:rsid w:val="00C73043"/>
    <w:rsid w:val="00C7326C"/>
    <w:rsid w:val="00C738B8"/>
    <w:rsid w:val="00C74E40"/>
    <w:rsid w:val="00C74EBB"/>
    <w:rsid w:val="00C7602B"/>
    <w:rsid w:val="00C76286"/>
    <w:rsid w:val="00C76439"/>
    <w:rsid w:val="00C76F77"/>
    <w:rsid w:val="00C77D86"/>
    <w:rsid w:val="00C800A4"/>
    <w:rsid w:val="00C810D8"/>
    <w:rsid w:val="00C811F9"/>
    <w:rsid w:val="00C81BBB"/>
    <w:rsid w:val="00C81BC3"/>
    <w:rsid w:val="00C81E6C"/>
    <w:rsid w:val="00C82BF5"/>
    <w:rsid w:val="00C830F4"/>
    <w:rsid w:val="00C83384"/>
    <w:rsid w:val="00C84164"/>
    <w:rsid w:val="00C841C8"/>
    <w:rsid w:val="00C8594C"/>
    <w:rsid w:val="00C85C36"/>
    <w:rsid w:val="00C8664D"/>
    <w:rsid w:val="00C867A2"/>
    <w:rsid w:val="00C867CE"/>
    <w:rsid w:val="00C90EB6"/>
    <w:rsid w:val="00C935E9"/>
    <w:rsid w:val="00C9380A"/>
    <w:rsid w:val="00C94354"/>
    <w:rsid w:val="00C947CC"/>
    <w:rsid w:val="00C94C22"/>
    <w:rsid w:val="00C962A4"/>
    <w:rsid w:val="00C969FF"/>
    <w:rsid w:val="00C96CDF"/>
    <w:rsid w:val="00C97F68"/>
    <w:rsid w:val="00CA0226"/>
    <w:rsid w:val="00CA0415"/>
    <w:rsid w:val="00CA2708"/>
    <w:rsid w:val="00CA2C4B"/>
    <w:rsid w:val="00CA2ED3"/>
    <w:rsid w:val="00CA32C3"/>
    <w:rsid w:val="00CA3AE9"/>
    <w:rsid w:val="00CA44E4"/>
    <w:rsid w:val="00CA4AB5"/>
    <w:rsid w:val="00CA63E9"/>
    <w:rsid w:val="00CA65E5"/>
    <w:rsid w:val="00CA7838"/>
    <w:rsid w:val="00CB0076"/>
    <w:rsid w:val="00CB11D6"/>
    <w:rsid w:val="00CB2627"/>
    <w:rsid w:val="00CB2AE2"/>
    <w:rsid w:val="00CB2C65"/>
    <w:rsid w:val="00CB2DE3"/>
    <w:rsid w:val="00CB2E3E"/>
    <w:rsid w:val="00CB3F81"/>
    <w:rsid w:val="00CB4DD7"/>
    <w:rsid w:val="00CB5373"/>
    <w:rsid w:val="00CB6703"/>
    <w:rsid w:val="00CB72BA"/>
    <w:rsid w:val="00CB730E"/>
    <w:rsid w:val="00CB753E"/>
    <w:rsid w:val="00CC11FA"/>
    <w:rsid w:val="00CC16FD"/>
    <w:rsid w:val="00CC1CB8"/>
    <w:rsid w:val="00CC1E69"/>
    <w:rsid w:val="00CC231F"/>
    <w:rsid w:val="00CC2463"/>
    <w:rsid w:val="00CC2F36"/>
    <w:rsid w:val="00CC3382"/>
    <w:rsid w:val="00CC3B94"/>
    <w:rsid w:val="00CC551B"/>
    <w:rsid w:val="00CC78E3"/>
    <w:rsid w:val="00CD266A"/>
    <w:rsid w:val="00CD2E3B"/>
    <w:rsid w:val="00CD31A5"/>
    <w:rsid w:val="00CD41F1"/>
    <w:rsid w:val="00CD43A9"/>
    <w:rsid w:val="00CD482D"/>
    <w:rsid w:val="00CD4BD1"/>
    <w:rsid w:val="00CD4BF4"/>
    <w:rsid w:val="00CD597B"/>
    <w:rsid w:val="00CD5BE7"/>
    <w:rsid w:val="00CD5CFD"/>
    <w:rsid w:val="00CD66E4"/>
    <w:rsid w:val="00CD6C5B"/>
    <w:rsid w:val="00CD7808"/>
    <w:rsid w:val="00CD787B"/>
    <w:rsid w:val="00CD7EE8"/>
    <w:rsid w:val="00CE0B99"/>
    <w:rsid w:val="00CE1341"/>
    <w:rsid w:val="00CE17D6"/>
    <w:rsid w:val="00CE1BE2"/>
    <w:rsid w:val="00CE2015"/>
    <w:rsid w:val="00CE2A91"/>
    <w:rsid w:val="00CE2B43"/>
    <w:rsid w:val="00CE30A0"/>
    <w:rsid w:val="00CE3512"/>
    <w:rsid w:val="00CE5044"/>
    <w:rsid w:val="00CE591A"/>
    <w:rsid w:val="00CE697E"/>
    <w:rsid w:val="00CE7054"/>
    <w:rsid w:val="00CE73FE"/>
    <w:rsid w:val="00CE77D9"/>
    <w:rsid w:val="00CE7BA2"/>
    <w:rsid w:val="00CF0BA0"/>
    <w:rsid w:val="00CF0E07"/>
    <w:rsid w:val="00CF2FA9"/>
    <w:rsid w:val="00CF2FBD"/>
    <w:rsid w:val="00CF4242"/>
    <w:rsid w:val="00CF4286"/>
    <w:rsid w:val="00CF454A"/>
    <w:rsid w:val="00CF4E74"/>
    <w:rsid w:val="00CF6E9D"/>
    <w:rsid w:val="00CF783E"/>
    <w:rsid w:val="00D00047"/>
    <w:rsid w:val="00D0011D"/>
    <w:rsid w:val="00D0017E"/>
    <w:rsid w:val="00D00347"/>
    <w:rsid w:val="00D007EA"/>
    <w:rsid w:val="00D01392"/>
    <w:rsid w:val="00D02774"/>
    <w:rsid w:val="00D02980"/>
    <w:rsid w:val="00D02DD2"/>
    <w:rsid w:val="00D0344B"/>
    <w:rsid w:val="00D034F8"/>
    <w:rsid w:val="00D03ADE"/>
    <w:rsid w:val="00D05DDD"/>
    <w:rsid w:val="00D07134"/>
    <w:rsid w:val="00D075C4"/>
    <w:rsid w:val="00D10C36"/>
    <w:rsid w:val="00D111A7"/>
    <w:rsid w:val="00D111FE"/>
    <w:rsid w:val="00D11AB4"/>
    <w:rsid w:val="00D11AEE"/>
    <w:rsid w:val="00D11ED0"/>
    <w:rsid w:val="00D122F1"/>
    <w:rsid w:val="00D1279F"/>
    <w:rsid w:val="00D13E3C"/>
    <w:rsid w:val="00D140CE"/>
    <w:rsid w:val="00D14D40"/>
    <w:rsid w:val="00D158E6"/>
    <w:rsid w:val="00D15A61"/>
    <w:rsid w:val="00D15AB4"/>
    <w:rsid w:val="00D16034"/>
    <w:rsid w:val="00D1616D"/>
    <w:rsid w:val="00D16DDE"/>
    <w:rsid w:val="00D17488"/>
    <w:rsid w:val="00D17C1A"/>
    <w:rsid w:val="00D203A1"/>
    <w:rsid w:val="00D20991"/>
    <w:rsid w:val="00D21FBB"/>
    <w:rsid w:val="00D22FD6"/>
    <w:rsid w:val="00D233C5"/>
    <w:rsid w:val="00D23943"/>
    <w:rsid w:val="00D23978"/>
    <w:rsid w:val="00D23EB4"/>
    <w:rsid w:val="00D24FED"/>
    <w:rsid w:val="00D25599"/>
    <w:rsid w:val="00D264A6"/>
    <w:rsid w:val="00D2654D"/>
    <w:rsid w:val="00D26B6A"/>
    <w:rsid w:val="00D26E58"/>
    <w:rsid w:val="00D2702D"/>
    <w:rsid w:val="00D27189"/>
    <w:rsid w:val="00D272BB"/>
    <w:rsid w:val="00D2755E"/>
    <w:rsid w:val="00D2775C"/>
    <w:rsid w:val="00D27EA1"/>
    <w:rsid w:val="00D27FD2"/>
    <w:rsid w:val="00D3050E"/>
    <w:rsid w:val="00D30587"/>
    <w:rsid w:val="00D30698"/>
    <w:rsid w:val="00D30AA2"/>
    <w:rsid w:val="00D31A46"/>
    <w:rsid w:val="00D31D11"/>
    <w:rsid w:val="00D3345C"/>
    <w:rsid w:val="00D33FD2"/>
    <w:rsid w:val="00D3489B"/>
    <w:rsid w:val="00D3592D"/>
    <w:rsid w:val="00D35A3B"/>
    <w:rsid w:val="00D3690B"/>
    <w:rsid w:val="00D36F1C"/>
    <w:rsid w:val="00D37911"/>
    <w:rsid w:val="00D379EC"/>
    <w:rsid w:val="00D37E05"/>
    <w:rsid w:val="00D41BBA"/>
    <w:rsid w:val="00D42D1A"/>
    <w:rsid w:val="00D43396"/>
    <w:rsid w:val="00D4379E"/>
    <w:rsid w:val="00D4455E"/>
    <w:rsid w:val="00D44A23"/>
    <w:rsid w:val="00D4506F"/>
    <w:rsid w:val="00D4533D"/>
    <w:rsid w:val="00D459CC"/>
    <w:rsid w:val="00D45DF5"/>
    <w:rsid w:val="00D45E69"/>
    <w:rsid w:val="00D500F8"/>
    <w:rsid w:val="00D50EAD"/>
    <w:rsid w:val="00D5100C"/>
    <w:rsid w:val="00D51767"/>
    <w:rsid w:val="00D527A9"/>
    <w:rsid w:val="00D52F32"/>
    <w:rsid w:val="00D535F1"/>
    <w:rsid w:val="00D53ACB"/>
    <w:rsid w:val="00D54411"/>
    <w:rsid w:val="00D5460C"/>
    <w:rsid w:val="00D552DF"/>
    <w:rsid w:val="00D55319"/>
    <w:rsid w:val="00D560FD"/>
    <w:rsid w:val="00D579EF"/>
    <w:rsid w:val="00D60AF4"/>
    <w:rsid w:val="00D60C6D"/>
    <w:rsid w:val="00D60E5F"/>
    <w:rsid w:val="00D6101E"/>
    <w:rsid w:val="00D615D9"/>
    <w:rsid w:val="00D61DBC"/>
    <w:rsid w:val="00D62862"/>
    <w:rsid w:val="00D6324A"/>
    <w:rsid w:val="00D63543"/>
    <w:rsid w:val="00D63CCA"/>
    <w:rsid w:val="00D64161"/>
    <w:rsid w:val="00D644BE"/>
    <w:rsid w:val="00D64629"/>
    <w:rsid w:val="00D652B6"/>
    <w:rsid w:val="00D667D5"/>
    <w:rsid w:val="00D669B8"/>
    <w:rsid w:val="00D66E6E"/>
    <w:rsid w:val="00D671EE"/>
    <w:rsid w:val="00D67764"/>
    <w:rsid w:val="00D700EB"/>
    <w:rsid w:val="00D70345"/>
    <w:rsid w:val="00D70DA3"/>
    <w:rsid w:val="00D719A3"/>
    <w:rsid w:val="00D71D7D"/>
    <w:rsid w:val="00D7259A"/>
    <w:rsid w:val="00D72817"/>
    <w:rsid w:val="00D7286B"/>
    <w:rsid w:val="00D730FF"/>
    <w:rsid w:val="00D73723"/>
    <w:rsid w:val="00D73F8B"/>
    <w:rsid w:val="00D747D8"/>
    <w:rsid w:val="00D755EF"/>
    <w:rsid w:val="00D7596F"/>
    <w:rsid w:val="00D75F3A"/>
    <w:rsid w:val="00D76507"/>
    <w:rsid w:val="00D76715"/>
    <w:rsid w:val="00D767BB"/>
    <w:rsid w:val="00D76A57"/>
    <w:rsid w:val="00D76C32"/>
    <w:rsid w:val="00D76D3A"/>
    <w:rsid w:val="00D774DE"/>
    <w:rsid w:val="00D8022C"/>
    <w:rsid w:val="00D80AD0"/>
    <w:rsid w:val="00D810F1"/>
    <w:rsid w:val="00D811BB"/>
    <w:rsid w:val="00D820FB"/>
    <w:rsid w:val="00D822D6"/>
    <w:rsid w:val="00D83121"/>
    <w:rsid w:val="00D831EC"/>
    <w:rsid w:val="00D834DC"/>
    <w:rsid w:val="00D839F8"/>
    <w:rsid w:val="00D840E7"/>
    <w:rsid w:val="00D84226"/>
    <w:rsid w:val="00D84886"/>
    <w:rsid w:val="00D84EFC"/>
    <w:rsid w:val="00D85C15"/>
    <w:rsid w:val="00D866F8"/>
    <w:rsid w:val="00D86CB6"/>
    <w:rsid w:val="00D90900"/>
    <w:rsid w:val="00D91A4D"/>
    <w:rsid w:val="00D92032"/>
    <w:rsid w:val="00D92AAA"/>
    <w:rsid w:val="00D930D8"/>
    <w:rsid w:val="00D931D7"/>
    <w:rsid w:val="00D9348E"/>
    <w:rsid w:val="00D94206"/>
    <w:rsid w:val="00D9471A"/>
    <w:rsid w:val="00D969A8"/>
    <w:rsid w:val="00D97871"/>
    <w:rsid w:val="00D9797D"/>
    <w:rsid w:val="00DA0F11"/>
    <w:rsid w:val="00DA19A0"/>
    <w:rsid w:val="00DA1F15"/>
    <w:rsid w:val="00DA20BE"/>
    <w:rsid w:val="00DA27D0"/>
    <w:rsid w:val="00DA310E"/>
    <w:rsid w:val="00DA4CAF"/>
    <w:rsid w:val="00DA59ED"/>
    <w:rsid w:val="00DA5CB8"/>
    <w:rsid w:val="00DA694A"/>
    <w:rsid w:val="00DA6B28"/>
    <w:rsid w:val="00DA6EA9"/>
    <w:rsid w:val="00DA7476"/>
    <w:rsid w:val="00DB040C"/>
    <w:rsid w:val="00DB0BF4"/>
    <w:rsid w:val="00DB13D2"/>
    <w:rsid w:val="00DB1EDE"/>
    <w:rsid w:val="00DB1FFF"/>
    <w:rsid w:val="00DB26E5"/>
    <w:rsid w:val="00DB26F2"/>
    <w:rsid w:val="00DB340D"/>
    <w:rsid w:val="00DB441B"/>
    <w:rsid w:val="00DB4658"/>
    <w:rsid w:val="00DB4AE7"/>
    <w:rsid w:val="00DB4E55"/>
    <w:rsid w:val="00DB593E"/>
    <w:rsid w:val="00DB5F6B"/>
    <w:rsid w:val="00DB671C"/>
    <w:rsid w:val="00DB6759"/>
    <w:rsid w:val="00DB766F"/>
    <w:rsid w:val="00DB7D0F"/>
    <w:rsid w:val="00DB7D46"/>
    <w:rsid w:val="00DC005D"/>
    <w:rsid w:val="00DC0742"/>
    <w:rsid w:val="00DC15E1"/>
    <w:rsid w:val="00DC1760"/>
    <w:rsid w:val="00DC2134"/>
    <w:rsid w:val="00DC2257"/>
    <w:rsid w:val="00DC2B59"/>
    <w:rsid w:val="00DC313F"/>
    <w:rsid w:val="00DC32C6"/>
    <w:rsid w:val="00DC5FAB"/>
    <w:rsid w:val="00DC6317"/>
    <w:rsid w:val="00DC65C2"/>
    <w:rsid w:val="00DC67C2"/>
    <w:rsid w:val="00DC7C9C"/>
    <w:rsid w:val="00DC7DB4"/>
    <w:rsid w:val="00DD1370"/>
    <w:rsid w:val="00DD1572"/>
    <w:rsid w:val="00DD2522"/>
    <w:rsid w:val="00DD2543"/>
    <w:rsid w:val="00DD28B4"/>
    <w:rsid w:val="00DD4078"/>
    <w:rsid w:val="00DD42A5"/>
    <w:rsid w:val="00DD4421"/>
    <w:rsid w:val="00DD49DD"/>
    <w:rsid w:val="00DD525C"/>
    <w:rsid w:val="00DD56AE"/>
    <w:rsid w:val="00DD6536"/>
    <w:rsid w:val="00DD6981"/>
    <w:rsid w:val="00DD74A8"/>
    <w:rsid w:val="00DD756D"/>
    <w:rsid w:val="00DE07CA"/>
    <w:rsid w:val="00DE0E07"/>
    <w:rsid w:val="00DE0F10"/>
    <w:rsid w:val="00DE219E"/>
    <w:rsid w:val="00DE21E5"/>
    <w:rsid w:val="00DE25C3"/>
    <w:rsid w:val="00DE2FB2"/>
    <w:rsid w:val="00DE3672"/>
    <w:rsid w:val="00DE39A5"/>
    <w:rsid w:val="00DE3A34"/>
    <w:rsid w:val="00DE3E18"/>
    <w:rsid w:val="00DE49BE"/>
    <w:rsid w:val="00DE4CB5"/>
    <w:rsid w:val="00DE6404"/>
    <w:rsid w:val="00DF1053"/>
    <w:rsid w:val="00DF1B78"/>
    <w:rsid w:val="00DF20EB"/>
    <w:rsid w:val="00DF2123"/>
    <w:rsid w:val="00DF36B2"/>
    <w:rsid w:val="00DF3E8A"/>
    <w:rsid w:val="00DF5A5B"/>
    <w:rsid w:val="00DF651F"/>
    <w:rsid w:val="00DF661D"/>
    <w:rsid w:val="00DF6F1E"/>
    <w:rsid w:val="00DF74B0"/>
    <w:rsid w:val="00DF7BA3"/>
    <w:rsid w:val="00E003E2"/>
    <w:rsid w:val="00E005C5"/>
    <w:rsid w:val="00E008F2"/>
    <w:rsid w:val="00E024DA"/>
    <w:rsid w:val="00E02B3E"/>
    <w:rsid w:val="00E02F42"/>
    <w:rsid w:val="00E033C8"/>
    <w:rsid w:val="00E03743"/>
    <w:rsid w:val="00E038A7"/>
    <w:rsid w:val="00E03BFC"/>
    <w:rsid w:val="00E0400C"/>
    <w:rsid w:val="00E04309"/>
    <w:rsid w:val="00E04C3A"/>
    <w:rsid w:val="00E06266"/>
    <w:rsid w:val="00E06626"/>
    <w:rsid w:val="00E069E7"/>
    <w:rsid w:val="00E071A6"/>
    <w:rsid w:val="00E073EB"/>
    <w:rsid w:val="00E07752"/>
    <w:rsid w:val="00E108E1"/>
    <w:rsid w:val="00E10E0F"/>
    <w:rsid w:val="00E10F17"/>
    <w:rsid w:val="00E1126E"/>
    <w:rsid w:val="00E12343"/>
    <w:rsid w:val="00E1263A"/>
    <w:rsid w:val="00E13252"/>
    <w:rsid w:val="00E133ED"/>
    <w:rsid w:val="00E13F71"/>
    <w:rsid w:val="00E1478E"/>
    <w:rsid w:val="00E158CF"/>
    <w:rsid w:val="00E15A05"/>
    <w:rsid w:val="00E15E8E"/>
    <w:rsid w:val="00E16028"/>
    <w:rsid w:val="00E1609A"/>
    <w:rsid w:val="00E16C9B"/>
    <w:rsid w:val="00E17AF2"/>
    <w:rsid w:val="00E17E31"/>
    <w:rsid w:val="00E2058E"/>
    <w:rsid w:val="00E20B69"/>
    <w:rsid w:val="00E219BC"/>
    <w:rsid w:val="00E21AEA"/>
    <w:rsid w:val="00E21BF7"/>
    <w:rsid w:val="00E22272"/>
    <w:rsid w:val="00E22A67"/>
    <w:rsid w:val="00E22BE0"/>
    <w:rsid w:val="00E22E27"/>
    <w:rsid w:val="00E22EDA"/>
    <w:rsid w:val="00E22FD8"/>
    <w:rsid w:val="00E23C7C"/>
    <w:rsid w:val="00E23D47"/>
    <w:rsid w:val="00E240E6"/>
    <w:rsid w:val="00E24292"/>
    <w:rsid w:val="00E24ED0"/>
    <w:rsid w:val="00E256C4"/>
    <w:rsid w:val="00E2642A"/>
    <w:rsid w:val="00E27373"/>
    <w:rsid w:val="00E274C2"/>
    <w:rsid w:val="00E27651"/>
    <w:rsid w:val="00E30038"/>
    <w:rsid w:val="00E3088B"/>
    <w:rsid w:val="00E3179D"/>
    <w:rsid w:val="00E326B8"/>
    <w:rsid w:val="00E32B88"/>
    <w:rsid w:val="00E3329A"/>
    <w:rsid w:val="00E336FA"/>
    <w:rsid w:val="00E33B3F"/>
    <w:rsid w:val="00E34663"/>
    <w:rsid w:val="00E34BE7"/>
    <w:rsid w:val="00E35ADB"/>
    <w:rsid w:val="00E362CD"/>
    <w:rsid w:val="00E36ABB"/>
    <w:rsid w:val="00E37003"/>
    <w:rsid w:val="00E37231"/>
    <w:rsid w:val="00E379EE"/>
    <w:rsid w:val="00E37CFB"/>
    <w:rsid w:val="00E37E14"/>
    <w:rsid w:val="00E4005E"/>
    <w:rsid w:val="00E40B2F"/>
    <w:rsid w:val="00E410C3"/>
    <w:rsid w:val="00E41BDD"/>
    <w:rsid w:val="00E42B0C"/>
    <w:rsid w:val="00E434B0"/>
    <w:rsid w:val="00E43561"/>
    <w:rsid w:val="00E43913"/>
    <w:rsid w:val="00E43DCC"/>
    <w:rsid w:val="00E4541F"/>
    <w:rsid w:val="00E4556C"/>
    <w:rsid w:val="00E459A4"/>
    <w:rsid w:val="00E46079"/>
    <w:rsid w:val="00E46CDC"/>
    <w:rsid w:val="00E46EAC"/>
    <w:rsid w:val="00E50CCF"/>
    <w:rsid w:val="00E51205"/>
    <w:rsid w:val="00E512DF"/>
    <w:rsid w:val="00E515F2"/>
    <w:rsid w:val="00E51B62"/>
    <w:rsid w:val="00E51DA4"/>
    <w:rsid w:val="00E51DCD"/>
    <w:rsid w:val="00E52784"/>
    <w:rsid w:val="00E52E2F"/>
    <w:rsid w:val="00E53267"/>
    <w:rsid w:val="00E537AC"/>
    <w:rsid w:val="00E54022"/>
    <w:rsid w:val="00E5411C"/>
    <w:rsid w:val="00E553AF"/>
    <w:rsid w:val="00E55762"/>
    <w:rsid w:val="00E55764"/>
    <w:rsid w:val="00E55A23"/>
    <w:rsid w:val="00E55AE8"/>
    <w:rsid w:val="00E55B63"/>
    <w:rsid w:val="00E55EB7"/>
    <w:rsid w:val="00E565B9"/>
    <w:rsid w:val="00E56836"/>
    <w:rsid w:val="00E577F5"/>
    <w:rsid w:val="00E60575"/>
    <w:rsid w:val="00E60A42"/>
    <w:rsid w:val="00E6179E"/>
    <w:rsid w:val="00E6198B"/>
    <w:rsid w:val="00E61DF0"/>
    <w:rsid w:val="00E62923"/>
    <w:rsid w:val="00E62ABE"/>
    <w:rsid w:val="00E63ED7"/>
    <w:rsid w:val="00E64331"/>
    <w:rsid w:val="00E648A7"/>
    <w:rsid w:val="00E64938"/>
    <w:rsid w:val="00E64D28"/>
    <w:rsid w:val="00E64E29"/>
    <w:rsid w:val="00E671AA"/>
    <w:rsid w:val="00E671F6"/>
    <w:rsid w:val="00E70E61"/>
    <w:rsid w:val="00E72674"/>
    <w:rsid w:val="00E72801"/>
    <w:rsid w:val="00E7285A"/>
    <w:rsid w:val="00E734E4"/>
    <w:rsid w:val="00E73DD5"/>
    <w:rsid w:val="00E7422A"/>
    <w:rsid w:val="00E743D4"/>
    <w:rsid w:val="00E74CA1"/>
    <w:rsid w:val="00E74E31"/>
    <w:rsid w:val="00E74E61"/>
    <w:rsid w:val="00E74FE8"/>
    <w:rsid w:val="00E75086"/>
    <w:rsid w:val="00E75994"/>
    <w:rsid w:val="00E75D8D"/>
    <w:rsid w:val="00E76036"/>
    <w:rsid w:val="00E7615D"/>
    <w:rsid w:val="00E76633"/>
    <w:rsid w:val="00E76BFB"/>
    <w:rsid w:val="00E80285"/>
    <w:rsid w:val="00E808E6"/>
    <w:rsid w:val="00E80AFB"/>
    <w:rsid w:val="00E817D5"/>
    <w:rsid w:val="00E817DC"/>
    <w:rsid w:val="00E82B0E"/>
    <w:rsid w:val="00E82E83"/>
    <w:rsid w:val="00E83180"/>
    <w:rsid w:val="00E835A7"/>
    <w:rsid w:val="00E8430C"/>
    <w:rsid w:val="00E84E41"/>
    <w:rsid w:val="00E852D4"/>
    <w:rsid w:val="00E852EA"/>
    <w:rsid w:val="00E85688"/>
    <w:rsid w:val="00E85E0A"/>
    <w:rsid w:val="00E8616B"/>
    <w:rsid w:val="00E86CEF"/>
    <w:rsid w:val="00E874DF"/>
    <w:rsid w:val="00E87AEC"/>
    <w:rsid w:val="00E90A92"/>
    <w:rsid w:val="00E90D40"/>
    <w:rsid w:val="00E917DB"/>
    <w:rsid w:val="00E917FA"/>
    <w:rsid w:val="00E921CA"/>
    <w:rsid w:val="00E92764"/>
    <w:rsid w:val="00E9381C"/>
    <w:rsid w:val="00E93A8A"/>
    <w:rsid w:val="00E94E42"/>
    <w:rsid w:val="00E94F9C"/>
    <w:rsid w:val="00E95667"/>
    <w:rsid w:val="00E95EC9"/>
    <w:rsid w:val="00E968D8"/>
    <w:rsid w:val="00EA13CF"/>
    <w:rsid w:val="00EA16EB"/>
    <w:rsid w:val="00EA1848"/>
    <w:rsid w:val="00EA1A59"/>
    <w:rsid w:val="00EA43D4"/>
    <w:rsid w:val="00EA4A0E"/>
    <w:rsid w:val="00EA4CFA"/>
    <w:rsid w:val="00EA662C"/>
    <w:rsid w:val="00EA6D72"/>
    <w:rsid w:val="00EA6F32"/>
    <w:rsid w:val="00EA6FA0"/>
    <w:rsid w:val="00EA777D"/>
    <w:rsid w:val="00EA78FA"/>
    <w:rsid w:val="00EB01BE"/>
    <w:rsid w:val="00EB0493"/>
    <w:rsid w:val="00EB1A52"/>
    <w:rsid w:val="00EB1D94"/>
    <w:rsid w:val="00EB22D2"/>
    <w:rsid w:val="00EB2480"/>
    <w:rsid w:val="00EB30F1"/>
    <w:rsid w:val="00EB3584"/>
    <w:rsid w:val="00EB3A3C"/>
    <w:rsid w:val="00EB4CA1"/>
    <w:rsid w:val="00EB553F"/>
    <w:rsid w:val="00EB6095"/>
    <w:rsid w:val="00EB63C1"/>
    <w:rsid w:val="00EB715C"/>
    <w:rsid w:val="00EC0627"/>
    <w:rsid w:val="00EC0A4A"/>
    <w:rsid w:val="00EC0E76"/>
    <w:rsid w:val="00EC1827"/>
    <w:rsid w:val="00EC19DE"/>
    <w:rsid w:val="00EC1C05"/>
    <w:rsid w:val="00EC22CC"/>
    <w:rsid w:val="00EC33E2"/>
    <w:rsid w:val="00EC5BB5"/>
    <w:rsid w:val="00ED1165"/>
    <w:rsid w:val="00ED2887"/>
    <w:rsid w:val="00ED291D"/>
    <w:rsid w:val="00ED388F"/>
    <w:rsid w:val="00ED5F3F"/>
    <w:rsid w:val="00ED60C6"/>
    <w:rsid w:val="00ED682B"/>
    <w:rsid w:val="00ED6C42"/>
    <w:rsid w:val="00ED6CF4"/>
    <w:rsid w:val="00ED6E41"/>
    <w:rsid w:val="00ED7DA1"/>
    <w:rsid w:val="00ED7DAD"/>
    <w:rsid w:val="00EE01D3"/>
    <w:rsid w:val="00EE056F"/>
    <w:rsid w:val="00EE0B2A"/>
    <w:rsid w:val="00EE1DA7"/>
    <w:rsid w:val="00EE27BE"/>
    <w:rsid w:val="00EE2903"/>
    <w:rsid w:val="00EE39CC"/>
    <w:rsid w:val="00EE412A"/>
    <w:rsid w:val="00EE4694"/>
    <w:rsid w:val="00EE493B"/>
    <w:rsid w:val="00EE515A"/>
    <w:rsid w:val="00EE5669"/>
    <w:rsid w:val="00EE62E7"/>
    <w:rsid w:val="00EE78C0"/>
    <w:rsid w:val="00EE7B09"/>
    <w:rsid w:val="00EE7FBA"/>
    <w:rsid w:val="00EF0343"/>
    <w:rsid w:val="00EF113B"/>
    <w:rsid w:val="00EF2158"/>
    <w:rsid w:val="00EF2587"/>
    <w:rsid w:val="00EF2CB7"/>
    <w:rsid w:val="00EF37AD"/>
    <w:rsid w:val="00EF3987"/>
    <w:rsid w:val="00EF451B"/>
    <w:rsid w:val="00EF5550"/>
    <w:rsid w:val="00EF6146"/>
    <w:rsid w:val="00EF653C"/>
    <w:rsid w:val="00EF6AB5"/>
    <w:rsid w:val="00EF6FEF"/>
    <w:rsid w:val="00EF7057"/>
    <w:rsid w:val="00EF714D"/>
    <w:rsid w:val="00EF7150"/>
    <w:rsid w:val="00EF7296"/>
    <w:rsid w:val="00EF73E7"/>
    <w:rsid w:val="00EF787E"/>
    <w:rsid w:val="00F00DF3"/>
    <w:rsid w:val="00F0120A"/>
    <w:rsid w:val="00F0213A"/>
    <w:rsid w:val="00F02494"/>
    <w:rsid w:val="00F03375"/>
    <w:rsid w:val="00F03740"/>
    <w:rsid w:val="00F04004"/>
    <w:rsid w:val="00F041DD"/>
    <w:rsid w:val="00F04594"/>
    <w:rsid w:val="00F04F7F"/>
    <w:rsid w:val="00F059B9"/>
    <w:rsid w:val="00F067BC"/>
    <w:rsid w:val="00F06A4E"/>
    <w:rsid w:val="00F07D12"/>
    <w:rsid w:val="00F10D2F"/>
    <w:rsid w:val="00F11720"/>
    <w:rsid w:val="00F11C06"/>
    <w:rsid w:val="00F1350E"/>
    <w:rsid w:val="00F13FA1"/>
    <w:rsid w:val="00F144A3"/>
    <w:rsid w:val="00F148F3"/>
    <w:rsid w:val="00F14FA4"/>
    <w:rsid w:val="00F16718"/>
    <w:rsid w:val="00F167E9"/>
    <w:rsid w:val="00F16F96"/>
    <w:rsid w:val="00F17495"/>
    <w:rsid w:val="00F17AC1"/>
    <w:rsid w:val="00F22119"/>
    <w:rsid w:val="00F224AE"/>
    <w:rsid w:val="00F22735"/>
    <w:rsid w:val="00F227F8"/>
    <w:rsid w:val="00F22B26"/>
    <w:rsid w:val="00F2366A"/>
    <w:rsid w:val="00F24F8B"/>
    <w:rsid w:val="00F25160"/>
    <w:rsid w:val="00F265C2"/>
    <w:rsid w:val="00F26908"/>
    <w:rsid w:val="00F26C1A"/>
    <w:rsid w:val="00F26F52"/>
    <w:rsid w:val="00F27B49"/>
    <w:rsid w:val="00F27E2A"/>
    <w:rsid w:val="00F3132B"/>
    <w:rsid w:val="00F31C48"/>
    <w:rsid w:val="00F31D45"/>
    <w:rsid w:val="00F321FE"/>
    <w:rsid w:val="00F3264B"/>
    <w:rsid w:val="00F3338C"/>
    <w:rsid w:val="00F33BBD"/>
    <w:rsid w:val="00F33C22"/>
    <w:rsid w:val="00F341B0"/>
    <w:rsid w:val="00F34D66"/>
    <w:rsid w:val="00F3501A"/>
    <w:rsid w:val="00F353E6"/>
    <w:rsid w:val="00F35B18"/>
    <w:rsid w:val="00F35C15"/>
    <w:rsid w:val="00F3605D"/>
    <w:rsid w:val="00F36B2A"/>
    <w:rsid w:val="00F376D9"/>
    <w:rsid w:val="00F40F20"/>
    <w:rsid w:val="00F4137B"/>
    <w:rsid w:val="00F41485"/>
    <w:rsid w:val="00F41870"/>
    <w:rsid w:val="00F41D37"/>
    <w:rsid w:val="00F423C9"/>
    <w:rsid w:val="00F42514"/>
    <w:rsid w:val="00F42D95"/>
    <w:rsid w:val="00F4325C"/>
    <w:rsid w:val="00F4333C"/>
    <w:rsid w:val="00F4433F"/>
    <w:rsid w:val="00F44B7A"/>
    <w:rsid w:val="00F44DD2"/>
    <w:rsid w:val="00F45B6E"/>
    <w:rsid w:val="00F461B5"/>
    <w:rsid w:val="00F463CD"/>
    <w:rsid w:val="00F466F9"/>
    <w:rsid w:val="00F469D2"/>
    <w:rsid w:val="00F501AC"/>
    <w:rsid w:val="00F5057A"/>
    <w:rsid w:val="00F50A96"/>
    <w:rsid w:val="00F50CEA"/>
    <w:rsid w:val="00F51ECF"/>
    <w:rsid w:val="00F53FF9"/>
    <w:rsid w:val="00F541DE"/>
    <w:rsid w:val="00F544E1"/>
    <w:rsid w:val="00F55D47"/>
    <w:rsid w:val="00F5612F"/>
    <w:rsid w:val="00F56EDB"/>
    <w:rsid w:val="00F57046"/>
    <w:rsid w:val="00F57398"/>
    <w:rsid w:val="00F6058D"/>
    <w:rsid w:val="00F60AFC"/>
    <w:rsid w:val="00F60B7F"/>
    <w:rsid w:val="00F60D79"/>
    <w:rsid w:val="00F61288"/>
    <w:rsid w:val="00F613D1"/>
    <w:rsid w:val="00F61BDB"/>
    <w:rsid w:val="00F61E73"/>
    <w:rsid w:val="00F624D1"/>
    <w:rsid w:val="00F626FC"/>
    <w:rsid w:val="00F62B79"/>
    <w:rsid w:val="00F633FF"/>
    <w:rsid w:val="00F64379"/>
    <w:rsid w:val="00F64627"/>
    <w:rsid w:val="00F64BD7"/>
    <w:rsid w:val="00F65B07"/>
    <w:rsid w:val="00F66B21"/>
    <w:rsid w:val="00F66BFE"/>
    <w:rsid w:val="00F6709B"/>
    <w:rsid w:val="00F67DEC"/>
    <w:rsid w:val="00F70637"/>
    <w:rsid w:val="00F70717"/>
    <w:rsid w:val="00F70B2B"/>
    <w:rsid w:val="00F7181A"/>
    <w:rsid w:val="00F71892"/>
    <w:rsid w:val="00F72678"/>
    <w:rsid w:val="00F7293A"/>
    <w:rsid w:val="00F73C94"/>
    <w:rsid w:val="00F74E9B"/>
    <w:rsid w:val="00F76095"/>
    <w:rsid w:val="00F760AB"/>
    <w:rsid w:val="00F7617C"/>
    <w:rsid w:val="00F76488"/>
    <w:rsid w:val="00F77910"/>
    <w:rsid w:val="00F77DCC"/>
    <w:rsid w:val="00F8069A"/>
    <w:rsid w:val="00F80C35"/>
    <w:rsid w:val="00F811DC"/>
    <w:rsid w:val="00F815EB"/>
    <w:rsid w:val="00F81D66"/>
    <w:rsid w:val="00F83646"/>
    <w:rsid w:val="00F83A7E"/>
    <w:rsid w:val="00F83ACD"/>
    <w:rsid w:val="00F83DC9"/>
    <w:rsid w:val="00F84154"/>
    <w:rsid w:val="00F842D5"/>
    <w:rsid w:val="00F8540C"/>
    <w:rsid w:val="00F857DC"/>
    <w:rsid w:val="00F869BD"/>
    <w:rsid w:val="00F86A4D"/>
    <w:rsid w:val="00F86D48"/>
    <w:rsid w:val="00F87A52"/>
    <w:rsid w:val="00F90174"/>
    <w:rsid w:val="00F906D2"/>
    <w:rsid w:val="00F90C97"/>
    <w:rsid w:val="00F9119F"/>
    <w:rsid w:val="00F91EC8"/>
    <w:rsid w:val="00F9231A"/>
    <w:rsid w:val="00F9247F"/>
    <w:rsid w:val="00F92702"/>
    <w:rsid w:val="00F92FB0"/>
    <w:rsid w:val="00F939A7"/>
    <w:rsid w:val="00F9452B"/>
    <w:rsid w:val="00F96006"/>
    <w:rsid w:val="00F964D8"/>
    <w:rsid w:val="00F966AA"/>
    <w:rsid w:val="00F966CC"/>
    <w:rsid w:val="00F96C99"/>
    <w:rsid w:val="00F9705D"/>
    <w:rsid w:val="00F972DA"/>
    <w:rsid w:val="00F9782E"/>
    <w:rsid w:val="00FA037A"/>
    <w:rsid w:val="00FA058D"/>
    <w:rsid w:val="00FA05B9"/>
    <w:rsid w:val="00FA2CE1"/>
    <w:rsid w:val="00FA3948"/>
    <w:rsid w:val="00FA4126"/>
    <w:rsid w:val="00FA445E"/>
    <w:rsid w:val="00FA4C64"/>
    <w:rsid w:val="00FA503E"/>
    <w:rsid w:val="00FA6498"/>
    <w:rsid w:val="00FA6841"/>
    <w:rsid w:val="00FA68FB"/>
    <w:rsid w:val="00FB0BFC"/>
    <w:rsid w:val="00FB0C79"/>
    <w:rsid w:val="00FB1018"/>
    <w:rsid w:val="00FB13ED"/>
    <w:rsid w:val="00FB21E8"/>
    <w:rsid w:val="00FB2B89"/>
    <w:rsid w:val="00FB3739"/>
    <w:rsid w:val="00FB3A73"/>
    <w:rsid w:val="00FB3EC8"/>
    <w:rsid w:val="00FB49B1"/>
    <w:rsid w:val="00FB4DCE"/>
    <w:rsid w:val="00FB50AF"/>
    <w:rsid w:val="00FB510B"/>
    <w:rsid w:val="00FB5825"/>
    <w:rsid w:val="00FB59BD"/>
    <w:rsid w:val="00FB77C5"/>
    <w:rsid w:val="00FB7FA3"/>
    <w:rsid w:val="00FC07C1"/>
    <w:rsid w:val="00FC0DD5"/>
    <w:rsid w:val="00FC294D"/>
    <w:rsid w:val="00FC2E50"/>
    <w:rsid w:val="00FC3095"/>
    <w:rsid w:val="00FC4135"/>
    <w:rsid w:val="00FC5114"/>
    <w:rsid w:val="00FC543D"/>
    <w:rsid w:val="00FC5BD9"/>
    <w:rsid w:val="00FC5CBF"/>
    <w:rsid w:val="00FC5DA8"/>
    <w:rsid w:val="00FC5DBD"/>
    <w:rsid w:val="00FC6332"/>
    <w:rsid w:val="00FC6388"/>
    <w:rsid w:val="00FC693A"/>
    <w:rsid w:val="00FC7640"/>
    <w:rsid w:val="00FD0070"/>
    <w:rsid w:val="00FD0F8D"/>
    <w:rsid w:val="00FD0FB6"/>
    <w:rsid w:val="00FD1AC4"/>
    <w:rsid w:val="00FD22C2"/>
    <w:rsid w:val="00FD2A55"/>
    <w:rsid w:val="00FD2D55"/>
    <w:rsid w:val="00FD2F46"/>
    <w:rsid w:val="00FD4695"/>
    <w:rsid w:val="00FD4E27"/>
    <w:rsid w:val="00FD546E"/>
    <w:rsid w:val="00FD55B6"/>
    <w:rsid w:val="00FD56EC"/>
    <w:rsid w:val="00FD5888"/>
    <w:rsid w:val="00FD5976"/>
    <w:rsid w:val="00FD59F1"/>
    <w:rsid w:val="00FD62A8"/>
    <w:rsid w:val="00FD64B4"/>
    <w:rsid w:val="00FD75E2"/>
    <w:rsid w:val="00FD7AD1"/>
    <w:rsid w:val="00FD7BE9"/>
    <w:rsid w:val="00FE068C"/>
    <w:rsid w:val="00FE0AFC"/>
    <w:rsid w:val="00FE1222"/>
    <w:rsid w:val="00FE155D"/>
    <w:rsid w:val="00FE1D22"/>
    <w:rsid w:val="00FE2160"/>
    <w:rsid w:val="00FE2ADA"/>
    <w:rsid w:val="00FE366A"/>
    <w:rsid w:val="00FE3688"/>
    <w:rsid w:val="00FE3F41"/>
    <w:rsid w:val="00FE4747"/>
    <w:rsid w:val="00FE4912"/>
    <w:rsid w:val="00FE54FF"/>
    <w:rsid w:val="00FE5C02"/>
    <w:rsid w:val="00FE686E"/>
    <w:rsid w:val="00FE6A98"/>
    <w:rsid w:val="00FE701F"/>
    <w:rsid w:val="00FE743D"/>
    <w:rsid w:val="00FE7852"/>
    <w:rsid w:val="00FF00EF"/>
    <w:rsid w:val="00FF114A"/>
    <w:rsid w:val="00FF1A49"/>
    <w:rsid w:val="00FF30BA"/>
    <w:rsid w:val="00FF32EF"/>
    <w:rsid w:val="00FF4271"/>
    <w:rsid w:val="00FF49BA"/>
    <w:rsid w:val="00FF4E8A"/>
    <w:rsid w:val="00FF552E"/>
    <w:rsid w:val="00FF5D77"/>
    <w:rsid w:val="00FF5D8C"/>
    <w:rsid w:val="00FF6BA6"/>
    <w:rsid w:val="00FF7020"/>
    <w:rsid w:val="00FF738C"/>
    <w:rsid w:val="00FF7D50"/>
    <w:rsid w:val="00FF7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046D"/>
  <w15:chartTrackingRefBased/>
  <w15:docId w15:val="{01E0BA20-ED68-4562-8656-5BC5DE22E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7852"/>
    <w:pPr>
      <w:widowControl w:val="0"/>
      <w:autoSpaceDE w:val="0"/>
      <w:autoSpaceDN w:val="0"/>
      <w:adjustRightInd w:val="0"/>
    </w:pPr>
    <w:rPr>
      <w:rFonts w:ascii="Courier New" w:hAnsi="Courier New"/>
      <w:szCs w:val="24"/>
    </w:rPr>
  </w:style>
  <w:style w:type="paragraph" w:styleId="Heading1">
    <w:name w:val="heading 1"/>
    <w:basedOn w:val="Normal"/>
    <w:next w:val="Normal"/>
    <w:qFormat/>
    <w:pPr>
      <w:keepNext/>
      <w:spacing w:line="480" w:lineRule="auto"/>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rPr>
      <w:rFonts w:ascii="Times New Roman" w:hAnsi="Times New Roman"/>
      <w:sz w:val="24"/>
    </w:rPr>
  </w:style>
  <w:style w:type="paragraph" w:styleId="BodyText2">
    <w:name w:val="Body Text 2"/>
    <w:basedOn w:val="Normal"/>
    <w:rPr>
      <w:i/>
      <w:iCs/>
      <w:szCs w:val="20"/>
    </w:rPr>
  </w:style>
  <w:style w:type="paragraph" w:styleId="BodyTextIndent">
    <w:name w:val="Body Text Indent"/>
    <w:basedOn w:val="Normal"/>
    <w:pPr>
      <w:spacing w:line="480" w:lineRule="auto"/>
      <w:ind w:firstLine="720"/>
    </w:pPr>
    <w:rPr>
      <w:rFonts w:ascii="Times New Roman" w:hAnsi="Times New Roman"/>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footnoteref">
    <w:name w:val="footnote ref"/>
  </w:style>
  <w:style w:type="character" w:styleId="Hyperlink">
    <w:name w:val="Hyperlink"/>
    <w:rsid w:val="00F24F8B"/>
    <w:rPr>
      <w:color w:val="0000FF"/>
      <w:u w:val="single"/>
    </w:rPr>
  </w:style>
  <w:style w:type="paragraph" w:styleId="FootnoteText">
    <w:name w:val="footnote text"/>
    <w:basedOn w:val="Normal"/>
    <w:link w:val="FootnoteTextChar"/>
    <w:semiHidden/>
    <w:rsid w:val="00242DF6"/>
    <w:rPr>
      <w:szCs w:val="20"/>
    </w:rPr>
  </w:style>
  <w:style w:type="paragraph" w:styleId="BodyTextIndent3">
    <w:name w:val="Body Text Indent 3"/>
    <w:basedOn w:val="Normal"/>
    <w:rsid w:val="005A5E4E"/>
    <w:pPr>
      <w:spacing w:after="120"/>
      <w:ind w:left="360"/>
    </w:pPr>
    <w:rPr>
      <w:sz w:val="16"/>
      <w:szCs w:val="16"/>
    </w:rPr>
  </w:style>
  <w:style w:type="character" w:styleId="CommentReference">
    <w:name w:val="annotation reference"/>
    <w:uiPriority w:val="99"/>
    <w:rsid w:val="00DD4078"/>
    <w:rPr>
      <w:sz w:val="16"/>
      <w:szCs w:val="16"/>
    </w:rPr>
  </w:style>
  <w:style w:type="paragraph" w:styleId="CommentText">
    <w:name w:val="annotation text"/>
    <w:basedOn w:val="Normal"/>
    <w:link w:val="CommentTextChar"/>
    <w:uiPriority w:val="99"/>
    <w:rsid w:val="00DD4078"/>
    <w:rPr>
      <w:szCs w:val="20"/>
    </w:rPr>
  </w:style>
  <w:style w:type="character" w:customStyle="1" w:styleId="CommentTextChar">
    <w:name w:val="Comment Text Char"/>
    <w:link w:val="CommentText"/>
    <w:uiPriority w:val="99"/>
    <w:rsid w:val="00DD4078"/>
    <w:rPr>
      <w:rFonts w:ascii="Courier New" w:hAnsi="Courier New"/>
    </w:rPr>
  </w:style>
  <w:style w:type="paragraph" w:styleId="CommentSubject">
    <w:name w:val="annotation subject"/>
    <w:basedOn w:val="CommentText"/>
    <w:next w:val="CommentText"/>
    <w:link w:val="CommentSubjectChar"/>
    <w:rsid w:val="00DD4078"/>
    <w:rPr>
      <w:b/>
      <w:bCs/>
    </w:rPr>
  </w:style>
  <w:style w:type="character" w:customStyle="1" w:styleId="CommentSubjectChar">
    <w:name w:val="Comment Subject Char"/>
    <w:link w:val="CommentSubject"/>
    <w:rsid w:val="00DD4078"/>
    <w:rPr>
      <w:rFonts w:ascii="Courier New" w:hAnsi="Courier New"/>
      <w:b/>
      <w:bCs/>
    </w:rPr>
  </w:style>
  <w:style w:type="paragraph" w:styleId="BalloonText">
    <w:name w:val="Balloon Text"/>
    <w:basedOn w:val="Normal"/>
    <w:link w:val="BalloonTextChar"/>
    <w:rsid w:val="00DD4078"/>
    <w:rPr>
      <w:rFonts w:ascii="Tahoma" w:hAnsi="Tahoma" w:cs="Tahoma"/>
      <w:sz w:val="16"/>
      <w:szCs w:val="16"/>
    </w:rPr>
  </w:style>
  <w:style w:type="character" w:customStyle="1" w:styleId="BalloonTextChar">
    <w:name w:val="Balloon Text Char"/>
    <w:link w:val="BalloonText"/>
    <w:rsid w:val="00DD4078"/>
    <w:rPr>
      <w:rFonts w:ascii="Tahoma" w:hAnsi="Tahoma" w:cs="Tahoma"/>
      <w:sz w:val="16"/>
      <w:szCs w:val="16"/>
    </w:rPr>
  </w:style>
  <w:style w:type="paragraph" w:styleId="EndnoteText">
    <w:name w:val="endnote text"/>
    <w:basedOn w:val="Normal"/>
    <w:semiHidden/>
    <w:rsid w:val="008C0102"/>
    <w:rPr>
      <w:szCs w:val="20"/>
    </w:rPr>
  </w:style>
  <w:style w:type="character" w:styleId="EndnoteReference">
    <w:name w:val="endnote reference"/>
    <w:semiHidden/>
    <w:rsid w:val="008C0102"/>
    <w:rPr>
      <w:vertAlign w:val="superscript"/>
    </w:rPr>
  </w:style>
  <w:style w:type="character" w:customStyle="1" w:styleId="BodyTextChar">
    <w:name w:val="Body Text Char"/>
    <w:link w:val="BodyText"/>
    <w:rsid w:val="001A1782"/>
    <w:rPr>
      <w:sz w:val="24"/>
      <w:szCs w:val="24"/>
    </w:rPr>
  </w:style>
  <w:style w:type="paragraph" w:styleId="NormalWeb">
    <w:name w:val="Normal (Web)"/>
    <w:basedOn w:val="Normal"/>
    <w:uiPriority w:val="99"/>
    <w:unhideWhenUsed/>
    <w:rsid w:val="001A6294"/>
    <w:pPr>
      <w:widowControl/>
      <w:autoSpaceDE/>
      <w:autoSpaceDN/>
      <w:adjustRightInd/>
      <w:spacing w:before="100" w:beforeAutospacing="1" w:after="100" w:afterAutospacing="1"/>
    </w:pPr>
    <w:rPr>
      <w:rFonts w:ascii="Times New Roman" w:hAnsi="Times New Roman"/>
      <w:sz w:val="24"/>
    </w:rPr>
  </w:style>
  <w:style w:type="paragraph" w:customStyle="1" w:styleId="FootnoteText1">
    <w:name w:val="Footnote Text1"/>
    <w:rsid w:val="00890933"/>
    <w:rPr>
      <w:rFonts w:eastAsia="ヒラギノ角ゴ Pro W3"/>
      <w:color w:val="000000"/>
      <w:sz w:val="22"/>
    </w:rPr>
  </w:style>
  <w:style w:type="paragraph" w:customStyle="1" w:styleId="Citation">
    <w:name w:val="Citation"/>
    <w:basedOn w:val="List"/>
    <w:link w:val="CitationChar"/>
    <w:rsid w:val="00B35478"/>
    <w:pPr>
      <w:widowControl/>
      <w:autoSpaceDE/>
      <w:autoSpaceDN/>
      <w:adjustRightInd/>
      <w:spacing w:after="200" w:line="276" w:lineRule="auto"/>
      <w:ind w:left="173" w:hanging="173"/>
      <w:contextualSpacing w:val="0"/>
    </w:pPr>
    <w:rPr>
      <w:rFonts w:ascii="Calibri" w:eastAsia="Calibri" w:hAnsi="Calibri"/>
      <w:sz w:val="22"/>
      <w:szCs w:val="22"/>
    </w:rPr>
  </w:style>
  <w:style w:type="character" w:customStyle="1" w:styleId="CitationChar">
    <w:name w:val="Citation Char"/>
    <w:link w:val="Citation"/>
    <w:rsid w:val="00B35478"/>
    <w:rPr>
      <w:rFonts w:ascii="Calibri" w:eastAsia="Calibri" w:hAnsi="Calibri"/>
      <w:sz w:val="22"/>
      <w:szCs w:val="22"/>
    </w:rPr>
  </w:style>
  <w:style w:type="paragraph" w:styleId="List">
    <w:name w:val="List"/>
    <w:basedOn w:val="Normal"/>
    <w:rsid w:val="00B35478"/>
    <w:pPr>
      <w:ind w:left="360" w:hanging="360"/>
      <w:contextualSpacing/>
    </w:pPr>
  </w:style>
  <w:style w:type="character" w:styleId="SubtleReference">
    <w:name w:val="Subtle Reference"/>
    <w:uiPriority w:val="31"/>
    <w:qFormat/>
    <w:rsid w:val="00A775DF"/>
    <w:rPr>
      <w:smallCaps/>
      <w:color w:val="5A5A5A"/>
    </w:rPr>
  </w:style>
  <w:style w:type="character" w:customStyle="1" w:styleId="FooterChar">
    <w:name w:val="Footer Char"/>
    <w:link w:val="Footer"/>
    <w:uiPriority w:val="99"/>
    <w:rsid w:val="00B654F6"/>
    <w:rPr>
      <w:rFonts w:ascii="Courier New" w:hAnsi="Courier New"/>
      <w:szCs w:val="24"/>
    </w:rPr>
  </w:style>
  <w:style w:type="character" w:styleId="Emphasis">
    <w:name w:val="Emphasis"/>
    <w:uiPriority w:val="20"/>
    <w:qFormat/>
    <w:rsid w:val="00D37E05"/>
    <w:rPr>
      <w:i/>
      <w:iCs/>
    </w:rPr>
  </w:style>
  <w:style w:type="paragraph" w:styleId="ListParagraph">
    <w:name w:val="List Paragraph"/>
    <w:basedOn w:val="Normal"/>
    <w:uiPriority w:val="34"/>
    <w:qFormat/>
    <w:rsid w:val="0041260F"/>
    <w:pPr>
      <w:widowControl/>
      <w:autoSpaceDE/>
      <w:autoSpaceDN/>
      <w:adjustRightInd/>
      <w:ind w:left="720"/>
      <w:contextualSpacing/>
    </w:pPr>
    <w:rPr>
      <w:rFonts w:ascii="Times New Roman" w:hAnsi="Times New Roman"/>
      <w:sz w:val="24"/>
    </w:rPr>
  </w:style>
  <w:style w:type="character" w:styleId="UnresolvedMention">
    <w:name w:val="Unresolved Mention"/>
    <w:uiPriority w:val="99"/>
    <w:semiHidden/>
    <w:unhideWhenUsed/>
    <w:rsid w:val="00F16718"/>
    <w:rPr>
      <w:color w:val="605E5C"/>
      <w:shd w:val="clear" w:color="auto" w:fill="E1DFDD"/>
    </w:rPr>
  </w:style>
  <w:style w:type="character" w:customStyle="1" w:styleId="ref-lnk">
    <w:name w:val="ref-lnk"/>
    <w:basedOn w:val="DefaultParagraphFont"/>
    <w:rsid w:val="0036070C"/>
  </w:style>
  <w:style w:type="character" w:customStyle="1" w:styleId="off-screen">
    <w:name w:val="off-screen"/>
    <w:basedOn w:val="DefaultParagraphFont"/>
    <w:rsid w:val="0036070C"/>
  </w:style>
  <w:style w:type="paragraph" w:customStyle="1" w:styleId="BodyA">
    <w:name w:val="Body A"/>
    <w:rsid w:val="002432FA"/>
    <w:rPr>
      <w:rFonts w:ascii="Helvetica" w:eastAsia="ヒラギノ角ゴ Pro W3" w:hAnsi="Helvetica"/>
      <w:color w:val="000000"/>
      <w:sz w:val="24"/>
    </w:rPr>
  </w:style>
  <w:style w:type="paragraph" w:customStyle="1" w:styleId="Default">
    <w:name w:val="Default"/>
    <w:rsid w:val="00EE1DA7"/>
    <w:pPr>
      <w:autoSpaceDE w:val="0"/>
      <w:autoSpaceDN w:val="0"/>
      <w:adjustRightInd w:val="0"/>
    </w:pPr>
    <w:rPr>
      <w:rFonts w:ascii="Deja Vu Serif" w:hAnsi="Deja Vu Serif" w:cs="Deja Vu Serif"/>
      <w:color w:val="000000"/>
      <w:sz w:val="24"/>
      <w:szCs w:val="24"/>
    </w:rPr>
  </w:style>
  <w:style w:type="paragraph" w:styleId="Revision">
    <w:name w:val="Revision"/>
    <w:hidden/>
    <w:uiPriority w:val="99"/>
    <w:semiHidden/>
    <w:rsid w:val="00117FA9"/>
    <w:rPr>
      <w:rFonts w:ascii="Courier New" w:hAnsi="Courier New"/>
      <w:szCs w:val="24"/>
    </w:rPr>
  </w:style>
  <w:style w:type="character" w:customStyle="1" w:styleId="FootnoteTextChar">
    <w:name w:val="Footnote Text Char"/>
    <w:link w:val="FootnoteText"/>
    <w:semiHidden/>
    <w:rsid w:val="00782A4E"/>
    <w:rPr>
      <w:rFonts w:ascii="Courier New" w:hAnsi="Courier New"/>
    </w:rPr>
  </w:style>
  <w:style w:type="paragraph" w:customStyle="1" w:styleId="c-article-author-listitem">
    <w:name w:val="c-article-author-list__item"/>
    <w:basedOn w:val="Normal"/>
    <w:rsid w:val="00CB3F81"/>
    <w:pPr>
      <w:widowControl/>
      <w:autoSpaceDE/>
      <w:autoSpaceDN/>
      <w:adjustRightInd/>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233531">
      <w:bodyDiv w:val="1"/>
      <w:marLeft w:val="0"/>
      <w:marRight w:val="0"/>
      <w:marTop w:val="0"/>
      <w:marBottom w:val="0"/>
      <w:divBdr>
        <w:top w:val="none" w:sz="0" w:space="0" w:color="auto"/>
        <w:left w:val="none" w:sz="0" w:space="0" w:color="auto"/>
        <w:bottom w:val="none" w:sz="0" w:space="0" w:color="auto"/>
        <w:right w:val="none" w:sz="0" w:space="0" w:color="auto"/>
      </w:divBdr>
    </w:div>
    <w:div w:id="279074366">
      <w:bodyDiv w:val="1"/>
      <w:marLeft w:val="0"/>
      <w:marRight w:val="0"/>
      <w:marTop w:val="0"/>
      <w:marBottom w:val="0"/>
      <w:divBdr>
        <w:top w:val="none" w:sz="0" w:space="0" w:color="auto"/>
        <w:left w:val="none" w:sz="0" w:space="0" w:color="auto"/>
        <w:bottom w:val="none" w:sz="0" w:space="0" w:color="auto"/>
        <w:right w:val="none" w:sz="0" w:space="0" w:color="auto"/>
      </w:divBdr>
    </w:div>
    <w:div w:id="376005524">
      <w:bodyDiv w:val="1"/>
      <w:marLeft w:val="0"/>
      <w:marRight w:val="0"/>
      <w:marTop w:val="0"/>
      <w:marBottom w:val="0"/>
      <w:divBdr>
        <w:top w:val="none" w:sz="0" w:space="0" w:color="auto"/>
        <w:left w:val="none" w:sz="0" w:space="0" w:color="auto"/>
        <w:bottom w:val="none" w:sz="0" w:space="0" w:color="auto"/>
        <w:right w:val="none" w:sz="0" w:space="0" w:color="auto"/>
      </w:divBdr>
    </w:div>
    <w:div w:id="390427645">
      <w:bodyDiv w:val="1"/>
      <w:marLeft w:val="0"/>
      <w:marRight w:val="0"/>
      <w:marTop w:val="0"/>
      <w:marBottom w:val="0"/>
      <w:divBdr>
        <w:top w:val="none" w:sz="0" w:space="0" w:color="auto"/>
        <w:left w:val="none" w:sz="0" w:space="0" w:color="auto"/>
        <w:bottom w:val="none" w:sz="0" w:space="0" w:color="auto"/>
        <w:right w:val="none" w:sz="0" w:space="0" w:color="auto"/>
      </w:divBdr>
    </w:div>
    <w:div w:id="459615586">
      <w:bodyDiv w:val="1"/>
      <w:marLeft w:val="0"/>
      <w:marRight w:val="0"/>
      <w:marTop w:val="0"/>
      <w:marBottom w:val="0"/>
      <w:divBdr>
        <w:top w:val="none" w:sz="0" w:space="0" w:color="auto"/>
        <w:left w:val="none" w:sz="0" w:space="0" w:color="auto"/>
        <w:bottom w:val="none" w:sz="0" w:space="0" w:color="auto"/>
        <w:right w:val="none" w:sz="0" w:space="0" w:color="auto"/>
      </w:divBdr>
    </w:div>
    <w:div w:id="500774411">
      <w:bodyDiv w:val="1"/>
      <w:marLeft w:val="0"/>
      <w:marRight w:val="0"/>
      <w:marTop w:val="0"/>
      <w:marBottom w:val="0"/>
      <w:divBdr>
        <w:top w:val="none" w:sz="0" w:space="0" w:color="auto"/>
        <w:left w:val="none" w:sz="0" w:space="0" w:color="auto"/>
        <w:bottom w:val="none" w:sz="0" w:space="0" w:color="auto"/>
        <w:right w:val="none" w:sz="0" w:space="0" w:color="auto"/>
      </w:divBdr>
    </w:div>
    <w:div w:id="552422428">
      <w:bodyDiv w:val="1"/>
      <w:marLeft w:val="0"/>
      <w:marRight w:val="0"/>
      <w:marTop w:val="0"/>
      <w:marBottom w:val="0"/>
      <w:divBdr>
        <w:top w:val="none" w:sz="0" w:space="0" w:color="auto"/>
        <w:left w:val="none" w:sz="0" w:space="0" w:color="auto"/>
        <w:bottom w:val="none" w:sz="0" w:space="0" w:color="auto"/>
        <w:right w:val="none" w:sz="0" w:space="0" w:color="auto"/>
      </w:divBdr>
      <w:divsChild>
        <w:div w:id="1409307900">
          <w:marLeft w:val="0"/>
          <w:marRight w:val="0"/>
          <w:marTop w:val="0"/>
          <w:marBottom w:val="0"/>
          <w:divBdr>
            <w:top w:val="none" w:sz="0" w:space="0" w:color="auto"/>
            <w:left w:val="none" w:sz="0" w:space="0" w:color="auto"/>
            <w:bottom w:val="none" w:sz="0" w:space="0" w:color="auto"/>
            <w:right w:val="none" w:sz="0" w:space="0" w:color="auto"/>
          </w:divBdr>
        </w:div>
        <w:div w:id="2068331742">
          <w:marLeft w:val="0"/>
          <w:marRight w:val="0"/>
          <w:marTop w:val="0"/>
          <w:marBottom w:val="0"/>
          <w:divBdr>
            <w:top w:val="none" w:sz="0" w:space="0" w:color="auto"/>
            <w:left w:val="none" w:sz="0" w:space="0" w:color="auto"/>
            <w:bottom w:val="none" w:sz="0" w:space="0" w:color="auto"/>
            <w:right w:val="none" w:sz="0" w:space="0" w:color="auto"/>
          </w:divBdr>
        </w:div>
      </w:divsChild>
    </w:div>
    <w:div w:id="624123915">
      <w:bodyDiv w:val="1"/>
      <w:marLeft w:val="0"/>
      <w:marRight w:val="0"/>
      <w:marTop w:val="0"/>
      <w:marBottom w:val="0"/>
      <w:divBdr>
        <w:top w:val="none" w:sz="0" w:space="0" w:color="auto"/>
        <w:left w:val="none" w:sz="0" w:space="0" w:color="auto"/>
        <w:bottom w:val="none" w:sz="0" w:space="0" w:color="auto"/>
        <w:right w:val="none" w:sz="0" w:space="0" w:color="auto"/>
      </w:divBdr>
    </w:div>
    <w:div w:id="763496376">
      <w:bodyDiv w:val="1"/>
      <w:marLeft w:val="0"/>
      <w:marRight w:val="0"/>
      <w:marTop w:val="0"/>
      <w:marBottom w:val="0"/>
      <w:divBdr>
        <w:top w:val="none" w:sz="0" w:space="0" w:color="auto"/>
        <w:left w:val="none" w:sz="0" w:space="0" w:color="auto"/>
        <w:bottom w:val="none" w:sz="0" w:space="0" w:color="auto"/>
        <w:right w:val="none" w:sz="0" w:space="0" w:color="auto"/>
      </w:divBdr>
    </w:div>
    <w:div w:id="774179139">
      <w:bodyDiv w:val="1"/>
      <w:marLeft w:val="0"/>
      <w:marRight w:val="0"/>
      <w:marTop w:val="0"/>
      <w:marBottom w:val="0"/>
      <w:divBdr>
        <w:top w:val="none" w:sz="0" w:space="0" w:color="auto"/>
        <w:left w:val="none" w:sz="0" w:space="0" w:color="auto"/>
        <w:bottom w:val="none" w:sz="0" w:space="0" w:color="auto"/>
        <w:right w:val="none" w:sz="0" w:space="0" w:color="auto"/>
      </w:divBdr>
    </w:div>
    <w:div w:id="792944936">
      <w:bodyDiv w:val="1"/>
      <w:marLeft w:val="0"/>
      <w:marRight w:val="0"/>
      <w:marTop w:val="0"/>
      <w:marBottom w:val="0"/>
      <w:divBdr>
        <w:top w:val="none" w:sz="0" w:space="0" w:color="auto"/>
        <w:left w:val="none" w:sz="0" w:space="0" w:color="auto"/>
        <w:bottom w:val="none" w:sz="0" w:space="0" w:color="auto"/>
        <w:right w:val="none" w:sz="0" w:space="0" w:color="auto"/>
      </w:divBdr>
    </w:div>
    <w:div w:id="922033765">
      <w:bodyDiv w:val="1"/>
      <w:marLeft w:val="0"/>
      <w:marRight w:val="0"/>
      <w:marTop w:val="0"/>
      <w:marBottom w:val="0"/>
      <w:divBdr>
        <w:top w:val="none" w:sz="0" w:space="0" w:color="auto"/>
        <w:left w:val="none" w:sz="0" w:space="0" w:color="auto"/>
        <w:bottom w:val="none" w:sz="0" w:space="0" w:color="auto"/>
        <w:right w:val="none" w:sz="0" w:space="0" w:color="auto"/>
      </w:divBdr>
    </w:div>
    <w:div w:id="969440851">
      <w:bodyDiv w:val="1"/>
      <w:marLeft w:val="0"/>
      <w:marRight w:val="0"/>
      <w:marTop w:val="0"/>
      <w:marBottom w:val="0"/>
      <w:divBdr>
        <w:top w:val="none" w:sz="0" w:space="0" w:color="auto"/>
        <w:left w:val="none" w:sz="0" w:space="0" w:color="auto"/>
        <w:bottom w:val="none" w:sz="0" w:space="0" w:color="auto"/>
        <w:right w:val="none" w:sz="0" w:space="0" w:color="auto"/>
      </w:divBdr>
      <w:divsChild>
        <w:div w:id="1724911885">
          <w:marLeft w:val="720"/>
          <w:marRight w:val="0"/>
          <w:marTop w:val="200"/>
          <w:marBottom w:val="120"/>
          <w:divBdr>
            <w:top w:val="none" w:sz="0" w:space="0" w:color="auto"/>
            <w:left w:val="none" w:sz="0" w:space="0" w:color="auto"/>
            <w:bottom w:val="none" w:sz="0" w:space="0" w:color="auto"/>
            <w:right w:val="none" w:sz="0" w:space="0" w:color="auto"/>
          </w:divBdr>
        </w:div>
        <w:div w:id="2123567040">
          <w:marLeft w:val="720"/>
          <w:marRight w:val="0"/>
          <w:marTop w:val="200"/>
          <w:marBottom w:val="0"/>
          <w:divBdr>
            <w:top w:val="none" w:sz="0" w:space="0" w:color="auto"/>
            <w:left w:val="none" w:sz="0" w:space="0" w:color="auto"/>
            <w:bottom w:val="none" w:sz="0" w:space="0" w:color="auto"/>
            <w:right w:val="none" w:sz="0" w:space="0" w:color="auto"/>
          </w:divBdr>
        </w:div>
      </w:divsChild>
    </w:div>
    <w:div w:id="991064557">
      <w:bodyDiv w:val="1"/>
      <w:marLeft w:val="0"/>
      <w:marRight w:val="0"/>
      <w:marTop w:val="0"/>
      <w:marBottom w:val="0"/>
      <w:divBdr>
        <w:top w:val="none" w:sz="0" w:space="0" w:color="auto"/>
        <w:left w:val="none" w:sz="0" w:space="0" w:color="auto"/>
        <w:bottom w:val="none" w:sz="0" w:space="0" w:color="auto"/>
        <w:right w:val="none" w:sz="0" w:space="0" w:color="auto"/>
      </w:divBdr>
    </w:div>
    <w:div w:id="1013798066">
      <w:bodyDiv w:val="1"/>
      <w:marLeft w:val="0"/>
      <w:marRight w:val="0"/>
      <w:marTop w:val="0"/>
      <w:marBottom w:val="0"/>
      <w:divBdr>
        <w:top w:val="none" w:sz="0" w:space="0" w:color="auto"/>
        <w:left w:val="none" w:sz="0" w:space="0" w:color="auto"/>
        <w:bottom w:val="none" w:sz="0" w:space="0" w:color="auto"/>
        <w:right w:val="none" w:sz="0" w:space="0" w:color="auto"/>
      </w:divBdr>
    </w:div>
    <w:div w:id="1049037451">
      <w:bodyDiv w:val="1"/>
      <w:marLeft w:val="0"/>
      <w:marRight w:val="0"/>
      <w:marTop w:val="0"/>
      <w:marBottom w:val="0"/>
      <w:divBdr>
        <w:top w:val="none" w:sz="0" w:space="0" w:color="auto"/>
        <w:left w:val="none" w:sz="0" w:space="0" w:color="auto"/>
        <w:bottom w:val="none" w:sz="0" w:space="0" w:color="auto"/>
        <w:right w:val="none" w:sz="0" w:space="0" w:color="auto"/>
      </w:divBdr>
    </w:div>
    <w:div w:id="1129593728">
      <w:bodyDiv w:val="1"/>
      <w:marLeft w:val="0"/>
      <w:marRight w:val="0"/>
      <w:marTop w:val="0"/>
      <w:marBottom w:val="0"/>
      <w:divBdr>
        <w:top w:val="none" w:sz="0" w:space="0" w:color="auto"/>
        <w:left w:val="none" w:sz="0" w:space="0" w:color="auto"/>
        <w:bottom w:val="none" w:sz="0" w:space="0" w:color="auto"/>
        <w:right w:val="none" w:sz="0" w:space="0" w:color="auto"/>
      </w:divBdr>
    </w:div>
    <w:div w:id="1166744596">
      <w:bodyDiv w:val="1"/>
      <w:marLeft w:val="0"/>
      <w:marRight w:val="0"/>
      <w:marTop w:val="0"/>
      <w:marBottom w:val="0"/>
      <w:divBdr>
        <w:top w:val="none" w:sz="0" w:space="0" w:color="auto"/>
        <w:left w:val="none" w:sz="0" w:space="0" w:color="auto"/>
        <w:bottom w:val="none" w:sz="0" w:space="0" w:color="auto"/>
        <w:right w:val="none" w:sz="0" w:space="0" w:color="auto"/>
      </w:divBdr>
    </w:div>
    <w:div w:id="1203438823">
      <w:bodyDiv w:val="1"/>
      <w:marLeft w:val="0"/>
      <w:marRight w:val="0"/>
      <w:marTop w:val="0"/>
      <w:marBottom w:val="0"/>
      <w:divBdr>
        <w:top w:val="none" w:sz="0" w:space="0" w:color="auto"/>
        <w:left w:val="none" w:sz="0" w:space="0" w:color="auto"/>
        <w:bottom w:val="none" w:sz="0" w:space="0" w:color="auto"/>
        <w:right w:val="none" w:sz="0" w:space="0" w:color="auto"/>
      </w:divBdr>
    </w:div>
    <w:div w:id="1329283872">
      <w:bodyDiv w:val="1"/>
      <w:marLeft w:val="0"/>
      <w:marRight w:val="0"/>
      <w:marTop w:val="0"/>
      <w:marBottom w:val="0"/>
      <w:divBdr>
        <w:top w:val="none" w:sz="0" w:space="0" w:color="auto"/>
        <w:left w:val="none" w:sz="0" w:space="0" w:color="auto"/>
        <w:bottom w:val="none" w:sz="0" w:space="0" w:color="auto"/>
        <w:right w:val="none" w:sz="0" w:space="0" w:color="auto"/>
      </w:divBdr>
    </w:div>
    <w:div w:id="1346010851">
      <w:bodyDiv w:val="1"/>
      <w:marLeft w:val="0"/>
      <w:marRight w:val="0"/>
      <w:marTop w:val="0"/>
      <w:marBottom w:val="0"/>
      <w:divBdr>
        <w:top w:val="none" w:sz="0" w:space="0" w:color="auto"/>
        <w:left w:val="none" w:sz="0" w:space="0" w:color="auto"/>
        <w:bottom w:val="none" w:sz="0" w:space="0" w:color="auto"/>
        <w:right w:val="none" w:sz="0" w:space="0" w:color="auto"/>
      </w:divBdr>
    </w:div>
    <w:div w:id="1354187059">
      <w:bodyDiv w:val="1"/>
      <w:marLeft w:val="0"/>
      <w:marRight w:val="0"/>
      <w:marTop w:val="0"/>
      <w:marBottom w:val="0"/>
      <w:divBdr>
        <w:top w:val="none" w:sz="0" w:space="0" w:color="auto"/>
        <w:left w:val="none" w:sz="0" w:space="0" w:color="auto"/>
        <w:bottom w:val="none" w:sz="0" w:space="0" w:color="auto"/>
        <w:right w:val="none" w:sz="0" w:space="0" w:color="auto"/>
      </w:divBdr>
    </w:div>
    <w:div w:id="1421833235">
      <w:bodyDiv w:val="1"/>
      <w:marLeft w:val="0"/>
      <w:marRight w:val="0"/>
      <w:marTop w:val="0"/>
      <w:marBottom w:val="0"/>
      <w:divBdr>
        <w:top w:val="none" w:sz="0" w:space="0" w:color="auto"/>
        <w:left w:val="none" w:sz="0" w:space="0" w:color="auto"/>
        <w:bottom w:val="none" w:sz="0" w:space="0" w:color="auto"/>
        <w:right w:val="none" w:sz="0" w:space="0" w:color="auto"/>
      </w:divBdr>
    </w:div>
    <w:div w:id="1446382741">
      <w:bodyDiv w:val="1"/>
      <w:marLeft w:val="0"/>
      <w:marRight w:val="0"/>
      <w:marTop w:val="0"/>
      <w:marBottom w:val="0"/>
      <w:divBdr>
        <w:top w:val="none" w:sz="0" w:space="0" w:color="auto"/>
        <w:left w:val="none" w:sz="0" w:space="0" w:color="auto"/>
        <w:bottom w:val="none" w:sz="0" w:space="0" w:color="auto"/>
        <w:right w:val="none" w:sz="0" w:space="0" w:color="auto"/>
      </w:divBdr>
    </w:div>
    <w:div w:id="1518543876">
      <w:bodyDiv w:val="1"/>
      <w:marLeft w:val="0"/>
      <w:marRight w:val="0"/>
      <w:marTop w:val="0"/>
      <w:marBottom w:val="0"/>
      <w:divBdr>
        <w:top w:val="none" w:sz="0" w:space="0" w:color="auto"/>
        <w:left w:val="none" w:sz="0" w:space="0" w:color="auto"/>
        <w:bottom w:val="none" w:sz="0" w:space="0" w:color="auto"/>
        <w:right w:val="none" w:sz="0" w:space="0" w:color="auto"/>
      </w:divBdr>
    </w:div>
    <w:div w:id="1721326464">
      <w:bodyDiv w:val="1"/>
      <w:marLeft w:val="0"/>
      <w:marRight w:val="0"/>
      <w:marTop w:val="0"/>
      <w:marBottom w:val="0"/>
      <w:divBdr>
        <w:top w:val="none" w:sz="0" w:space="0" w:color="auto"/>
        <w:left w:val="none" w:sz="0" w:space="0" w:color="auto"/>
        <w:bottom w:val="none" w:sz="0" w:space="0" w:color="auto"/>
        <w:right w:val="none" w:sz="0" w:space="0" w:color="auto"/>
      </w:divBdr>
    </w:div>
    <w:div w:id="1742749889">
      <w:bodyDiv w:val="1"/>
      <w:marLeft w:val="0"/>
      <w:marRight w:val="0"/>
      <w:marTop w:val="0"/>
      <w:marBottom w:val="0"/>
      <w:divBdr>
        <w:top w:val="none" w:sz="0" w:space="0" w:color="auto"/>
        <w:left w:val="none" w:sz="0" w:space="0" w:color="auto"/>
        <w:bottom w:val="none" w:sz="0" w:space="0" w:color="auto"/>
        <w:right w:val="none" w:sz="0" w:space="0" w:color="auto"/>
      </w:divBdr>
    </w:div>
    <w:div w:id="1835947725">
      <w:bodyDiv w:val="1"/>
      <w:marLeft w:val="0"/>
      <w:marRight w:val="0"/>
      <w:marTop w:val="0"/>
      <w:marBottom w:val="0"/>
      <w:divBdr>
        <w:top w:val="none" w:sz="0" w:space="0" w:color="auto"/>
        <w:left w:val="none" w:sz="0" w:space="0" w:color="auto"/>
        <w:bottom w:val="none" w:sz="0" w:space="0" w:color="auto"/>
        <w:right w:val="none" w:sz="0" w:space="0" w:color="auto"/>
      </w:divBdr>
    </w:div>
    <w:div w:id="1885562058">
      <w:bodyDiv w:val="1"/>
      <w:marLeft w:val="0"/>
      <w:marRight w:val="0"/>
      <w:marTop w:val="0"/>
      <w:marBottom w:val="0"/>
      <w:divBdr>
        <w:top w:val="none" w:sz="0" w:space="0" w:color="auto"/>
        <w:left w:val="none" w:sz="0" w:space="0" w:color="auto"/>
        <w:bottom w:val="none" w:sz="0" w:space="0" w:color="auto"/>
        <w:right w:val="none" w:sz="0" w:space="0" w:color="auto"/>
      </w:divBdr>
    </w:div>
    <w:div w:id="1970083425">
      <w:bodyDiv w:val="1"/>
      <w:marLeft w:val="0"/>
      <w:marRight w:val="0"/>
      <w:marTop w:val="0"/>
      <w:marBottom w:val="0"/>
      <w:divBdr>
        <w:top w:val="none" w:sz="0" w:space="0" w:color="auto"/>
        <w:left w:val="none" w:sz="0" w:space="0" w:color="auto"/>
        <w:bottom w:val="none" w:sz="0" w:space="0" w:color="auto"/>
        <w:right w:val="none" w:sz="0" w:space="0" w:color="auto"/>
      </w:divBdr>
    </w:div>
    <w:div w:id="2036879159">
      <w:bodyDiv w:val="1"/>
      <w:marLeft w:val="0"/>
      <w:marRight w:val="0"/>
      <w:marTop w:val="0"/>
      <w:marBottom w:val="0"/>
      <w:divBdr>
        <w:top w:val="none" w:sz="0" w:space="0" w:color="auto"/>
        <w:left w:val="none" w:sz="0" w:space="0" w:color="auto"/>
        <w:bottom w:val="none" w:sz="0" w:space="0" w:color="auto"/>
        <w:right w:val="none" w:sz="0" w:space="0" w:color="auto"/>
      </w:divBdr>
    </w:div>
    <w:div w:id="2079817297">
      <w:bodyDiv w:val="1"/>
      <w:marLeft w:val="0"/>
      <w:marRight w:val="0"/>
      <w:marTop w:val="0"/>
      <w:marBottom w:val="0"/>
      <w:divBdr>
        <w:top w:val="none" w:sz="0" w:space="0" w:color="auto"/>
        <w:left w:val="none" w:sz="0" w:space="0" w:color="auto"/>
        <w:bottom w:val="none" w:sz="0" w:space="0" w:color="auto"/>
        <w:right w:val="none" w:sz="0" w:space="0" w:color="auto"/>
      </w:divBdr>
    </w:div>
    <w:div w:id="2119178319">
      <w:bodyDiv w:val="1"/>
      <w:marLeft w:val="0"/>
      <w:marRight w:val="0"/>
      <w:marTop w:val="0"/>
      <w:marBottom w:val="0"/>
      <w:divBdr>
        <w:top w:val="none" w:sz="0" w:space="0" w:color="auto"/>
        <w:left w:val="none" w:sz="0" w:space="0" w:color="auto"/>
        <w:bottom w:val="none" w:sz="0" w:space="0" w:color="auto"/>
        <w:right w:val="none" w:sz="0" w:space="0" w:color="auto"/>
      </w:divBdr>
    </w:div>
    <w:div w:id="2120639531">
      <w:bodyDiv w:val="1"/>
      <w:marLeft w:val="0"/>
      <w:marRight w:val="0"/>
      <w:marTop w:val="0"/>
      <w:marBottom w:val="0"/>
      <w:divBdr>
        <w:top w:val="none" w:sz="0" w:space="0" w:color="auto"/>
        <w:left w:val="none" w:sz="0" w:space="0" w:color="auto"/>
        <w:bottom w:val="none" w:sz="0" w:space="0" w:color="auto"/>
        <w:right w:val="none" w:sz="0" w:space="0" w:color="auto"/>
      </w:divBdr>
      <w:divsChild>
        <w:div w:id="19555160">
          <w:marLeft w:val="0"/>
          <w:marRight w:val="0"/>
          <w:marTop w:val="0"/>
          <w:marBottom w:val="0"/>
          <w:divBdr>
            <w:top w:val="none" w:sz="0" w:space="0" w:color="auto"/>
            <w:left w:val="none" w:sz="0" w:space="0" w:color="auto"/>
            <w:bottom w:val="none" w:sz="0" w:space="0" w:color="auto"/>
            <w:right w:val="none" w:sz="0" w:space="0" w:color="auto"/>
          </w:divBdr>
        </w:div>
        <w:div w:id="412632488">
          <w:marLeft w:val="0"/>
          <w:marRight w:val="0"/>
          <w:marTop w:val="0"/>
          <w:marBottom w:val="0"/>
          <w:divBdr>
            <w:top w:val="none" w:sz="0" w:space="0" w:color="auto"/>
            <w:left w:val="none" w:sz="0" w:space="0" w:color="auto"/>
            <w:bottom w:val="none" w:sz="0" w:space="0" w:color="auto"/>
            <w:right w:val="none" w:sz="0" w:space="0" w:color="auto"/>
          </w:divBdr>
        </w:div>
        <w:div w:id="543562759">
          <w:marLeft w:val="0"/>
          <w:marRight w:val="0"/>
          <w:marTop w:val="0"/>
          <w:marBottom w:val="0"/>
          <w:divBdr>
            <w:top w:val="none" w:sz="0" w:space="0" w:color="auto"/>
            <w:left w:val="none" w:sz="0" w:space="0" w:color="auto"/>
            <w:bottom w:val="none" w:sz="0" w:space="0" w:color="auto"/>
            <w:right w:val="none" w:sz="0" w:space="0" w:color="auto"/>
          </w:divBdr>
        </w:div>
        <w:div w:id="589386997">
          <w:marLeft w:val="0"/>
          <w:marRight w:val="0"/>
          <w:marTop w:val="0"/>
          <w:marBottom w:val="0"/>
          <w:divBdr>
            <w:top w:val="none" w:sz="0" w:space="0" w:color="auto"/>
            <w:left w:val="none" w:sz="0" w:space="0" w:color="auto"/>
            <w:bottom w:val="none" w:sz="0" w:space="0" w:color="auto"/>
            <w:right w:val="none" w:sz="0" w:space="0" w:color="auto"/>
          </w:divBdr>
        </w:div>
        <w:div w:id="762336493">
          <w:marLeft w:val="0"/>
          <w:marRight w:val="0"/>
          <w:marTop w:val="0"/>
          <w:marBottom w:val="0"/>
          <w:divBdr>
            <w:top w:val="none" w:sz="0" w:space="0" w:color="auto"/>
            <w:left w:val="none" w:sz="0" w:space="0" w:color="auto"/>
            <w:bottom w:val="none" w:sz="0" w:space="0" w:color="auto"/>
            <w:right w:val="none" w:sz="0" w:space="0" w:color="auto"/>
          </w:divBdr>
        </w:div>
        <w:div w:id="859507550">
          <w:marLeft w:val="0"/>
          <w:marRight w:val="0"/>
          <w:marTop w:val="0"/>
          <w:marBottom w:val="0"/>
          <w:divBdr>
            <w:top w:val="none" w:sz="0" w:space="0" w:color="auto"/>
            <w:left w:val="none" w:sz="0" w:space="0" w:color="auto"/>
            <w:bottom w:val="none" w:sz="0" w:space="0" w:color="auto"/>
            <w:right w:val="none" w:sz="0" w:space="0" w:color="auto"/>
          </w:divBdr>
        </w:div>
        <w:div w:id="998117110">
          <w:marLeft w:val="0"/>
          <w:marRight w:val="0"/>
          <w:marTop w:val="0"/>
          <w:marBottom w:val="0"/>
          <w:divBdr>
            <w:top w:val="none" w:sz="0" w:space="0" w:color="auto"/>
            <w:left w:val="none" w:sz="0" w:space="0" w:color="auto"/>
            <w:bottom w:val="none" w:sz="0" w:space="0" w:color="auto"/>
            <w:right w:val="none" w:sz="0" w:space="0" w:color="auto"/>
          </w:divBdr>
        </w:div>
        <w:div w:id="1030953459">
          <w:marLeft w:val="0"/>
          <w:marRight w:val="0"/>
          <w:marTop w:val="0"/>
          <w:marBottom w:val="0"/>
          <w:divBdr>
            <w:top w:val="none" w:sz="0" w:space="0" w:color="auto"/>
            <w:left w:val="none" w:sz="0" w:space="0" w:color="auto"/>
            <w:bottom w:val="none" w:sz="0" w:space="0" w:color="auto"/>
            <w:right w:val="none" w:sz="0" w:space="0" w:color="auto"/>
          </w:divBdr>
        </w:div>
        <w:div w:id="1088581921">
          <w:marLeft w:val="0"/>
          <w:marRight w:val="0"/>
          <w:marTop w:val="0"/>
          <w:marBottom w:val="0"/>
          <w:divBdr>
            <w:top w:val="none" w:sz="0" w:space="0" w:color="auto"/>
            <w:left w:val="none" w:sz="0" w:space="0" w:color="auto"/>
            <w:bottom w:val="none" w:sz="0" w:space="0" w:color="auto"/>
            <w:right w:val="none" w:sz="0" w:space="0" w:color="auto"/>
          </w:divBdr>
        </w:div>
        <w:div w:id="1090198474">
          <w:marLeft w:val="0"/>
          <w:marRight w:val="0"/>
          <w:marTop w:val="0"/>
          <w:marBottom w:val="0"/>
          <w:divBdr>
            <w:top w:val="none" w:sz="0" w:space="0" w:color="auto"/>
            <w:left w:val="none" w:sz="0" w:space="0" w:color="auto"/>
            <w:bottom w:val="none" w:sz="0" w:space="0" w:color="auto"/>
            <w:right w:val="none" w:sz="0" w:space="0" w:color="auto"/>
          </w:divBdr>
        </w:div>
        <w:div w:id="1288926154">
          <w:marLeft w:val="0"/>
          <w:marRight w:val="0"/>
          <w:marTop w:val="0"/>
          <w:marBottom w:val="0"/>
          <w:divBdr>
            <w:top w:val="none" w:sz="0" w:space="0" w:color="auto"/>
            <w:left w:val="none" w:sz="0" w:space="0" w:color="auto"/>
            <w:bottom w:val="none" w:sz="0" w:space="0" w:color="auto"/>
            <w:right w:val="none" w:sz="0" w:space="0" w:color="auto"/>
          </w:divBdr>
        </w:div>
        <w:div w:id="1337923598">
          <w:marLeft w:val="0"/>
          <w:marRight w:val="0"/>
          <w:marTop w:val="0"/>
          <w:marBottom w:val="0"/>
          <w:divBdr>
            <w:top w:val="none" w:sz="0" w:space="0" w:color="auto"/>
            <w:left w:val="none" w:sz="0" w:space="0" w:color="auto"/>
            <w:bottom w:val="none" w:sz="0" w:space="0" w:color="auto"/>
            <w:right w:val="none" w:sz="0" w:space="0" w:color="auto"/>
          </w:divBdr>
        </w:div>
        <w:div w:id="1365598882">
          <w:marLeft w:val="0"/>
          <w:marRight w:val="0"/>
          <w:marTop w:val="0"/>
          <w:marBottom w:val="0"/>
          <w:divBdr>
            <w:top w:val="none" w:sz="0" w:space="0" w:color="auto"/>
            <w:left w:val="none" w:sz="0" w:space="0" w:color="auto"/>
            <w:bottom w:val="none" w:sz="0" w:space="0" w:color="auto"/>
            <w:right w:val="none" w:sz="0" w:space="0" w:color="auto"/>
          </w:divBdr>
        </w:div>
        <w:div w:id="1860268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lezien@austin.utexas.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09914-9A76-4986-9F7B-8867F5221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2469</Words>
  <Characters>14078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AFTER THE 1996 ELECTION</vt:lpstr>
    </vt:vector>
  </TitlesOfParts>
  <Company>University of Houston</Company>
  <LinksUpToDate>false</LinksUpToDate>
  <CharactersWithSpaces>16514</CharactersWithSpaces>
  <SharedDoc>false</SharedDoc>
  <HLinks>
    <vt:vector size="18" baseType="variant">
      <vt:variant>
        <vt:i4>1638487</vt:i4>
      </vt:variant>
      <vt:variant>
        <vt:i4>6</vt:i4>
      </vt:variant>
      <vt:variant>
        <vt:i4>0</vt:i4>
      </vt:variant>
      <vt:variant>
        <vt:i4>5</vt:i4>
      </vt:variant>
      <vt:variant>
        <vt:lpwstr>https://doi.org/10.1177/20531680231200692</vt:lpwstr>
      </vt:variant>
      <vt:variant>
        <vt:lpwstr/>
      </vt:variant>
      <vt:variant>
        <vt:i4>196700</vt:i4>
      </vt:variant>
      <vt:variant>
        <vt:i4>3</vt:i4>
      </vt:variant>
      <vt:variant>
        <vt:i4>0</vt:i4>
      </vt:variant>
      <vt:variant>
        <vt:i4>5</vt:i4>
      </vt:variant>
      <vt:variant>
        <vt:lpwstr>https://projects.iq.harvard.edu/scotus-poll/home</vt:lpwstr>
      </vt:variant>
      <vt:variant>
        <vt:lpwstr/>
      </vt:variant>
      <vt:variant>
        <vt:i4>5046317</vt:i4>
      </vt:variant>
      <vt:variant>
        <vt:i4>0</vt:i4>
      </vt:variant>
      <vt:variant>
        <vt:i4>0</vt:i4>
      </vt:variant>
      <vt:variant>
        <vt:i4>5</vt:i4>
      </vt:variant>
      <vt:variant>
        <vt:lpwstr>mailto:Wlezien@austin.utexas.edu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AFTER THE 1996 ELECTION</dc:title>
  <dc:subject/>
  <dc:creator>Wlezien</dc:creator>
  <cp:keywords/>
  <dc:description/>
  <cp:lastModifiedBy>Wlezien, Christopher</cp:lastModifiedBy>
  <cp:revision>2</cp:revision>
  <cp:lastPrinted>2026-01-12T13:44:00Z</cp:lastPrinted>
  <dcterms:created xsi:type="dcterms:W3CDTF">2026-02-04T12:58:00Z</dcterms:created>
  <dcterms:modified xsi:type="dcterms:W3CDTF">2026-02-04T12:58:00Z</dcterms:modified>
</cp:coreProperties>
</file>