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05B56" w14:textId="77777777" w:rsidR="007C2E48" w:rsidRDefault="007C2E48" w:rsidP="007C2E48">
      <w:pPr>
        <w:spacing w:before="0" w:after="160" w:line="259" w:lineRule="auto"/>
        <w:ind w:firstLine="0"/>
        <w:jc w:val="center"/>
        <w:rPr>
          <w:rFonts w:eastAsia="Calibri"/>
          <w:b/>
          <w:bCs/>
          <w:sz w:val="24"/>
          <w:lang w:eastAsia="en-US"/>
        </w:rPr>
      </w:pPr>
      <w:r w:rsidRPr="00666201">
        <w:rPr>
          <w:rFonts w:eastAsia="Calibri"/>
          <w:b/>
          <w:bCs/>
          <w:sz w:val="24"/>
          <w:lang w:eastAsia="en-US"/>
        </w:rPr>
        <w:t>Supplementary Materials</w:t>
      </w:r>
    </w:p>
    <w:p w14:paraId="772CD66B" w14:textId="77777777" w:rsidR="007C2E48" w:rsidRPr="000D63C6" w:rsidRDefault="007C2E48" w:rsidP="007C2E48">
      <w:pPr>
        <w:spacing w:before="0" w:after="160" w:line="259" w:lineRule="auto"/>
        <w:ind w:firstLine="0"/>
        <w:jc w:val="left"/>
        <w:rPr>
          <w:rFonts w:eastAsia="Calibri"/>
          <w:b/>
          <w:bCs/>
          <w:sz w:val="24"/>
          <w:lang w:eastAsia="en-US"/>
        </w:rPr>
      </w:pPr>
      <w:r w:rsidRPr="000D63C6">
        <w:rPr>
          <w:rFonts w:eastAsia="Calibri"/>
          <w:b/>
          <w:bCs/>
          <w:sz w:val="24"/>
          <w:lang w:eastAsia="en-US"/>
        </w:rPr>
        <w:t xml:space="preserve">Appendix A: Supplementary tables and data </w:t>
      </w:r>
    </w:p>
    <w:p w14:paraId="0E2AC175" w14:textId="77777777" w:rsidR="007C2E48" w:rsidRPr="000D63C6" w:rsidRDefault="007C2E48" w:rsidP="007C2E48">
      <w:pPr>
        <w:spacing w:before="0" w:after="0"/>
        <w:ind w:firstLine="0"/>
        <w:contextualSpacing/>
        <w:rPr>
          <w:rFonts w:eastAsia="Calibri"/>
          <w:sz w:val="20"/>
          <w:szCs w:val="20"/>
          <w:lang w:eastAsia="en-US"/>
        </w:rPr>
      </w:pPr>
      <w:r w:rsidRPr="000D63C6">
        <w:rPr>
          <w:rFonts w:eastAsia="Calibri"/>
          <w:b/>
          <w:bCs/>
          <w:sz w:val="20"/>
          <w:szCs w:val="20"/>
          <w:lang w:eastAsia="en-US"/>
        </w:rPr>
        <w:t xml:space="preserve">Table A1:  Potential confounders not included in the analysis. </w:t>
      </w:r>
    </w:p>
    <w:tbl>
      <w:tblPr>
        <w:tblStyle w:val="Tabelasiatki2"/>
        <w:tblW w:w="9097" w:type="dxa"/>
        <w:tblLook w:val="06A0" w:firstRow="1" w:lastRow="0" w:firstColumn="1" w:lastColumn="0" w:noHBand="1" w:noVBand="1"/>
      </w:tblPr>
      <w:tblGrid>
        <w:gridCol w:w="2118"/>
        <w:gridCol w:w="6979"/>
      </w:tblGrid>
      <w:tr w:rsidR="007C2E48" w:rsidRPr="000D63C6" w14:paraId="09D777C4" w14:textId="77777777" w:rsidTr="00DE1A10">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2118" w:type="dxa"/>
          </w:tcPr>
          <w:p w14:paraId="194C5F47" w14:textId="77777777" w:rsidR="007C2E48" w:rsidRPr="002D3529" w:rsidRDefault="007C2E48" w:rsidP="00DE1A10">
            <w:pPr>
              <w:ind w:firstLine="0"/>
              <w:contextualSpacing/>
              <w:rPr>
                <w:rFonts w:ascii="Sabon Next LT" w:eastAsia="Calibri" w:hAnsi="Sabon Next LT" w:cs="Sabon Next LT"/>
                <w:sz w:val="20"/>
                <w:szCs w:val="20"/>
                <w:lang w:eastAsia="en-US"/>
              </w:rPr>
            </w:pPr>
            <w:r w:rsidRPr="002D3529">
              <w:rPr>
                <w:rFonts w:ascii="Sabon Next LT" w:eastAsia="Calibri" w:hAnsi="Sabon Next LT" w:cs="Sabon Next LT"/>
                <w:sz w:val="20"/>
                <w:szCs w:val="20"/>
                <w:lang w:eastAsia="en-US"/>
              </w:rPr>
              <w:t>Conditions</w:t>
            </w:r>
          </w:p>
        </w:tc>
        <w:tc>
          <w:tcPr>
            <w:tcW w:w="6979" w:type="dxa"/>
          </w:tcPr>
          <w:p w14:paraId="21EFDBFF" w14:textId="77777777" w:rsidR="007C2E48" w:rsidRPr="007C2E48" w:rsidRDefault="007C2E48" w:rsidP="00DE1A10">
            <w:pPr>
              <w:ind w:firstLine="0"/>
              <w:contextualSpacing/>
              <w:cnfStyle w:val="100000000000" w:firstRow="1" w:lastRow="0" w:firstColumn="0" w:lastColumn="0" w:oddVBand="0" w:evenVBand="0" w:oddHBand="0" w:evenHBand="0" w:firstRowFirstColumn="0" w:firstRowLastColumn="0" w:lastRowFirstColumn="0" w:lastRowLastColumn="0"/>
              <w:rPr>
                <w:rFonts w:ascii="Sabon Next LT" w:eastAsia="Calibri" w:hAnsi="Sabon Next LT" w:cs="Sabon Next LT"/>
                <w:sz w:val="20"/>
                <w:szCs w:val="20"/>
                <w:lang w:val="en-GB" w:eastAsia="en-US"/>
              </w:rPr>
            </w:pPr>
            <w:r w:rsidRPr="007C2E48">
              <w:rPr>
                <w:rFonts w:ascii="Sabon Next LT" w:eastAsia="Calibri" w:hAnsi="Sabon Next LT" w:cs="Sabon Next LT"/>
                <w:sz w:val="20"/>
                <w:szCs w:val="20"/>
                <w:lang w:val="en-GB" w:eastAsia="en-US"/>
              </w:rPr>
              <w:t>The lack of variability in 2019 (or 2018)</w:t>
            </w:r>
          </w:p>
        </w:tc>
      </w:tr>
      <w:tr w:rsidR="007C2E48" w:rsidRPr="000D63C6" w14:paraId="518A9D84" w14:textId="77777777" w:rsidTr="00DE1A10">
        <w:trPr>
          <w:trHeight w:val="1075"/>
        </w:trPr>
        <w:tc>
          <w:tcPr>
            <w:cnfStyle w:val="001000000000" w:firstRow="0" w:lastRow="0" w:firstColumn="1" w:lastColumn="0" w:oddVBand="0" w:evenVBand="0" w:oddHBand="0" w:evenHBand="0" w:firstRowFirstColumn="0" w:firstRowLastColumn="0" w:lastRowFirstColumn="0" w:lastRowLastColumn="0"/>
            <w:tcW w:w="2118" w:type="dxa"/>
          </w:tcPr>
          <w:p w14:paraId="2A1A6189" w14:textId="77777777" w:rsidR="007C2E48" w:rsidRPr="002D3529" w:rsidRDefault="007C2E48" w:rsidP="00DE1A10">
            <w:pPr>
              <w:ind w:firstLine="0"/>
              <w:contextualSpacing/>
              <w:rPr>
                <w:rFonts w:ascii="Sabon Next LT" w:eastAsia="Calibri" w:hAnsi="Sabon Next LT" w:cs="Sabon Next LT"/>
                <w:sz w:val="20"/>
                <w:szCs w:val="20"/>
                <w:lang w:eastAsia="en-US"/>
              </w:rPr>
            </w:pPr>
            <w:r w:rsidRPr="002D3529">
              <w:rPr>
                <w:rFonts w:ascii="Sabon Next LT" w:eastAsia="Calibri" w:hAnsi="Sabon Next LT" w:cs="Sabon Next LT"/>
                <w:sz w:val="20"/>
                <w:szCs w:val="20"/>
                <w:lang w:eastAsia="en-US"/>
              </w:rPr>
              <w:t>Municipality type (2019)</w:t>
            </w:r>
          </w:p>
        </w:tc>
        <w:tc>
          <w:tcPr>
            <w:tcW w:w="6979" w:type="dxa"/>
          </w:tcPr>
          <w:p w14:paraId="511C9B9C" w14:textId="77777777" w:rsidR="007C2E48" w:rsidRPr="007C2E48" w:rsidRDefault="007C2E48" w:rsidP="00DE1A10">
            <w:pPr>
              <w:ind w:firstLine="0"/>
              <w:contextualSpacing/>
              <w:cnfStyle w:val="000000000000" w:firstRow="0" w:lastRow="0" w:firstColumn="0" w:lastColumn="0" w:oddVBand="0" w:evenVBand="0" w:oddHBand="0" w:evenHBand="0" w:firstRowFirstColumn="0" w:firstRowLastColumn="0" w:lastRowFirstColumn="0" w:lastRowLastColumn="0"/>
              <w:rPr>
                <w:rFonts w:ascii="Sabon Next LT" w:eastAsia="Calibri" w:hAnsi="Sabon Next LT" w:cs="Sabon Next LT"/>
                <w:sz w:val="20"/>
                <w:szCs w:val="20"/>
                <w:lang w:val="en-GB" w:eastAsia="en-US"/>
              </w:rPr>
            </w:pPr>
            <w:r w:rsidRPr="007C2E48">
              <w:rPr>
                <w:rFonts w:ascii="Sabon Next LT" w:eastAsia="Calibri" w:hAnsi="Sabon Next LT" w:cs="Sabon Next LT"/>
                <w:sz w:val="20"/>
                <w:szCs w:val="20"/>
                <w:lang w:val="en-GB" w:eastAsia="en-US"/>
              </w:rPr>
              <w:t>All included cases are city counties (</w:t>
            </w:r>
            <w:r w:rsidRPr="007C2E48">
              <w:rPr>
                <w:rFonts w:ascii="Sabon Next LT" w:eastAsia="Calibri" w:hAnsi="Sabon Next LT" w:cs="Sabon Next LT"/>
                <w:i/>
                <w:iCs/>
                <w:sz w:val="20"/>
                <w:szCs w:val="20"/>
                <w:lang w:val="en-GB" w:eastAsia="en-US"/>
              </w:rPr>
              <w:t>miasto na prawach powiatu</w:t>
            </w:r>
            <w:r w:rsidRPr="007C2E48">
              <w:rPr>
                <w:rFonts w:ascii="Sabon Next LT" w:eastAsia="Calibri" w:hAnsi="Sabon Next LT" w:cs="Sabon Next LT"/>
                <w:sz w:val="20"/>
                <w:szCs w:val="20"/>
                <w:lang w:val="en-GB" w:eastAsia="en-US"/>
              </w:rPr>
              <w:t>) that exercise both county-type (</w:t>
            </w:r>
            <w:r w:rsidRPr="007C2E48">
              <w:rPr>
                <w:rFonts w:ascii="Sabon Next LT" w:eastAsia="Calibri" w:hAnsi="Sabon Next LT" w:cs="Sabon Next LT"/>
                <w:i/>
                <w:iCs/>
                <w:sz w:val="20"/>
                <w:szCs w:val="20"/>
                <w:lang w:val="en-GB" w:eastAsia="en-US"/>
              </w:rPr>
              <w:t>powiat</w:t>
            </w:r>
            <w:r w:rsidRPr="007C2E48">
              <w:rPr>
                <w:rFonts w:ascii="Sabon Next LT" w:eastAsia="Calibri" w:hAnsi="Sabon Next LT" w:cs="Sabon Next LT"/>
                <w:sz w:val="20"/>
                <w:szCs w:val="20"/>
                <w:lang w:val="en-GB" w:eastAsia="en-US"/>
              </w:rPr>
              <w:t xml:space="preserve">) and city rights.  </w:t>
            </w:r>
          </w:p>
        </w:tc>
      </w:tr>
      <w:tr w:rsidR="007C2E48" w:rsidRPr="000D63C6" w14:paraId="14E0E94D" w14:textId="77777777" w:rsidTr="00DE1A10">
        <w:trPr>
          <w:trHeight w:val="1075"/>
        </w:trPr>
        <w:tc>
          <w:tcPr>
            <w:cnfStyle w:val="001000000000" w:firstRow="0" w:lastRow="0" w:firstColumn="1" w:lastColumn="0" w:oddVBand="0" w:evenVBand="0" w:oddHBand="0" w:evenHBand="0" w:firstRowFirstColumn="0" w:firstRowLastColumn="0" w:lastRowFirstColumn="0" w:lastRowLastColumn="0"/>
            <w:tcW w:w="2118" w:type="dxa"/>
          </w:tcPr>
          <w:p w14:paraId="4DC9B5BB" w14:textId="77777777" w:rsidR="007C2E48" w:rsidRPr="007C2E48" w:rsidRDefault="007C2E48" w:rsidP="00DE1A10">
            <w:pPr>
              <w:ind w:firstLine="0"/>
              <w:contextualSpacing/>
              <w:rPr>
                <w:rFonts w:ascii="Sabon Next LT" w:eastAsia="Calibri" w:hAnsi="Sabon Next LT" w:cs="Sabon Next LT"/>
                <w:sz w:val="20"/>
                <w:szCs w:val="20"/>
                <w:lang w:val="en-GB" w:eastAsia="en-US"/>
              </w:rPr>
            </w:pPr>
            <w:r w:rsidRPr="007C2E48">
              <w:rPr>
                <w:rFonts w:ascii="Sabon Next LT" w:eastAsia="Calibri" w:hAnsi="Sabon Next LT" w:cs="Sabon Next LT"/>
                <w:sz w:val="20"/>
                <w:szCs w:val="20"/>
                <w:lang w:val="en-GB" w:eastAsia="en-US"/>
              </w:rPr>
              <w:t xml:space="preserve">Mayor’s political affiliation with the national political parties (2018) </w:t>
            </w:r>
          </w:p>
        </w:tc>
        <w:tc>
          <w:tcPr>
            <w:tcW w:w="6979" w:type="dxa"/>
          </w:tcPr>
          <w:p w14:paraId="4E4DAC89" w14:textId="77777777" w:rsidR="007C2E48" w:rsidRPr="007C2E48" w:rsidRDefault="007C2E48" w:rsidP="00DE1A10">
            <w:pPr>
              <w:ind w:firstLine="0"/>
              <w:contextualSpacing/>
              <w:cnfStyle w:val="000000000000" w:firstRow="0" w:lastRow="0" w:firstColumn="0" w:lastColumn="0" w:oddVBand="0" w:evenVBand="0" w:oddHBand="0" w:evenHBand="0" w:firstRowFirstColumn="0" w:firstRowLastColumn="0" w:lastRowFirstColumn="0" w:lastRowLastColumn="0"/>
              <w:rPr>
                <w:rFonts w:ascii="Sabon Next LT" w:eastAsia="Calibri" w:hAnsi="Sabon Next LT" w:cs="Sabon Next LT"/>
                <w:sz w:val="20"/>
                <w:szCs w:val="20"/>
                <w:lang w:val="en-GB" w:eastAsia="en-US"/>
              </w:rPr>
            </w:pPr>
            <w:r w:rsidRPr="007C2E48">
              <w:rPr>
                <w:rFonts w:ascii="Sabon Next LT" w:eastAsia="Calibri" w:hAnsi="Sabon Next LT" w:cs="Sabon Next LT"/>
                <w:sz w:val="20"/>
                <w:szCs w:val="20"/>
                <w:lang w:val="en-GB" w:eastAsia="en-US"/>
              </w:rPr>
              <w:t>Out of 23 cases, in 10 mayors were affiliated with the (national level) opposition parties during the 2018 municipal elections. None remained explicitly affiliated with the ruling coalition (the ‘United Right’ led by the Law and Justice party).</w:t>
            </w:r>
          </w:p>
        </w:tc>
      </w:tr>
      <w:tr w:rsidR="007C2E48" w:rsidRPr="000D63C6" w14:paraId="65C84F47" w14:textId="77777777" w:rsidTr="00DE1A10">
        <w:trPr>
          <w:trHeight w:val="349"/>
        </w:trPr>
        <w:tc>
          <w:tcPr>
            <w:cnfStyle w:val="001000000000" w:firstRow="0" w:lastRow="0" w:firstColumn="1" w:lastColumn="0" w:oddVBand="0" w:evenVBand="0" w:oddHBand="0" w:evenHBand="0" w:firstRowFirstColumn="0" w:firstRowLastColumn="0" w:lastRowFirstColumn="0" w:lastRowLastColumn="0"/>
            <w:tcW w:w="2118" w:type="dxa"/>
          </w:tcPr>
          <w:p w14:paraId="1362E72C" w14:textId="77777777" w:rsidR="007C2E48" w:rsidRPr="002D3529" w:rsidRDefault="007C2E48" w:rsidP="00DE1A10">
            <w:pPr>
              <w:ind w:firstLine="0"/>
              <w:contextualSpacing/>
              <w:rPr>
                <w:rFonts w:ascii="Sabon Next LT" w:eastAsia="Calibri" w:hAnsi="Sabon Next LT" w:cs="Sabon Next LT"/>
                <w:sz w:val="20"/>
                <w:szCs w:val="20"/>
                <w:lang w:eastAsia="en-US"/>
              </w:rPr>
            </w:pPr>
            <w:r w:rsidRPr="002D3529">
              <w:rPr>
                <w:rFonts w:ascii="Sabon Next LT" w:eastAsia="Calibri" w:hAnsi="Sabon Next LT" w:cs="Sabon Next LT"/>
                <w:sz w:val="20"/>
                <w:szCs w:val="20"/>
                <w:lang w:eastAsia="en-US"/>
              </w:rPr>
              <w:t>Mayor’s education attainment (2018)</w:t>
            </w:r>
          </w:p>
        </w:tc>
        <w:tc>
          <w:tcPr>
            <w:tcW w:w="6979" w:type="dxa"/>
          </w:tcPr>
          <w:p w14:paraId="544B3F4D" w14:textId="77777777" w:rsidR="007C2E48" w:rsidRPr="007C2E48" w:rsidRDefault="007C2E48" w:rsidP="00DE1A10">
            <w:pPr>
              <w:ind w:firstLine="0"/>
              <w:contextualSpacing/>
              <w:cnfStyle w:val="000000000000" w:firstRow="0" w:lastRow="0" w:firstColumn="0" w:lastColumn="0" w:oddVBand="0" w:evenVBand="0" w:oddHBand="0" w:evenHBand="0" w:firstRowFirstColumn="0" w:firstRowLastColumn="0" w:lastRowFirstColumn="0" w:lastRowLastColumn="0"/>
              <w:rPr>
                <w:rFonts w:ascii="Sabon Next LT" w:eastAsia="Calibri" w:hAnsi="Sabon Next LT" w:cs="Sabon Next LT"/>
                <w:sz w:val="20"/>
                <w:szCs w:val="20"/>
                <w:lang w:val="en-GB" w:eastAsia="en-US"/>
              </w:rPr>
            </w:pPr>
            <w:r w:rsidRPr="007C2E48">
              <w:rPr>
                <w:rFonts w:ascii="Sabon Next LT" w:eastAsia="Calibri" w:hAnsi="Sabon Next LT" w:cs="Sabon Next LT"/>
                <w:sz w:val="20"/>
                <w:szCs w:val="20"/>
                <w:lang w:val="en-GB" w:eastAsia="en-US"/>
              </w:rPr>
              <w:t xml:space="preserve">All city counties had mayors with at least a post-secondary degree. </w:t>
            </w:r>
          </w:p>
        </w:tc>
      </w:tr>
      <w:tr w:rsidR="007C2E48" w:rsidRPr="000D63C6" w14:paraId="5C888493" w14:textId="77777777" w:rsidTr="00DE1A10">
        <w:trPr>
          <w:trHeight w:val="362"/>
        </w:trPr>
        <w:tc>
          <w:tcPr>
            <w:cnfStyle w:val="001000000000" w:firstRow="0" w:lastRow="0" w:firstColumn="1" w:lastColumn="0" w:oddVBand="0" w:evenVBand="0" w:oddHBand="0" w:evenHBand="0" w:firstRowFirstColumn="0" w:firstRowLastColumn="0" w:lastRowFirstColumn="0" w:lastRowLastColumn="0"/>
            <w:tcW w:w="2118" w:type="dxa"/>
          </w:tcPr>
          <w:p w14:paraId="50963C9F" w14:textId="77777777" w:rsidR="007C2E48" w:rsidRPr="007C2E48" w:rsidRDefault="007C2E48" w:rsidP="00DE1A10">
            <w:pPr>
              <w:ind w:firstLine="0"/>
              <w:contextualSpacing/>
              <w:rPr>
                <w:rFonts w:ascii="Sabon Next LT" w:eastAsia="Calibri" w:hAnsi="Sabon Next LT" w:cs="Sabon Next LT"/>
                <w:sz w:val="20"/>
                <w:szCs w:val="20"/>
                <w:lang w:val="en-GB" w:eastAsia="en-US"/>
              </w:rPr>
            </w:pPr>
            <w:r w:rsidRPr="007C2E48">
              <w:rPr>
                <w:rFonts w:ascii="Sabon Next LT" w:eastAsia="Calibri" w:hAnsi="Sabon Next LT" w:cs="Sabon Next LT"/>
                <w:sz w:val="20"/>
                <w:szCs w:val="20"/>
                <w:lang w:val="en-GB" w:eastAsia="en-US"/>
              </w:rPr>
              <w:t>Political orientation in the national elections (2019)</w:t>
            </w:r>
          </w:p>
        </w:tc>
        <w:tc>
          <w:tcPr>
            <w:tcW w:w="6979" w:type="dxa"/>
          </w:tcPr>
          <w:p w14:paraId="2EA073D5" w14:textId="77777777" w:rsidR="007C2E48" w:rsidRPr="007C2E48" w:rsidRDefault="007C2E48" w:rsidP="00DE1A10">
            <w:pPr>
              <w:ind w:firstLine="0"/>
              <w:contextualSpacing/>
              <w:cnfStyle w:val="000000000000" w:firstRow="0" w:lastRow="0" w:firstColumn="0" w:lastColumn="0" w:oddVBand="0" w:evenVBand="0" w:oddHBand="0" w:evenHBand="0" w:firstRowFirstColumn="0" w:firstRowLastColumn="0" w:lastRowFirstColumn="0" w:lastRowLastColumn="0"/>
              <w:rPr>
                <w:rFonts w:ascii="Sabon Next LT" w:eastAsia="Calibri" w:hAnsi="Sabon Next LT" w:cs="Sabon Next LT"/>
                <w:sz w:val="20"/>
                <w:szCs w:val="20"/>
                <w:lang w:val="en-GB" w:eastAsia="en-US"/>
              </w:rPr>
            </w:pPr>
            <w:r w:rsidRPr="007C2E48">
              <w:rPr>
                <w:rFonts w:ascii="Sabon Next LT" w:eastAsia="Calibri" w:hAnsi="Sabon Next LT" w:cs="Sabon Next LT"/>
                <w:sz w:val="20"/>
                <w:szCs w:val="20"/>
                <w:lang w:val="en-GB" w:eastAsia="en-US"/>
              </w:rPr>
              <w:t xml:space="preserve">In the 2019 parliamentary elections, in all but two of the included cases the liberal opposition received more votes than the ruling right-wing coalition. In none of them the ruling coalition received more than 50% votes. </w:t>
            </w:r>
          </w:p>
        </w:tc>
      </w:tr>
    </w:tbl>
    <w:p w14:paraId="7C52DF34" w14:textId="77777777" w:rsidR="007C2E48" w:rsidRPr="000D63C6" w:rsidRDefault="007C2E48" w:rsidP="007C2E48">
      <w:pPr>
        <w:spacing w:before="0" w:after="0" w:line="240" w:lineRule="auto"/>
        <w:ind w:firstLine="0"/>
        <w:contextualSpacing/>
        <w:jc w:val="left"/>
        <w:rPr>
          <w:rFonts w:eastAsia="Calibri"/>
          <w:sz w:val="20"/>
          <w:szCs w:val="20"/>
          <w:lang w:eastAsia="en-US"/>
        </w:rPr>
      </w:pPr>
      <w:r w:rsidRPr="000D63C6">
        <w:rPr>
          <w:rFonts w:eastAsia="Calibri"/>
          <w:sz w:val="20"/>
          <w:szCs w:val="20"/>
          <w:lang w:eastAsia="en-US"/>
        </w:rPr>
        <w:t xml:space="preserve">Source: author’s own elaboration, based on the data retrieved primarily from the Statistics Poland database </w:t>
      </w:r>
      <w:r w:rsidRPr="000D63C6">
        <w:rPr>
          <w:rFonts w:eastAsia="Calibri"/>
          <w:sz w:val="20"/>
          <w:szCs w:val="20"/>
          <w:lang w:eastAsia="en-US"/>
        </w:rPr>
        <w:fldChar w:fldCharType="begin"/>
      </w:r>
      <w:r>
        <w:rPr>
          <w:rFonts w:eastAsia="Calibri"/>
          <w:sz w:val="20"/>
          <w:szCs w:val="20"/>
          <w:lang w:eastAsia="en-US"/>
        </w:rPr>
        <w:instrText xml:space="preserve"> ADDIN ZOTERO_ITEM CSL_CITATION {"citationID":"rKtoFLWJ","properties":{"formattedCitation":"(Statistics Poland, 2022)","plainCitation":"(Statistics Poland, 2022)","dontUpdate":true,"noteIndex":0},"citationItems":[{"id":"Ubi3gMvx/BevmveE0","uris":["http://zotero.org/users/7323662/items/VR8546QG"],"itemData":{"id":13668,"type":"webpage","title":"Bank Danych Lokalnych","URL":"https://bdl.stat.gov.pl/BDL/start","author":[{"family":"Statistics Poland","given":""}],"accessed":{"date-parts":[["2022",5,23]]},"issued":{"date-parts":[["2022"]]}}}],"schema":"https://github.com/citation-style-language/schema/raw/master/csl-citation.json"} </w:instrText>
      </w:r>
      <w:r w:rsidRPr="000D63C6">
        <w:rPr>
          <w:rFonts w:eastAsia="Calibri"/>
          <w:sz w:val="20"/>
          <w:szCs w:val="20"/>
          <w:lang w:eastAsia="en-US"/>
        </w:rPr>
        <w:fldChar w:fldCharType="separate"/>
      </w:r>
      <w:r w:rsidRPr="000D63C6">
        <w:rPr>
          <w:rFonts w:eastAsia="Calibri"/>
          <w:sz w:val="20"/>
          <w:szCs w:val="20"/>
          <w:lang w:eastAsia="en-US"/>
        </w:rPr>
        <w:t>(202</w:t>
      </w:r>
      <w:r>
        <w:rPr>
          <w:rFonts w:eastAsia="Calibri"/>
          <w:sz w:val="20"/>
          <w:szCs w:val="20"/>
          <w:lang w:eastAsia="en-US"/>
        </w:rPr>
        <w:t>3</w:t>
      </w:r>
      <w:r w:rsidRPr="000D63C6">
        <w:rPr>
          <w:rFonts w:eastAsia="Calibri"/>
          <w:sz w:val="20"/>
          <w:szCs w:val="20"/>
          <w:lang w:eastAsia="en-US"/>
        </w:rPr>
        <w:t>)</w:t>
      </w:r>
      <w:r w:rsidRPr="000D63C6">
        <w:rPr>
          <w:rFonts w:eastAsia="Calibri"/>
          <w:sz w:val="20"/>
          <w:szCs w:val="20"/>
          <w:lang w:eastAsia="en-US"/>
        </w:rPr>
        <w:fldChar w:fldCharType="end"/>
      </w:r>
      <w:r w:rsidRPr="000D63C6">
        <w:rPr>
          <w:rFonts w:eastAsia="Calibri"/>
          <w:sz w:val="20"/>
          <w:szCs w:val="20"/>
          <w:lang w:eastAsia="en-US"/>
        </w:rPr>
        <w:t xml:space="preserve"> and the National Electoral Commission register (</w:t>
      </w:r>
      <w:r w:rsidRPr="000D63C6">
        <w:rPr>
          <w:rFonts w:eastAsia="Calibri"/>
          <w:sz w:val="20"/>
          <w:szCs w:val="20"/>
          <w:lang w:eastAsia="en-US"/>
        </w:rPr>
        <w:fldChar w:fldCharType="begin"/>
      </w:r>
      <w:r>
        <w:rPr>
          <w:rFonts w:eastAsia="Calibri"/>
          <w:sz w:val="20"/>
          <w:szCs w:val="20"/>
          <w:lang w:eastAsia="en-US"/>
        </w:rPr>
        <w:instrText xml:space="preserve"> ADDIN ZOTERO_ITEM CSL_CITATION {"citationID":"5NQIfjYD","properties":{"formattedCitation":"(National Electoral Commission, 2018)","plainCitation":"(National Electoral Commission, 2018)","dontUpdate":true,"noteIndex":0},"citationItems":[{"id":"Ubi3gMvx/6lWMuUqU","uris":["http://zotero.org/users/7323662/items/UE4HL5W7"],"itemData":{"id":13666,"type":"webpage","title":"Wybory samorządowe 2018","URL":"https://wybory2018.pkw.gov.pl/","author":[{"family":"National Electoral Commission","given":""}],"accessed":{"date-parts":[["2022",5,23]]},"issued":{"date-parts":[["2018"]]}}}],"schema":"https://github.com/citation-style-language/schema/raw/master/csl-citation.json"} </w:instrText>
      </w:r>
      <w:r w:rsidRPr="000D63C6">
        <w:rPr>
          <w:rFonts w:eastAsia="Calibri"/>
          <w:sz w:val="20"/>
          <w:szCs w:val="20"/>
          <w:lang w:eastAsia="en-US"/>
        </w:rPr>
        <w:fldChar w:fldCharType="separate"/>
      </w:r>
      <w:r w:rsidRPr="000D63C6">
        <w:rPr>
          <w:rFonts w:eastAsia="Calibri"/>
          <w:sz w:val="20"/>
          <w:szCs w:val="20"/>
          <w:lang w:eastAsia="en-US"/>
        </w:rPr>
        <w:t>2018)</w:t>
      </w:r>
      <w:r w:rsidRPr="000D63C6">
        <w:rPr>
          <w:rFonts w:eastAsia="Calibri"/>
          <w:sz w:val="20"/>
          <w:szCs w:val="20"/>
          <w:lang w:eastAsia="en-US"/>
        </w:rPr>
        <w:fldChar w:fldCharType="end"/>
      </w:r>
      <w:r w:rsidRPr="000D63C6">
        <w:rPr>
          <w:rFonts w:eastAsia="Calibri"/>
          <w:sz w:val="20"/>
          <w:szCs w:val="20"/>
          <w:lang w:eastAsia="en-US"/>
        </w:rPr>
        <w:t xml:space="preserve">. </w:t>
      </w:r>
    </w:p>
    <w:p w14:paraId="1249CC00" w14:textId="77777777" w:rsidR="007C2E48" w:rsidRPr="000D63C6" w:rsidRDefault="007C2E48" w:rsidP="007C2E48">
      <w:pPr>
        <w:spacing w:before="0" w:after="0"/>
        <w:ind w:firstLine="0"/>
        <w:contextualSpacing/>
        <w:rPr>
          <w:rFonts w:eastAsia="Calibri"/>
          <w:b/>
          <w:bCs/>
          <w:iCs/>
          <w:sz w:val="20"/>
          <w:szCs w:val="20"/>
          <w:lang w:eastAsia="en-US"/>
        </w:rPr>
      </w:pPr>
    </w:p>
    <w:p w14:paraId="7C8B9CDE" w14:textId="77777777" w:rsidR="00954229" w:rsidRDefault="00954229">
      <w:pPr>
        <w:spacing w:before="0" w:after="160" w:line="259" w:lineRule="auto"/>
        <w:ind w:firstLine="0"/>
        <w:jc w:val="left"/>
        <w:rPr>
          <w:rFonts w:eastAsia="Calibri"/>
          <w:b/>
          <w:bCs/>
          <w:iCs/>
          <w:sz w:val="20"/>
          <w:szCs w:val="20"/>
          <w:lang w:eastAsia="en-US"/>
        </w:rPr>
      </w:pPr>
      <w:r>
        <w:rPr>
          <w:rFonts w:eastAsia="Calibri"/>
          <w:b/>
          <w:bCs/>
          <w:iCs/>
          <w:sz w:val="20"/>
          <w:szCs w:val="20"/>
          <w:lang w:eastAsia="en-US"/>
        </w:rPr>
        <w:br w:type="page"/>
      </w:r>
    </w:p>
    <w:p w14:paraId="3423C416" w14:textId="2B01BBBA" w:rsidR="007C2E48" w:rsidRPr="000D63C6" w:rsidRDefault="007C2E48" w:rsidP="007C2E48">
      <w:pPr>
        <w:spacing w:before="0" w:after="0"/>
        <w:ind w:firstLine="0"/>
        <w:contextualSpacing/>
        <w:rPr>
          <w:rFonts w:eastAsia="Calibri"/>
          <w:b/>
          <w:bCs/>
          <w:iCs/>
          <w:sz w:val="20"/>
          <w:szCs w:val="20"/>
          <w:lang w:eastAsia="en-US"/>
        </w:rPr>
      </w:pPr>
      <w:r w:rsidRPr="000D63C6">
        <w:rPr>
          <w:rFonts w:eastAsia="Calibri"/>
          <w:b/>
          <w:bCs/>
          <w:iCs/>
          <w:sz w:val="20"/>
          <w:szCs w:val="20"/>
          <w:lang w:eastAsia="en-US"/>
        </w:rPr>
        <w:lastRenderedPageBreak/>
        <w:t>Table A2: The conditions included in the preliminary QCA tests, but excluded from the final analysis.</w:t>
      </w:r>
    </w:p>
    <w:tbl>
      <w:tblPr>
        <w:tblStyle w:val="Tabelalisty43"/>
        <w:tblW w:w="0" w:type="auto"/>
        <w:tblLayout w:type="fixed"/>
        <w:tblLook w:val="06A0" w:firstRow="1" w:lastRow="0" w:firstColumn="1" w:lastColumn="0" w:noHBand="1" w:noVBand="1"/>
      </w:tblPr>
      <w:tblGrid>
        <w:gridCol w:w="1724"/>
        <w:gridCol w:w="2002"/>
        <w:gridCol w:w="1710"/>
        <w:gridCol w:w="1710"/>
        <w:gridCol w:w="1710"/>
      </w:tblGrid>
      <w:tr w:rsidR="007C2E48" w:rsidRPr="000D63C6" w14:paraId="7114E72B" w14:textId="77777777" w:rsidTr="00DE1A10">
        <w:trPr>
          <w:cnfStyle w:val="100000000000" w:firstRow="1" w:lastRow="0"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24" w:type="dxa"/>
            <w:vMerge w:val="restart"/>
            <w:vAlign w:val="center"/>
          </w:tcPr>
          <w:p w14:paraId="5B2660A6" w14:textId="77777777" w:rsidR="007C2E48" w:rsidRPr="002D3529" w:rsidRDefault="007C2E48" w:rsidP="00DE1A10">
            <w:pPr>
              <w:ind w:firstLine="0"/>
              <w:contextualSpacing/>
              <w:jc w:val="center"/>
              <w:rPr>
                <w:rFonts w:ascii="Sabon Next LT" w:hAnsi="Sabon Next LT" w:cs="Sabon Next LT"/>
                <w:sz w:val="20"/>
                <w:szCs w:val="20"/>
                <w:lang w:eastAsia="en-US"/>
              </w:rPr>
            </w:pPr>
            <w:r w:rsidRPr="002D3529">
              <w:rPr>
                <w:rFonts w:ascii="Sabon Next LT" w:hAnsi="Sabon Next LT" w:cs="Sabon Next LT"/>
                <w:sz w:val="20"/>
                <w:szCs w:val="20"/>
                <w:lang w:eastAsia="en-US"/>
              </w:rPr>
              <w:t>Set</w:t>
            </w:r>
          </w:p>
        </w:tc>
        <w:tc>
          <w:tcPr>
            <w:tcW w:w="2002" w:type="dxa"/>
            <w:vMerge w:val="restart"/>
          </w:tcPr>
          <w:p w14:paraId="6A56A648" w14:textId="77777777" w:rsidR="007C2E48" w:rsidRPr="007C2E48" w:rsidRDefault="007C2E48" w:rsidP="00DE1A10">
            <w:pPr>
              <w:ind w:firstLine="0"/>
              <w:contextualSpacing/>
              <w:cnfStyle w:val="100000000000" w:firstRow="1" w:lastRow="0" w:firstColumn="0" w:lastColumn="0" w:oddVBand="0" w:evenVBand="0" w:oddHBand="0" w:evenHBand="0" w:firstRowFirstColumn="0" w:firstRowLastColumn="0" w:lastRowFirstColumn="0" w:lastRowLastColumn="0"/>
              <w:rPr>
                <w:rFonts w:ascii="Sabon Next LT" w:hAnsi="Sabon Next LT" w:cs="Sabon Next LT"/>
                <w:sz w:val="20"/>
                <w:szCs w:val="20"/>
                <w:lang w:val="en-GB" w:eastAsia="en-US"/>
              </w:rPr>
            </w:pPr>
            <w:r w:rsidRPr="007C2E48">
              <w:rPr>
                <w:rFonts w:ascii="Sabon Next LT" w:hAnsi="Sabon Next LT" w:cs="Sabon Next LT"/>
                <w:sz w:val="20"/>
                <w:szCs w:val="20"/>
                <w:lang w:val="en-GB" w:eastAsia="en-US"/>
              </w:rPr>
              <w:t>Measurement</w:t>
            </w:r>
          </w:p>
          <w:p w14:paraId="1935FA2A" w14:textId="77777777" w:rsidR="007C2E48" w:rsidRPr="007C2E48" w:rsidRDefault="007C2E48" w:rsidP="00DE1A10">
            <w:pPr>
              <w:ind w:firstLine="0"/>
              <w:contextualSpacing/>
              <w:cnfStyle w:val="100000000000" w:firstRow="1" w:lastRow="0" w:firstColumn="0" w:lastColumn="0" w:oddVBand="0" w:evenVBand="0" w:oddHBand="0" w:evenHBand="0" w:firstRowFirstColumn="0" w:firstRowLastColumn="0" w:lastRowFirstColumn="0" w:lastRowLastColumn="0"/>
              <w:rPr>
                <w:rFonts w:ascii="Sabon Next LT" w:hAnsi="Sabon Next LT" w:cs="Sabon Next LT"/>
                <w:sz w:val="20"/>
                <w:szCs w:val="20"/>
                <w:lang w:val="en-GB" w:eastAsia="en-US"/>
              </w:rPr>
            </w:pPr>
            <w:r w:rsidRPr="007C2E48">
              <w:rPr>
                <w:rFonts w:ascii="Sabon Next LT" w:hAnsi="Sabon Next LT" w:cs="Sabon Next LT"/>
                <w:sz w:val="20"/>
                <w:szCs w:val="20"/>
                <w:lang w:val="en-GB" w:eastAsia="en-US"/>
              </w:rPr>
              <w:t xml:space="preserve">(based on </w:t>
            </w:r>
            <w:r w:rsidRPr="007C2E48">
              <w:rPr>
                <w:rFonts w:ascii="Sabon Next LT" w:hAnsi="Sabon Next LT" w:cs="Sabon Next LT"/>
                <w:sz w:val="20"/>
                <w:lang w:val="en-GB" w:eastAsia="en-US"/>
              </w:rPr>
              <w:t>Statistics Poland 2023)</w:t>
            </w:r>
            <w:r w:rsidRPr="007C2E48">
              <w:rPr>
                <w:rFonts w:ascii="Sabon Next LT" w:hAnsi="Sabon Next LT" w:cs="Sabon Next LT"/>
                <w:sz w:val="20"/>
                <w:szCs w:val="20"/>
                <w:lang w:val="en-GB" w:eastAsia="en-US"/>
              </w:rPr>
              <w:t xml:space="preserve"> </w:t>
            </w:r>
          </w:p>
        </w:tc>
        <w:tc>
          <w:tcPr>
            <w:tcW w:w="5130" w:type="dxa"/>
            <w:gridSpan w:val="3"/>
            <w:tcBorders>
              <w:bottom w:val="nil"/>
            </w:tcBorders>
          </w:tcPr>
          <w:p w14:paraId="46CAE736" w14:textId="77777777" w:rsidR="007C2E48" w:rsidRPr="002D3529" w:rsidRDefault="007C2E48" w:rsidP="00DE1A10">
            <w:pPr>
              <w:ind w:firstLine="0"/>
              <w:contextualSpacing/>
              <w:jc w:val="center"/>
              <w:cnfStyle w:val="100000000000" w:firstRow="1" w:lastRow="0" w:firstColumn="0" w:lastColumn="0" w:oddVBand="0" w:evenVBand="0" w:oddHBand="0" w:evenHBand="0" w:firstRowFirstColumn="0" w:firstRowLastColumn="0" w:lastRowFirstColumn="0" w:lastRowLastColumn="0"/>
              <w:rPr>
                <w:rFonts w:ascii="Sabon Next LT" w:hAnsi="Sabon Next LT" w:cs="Sabon Next LT"/>
                <w:sz w:val="20"/>
                <w:szCs w:val="20"/>
                <w:lang w:eastAsia="en-US"/>
              </w:rPr>
            </w:pPr>
            <w:r w:rsidRPr="002D3529">
              <w:rPr>
                <w:rFonts w:ascii="Sabon Next LT" w:hAnsi="Sabon Next LT" w:cs="Sabon Next LT"/>
                <w:sz w:val="20"/>
                <w:szCs w:val="20"/>
                <w:lang w:eastAsia="en-US"/>
              </w:rPr>
              <w:t>Calibration (set membership)</w:t>
            </w:r>
          </w:p>
        </w:tc>
      </w:tr>
      <w:tr w:rsidR="007C2E48" w:rsidRPr="000D63C6" w14:paraId="35FCCD21" w14:textId="77777777" w:rsidTr="00DE1A10">
        <w:trPr>
          <w:trHeight w:val="144"/>
        </w:trPr>
        <w:tc>
          <w:tcPr>
            <w:cnfStyle w:val="001000000000" w:firstRow="0" w:lastRow="0" w:firstColumn="1" w:lastColumn="0" w:oddVBand="0" w:evenVBand="0" w:oddHBand="0" w:evenHBand="0" w:firstRowFirstColumn="0" w:firstRowLastColumn="0" w:lastRowFirstColumn="0" w:lastRowLastColumn="0"/>
            <w:tcW w:w="1724" w:type="dxa"/>
            <w:vMerge/>
          </w:tcPr>
          <w:p w14:paraId="49F553AF" w14:textId="77777777" w:rsidR="007C2E48" w:rsidRPr="002D3529" w:rsidRDefault="007C2E48" w:rsidP="00DE1A10">
            <w:pPr>
              <w:ind w:firstLine="0"/>
              <w:contextualSpacing/>
              <w:rPr>
                <w:rFonts w:ascii="Sabon Next LT" w:hAnsi="Sabon Next LT" w:cs="Sabon Next LT"/>
                <w:sz w:val="20"/>
                <w:szCs w:val="20"/>
                <w:lang w:eastAsia="en-US"/>
              </w:rPr>
            </w:pPr>
          </w:p>
        </w:tc>
        <w:tc>
          <w:tcPr>
            <w:tcW w:w="2002" w:type="dxa"/>
            <w:vMerge/>
          </w:tcPr>
          <w:p w14:paraId="63982C2D" w14:textId="77777777" w:rsidR="007C2E48" w:rsidRPr="002D3529" w:rsidRDefault="007C2E48" w:rsidP="00DE1A10">
            <w:pPr>
              <w:ind w:firstLine="0"/>
              <w:contextualSpacing/>
              <w:cnfStyle w:val="000000000000" w:firstRow="0" w:lastRow="0" w:firstColumn="0" w:lastColumn="0" w:oddVBand="0" w:evenVBand="0" w:oddHBand="0" w:evenHBand="0" w:firstRowFirstColumn="0" w:firstRowLastColumn="0" w:lastRowFirstColumn="0" w:lastRowLastColumn="0"/>
              <w:rPr>
                <w:rFonts w:ascii="Sabon Next LT" w:hAnsi="Sabon Next LT" w:cs="Sabon Next LT"/>
                <w:sz w:val="20"/>
                <w:szCs w:val="20"/>
                <w:lang w:eastAsia="en-US"/>
              </w:rPr>
            </w:pPr>
          </w:p>
        </w:tc>
        <w:tc>
          <w:tcPr>
            <w:tcW w:w="1710" w:type="dxa"/>
            <w:tcBorders>
              <w:top w:val="nil"/>
            </w:tcBorders>
            <w:shd w:val="clear" w:color="auto" w:fill="000000"/>
          </w:tcPr>
          <w:p w14:paraId="5FE39EC0" w14:textId="77777777" w:rsidR="007C2E48" w:rsidRPr="002D3529" w:rsidRDefault="007C2E48" w:rsidP="00DE1A10">
            <w:pPr>
              <w:ind w:firstLine="0"/>
              <w:contextualSpacing/>
              <w:cnfStyle w:val="000000000000" w:firstRow="0" w:lastRow="0" w:firstColumn="0" w:lastColumn="0" w:oddVBand="0" w:evenVBand="0" w:oddHBand="0" w:evenHBand="0" w:firstRowFirstColumn="0" w:firstRowLastColumn="0" w:lastRowFirstColumn="0" w:lastRowLastColumn="0"/>
              <w:rPr>
                <w:rFonts w:ascii="Sabon Next LT" w:hAnsi="Sabon Next LT" w:cs="Sabon Next LT"/>
                <w:color w:val="FFFFFF"/>
                <w:sz w:val="20"/>
                <w:szCs w:val="20"/>
                <w:lang w:eastAsia="en-US"/>
              </w:rPr>
            </w:pPr>
            <w:r w:rsidRPr="002D3529">
              <w:rPr>
                <w:rFonts w:ascii="Sabon Next LT" w:hAnsi="Sabon Next LT" w:cs="Sabon Next LT"/>
                <w:color w:val="FFFFFF"/>
                <w:sz w:val="20"/>
                <w:szCs w:val="20"/>
                <w:lang w:eastAsia="en-US"/>
              </w:rPr>
              <w:t>Fully out</w:t>
            </w:r>
          </w:p>
        </w:tc>
        <w:tc>
          <w:tcPr>
            <w:tcW w:w="1710" w:type="dxa"/>
            <w:tcBorders>
              <w:top w:val="nil"/>
            </w:tcBorders>
            <w:shd w:val="clear" w:color="auto" w:fill="000000"/>
          </w:tcPr>
          <w:p w14:paraId="3A4E14E0" w14:textId="77777777" w:rsidR="007C2E48" w:rsidRPr="002D3529" w:rsidRDefault="007C2E48" w:rsidP="00DE1A10">
            <w:pPr>
              <w:ind w:firstLine="0"/>
              <w:contextualSpacing/>
              <w:cnfStyle w:val="000000000000" w:firstRow="0" w:lastRow="0" w:firstColumn="0" w:lastColumn="0" w:oddVBand="0" w:evenVBand="0" w:oddHBand="0" w:evenHBand="0" w:firstRowFirstColumn="0" w:firstRowLastColumn="0" w:lastRowFirstColumn="0" w:lastRowLastColumn="0"/>
              <w:rPr>
                <w:rFonts w:ascii="Sabon Next LT" w:hAnsi="Sabon Next LT" w:cs="Sabon Next LT"/>
                <w:color w:val="FFFFFF"/>
                <w:sz w:val="20"/>
                <w:szCs w:val="20"/>
                <w:lang w:eastAsia="en-US"/>
              </w:rPr>
            </w:pPr>
            <w:r w:rsidRPr="002D3529">
              <w:rPr>
                <w:rFonts w:ascii="Sabon Next LT" w:hAnsi="Sabon Next LT" w:cs="Sabon Next LT"/>
                <w:color w:val="FFFFFF"/>
                <w:sz w:val="20"/>
                <w:szCs w:val="20"/>
                <w:lang w:eastAsia="en-US"/>
              </w:rPr>
              <w:t>Conversion point</w:t>
            </w:r>
          </w:p>
        </w:tc>
        <w:tc>
          <w:tcPr>
            <w:tcW w:w="1710" w:type="dxa"/>
            <w:tcBorders>
              <w:top w:val="nil"/>
            </w:tcBorders>
            <w:shd w:val="clear" w:color="auto" w:fill="000000"/>
          </w:tcPr>
          <w:p w14:paraId="6083A925" w14:textId="77777777" w:rsidR="007C2E48" w:rsidRPr="002D3529" w:rsidRDefault="007C2E48" w:rsidP="00DE1A10">
            <w:pPr>
              <w:ind w:firstLine="0"/>
              <w:contextualSpacing/>
              <w:cnfStyle w:val="000000000000" w:firstRow="0" w:lastRow="0" w:firstColumn="0" w:lastColumn="0" w:oddVBand="0" w:evenVBand="0" w:oddHBand="0" w:evenHBand="0" w:firstRowFirstColumn="0" w:firstRowLastColumn="0" w:lastRowFirstColumn="0" w:lastRowLastColumn="0"/>
              <w:rPr>
                <w:rFonts w:ascii="Sabon Next LT" w:hAnsi="Sabon Next LT" w:cs="Sabon Next LT"/>
                <w:color w:val="FFFFFF"/>
                <w:sz w:val="20"/>
                <w:szCs w:val="20"/>
                <w:lang w:eastAsia="en-US"/>
              </w:rPr>
            </w:pPr>
            <w:r w:rsidRPr="002D3529">
              <w:rPr>
                <w:rFonts w:ascii="Sabon Next LT" w:hAnsi="Sabon Next LT" w:cs="Sabon Next LT"/>
                <w:color w:val="FFFFFF"/>
                <w:sz w:val="20"/>
                <w:szCs w:val="20"/>
                <w:lang w:eastAsia="en-US"/>
              </w:rPr>
              <w:t>Fully in</w:t>
            </w:r>
          </w:p>
        </w:tc>
      </w:tr>
      <w:tr w:rsidR="007C2E48" w:rsidRPr="000D63C6" w14:paraId="125CAF05" w14:textId="77777777" w:rsidTr="00DE1A10">
        <w:trPr>
          <w:trHeight w:val="288"/>
        </w:trPr>
        <w:tc>
          <w:tcPr>
            <w:cnfStyle w:val="001000000000" w:firstRow="0" w:lastRow="0" w:firstColumn="1" w:lastColumn="0" w:oddVBand="0" w:evenVBand="0" w:oddHBand="0" w:evenHBand="0" w:firstRowFirstColumn="0" w:firstRowLastColumn="0" w:lastRowFirstColumn="0" w:lastRowLastColumn="0"/>
            <w:tcW w:w="1724" w:type="dxa"/>
            <w:vAlign w:val="center"/>
          </w:tcPr>
          <w:p w14:paraId="3E5638EA" w14:textId="77777777" w:rsidR="007C2E48" w:rsidRPr="007C2E48" w:rsidRDefault="007C2E48" w:rsidP="00DE1A10">
            <w:pPr>
              <w:ind w:firstLine="0"/>
              <w:contextualSpacing/>
              <w:jc w:val="center"/>
              <w:rPr>
                <w:rFonts w:ascii="Sabon Next LT" w:hAnsi="Sabon Next LT" w:cs="Sabon Next LT"/>
                <w:sz w:val="20"/>
                <w:szCs w:val="20"/>
                <w:lang w:val="en-GB" w:eastAsia="en-US"/>
              </w:rPr>
            </w:pPr>
            <w:r w:rsidRPr="007C2E48">
              <w:rPr>
                <w:rFonts w:ascii="Sabon Next LT" w:hAnsi="Sabon Next LT" w:cs="Sabon Next LT"/>
                <w:sz w:val="20"/>
                <w:szCs w:val="20"/>
                <w:lang w:val="en-GB" w:eastAsia="en-US"/>
              </w:rPr>
              <w:t xml:space="preserve">High share of progressive councillors on a city council </w:t>
            </w:r>
          </w:p>
        </w:tc>
        <w:tc>
          <w:tcPr>
            <w:tcW w:w="2002" w:type="dxa"/>
          </w:tcPr>
          <w:p w14:paraId="0CD23F41" w14:textId="77777777" w:rsidR="007C2E48" w:rsidRPr="007C2E48" w:rsidRDefault="007C2E48" w:rsidP="00DE1A10">
            <w:pPr>
              <w:ind w:firstLine="0"/>
              <w:contextualSpacing/>
              <w:cnfStyle w:val="000000000000" w:firstRow="0" w:lastRow="0" w:firstColumn="0" w:lastColumn="0" w:oddVBand="0" w:evenVBand="0" w:oddHBand="0" w:evenHBand="0" w:firstRowFirstColumn="0" w:firstRowLastColumn="0" w:lastRowFirstColumn="0" w:lastRowLastColumn="0"/>
              <w:rPr>
                <w:rFonts w:ascii="Sabon Next LT" w:hAnsi="Sabon Next LT" w:cs="Sabon Next LT"/>
                <w:sz w:val="20"/>
                <w:szCs w:val="20"/>
                <w:lang w:val="en-GB" w:eastAsia="en-US"/>
              </w:rPr>
            </w:pPr>
            <w:r w:rsidRPr="007C2E48">
              <w:rPr>
                <w:rFonts w:ascii="Sabon Next LT" w:hAnsi="Sabon Next LT" w:cs="Sabon Next LT"/>
                <w:sz w:val="20"/>
                <w:szCs w:val="20"/>
                <w:lang w:val="en-GB" w:eastAsia="en-US"/>
              </w:rPr>
              <w:t xml:space="preserve">Average share of liberal and left-wing councillors in the city council (in 2014 and 2018) </w:t>
            </w:r>
          </w:p>
        </w:tc>
        <w:tc>
          <w:tcPr>
            <w:tcW w:w="1710" w:type="dxa"/>
          </w:tcPr>
          <w:p w14:paraId="78D156B5" w14:textId="77777777" w:rsidR="007C2E48" w:rsidRPr="002D3529" w:rsidRDefault="007C2E48" w:rsidP="00DE1A10">
            <w:pPr>
              <w:ind w:firstLine="0"/>
              <w:contextualSpacing/>
              <w:cnfStyle w:val="000000000000" w:firstRow="0" w:lastRow="0" w:firstColumn="0" w:lastColumn="0" w:oddVBand="0" w:evenVBand="0" w:oddHBand="0" w:evenHBand="0" w:firstRowFirstColumn="0" w:firstRowLastColumn="0" w:lastRowFirstColumn="0" w:lastRowLastColumn="0"/>
              <w:rPr>
                <w:rFonts w:ascii="Sabon Next LT" w:hAnsi="Sabon Next LT" w:cs="Sabon Next LT"/>
                <w:sz w:val="20"/>
                <w:szCs w:val="20"/>
                <w:lang w:eastAsia="en-US"/>
              </w:rPr>
            </w:pPr>
            <w:r w:rsidRPr="002D3529">
              <w:rPr>
                <w:rFonts w:ascii="Sabon Next LT" w:hAnsi="Sabon Next LT" w:cs="Sabon Next LT"/>
                <w:sz w:val="20"/>
                <w:szCs w:val="20"/>
                <w:lang w:eastAsia="en-US"/>
              </w:rPr>
              <w:t>30%</w:t>
            </w:r>
          </w:p>
        </w:tc>
        <w:tc>
          <w:tcPr>
            <w:tcW w:w="1710" w:type="dxa"/>
          </w:tcPr>
          <w:p w14:paraId="11F86381" w14:textId="77777777" w:rsidR="007C2E48" w:rsidRPr="002D3529" w:rsidRDefault="007C2E48" w:rsidP="00DE1A10">
            <w:pPr>
              <w:ind w:firstLine="0"/>
              <w:contextualSpacing/>
              <w:cnfStyle w:val="000000000000" w:firstRow="0" w:lastRow="0" w:firstColumn="0" w:lastColumn="0" w:oddVBand="0" w:evenVBand="0" w:oddHBand="0" w:evenHBand="0" w:firstRowFirstColumn="0" w:firstRowLastColumn="0" w:lastRowFirstColumn="0" w:lastRowLastColumn="0"/>
              <w:rPr>
                <w:rFonts w:ascii="Sabon Next LT" w:hAnsi="Sabon Next LT" w:cs="Sabon Next LT"/>
                <w:sz w:val="20"/>
                <w:szCs w:val="20"/>
                <w:lang w:eastAsia="en-US"/>
              </w:rPr>
            </w:pPr>
            <w:r w:rsidRPr="002D3529">
              <w:rPr>
                <w:rFonts w:ascii="Sabon Next LT" w:hAnsi="Sabon Next LT" w:cs="Sabon Next LT"/>
                <w:sz w:val="20"/>
                <w:szCs w:val="20"/>
                <w:lang w:eastAsia="en-US"/>
              </w:rPr>
              <w:t>39%</w:t>
            </w:r>
          </w:p>
        </w:tc>
        <w:tc>
          <w:tcPr>
            <w:tcW w:w="1710" w:type="dxa"/>
          </w:tcPr>
          <w:p w14:paraId="010E082F" w14:textId="77777777" w:rsidR="007C2E48" w:rsidRPr="002D3529" w:rsidRDefault="007C2E48" w:rsidP="00DE1A10">
            <w:pPr>
              <w:ind w:firstLine="0"/>
              <w:contextualSpacing/>
              <w:cnfStyle w:val="000000000000" w:firstRow="0" w:lastRow="0" w:firstColumn="0" w:lastColumn="0" w:oddVBand="0" w:evenVBand="0" w:oddHBand="0" w:evenHBand="0" w:firstRowFirstColumn="0" w:firstRowLastColumn="0" w:lastRowFirstColumn="0" w:lastRowLastColumn="0"/>
              <w:rPr>
                <w:rFonts w:ascii="Sabon Next LT" w:hAnsi="Sabon Next LT" w:cs="Sabon Next LT"/>
                <w:sz w:val="20"/>
                <w:szCs w:val="20"/>
                <w:lang w:eastAsia="en-US"/>
              </w:rPr>
            </w:pPr>
            <w:r w:rsidRPr="002D3529">
              <w:rPr>
                <w:rFonts w:ascii="Sabon Next LT" w:hAnsi="Sabon Next LT" w:cs="Sabon Next LT"/>
                <w:sz w:val="20"/>
                <w:szCs w:val="20"/>
                <w:lang w:eastAsia="en-US"/>
              </w:rPr>
              <w:t>50%</w:t>
            </w:r>
          </w:p>
        </w:tc>
      </w:tr>
      <w:tr w:rsidR="007C2E48" w:rsidRPr="000D63C6" w14:paraId="2635C54C" w14:textId="77777777" w:rsidTr="00DE1A10">
        <w:trPr>
          <w:trHeight w:val="1030"/>
        </w:trPr>
        <w:tc>
          <w:tcPr>
            <w:cnfStyle w:val="001000000000" w:firstRow="0" w:lastRow="0" w:firstColumn="1" w:lastColumn="0" w:oddVBand="0" w:evenVBand="0" w:oddHBand="0" w:evenHBand="0" w:firstRowFirstColumn="0" w:firstRowLastColumn="0" w:lastRowFirstColumn="0" w:lastRowLastColumn="0"/>
            <w:tcW w:w="1724" w:type="dxa"/>
            <w:vAlign w:val="center"/>
          </w:tcPr>
          <w:p w14:paraId="08B31249" w14:textId="77777777" w:rsidR="007C2E48" w:rsidRPr="002D3529" w:rsidRDefault="007C2E48" w:rsidP="00DE1A10">
            <w:pPr>
              <w:ind w:firstLine="0"/>
              <w:contextualSpacing/>
              <w:jc w:val="center"/>
              <w:rPr>
                <w:rFonts w:ascii="Sabon Next LT" w:hAnsi="Sabon Next LT" w:cs="Sabon Next LT"/>
                <w:sz w:val="20"/>
                <w:szCs w:val="20"/>
                <w:lang w:eastAsia="en-US"/>
              </w:rPr>
            </w:pPr>
            <w:r w:rsidRPr="002D3529">
              <w:rPr>
                <w:rFonts w:ascii="Sabon Next LT" w:hAnsi="Sabon Next LT" w:cs="Sabon Next LT"/>
                <w:sz w:val="20"/>
                <w:szCs w:val="20"/>
                <w:lang w:eastAsia="en-US"/>
              </w:rPr>
              <w:t xml:space="preserve">High population density </w:t>
            </w:r>
          </w:p>
        </w:tc>
        <w:tc>
          <w:tcPr>
            <w:tcW w:w="2002" w:type="dxa"/>
          </w:tcPr>
          <w:p w14:paraId="58D133BA" w14:textId="77777777" w:rsidR="007C2E48" w:rsidRPr="002D3529" w:rsidRDefault="007C2E48" w:rsidP="00DE1A10">
            <w:pPr>
              <w:ind w:firstLine="0"/>
              <w:contextualSpacing/>
              <w:cnfStyle w:val="000000000000" w:firstRow="0" w:lastRow="0" w:firstColumn="0" w:lastColumn="0" w:oddVBand="0" w:evenVBand="0" w:oddHBand="0" w:evenHBand="0" w:firstRowFirstColumn="0" w:firstRowLastColumn="0" w:lastRowFirstColumn="0" w:lastRowLastColumn="0"/>
              <w:rPr>
                <w:rFonts w:ascii="Sabon Next LT" w:hAnsi="Sabon Next LT" w:cs="Sabon Next LT"/>
                <w:sz w:val="20"/>
                <w:szCs w:val="20"/>
                <w:lang w:eastAsia="en-US"/>
              </w:rPr>
            </w:pPr>
            <w:r w:rsidRPr="002D3529">
              <w:rPr>
                <w:rFonts w:ascii="Sabon Next LT" w:hAnsi="Sabon Next LT" w:cs="Sabon Next LT"/>
                <w:sz w:val="20"/>
                <w:szCs w:val="20"/>
                <w:lang w:eastAsia="en-US"/>
              </w:rPr>
              <w:t xml:space="preserve">Inhabitants </w:t>
            </w:r>
            <w:r w:rsidRPr="002D3529">
              <w:rPr>
                <w:rFonts w:ascii="Sabon Next LT" w:hAnsi="Sabon Next LT" w:cs="Sabon Next LT"/>
                <w:i/>
                <w:iCs/>
                <w:sz w:val="20"/>
                <w:szCs w:val="20"/>
                <w:lang w:eastAsia="en-US"/>
              </w:rPr>
              <w:t>per</w:t>
            </w:r>
            <w:r w:rsidRPr="002D3529">
              <w:rPr>
                <w:rFonts w:ascii="Sabon Next LT" w:hAnsi="Sabon Next LT" w:cs="Sabon Next LT"/>
                <w:sz w:val="20"/>
                <w:szCs w:val="20"/>
                <w:lang w:eastAsia="en-US"/>
              </w:rPr>
              <w:t xml:space="preserve"> square kilometre (2019)</w:t>
            </w:r>
          </w:p>
        </w:tc>
        <w:tc>
          <w:tcPr>
            <w:tcW w:w="1710" w:type="dxa"/>
          </w:tcPr>
          <w:p w14:paraId="6CBA476A" w14:textId="77777777" w:rsidR="007C2E48" w:rsidRPr="002D3529" w:rsidRDefault="007C2E48" w:rsidP="00DE1A10">
            <w:pPr>
              <w:ind w:firstLine="0"/>
              <w:contextualSpacing/>
              <w:cnfStyle w:val="000000000000" w:firstRow="0" w:lastRow="0" w:firstColumn="0" w:lastColumn="0" w:oddVBand="0" w:evenVBand="0" w:oddHBand="0" w:evenHBand="0" w:firstRowFirstColumn="0" w:firstRowLastColumn="0" w:lastRowFirstColumn="0" w:lastRowLastColumn="0"/>
              <w:rPr>
                <w:rFonts w:ascii="Sabon Next LT" w:hAnsi="Sabon Next LT" w:cs="Sabon Next LT"/>
                <w:sz w:val="20"/>
                <w:szCs w:val="20"/>
                <w:lang w:eastAsia="en-US"/>
              </w:rPr>
            </w:pPr>
            <w:r w:rsidRPr="002D3529">
              <w:rPr>
                <w:rFonts w:ascii="Sabon Next LT" w:hAnsi="Sabon Next LT" w:cs="Sabon Next LT"/>
                <w:sz w:val="20"/>
                <w:szCs w:val="20"/>
                <w:lang w:eastAsia="en-US"/>
              </w:rPr>
              <w:t>1500</w:t>
            </w:r>
          </w:p>
        </w:tc>
        <w:tc>
          <w:tcPr>
            <w:tcW w:w="1710" w:type="dxa"/>
          </w:tcPr>
          <w:p w14:paraId="415291C3" w14:textId="77777777" w:rsidR="007C2E48" w:rsidRPr="002D3529" w:rsidRDefault="007C2E48" w:rsidP="00DE1A10">
            <w:pPr>
              <w:ind w:firstLine="0"/>
              <w:contextualSpacing/>
              <w:cnfStyle w:val="000000000000" w:firstRow="0" w:lastRow="0" w:firstColumn="0" w:lastColumn="0" w:oddVBand="0" w:evenVBand="0" w:oddHBand="0" w:evenHBand="0" w:firstRowFirstColumn="0" w:firstRowLastColumn="0" w:lastRowFirstColumn="0" w:lastRowLastColumn="0"/>
              <w:rPr>
                <w:rFonts w:ascii="Sabon Next LT" w:hAnsi="Sabon Next LT" w:cs="Sabon Next LT"/>
                <w:sz w:val="20"/>
                <w:szCs w:val="20"/>
                <w:lang w:eastAsia="en-US"/>
              </w:rPr>
            </w:pPr>
            <w:r w:rsidRPr="002D3529">
              <w:rPr>
                <w:rFonts w:ascii="Sabon Next LT" w:hAnsi="Sabon Next LT" w:cs="Sabon Next LT"/>
                <w:sz w:val="20"/>
                <w:szCs w:val="20"/>
                <w:lang w:eastAsia="en-US"/>
              </w:rPr>
              <w:t>2000</w:t>
            </w:r>
          </w:p>
        </w:tc>
        <w:tc>
          <w:tcPr>
            <w:tcW w:w="1710" w:type="dxa"/>
          </w:tcPr>
          <w:p w14:paraId="17AEC12E" w14:textId="77777777" w:rsidR="007C2E48" w:rsidRPr="002D3529" w:rsidRDefault="007C2E48" w:rsidP="00DE1A10">
            <w:pPr>
              <w:ind w:firstLine="0"/>
              <w:contextualSpacing/>
              <w:cnfStyle w:val="000000000000" w:firstRow="0" w:lastRow="0" w:firstColumn="0" w:lastColumn="0" w:oddVBand="0" w:evenVBand="0" w:oddHBand="0" w:evenHBand="0" w:firstRowFirstColumn="0" w:firstRowLastColumn="0" w:lastRowFirstColumn="0" w:lastRowLastColumn="0"/>
              <w:rPr>
                <w:rFonts w:ascii="Sabon Next LT" w:hAnsi="Sabon Next LT" w:cs="Sabon Next LT"/>
                <w:sz w:val="20"/>
                <w:szCs w:val="20"/>
                <w:lang w:eastAsia="en-US"/>
              </w:rPr>
            </w:pPr>
            <w:r w:rsidRPr="002D3529">
              <w:rPr>
                <w:rFonts w:ascii="Sabon Next LT" w:hAnsi="Sabon Next LT" w:cs="Sabon Next LT"/>
                <w:sz w:val="20"/>
                <w:szCs w:val="20"/>
                <w:lang w:eastAsia="en-US"/>
              </w:rPr>
              <w:t>2200</w:t>
            </w:r>
          </w:p>
        </w:tc>
      </w:tr>
      <w:tr w:rsidR="007C2E48" w:rsidRPr="000D63C6" w14:paraId="4AA61B24" w14:textId="77777777" w:rsidTr="00DE1A10">
        <w:trPr>
          <w:trHeight w:val="1030"/>
        </w:trPr>
        <w:tc>
          <w:tcPr>
            <w:cnfStyle w:val="001000000000" w:firstRow="0" w:lastRow="0" w:firstColumn="1" w:lastColumn="0" w:oddVBand="0" w:evenVBand="0" w:oddHBand="0" w:evenHBand="0" w:firstRowFirstColumn="0" w:firstRowLastColumn="0" w:lastRowFirstColumn="0" w:lastRowLastColumn="0"/>
            <w:tcW w:w="1724" w:type="dxa"/>
            <w:vAlign w:val="center"/>
          </w:tcPr>
          <w:p w14:paraId="77DEC84D" w14:textId="77777777" w:rsidR="007C2E48" w:rsidRPr="007C2E48" w:rsidRDefault="007C2E48" w:rsidP="00DE1A10">
            <w:pPr>
              <w:ind w:firstLine="0"/>
              <w:contextualSpacing/>
              <w:jc w:val="center"/>
              <w:rPr>
                <w:rFonts w:ascii="Sabon Next LT" w:hAnsi="Sabon Next LT" w:cs="Sabon Next LT"/>
                <w:sz w:val="20"/>
                <w:szCs w:val="20"/>
                <w:lang w:val="en-GB" w:eastAsia="en-US"/>
              </w:rPr>
            </w:pPr>
            <w:r w:rsidRPr="007C2E48">
              <w:rPr>
                <w:rFonts w:ascii="Sabon Next LT" w:hAnsi="Sabon Next LT" w:cs="Sabon Next LT"/>
                <w:sz w:val="20"/>
                <w:szCs w:val="20"/>
                <w:lang w:val="en-GB" w:eastAsia="en-US"/>
              </w:rPr>
              <w:t xml:space="preserve">Above average support for </w:t>
            </w:r>
            <w:r w:rsidRPr="007C2E48">
              <w:rPr>
                <w:rFonts w:ascii="Sabon Next LT" w:hAnsi="Sabon Next LT" w:cs="Sabon Next LT"/>
                <w:sz w:val="20"/>
                <w:szCs w:val="20"/>
                <w:lang w:val="en-GB" w:eastAsia="en-US"/>
              </w:rPr>
              <w:br/>
              <w:t>left-wing parties</w:t>
            </w:r>
          </w:p>
        </w:tc>
        <w:tc>
          <w:tcPr>
            <w:tcW w:w="2002" w:type="dxa"/>
          </w:tcPr>
          <w:p w14:paraId="38B72E0E" w14:textId="77777777" w:rsidR="007C2E48" w:rsidRPr="007C2E48" w:rsidRDefault="007C2E48" w:rsidP="00DE1A10">
            <w:pPr>
              <w:ind w:firstLine="0"/>
              <w:contextualSpacing/>
              <w:cnfStyle w:val="000000000000" w:firstRow="0" w:lastRow="0" w:firstColumn="0" w:lastColumn="0" w:oddVBand="0" w:evenVBand="0" w:oddHBand="0" w:evenHBand="0" w:firstRowFirstColumn="0" w:firstRowLastColumn="0" w:lastRowFirstColumn="0" w:lastRowLastColumn="0"/>
              <w:rPr>
                <w:rFonts w:ascii="Sabon Next LT" w:hAnsi="Sabon Next LT" w:cs="Sabon Next LT"/>
                <w:sz w:val="20"/>
                <w:szCs w:val="20"/>
                <w:lang w:val="en-GB" w:eastAsia="en-US"/>
              </w:rPr>
            </w:pPr>
            <w:r w:rsidRPr="007C2E48">
              <w:rPr>
                <w:rFonts w:ascii="Sabon Next LT" w:hAnsi="Sabon Next LT" w:cs="Sabon Next LT"/>
                <w:sz w:val="20"/>
                <w:szCs w:val="20"/>
                <w:lang w:val="en-GB" w:eastAsia="en-US"/>
              </w:rPr>
              <w:t>Share of votes for the left wing parties; The New Left coalition (in 2019)</w:t>
            </w:r>
          </w:p>
        </w:tc>
        <w:tc>
          <w:tcPr>
            <w:tcW w:w="1710" w:type="dxa"/>
          </w:tcPr>
          <w:p w14:paraId="666EA121" w14:textId="77777777" w:rsidR="007C2E48" w:rsidRPr="002D3529" w:rsidRDefault="007C2E48" w:rsidP="00DE1A10">
            <w:pPr>
              <w:ind w:firstLine="0"/>
              <w:contextualSpacing/>
              <w:cnfStyle w:val="000000000000" w:firstRow="0" w:lastRow="0" w:firstColumn="0" w:lastColumn="0" w:oddVBand="0" w:evenVBand="0" w:oddHBand="0" w:evenHBand="0" w:firstRowFirstColumn="0" w:firstRowLastColumn="0" w:lastRowFirstColumn="0" w:lastRowLastColumn="0"/>
              <w:rPr>
                <w:rFonts w:ascii="Sabon Next LT" w:hAnsi="Sabon Next LT" w:cs="Sabon Next LT"/>
                <w:sz w:val="20"/>
                <w:szCs w:val="20"/>
                <w:lang w:eastAsia="en-US"/>
              </w:rPr>
            </w:pPr>
            <w:r w:rsidRPr="002D3529">
              <w:rPr>
                <w:rFonts w:ascii="Sabon Next LT" w:hAnsi="Sabon Next LT" w:cs="Sabon Next LT"/>
                <w:sz w:val="20"/>
                <w:szCs w:val="20"/>
                <w:lang w:eastAsia="en-US"/>
              </w:rPr>
              <w:t>13%</w:t>
            </w:r>
          </w:p>
        </w:tc>
        <w:tc>
          <w:tcPr>
            <w:tcW w:w="1710" w:type="dxa"/>
          </w:tcPr>
          <w:p w14:paraId="3D286B38" w14:textId="77777777" w:rsidR="007C2E48" w:rsidRPr="002D3529" w:rsidRDefault="007C2E48" w:rsidP="00DE1A10">
            <w:pPr>
              <w:ind w:firstLine="0"/>
              <w:contextualSpacing/>
              <w:cnfStyle w:val="000000000000" w:firstRow="0" w:lastRow="0" w:firstColumn="0" w:lastColumn="0" w:oddVBand="0" w:evenVBand="0" w:oddHBand="0" w:evenHBand="0" w:firstRowFirstColumn="0" w:firstRowLastColumn="0" w:lastRowFirstColumn="0" w:lastRowLastColumn="0"/>
              <w:rPr>
                <w:rFonts w:ascii="Sabon Next LT" w:hAnsi="Sabon Next LT" w:cs="Sabon Next LT"/>
                <w:sz w:val="20"/>
                <w:szCs w:val="20"/>
                <w:lang w:eastAsia="en-US"/>
              </w:rPr>
            </w:pPr>
            <w:r w:rsidRPr="002D3529">
              <w:rPr>
                <w:rFonts w:ascii="Sabon Next LT" w:hAnsi="Sabon Next LT" w:cs="Sabon Next LT"/>
                <w:sz w:val="20"/>
                <w:szCs w:val="20"/>
                <w:lang w:eastAsia="en-US"/>
              </w:rPr>
              <w:t>15%</w:t>
            </w:r>
          </w:p>
        </w:tc>
        <w:tc>
          <w:tcPr>
            <w:tcW w:w="1710" w:type="dxa"/>
          </w:tcPr>
          <w:p w14:paraId="52A62353" w14:textId="77777777" w:rsidR="007C2E48" w:rsidRPr="002D3529" w:rsidRDefault="007C2E48" w:rsidP="00DE1A10">
            <w:pPr>
              <w:ind w:firstLine="0"/>
              <w:contextualSpacing/>
              <w:cnfStyle w:val="000000000000" w:firstRow="0" w:lastRow="0" w:firstColumn="0" w:lastColumn="0" w:oddVBand="0" w:evenVBand="0" w:oddHBand="0" w:evenHBand="0" w:firstRowFirstColumn="0" w:firstRowLastColumn="0" w:lastRowFirstColumn="0" w:lastRowLastColumn="0"/>
              <w:rPr>
                <w:rFonts w:ascii="Sabon Next LT" w:hAnsi="Sabon Next LT" w:cs="Sabon Next LT"/>
                <w:sz w:val="20"/>
                <w:szCs w:val="20"/>
                <w:lang w:eastAsia="en-US"/>
              </w:rPr>
            </w:pPr>
            <w:r w:rsidRPr="002D3529">
              <w:rPr>
                <w:rFonts w:ascii="Sabon Next LT" w:hAnsi="Sabon Next LT" w:cs="Sabon Next LT"/>
                <w:sz w:val="20"/>
                <w:szCs w:val="20"/>
                <w:lang w:eastAsia="en-US"/>
              </w:rPr>
              <w:t>18%</w:t>
            </w:r>
          </w:p>
        </w:tc>
      </w:tr>
    </w:tbl>
    <w:p w14:paraId="616C14CF" w14:textId="77777777" w:rsidR="007C2E48" w:rsidRPr="000D63C6" w:rsidRDefault="007C2E48" w:rsidP="007C2E48">
      <w:pPr>
        <w:spacing w:before="0" w:after="0" w:line="240" w:lineRule="auto"/>
        <w:ind w:firstLine="0"/>
        <w:contextualSpacing/>
        <w:rPr>
          <w:rFonts w:eastAsia="Calibri"/>
          <w:sz w:val="20"/>
          <w:szCs w:val="20"/>
          <w:lang w:eastAsia="en-US"/>
        </w:rPr>
      </w:pPr>
      <w:r w:rsidRPr="000D63C6">
        <w:rPr>
          <w:rFonts w:eastAsia="Calibri"/>
          <w:sz w:val="20"/>
          <w:szCs w:val="20"/>
          <w:lang w:eastAsia="en-US"/>
        </w:rPr>
        <w:t xml:space="preserve">Source: author’s own elaboration. </w:t>
      </w:r>
    </w:p>
    <w:p w14:paraId="0A673626" w14:textId="77777777" w:rsidR="007C2E48" w:rsidRPr="000D63C6" w:rsidRDefault="007C2E48" w:rsidP="007C2E48">
      <w:pPr>
        <w:spacing w:before="0" w:after="0" w:line="240" w:lineRule="auto"/>
        <w:ind w:firstLine="0"/>
        <w:contextualSpacing/>
        <w:rPr>
          <w:rFonts w:eastAsia="Calibri"/>
          <w:b/>
          <w:bCs/>
          <w:iCs/>
          <w:sz w:val="20"/>
          <w:szCs w:val="20"/>
          <w:lang w:eastAsia="en-US"/>
        </w:rPr>
      </w:pPr>
      <w:r w:rsidRPr="000D63C6">
        <w:rPr>
          <w:rFonts w:eastAsia="Calibri"/>
          <w:sz w:val="20"/>
          <w:szCs w:val="20"/>
          <w:lang w:eastAsia="en-US"/>
        </w:rPr>
        <w:t xml:space="preserve">Note: the conditions were excluded due to the unsatisfactory (inconsistent and empirically trivial) results obtained through preliminary necessity and sufficiency analyses. </w:t>
      </w:r>
    </w:p>
    <w:p w14:paraId="34950754" w14:textId="77777777" w:rsidR="007C2E48" w:rsidRPr="000D63C6" w:rsidRDefault="007C2E48" w:rsidP="007C2E48">
      <w:pPr>
        <w:spacing w:before="0" w:after="160" w:line="259" w:lineRule="auto"/>
        <w:ind w:firstLine="0"/>
        <w:jc w:val="left"/>
        <w:rPr>
          <w:rFonts w:eastAsia="Calibri"/>
          <w:sz w:val="24"/>
          <w:lang w:eastAsia="en-US"/>
        </w:rPr>
      </w:pPr>
    </w:p>
    <w:p w14:paraId="17CC9928" w14:textId="77777777" w:rsidR="00954229" w:rsidRDefault="00954229">
      <w:pPr>
        <w:spacing w:before="0" w:after="160" w:line="259" w:lineRule="auto"/>
        <w:ind w:firstLine="0"/>
        <w:jc w:val="left"/>
        <w:rPr>
          <w:rFonts w:eastAsia="Calibri"/>
          <w:b/>
          <w:bCs/>
          <w:sz w:val="20"/>
          <w:szCs w:val="20"/>
          <w:lang w:eastAsia="en-US"/>
        </w:rPr>
      </w:pPr>
      <w:r>
        <w:rPr>
          <w:rFonts w:eastAsia="Calibri"/>
          <w:b/>
          <w:bCs/>
          <w:sz w:val="20"/>
          <w:szCs w:val="20"/>
          <w:lang w:eastAsia="en-US"/>
        </w:rPr>
        <w:br w:type="page"/>
      </w:r>
    </w:p>
    <w:p w14:paraId="5446EBD8" w14:textId="130DE9BC" w:rsidR="007C2E48" w:rsidRPr="000D63C6" w:rsidRDefault="007C2E48" w:rsidP="007C2E48">
      <w:pPr>
        <w:spacing w:before="0" w:after="160" w:line="259" w:lineRule="auto"/>
        <w:ind w:firstLine="0"/>
        <w:jc w:val="left"/>
        <w:rPr>
          <w:rFonts w:eastAsia="Calibri"/>
          <w:sz w:val="24"/>
          <w:lang w:eastAsia="en-US"/>
        </w:rPr>
      </w:pPr>
      <w:r w:rsidRPr="000D63C6">
        <w:rPr>
          <w:rFonts w:eastAsia="Calibri"/>
          <w:b/>
          <w:bCs/>
          <w:sz w:val="20"/>
          <w:szCs w:val="20"/>
          <w:lang w:eastAsia="en-US"/>
        </w:rPr>
        <w:lastRenderedPageBreak/>
        <w:t>Table A</w:t>
      </w:r>
      <w:r>
        <w:rPr>
          <w:rFonts w:eastAsia="Calibri"/>
          <w:b/>
          <w:bCs/>
          <w:sz w:val="20"/>
          <w:szCs w:val="20"/>
          <w:lang w:eastAsia="en-US"/>
        </w:rPr>
        <w:t>3</w:t>
      </w:r>
      <w:r w:rsidRPr="000D63C6">
        <w:rPr>
          <w:rFonts w:eastAsia="Calibri"/>
          <w:b/>
          <w:bCs/>
          <w:sz w:val="20"/>
          <w:szCs w:val="20"/>
          <w:lang w:eastAsia="en-US"/>
        </w:rPr>
        <w:t>: Analysis of necessity.</w:t>
      </w:r>
    </w:p>
    <w:tbl>
      <w:tblPr>
        <w:tblStyle w:val="Tabela-Siatka"/>
        <w:tblW w:w="0" w:type="auto"/>
        <w:tblLook w:val="04A0" w:firstRow="1" w:lastRow="0" w:firstColumn="1" w:lastColumn="0" w:noHBand="0" w:noVBand="1"/>
      </w:tblPr>
      <w:tblGrid>
        <w:gridCol w:w="1921"/>
        <w:gridCol w:w="1403"/>
        <w:gridCol w:w="1147"/>
        <w:gridCol w:w="967"/>
        <w:gridCol w:w="1403"/>
        <w:gridCol w:w="1246"/>
        <w:gridCol w:w="975"/>
      </w:tblGrid>
      <w:tr w:rsidR="007C2E48" w:rsidRPr="000D63C6" w14:paraId="423AFB9C" w14:textId="77777777" w:rsidTr="00DE1A10">
        <w:tc>
          <w:tcPr>
            <w:tcW w:w="1980" w:type="dxa"/>
            <w:vMerge w:val="restart"/>
            <w:vAlign w:val="center"/>
          </w:tcPr>
          <w:p w14:paraId="3FD29E80" w14:textId="77777777" w:rsidR="007C2E48" w:rsidRPr="002D3529" w:rsidRDefault="007C2E48" w:rsidP="00DE1A10">
            <w:pPr>
              <w:spacing w:after="160" w:line="259" w:lineRule="auto"/>
              <w:ind w:firstLine="0"/>
              <w:jc w:val="center"/>
              <w:rPr>
                <w:rFonts w:ascii="Sabon Next LT" w:eastAsia="Calibri" w:hAnsi="Sabon Next LT" w:cs="Sabon Next LT"/>
                <w:b/>
                <w:bCs/>
                <w:szCs w:val="20"/>
                <w:lang w:eastAsia="en-US"/>
              </w:rPr>
            </w:pPr>
            <w:r w:rsidRPr="002D3529">
              <w:rPr>
                <w:rFonts w:ascii="Sabon Next LT" w:eastAsia="Calibri" w:hAnsi="Sabon Next LT" w:cs="Sabon Next LT"/>
                <w:b/>
                <w:bCs/>
                <w:szCs w:val="20"/>
                <w:lang w:eastAsia="en-US"/>
              </w:rPr>
              <w:t>Condition</w:t>
            </w:r>
          </w:p>
        </w:tc>
        <w:tc>
          <w:tcPr>
            <w:tcW w:w="3320" w:type="dxa"/>
            <w:gridSpan w:val="3"/>
          </w:tcPr>
          <w:p w14:paraId="0E1776F6" w14:textId="77777777" w:rsidR="007C2E48" w:rsidRPr="007C2E48" w:rsidRDefault="007C2E48" w:rsidP="00DE1A10">
            <w:pPr>
              <w:spacing w:after="160" w:line="259" w:lineRule="auto"/>
              <w:ind w:firstLine="0"/>
              <w:jc w:val="center"/>
              <w:rPr>
                <w:rFonts w:ascii="Sabon Next LT" w:eastAsia="Calibri" w:hAnsi="Sabon Next LT" w:cs="Sabon Next LT"/>
                <w:b/>
                <w:bCs/>
                <w:szCs w:val="20"/>
                <w:lang w:val="en-GB" w:eastAsia="en-US"/>
              </w:rPr>
            </w:pPr>
            <w:r w:rsidRPr="007C2E48">
              <w:rPr>
                <w:rFonts w:ascii="Sabon Next LT" w:eastAsia="Calibri" w:hAnsi="Sabon Next LT" w:cs="Sabon Next LT"/>
                <w:b/>
                <w:bCs/>
                <w:szCs w:val="20"/>
                <w:lang w:val="en-GB" w:eastAsia="en-US"/>
              </w:rPr>
              <w:t xml:space="preserve">Universal targeting </w:t>
            </w:r>
            <w:r w:rsidRPr="007C2E48">
              <w:rPr>
                <w:rFonts w:ascii="Sabon Next LT" w:eastAsia="Calibri" w:hAnsi="Sabon Next LT" w:cs="Sabon Next LT"/>
                <w:b/>
                <w:bCs/>
                <w:szCs w:val="20"/>
                <w:lang w:val="en-GB" w:eastAsia="en-US"/>
              </w:rPr>
              <w:br/>
              <w:t xml:space="preserve">in public health policy </w:t>
            </w:r>
            <w:r w:rsidRPr="007C2E48">
              <w:rPr>
                <w:rFonts w:ascii="Sabon Next LT" w:eastAsia="Calibri" w:hAnsi="Sabon Next LT" w:cs="Sabon Next LT"/>
                <w:b/>
                <w:bCs/>
                <w:szCs w:val="20"/>
                <w:lang w:val="en-GB" w:eastAsia="en-US"/>
              </w:rPr>
              <w:br/>
              <w:t>(OUT)</w:t>
            </w:r>
          </w:p>
        </w:tc>
        <w:tc>
          <w:tcPr>
            <w:tcW w:w="3762" w:type="dxa"/>
            <w:gridSpan w:val="3"/>
          </w:tcPr>
          <w:p w14:paraId="353B6268" w14:textId="77777777" w:rsidR="007C2E48" w:rsidRPr="007C2E48" w:rsidRDefault="007C2E48" w:rsidP="00DE1A10">
            <w:pPr>
              <w:spacing w:after="160" w:line="259" w:lineRule="auto"/>
              <w:ind w:firstLine="0"/>
              <w:jc w:val="center"/>
              <w:rPr>
                <w:rFonts w:ascii="Sabon Next LT" w:eastAsia="Calibri" w:hAnsi="Sabon Next LT" w:cs="Sabon Next LT"/>
                <w:b/>
                <w:bCs/>
                <w:szCs w:val="20"/>
                <w:lang w:val="en-GB" w:eastAsia="en-US"/>
              </w:rPr>
            </w:pPr>
            <w:r w:rsidRPr="007C2E48">
              <w:rPr>
                <w:rFonts w:ascii="Sabon Next LT" w:eastAsia="Calibri" w:hAnsi="Sabon Next LT" w:cs="Sabon Next LT"/>
                <w:b/>
                <w:bCs/>
                <w:szCs w:val="20"/>
                <w:lang w:val="en-GB" w:eastAsia="en-US"/>
              </w:rPr>
              <w:t xml:space="preserve">Absence of universal targeting </w:t>
            </w:r>
            <w:r w:rsidRPr="007C2E48">
              <w:rPr>
                <w:rFonts w:ascii="Sabon Next LT" w:eastAsia="Calibri" w:hAnsi="Sabon Next LT" w:cs="Sabon Next LT"/>
                <w:b/>
                <w:bCs/>
                <w:szCs w:val="20"/>
                <w:lang w:val="en-GB" w:eastAsia="en-US"/>
              </w:rPr>
              <w:br/>
              <w:t xml:space="preserve">in public health policy </w:t>
            </w:r>
            <w:r w:rsidRPr="007C2E48">
              <w:rPr>
                <w:rFonts w:ascii="Sabon Next LT" w:eastAsia="Calibri" w:hAnsi="Sabon Next LT" w:cs="Sabon Next LT"/>
                <w:b/>
                <w:bCs/>
                <w:szCs w:val="20"/>
                <w:lang w:val="en-GB" w:eastAsia="en-US"/>
              </w:rPr>
              <w:br/>
              <w:t>(~OUT)</w:t>
            </w:r>
          </w:p>
        </w:tc>
      </w:tr>
      <w:tr w:rsidR="007C2E48" w:rsidRPr="000D63C6" w14:paraId="4381A31D" w14:textId="77777777" w:rsidTr="00DE1A10">
        <w:tc>
          <w:tcPr>
            <w:tcW w:w="1980" w:type="dxa"/>
            <w:vMerge/>
          </w:tcPr>
          <w:p w14:paraId="6BD3629D" w14:textId="77777777" w:rsidR="007C2E48" w:rsidRPr="007C2E48" w:rsidRDefault="007C2E48" w:rsidP="00DE1A10">
            <w:pPr>
              <w:spacing w:after="160" w:line="259" w:lineRule="auto"/>
              <w:ind w:firstLine="0"/>
              <w:rPr>
                <w:rFonts w:ascii="Sabon Next LT" w:eastAsia="Calibri" w:hAnsi="Sabon Next LT" w:cs="Sabon Next LT"/>
                <w:b/>
                <w:bCs/>
                <w:szCs w:val="20"/>
                <w:lang w:val="en-GB" w:eastAsia="en-US"/>
              </w:rPr>
            </w:pPr>
          </w:p>
        </w:tc>
        <w:tc>
          <w:tcPr>
            <w:tcW w:w="1030" w:type="dxa"/>
          </w:tcPr>
          <w:p w14:paraId="277B2429" w14:textId="77777777" w:rsidR="007C2E48" w:rsidRPr="002D3529" w:rsidRDefault="007C2E48" w:rsidP="00DE1A10">
            <w:pPr>
              <w:spacing w:after="160" w:line="259" w:lineRule="auto"/>
              <w:ind w:firstLine="0"/>
              <w:rPr>
                <w:rFonts w:ascii="Sabon Next LT" w:eastAsia="Calibri" w:hAnsi="Sabon Next LT" w:cs="Sabon Next LT"/>
                <w:b/>
                <w:bCs/>
                <w:szCs w:val="20"/>
                <w:lang w:eastAsia="en-US"/>
              </w:rPr>
            </w:pPr>
            <w:r w:rsidRPr="002D3529">
              <w:rPr>
                <w:rFonts w:ascii="Sabon Next LT" w:eastAsia="Calibri" w:hAnsi="Sabon Next LT" w:cs="Sabon Next LT"/>
                <w:b/>
                <w:bCs/>
                <w:szCs w:val="20"/>
                <w:lang w:eastAsia="en-US"/>
              </w:rPr>
              <w:t>Consistency</w:t>
            </w:r>
          </w:p>
        </w:tc>
        <w:tc>
          <w:tcPr>
            <w:tcW w:w="1164" w:type="dxa"/>
          </w:tcPr>
          <w:p w14:paraId="3A270DF0" w14:textId="77777777" w:rsidR="007C2E48" w:rsidRPr="002D3529" w:rsidRDefault="007C2E48" w:rsidP="00DE1A10">
            <w:pPr>
              <w:spacing w:after="160" w:line="259" w:lineRule="auto"/>
              <w:ind w:firstLine="0"/>
              <w:rPr>
                <w:rFonts w:ascii="Sabon Next LT" w:eastAsia="Calibri" w:hAnsi="Sabon Next LT" w:cs="Sabon Next LT"/>
                <w:b/>
                <w:bCs/>
                <w:szCs w:val="20"/>
                <w:lang w:eastAsia="en-US"/>
              </w:rPr>
            </w:pPr>
            <w:r w:rsidRPr="002D3529">
              <w:rPr>
                <w:rFonts w:ascii="Sabon Next LT" w:eastAsia="Calibri" w:hAnsi="Sabon Next LT" w:cs="Sabon Next LT"/>
                <w:b/>
                <w:bCs/>
                <w:szCs w:val="20"/>
                <w:lang w:eastAsia="en-US"/>
              </w:rPr>
              <w:t>Coverage</w:t>
            </w:r>
          </w:p>
        </w:tc>
        <w:tc>
          <w:tcPr>
            <w:tcW w:w="1126" w:type="dxa"/>
          </w:tcPr>
          <w:p w14:paraId="074E9040" w14:textId="77777777" w:rsidR="007C2E48" w:rsidRPr="002D3529" w:rsidRDefault="007C2E48" w:rsidP="00DE1A10">
            <w:pPr>
              <w:spacing w:after="160" w:line="259" w:lineRule="auto"/>
              <w:ind w:firstLine="0"/>
              <w:rPr>
                <w:rFonts w:ascii="Sabon Next LT" w:eastAsia="Calibri" w:hAnsi="Sabon Next LT" w:cs="Sabon Next LT"/>
                <w:b/>
                <w:bCs/>
                <w:szCs w:val="20"/>
                <w:lang w:eastAsia="en-US"/>
              </w:rPr>
            </w:pPr>
            <w:r w:rsidRPr="002D3529">
              <w:rPr>
                <w:rFonts w:ascii="Sabon Next LT" w:eastAsia="Calibri" w:hAnsi="Sabon Next LT" w:cs="Sabon Next LT"/>
                <w:b/>
                <w:bCs/>
                <w:szCs w:val="20"/>
                <w:lang w:eastAsia="en-US"/>
              </w:rPr>
              <w:t>RoN</w:t>
            </w:r>
          </w:p>
        </w:tc>
        <w:tc>
          <w:tcPr>
            <w:tcW w:w="1299" w:type="dxa"/>
          </w:tcPr>
          <w:p w14:paraId="6C00957A" w14:textId="77777777" w:rsidR="007C2E48" w:rsidRPr="002D3529" w:rsidRDefault="007C2E48" w:rsidP="00DE1A10">
            <w:pPr>
              <w:spacing w:after="160" w:line="259" w:lineRule="auto"/>
              <w:ind w:firstLine="0"/>
              <w:rPr>
                <w:rFonts w:ascii="Sabon Next LT" w:eastAsia="Calibri" w:hAnsi="Sabon Next LT" w:cs="Sabon Next LT"/>
                <w:b/>
                <w:bCs/>
                <w:szCs w:val="20"/>
                <w:lang w:eastAsia="en-US"/>
              </w:rPr>
            </w:pPr>
            <w:r w:rsidRPr="002D3529">
              <w:rPr>
                <w:rFonts w:ascii="Sabon Next LT" w:eastAsia="Calibri" w:hAnsi="Sabon Next LT" w:cs="Sabon Next LT"/>
                <w:b/>
                <w:bCs/>
                <w:szCs w:val="20"/>
                <w:lang w:eastAsia="en-US"/>
              </w:rPr>
              <w:t>Consistency</w:t>
            </w:r>
          </w:p>
        </w:tc>
        <w:tc>
          <w:tcPr>
            <w:tcW w:w="1324" w:type="dxa"/>
          </w:tcPr>
          <w:p w14:paraId="6D736C4B" w14:textId="77777777" w:rsidR="007C2E48" w:rsidRPr="002D3529" w:rsidRDefault="007C2E48" w:rsidP="00DE1A10">
            <w:pPr>
              <w:spacing w:after="160" w:line="259" w:lineRule="auto"/>
              <w:ind w:firstLine="0"/>
              <w:rPr>
                <w:rFonts w:ascii="Sabon Next LT" w:eastAsia="Calibri" w:hAnsi="Sabon Next LT" w:cs="Sabon Next LT"/>
                <w:b/>
                <w:bCs/>
                <w:szCs w:val="20"/>
                <w:lang w:eastAsia="en-US"/>
              </w:rPr>
            </w:pPr>
            <w:r w:rsidRPr="002D3529">
              <w:rPr>
                <w:rFonts w:ascii="Sabon Next LT" w:eastAsia="Calibri" w:hAnsi="Sabon Next LT" w:cs="Sabon Next LT"/>
                <w:b/>
                <w:bCs/>
                <w:szCs w:val="20"/>
                <w:lang w:eastAsia="en-US"/>
              </w:rPr>
              <w:t>Coverage</w:t>
            </w:r>
          </w:p>
        </w:tc>
        <w:tc>
          <w:tcPr>
            <w:tcW w:w="1139" w:type="dxa"/>
          </w:tcPr>
          <w:p w14:paraId="000E6692" w14:textId="77777777" w:rsidR="007C2E48" w:rsidRPr="002D3529" w:rsidRDefault="007C2E48" w:rsidP="00DE1A10">
            <w:pPr>
              <w:spacing w:after="160" w:line="259" w:lineRule="auto"/>
              <w:ind w:firstLine="0"/>
              <w:rPr>
                <w:rFonts w:ascii="Sabon Next LT" w:eastAsia="Calibri" w:hAnsi="Sabon Next LT" w:cs="Sabon Next LT"/>
                <w:b/>
                <w:bCs/>
                <w:szCs w:val="20"/>
                <w:lang w:eastAsia="en-US"/>
              </w:rPr>
            </w:pPr>
            <w:r w:rsidRPr="002D3529">
              <w:rPr>
                <w:rFonts w:ascii="Sabon Next LT" w:eastAsia="Calibri" w:hAnsi="Sabon Next LT" w:cs="Sabon Next LT"/>
                <w:b/>
                <w:bCs/>
                <w:szCs w:val="20"/>
                <w:lang w:eastAsia="en-US"/>
              </w:rPr>
              <w:t>RoN</w:t>
            </w:r>
          </w:p>
        </w:tc>
      </w:tr>
      <w:tr w:rsidR="007C2E48" w:rsidRPr="000D63C6" w14:paraId="033D23F0" w14:textId="77777777" w:rsidTr="00DE1A10">
        <w:tc>
          <w:tcPr>
            <w:tcW w:w="1980" w:type="dxa"/>
          </w:tcPr>
          <w:p w14:paraId="5F5B7297" w14:textId="77777777" w:rsidR="007C2E48" w:rsidRPr="002D3529" w:rsidRDefault="007C2E48" w:rsidP="00DE1A10">
            <w:pPr>
              <w:spacing w:after="160" w:line="259" w:lineRule="auto"/>
              <w:ind w:firstLine="0"/>
              <w:rPr>
                <w:rFonts w:ascii="Sabon Next LT" w:eastAsia="Calibri" w:hAnsi="Sabon Next LT" w:cs="Sabon Next LT"/>
                <w:szCs w:val="20"/>
                <w:lang w:eastAsia="en-US"/>
              </w:rPr>
            </w:pPr>
            <w:r w:rsidRPr="002D3529">
              <w:rPr>
                <w:rFonts w:ascii="Sabon Next LT" w:eastAsia="Calibri" w:hAnsi="Sabon Next LT" w:cs="Sabon Next LT"/>
                <w:szCs w:val="20"/>
                <w:lang w:eastAsia="en-US"/>
              </w:rPr>
              <w:t>POP</w:t>
            </w:r>
          </w:p>
        </w:tc>
        <w:tc>
          <w:tcPr>
            <w:tcW w:w="1030" w:type="dxa"/>
          </w:tcPr>
          <w:p w14:paraId="5247F747" w14:textId="77777777" w:rsidR="007C2E48" w:rsidRPr="002D3529" w:rsidRDefault="007C2E48" w:rsidP="00DE1A10">
            <w:pPr>
              <w:spacing w:after="160" w:line="259" w:lineRule="auto"/>
              <w:ind w:firstLine="0"/>
              <w:rPr>
                <w:rFonts w:ascii="Sabon Next LT" w:eastAsia="Calibri" w:hAnsi="Sabon Next LT" w:cs="Sabon Next LT"/>
                <w:szCs w:val="20"/>
                <w:lang w:eastAsia="en-US"/>
              </w:rPr>
            </w:pPr>
            <w:r w:rsidRPr="002D3529">
              <w:rPr>
                <w:rFonts w:ascii="Sabon Next LT" w:eastAsia="Calibri" w:hAnsi="Sabon Next LT" w:cs="Sabon Next LT"/>
                <w:szCs w:val="20"/>
                <w:lang w:eastAsia="en-US"/>
              </w:rPr>
              <w:t>0,646</w:t>
            </w:r>
          </w:p>
        </w:tc>
        <w:tc>
          <w:tcPr>
            <w:tcW w:w="1164" w:type="dxa"/>
          </w:tcPr>
          <w:p w14:paraId="2DE63244" w14:textId="77777777" w:rsidR="007C2E48" w:rsidRPr="002D3529" w:rsidRDefault="007C2E48" w:rsidP="00DE1A10">
            <w:pPr>
              <w:spacing w:after="160" w:line="259" w:lineRule="auto"/>
              <w:ind w:firstLine="0"/>
              <w:rPr>
                <w:rFonts w:ascii="Sabon Next LT" w:eastAsia="Calibri" w:hAnsi="Sabon Next LT" w:cs="Sabon Next LT"/>
                <w:szCs w:val="20"/>
                <w:lang w:eastAsia="en-US"/>
              </w:rPr>
            </w:pPr>
            <w:r w:rsidRPr="002D3529">
              <w:rPr>
                <w:rFonts w:ascii="Sabon Next LT" w:eastAsia="Calibri" w:hAnsi="Sabon Next LT" w:cs="Sabon Next LT"/>
                <w:szCs w:val="20"/>
                <w:lang w:eastAsia="en-US"/>
              </w:rPr>
              <w:t>0,569</w:t>
            </w:r>
          </w:p>
        </w:tc>
        <w:tc>
          <w:tcPr>
            <w:tcW w:w="1126" w:type="dxa"/>
          </w:tcPr>
          <w:p w14:paraId="73231B83" w14:textId="77777777" w:rsidR="007C2E48" w:rsidRPr="002D3529" w:rsidRDefault="007C2E48" w:rsidP="00DE1A10">
            <w:pPr>
              <w:spacing w:after="160" w:line="259" w:lineRule="auto"/>
              <w:ind w:firstLine="0"/>
              <w:rPr>
                <w:rFonts w:ascii="Sabon Next LT" w:eastAsia="Calibri" w:hAnsi="Sabon Next LT" w:cs="Sabon Next LT"/>
                <w:szCs w:val="20"/>
                <w:lang w:eastAsia="en-US"/>
              </w:rPr>
            </w:pPr>
            <w:r w:rsidRPr="002D3529">
              <w:rPr>
                <w:rFonts w:ascii="Sabon Next LT" w:eastAsia="Calibri" w:hAnsi="Sabon Next LT" w:cs="Sabon Next LT"/>
                <w:szCs w:val="20"/>
                <w:lang w:eastAsia="en-US"/>
              </w:rPr>
              <w:t>0,720</w:t>
            </w:r>
          </w:p>
        </w:tc>
        <w:tc>
          <w:tcPr>
            <w:tcW w:w="1299" w:type="dxa"/>
          </w:tcPr>
          <w:p w14:paraId="24E3755D" w14:textId="77777777" w:rsidR="007C2E48" w:rsidRPr="002D3529" w:rsidRDefault="007C2E48" w:rsidP="00DE1A10">
            <w:pPr>
              <w:spacing w:after="160" w:line="259" w:lineRule="auto"/>
              <w:ind w:firstLine="0"/>
              <w:rPr>
                <w:rFonts w:ascii="Sabon Next LT" w:eastAsia="Calibri" w:hAnsi="Sabon Next LT" w:cs="Sabon Next LT"/>
                <w:szCs w:val="20"/>
                <w:lang w:eastAsia="en-US"/>
              </w:rPr>
            </w:pPr>
            <w:r w:rsidRPr="002D3529">
              <w:rPr>
                <w:rFonts w:ascii="Sabon Next LT" w:eastAsia="Calibri" w:hAnsi="Sabon Next LT" w:cs="Sabon Next LT"/>
                <w:szCs w:val="20"/>
                <w:lang w:eastAsia="en-US"/>
              </w:rPr>
              <w:t>0,496</w:t>
            </w:r>
          </w:p>
        </w:tc>
        <w:tc>
          <w:tcPr>
            <w:tcW w:w="1324" w:type="dxa"/>
          </w:tcPr>
          <w:p w14:paraId="451A4587" w14:textId="77777777" w:rsidR="007C2E48" w:rsidRPr="002D3529" w:rsidRDefault="007C2E48" w:rsidP="00DE1A10">
            <w:pPr>
              <w:spacing w:after="160" w:line="259" w:lineRule="auto"/>
              <w:ind w:firstLine="0"/>
              <w:rPr>
                <w:rFonts w:ascii="Sabon Next LT" w:eastAsia="Calibri" w:hAnsi="Sabon Next LT" w:cs="Sabon Next LT"/>
                <w:szCs w:val="20"/>
                <w:lang w:eastAsia="en-US"/>
              </w:rPr>
            </w:pPr>
            <w:r w:rsidRPr="002D3529">
              <w:rPr>
                <w:rFonts w:ascii="Sabon Next LT" w:eastAsia="Calibri" w:hAnsi="Sabon Next LT" w:cs="Sabon Next LT"/>
                <w:szCs w:val="20"/>
                <w:lang w:eastAsia="en-US"/>
              </w:rPr>
              <w:t>0,610</w:t>
            </w:r>
          </w:p>
        </w:tc>
        <w:tc>
          <w:tcPr>
            <w:tcW w:w="1139" w:type="dxa"/>
          </w:tcPr>
          <w:p w14:paraId="1BEA3698" w14:textId="77777777" w:rsidR="007C2E48" w:rsidRPr="002D3529" w:rsidRDefault="007C2E48" w:rsidP="00DE1A10">
            <w:pPr>
              <w:spacing w:after="160" w:line="259" w:lineRule="auto"/>
              <w:ind w:firstLine="0"/>
              <w:rPr>
                <w:rFonts w:ascii="Sabon Next LT" w:eastAsia="Calibri" w:hAnsi="Sabon Next LT" w:cs="Sabon Next LT"/>
                <w:szCs w:val="20"/>
                <w:lang w:eastAsia="en-US"/>
              </w:rPr>
            </w:pPr>
            <w:r w:rsidRPr="002D3529">
              <w:rPr>
                <w:rFonts w:ascii="Sabon Next LT" w:eastAsia="Calibri" w:hAnsi="Sabon Next LT" w:cs="Sabon Next LT"/>
                <w:szCs w:val="20"/>
                <w:lang w:eastAsia="en-US"/>
              </w:rPr>
              <w:t>0,740</w:t>
            </w:r>
          </w:p>
        </w:tc>
      </w:tr>
      <w:tr w:rsidR="007C2E48" w:rsidRPr="000D63C6" w14:paraId="1981633A" w14:textId="77777777" w:rsidTr="00DE1A10">
        <w:tc>
          <w:tcPr>
            <w:tcW w:w="1980" w:type="dxa"/>
          </w:tcPr>
          <w:p w14:paraId="5B9862F0" w14:textId="77777777" w:rsidR="007C2E48" w:rsidRPr="002D3529" w:rsidRDefault="007C2E48" w:rsidP="00DE1A10">
            <w:pPr>
              <w:spacing w:after="160" w:line="259" w:lineRule="auto"/>
              <w:ind w:firstLine="0"/>
              <w:rPr>
                <w:rFonts w:ascii="Sabon Next LT" w:eastAsia="Calibri" w:hAnsi="Sabon Next LT" w:cs="Sabon Next LT"/>
                <w:szCs w:val="20"/>
                <w:lang w:eastAsia="en-US"/>
              </w:rPr>
            </w:pPr>
            <w:r w:rsidRPr="002D3529">
              <w:rPr>
                <w:rFonts w:ascii="Sabon Next LT" w:eastAsia="Calibri" w:hAnsi="Sabon Next LT" w:cs="Sabon Next LT"/>
                <w:szCs w:val="20"/>
                <w:lang w:eastAsia="en-US"/>
              </w:rPr>
              <w:t>POORHEALTH</w:t>
            </w:r>
          </w:p>
        </w:tc>
        <w:tc>
          <w:tcPr>
            <w:tcW w:w="1030" w:type="dxa"/>
          </w:tcPr>
          <w:p w14:paraId="0018663D" w14:textId="77777777" w:rsidR="007C2E48" w:rsidRPr="002D3529" w:rsidRDefault="007C2E48" w:rsidP="00DE1A10">
            <w:pPr>
              <w:spacing w:after="160" w:line="259" w:lineRule="auto"/>
              <w:ind w:firstLine="0"/>
              <w:rPr>
                <w:rFonts w:ascii="Sabon Next LT" w:eastAsia="Calibri" w:hAnsi="Sabon Next LT" w:cs="Sabon Next LT"/>
                <w:szCs w:val="20"/>
                <w:lang w:eastAsia="en-US"/>
              </w:rPr>
            </w:pPr>
            <w:r w:rsidRPr="002D3529">
              <w:rPr>
                <w:rFonts w:ascii="Sabon Next LT" w:eastAsia="Calibri" w:hAnsi="Sabon Next LT" w:cs="Sabon Next LT"/>
                <w:szCs w:val="20"/>
                <w:lang w:eastAsia="en-US"/>
              </w:rPr>
              <w:t>0,417</w:t>
            </w:r>
          </w:p>
        </w:tc>
        <w:tc>
          <w:tcPr>
            <w:tcW w:w="1164" w:type="dxa"/>
          </w:tcPr>
          <w:p w14:paraId="4316DC7F" w14:textId="77777777" w:rsidR="007C2E48" w:rsidRPr="002D3529" w:rsidRDefault="007C2E48" w:rsidP="00DE1A10">
            <w:pPr>
              <w:spacing w:after="160" w:line="259" w:lineRule="auto"/>
              <w:ind w:firstLine="0"/>
              <w:rPr>
                <w:rFonts w:ascii="Sabon Next LT" w:eastAsia="Calibri" w:hAnsi="Sabon Next LT" w:cs="Sabon Next LT"/>
                <w:szCs w:val="20"/>
                <w:lang w:eastAsia="en-US"/>
              </w:rPr>
            </w:pPr>
            <w:r w:rsidRPr="002D3529">
              <w:rPr>
                <w:rFonts w:ascii="Sabon Next LT" w:eastAsia="Calibri" w:hAnsi="Sabon Next LT" w:cs="Sabon Next LT"/>
                <w:szCs w:val="20"/>
                <w:lang w:eastAsia="en-US"/>
              </w:rPr>
              <w:t>0,409</w:t>
            </w:r>
          </w:p>
        </w:tc>
        <w:tc>
          <w:tcPr>
            <w:tcW w:w="1126" w:type="dxa"/>
          </w:tcPr>
          <w:p w14:paraId="5F15BFAA" w14:textId="77777777" w:rsidR="007C2E48" w:rsidRPr="002D3529" w:rsidRDefault="007C2E48" w:rsidP="00DE1A10">
            <w:pPr>
              <w:spacing w:after="160" w:line="259" w:lineRule="auto"/>
              <w:ind w:firstLine="0"/>
              <w:rPr>
                <w:rFonts w:ascii="Sabon Next LT" w:eastAsia="Calibri" w:hAnsi="Sabon Next LT" w:cs="Sabon Next LT"/>
                <w:szCs w:val="20"/>
                <w:lang w:eastAsia="en-US"/>
              </w:rPr>
            </w:pPr>
            <w:r w:rsidRPr="002D3529">
              <w:rPr>
                <w:rFonts w:ascii="Sabon Next LT" w:eastAsia="Calibri" w:hAnsi="Sabon Next LT" w:cs="Sabon Next LT"/>
                <w:szCs w:val="20"/>
                <w:lang w:eastAsia="en-US"/>
              </w:rPr>
              <w:t>0,696</w:t>
            </w:r>
          </w:p>
        </w:tc>
        <w:tc>
          <w:tcPr>
            <w:tcW w:w="1299" w:type="dxa"/>
          </w:tcPr>
          <w:p w14:paraId="6066C7D4" w14:textId="77777777" w:rsidR="007C2E48" w:rsidRPr="002D3529" w:rsidRDefault="007C2E48" w:rsidP="00DE1A10">
            <w:pPr>
              <w:spacing w:after="160" w:line="259" w:lineRule="auto"/>
              <w:ind w:firstLine="0"/>
              <w:rPr>
                <w:rFonts w:ascii="Sabon Next LT" w:eastAsia="Calibri" w:hAnsi="Sabon Next LT" w:cs="Sabon Next LT"/>
                <w:szCs w:val="20"/>
                <w:lang w:eastAsia="en-US"/>
              </w:rPr>
            </w:pPr>
            <w:r w:rsidRPr="002D3529">
              <w:rPr>
                <w:rFonts w:ascii="Sabon Next LT" w:eastAsia="Calibri" w:hAnsi="Sabon Next LT" w:cs="Sabon Next LT"/>
                <w:szCs w:val="20"/>
                <w:lang w:eastAsia="en-US"/>
              </w:rPr>
              <w:t>0,606</w:t>
            </w:r>
          </w:p>
        </w:tc>
        <w:tc>
          <w:tcPr>
            <w:tcW w:w="1324" w:type="dxa"/>
          </w:tcPr>
          <w:p w14:paraId="620CFF82" w14:textId="77777777" w:rsidR="007C2E48" w:rsidRPr="002D3529" w:rsidRDefault="007C2E48" w:rsidP="00DE1A10">
            <w:pPr>
              <w:spacing w:after="160" w:line="259" w:lineRule="auto"/>
              <w:ind w:firstLine="0"/>
              <w:rPr>
                <w:rFonts w:ascii="Sabon Next LT" w:eastAsia="Calibri" w:hAnsi="Sabon Next LT" w:cs="Sabon Next LT"/>
                <w:szCs w:val="20"/>
                <w:lang w:eastAsia="en-US"/>
              </w:rPr>
            </w:pPr>
            <w:r w:rsidRPr="002D3529">
              <w:rPr>
                <w:rFonts w:ascii="Sabon Next LT" w:eastAsia="Calibri" w:hAnsi="Sabon Next LT" w:cs="Sabon Next LT"/>
                <w:szCs w:val="20"/>
                <w:lang w:eastAsia="en-US"/>
              </w:rPr>
              <w:t>0,830</w:t>
            </w:r>
          </w:p>
        </w:tc>
        <w:tc>
          <w:tcPr>
            <w:tcW w:w="1139" w:type="dxa"/>
          </w:tcPr>
          <w:p w14:paraId="27B302DB" w14:textId="77777777" w:rsidR="007C2E48" w:rsidRPr="002D3529" w:rsidRDefault="007C2E48" w:rsidP="00DE1A10">
            <w:pPr>
              <w:spacing w:after="160" w:line="259" w:lineRule="auto"/>
              <w:ind w:firstLine="0"/>
              <w:rPr>
                <w:rFonts w:ascii="Sabon Next LT" w:eastAsia="Calibri" w:hAnsi="Sabon Next LT" w:cs="Sabon Next LT"/>
                <w:szCs w:val="20"/>
                <w:lang w:eastAsia="en-US"/>
              </w:rPr>
            </w:pPr>
            <w:r w:rsidRPr="002D3529">
              <w:rPr>
                <w:rFonts w:ascii="Sabon Next LT" w:eastAsia="Calibri" w:hAnsi="Sabon Next LT" w:cs="Sabon Next LT"/>
                <w:szCs w:val="20"/>
                <w:lang w:eastAsia="en-US"/>
              </w:rPr>
              <w:t>0,888</w:t>
            </w:r>
          </w:p>
        </w:tc>
      </w:tr>
      <w:tr w:rsidR="007C2E48" w:rsidRPr="000D63C6" w14:paraId="7DE9916F" w14:textId="77777777" w:rsidTr="00DE1A10">
        <w:tc>
          <w:tcPr>
            <w:tcW w:w="1980" w:type="dxa"/>
          </w:tcPr>
          <w:p w14:paraId="13C86F7B" w14:textId="77777777" w:rsidR="007C2E48" w:rsidRPr="002D3529" w:rsidRDefault="007C2E48" w:rsidP="00DE1A10">
            <w:pPr>
              <w:spacing w:after="160" w:line="259" w:lineRule="auto"/>
              <w:ind w:firstLine="0"/>
              <w:rPr>
                <w:rFonts w:ascii="Sabon Next LT" w:eastAsia="Calibri" w:hAnsi="Sabon Next LT" w:cs="Sabon Next LT"/>
                <w:szCs w:val="20"/>
                <w:lang w:eastAsia="en-US"/>
              </w:rPr>
            </w:pPr>
            <w:r w:rsidRPr="002D3529">
              <w:rPr>
                <w:rFonts w:ascii="Sabon Next LT" w:eastAsia="Calibri" w:hAnsi="Sabon Next LT" w:cs="Sabon Next LT"/>
                <w:szCs w:val="20"/>
                <w:lang w:eastAsia="en-US"/>
              </w:rPr>
              <w:t>AFFL</w:t>
            </w:r>
          </w:p>
        </w:tc>
        <w:tc>
          <w:tcPr>
            <w:tcW w:w="1030" w:type="dxa"/>
          </w:tcPr>
          <w:p w14:paraId="0B697922" w14:textId="77777777" w:rsidR="007C2E48" w:rsidRPr="002D3529" w:rsidRDefault="007C2E48" w:rsidP="00DE1A10">
            <w:pPr>
              <w:spacing w:after="160" w:line="259" w:lineRule="auto"/>
              <w:ind w:firstLine="0"/>
              <w:rPr>
                <w:rFonts w:ascii="Sabon Next LT" w:eastAsia="Calibri" w:hAnsi="Sabon Next LT" w:cs="Sabon Next LT"/>
                <w:szCs w:val="20"/>
                <w:lang w:eastAsia="en-US"/>
              </w:rPr>
            </w:pPr>
            <w:r w:rsidRPr="002D3529">
              <w:rPr>
                <w:rFonts w:ascii="Sabon Next LT" w:eastAsia="Calibri" w:hAnsi="Sabon Next LT" w:cs="Sabon Next LT"/>
                <w:szCs w:val="20"/>
                <w:lang w:eastAsia="en-US"/>
              </w:rPr>
              <w:t>0,578</w:t>
            </w:r>
          </w:p>
        </w:tc>
        <w:tc>
          <w:tcPr>
            <w:tcW w:w="1164" w:type="dxa"/>
          </w:tcPr>
          <w:p w14:paraId="6858D0B6" w14:textId="77777777" w:rsidR="007C2E48" w:rsidRPr="002D3529" w:rsidRDefault="007C2E48" w:rsidP="00DE1A10">
            <w:pPr>
              <w:spacing w:after="160" w:line="259" w:lineRule="auto"/>
              <w:ind w:firstLine="0"/>
              <w:rPr>
                <w:rFonts w:ascii="Sabon Next LT" w:eastAsia="Calibri" w:hAnsi="Sabon Next LT" w:cs="Sabon Next LT"/>
                <w:szCs w:val="20"/>
                <w:lang w:eastAsia="en-US"/>
              </w:rPr>
            </w:pPr>
            <w:r w:rsidRPr="002D3529">
              <w:rPr>
                <w:rFonts w:ascii="Sabon Next LT" w:eastAsia="Calibri" w:hAnsi="Sabon Next LT" w:cs="Sabon Next LT"/>
                <w:szCs w:val="20"/>
                <w:lang w:eastAsia="en-US"/>
              </w:rPr>
              <w:t>0,500</w:t>
            </w:r>
          </w:p>
        </w:tc>
        <w:tc>
          <w:tcPr>
            <w:tcW w:w="1126" w:type="dxa"/>
          </w:tcPr>
          <w:p w14:paraId="324BBB46" w14:textId="77777777" w:rsidR="007C2E48" w:rsidRPr="002D3529" w:rsidRDefault="007C2E48" w:rsidP="00DE1A10">
            <w:pPr>
              <w:spacing w:after="160" w:line="259" w:lineRule="auto"/>
              <w:ind w:firstLine="0"/>
              <w:rPr>
                <w:rFonts w:ascii="Sabon Next LT" w:eastAsia="Calibri" w:hAnsi="Sabon Next LT" w:cs="Sabon Next LT"/>
                <w:szCs w:val="20"/>
                <w:lang w:eastAsia="en-US"/>
              </w:rPr>
            </w:pPr>
            <w:r w:rsidRPr="002D3529">
              <w:rPr>
                <w:rFonts w:ascii="Sabon Next LT" w:eastAsia="Calibri" w:hAnsi="Sabon Next LT" w:cs="Sabon Next LT"/>
                <w:szCs w:val="20"/>
                <w:lang w:eastAsia="en-US"/>
              </w:rPr>
              <w:t>0,682</w:t>
            </w:r>
          </w:p>
        </w:tc>
        <w:tc>
          <w:tcPr>
            <w:tcW w:w="1299" w:type="dxa"/>
          </w:tcPr>
          <w:p w14:paraId="1E5C2826" w14:textId="77777777" w:rsidR="007C2E48" w:rsidRPr="002D3529" w:rsidRDefault="007C2E48" w:rsidP="00DE1A10">
            <w:pPr>
              <w:spacing w:after="160" w:line="259" w:lineRule="auto"/>
              <w:ind w:firstLine="0"/>
              <w:rPr>
                <w:rFonts w:ascii="Sabon Next LT" w:eastAsia="Calibri" w:hAnsi="Sabon Next LT" w:cs="Sabon Next LT"/>
                <w:szCs w:val="20"/>
                <w:lang w:eastAsia="en-US"/>
              </w:rPr>
            </w:pPr>
            <w:r w:rsidRPr="002D3529">
              <w:rPr>
                <w:rFonts w:ascii="Sabon Next LT" w:eastAsia="Calibri" w:hAnsi="Sabon Next LT" w:cs="Sabon Next LT"/>
                <w:szCs w:val="20"/>
                <w:lang w:eastAsia="en-US"/>
              </w:rPr>
              <w:t xml:space="preserve">0,481   </w:t>
            </w:r>
          </w:p>
        </w:tc>
        <w:tc>
          <w:tcPr>
            <w:tcW w:w="1324" w:type="dxa"/>
          </w:tcPr>
          <w:p w14:paraId="507D0ABA" w14:textId="77777777" w:rsidR="007C2E48" w:rsidRPr="002D3529" w:rsidRDefault="007C2E48" w:rsidP="00DE1A10">
            <w:pPr>
              <w:spacing w:after="160" w:line="259" w:lineRule="auto"/>
              <w:ind w:firstLine="0"/>
              <w:rPr>
                <w:rFonts w:ascii="Sabon Next LT" w:eastAsia="Calibri" w:hAnsi="Sabon Next LT" w:cs="Sabon Next LT"/>
                <w:szCs w:val="20"/>
                <w:lang w:eastAsia="en-US"/>
              </w:rPr>
            </w:pPr>
            <w:r w:rsidRPr="002D3529">
              <w:rPr>
                <w:rFonts w:ascii="Sabon Next LT" w:eastAsia="Calibri" w:hAnsi="Sabon Next LT" w:cs="Sabon Next LT"/>
                <w:szCs w:val="20"/>
                <w:lang w:eastAsia="en-US"/>
              </w:rPr>
              <w:t>0,580</w:t>
            </w:r>
          </w:p>
        </w:tc>
        <w:tc>
          <w:tcPr>
            <w:tcW w:w="1139" w:type="dxa"/>
          </w:tcPr>
          <w:p w14:paraId="68116200" w14:textId="77777777" w:rsidR="007C2E48" w:rsidRPr="002D3529" w:rsidRDefault="007C2E48" w:rsidP="00DE1A10">
            <w:pPr>
              <w:spacing w:after="160" w:line="259" w:lineRule="auto"/>
              <w:ind w:firstLine="0"/>
              <w:rPr>
                <w:rFonts w:ascii="Sabon Next LT" w:eastAsia="Calibri" w:hAnsi="Sabon Next LT" w:cs="Sabon Next LT"/>
                <w:szCs w:val="20"/>
                <w:lang w:eastAsia="en-US"/>
              </w:rPr>
            </w:pPr>
            <w:r w:rsidRPr="002D3529">
              <w:rPr>
                <w:rFonts w:ascii="Sabon Next LT" w:eastAsia="Calibri" w:hAnsi="Sabon Next LT" w:cs="Sabon Next LT"/>
                <w:szCs w:val="20"/>
                <w:lang w:eastAsia="en-US"/>
              </w:rPr>
              <w:t>0,718</w:t>
            </w:r>
          </w:p>
        </w:tc>
      </w:tr>
      <w:tr w:rsidR="007C2E48" w:rsidRPr="000D63C6" w14:paraId="78C738CE" w14:textId="77777777" w:rsidTr="00DE1A10">
        <w:tc>
          <w:tcPr>
            <w:tcW w:w="1980" w:type="dxa"/>
          </w:tcPr>
          <w:p w14:paraId="047D3DB3" w14:textId="77777777" w:rsidR="007C2E48" w:rsidRPr="002D3529" w:rsidRDefault="007C2E48" w:rsidP="00DE1A10">
            <w:pPr>
              <w:spacing w:after="160" w:line="259" w:lineRule="auto"/>
              <w:ind w:firstLine="0"/>
              <w:rPr>
                <w:rFonts w:ascii="Sabon Next LT" w:eastAsia="Calibri" w:hAnsi="Sabon Next LT" w:cs="Sabon Next LT"/>
                <w:szCs w:val="20"/>
                <w:lang w:eastAsia="en-US"/>
              </w:rPr>
            </w:pPr>
            <w:r w:rsidRPr="002D3529">
              <w:rPr>
                <w:rFonts w:ascii="Sabon Next LT" w:eastAsia="Calibri" w:hAnsi="Sabon Next LT" w:cs="Sabon Next LT"/>
                <w:szCs w:val="20"/>
                <w:lang w:eastAsia="en-US"/>
              </w:rPr>
              <w:t>WMR</w:t>
            </w:r>
          </w:p>
        </w:tc>
        <w:tc>
          <w:tcPr>
            <w:tcW w:w="1030" w:type="dxa"/>
          </w:tcPr>
          <w:p w14:paraId="53B49E92" w14:textId="77777777" w:rsidR="007C2E48" w:rsidRPr="002D3529" w:rsidRDefault="007C2E48" w:rsidP="00DE1A10">
            <w:pPr>
              <w:spacing w:after="160" w:line="259" w:lineRule="auto"/>
              <w:ind w:firstLine="0"/>
              <w:rPr>
                <w:rFonts w:ascii="Sabon Next LT" w:eastAsia="Calibri" w:hAnsi="Sabon Next LT" w:cs="Sabon Next LT"/>
                <w:szCs w:val="20"/>
                <w:lang w:eastAsia="en-US"/>
              </w:rPr>
            </w:pPr>
            <w:r w:rsidRPr="002D3529">
              <w:rPr>
                <w:rFonts w:ascii="Sabon Next LT" w:eastAsia="Calibri" w:hAnsi="Sabon Next LT" w:cs="Sabon Next LT"/>
                <w:szCs w:val="20"/>
                <w:lang w:eastAsia="en-US"/>
              </w:rPr>
              <w:t>0,651</w:t>
            </w:r>
          </w:p>
        </w:tc>
        <w:tc>
          <w:tcPr>
            <w:tcW w:w="1164" w:type="dxa"/>
          </w:tcPr>
          <w:p w14:paraId="533416C3" w14:textId="77777777" w:rsidR="007C2E48" w:rsidRPr="002D3529" w:rsidRDefault="007C2E48" w:rsidP="00DE1A10">
            <w:pPr>
              <w:spacing w:after="160" w:line="259" w:lineRule="auto"/>
              <w:ind w:firstLine="0"/>
              <w:rPr>
                <w:rFonts w:ascii="Sabon Next LT" w:eastAsia="Calibri" w:hAnsi="Sabon Next LT" w:cs="Sabon Next LT"/>
                <w:szCs w:val="20"/>
                <w:lang w:eastAsia="en-US"/>
              </w:rPr>
            </w:pPr>
            <w:r w:rsidRPr="002D3529">
              <w:rPr>
                <w:rFonts w:ascii="Sabon Next LT" w:eastAsia="Calibri" w:hAnsi="Sabon Next LT" w:cs="Sabon Next LT"/>
                <w:szCs w:val="20"/>
                <w:lang w:eastAsia="en-US"/>
              </w:rPr>
              <w:t>0,587</w:t>
            </w:r>
          </w:p>
        </w:tc>
        <w:tc>
          <w:tcPr>
            <w:tcW w:w="1126" w:type="dxa"/>
          </w:tcPr>
          <w:p w14:paraId="105A1ADF" w14:textId="77777777" w:rsidR="007C2E48" w:rsidRPr="002D3529" w:rsidRDefault="007C2E48" w:rsidP="00DE1A10">
            <w:pPr>
              <w:spacing w:after="160" w:line="259" w:lineRule="auto"/>
              <w:ind w:firstLine="0"/>
              <w:rPr>
                <w:rFonts w:ascii="Sabon Next LT" w:eastAsia="Calibri" w:hAnsi="Sabon Next LT" w:cs="Sabon Next LT"/>
                <w:szCs w:val="20"/>
                <w:lang w:eastAsia="en-US"/>
              </w:rPr>
            </w:pPr>
            <w:r w:rsidRPr="002D3529">
              <w:rPr>
                <w:rFonts w:ascii="Sabon Next LT" w:eastAsia="Calibri" w:hAnsi="Sabon Next LT" w:cs="Sabon Next LT"/>
                <w:szCs w:val="20"/>
                <w:lang w:eastAsia="en-US"/>
              </w:rPr>
              <w:t>0,737</w:t>
            </w:r>
          </w:p>
        </w:tc>
        <w:tc>
          <w:tcPr>
            <w:tcW w:w="1299" w:type="dxa"/>
          </w:tcPr>
          <w:p w14:paraId="6BC5A34B" w14:textId="77777777" w:rsidR="007C2E48" w:rsidRPr="002D3529" w:rsidRDefault="007C2E48" w:rsidP="00DE1A10">
            <w:pPr>
              <w:spacing w:after="160" w:line="259" w:lineRule="auto"/>
              <w:ind w:firstLine="0"/>
              <w:rPr>
                <w:rFonts w:ascii="Sabon Next LT" w:eastAsia="Calibri" w:hAnsi="Sabon Next LT" w:cs="Sabon Next LT"/>
                <w:szCs w:val="20"/>
                <w:lang w:eastAsia="en-US"/>
              </w:rPr>
            </w:pPr>
            <w:r w:rsidRPr="002D3529">
              <w:rPr>
                <w:rFonts w:ascii="Sabon Next LT" w:eastAsia="Calibri" w:hAnsi="Sabon Next LT" w:cs="Sabon Next LT"/>
                <w:szCs w:val="20"/>
                <w:lang w:eastAsia="en-US"/>
              </w:rPr>
              <w:t>0,442</w:t>
            </w:r>
          </w:p>
        </w:tc>
        <w:tc>
          <w:tcPr>
            <w:tcW w:w="1324" w:type="dxa"/>
          </w:tcPr>
          <w:p w14:paraId="18165CA0" w14:textId="77777777" w:rsidR="007C2E48" w:rsidRPr="002D3529" w:rsidRDefault="007C2E48" w:rsidP="00DE1A10">
            <w:pPr>
              <w:spacing w:after="160" w:line="259" w:lineRule="auto"/>
              <w:ind w:firstLine="0"/>
              <w:rPr>
                <w:rFonts w:ascii="Sabon Next LT" w:eastAsia="Calibri" w:hAnsi="Sabon Next LT" w:cs="Sabon Next LT"/>
                <w:szCs w:val="20"/>
                <w:lang w:eastAsia="en-US"/>
              </w:rPr>
            </w:pPr>
            <w:r w:rsidRPr="002D3529">
              <w:rPr>
                <w:rFonts w:ascii="Sabon Next LT" w:eastAsia="Calibri" w:hAnsi="Sabon Next LT" w:cs="Sabon Next LT"/>
                <w:szCs w:val="20"/>
                <w:lang w:eastAsia="en-US"/>
              </w:rPr>
              <w:t>0,556</w:t>
            </w:r>
          </w:p>
        </w:tc>
        <w:tc>
          <w:tcPr>
            <w:tcW w:w="1139" w:type="dxa"/>
          </w:tcPr>
          <w:p w14:paraId="2CEC1AA7" w14:textId="77777777" w:rsidR="007C2E48" w:rsidRPr="002D3529" w:rsidRDefault="007C2E48" w:rsidP="00DE1A10">
            <w:pPr>
              <w:spacing w:after="160" w:line="259" w:lineRule="auto"/>
              <w:ind w:firstLine="0"/>
              <w:rPr>
                <w:rFonts w:ascii="Sabon Next LT" w:eastAsia="Calibri" w:hAnsi="Sabon Next LT" w:cs="Sabon Next LT"/>
                <w:szCs w:val="20"/>
                <w:lang w:eastAsia="en-US"/>
              </w:rPr>
            </w:pPr>
            <w:r w:rsidRPr="002D3529">
              <w:rPr>
                <w:rFonts w:ascii="Sabon Next LT" w:eastAsia="Calibri" w:hAnsi="Sabon Next LT" w:cs="Sabon Next LT"/>
                <w:szCs w:val="20"/>
                <w:lang w:eastAsia="en-US"/>
              </w:rPr>
              <w:t>0,723</w:t>
            </w:r>
          </w:p>
        </w:tc>
      </w:tr>
      <w:tr w:rsidR="007C2E48" w:rsidRPr="000D63C6" w14:paraId="54D233D5" w14:textId="77777777" w:rsidTr="00DE1A10">
        <w:tc>
          <w:tcPr>
            <w:tcW w:w="1980" w:type="dxa"/>
          </w:tcPr>
          <w:p w14:paraId="0DDB2343" w14:textId="77777777" w:rsidR="007C2E48" w:rsidRPr="002D3529" w:rsidRDefault="007C2E48" w:rsidP="00DE1A10">
            <w:pPr>
              <w:spacing w:after="160" w:line="259" w:lineRule="auto"/>
              <w:ind w:firstLine="0"/>
              <w:rPr>
                <w:rFonts w:ascii="Sabon Next LT" w:eastAsia="Calibri" w:hAnsi="Sabon Next LT" w:cs="Sabon Next LT"/>
                <w:szCs w:val="20"/>
                <w:lang w:eastAsia="en-US"/>
              </w:rPr>
            </w:pPr>
            <w:r w:rsidRPr="002D3529">
              <w:rPr>
                <w:rFonts w:ascii="Sabon Next LT" w:eastAsia="Calibri" w:hAnsi="Sabon Next LT" w:cs="Sabon Next LT"/>
                <w:szCs w:val="20"/>
                <w:lang w:eastAsia="en-US"/>
              </w:rPr>
              <w:t>SOCAP</w:t>
            </w:r>
          </w:p>
        </w:tc>
        <w:tc>
          <w:tcPr>
            <w:tcW w:w="1030" w:type="dxa"/>
          </w:tcPr>
          <w:p w14:paraId="2AE46E86" w14:textId="77777777" w:rsidR="007C2E48" w:rsidRPr="002D3529" w:rsidRDefault="007C2E48" w:rsidP="00DE1A10">
            <w:pPr>
              <w:spacing w:after="160" w:line="259" w:lineRule="auto"/>
              <w:ind w:firstLine="0"/>
              <w:rPr>
                <w:rFonts w:ascii="Sabon Next LT" w:eastAsia="Calibri" w:hAnsi="Sabon Next LT" w:cs="Sabon Next LT"/>
                <w:szCs w:val="20"/>
                <w:lang w:eastAsia="en-US"/>
              </w:rPr>
            </w:pPr>
            <w:r w:rsidRPr="002D3529">
              <w:rPr>
                <w:rFonts w:ascii="Sabon Next LT" w:eastAsia="Calibri" w:hAnsi="Sabon Next LT" w:cs="Sabon Next LT"/>
                <w:szCs w:val="20"/>
                <w:lang w:eastAsia="en-US"/>
              </w:rPr>
              <w:t>0,872</w:t>
            </w:r>
          </w:p>
        </w:tc>
        <w:tc>
          <w:tcPr>
            <w:tcW w:w="1164" w:type="dxa"/>
          </w:tcPr>
          <w:p w14:paraId="1870D277" w14:textId="77777777" w:rsidR="007C2E48" w:rsidRPr="002D3529" w:rsidRDefault="007C2E48" w:rsidP="00DE1A10">
            <w:pPr>
              <w:spacing w:after="160" w:line="259" w:lineRule="auto"/>
              <w:ind w:firstLine="0"/>
              <w:rPr>
                <w:rFonts w:ascii="Sabon Next LT" w:eastAsia="Calibri" w:hAnsi="Sabon Next LT" w:cs="Sabon Next LT"/>
                <w:szCs w:val="20"/>
                <w:lang w:eastAsia="en-US"/>
              </w:rPr>
            </w:pPr>
            <w:r w:rsidRPr="002D3529">
              <w:rPr>
                <w:rFonts w:ascii="Sabon Next LT" w:eastAsia="Calibri" w:hAnsi="Sabon Next LT" w:cs="Sabon Next LT"/>
                <w:szCs w:val="20"/>
                <w:lang w:eastAsia="en-US"/>
              </w:rPr>
              <w:t>0,567</w:t>
            </w:r>
          </w:p>
        </w:tc>
        <w:tc>
          <w:tcPr>
            <w:tcW w:w="1126" w:type="dxa"/>
          </w:tcPr>
          <w:p w14:paraId="3B46D328" w14:textId="77777777" w:rsidR="007C2E48" w:rsidRPr="002D3529" w:rsidRDefault="007C2E48" w:rsidP="00DE1A10">
            <w:pPr>
              <w:spacing w:after="160" w:line="259" w:lineRule="auto"/>
              <w:ind w:firstLine="0"/>
              <w:rPr>
                <w:rFonts w:ascii="Sabon Next LT" w:eastAsia="Calibri" w:hAnsi="Sabon Next LT" w:cs="Sabon Next LT"/>
                <w:szCs w:val="20"/>
                <w:lang w:eastAsia="en-US"/>
              </w:rPr>
            </w:pPr>
            <w:r w:rsidRPr="002D3529">
              <w:rPr>
                <w:rFonts w:ascii="Sabon Next LT" w:eastAsia="Calibri" w:hAnsi="Sabon Next LT" w:cs="Sabon Next LT"/>
                <w:szCs w:val="20"/>
                <w:lang w:eastAsia="en-US"/>
              </w:rPr>
              <w:t>0,562</w:t>
            </w:r>
          </w:p>
        </w:tc>
        <w:tc>
          <w:tcPr>
            <w:tcW w:w="1299" w:type="dxa"/>
          </w:tcPr>
          <w:p w14:paraId="271F7AA7" w14:textId="77777777" w:rsidR="007C2E48" w:rsidRPr="002D3529" w:rsidRDefault="007C2E48" w:rsidP="00DE1A10">
            <w:pPr>
              <w:spacing w:after="160" w:line="259" w:lineRule="auto"/>
              <w:ind w:firstLine="0"/>
              <w:rPr>
                <w:rFonts w:ascii="Sabon Next LT" w:eastAsia="Calibri" w:hAnsi="Sabon Next LT" w:cs="Sabon Next LT"/>
                <w:szCs w:val="20"/>
                <w:lang w:eastAsia="en-US"/>
              </w:rPr>
            </w:pPr>
            <w:r w:rsidRPr="002D3529">
              <w:rPr>
                <w:rFonts w:ascii="Sabon Next LT" w:eastAsia="Calibri" w:hAnsi="Sabon Next LT" w:cs="Sabon Next LT"/>
                <w:szCs w:val="20"/>
                <w:lang w:eastAsia="en-US"/>
              </w:rPr>
              <w:t>0,639</w:t>
            </w:r>
          </w:p>
        </w:tc>
        <w:tc>
          <w:tcPr>
            <w:tcW w:w="1324" w:type="dxa"/>
          </w:tcPr>
          <w:p w14:paraId="7DB11954" w14:textId="77777777" w:rsidR="007C2E48" w:rsidRPr="002D3529" w:rsidRDefault="007C2E48" w:rsidP="00DE1A10">
            <w:pPr>
              <w:spacing w:after="160" w:line="259" w:lineRule="auto"/>
              <w:ind w:firstLine="0"/>
              <w:rPr>
                <w:rFonts w:ascii="Sabon Next LT" w:eastAsia="Calibri" w:hAnsi="Sabon Next LT" w:cs="Sabon Next LT"/>
                <w:szCs w:val="20"/>
                <w:lang w:eastAsia="en-US"/>
              </w:rPr>
            </w:pPr>
            <w:r w:rsidRPr="002D3529">
              <w:rPr>
                <w:rFonts w:ascii="Sabon Next LT" w:eastAsia="Calibri" w:hAnsi="Sabon Next LT" w:cs="Sabon Next LT"/>
                <w:szCs w:val="20"/>
                <w:lang w:eastAsia="en-US"/>
              </w:rPr>
              <w:t>0,579</w:t>
            </w:r>
          </w:p>
        </w:tc>
        <w:tc>
          <w:tcPr>
            <w:tcW w:w="1139" w:type="dxa"/>
          </w:tcPr>
          <w:p w14:paraId="0E25A25B" w14:textId="77777777" w:rsidR="007C2E48" w:rsidRPr="002D3529" w:rsidRDefault="007C2E48" w:rsidP="00DE1A10">
            <w:pPr>
              <w:spacing w:after="160" w:line="259" w:lineRule="auto"/>
              <w:ind w:firstLine="0"/>
              <w:rPr>
                <w:rFonts w:ascii="Sabon Next LT" w:eastAsia="Calibri" w:hAnsi="Sabon Next LT" w:cs="Sabon Next LT"/>
                <w:szCs w:val="20"/>
                <w:lang w:eastAsia="en-US"/>
              </w:rPr>
            </w:pPr>
            <w:r w:rsidRPr="002D3529">
              <w:rPr>
                <w:rFonts w:ascii="Sabon Next LT" w:eastAsia="Calibri" w:hAnsi="Sabon Next LT" w:cs="Sabon Next LT"/>
                <w:szCs w:val="20"/>
                <w:lang w:eastAsia="en-US"/>
              </w:rPr>
              <w:t>0,570</w:t>
            </w:r>
          </w:p>
        </w:tc>
      </w:tr>
      <w:tr w:rsidR="007C2E48" w:rsidRPr="000D63C6" w14:paraId="45CA418F" w14:textId="77777777" w:rsidTr="00DE1A10">
        <w:tc>
          <w:tcPr>
            <w:tcW w:w="1980" w:type="dxa"/>
          </w:tcPr>
          <w:p w14:paraId="1F1B43C1" w14:textId="77777777" w:rsidR="007C2E48" w:rsidRPr="002D3529" w:rsidRDefault="007C2E48" w:rsidP="00DE1A10">
            <w:pPr>
              <w:spacing w:after="160" w:line="259" w:lineRule="auto"/>
              <w:ind w:firstLine="0"/>
              <w:rPr>
                <w:rFonts w:ascii="Sabon Next LT" w:eastAsia="Calibri" w:hAnsi="Sabon Next LT" w:cs="Sabon Next LT"/>
                <w:szCs w:val="20"/>
                <w:lang w:eastAsia="en-US"/>
              </w:rPr>
            </w:pPr>
            <w:r w:rsidRPr="002D3529">
              <w:rPr>
                <w:rFonts w:ascii="Sabon Next LT" w:eastAsia="Calibri" w:hAnsi="Sabon Next LT" w:cs="Sabon Next LT"/>
                <w:szCs w:val="20"/>
                <w:lang w:eastAsia="en-US"/>
              </w:rPr>
              <w:t>~POP</w:t>
            </w:r>
          </w:p>
        </w:tc>
        <w:tc>
          <w:tcPr>
            <w:tcW w:w="1030" w:type="dxa"/>
          </w:tcPr>
          <w:p w14:paraId="740300A0" w14:textId="77777777" w:rsidR="007C2E48" w:rsidRPr="002D3529" w:rsidRDefault="007C2E48" w:rsidP="00DE1A10">
            <w:pPr>
              <w:spacing w:after="160" w:line="259" w:lineRule="auto"/>
              <w:ind w:firstLine="0"/>
              <w:rPr>
                <w:rFonts w:ascii="Sabon Next LT" w:eastAsia="Calibri" w:hAnsi="Sabon Next LT" w:cs="Sabon Next LT"/>
                <w:szCs w:val="20"/>
                <w:lang w:eastAsia="en-US"/>
              </w:rPr>
            </w:pPr>
            <w:r w:rsidRPr="002D3529">
              <w:rPr>
                <w:rFonts w:ascii="Sabon Next LT" w:eastAsia="Calibri" w:hAnsi="Sabon Next LT" w:cs="Sabon Next LT"/>
                <w:szCs w:val="20"/>
                <w:lang w:eastAsia="en-US"/>
              </w:rPr>
              <w:t xml:space="preserve">0,557   </w:t>
            </w:r>
          </w:p>
        </w:tc>
        <w:tc>
          <w:tcPr>
            <w:tcW w:w="1164" w:type="dxa"/>
          </w:tcPr>
          <w:p w14:paraId="323BFF33" w14:textId="77777777" w:rsidR="007C2E48" w:rsidRPr="002D3529" w:rsidRDefault="007C2E48" w:rsidP="00DE1A10">
            <w:pPr>
              <w:spacing w:after="160" w:line="259" w:lineRule="auto"/>
              <w:ind w:firstLine="0"/>
              <w:rPr>
                <w:rFonts w:ascii="Sabon Next LT" w:eastAsia="Calibri" w:hAnsi="Sabon Next LT" w:cs="Sabon Next LT"/>
                <w:szCs w:val="20"/>
                <w:lang w:eastAsia="en-US"/>
              </w:rPr>
            </w:pPr>
            <w:r w:rsidRPr="002D3529">
              <w:rPr>
                <w:rFonts w:ascii="Sabon Next LT" w:eastAsia="Calibri" w:hAnsi="Sabon Next LT" w:cs="Sabon Next LT"/>
                <w:szCs w:val="20"/>
                <w:lang w:eastAsia="en-US"/>
              </w:rPr>
              <w:t>0,442</w:t>
            </w:r>
          </w:p>
        </w:tc>
        <w:tc>
          <w:tcPr>
            <w:tcW w:w="1126" w:type="dxa"/>
          </w:tcPr>
          <w:p w14:paraId="42BA11C8" w14:textId="77777777" w:rsidR="007C2E48" w:rsidRPr="002D3529" w:rsidRDefault="007C2E48" w:rsidP="00DE1A10">
            <w:pPr>
              <w:spacing w:after="160" w:line="259" w:lineRule="auto"/>
              <w:ind w:firstLine="0"/>
              <w:rPr>
                <w:rFonts w:ascii="Sabon Next LT" w:eastAsia="Calibri" w:hAnsi="Sabon Next LT" w:cs="Sabon Next LT"/>
                <w:szCs w:val="20"/>
                <w:lang w:eastAsia="en-US"/>
              </w:rPr>
            </w:pPr>
            <w:r w:rsidRPr="002D3529">
              <w:rPr>
                <w:rFonts w:ascii="Sabon Next LT" w:eastAsia="Calibri" w:hAnsi="Sabon Next LT" w:cs="Sabon Next LT"/>
                <w:szCs w:val="20"/>
                <w:lang w:eastAsia="en-US"/>
              </w:rPr>
              <w:t>0,618</w:t>
            </w:r>
          </w:p>
        </w:tc>
        <w:tc>
          <w:tcPr>
            <w:tcW w:w="1299" w:type="dxa"/>
          </w:tcPr>
          <w:p w14:paraId="7748FFB8" w14:textId="77777777" w:rsidR="007C2E48" w:rsidRPr="002D3529" w:rsidRDefault="007C2E48" w:rsidP="00DE1A10">
            <w:pPr>
              <w:spacing w:after="160" w:line="259" w:lineRule="auto"/>
              <w:ind w:firstLine="0"/>
              <w:rPr>
                <w:rFonts w:ascii="Sabon Next LT" w:eastAsia="Calibri" w:hAnsi="Sabon Next LT" w:cs="Sabon Next LT"/>
                <w:szCs w:val="20"/>
                <w:lang w:eastAsia="en-US"/>
              </w:rPr>
            </w:pPr>
            <w:r w:rsidRPr="002D3529">
              <w:rPr>
                <w:rFonts w:ascii="Sabon Next LT" w:eastAsia="Calibri" w:hAnsi="Sabon Next LT" w:cs="Sabon Next LT"/>
                <w:szCs w:val="20"/>
                <w:lang w:eastAsia="en-US"/>
              </w:rPr>
              <w:t>0,649</w:t>
            </w:r>
          </w:p>
        </w:tc>
        <w:tc>
          <w:tcPr>
            <w:tcW w:w="1324" w:type="dxa"/>
          </w:tcPr>
          <w:p w14:paraId="46871C6C" w14:textId="77777777" w:rsidR="007C2E48" w:rsidRPr="002D3529" w:rsidRDefault="007C2E48" w:rsidP="00DE1A10">
            <w:pPr>
              <w:spacing w:after="160" w:line="259" w:lineRule="auto"/>
              <w:ind w:firstLine="0"/>
              <w:rPr>
                <w:rFonts w:ascii="Sabon Next LT" w:eastAsia="Calibri" w:hAnsi="Sabon Next LT" w:cs="Sabon Next LT"/>
                <w:szCs w:val="20"/>
                <w:lang w:eastAsia="en-US"/>
              </w:rPr>
            </w:pPr>
            <w:r w:rsidRPr="002D3529">
              <w:rPr>
                <w:rFonts w:ascii="Sabon Next LT" w:eastAsia="Calibri" w:hAnsi="Sabon Next LT" w:cs="Sabon Next LT"/>
                <w:szCs w:val="20"/>
                <w:lang w:eastAsia="en-US"/>
              </w:rPr>
              <w:t>0,719</w:t>
            </w:r>
          </w:p>
        </w:tc>
        <w:tc>
          <w:tcPr>
            <w:tcW w:w="1139" w:type="dxa"/>
          </w:tcPr>
          <w:p w14:paraId="485A2856" w14:textId="77777777" w:rsidR="007C2E48" w:rsidRPr="002D3529" w:rsidRDefault="007C2E48" w:rsidP="00DE1A10">
            <w:pPr>
              <w:spacing w:after="160" w:line="259" w:lineRule="auto"/>
              <w:ind w:firstLine="0"/>
              <w:rPr>
                <w:rFonts w:ascii="Sabon Next LT" w:eastAsia="Calibri" w:hAnsi="Sabon Next LT" w:cs="Sabon Next LT"/>
                <w:szCs w:val="20"/>
                <w:lang w:eastAsia="en-US"/>
              </w:rPr>
            </w:pPr>
            <w:r w:rsidRPr="002D3529">
              <w:rPr>
                <w:rFonts w:ascii="Sabon Next LT" w:eastAsia="Calibri" w:hAnsi="Sabon Next LT" w:cs="Sabon Next LT"/>
                <w:szCs w:val="20"/>
                <w:lang w:eastAsia="en-US"/>
              </w:rPr>
              <w:t>0,762</w:t>
            </w:r>
          </w:p>
        </w:tc>
      </w:tr>
      <w:tr w:rsidR="007C2E48" w:rsidRPr="000D63C6" w14:paraId="239543F3" w14:textId="77777777" w:rsidTr="00DE1A10">
        <w:trPr>
          <w:trHeight w:val="77"/>
        </w:trPr>
        <w:tc>
          <w:tcPr>
            <w:tcW w:w="1980" w:type="dxa"/>
          </w:tcPr>
          <w:p w14:paraId="7B41EE60" w14:textId="77777777" w:rsidR="007C2E48" w:rsidRPr="002D3529" w:rsidRDefault="007C2E48" w:rsidP="00DE1A10">
            <w:pPr>
              <w:spacing w:after="160" w:line="259" w:lineRule="auto"/>
              <w:ind w:firstLine="0"/>
              <w:rPr>
                <w:rFonts w:ascii="Sabon Next LT" w:eastAsia="Calibri" w:hAnsi="Sabon Next LT" w:cs="Sabon Next LT"/>
                <w:szCs w:val="20"/>
                <w:lang w:eastAsia="en-US"/>
              </w:rPr>
            </w:pPr>
            <w:r w:rsidRPr="002D3529">
              <w:rPr>
                <w:rFonts w:ascii="Sabon Next LT" w:eastAsia="Calibri" w:hAnsi="Sabon Next LT" w:cs="Sabon Next LT"/>
                <w:szCs w:val="20"/>
                <w:lang w:eastAsia="en-US"/>
              </w:rPr>
              <w:t>~POORHEALTH</w:t>
            </w:r>
          </w:p>
        </w:tc>
        <w:tc>
          <w:tcPr>
            <w:tcW w:w="1030" w:type="dxa"/>
          </w:tcPr>
          <w:p w14:paraId="2B62DA81" w14:textId="77777777" w:rsidR="007C2E48" w:rsidRPr="002D3529" w:rsidRDefault="007C2E48" w:rsidP="00DE1A10">
            <w:pPr>
              <w:spacing w:after="160" w:line="259" w:lineRule="auto"/>
              <w:ind w:firstLine="0"/>
              <w:rPr>
                <w:rFonts w:ascii="Sabon Next LT" w:eastAsia="Calibri" w:hAnsi="Sabon Next LT" w:cs="Sabon Next LT"/>
                <w:szCs w:val="20"/>
                <w:lang w:eastAsia="en-US"/>
              </w:rPr>
            </w:pPr>
            <w:r w:rsidRPr="002D3529">
              <w:rPr>
                <w:rFonts w:ascii="Sabon Next LT" w:eastAsia="Calibri" w:hAnsi="Sabon Next LT" w:cs="Sabon Next LT"/>
                <w:szCs w:val="20"/>
                <w:lang w:eastAsia="en-US"/>
              </w:rPr>
              <w:t>0,826</w:t>
            </w:r>
          </w:p>
        </w:tc>
        <w:tc>
          <w:tcPr>
            <w:tcW w:w="1164" w:type="dxa"/>
          </w:tcPr>
          <w:p w14:paraId="0A6543A2" w14:textId="77777777" w:rsidR="007C2E48" w:rsidRPr="002D3529" w:rsidRDefault="007C2E48" w:rsidP="00DE1A10">
            <w:pPr>
              <w:spacing w:after="160" w:line="259" w:lineRule="auto"/>
              <w:ind w:firstLine="0"/>
              <w:rPr>
                <w:rFonts w:ascii="Sabon Next LT" w:eastAsia="Calibri" w:hAnsi="Sabon Next LT" w:cs="Sabon Next LT"/>
                <w:szCs w:val="20"/>
                <w:lang w:eastAsia="en-US"/>
              </w:rPr>
            </w:pPr>
            <w:r w:rsidRPr="002D3529">
              <w:rPr>
                <w:rFonts w:ascii="Sabon Next LT" w:eastAsia="Calibri" w:hAnsi="Sabon Next LT" w:cs="Sabon Next LT"/>
                <w:szCs w:val="20"/>
                <w:lang w:eastAsia="en-US"/>
              </w:rPr>
              <w:t>0,600</w:t>
            </w:r>
          </w:p>
        </w:tc>
        <w:tc>
          <w:tcPr>
            <w:tcW w:w="1126" w:type="dxa"/>
          </w:tcPr>
          <w:p w14:paraId="69E05D3D" w14:textId="77777777" w:rsidR="007C2E48" w:rsidRPr="002D3529" w:rsidRDefault="007C2E48" w:rsidP="00DE1A10">
            <w:pPr>
              <w:spacing w:after="160" w:line="259" w:lineRule="auto"/>
              <w:ind w:firstLine="0"/>
              <w:rPr>
                <w:rFonts w:ascii="Sabon Next LT" w:eastAsia="Calibri" w:hAnsi="Sabon Next LT" w:cs="Sabon Next LT"/>
                <w:szCs w:val="20"/>
                <w:lang w:eastAsia="en-US"/>
              </w:rPr>
            </w:pPr>
            <w:r w:rsidRPr="002D3529">
              <w:rPr>
                <w:rFonts w:ascii="Sabon Next LT" w:eastAsia="Calibri" w:hAnsi="Sabon Next LT" w:cs="Sabon Next LT"/>
                <w:szCs w:val="20"/>
                <w:lang w:eastAsia="en-US"/>
              </w:rPr>
              <w:t>0,649</w:t>
            </w:r>
          </w:p>
        </w:tc>
        <w:tc>
          <w:tcPr>
            <w:tcW w:w="1299" w:type="dxa"/>
          </w:tcPr>
          <w:p w14:paraId="5F65E0A0" w14:textId="77777777" w:rsidR="007C2E48" w:rsidRPr="002D3529" w:rsidRDefault="007C2E48" w:rsidP="00DE1A10">
            <w:pPr>
              <w:spacing w:after="160" w:line="259" w:lineRule="auto"/>
              <w:ind w:firstLine="0"/>
              <w:rPr>
                <w:rFonts w:ascii="Sabon Next LT" w:eastAsia="Calibri" w:hAnsi="Sabon Next LT" w:cs="Sabon Next LT"/>
                <w:szCs w:val="20"/>
                <w:lang w:eastAsia="en-US"/>
              </w:rPr>
            </w:pPr>
            <w:r w:rsidRPr="002D3529">
              <w:rPr>
                <w:rFonts w:ascii="Sabon Next LT" w:eastAsia="Calibri" w:hAnsi="Sabon Next LT" w:cs="Sabon Next LT"/>
                <w:szCs w:val="20"/>
                <w:lang w:eastAsia="en-US"/>
              </w:rPr>
              <w:t>0,568</w:t>
            </w:r>
          </w:p>
        </w:tc>
        <w:tc>
          <w:tcPr>
            <w:tcW w:w="1324" w:type="dxa"/>
          </w:tcPr>
          <w:p w14:paraId="62673071" w14:textId="77777777" w:rsidR="007C2E48" w:rsidRPr="002D3529" w:rsidRDefault="007C2E48" w:rsidP="00DE1A10">
            <w:pPr>
              <w:spacing w:after="160" w:line="259" w:lineRule="auto"/>
              <w:ind w:firstLine="0"/>
              <w:rPr>
                <w:rFonts w:ascii="Sabon Next LT" w:eastAsia="Calibri" w:hAnsi="Sabon Next LT" w:cs="Sabon Next LT"/>
                <w:szCs w:val="20"/>
                <w:lang w:eastAsia="en-US"/>
              </w:rPr>
            </w:pPr>
            <w:r w:rsidRPr="002D3529">
              <w:rPr>
                <w:rFonts w:ascii="Sabon Next LT" w:eastAsia="Calibri" w:hAnsi="Sabon Next LT" w:cs="Sabon Next LT"/>
                <w:szCs w:val="20"/>
                <w:lang w:eastAsia="en-US"/>
              </w:rPr>
              <w:t>0,576</w:t>
            </w:r>
          </w:p>
        </w:tc>
        <w:tc>
          <w:tcPr>
            <w:tcW w:w="1139" w:type="dxa"/>
          </w:tcPr>
          <w:p w14:paraId="2BBA427B" w14:textId="77777777" w:rsidR="007C2E48" w:rsidRPr="002D3529" w:rsidRDefault="007C2E48" w:rsidP="00DE1A10">
            <w:pPr>
              <w:spacing w:after="160" w:line="259" w:lineRule="auto"/>
              <w:ind w:firstLine="0"/>
              <w:rPr>
                <w:rFonts w:ascii="Sabon Next LT" w:eastAsia="Calibri" w:hAnsi="Sabon Next LT" w:cs="Sabon Next LT"/>
                <w:szCs w:val="20"/>
                <w:lang w:eastAsia="en-US"/>
              </w:rPr>
            </w:pPr>
            <w:r w:rsidRPr="002D3529">
              <w:rPr>
                <w:rFonts w:ascii="Sabon Next LT" w:eastAsia="Calibri" w:hAnsi="Sabon Next LT" w:cs="Sabon Next LT"/>
                <w:szCs w:val="20"/>
                <w:lang w:eastAsia="en-US"/>
              </w:rPr>
              <w:t>0,636</w:t>
            </w:r>
          </w:p>
        </w:tc>
      </w:tr>
      <w:tr w:rsidR="007C2E48" w:rsidRPr="000D63C6" w14:paraId="6F1E5942" w14:textId="77777777" w:rsidTr="00DE1A10">
        <w:tc>
          <w:tcPr>
            <w:tcW w:w="1980" w:type="dxa"/>
          </w:tcPr>
          <w:p w14:paraId="305C7DE5" w14:textId="77777777" w:rsidR="007C2E48" w:rsidRPr="002D3529" w:rsidRDefault="007C2E48" w:rsidP="00DE1A10">
            <w:pPr>
              <w:spacing w:after="160" w:line="259" w:lineRule="auto"/>
              <w:ind w:firstLine="0"/>
              <w:rPr>
                <w:rFonts w:ascii="Sabon Next LT" w:eastAsia="Calibri" w:hAnsi="Sabon Next LT" w:cs="Sabon Next LT"/>
                <w:szCs w:val="20"/>
                <w:lang w:eastAsia="en-US"/>
              </w:rPr>
            </w:pPr>
            <w:r w:rsidRPr="002D3529">
              <w:rPr>
                <w:rFonts w:ascii="Sabon Next LT" w:eastAsia="Calibri" w:hAnsi="Sabon Next LT" w:cs="Sabon Next LT"/>
                <w:szCs w:val="20"/>
                <w:lang w:eastAsia="en-US"/>
              </w:rPr>
              <w:t>~AFFL</w:t>
            </w:r>
          </w:p>
        </w:tc>
        <w:tc>
          <w:tcPr>
            <w:tcW w:w="1030" w:type="dxa"/>
          </w:tcPr>
          <w:p w14:paraId="67569201" w14:textId="77777777" w:rsidR="007C2E48" w:rsidRPr="002D3529" w:rsidRDefault="007C2E48" w:rsidP="00DE1A10">
            <w:pPr>
              <w:spacing w:after="160" w:line="259" w:lineRule="auto"/>
              <w:ind w:firstLine="0"/>
              <w:rPr>
                <w:rFonts w:ascii="Sabon Next LT" w:eastAsia="Calibri" w:hAnsi="Sabon Next LT" w:cs="Sabon Next LT"/>
                <w:szCs w:val="20"/>
                <w:lang w:eastAsia="en-US"/>
              </w:rPr>
            </w:pPr>
            <w:r w:rsidRPr="002D3529">
              <w:rPr>
                <w:rFonts w:ascii="Sabon Next LT" w:eastAsia="Calibri" w:hAnsi="Sabon Next LT" w:cs="Sabon Next LT"/>
                <w:szCs w:val="20"/>
                <w:lang w:eastAsia="en-US"/>
              </w:rPr>
              <w:t xml:space="preserve">0,514   </w:t>
            </w:r>
          </w:p>
        </w:tc>
        <w:tc>
          <w:tcPr>
            <w:tcW w:w="1164" w:type="dxa"/>
          </w:tcPr>
          <w:p w14:paraId="7F2C2C11" w14:textId="77777777" w:rsidR="007C2E48" w:rsidRPr="002D3529" w:rsidRDefault="007C2E48" w:rsidP="00DE1A10">
            <w:pPr>
              <w:spacing w:after="160" w:line="259" w:lineRule="auto"/>
              <w:ind w:firstLine="0"/>
              <w:rPr>
                <w:rFonts w:ascii="Sabon Next LT" w:eastAsia="Calibri" w:hAnsi="Sabon Next LT" w:cs="Sabon Next LT"/>
                <w:szCs w:val="20"/>
                <w:lang w:eastAsia="en-US"/>
              </w:rPr>
            </w:pPr>
            <w:r w:rsidRPr="002D3529">
              <w:rPr>
                <w:rFonts w:ascii="Sabon Next LT" w:eastAsia="Calibri" w:hAnsi="Sabon Next LT" w:cs="Sabon Next LT"/>
                <w:szCs w:val="20"/>
                <w:lang w:eastAsia="en-US"/>
              </w:rPr>
              <w:t>0,415</w:t>
            </w:r>
          </w:p>
        </w:tc>
        <w:tc>
          <w:tcPr>
            <w:tcW w:w="1126" w:type="dxa"/>
          </w:tcPr>
          <w:p w14:paraId="5CA3841B" w14:textId="77777777" w:rsidR="007C2E48" w:rsidRPr="002D3529" w:rsidRDefault="007C2E48" w:rsidP="00DE1A10">
            <w:pPr>
              <w:spacing w:after="160" w:line="259" w:lineRule="auto"/>
              <w:ind w:firstLine="0"/>
              <w:rPr>
                <w:rFonts w:ascii="Sabon Next LT" w:eastAsia="Calibri" w:hAnsi="Sabon Next LT" w:cs="Sabon Next LT"/>
                <w:szCs w:val="20"/>
                <w:lang w:eastAsia="en-US"/>
              </w:rPr>
            </w:pPr>
            <w:r w:rsidRPr="002D3529">
              <w:rPr>
                <w:rFonts w:ascii="Sabon Next LT" w:eastAsia="Calibri" w:hAnsi="Sabon Next LT" w:cs="Sabon Next LT"/>
                <w:szCs w:val="20"/>
                <w:lang w:eastAsia="en-US"/>
              </w:rPr>
              <w:t>0,615</w:t>
            </w:r>
          </w:p>
        </w:tc>
        <w:tc>
          <w:tcPr>
            <w:tcW w:w="1299" w:type="dxa"/>
          </w:tcPr>
          <w:p w14:paraId="080FEA6F" w14:textId="77777777" w:rsidR="007C2E48" w:rsidRPr="002D3529" w:rsidRDefault="007C2E48" w:rsidP="00DE1A10">
            <w:pPr>
              <w:spacing w:after="160" w:line="259" w:lineRule="auto"/>
              <w:ind w:firstLine="0"/>
              <w:rPr>
                <w:rFonts w:ascii="Sabon Next LT" w:eastAsia="Calibri" w:hAnsi="Sabon Next LT" w:cs="Sabon Next LT"/>
                <w:szCs w:val="20"/>
                <w:lang w:eastAsia="en-US"/>
              </w:rPr>
            </w:pPr>
            <w:r w:rsidRPr="002D3529">
              <w:rPr>
                <w:rFonts w:ascii="Sabon Next LT" w:eastAsia="Calibri" w:hAnsi="Sabon Next LT" w:cs="Sabon Next LT"/>
                <w:szCs w:val="20"/>
                <w:lang w:eastAsia="en-US"/>
              </w:rPr>
              <w:t>0,586</w:t>
            </w:r>
          </w:p>
        </w:tc>
        <w:tc>
          <w:tcPr>
            <w:tcW w:w="1324" w:type="dxa"/>
          </w:tcPr>
          <w:p w14:paraId="65A16A01" w14:textId="77777777" w:rsidR="007C2E48" w:rsidRPr="002D3529" w:rsidRDefault="007C2E48" w:rsidP="00DE1A10">
            <w:pPr>
              <w:spacing w:after="160" w:line="259" w:lineRule="auto"/>
              <w:ind w:firstLine="0"/>
              <w:rPr>
                <w:rFonts w:ascii="Sabon Next LT" w:eastAsia="Calibri" w:hAnsi="Sabon Next LT" w:cs="Sabon Next LT"/>
                <w:szCs w:val="20"/>
                <w:lang w:eastAsia="en-US"/>
              </w:rPr>
            </w:pPr>
            <w:r w:rsidRPr="002D3529">
              <w:rPr>
                <w:rFonts w:ascii="Sabon Next LT" w:eastAsia="Calibri" w:hAnsi="Sabon Next LT" w:cs="Sabon Next LT"/>
                <w:szCs w:val="20"/>
                <w:lang w:eastAsia="en-US"/>
              </w:rPr>
              <w:t>0,660</w:t>
            </w:r>
          </w:p>
        </w:tc>
        <w:tc>
          <w:tcPr>
            <w:tcW w:w="1139" w:type="dxa"/>
          </w:tcPr>
          <w:p w14:paraId="7C6CA5B7" w14:textId="77777777" w:rsidR="007C2E48" w:rsidRPr="002D3529" w:rsidRDefault="007C2E48" w:rsidP="00DE1A10">
            <w:pPr>
              <w:spacing w:after="160" w:line="259" w:lineRule="auto"/>
              <w:ind w:firstLine="0"/>
              <w:rPr>
                <w:rFonts w:ascii="Sabon Next LT" w:eastAsia="Calibri" w:hAnsi="Sabon Next LT" w:cs="Sabon Next LT"/>
                <w:szCs w:val="20"/>
                <w:lang w:eastAsia="en-US"/>
              </w:rPr>
            </w:pPr>
            <w:r w:rsidRPr="002D3529">
              <w:rPr>
                <w:rFonts w:ascii="Sabon Next LT" w:eastAsia="Calibri" w:hAnsi="Sabon Next LT" w:cs="Sabon Next LT"/>
                <w:szCs w:val="20"/>
                <w:lang w:eastAsia="en-US"/>
              </w:rPr>
              <w:t>0,733</w:t>
            </w:r>
          </w:p>
        </w:tc>
      </w:tr>
      <w:tr w:rsidR="007C2E48" w:rsidRPr="000D63C6" w14:paraId="465ECE5D" w14:textId="77777777" w:rsidTr="00DE1A10">
        <w:tc>
          <w:tcPr>
            <w:tcW w:w="1980" w:type="dxa"/>
          </w:tcPr>
          <w:p w14:paraId="7A533BE0" w14:textId="77777777" w:rsidR="007C2E48" w:rsidRPr="002D3529" w:rsidRDefault="007C2E48" w:rsidP="00DE1A10">
            <w:pPr>
              <w:spacing w:after="160" w:line="259" w:lineRule="auto"/>
              <w:ind w:firstLine="0"/>
              <w:rPr>
                <w:rFonts w:ascii="Sabon Next LT" w:eastAsia="Calibri" w:hAnsi="Sabon Next LT" w:cs="Sabon Next LT"/>
                <w:szCs w:val="20"/>
                <w:lang w:eastAsia="en-US"/>
              </w:rPr>
            </w:pPr>
            <w:r w:rsidRPr="002D3529">
              <w:rPr>
                <w:rFonts w:ascii="Sabon Next LT" w:eastAsia="Calibri" w:hAnsi="Sabon Next LT" w:cs="Sabon Next LT"/>
                <w:szCs w:val="20"/>
                <w:lang w:eastAsia="en-US"/>
              </w:rPr>
              <w:t>~WMR</w:t>
            </w:r>
          </w:p>
        </w:tc>
        <w:tc>
          <w:tcPr>
            <w:tcW w:w="1030" w:type="dxa"/>
          </w:tcPr>
          <w:p w14:paraId="662CE6CD" w14:textId="77777777" w:rsidR="007C2E48" w:rsidRPr="002D3529" w:rsidRDefault="007C2E48" w:rsidP="00DE1A10">
            <w:pPr>
              <w:spacing w:after="160" w:line="259" w:lineRule="auto"/>
              <w:ind w:firstLine="0"/>
              <w:rPr>
                <w:rFonts w:ascii="Sabon Next LT" w:eastAsia="Calibri" w:hAnsi="Sabon Next LT" w:cs="Sabon Next LT"/>
                <w:szCs w:val="20"/>
                <w:lang w:eastAsia="en-US"/>
              </w:rPr>
            </w:pPr>
            <w:r w:rsidRPr="002D3529">
              <w:rPr>
                <w:rFonts w:ascii="Sabon Next LT" w:eastAsia="Calibri" w:hAnsi="Sabon Next LT" w:cs="Sabon Next LT"/>
                <w:szCs w:val="20"/>
                <w:lang w:eastAsia="en-US"/>
              </w:rPr>
              <w:t xml:space="preserve">0,507   </w:t>
            </w:r>
          </w:p>
        </w:tc>
        <w:tc>
          <w:tcPr>
            <w:tcW w:w="1164" w:type="dxa"/>
          </w:tcPr>
          <w:p w14:paraId="639F2C00" w14:textId="77777777" w:rsidR="007C2E48" w:rsidRPr="002D3529" w:rsidRDefault="007C2E48" w:rsidP="00DE1A10">
            <w:pPr>
              <w:spacing w:after="160" w:line="259" w:lineRule="auto"/>
              <w:ind w:firstLine="0"/>
              <w:rPr>
                <w:rFonts w:ascii="Sabon Next LT" w:eastAsia="Calibri" w:hAnsi="Sabon Next LT" w:cs="Sabon Next LT"/>
                <w:szCs w:val="20"/>
                <w:lang w:eastAsia="en-US"/>
              </w:rPr>
            </w:pPr>
            <w:r w:rsidRPr="002D3529">
              <w:rPr>
                <w:rFonts w:ascii="Sabon Next LT" w:eastAsia="Calibri" w:hAnsi="Sabon Next LT" w:cs="Sabon Next LT"/>
                <w:szCs w:val="20"/>
                <w:lang w:eastAsia="en-US"/>
              </w:rPr>
              <w:t>0,395</w:t>
            </w:r>
          </w:p>
        </w:tc>
        <w:tc>
          <w:tcPr>
            <w:tcW w:w="1126" w:type="dxa"/>
          </w:tcPr>
          <w:p w14:paraId="6C67DA8F" w14:textId="77777777" w:rsidR="007C2E48" w:rsidRPr="002D3529" w:rsidRDefault="007C2E48" w:rsidP="00DE1A10">
            <w:pPr>
              <w:spacing w:after="160" w:line="259" w:lineRule="auto"/>
              <w:ind w:firstLine="0"/>
              <w:rPr>
                <w:rFonts w:ascii="Sabon Next LT" w:eastAsia="Calibri" w:hAnsi="Sabon Next LT" w:cs="Sabon Next LT"/>
                <w:szCs w:val="20"/>
                <w:lang w:eastAsia="en-US"/>
              </w:rPr>
            </w:pPr>
            <w:r w:rsidRPr="002D3529">
              <w:rPr>
                <w:rFonts w:ascii="Sabon Next LT" w:eastAsia="Calibri" w:hAnsi="Sabon Next LT" w:cs="Sabon Next LT"/>
                <w:szCs w:val="20"/>
                <w:lang w:eastAsia="en-US"/>
              </w:rPr>
              <w:t>0,588</w:t>
            </w:r>
          </w:p>
        </w:tc>
        <w:tc>
          <w:tcPr>
            <w:tcW w:w="1299" w:type="dxa"/>
          </w:tcPr>
          <w:p w14:paraId="673882A1" w14:textId="77777777" w:rsidR="007C2E48" w:rsidRPr="002D3529" w:rsidRDefault="007C2E48" w:rsidP="00DE1A10">
            <w:pPr>
              <w:spacing w:after="160" w:line="259" w:lineRule="auto"/>
              <w:ind w:firstLine="0"/>
              <w:rPr>
                <w:rFonts w:ascii="Sabon Next LT" w:eastAsia="Calibri" w:hAnsi="Sabon Next LT" w:cs="Sabon Next LT"/>
                <w:szCs w:val="20"/>
                <w:lang w:eastAsia="en-US"/>
              </w:rPr>
            </w:pPr>
            <w:r w:rsidRPr="002D3529">
              <w:rPr>
                <w:rFonts w:ascii="Sabon Next LT" w:eastAsia="Calibri" w:hAnsi="Sabon Next LT" w:cs="Sabon Next LT"/>
                <w:szCs w:val="20"/>
                <w:lang w:eastAsia="en-US"/>
              </w:rPr>
              <w:t xml:space="preserve">0,671  </w:t>
            </w:r>
          </w:p>
        </w:tc>
        <w:tc>
          <w:tcPr>
            <w:tcW w:w="1324" w:type="dxa"/>
          </w:tcPr>
          <w:p w14:paraId="7DF83CDE" w14:textId="77777777" w:rsidR="007C2E48" w:rsidRPr="002D3529" w:rsidRDefault="007C2E48" w:rsidP="00DE1A10">
            <w:pPr>
              <w:spacing w:after="160" w:line="259" w:lineRule="auto"/>
              <w:ind w:firstLine="0"/>
              <w:rPr>
                <w:rFonts w:ascii="Sabon Next LT" w:eastAsia="Calibri" w:hAnsi="Sabon Next LT" w:cs="Sabon Next LT"/>
                <w:szCs w:val="20"/>
                <w:lang w:eastAsia="en-US"/>
              </w:rPr>
            </w:pPr>
            <w:r w:rsidRPr="002D3529">
              <w:rPr>
                <w:rFonts w:ascii="Sabon Next LT" w:eastAsia="Calibri" w:hAnsi="Sabon Next LT" w:cs="Sabon Next LT"/>
                <w:szCs w:val="20"/>
                <w:lang w:eastAsia="en-US"/>
              </w:rPr>
              <w:t>0,729</w:t>
            </w:r>
          </w:p>
        </w:tc>
        <w:tc>
          <w:tcPr>
            <w:tcW w:w="1139" w:type="dxa"/>
          </w:tcPr>
          <w:p w14:paraId="3743FD72" w14:textId="77777777" w:rsidR="007C2E48" w:rsidRPr="002D3529" w:rsidRDefault="007C2E48" w:rsidP="00DE1A10">
            <w:pPr>
              <w:spacing w:after="160" w:line="259" w:lineRule="auto"/>
              <w:ind w:firstLine="0"/>
              <w:rPr>
                <w:rFonts w:ascii="Sabon Next LT" w:eastAsia="Calibri" w:hAnsi="Sabon Next LT" w:cs="Sabon Next LT"/>
                <w:szCs w:val="20"/>
                <w:lang w:eastAsia="en-US"/>
              </w:rPr>
            </w:pPr>
            <w:r w:rsidRPr="002D3529">
              <w:rPr>
                <w:rFonts w:ascii="Sabon Next LT" w:eastAsia="Calibri" w:hAnsi="Sabon Next LT" w:cs="Sabon Next LT"/>
                <w:szCs w:val="20"/>
                <w:lang w:eastAsia="en-US"/>
              </w:rPr>
              <w:t>0,761</w:t>
            </w:r>
          </w:p>
        </w:tc>
      </w:tr>
      <w:tr w:rsidR="007C2E48" w:rsidRPr="000D63C6" w14:paraId="33DA1FFE" w14:textId="77777777" w:rsidTr="00DE1A10">
        <w:tc>
          <w:tcPr>
            <w:tcW w:w="1980" w:type="dxa"/>
          </w:tcPr>
          <w:p w14:paraId="3E1F985B" w14:textId="77777777" w:rsidR="007C2E48" w:rsidRPr="002D3529" w:rsidRDefault="007C2E48" w:rsidP="00DE1A10">
            <w:pPr>
              <w:spacing w:after="160" w:line="259" w:lineRule="auto"/>
              <w:ind w:firstLine="0"/>
              <w:rPr>
                <w:rFonts w:ascii="Sabon Next LT" w:eastAsia="Calibri" w:hAnsi="Sabon Next LT" w:cs="Sabon Next LT"/>
                <w:szCs w:val="20"/>
                <w:lang w:eastAsia="en-US"/>
              </w:rPr>
            </w:pPr>
            <w:r w:rsidRPr="002D3529">
              <w:rPr>
                <w:rFonts w:ascii="Sabon Next LT" w:eastAsia="Calibri" w:hAnsi="Sabon Next LT" w:cs="Sabon Next LT"/>
                <w:szCs w:val="20"/>
                <w:lang w:eastAsia="en-US"/>
              </w:rPr>
              <w:t>~SOCAP</w:t>
            </w:r>
          </w:p>
        </w:tc>
        <w:tc>
          <w:tcPr>
            <w:tcW w:w="1030" w:type="dxa"/>
          </w:tcPr>
          <w:p w14:paraId="5D24BB57" w14:textId="77777777" w:rsidR="007C2E48" w:rsidRPr="002D3529" w:rsidRDefault="007C2E48" w:rsidP="00DE1A10">
            <w:pPr>
              <w:spacing w:after="160" w:line="259" w:lineRule="auto"/>
              <w:ind w:firstLine="0"/>
              <w:rPr>
                <w:rFonts w:ascii="Sabon Next LT" w:eastAsia="Calibri" w:hAnsi="Sabon Next LT" w:cs="Sabon Next LT"/>
                <w:szCs w:val="20"/>
                <w:lang w:eastAsia="en-US"/>
              </w:rPr>
            </w:pPr>
            <w:r w:rsidRPr="002D3529">
              <w:rPr>
                <w:rFonts w:ascii="Sabon Next LT" w:eastAsia="Calibri" w:hAnsi="Sabon Next LT" w:cs="Sabon Next LT"/>
                <w:szCs w:val="20"/>
                <w:lang w:eastAsia="en-US"/>
              </w:rPr>
              <w:t xml:space="preserve">0,353   </w:t>
            </w:r>
          </w:p>
        </w:tc>
        <w:tc>
          <w:tcPr>
            <w:tcW w:w="1164" w:type="dxa"/>
          </w:tcPr>
          <w:p w14:paraId="6533E21A" w14:textId="77777777" w:rsidR="007C2E48" w:rsidRPr="002D3529" w:rsidRDefault="007C2E48" w:rsidP="00DE1A10">
            <w:pPr>
              <w:spacing w:after="160" w:line="259" w:lineRule="auto"/>
              <w:ind w:firstLine="0"/>
              <w:rPr>
                <w:rFonts w:ascii="Sabon Next LT" w:eastAsia="Calibri" w:hAnsi="Sabon Next LT" w:cs="Sabon Next LT"/>
                <w:szCs w:val="20"/>
                <w:lang w:eastAsia="en-US"/>
              </w:rPr>
            </w:pPr>
            <w:r w:rsidRPr="002D3529">
              <w:rPr>
                <w:rFonts w:ascii="Sabon Next LT" w:eastAsia="Calibri" w:hAnsi="Sabon Next LT" w:cs="Sabon Next LT"/>
                <w:szCs w:val="20"/>
                <w:lang w:eastAsia="en-US"/>
              </w:rPr>
              <w:t>0,412</w:t>
            </w:r>
          </w:p>
        </w:tc>
        <w:tc>
          <w:tcPr>
            <w:tcW w:w="1126" w:type="dxa"/>
          </w:tcPr>
          <w:p w14:paraId="1275F60F" w14:textId="77777777" w:rsidR="007C2E48" w:rsidRPr="002D3529" w:rsidRDefault="007C2E48" w:rsidP="00DE1A10">
            <w:pPr>
              <w:spacing w:after="160" w:line="259" w:lineRule="auto"/>
              <w:ind w:firstLine="0"/>
              <w:rPr>
                <w:rFonts w:ascii="Sabon Next LT" w:eastAsia="Calibri" w:hAnsi="Sabon Next LT" w:cs="Sabon Next LT"/>
                <w:szCs w:val="20"/>
                <w:lang w:eastAsia="en-US"/>
              </w:rPr>
            </w:pPr>
            <w:r w:rsidRPr="002D3529">
              <w:rPr>
                <w:rFonts w:ascii="Sabon Next LT" w:eastAsia="Calibri" w:hAnsi="Sabon Next LT" w:cs="Sabon Next LT"/>
                <w:szCs w:val="20"/>
                <w:lang w:eastAsia="en-US"/>
              </w:rPr>
              <w:t>0,753</w:t>
            </w:r>
          </w:p>
        </w:tc>
        <w:tc>
          <w:tcPr>
            <w:tcW w:w="1299" w:type="dxa"/>
          </w:tcPr>
          <w:p w14:paraId="526D6588" w14:textId="77777777" w:rsidR="007C2E48" w:rsidRPr="002D3529" w:rsidRDefault="007C2E48" w:rsidP="00DE1A10">
            <w:pPr>
              <w:spacing w:after="160" w:line="259" w:lineRule="auto"/>
              <w:ind w:firstLine="0"/>
              <w:rPr>
                <w:rFonts w:ascii="Sabon Next LT" w:eastAsia="Calibri" w:hAnsi="Sabon Next LT" w:cs="Sabon Next LT"/>
                <w:szCs w:val="20"/>
                <w:lang w:eastAsia="en-US"/>
              </w:rPr>
            </w:pPr>
            <w:r w:rsidRPr="002D3529">
              <w:rPr>
                <w:rFonts w:ascii="Sabon Next LT" w:eastAsia="Calibri" w:hAnsi="Sabon Next LT" w:cs="Sabon Next LT"/>
                <w:szCs w:val="20"/>
                <w:lang w:eastAsia="en-US"/>
              </w:rPr>
              <w:t>0,522</w:t>
            </w:r>
          </w:p>
        </w:tc>
        <w:tc>
          <w:tcPr>
            <w:tcW w:w="1324" w:type="dxa"/>
          </w:tcPr>
          <w:p w14:paraId="49DCE234" w14:textId="77777777" w:rsidR="007C2E48" w:rsidRPr="002D3529" w:rsidRDefault="007C2E48" w:rsidP="00DE1A10">
            <w:pPr>
              <w:spacing w:after="160" w:line="259" w:lineRule="auto"/>
              <w:ind w:firstLine="0"/>
              <w:rPr>
                <w:rFonts w:ascii="Sabon Next LT" w:eastAsia="Calibri" w:hAnsi="Sabon Next LT" w:cs="Sabon Next LT"/>
                <w:szCs w:val="20"/>
                <w:lang w:eastAsia="en-US"/>
              </w:rPr>
            </w:pPr>
            <w:r w:rsidRPr="002D3529">
              <w:rPr>
                <w:rFonts w:ascii="Sabon Next LT" w:eastAsia="Calibri" w:hAnsi="Sabon Next LT" w:cs="Sabon Next LT"/>
                <w:szCs w:val="20"/>
                <w:lang w:eastAsia="en-US"/>
              </w:rPr>
              <w:t>0,851</w:t>
            </w:r>
          </w:p>
        </w:tc>
        <w:tc>
          <w:tcPr>
            <w:tcW w:w="1139" w:type="dxa"/>
          </w:tcPr>
          <w:p w14:paraId="39DECFE4" w14:textId="77777777" w:rsidR="007C2E48" w:rsidRPr="002D3529" w:rsidRDefault="007C2E48" w:rsidP="00DE1A10">
            <w:pPr>
              <w:spacing w:after="160" w:line="259" w:lineRule="auto"/>
              <w:ind w:firstLine="0"/>
              <w:rPr>
                <w:rFonts w:ascii="Sabon Next LT" w:eastAsia="Calibri" w:hAnsi="Sabon Next LT" w:cs="Sabon Next LT"/>
                <w:szCs w:val="20"/>
                <w:lang w:eastAsia="en-US"/>
              </w:rPr>
            </w:pPr>
            <w:r w:rsidRPr="002D3529">
              <w:rPr>
                <w:rFonts w:ascii="Sabon Next LT" w:eastAsia="Calibri" w:hAnsi="Sabon Next LT" w:cs="Sabon Next LT"/>
                <w:szCs w:val="20"/>
                <w:lang w:eastAsia="en-US"/>
              </w:rPr>
              <w:t>0,923</w:t>
            </w:r>
          </w:p>
        </w:tc>
      </w:tr>
      <w:tr w:rsidR="007C2E48" w:rsidRPr="000D63C6" w14:paraId="26077DDC" w14:textId="77777777" w:rsidTr="00DE1A10">
        <w:tc>
          <w:tcPr>
            <w:tcW w:w="1980" w:type="dxa"/>
          </w:tcPr>
          <w:p w14:paraId="520A15A9" w14:textId="77777777" w:rsidR="007C2E48" w:rsidRPr="002D3529" w:rsidRDefault="007C2E48" w:rsidP="00DE1A10">
            <w:pPr>
              <w:spacing w:after="160" w:line="259" w:lineRule="auto"/>
              <w:ind w:firstLine="0"/>
              <w:rPr>
                <w:rFonts w:ascii="Sabon Next LT" w:eastAsia="Calibri" w:hAnsi="Sabon Next LT" w:cs="Sabon Next LT"/>
                <w:szCs w:val="20"/>
                <w:lang w:eastAsia="en-US"/>
              </w:rPr>
            </w:pPr>
            <w:r w:rsidRPr="002D3529">
              <w:rPr>
                <w:rFonts w:ascii="Sabon Next LT" w:eastAsia="Calibri" w:hAnsi="Sabon Next LT" w:cs="Sabon Next LT"/>
                <w:szCs w:val="20"/>
                <w:lang w:eastAsia="en-US"/>
              </w:rPr>
              <w:t xml:space="preserve">POORHEALTH </w:t>
            </w:r>
            <w:r w:rsidRPr="002D3529">
              <w:rPr>
                <w:rFonts w:ascii="Sabon Next LT" w:eastAsia="Calibri" w:hAnsi="Sabon Next LT" w:cs="Sabon Next LT"/>
                <w:szCs w:val="20"/>
                <w:lang w:eastAsia="en-US"/>
              </w:rPr>
              <w:br/>
            </w:r>
            <w:r w:rsidRPr="002D3529">
              <w:rPr>
                <w:rFonts w:ascii="Sabon Next LT" w:eastAsia="Calibri" w:hAnsi="Sabon Next LT" w:cs="Sabon Next LT"/>
                <w:b/>
                <w:bCs/>
                <w:szCs w:val="20"/>
                <w:lang w:eastAsia="en-US"/>
              </w:rPr>
              <w:t>OR</w:t>
            </w:r>
            <w:r w:rsidRPr="002D3529">
              <w:rPr>
                <w:rFonts w:ascii="Sabon Next LT" w:eastAsia="Calibri" w:hAnsi="Sabon Next LT" w:cs="Sabon Next LT"/>
                <w:szCs w:val="20"/>
                <w:lang w:eastAsia="en-US"/>
              </w:rPr>
              <w:t xml:space="preserve"> ~WMR</w:t>
            </w:r>
          </w:p>
        </w:tc>
        <w:tc>
          <w:tcPr>
            <w:tcW w:w="1030" w:type="dxa"/>
          </w:tcPr>
          <w:p w14:paraId="67EDCBAF" w14:textId="77777777" w:rsidR="007C2E48" w:rsidRPr="002D3529" w:rsidRDefault="007C2E48" w:rsidP="00DE1A10">
            <w:pPr>
              <w:spacing w:after="160" w:line="259" w:lineRule="auto"/>
              <w:ind w:firstLine="0"/>
              <w:rPr>
                <w:rFonts w:ascii="Sabon Next LT" w:eastAsia="Calibri" w:hAnsi="Sabon Next LT" w:cs="Sabon Next LT"/>
                <w:szCs w:val="20"/>
                <w:lang w:eastAsia="en-US"/>
              </w:rPr>
            </w:pPr>
            <w:r w:rsidRPr="002D3529">
              <w:rPr>
                <w:rFonts w:ascii="Sabon Next LT" w:eastAsia="Calibri" w:hAnsi="Sabon Next LT" w:cs="Sabon Next LT"/>
                <w:szCs w:val="20"/>
                <w:lang w:eastAsia="en-US"/>
              </w:rPr>
              <w:t>–</w:t>
            </w:r>
          </w:p>
        </w:tc>
        <w:tc>
          <w:tcPr>
            <w:tcW w:w="1164" w:type="dxa"/>
          </w:tcPr>
          <w:p w14:paraId="28ABE9DE" w14:textId="77777777" w:rsidR="007C2E48" w:rsidRPr="002D3529" w:rsidRDefault="007C2E48" w:rsidP="00DE1A10">
            <w:pPr>
              <w:spacing w:after="160" w:line="259" w:lineRule="auto"/>
              <w:ind w:firstLine="0"/>
              <w:rPr>
                <w:rFonts w:ascii="Sabon Next LT" w:eastAsia="Calibri" w:hAnsi="Sabon Next LT" w:cs="Sabon Next LT"/>
                <w:szCs w:val="20"/>
                <w:lang w:eastAsia="en-US"/>
              </w:rPr>
            </w:pPr>
            <w:r w:rsidRPr="002D3529">
              <w:rPr>
                <w:rFonts w:ascii="Sabon Next LT" w:eastAsia="Calibri" w:hAnsi="Sabon Next LT" w:cs="Sabon Next LT"/>
                <w:szCs w:val="20"/>
                <w:lang w:eastAsia="en-US"/>
              </w:rPr>
              <w:t>–</w:t>
            </w:r>
          </w:p>
        </w:tc>
        <w:tc>
          <w:tcPr>
            <w:tcW w:w="1126" w:type="dxa"/>
          </w:tcPr>
          <w:p w14:paraId="6637B5B3" w14:textId="77777777" w:rsidR="007C2E48" w:rsidRPr="002D3529" w:rsidRDefault="007C2E48" w:rsidP="00DE1A10">
            <w:pPr>
              <w:spacing w:after="160" w:line="259" w:lineRule="auto"/>
              <w:ind w:firstLine="0"/>
              <w:rPr>
                <w:rFonts w:ascii="Sabon Next LT" w:eastAsia="Calibri" w:hAnsi="Sabon Next LT" w:cs="Sabon Next LT"/>
                <w:szCs w:val="20"/>
                <w:lang w:eastAsia="en-US"/>
              </w:rPr>
            </w:pPr>
            <w:r w:rsidRPr="002D3529">
              <w:rPr>
                <w:rFonts w:ascii="Sabon Next LT" w:eastAsia="Calibri" w:hAnsi="Sabon Next LT" w:cs="Sabon Next LT"/>
                <w:szCs w:val="20"/>
                <w:lang w:eastAsia="en-US"/>
              </w:rPr>
              <w:t>–</w:t>
            </w:r>
          </w:p>
        </w:tc>
        <w:tc>
          <w:tcPr>
            <w:tcW w:w="1299" w:type="dxa"/>
          </w:tcPr>
          <w:p w14:paraId="02427BE2" w14:textId="77777777" w:rsidR="007C2E48" w:rsidRPr="002D3529" w:rsidRDefault="007C2E48" w:rsidP="00DE1A10">
            <w:pPr>
              <w:spacing w:after="160" w:line="259" w:lineRule="auto"/>
              <w:ind w:firstLine="0"/>
              <w:rPr>
                <w:rFonts w:ascii="Sabon Next LT" w:eastAsia="Calibri" w:hAnsi="Sabon Next LT" w:cs="Sabon Next LT"/>
                <w:b/>
                <w:bCs/>
                <w:szCs w:val="20"/>
                <w:lang w:eastAsia="en-US"/>
              </w:rPr>
            </w:pPr>
            <w:r w:rsidRPr="002D3529">
              <w:rPr>
                <w:rFonts w:ascii="Sabon Next LT" w:eastAsia="Calibri" w:hAnsi="Sabon Next LT" w:cs="Sabon Next LT"/>
                <w:b/>
                <w:bCs/>
                <w:szCs w:val="20"/>
                <w:lang w:eastAsia="en-US"/>
              </w:rPr>
              <w:t>0,904</w:t>
            </w:r>
          </w:p>
        </w:tc>
        <w:tc>
          <w:tcPr>
            <w:tcW w:w="1324" w:type="dxa"/>
          </w:tcPr>
          <w:p w14:paraId="4B973723" w14:textId="77777777" w:rsidR="007C2E48" w:rsidRPr="002D3529" w:rsidRDefault="007C2E48" w:rsidP="00DE1A10">
            <w:pPr>
              <w:spacing w:after="160" w:line="259" w:lineRule="auto"/>
              <w:ind w:firstLine="0"/>
              <w:rPr>
                <w:rFonts w:ascii="Sabon Next LT" w:eastAsia="Calibri" w:hAnsi="Sabon Next LT" w:cs="Sabon Next LT"/>
                <w:b/>
                <w:bCs/>
                <w:szCs w:val="20"/>
                <w:lang w:eastAsia="en-US"/>
              </w:rPr>
            </w:pPr>
            <w:r w:rsidRPr="002D3529">
              <w:rPr>
                <w:rFonts w:ascii="Sabon Next LT" w:eastAsia="Calibri" w:hAnsi="Sabon Next LT" w:cs="Sabon Next LT"/>
                <w:b/>
                <w:bCs/>
                <w:szCs w:val="20"/>
                <w:lang w:eastAsia="en-US"/>
              </w:rPr>
              <w:t>0,612</w:t>
            </w:r>
          </w:p>
        </w:tc>
        <w:tc>
          <w:tcPr>
            <w:tcW w:w="1139" w:type="dxa"/>
          </w:tcPr>
          <w:p w14:paraId="032B0FBD" w14:textId="77777777" w:rsidR="007C2E48" w:rsidRPr="002D3529" w:rsidRDefault="007C2E48" w:rsidP="00DE1A10">
            <w:pPr>
              <w:spacing w:after="160" w:line="259" w:lineRule="auto"/>
              <w:ind w:firstLine="0"/>
              <w:rPr>
                <w:rFonts w:ascii="Sabon Next LT" w:eastAsia="Calibri" w:hAnsi="Sabon Next LT" w:cs="Sabon Next LT"/>
                <w:b/>
                <w:bCs/>
                <w:szCs w:val="20"/>
                <w:lang w:eastAsia="en-US"/>
              </w:rPr>
            </w:pPr>
            <w:r w:rsidRPr="002D3529">
              <w:rPr>
                <w:rFonts w:ascii="Sabon Next LT" w:eastAsia="Calibri" w:hAnsi="Sabon Next LT" w:cs="Sabon Next LT"/>
                <w:b/>
                <w:bCs/>
                <w:szCs w:val="20"/>
                <w:lang w:eastAsia="en-US"/>
              </w:rPr>
              <w:t>0,742</w:t>
            </w:r>
          </w:p>
        </w:tc>
      </w:tr>
      <w:tr w:rsidR="007C2E48" w:rsidRPr="000D63C6" w14:paraId="19DD781F" w14:textId="77777777" w:rsidTr="00DE1A10">
        <w:tc>
          <w:tcPr>
            <w:tcW w:w="1980" w:type="dxa"/>
          </w:tcPr>
          <w:p w14:paraId="08741D3F" w14:textId="77777777" w:rsidR="007C2E48" w:rsidRPr="007C2E48" w:rsidRDefault="007C2E48" w:rsidP="00DE1A10">
            <w:pPr>
              <w:spacing w:after="160" w:line="259" w:lineRule="auto"/>
              <w:ind w:firstLine="0"/>
              <w:rPr>
                <w:rFonts w:ascii="Sabon Next LT" w:eastAsia="Calibri" w:hAnsi="Sabon Next LT" w:cs="Sabon Next LT"/>
                <w:szCs w:val="20"/>
                <w:lang w:val="en-GB" w:eastAsia="en-US"/>
              </w:rPr>
            </w:pPr>
            <w:r w:rsidRPr="007C2E48">
              <w:rPr>
                <w:rFonts w:ascii="Sabon Next LT" w:eastAsia="Calibri" w:hAnsi="Sabon Next LT" w:cs="Sabon Next LT"/>
                <w:szCs w:val="20"/>
                <w:lang w:val="en-GB" w:eastAsia="en-US"/>
              </w:rPr>
              <w:t xml:space="preserve">~POP </w:t>
            </w:r>
            <w:r w:rsidRPr="007C2E48">
              <w:rPr>
                <w:rFonts w:ascii="Sabon Next LT" w:eastAsia="Calibri" w:hAnsi="Sabon Next LT" w:cs="Sabon Next LT"/>
                <w:szCs w:val="20"/>
                <w:lang w:val="en-GB" w:eastAsia="en-US"/>
              </w:rPr>
              <w:br/>
              <w:t xml:space="preserve">OR POORHEALTH OR ~AFFL </w:t>
            </w:r>
            <w:r w:rsidRPr="007C2E48">
              <w:rPr>
                <w:rFonts w:ascii="Sabon Next LT" w:eastAsia="Calibri" w:hAnsi="Sabon Next LT" w:cs="Sabon Next LT"/>
                <w:szCs w:val="20"/>
                <w:lang w:val="en-GB" w:eastAsia="en-US"/>
              </w:rPr>
              <w:br/>
              <w:t>OR ~SOCAP</w:t>
            </w:r>
          </w:p>
        </w:tc>
        <w:tc>
          <w:tcPr>
            <w:tcW w:w="1030" w:type="dxa"/>
          </w:tcPr>
          <w:p w14:paraId="6992A678" w14:textId="77777777" w:rsidR="007C2E48" w:rsidRPr="002D3529" w:rsidRDefault="007C2E48" w:rsidP="00DE1A10">
            <w:pPr>
              <w:spacing w:after="160" w:line="259" w:lineRule="auto"/>
              <w:ind w:firstLine="0"/>
              <w:rPr>
                <w:rFonts w:ascii="Sabon Next LT" w:eastAsia="Calibri" w:hAnsi="Sabon Next LT" w:cs="Sabon Next LT"/>
                <w:szCs w:val="20"/>
                <w:lang w:eastAsia="en-US"/>
              </w:rPr>
            </w:pPr>
            <w:r w:rsidRPr="002D3529">
              <w:rPr>
                <w:rFonts w:ascii="Sabon Next LT" w:eastAsia="Calibri" w:hAnsi="Sabon Next LT" w:cs="Sabon Next LT"/>
                <w:szCs w:val="20"/>
                <w:lang w:eastAsia="en-US"/>
              </w:rPr>
              <w:t>–</w:t>
            </w:r>
          </w:p>
        </w:tc>
        <w:tc>
          <w:tcPr>
            <w:tcW w:w="1164" w:type="dxa"/>
          </w:tcPr>
          <w:p w14:paraId="3A09265B" w14:textId="77777777" w:rsidR="007C2E48" w:rsidRPr="002D3529" w:rsidRDefault="007C2E48" w:rsidP="00DE1A10">
            <w:pPr>
              <w:spacing w:after="160" w:line="259" w:lineRule="auto"/>
              <w:ind w:firstLine="0"/>
              <w:rPr>
                <w:rFonts w:ascii="Sabon Next LT" w:eastAsia="Calibri" w:hAnsi="Sabon Next LT" w:cs="Sabon Next LT"/>
                <w:szCs w:val="20"/>
                <w:lang w:eastAsia="en-US"/>
              </w:rPr>
            </w:pPr>
            <w:r w:rsidRPr="002D3529">
              <w:rPr>
                <w:rFonts w:ascii="Sabon Next LT" w:eastAsia="Calibri" w:hAnsi="Sabon Next LT" w:cs="Sabon Next LT"/>
                <w:szCs w:val="20"/>
                <w:lang w:eastAsia="en-US"/>
              </w:rPr>
              <w:t>–</w:t>
            </w:r>
          </w:p>
        </w:tc>
        <w:tc>
          <w:tcPr>
            <w:tcW w:w="1126" w:type="dxa"/>
          </w:tcPr>
          <w:p w14:paraId="0C1145F5" w14:textId="77777777" w:rsidR="007C2E48" w:rsidRPr="002D3529" w:rsidRDefault="007C2E48" w:rsidP="00DE1A10">
            <w:pPr>
              <w:spacing w:after="160" w:line="259" w:lineRule="auto"/>
              <w:ind w:firstLine="0"/>
              <w:rPr>
                <w:rFonts w:ascii="Sabon Next LT" w:eastAsia="Calibri" w:hAnsi="Sabon Next LT" w:cs="Sabon Next LT"/>
                <w:szCs w:val="20"/>
                <w:lang w:eastAsia="en-US"/>
              </w:rPr>
            </w:pPr>
            <w:r w:rsidRPr="002D3529">
              <w:rPr>
                <w:rFonts w:ascii="Sabon Next LT" w:eastAsia="Calibri" w:hAnsi="Sabon Next LT" w:cs="Sabon Next LT"/>
                <w:szCs w:val="20"/>
                <w:lang w:eastAsia="en-US"/>
              </w:rPr>
              <w:t>–</w:t>
            </w:r>
          </w:p>
        </w:tc>
        <w:tc>
          <w:tcPr>
            <w:tcW w:w="1299" w:type="dxa"/>
          </w:tcPr>
          <w:p w14:paraId="0DB573C4" w14:textId="77777777" w:rsidR="007C2E48" w:rsidRPr="002D3529" w:rsidRDefault="007C2E48" w:rsidP="00DE1A10">
            <w:pPr>
              <w:spacing w:after="160" w:line="259" w:lineRule="auto"/>
              <w:ind w:firstLine="0"/>
              <w:rPr>
                <w:rFonts w:ascii="Sabon Next LT" w:eastAsia="Calibri" w:hAnsi="Sabon Next LT" w:cs="Sabon Next LT"/>
                <w:b/>
                <w:bCs/>
                <w:szCs w:val="20"/>
                <w:lang w:eastAsia="en-US"/>
              </w:rPr>
            </w:pPr>
            <w:r w:rsidRPr="002D3529">
              <w:rPr>
                <w:rFonts w:ascii="Sabon Next LT" w:eastAsia="Calibri" w:hAnsi="Sabon Next LT" w:cs="Sabon Next LT"/>
                <w:b/>
                <w:bCs/>
                <w:szCs w:val="20"/>
                <w:lang w:eastAsia="en-US"/>
              </w:rPr>
              <w:t>0,901</w:t>
            </w:r>
          </w:p>
        </w:tc>
        <w:tc>
          <w:tcPr>
            <w:tcW w:w="1324" w:type="dxa"/>
          </w:tcPr>
          <w:p w14:paraId="0526DCAE" w14:textId="77777777" w:rsidR="007C2E48" w:rsidRPr="002D3529" w:rsidRDefault="007C2E48" w:rsidP="00DE1A10">
            <w:pPr>
              <w:spacing w:after="160" w:line="259" w:lineRule="auto"/>
              <w:ind w:firstLine="0"/>
              <w:rPr>
                <w:rFonts w:ascii="Sabon Next LT" w:eastAsia="Calibri" w:hAnsi="Sabon Next LT" w:cs="Sabon Next LT"/>
                <w:b/>
                <w:bCs/>
                <w:szCs w:val="20"/>
                <w:lang w:eastAsia="en-US"/>
              </w:rPr>
            </w:pPr>
            <w:r w:rsidRPr="002D3529">
              <w:rPr>
                <w:rFonts w:ascii="Sabon Next LT" w:eastAsia="Calibri" w:hAnsi="Sabon Next LT" w:cs="Sabon Next LT"/>
                <w:b/>
                <w:bCs/>
                <w:szCs w:val="20"/>
                <w:lang w:eastAsia="en-US"/>
              </w:rPr>
              <w:t>0,503</w:t>
            </w:r>
          </w:p>
        </w:tc>
        <w:tc>
          <w:tcPr>
            <w:tcW w:w="1139" w:type="dxa"/>
          </w:tcPr>
          <w:p w14:paraId="3EECB4B6" w14:textId="77777777" w:rsidR="007C2E48" w:rsidRPr="002D3529" w:rsidRDefault="007C2E48" w:rsidP="00DE1A10">
            <w:pPr>
              <w:spacing w:after="160" w:line="259" w:lineRule="auto"/>
              <w:ind w:firstLine="0"/>
              <w:rPr>
                <w:rFonts w:ascii="Sabon Next LT" w:eastAsia="Calibri" w:hAnsi="Sabon Next LT" w:cs="Sabon Next LT"/>
                <w:b/>
                <w:bCs/>
                <w:szCs w:val="20"/>
                <w:lang w:eastAsia="en-US"/>
              </w:rPr>
            </w:pPr>
            <w:r w:rsidRPr="002D3529">
              <w:rPr>
                <w:rFonts w:ascii="Sabon Next LT" w:eastAsia="Calibri" w:hAnsi="Sabon Next LT" w:cs="Sabon Next LT"/>
                <w:b/>
                <w:bCs/>
                <w:szCs w:val="20"/>
                <w:lang w:eastAsia="en-US"/>
              </w:rPr>
              <w:t>0,690</w:t>
            </w:r>
          </w:p>
        </w:tc>
      </w:tr>
    </w:tbl>
    <w:p w14:paraId="6055F41C" w14:textId="77777777" w:rsidR="007C2E48" w:rsidRPr="000D63C6" w:rsidRDefault="007C2E48" w:rsidP="007C2E48">
      <w:pPr>
        <w:spacing w:before="0" w:after="0" w:line="240" w:lineRule="auto"/>
        <w:ind w:firstLine="0"/>
        <w:contextualSpacing/>
        <w:rPr>
          <w:rFonts w:eastAsia="Calibri"/>
          <w:sz w:val="20"/>
          <w:szCs w:val="20"/>
          <w:lang w:eastAsia="en-US"/>
        </w:rPr>
      </w:pPr>
      <w:r w:rsidRPr="000D63C6">
        <w:rPr>
          <w:rFonts w:eastAsia="Calibri"/>
          <w:sz w:val="20"/>
          <w:szCs w:val="20"/>
          <w:lang w:eastAsia="en-US"/>
        </w:rPr>
        <w:t xml:space="preserve">Source: author’s own elaboration. </w:t>
      </w:r>
    </w:p>
    <w:p w14:paraId="5C82AE83" w14:textId="77777777" w:rsidR="007C2E48" w:rsidRPr="000D63C6" w:rsidRDefault="007C2E48" w:rsidP="007C2E48">
      <w:pPr>
        <w:spacing w:before="0" w:after="0" w:line="240" w:lineRule="auto"/>
        <w:ind w:firstLine="0"/>
        <w:contextualSpacing/>
        <w:rPr>
          <w:rFonts w:eastAsia="Calibri"/>
          <w:sz w:val="20"/>
          <w:szCs w:val="20"/>
          <w:lang w:eastAsia="en-US"/>
        </w:rPr>
      </w:pPr>
      <w:r w:rsidRPr="000D63C6">
        <w:rPr>
          <w:rFonts w:eastAsia="Calibri"/>
          <w:sz w:val="20"/>
          <w:szCs w:val="20"/>
          <w:lang w:eastAsia="en-US"/>
        </w:rPr>
        <w:t xml:space="preserve">Note: the thresholds applied: consistency = 0,9, coverage = 0,6, RoN = 0,5.  </w:t>
      </w:r>
    </w:p>
    <w:p w14:paraId="1C6DB75A" w14:textId="77777777" w:rsidR="007C2E48" w:rsidRPr="000D63C6" w:rsidRDefault="007C2E48" w:rsidP="007C2E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after="0" w:line="240" w:lineRule="auto"/>
        <w:ind w:firstLine="0"/>
        <w:jc w:val="left"/>
        <w:rPr>
          <w:rFonts w:eastAsia="Times New Roman"/>
          <w:color w:val="000000"/>
          <w:sz w:val="20"/>
          <w:szCs w:val="20"/>
          <w:bdr w:val="none" w:sz="0" w:space="0" w:color="auto" w:frame="1"/>
          <w:lang w:eastAsia="pl-PL"/>
        </w:rPr>
      </w:pPr>
    </w:p>
    <w:p w14:paraId="381FB06B" w14:textId="77777777" w:rsidR="007C2E48" w:rsidRDefault="007C2E48" w:rsidP="007C2E48">
      <w:pPr>
        <w:spacing w:line="240" w:lineRule="auto"/>
        <w:ind w:firstLine="0"/>
        <w:rPr>
          <w:rFonts w:eastAsia="Calibri"/>
          <w:b/>
          <w:bCs/>
          <w:sz w:val="20"/>
          <w:szCs w:val="20"/>
          <w:lang w:eastAsia="en-US"/>
        </w:rPr>
      </w:pPr>
      <w:r>
        <w:rPr>
          <w:rFonts w:eastAsia="Calibri"/>
          <w:b/>
          <w:bCs/>
          <w:sz w:val="20"/>
          <w:szCs w:val="20"/>
          <w:lang w:eastAsia="en-US"/>
        </w:rPr>
        <w:br w:type="page"/>
      </w:r>
    </w:p>
    <w:p w14:paraId="32BFBF9B" w14:textId="77777777" w:rsidR="007C2E48" w:rsidRPr="000D63C6" w:rsidRDefault="007C2E48" w:rsidP="007C2E48">
      <w:pPr>
        <w:spacing w:before="0" w:after="0"/>
        <w:ind w:firstLine="0"/>
        <w:contextualSpacing/>
        <w:rPr>
          <w:rFonts w:eastAsia="Calibri"/>
          <w:b/>
          <w:bCs/>
          <w:sz w:val="20"/>
          <w:szCs w:val="20"/>
          <w:lang w:eastAsia="en-US"/>
        </w:rPr>
      </w:pPr>
      <w:r w:rsidRPr="000D63C6">
        <w:rPr>
          <w:rFonts w:eastAsia="Calibri"/>
          <w:b/>
          <w:bCs/>
          <w:sz w:val="20"/>
          <w:szCs w:val="20"/>
          <w:lang w:eastAsia="en-US"/>
        </w:rPr>
        <w:lastRenderedPageBreak/>
        <w:t>Table A</w:t>
      </w:r>
      <w:r>
        <w:rPr>
          <w:rFonts w:eastAsia="Calibri"/>
          <w:b/>
          <w:bCs/>
          <w:sz w:val="20"/>
          <w:szCs w:val="20"/>
          <w:lang w:eastAsia="en-US"/>
        </w:rPr>
        <w:t>4</w:t>
      </w:r>
      <w:r w:rsidRPr="000D63C6">
        <w:rPr>
          <w:rFonts w:eastAsia="Calibri"/>
          <w:b/>
          <w:bCs/>
          <w:sz w:val="20"/>
          <w:szCs w:val="20"/>
          <w:lang w:eastAsia="en-US"/>
        </w:rPr>
        <w:t xml:space="preserve">: Truth table for universal targeting in municipal public health policy.  </w:t>
      </w:r>
    </w:p>
    <w:tbl>
      <w:tblPr>
        <w:tblStyle w:val="Tabela-Siatka"/>
        <w:tblW w:w="5000" w:type="pct"/>
        <w:tblLook w:val="04A0" w:firstRow="1" w:lastRow="0" w:firstColumn="1" w:lastColumn="0" w:noHBand="0" w:noVBand="1"/>
      </w:tblPr>
      <w:tblGrid>
        <w:gridCol w:w="667"/>
        <w:gridCol w:w="992"/>
        <w:gridCol w:w="667"/>
        <w:gridCol w:w="667"/>
        <w:gridCol w:w="667"/>
        <w:gridCol w:w="667"/>
        <w:gridCol w:w="1052"/>
        <w:gridCol w:w="754"/>
        <w:gridCol w:w="2929"/>
      </w:tblGrid>
      <w:tr w:rsidR="007C2E48" w:rsidRPr="000D63C6" w14:paraId="76E302FC" w14:textId="77777777" w:rsidTr="00DE1A10">
        <w:trPr>
          <w:trHeight w:val="1337"/>
        </w:trPr>
        <w:tc>
          <w:tcPr>
            <w:tcW w:w="253" w:type="pct"/>
            <w:tcBorders>
              <w:bottom w:val="single" w:sz="8" w:space="0" w:color="auto"/>
            </w:tcBorders>
            <w:noWrap/>
            <w:textDirection w:val="btLr"/>
            <w:hideMark/>
          </w:tcPr>
          <w:p w14:paraId="012662C5" w14:textId="77777777" w:rsidR="007C2E48" w:rsidRPr="002D3529" w:rsidRDefault="007C2E48" w:rsidP="00DE1A10">
            <w:pPr>
              <w:spacing w:line="240" w:lineRule="auto"/>
              <w:ind w:firstLine="0"/>
              <w:jc w:val="center"/>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b/>
                <w:bCs/>
                <w:color w:val="000000"/>
                <w:szCs w:val="20"/>
                <w:lang w:eastAsia="pl-PL"/>
              </w:rPr>
              <w:t>POP</w:t>
            </w:r>
          </w:p>
        </w:tc>
        <w:tc>
          <w:tcPr>
            <w:tcW w:w="384" w:type="pct"/>
            <w:tcBorders>
              <w:bottom w:val="single" w:sz="8" w:space="0" w:color="auto"/>
            </w:tcBorders>
            <w:noWrap/>
            <w:textDirection w:val="btLr"/>
            <w:hideMark/>
          </w:tcPr>
          <w:p w14:paraId="38A7E1A7" w14:textId="77777777" w:rsidR="007C2E48" w:rsidRPr="002D3529" w:rsidRDefault="007C2E48" w:rsidP="00DE1A10">
            <w:pPr>
              <w:spacing w:line="240" w:lineRule="auto"/>
              <w:ind w:firstLine="0"/>
              <w:jc w:val="center"/>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b/>
                <w:bCs/>
                <w:color w:val="000000"/>
                <w:szCs w:val="20"/>
                <w:lang w:eastAsia="pl-PL"/>
              </w:rPr>
              <w:t>POOR</w:t>
            </w:r>
            <w:r w:rsidRPr="002D3529">
              <w:rPr>
                <w:rFonts w:ascii="Sabon Next LT" w:eastAsia="Times New Roman" w:hAnsi="Sabon Next LT" w:cs="Sabon Next LT"/>
                <w:b/>
                <w:bCs/>
                <w:color w:val="000000"/>
                <w:szCs w:val="20"/>
                <w:lang w:eastAsia="pl-PL"/>
              </w:rPr>
              <w:br/>
              <w:t>HEALTH</w:t>
            </w:r>
          </w:p>
        </w:tc>
        <w:tc>
          <w:tcPr>
            <w:tcW w:w="253" w:type="pct"/>
            <w:tcBorders>
              <w:bottom w:val="single" w:sz="8" w:space="0" w:color="auto"/>
            </w:tcBorders>
            <w:noWrap/>
            <w:textDirection w:val="btLr"/>
            <w:hideMark/>
          </w:tcPr>
          <w:p w14:paraId="1B88A574" w14:textId="77777777" w:rsidR="007C2E48" w:rsidRPr="002D3529" w:rsidRDefault="007C2E48" w:rsidP="00DE1A10">
            <w:pPr>
              <w:spacing w:line="240" w:lineRule="auto"/>
              <w:ind w:firstLine="0"/>
              <w:jc w:val="center"/>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b/>
                <w:bCs/>
                <w:color w:val="000000"/>
                <w:szCs w:val="20"/>
                <w:lang w:eastAsia="pl-PL"/>
              </w:rPr>
              <w:t>AFFL</w:t>
            </w:r>
          </w:p>
        </w:tc>
        <w:tc>
          <w:tcPr>
            <w:tcW w:w="253" w:type="pct"/>
            <w:tcBorders>
              <w:bottom w:val="single" w:sz="8" w:space="0" w:color="auto"/>
            </w:tcBorders>
            <w:noWrap/>
            <w:textDirection w:val="btLr"/>
            <w:hideMark/>
          </w:tcPr>
          <w:p w14:paraId="644013A7" w14:textId="77777777" w:rsidR="007C2E48" w:rsidRPr="002D3529" w:rsidRDefault="007C2E48" w:rsidP="00DE1A10">
            <w:pPr>
              <w:spacing w:line="240" w:lineRule="auto"/>
              <w:ind w:firstLine="0"/>
              <w:jc w:val="center"/>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b/>
                <w:bCs/>
                <w:color w:val="000000"/>
                <w:szCs w:val="20"/>
                <w:lang w:eastAsia="pl-PL"/>
              </w:rPr>
              <w:t>WMR</w:t>
            </w:r>
          </w:p>
        </w:tc>
        <w:tc>
          <w:tcPr>
            <w:tcW w:w="253" w:type="pct"/>
            <w:tcBorders>
              <w:bottom w:val="single" w:sz="8" w:space="0" w:color="auto"/>
            </w:tcBorders>
            <w:noWrap/>
            <w:textDirection w:val="btLr"/>
            <w:hideMark/>
          </w:tcPr>
          <w:p w14:paraId="093ED692" w14:textId="77777777" w:rsidR="007C2E48" w:rsidRPr="002D3529" w:rsidRDefault="007C2E48" w:rsidP="00DE1A10">
            <w:pPr>
              <w:spacing w:line="240" w:lineRule="auto"/>
              <w:ind w:firstLine="0"/>
              <w:jc w:val="center"/>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b/>
                <w:bCs/>
                <w:color w:val="000000"/>
                <w:szCs w:val="20"/>
                <w:lang w:eastAsia="pl-PL"/>
              </w:rPr>
              <w:t>SOCAP</w:t>
            </w:r>
          </w:p>
        </w:tc>
        <w:tc>
          <w:tcPr>
            <w:tcW w:w="253" w:type="pct"/>
            <w:tcBorders>
              <w:bottom w:val="single" w:sz="8" w:space="0" w:color="auto"/>
            </w:tcBorders>
            <w:noWrap/>
            <w:textDirection w:val="btLr"/>
            <w:hideMark/>
          </w:tcPr>
          <w:p w14:paraId="4ABA5DE7" w14:textId="77777777" w:rsidR="007C2E48" w:rsidRPr="002D3529" w:rsidRDefault="007C2E48" w:rsidP="00DE1A10">
            <w:pPr>
              <w:spacing w:line="240" w:lineRule="auto"/>
              <w:ind w:firstLine="0"/>
              <w:jc w:val="center"/>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b/>
                <w:bCs/>
                <w:color w:val="000000"/>
                <w:szCs w:val="20"/>
                <w:lang w:eastAsia="pl-PL"/>
              </w:rPr>
              <w:t>OUT</w:t>
            </w:r>
          </w:p>
        </w:tc>
        <w:tc>
          <w:tcPr>
            <w:tcW w:w="888" w:type="pct"/>
            <w:tcBorders>
              <w:bottom w:val="single" w:sz="8" w:space="0" w:color="auto"/>
            </w:tcBorders>
            <w:noWrap/>
            <w:textDirection w:val="btLr"/>
            <w:hideMark/>
          </w:tcPr>
          <w:p w14:paraId="6AB14FF7" w14:textId="77777777" w:rsidR="007C2E48" w:rsidRPr="002D3529" w:rsidRDefault="007C2E48" w:rsidP="00DE1A10">
            <w:pPr>
              <w:spacing w:line="240" w:lineRule="auto"/>
              <w:ind w:firstLine="0"/>
              <w:jc w:val="center"/>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b/>
                <w:bCs/>
                <w:color w:val="000000"/>
                <w:szCs w:val="20"/>
                <w:lang w:eastAsia="pl-PL"/>
              </w:rPr>
              <w:t xml:space="preserve">Inclusion </w:t>
            </w:r>
          </w:p>
          <w:p w14:paraId="2F55A9E6" w14:textId="77777777" w:rsidR="007C2E48" w:rsidRPr="002D3529" w:rsidRDefault="007C2E48" w:rsidP="00DE1A10">
            <w:pPr>
              <w:spacing w:line="240" w:lineRule="auto"/>
              <w:ind w:firstLine="0"/>
              <w:jc w:val="center"/>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b/>
                <w:bCs/>
                <w:color w:val="000000"/>
                <w:szCs w:val="20"/>
                <w:lang w:eastAsia="pl-PL"/>
              </w:rPr>
              <w:t>score</w:t>
            </w:r>
          </w:p>
        </w:tc>
        <w:tc>
          <w:tcPr>
            <w:tcW w:w="889" w:type="pct"/>
            <w:tcBorders>
              <w:bottom w:val="single" w:sz="8" w:space="0" w:color="auto"/>
            </w:tcBorders>
            <w:noWrap/>
            <w:textDirection w:val="btLr"/>
            <w:hideMark/>
          </w:tcPr>
          <w:p w14:paraId="04639701" w14:textId="77777777" w:rsidR="007C2E48" w:rsidRPr="002D3529" w:rsidRDefault="007C2E48" w:rsidP="00DE1A10">
            <w:pPr>
              <w:spacing w:line="240" w:lineRule="auto"/>
              <w:ind w:firstLine="0"/>
              <w:jc w:val="center"/>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b/>
                <w:bCs/>
                <w:color w:val="000000"/>
                <w:szCs w:val="20"/>
                <w:lang w:eastAsia="pl-PL"/>
              </w:rPr>
              <w:t>PRI</w:t>
            </w:r>
          </w:p>
        </w:tc>
        <w:tc>
          <w:tcPr>
            <w:tcW w:w="1573" w:type="pct"/>
            <w:tcBorders>
              <w:bottom w:val="single" w:sz="8" w:space="0" w:color="auto"/>
            </w:tcBorders>
            <w:noWrap/>
            <w:vAlign w:val="center"/>
            <w:hideMark/>
          </w:tcPr>
          <w:p w14:paraId="7BA4A88C" w14:textId="77777777" w:rsidR="007C2E48" w:rsidRPr="002D3529" w:rsidRDefault="007C2E48" w:rsidP="00DE1A10">
            <w:pPr>
              <w:spacing w:line="240" w:lineRule="auto"/>
              <w:ind w:firstLine="0"/>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b/>
                <w:bCs/>
                <w:color w:val="000000"/>
                <w:szCs w:val="20"/>
                <w:lang w:eastAsia="pl-PL"/>
              </w:rPr>
              <w:t>Cases</w:t>
            </w:r>
          </w:p>
        </w:tc>
      </w:tr>
      <w:tr w:rsidR="007C2E48" w:rsidRPr="000D63C6" w14:paraId="5F799F6C" w14:textId="77777777" w:rsidTr="00DE1A10">
        <w:trPr>
          <w:trHeight w:val="449"/>
        </w:trPr>
        <w:tc>
          <w:tcPr>
            <w:tcW w:w="253" w:type="pct"/>
            <w:tcBorders>
              <w:top w:val="single" w:sz="8" w:space="0" w:color="auto"/>
            </w:tcBorders>
            <w:noWrap/>
            <w:hideMark/>
          </w:tcPr>
          <w:p w14:paraId="7DF66EC3" w14:textId="77777777" w:rsidR="007C2E48" w:rsidRPr="002D3529" w:rsidRDefault="007C2E48" w:rsidP="00DE1A10">
            <w:pPr>
              <w:spacing w:line="240" w:lineRule="auto"/>
              <w:ind w:firstLine="0"/>
              <w:jc w:val="right"/>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b/>
                <w:bCs/>
                <w:color w:val="000000"/>
                <w:szCs w:val="20"/>
                <w:lang w:eastAsia="pl-PL"/>
              </w:rPr>
              <w:t>0</w:t>
            </w:r>
          </w:p>
        </w:tc>
        <w:tc>
          <w:tcPr>
            <w:tcW w:w="384" w:type="pct"/>
            <w:tcBorders>
              <w:top w:val="single" w:sz="8" w:space="0" w:color="auto"/>
            </w:tcBorders>
            <w:noWrap/>
            <w:hideMark/>
          </w:tcPr>
          <w:p w14:paraId="72041A5C" w14:textId="77777777" w:rsidR="007C2E48" w:rsidRPr="002D3529" w:rsidRDefault="007C2E48" w:rsidP="00DE1A10">
            <w:pPr>
              <w:spacing w:line="240" w:lineRule="auto"/>
              <w:ind w:firstLine="0"/>
              <w:jc w:val="right"/>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b/>
                <w:bCs/>
                <w:color w:val="000000"/>
                <w:szCs w:val="20"/>
                <w:lang w:eastAsia="pl-PL"/>
              </w:rPr>
              <w:t>0</w:t>
            </w:r>
          </w:p>
        </w:tc>
        <w:tc>
          <w:tcPr>
            <w:tcW w:w="253" w:type="pct"/>
            <w:tcBorders>
              <w:top w:val="single" w:sz="8" w:space="0" w:color="auto"/>
            </w:tcBorders>
            <w:noWrap/>
            <w:hideMark/>
          </w:tcPr>
          <w:p w14:paraId="22742E70" w14:textId="77777777" w:rsidR="007C2E48" w:rsidRPr="002D3529" w:rsidRDefault="007C2E48" w:rsidP="00DE1A10">
            <w:pPr>
              <w:spacing w:line="240" w:lineRule="auto"/>
              <w:ind w:firstLine="0"/>
              <w:jc w:val="right"/>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b/>
                <w:bCs/>
                <w:color w:val="000000"/>
                <w:szCs w:val="20"/>
                <w:lang w:eastAsia="pl-PL"/>
              </w:rPr>
              <w:t>0</w:t>
            </w:r>
          </w:p>
        </w:tc>
        <w:tc>
          <w:tcPr>
            <w:tcW w:w="253" w:type="pct"/>
            <w:tcBorders>
              <w:top w:val="single" w:sz="8" w:space="0" w:color="auto"/>
            </w:tcBorders>
            <w:noWrap/>
            <w:hideMark/>
          </w:tcPr>
          <w:p w14:paraId="5E2651A2" w14:textId="77777777" w:rsidR="007C2E48" w:rsidRPr="002D3529" w:rsidRDefault="007C2E48" w:rsidP="00DE1A10">
            <w:pPr>
              <w:spacing w:line="240" w:lineRule="auto"/>
              <w:ind w:firstLine="0"/>
              <w:jc w:val="right"/>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b/>
                <w:bCs/>
                <w:color w:val="000000"/>
                <w:szCs w:val="20"/>
                <w:lang w:eastAsia="pl-PL"/>
              </w:rPr>
              <w:t>1</w:t>
            </w:r>
          </w:p>
        </w:tc>
        <w:tc>
          <w:tcPr>
            <w:tcW w:w="253" w:type="pct"/>
            <w:tcBorders>
              <w:top w:val="single" w:sz="8" w:space="0" w:color="auto"/>
            </w:tcBorders>
            <w:noWrap/>
            <w:hideMark/>
          </w:tcPr>
          <w:p w14:paraId="7F16909C" w14:textId="77777777" w:rsidR="007C2E48" w:rsidRPr="002D3529" w:rsidRDefault="007C2E48" w:rsidP="00DE1A10">
            <w:pPr>
              <w:spacing w:line="240" w:lineRule="auto"/>
              <w:ind w:firstLine="0"/>
              <w:jc w:val="right"/>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b/>
                <w:bCs/>
                <w:color w:val="000000"/>
                <w:szCs w:val="20"/>
                <w:lang w:eastAsia="pl-PL"/>
              </w:rPr>
              <w:t>1</w:t>
            </w:r>
          </w:p>
        </w:tc>
        <w:tc>
          <w:tcPr>
            <w:tcW w:w="253" w:type="pct"/>
            <w:tcBorders>
              <w:top w:val="single" w:sz="8" w:space="0" w:color="auto"/>
            </w:tcBorders>
            <w:noWrap/>
            <w:hideMark/>
          </w:tcPr>
          <w:p w14:paraId="1FB6ABEE" w14:textId="77777777" w:rsidR="007C2E48" w:rsidRPr="002D3529" w:rsidRDefault="007C2E48" w:rsidP="00DE1A10">
            <w:pPr>
              <w:spacing w:line="240" w:lineRule="auto"/>
              <w:ind w:firstLine="0"/>
              <w:jc w:val="right"/>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b/>
                <w:bCs/>
                <w:color w:val="000000"/>
                <w:szCs w:val="20"/>
                <w:lang w:eastAsia="pl-PL"/>
              </w:rPr>
              <w:t>1</w:t>
            </w:r>
          </w:p>
        </w:tc>
        <w:tc>
          <w:tcPr>
            <w:tcW w:w="888" w:type="pct"/>
            <w:tcBorders>
              <w:top w:val="single" w:sz="8" w:space="0" w:color="auto"/>
            </w:tcBorders>
            <w:noWrap/>
            <w:hideMark/>
          </w:tcPr>
          <w:p w14:paraId="3DEE9BA8" w14:textId="77777777" w:rsidR="007C2E48" w:rsidRPr="002D3529" w:rsidRDefault="007C2E48" w:rsidP="00DE1A10">
            <w:pPr>
              <w:spacing w:line="240" w:lineRule="auto"/>
              <w:ind w:firstLine="0"/>
              <w:rPr>
                <w:rFonts w:ascii="Sabon Next LT" w:eastAsia="Times New Roman" w:hAnsi="Sabon Next LT" w:cs="Sabon Next LT"/>
                <w:b/>
                <w:bCs/>
                <w:color w:val="000000"/>
                <w:szCs w:val="20"/>
                <w:lang w:eastAsia="pl-PL"/>
              </w:rPr>
            </w:pPr>
            <w:r w:rsidRPr="002D3529">
              <w:rPr>
                <w:rFonts w:ascii="Sabon Next LT" w:eastAsia="Calibri" w:hAnsi="Sabon Next LT" w:cs="Sabon Next LT"/>
                <w:b/>
                <w:bCs/>
                <w:color w:val="000000"/>
                <w:szCs w:val="20"/>
                <w:lang w:eastAsia="en-US"/>
              </w:rPr>
              <w:t>0,974</w:t>
            </w:r>
          </w:p>
        </w:tc>
        <w:tc>
          <w:tcPr>
            <w:tcW w:w="889" w:type="pct"/>
            <w:tcBorders>
              <w:top w:val="single" w:sz="8" w:space="0" w:color="auto"/>
            </w:tcBorders>
            <w:noWrap/>
            <w:hideMark/>
          </w:tcPr>
          <w:p w14:paraId="05D65FD7" w14:textId="77777777" w:rsidR="007C2E48" w:rsidRPr="002D3529" w:rsidRDefault="007C2E48" w:rsidP="00DE1A10">
            <w:pPr>
              <w:spacing w:line="240" w:lineRule="auto"/>
              <w:ind w:firstLine="0"/>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b/>
                <w:bCs/>
                <w:color w:val="000000"/>
                <w:szCs w:val="20"/>
                <w:lang w:eastAsia="pl-PL"/>
              </w:rPr>
              <w:t>0,932</w:t>
            </w:r>
          </w:p>
        </w:tc>
        <w:tc>
          <w:tcPr>
            <w:tcW w:w="1573" w:type="pct"/>
            <w:tcBorders>
              <w:top w:val="single" w:sz="8" w:space="0" w:color="auto"/>
            </w:tcBorders>
            <w:noWrap/>
            <w:hideMark/>
          </w:tcPr>
          <w:p w14:paraId="0C276C7D" w14:textId="77777777" w:rsidR="007C2E48" w:rsidRPr="002D3529" w:rsidRDefault="007C2E48" w:rsidP="00DE1A10">
            <w:pPr>
              <w:spacing w:line="240" w:lineRule="auto"/>
              <w:ind w:firstLine="0"/>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b/>
                <w:bCs/>
                <w:color w:val="000000"/>
                <w:szCs w:val="20"/>
                <w:lang w:eastAsia="pl-PL"/>
              </w:rPr>
              <w:t>Olsztyn, Kielce, Bialystok</w:t>
            </w:r>
          </w:p>
        </w:tc>
      </w:tr>
      <w:tr w:rsidR="007C2E48" w:rsidRPr="000D63C6" w14:paraId="3F1E130B" w14:textId="77777777" w:rsidTr="00DE1A10">
        <w:trPr>
          <w:trHeight w:val="449"/>
        </w:trPr>
        <w:tc>
          <w:tcPr>
            <w:tcW w:w="253" w:type="pct"/>
            <w:noWrap/>
            <w:hideMark/>
          </w:tcPr>
          <w:p w14:paraId="57E5CBEC" w14:textId="77777777" w:rsidR="007C2E48" w:rsidRPr="002D3529" w:rsidRDefault="007C2E48" w:rsidP="00DE1A10">
            <w:pPr>
              <w:spacing w:line="240" w:lineRule="auto"/>
              <w:ind w:firstLine="0"/>
              <w:jc w:val="right"/>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b/>
                <w:bCs/>
                <w:color w:val="000000"/>
                <w:szCs w:val="20"/>
                <w:lang w:eastAsia="pl-PL"/>
              </w:rPr>
              <w:t>1</w:t>
            </w:r>
          </w:p>
        </w:tc>
        <w:tc>
          <w:tcPr>
            <w:tcW w:w="384" w:type="pct"/>
            <w:noWrap/>
            <w:hideMark/>
          </w:tcPr>
          <w:p w14:paraId="25CD06D6" w14:textId="77777777" w:rsidR="007C2E48" w:rsidRPr="002D3529" w:rsidRDefault="007C2E48" w:rsidP="00DE1A10">
            <w:pPr>
              <w:spacing w:line="240" w:lineRule="auto"/>
              <w:ind w:firstLine="0"/>
              <w:jc w:val="right"/>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b/>
                <w:bCs/>
                <w:color w:val="000000"/>
                <w:szCs w:val="20"/>
                <w:lang w:eastAsia="pl-PL"/>
              </w:rPr>
              <w:t>0</w:t>
            </w:r>
          </w:p>
        </w:tc>
        <w:tc>
          <w:tcPr>
            <w:tcW w:w="253" w:type="pct"/>
            <w:noWrap/>
            <w:hideMark/>
          </w:tcPr>
          <w:p w14:paraId="458BFB03" w14:textId="77777777" w:rsidR="007C2E48" w:rsidRPr="002D3529" w:rsidRDefault="007C2E48" w:rsidP="00DE1A10">
            <w:pPr>
              <w:spacing w:line="240" w:lineRule="auto"/>
              <w:ind w:firstLine="0"/>
              <w:jc w:val="right"/>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b/>
                <w:bCs/>
                <w:color w:val="000000"/>
                <w:szCs w:val="20"/>
                <w:lang w:eastAsia="pl-PL"/>
              </w:rPr>
              <w:t>1</w:t>
            </w:r>
          </w:p>
        </w:tc>
        <w:tc>
          <w:tcPr>
            <w:tcW w:w="253" w:type="pct"/>
            <w:noWrap/>
            <w:hideMark/>
          </w:tcPr>
          <w:p w14:paraId="26296F91" w14:textId="77777777" w:rsidR="007C2E48" w:rsidRPr="002D3529" w:rsidRDefault="007C2E48" w:rsidP="00DE1A10">
            <w:pPr>
              <w:spacing w:line="240" w:lineRule="auto"/>
              <w:ind w:firstLine="0"/>
              <w:jc w:val="right"/>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b/>
                <w:bCs/>
                <w:color w:val="000000"/>
                <w:szCs w:val="20"/>
                <w:lang w:eastAsia="pl-PL"/>
              </w:rPr>
              <w:t>1</w:t>
            </w:r>
          </w:p>
        </w:tc>
        <w:tc>
          <w:tcPr>
            <w:tcW w:w="253" w:type="pct"/>
            <w:noWrap/>
            <w:hideMark/>
          </w:tcPr>
          <w:p w14:paraId="1EA9E079" w14:textId="77777777" w:rsidR="007C2E48" w:rsidRPr="002D3529" w:rsidRDefault="007C2E48" w:rsidP="00DE1A10">
            <w:pPr>
              <w:spacing w:line="240" w:lineRule="auto"/>
              <w:ind w:firstLine="0"/>
              <w:jc w:val="right"/>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b/>
                <w:bCs/>
                <w:color w:val="000000"/>
                <w:szCs w:val="20"/>
                <w:lang w:eastAsia="pl-PL"/>
              </w:rPr>
              <w:t>1</w:t>
            </w:r>
          </w:p>
        </w:tc>
        <w:tc>
          <w:tcPr>
            <w:tcW w:w="253" w:type="pct"/>
            <w:noWrap/>
            <w:hideMark/>
          </w:tcPr>
          <w:p w14:paraId="761550C7" w14:textId="77777777" w:rsidR="007C2E48" w:rsidRPr="002D3529" w:rsidRDefault="007C2E48" w:rsidP="00DE1A10">
            <w:pPr>
              <w:spacing w:line="240" w:lineRule="auto"/>
              <w:ind w:firstLine="0"/>
              <w:jc w:val="right"/>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b/>
                <w:bCs/>
                <w:color w:val="000000"/>
                <w:szCs w:val="20"/>
                <w:lang w:eastAsia="pl-PL"/>
              </w:rPr>
              <w:t>1</w:t>
            </w:r>
          </w:p>
        </w:tc>
        <w:tc>
          <w:tcPr>
            <w:tcW w:w="888" w:type="pct"/>
            <w:noWrap/>
            <w:hideMark/>
          </w:tcPr>
          <w:p w14:paraId="2AC8E5CB" w14:textId="77777777" w:rsidR="007C2E48" w:rsidRPr="002D3529" w:rsidRDefault="007C2E48" w:rsidP="00DE1A10">
            <w:pPr>
              <w:spacing w:line="240" w:lineRule="auto"/>
              <w:ind w:firstLine="0"/>
              <w:rPr>
                <w:rFonts w:ascii="Sabon Next LT" w:eastAsia="Times New Roman" w:hAnsi="Sabon Next LT" w:cs="Sabon Next LT"/>
                <w:b/>
                <w:bCs/>
                <w:color w:val="000000"/>
                <w:szCs w:val="20"/>
                <w:lang w:eastAsia="pl-PL"/>
              </w:rPr>
            </w:pPr>
            <w:r w:rsidRPr="002D3529">
              <w:rPr>
                <w:rFonts w:ascii="Sabon Next LT" w:eastAsia="Calibri" w:hAnsi="Sabon Next LT" w:cs="Sabon Next LT"/>
                <w:b/>
                <w:bCs/>
                <w:color w:val="000000"/>
                <w:szCs w:val="20"/>
                <w:lang w:eastAsia="en-US"/>
              </w:rPr>
              <w:t>0,940</w:t>
            </w:r>
          </w:p>
        </w:tc>
        <w:tc>
          <w:tcPr>
            <w:tcW w:w="889" w:type="pct"/>
            <w:noWrap/>
            <w:hideMark/>
          </w:tcPr>
          <w:p w14:paraId="78246E31" w14:textId="77777777" w:rsidR="007C2E48" w:rsidRPr="002D3529" w:rsidRDefault="007C2E48" w:rsidP="00DE1A10">
            <w:pPr>
              <w:spacing w:line="240" w:lineRule="auto"/>
              <w:ind w:firstLine="0"/>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b/>
                <w:bCs/>
                <w:color w:val="000000"/>
                <w:szCs w:val="20"/>
                <w:lang w:eastAsia="pl-PL"/>
              </w:rPr>
              <w:t>0,882</w:t>
            </w:r>
          </w:p>
        </w:tc>
        <w:tc>
          <w:tcPr>
            <w:tcW w:w="1573" w:type="pct"/>
            <w:noWrap/>
            <w:hideMark/>
          </w:tcPr>
          <w:p w14:paraId="28A438A6" w14:textId="77777777" w:rsidR="007C2E48" w:rsidRPr="002D3529" w:rsidRDefault="007C2E48" w:rsidP="00DE1A10">
            <w:pPr>
              <w:spacing w:line="240" w:lineRule="auto"/>
              <w:ind w:firstLine="0"/>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b/>
                <w:bCs/>
                <w:color w:val="000000"/>
                <w:szCs w:val="20"/>
                <w:lang w:eastAsia="pl-PL"/>
              </w:rPr>
              <w:t>Warsaw, Gdansk</w:t>
            </w:r>
          </w:p>
        </w:tc>
      </w:tr>
      <w:tr w:rsidR="007C2E48" w:rsidRPr="000D63C6" w14:paraId="1A80BE4F" w14:textId="77777777" w:rsidTr="00DE1A10">
        <w:trPr>
          <w:trHeight w:val="449"/>
        </w:trPr>
        <w:tc>
          <w:tcPr>
            <w:tcW w:w="253" w:type="pct"/>
            <w:noWrap/>
            <w:hideMark/>
          </w:tcPr>
          <w:p w14:paraId="7FCD658F" w14:textId="77777777" w:rsidR="007C2E48" w:rsidRPr="002D3529" w:rsidRDefault="007C2E48" w:rsidP="00DE1A10">
            <w:pPr>
              <w:spacing w:line="240" w:lineRule="auto"/>
              <w:ind w:firstLine="0"/>
              <w:jc w:val="right"/>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b/>
                <w:bCs/>
                <w:color w:val="000000"/>
                <w:szCs w:val="20"/>
                <w:lang w:eastAsia="pl-PL"/>
              </w:rPr>
              <w:t>0</w:t>
            </w:r>
          </w:p>
        </w:tc>
        <w:tc>
          <w:tcPr>
            <w:tcW w:w="384" w:type="pct"/>
            <w:noWrap/>
            <w:hideMark/>
          </w:tcPr>
          <w:p w14:paraId="05BE139E" w14:textId="77777777" w:rsidR="007C2E48" w:rsidRPr="002D3529" w:rsidRDefault="007C2E48" w:rsidP="00DE1A10">
            <w:pPr>
              <w:spacing w:line="240" w:lineRule="auto"/>
              <w:ind w:firstLine="0"/>
              <w:jc w:val="right"/>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b/>
                <w:bCs/>
                <w:color w:val="000000"/>
                <w:szCs w:val="20"/>
                <w:lang w:eastAsia="pl-PL"/>
              </w:rPr>
              <w:t>0</w:t>
            </w:r>
          </w:p>
        </w:tc>
        <w:tc>
          <w:tcPr>
            <w:tcW w:w="253" w:type="pct"/>
            <w:noWrap/>
            <w:hideMark/>
          </w:tcPr>
          <w:p w14:paraId="680340D4" w14:textId="77777777" w:rsidR="007C2E48" w:rsidRPr="002D3529" w:rsidRDefault="007C2E48" w:rsidP="00DE1A10">
            <w:pPr>
              <w:spacing w:line="240" w:lineRule="auto"/>
              <w:ind w:firstLine="0"/>
              <w:jc w:val="right"/>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b/>
                <w:bCs/>
                <w:color w:val="000000"/>
                <w:szCs w:val="20"/>
                <w:lang w:eastAsia="pl-PL"/>
              </w:rPr>
              <w:t>1</w:t>
            </w:r>
          </w:p>
        </w:tc>
        <w:tc>
          <w:tcPr>
            <w:tcW w:w="253" w:type="pct"/>
            <w:noWrap/>
            <w:hideMark/>
          </w:tcPr>
          <w:p w14:paraId="5FDAFA34" w14:textId="77777777" w:rsidR="007C2E48" w:rsidRPr="002D3529" w:rsidRDefault="007C2E48" w:rsidP="00DE1A10">
            <w:pPr>
              <w:spacing w:line="240" w:lineRule="auto"/>
              <w:ind w:firstLine="0"/>
              <w:jc w:val="right"/>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b/>
                <w:bCs/>
                <w:color w:val="000000"/>
                <w:szCs w:val="20"/>
                <w:lang w:eastAsia="pl-PL"/>
              </w:rPr>
              <w:t>1</w:t>
            </w:r>
          </w:p>
        </w:tc>
        <w:tc>
          <w:tcPr>
            <w:tcW w:w="253" w:type="pct"/>
            <w:noWrap/>
            <w:hideMark/>
          </w:tcPr>
          <w:p w14:paraId="6EBD7A06" w14:textId="77777777" w:rsidR="007C2E48" w:rsidRPr="002D3529" w:rsidRDefault="007C2E48" w:rsidP="00DE1A10">
            <w:pPr>
              <w:spacing w:line="240" w:lineRule="auto"/>
              <w:ind w:firstLine="0"/>
              <w:jc w:val="right"/>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b/>
                <w:bCs/>
                <w:color w:val="000000"/>
                <w:szCs w:val="20"/>
                <w:lang w:eastAsia="pl-PL"/>
              </w:rPr>
              <w:t>1</w:t>
            </w:r>
          </w:p>
        </w:tc>
        <w:tc>
          <w:tcPr>
            <w:tcW w:w="253" w:type="pct"/>
            <w:noWrap/>
            <w:hideMark/>
          </w:tcPr>
          <w:p w14:paraId="75FF2FEA" w14:textId="77777777" w:rsidR="007C2E48" w:rsidRPr="002D3529" w:rsidRDefault="007C2E48" w:rsidP="00DE1A10">
            <w:pPr>
              <w:spacing w:line="240" w:lineRule="auto"/>
              <w:ind w:firstLine="0"/>
              <w:jc w:val="right"/>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b/>
                <w:bCs/>
                <w:color w:val="000000"/>
                <w:szCs w:val="20"/>
                <w:lang w:eastAsia="pl-PL"/>
              </w:rPr>
              <w:t>1</w:t>
            </w:r>
          </w:p>
        </w:tc>
        <w:tc>
          <w:tcPr>
            <w:tcW w:w="888" w:type="pct"/>
            <w:noWrap/>
            <w:hideMark/>
          </w:tcPr>
          <w:p w14:paraId="59DE0809" w14:textId="77777777" w:rsidR="007C2E48" w:rsidRPr="002D3529" w:rsidRDefault="007C2E48" w:rsidP="00DE1A10">
            <w:pPr>
              <w:spacing w:line="240" w:lineRule="auto"/>
              <w:ind w:firstLine="0"/>
              <w:rPr>
                <w:rFonts w:ascii="Sabon Next LT" w:eastAsia="Times New Roman" w:hAnsi="Sabon Next LT" w:cs="Sabon Next LT"/>
                <w:b/>
                <w:bCs/>
                <w:color w:val="000000"/>
                <w:szCs w:val="20"/>
                <w:lang w:eastAsia="pl-PL"/>
              </w:rPr>
            </w:pPr>
            <w:r w:rsidRPr="002D3529">
              <w:rPr>
                <w:rFonts w:ascii="Sabon Next LT" w:eastAsia="Calibri" w:hAnsi="Sabon Next LT" w:cs="Sabon Next LT"/>
                <w:b/>
                <w:bCs/>
                <w:color w:val="000000"/>
                <w:szCs w:val="20"/>
                <w:lang w:eastAsia="en-US"/>
              </w:rPr>
              <w:t>0,879</w:t>
            </w:r>
          </w:p>
        </w:tc>
        <w:tc>
          <w:tcPr>
            <w:tcW w:w="889" w:type="pct"/>
            <w:noWrap/>
            <w:hideMark/>
          </w:tcPr>
          <w:p w14:paraId="35E72DFE" w14:textId="77777777" w:rsidR="007C2E48" w:rsidRPr="002D3529" w:rsidRDefault="007C2E48" w:rsidP="00DE1A10">
            <w:pPr>
              <w:spacing w:line="240" w:lineRule="auto"/>
              <w:ind w:firstLine="0"/>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b/>
                <w:bCs/>
                <w:color w:val="000000"/>
                <w:szCs w:val="20"/>
                <w:lang w:eastAsia="pl-PL"/>
              </w:rPr>
              <w:t>0,721</w:t>
            </w:r>
          </w:p>
        </w:tc>
        <w:tc>
          <w:tcPr>
            <w:tcW w:w="1573" w:type="pct"/>
            <w:noWrap/>
            <w:hideMark/>
          </w:tcPr>
          <w:p w14:paraId="00DC3242" w14:textId="77777777" w:rsidR="007C2E48" w:rsidRPr="002D3529" w:rsidRDefault="007C2E48" w:rsidP="00DE1A10">
            <w:pPr>
              <w:spacing w:line="240" w:lineRule="auto"/>
              <w:ind w:firstLine="0"/>
              <w:rPr>
                <w:rFonts w:ascii="Sabon Next LT" w:eastAsia="Times New Roman" w:hAnsi="Sabon Next LT" w:cs="Sabon Next LT"/>
                <w:b/>
                <w:bCs/>
                <w:strike/>
                <w:color w:val="000000"/>
                <w:szCs w:val="20"/>
                <w:lang w:eastAsia="pl-PL"/>
              </w:rPr>
            </w:pPr>
            <w:r w:rsidRPr="002D3529">
              <w:rPr>
                <w:rFonts w:ascii="Sabon Next LT" w:eastAsia="Times New Roman" w:hAnsi="Sabon Next LT" w:cs="Sabon Next LT"/>
                <w:b/>
                <w:bCs/>
                <w:strike/>
                <w:color w:val="000000"/>
                <w:szCs w:val="20"/>
                <w:lang w:eastAsia="pl-PL"/>
              </w:rPr>
              <w:t>Gdynia</w:t>
            </w:r>
          </w:p>
        </w:tc>
      </w:tr>
      <w:tr w:rsidR="007C2E48" w:rsidRPr="000D63C6" w14:paraId="520F15DD" w14:textId="77777777" w:rsidTr="00DE1A10">
        <w:trPr>
          <w:trHeight w:val="449"/>
        </w:trPr>
        <w:tc>
          <w:tcPr>
            <w:tcW w:w="253" w:type="pct"/>
            <w:noWrap/>
            <w:hideMark/>
          </w:tcPr>
          <w:p w14:paraId="5811963F" w14:textId="77777777" w:rsidR="007C2E48" w:rsidRPr="002D3529" w:rsidRDefault="007C2E48" w:rsidP="00DE1A10">
            <w:pPr>
              <w:spacing w:line="240" w:lineRule="auto"/>
              <w:ind w:firstLine="0"/>
              <w:jc w:val="right"/>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1</w:t>
            </w:r>
          </w:p>
        </w:tc>
        <w:tc>
          <w:tcPr>
            <w:tcW w:w="384" w:type="pct"/>
            <w:noWrap/>
            <w:hideMark/>
          </w:tcPr>
          <w:p w14:paraId="35BDC10C" w14:textId="77777777" w:rsidR="007C2E48" w:rsidRPr="002D3529" w:rsidRDefault="007C2E48" w:rsidP="00DE1A10">
            <w:pPr>
              <w:spacing w:line="240" w:lineRule="auto"/>
              <w:ind w:firstLine="0"/>
              <w:jc w:val="right"/>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1</w:t>
            </w:r>
          </w:p>
        </w:tc>
        <w:tc>
          <w:tcPr>
            <w:tcW w:w="253" w:type="pct"/>
            <w:noWrap/>
            <w:hideMark/>
          </w:tcPr>
          <w:p w14:paraId="4BA3B689" w14:textId="77777777" w:rsidR="007C2E48" w:rsidRPr="002D3529" w:rsidRDefault="007C2E48" w:rsidP="00DE1A10">
            <w:pPr>
              <w:spacing w:line="240" w:lineRule="auto"/>
              <w:ind w:firstLine="0"/>
              <w:jc w:val="right"/>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1</w:t>
            </w:r>
          </w:p>
        </w:tc>
        <w:tc>
          <w:tcPr>
            <w:tcW w:w="253" w:type="pct"/>
            <w:noWrap/>
            <w:hideMark/>
          </w:tcPr>
          <w:p w14:paraId="629E830E" w14:textId="77777777" w:rsidR="007C2E48" w:rsidRPr="002D3529" w:rsidRDefault="007C2E48" w:rsidP="00DE1A10">
            <w:pPr>
              <w:spacing w:line="240" w:lineRule="auto"/>
              <w:ind w:firstLine="0"/>
              <w:jc w:val="right"/>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1</w:t>
            </w:r>
          </w:p>
        </w:tc>
        <w:tc>
          <w:tcPr>
            <w:tcW w:w="253" w:type="pct"/>
            <w:noWrap/>
            <w:hideMark/>
          </w:tcPr>
          <w:p w14:paraId="76168F64" w14:textId="77777777" w:rsidR="007C2E48" w:rsidRPr="002D3529" w:rsidRDefault="007C2E48" w:rsidP="00DE1A10">
            <w:pPr>
              <w:spacing w:line="240" w:lineRule="auto"/>
              <w:ind w:firstLine="0"/>
              <w:jc w:val="right"/>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1</w:t>
            </w:r>
          </w:p>
        </w:tc>
        <w:tc>
          <w:tcPr>
            <w:tcW w:w="253" w:type="pct"/>
            <w:noWrap/>
            <w:hideMark/>
          </w:tcPr>
          <w:p w14:paraId="5A87F154" w14:textId="77777777" w:rsidR="007C2E48" w:rsidRPr="002D3529" w:rsidRDefault="007C2E48" w:rsidP="00DE1A10">
            <w:pPr>
              <w:spacing w:line="240" w:lineRule="auto"/>
              <w:ind w:firstLine="0"/>
              <w:jc w:val="right"/>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0</w:t>
            </w:r>
          </w:p>
        </w:tc>
        <w:tc>
          <w:tcPr>
            <w:tcW w:w="888" w:type="pct"/>
            <w:noWrap/>
            <w:hideMark/>
          </w:tcPr>
          <w:p w14:paraId="2C42030D"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Calibri" w:hAnsi="Sabon Next LT" w:cs="Sabon Next LT"/>
                <w:color w:val="000000"/>
                <w:szCs w:val="20"/>
                <w:lang w:eastAsia="en-US"/>
              </w:rPr>
              <w:t>0,785</w:t>
            </w:r>
          </w:p>
        </w:tc>
        <w:tc>
          <w:tcPr>
            <w:tcW w:w="889" w:type="pct"/>
            <w:noWrap/>
            <w:hideMark/>
          </w:tcPr>
          <w:p w14:paraId="7B7BD3E6"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0,422</w:t>
            </w:r>
          </w:p>
        </w:tc>
        <w:tc>
          <w:tcPr>
            <w:tcW w:w="1573" w:type="pct"/>
            <w:noWrap/>
            <w:hideMark/>
          </w:tcPr>
          <w:p w14:paraId="587D1803"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Lodz</w:t>
            </w:r>
          </w:p>
        </w:tc>
      </w:tr>
      <w:tr w:rsidR="007C2E48" w:rsidRPr="000D63C6" w14:paraId="711ECDD7" w14:textId="77777777" w:rsidTr="00DE1A10">
        <w:trPr>
          <w:trHeight w:val="449"/>
        </w:trPr>
        <w:tc>
          <w:tcPr>
            <w:tcW w:w="253" w:type="pct"/>
            <w:noWrap/>
            <w:hideMark/>
          </w:tcPr>
          <w:p w14:paraId="27C692E8" w14:textId="77777777" w:rsidR="007C2E48" w:rsidRPr="002D3529" w:rsidRDefault="007C2E48" w:rsidP="00DE1A10">
            <w:pPr>
              <w:spacing w:line="240" w:lineRule="auto"/>
              <w:ind w:firstLine="0"/>
              <w:jc w:val="right"/>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1</w:t>
            </w:r>
          </w:p>
        </w:tc>
        <w:tc>
          <w:tcPr>
            <w:tcW w:w="384" w:type="pct"/>
            <w:noWrap/>
            <w:hideMark/>
          </w:tcPr>
          <w:p w14:paraId="07FE9D09" w14:textId="77777777" w:rsidR="007C2E48" w:rsidRPr="002D3529" w:rsidRDefault="007C2E48" w:rsidP="00DE1A10">
            <w:pPr>
              <w:spacing w:line="240" w:lineRule="auto"/>
              <w:ind w:firstLine="0"/>
              <w:jc w:val="right"/>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0</w:t>
            </w:r>
          </w:p>
        </w:tc>
        <w:tc>
          <w:tcPr>
            <w:tcW w:w="253" w:type="pct"/>
            <w:noWrap/>
            <w:hideMark/>
          </w:tcPr>
          <w:p w14:paraId="4DDB1213" w14:textId="77777777" w:rsidR="007C2E48" w:rsidRPr="002D3529" w:rsidRDefault="007C2E48" w:rsidP="00DE1A10">
            <w:pPr>
              <w:spacing w:line="240" w:lineRule="auto"/>
              <w:ind w:firstLine="0"/>
              <w:jc w:val="right"/>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1</w:t>
            </w:r>
          </w:p>
        </w:tc>
        <w:tc>
          <w:tcPr>
            <w:tcW w:w="253" w:type="pct"/>
            <w:noWrap/>
            <w:hideMark/>
          </w:tcPr>
          <w:p w14:paraId="68513865" w14:textId="77777777" w:rsidR="007C2E48" w:rsidRPr="002D3529" w:rsidRDefault="007C2E48" w:rsidP="00DE1A10">
            <w:pPr>
              <w:spacing w:line="240" w:lineRule="auto"/>
              <w:ind w:firstLine="0"/>
              <w:jc w:val="right"/>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1</w:t>
            </w:r>
          </w:p>
        </w:tc>
        <w:tc>
          <w:tcPr>
            <w:tcW w:w="253" w:type="pct"/>
            <w:noWrap/>
            <w:hideMark/>
          </w:tcPr>
          <w:p w14:paraId="0EED5E33" w14:textId="77777777" w:rsidR="007C2E48" w:rsidRPr="002D3529" w:rsidRDefault="007C2E48" w:rsidP="00DE1A10">
            <w:pPr>
              <w:spacing w:line="240" w:lineRule="auto"/>
              <w:ind w:firstLine="0"/>
              <w:jc w:val="right"/>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0</w:t>
            </w:r>
          </w:p>
        </w:tc>
        <w:tc>
          <w:tcPr>
            <w:tcW w:w="253" w:type="pct"/>
            <w:noWrap/>
            <w:hideMark/>
          </w:tcPr>
          <w:p w14:paraId="43438665" w14:textId="77777777" w:rsidR="007C2E48" w:rsidRPr="002D3529" w:rsidRDefault="007C2E48" w:rsidP="00DE1A10">
            <w:pPr>
              <w:spacing w:line="240" w:lineRule="auto"/>
              <w:ind w:firstLine="0"/>
              <w:jc w:val="right"/>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0</w:t>
            </w:r>
          </w:p>
        </w:tc>
        <w:tc>
          <w:tcPr>
            <w:tcW w:w="888" w:type="pct"/>
            <w:noWrap/>
            <w:hideMark/>
          </w:tcPr>
          <w:p w14:paraId="1087AF8E"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Calibri" w:hAnsi="Sabon Next LT" w:cs="Sabon Next LT"/>
                <w:color w:val="000000"/>
                <w:szCs w:val="20"/>
                <w:lang w:eastAsia="en-US"/>
              </w:rPr>
              <w:t>0,760</w:t>
            </w:r>
          </w:p>
        </w:tc>
        <w:tc>
          <w:tcPr>
            <w:tcW w:w="889" w:type="pct"/>
            <w:noWrap/>
            <w:hideMark/>
          </w:tcPr>
          <w:p w14:paraId="40668C6A"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0,388</w:t>
            </w:r>
          </w:p>
        </w:tc>
        <w:tc>
          <w:tcPr>
            <w:tcW w:w="1573" w:type="pct"/>
            <w:noWrap/>
            <w:hideMark/>
          </w:tcPr>
          <w:p w14:paraId="39259055"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Poznan</w:t>
            </w:r>
          </w:p>
        </w:tc>
      </w:tr>
      <w:tr w:rsidR="007C2E48" w:rsidRPr="000D63C6" w14:paraId="79FF4210" w14:textId="77777777" w:rsidTr="00DE1A10">
        <w:trPr>
          <w:trHeight w:val="449"/>
        </w:trPr>
        <w:tc>
          <w:tcPr>
            <w:tcW w:w="253" w:type="pct"/>
            <w:noWrap/>
            <w:hideMark/>
          </w:tcPr>
          <w:p w14:paraId="45CB9D74" w14:textId="77777777" w:rsidR="007C2E48" w:rsidRPr="002D3529" w:rsidRDefault="007C2E48" w:rsidP="00DE1A10">
            <w:pPr>
              <w:spacing w:line="240" w:lineRule="auto"/>
              <w:ind w:firstLine="0"/>
              <w:jc w:val="right"/>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0</w:t>
            </w:r>
          </w:p>
        </w:tc>
        <w:tc>
          <w:tcPr>
            <w:tcW w:w="384" w:type="pct"/>
            <w:noWrap/>
            <w:hideMark/>
          </w:tcPr>
          <w:p w14:paraId="2F6437CB" w14:textId="77777777" w:rsidR="007C2E48" w:rsidRPr="002D3529" w:rsidRDefault="007C2E48" w:rsidP="00DE1A10">
            <w:pPr>
              <w:spacing w:line="240" w:lineRule="auto"/>
              <w:ind w:firstLine="0"/>
              <w:jc w:val="right"/>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0</w:t>
            </w:r>
          </w:p>
        </w:tc>
        <w:tc>
          <w:tcPr>
            <w:tcW w:w="253" w:type="pct"/>
            <w:noWrap/>
            <w:hideMark/>
          </w:tcPr>
          <w:p w14:paraId="32BD399E" w14:textId="77777777" w:rsidR="007C2E48" w:rsidRPr="002D3529" w:rsidRDefault="007C2E48" w:rsidP="00DE1A10">
            <w:pPr>
              <w:spacing w:line="240" w:lineRule="auto"/>
              <w:ind w:firstLine="0"/>
              <w:jc w:val="right"/>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0</w:t>
            </w:r>
          </w:p>
        </w:tc>
        <w:tc>
          <w:tcPr>
            <w:tcW w:w="253" w:type="pct"/>
            <w:noWrap/>
            <w:hideMark/>
          </w:tcPr>
          <w:p w14:paraId="20583832" w14:textId="77777777" w:rsidR="007C2E48" w:rsidRPr="002D3529" w:rsidRDefault="007C2E48" w:rsidP="00DE1A10">
            <w:pPr>
              <w:spacing w:line="240" w:lineRule="auto"/>
              <w:ind w:firstLine="0"/>
              <w:jc w:val="right"/>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0</w:t>
            </w:r>
          </w:p>
        </w:tc>
        <w:tc>
          <w:tcPr>
            <w:tcW w:w="253" w:type="pct"/>
            <w:noWrap/>
            <w:hideMark/>
          </w:tcPr>
          <w:p w14:paraId="737088D0" w14:textId="77777777" w:rsidR="007C2E48" w:rsidRPr="002D3529" w:rsidRDefault="007C2E48" w:rsidP="00DE1A10">
            <w:pPr>
              <w:spacing w:line="240" w:lineRule="auto"/>
              <w:ind w:firstLine="0"/>
              <w:jc w:val="right"/>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0</w:t>
            </w:r>
          </w:p>
        </w:tc>
        <w:tc>
          <w:tcPr>
            <w:tcW w:w="253" w:type="pct"/>
            <w:noWrap/>
            <w:hideMark/>
          </w:tcPr>
          <w:p w14:paraId="3F3D8BAC" w14:textId="77777777" w:rsidR="007C2E48" w:rsidRPr="002D3529" w:rsidRDefault="007C2E48" w:rsidP="00DE1A10">
            <w:pPr>
              <w:spacing w:line="240" w:lineRule="auto"/>
              <w:ind w:firstLine="0"/>
              <w:jc w:val="right"/>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0</w:t>
            </w:r>
          </w:p>
        </w:tc>
        <w:tc>
          <w:tcPr>
            <w:tcW w:w="888" w:type="pct"/>
            <w:noWrap/>
            <w:hideMark/>
          </w:tcPr>
          <w:p w14:paraId="372425EB"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Calibri" w:hAnsi="Sabon Next LT" w:cs="Sabon Next LT"/>
                <w:color w:val="000000"/>
                <w:szCs w:val="20"/>
                <w:lang w:eastAsia="en-US"/>
              </w:rPr>
              <w:t>0,746</w:t>
            </w:r>
          </w:p>
        </w:tc>
        <w:tc>
          <w:tcPr>
            <w:tcW w:w="889" w:type="pct"/>
            <w:noWrap/>
            <w:hideMark/>
          </w:tcPr>
          <w:p w14:paraId="00CF7973"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0,391</w:t>
            </w:r>
          </w:p>
        </w:tc>
        <w:tc>
          <w:tcPr>
            <w:tcW w:w="1573" w:type="pct"/>
            <w:noWrap/>
            <w:hideMark/>
          </w:tcPr>
          <w:p w14:paraId="3272D26C"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Radom</w:t>
            </w:r>
          </w:p>
        </w:tc>
      </w:tr>
      <w:tr w:rsidR="007C2E48" w:rsidRPr="000D63C6" w14:paraId="4CCDEDE8" w14:textId="77777777" w:rsidTr="00DE1A10">
        <w:trPr>
          <w:trHeight w:val="449"/>
        </w:trPr>
        <w:tc>
          <w:tcPr>
            <w:tcW w:w="253" w:type="pct"/>
            <w:noWrap/>
            <w:hideMark/>
          </w:tcPr>
          <w:p w14:paraId="50965A6F" w14:textId="77777777" w:rsidR="007C2E48" w:rsidRPr="002D3529" w:rsidRDefault="007C2E48" w:rsidP="00DE1A10">
            <w:pPr>
              <w:spacing w:line="240" w:lineRule="auto"/>
              <w:ind w:firstLine="0"/>
              <w:jc w:val="right"/>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1</w:t>
            </w:r>
          </w:p>
        </w:tc>
        <w:tc>
          <w:tcPr>
            <w:tcW w:w="384" w:type="pct"/>
            <w:noWrap/>
            <w:hideMark/>
          </w:tcPr>
          <w:p w14:paraId="331824E0" w14:textId="77777777" w:rsidR="007C2E48" w:rsidRPr="002D3529" w:rsidRDefault="007C2E48" w:rsidP="00DE1A10">
            <w:pPr>
              <w:spacing w:line="240" w:lineRule="auto"/>
              <w:ind w:firstLine="0"/>
              <w:jc w:val="right"/>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0</w:t>
            </w:r>
          </w:p>
        </w:tc>
        <w:tc>
          <w:tcPr>
            <w:tcW w:w="253" w:type="pct"/>
            <w:noWrap/>
            <w:hideMark/>
          </w:tcPr>
          <w:p w14:paraId="404B62F7" w14:textId="77777777" w:rsidR="007C2E48" w:rsidRPr="002D3529" w:rsidRDefault="007C2E48" w:rsidP="00DE1A10">
            <w:pPr>
              <w:spacing w:line="240" w:lineRule="auto"/>
              <w:ind w:firstLine="0"/>
              <w:jc w:val="right"/>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1</w:t>
            </w:r>
          </w:p>
        </w:tc>
        <w:tc>
          <w:tcPr>
            <w:tcW w:w="253" w:type="pct"/>
            <w:noWrap/>
            <w:hideMark/>
          </w:tcPr>
          <w:p w14:paraId="27208369" w14:textId="77777777" w:rsidR="007C2E48" w:rsidRPr="002D3529" w:rsidRDefault="007C2E48" w:rsidP="00DE1A10">
            <w:pPr>
              <w:spacing w:line="240" w:lineRule="auto"/>
              <w:ind w:firstLine="0"/>
              <w:jc w:val="right"/>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0</w:t>
            </w:r>
          </w:p>
        </w:tc>
        <w:tc>
          <w:tcPr>
            <w:tcW w:w="253" w:type="pct"/>
            <w:noWrap/>
            <w:hideMark/>
          </w:tcPr>
          <w:p w14:paraId="255E1948" w14:textId="77777777" w:rsidR="007C2E48" w:rsidRPr="002D3529" w:rsidRDefault="007C2E48" w:rsidP="00DE1A10">
            <w:pPr>
              <w:spacing w:line="240" w:lineRule="auto"/>
              <w:ind w:firstLine="0"/>
              <w:jc w:val="right"/>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1</w:t>
            </w:r>
          </w:p>
        </w:tc>
        <w:tc>
          <w:tcPr>
            <w:tcW w:w="253" w:type="pct"/>
            <w:noWrap/>
            <w:hideMark/>
          </w:tcPr>
          <w:p w14:paraId="25FC933C" w14:textId="77777777" w:rsidR="007C2E48" w:rsidRPr="002D3529" w:rsidRDefault="007C2E48" w:rsidP="00DE1A10">
            <w:pPr>
              <w:spacing w:line="240" w:lineRule="auto"/>
              <w:ind w:firstLine="0"/>
              <w:jc w:val="right"/>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0</w:t>
            </w:r>
          </w:p>
        </w:tc>
        <w:tc>
          <w:tcPr>
            <w:tcW w:w="888" w:type="pct"/>
            <w:noWrap/>
            <w:hideMark/>
          </w:tcPr>
          <w:p w14:paraId="65A9217D"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Calibri" w:hAnsi="Sabon Next LT" w:cs="Sabon Next LT"/>
                <w:color w:val="000000"/>
                <w:szCs w:val="20"/>
                <w:lang w:eastAsia="en-US"/>
              </w:rPr>
              <w:t>0,737</w:t>
            </w:r>
          </w:p>
        </w:tc>
        <w:tc>
          <w:tcPr>
            <w:tcW w:w="889" w:type="pct"/>
            <w:noWrap/>
            <w:hideMark/>
          </w:tcPr>
          <w:p w14:paraId="24769732"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0,485</w:t>
            </w:r>
          </w:p>
        </w:tc>
        <w:tc>
          <w:tcPr>
            <w:tcW w:w="1573" w:type="pct"/>
            <w:noWrap/>
            <w:hideMark/>
          </w:tcPr>
          <w:p w14:paraId="74932A62"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Wroclaw, Krakow</w:t>
            </w:r>
          </w:p>
        </w:tc>
      </w:tr>
      <w:tr w:rsidR="007C2E48" w:rsidRPr="000D63C6" w14:paraId="5B5FBA7C" w14:textId="77777777" w:rsidTr="00DE1A10">
        <w:trPr>
          <w:trHeight w:val="449"/>
        </w:trPr>
        <w:tc>
          <w:tcPr>
            <w:tcW w:w="253" w:type="pct"/>
            <w:noWrap/>
            <w:hideMark/>
          </w:tcPr>
          <w:p w14:paraId="132CC450" w14:textId="77777777" w:rsidR="007C2E48" w:rsidRPr="002D3529" w:rsidRDefault="007C2E48" w:rsidP="00DE1A10">
            <w:pPr>
              <w:spacing w:line="240" w:lineRule="auto"/>
              <w:ind w:firstLine="0"/>
              <w:jc w:val="right"/>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0</w:t>
            </w:r>
          </w:p>
        </w:tc>
        <w:tc>
          <w:tcPr>
            <w:tcW w:w="384" w:type="pct"/>
            <w:noWrap/>
            <w:hideMark/>
          </w:tcPr>
          <w:p w14:paraId="3773DB2C" w14:textId="77777777" w:rsidR="007C2E48" w:rsidRPr="002D3529" w:rsidRDefault="007C2E48" w:rsidP="00DE1A10">
            <w:pPr>
              <w:spacing w:line="240" w:lineRule="auto"/>
              <w:ind w:firstLine="0"/>
              <w:jc w:val="right"/>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1</w:t>
            </w:r>
          </w:p>
        </w:tc>
        <w:tc>
          <w:tcPr>
            <w:tcW w:w="253" w:type="pct"/>
            <w:noWrap/>
            <w:hideMark/>
          </w:tcPr>
          <w:p w14:paraId="72AC03F8" w14:textId="77777777" w:rsidR="007C2E48" w:rsidRPr="002D3529" w:rsidRDefault="007C2E48" w:rsidP="00DE1A10">
            <w:pPr>
              <w:spacing w:line="240" w:lineRule="auto"/>
              <w:ind w:firstLine="0"/>
              <w:jc w:val="right"/>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0</w:t>
            </w:r>
          </w:p>
        </w:tc>
        <w:tc>
          <w:tcPr>
            <w:tcW w:w="253" w:type="pct"/>
            <w:noWrap/>
            <w:hideMark/>
          </w:tcPr>
          <w:p w14:paraId="4C212AE4" w14:textId="77777777" w:rsidR="007C2E48" w:rsidRPr="002D3529" w:rsidRDefault="007C2E48" w:rsidP="00DE1A10">
            <w:pPr>
              <w:spacing w:line="240" w:lineRule="auto"/>
              <w:ind w:firstLine="0"/>
              <w:jc w:val="right"/>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1</w:t>
            </w:r>
          </w:p>
        </w:tc>
        <w:tc>
          <w:tcPr>
            <w:tcW w:w="253" w:type="pct"/>
            <w:noWrap/>
            <w:hideMark/>
          </w:tcPr>
          <w:p w14:paraId="2F7758F3" w14:textId="77777777" w:rsidR="007C2E48" w:rsidRPr="002D3529" w:rsidRDefault="007C2E48" w:rsidP="00DE1A10">
            <w:pPr>
              <w:spacing w:line="240" w:lineRule="auto"/>
              <w:ind w:firstLine="0"/>
              <w:jc w:val="right"/>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1</w:t>
            </w:r>
          </w:p>
        </w:tc>
        <w:tc>
          <w:tcPr>
            <w:tcW w:w="253" w:type="pct"/>
            <w:noWrap/>
            <w:hideMark/>
          </w:tcPr>
          <w:p w14:paraId="109C403E" w14:textId="77777777" w:rsidR="007C2E48" w:rsidRPr="002D3529" w:rsidRDefault="007C2E48" w:rsidP="00DE1A10">
            <w:pPr>
              <w:spacing w:line="240" w:lineRule="auto"/>
              <w:ind w:firstLine="0"/>
              <w:jc w:val="right"/>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0</w:t>
            </w:r>
          </w:p>
        </w:tc>
        <w:tc>
          <w:tcPr>
            <w:tcW w:w="888" w:type="pct"/>
            <w:noWrap/>
            <w:hideMark/>
          </w:tcPr>
          <w:p w14:paraId="55593575"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Calibri" w:hAnsi="Sabon Next LT" w:cs="Sabon Next LT"/>
                <w:color w:val="000000"/>
                <w:szCs w:val="20"/>
                <w:lang w:eastAsia="en-US"/>
              </w:rPr>
              <w:t>0,661</w:t>
            </w:r>
          </w:p>
        </w:tc>
        <w:tc>
          <w:tcPr>
            <w:tcW w:w="889" w:type="pct"/>
            <w:noWrap/>
            <w:hideMark/>
          </w:tcPr>
          <w:p w14:paraId="5A64A66A"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0,255</w:t>
            </w:r>
          </w:p>
        </w:tc>
        <w:tc>
          <w:tcPr>
            <w:tcW w:w="1573" w:type="pct"/>
            <w:noWrap/>
            <w:hideMark/>
          </w:tcPr>
          <w:p w14:paraId="62511356"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Czestochowa</w:t>
            </w:r>
          </w:p>
        </w:tc>
      </w:tr>
      <w:tr w:rsidR="007C2E48" w:rsidRPr="000D63C6" w14:paraId="71F0EAB4" w14:textId="77777777" w:rsidTr="00DE1A10">
        <w:trPr>
          <w:trHeight w:val="449"/>
        </w:trPr>
        <w:tc>
          <w:tcPr>
            <w:tcW w:w="253" w:type="pct"/>
            <w:noWrap/>
            <w:hideMark/>
          </w:tcPr>
          <w:p w14:paraId="028204A3" w14:textId="77777777" w:rsidR="007C2E48" w:rsidRPr="002D3529" w:rsidRDefault="007C2E48" w:rsidP="00DE1A10">
            <w:pPr>
              <w:spacing w:line="240" w:lineRule="auto"/>
              <w:ind w:firstLine="0"/>
              <w:jc w:val="right"/>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0</w:t>
            </w:r>
          </w:p>
        </w:tc>
        <w:tc>
          <w:tcPr>
            <w:tcW w:w="384" w:type="pct"/>
            <w:noWrap/>
            <w:hideMark/>
          </w:tcPr>
          <w:p w14:paraId="50F88FAB" w14:textId="77777777" w:rsidR="007C2E48" w:rsidRPr="002D3529" w:rsidRDefault="007C2E48" w:rsidP="00DE1A10">
            <w:pPr>
              <w:spacing w:line="240" w:lineRule="auto"/>
              <w:ind w:firstLine="0"/>
              <w:jc w:val="right"/>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0</w:t>
            </w:r>
          </w:p>
        </w:tc>
        <w:tc>
          <w:tcPr>
            <w:tcW w:w="253" w:type="pct"/>
            <w:noWrap/>
            <w:hideMark/>
          </w:tcPr>
          <w:p w14:paraId="6AAC84A3" w14:textId="77777777" w:rsidR="007C2E48" w:rsidRPr="002D3529" w:rsidRDefault="007C2E48" w:rsidP="00DE1A10">
            <w:pPr>
              <w:spacing w:line="240" w:lineRule="auto"/>
              <w:ind w:firstLine="0"/>
              <w:jc w:val="right"/>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0</w:t>
            </w:r>
          </w:p>
        </w:tc>
        <w:tc>
          <w:tcPr>
            <w:tcW w:w="253" w:type="pct"/>
            <w:noWrap/>
            <w:hideMark/>
          </w:tcPr>
          <w:p w14:paraId="7769592C" w14:textId="77777777" w:rsidR="007C2E48" w:rsidRPr="002D3529" w:rsidRDefault="007C2E48" w:rsidP="00DE1A10">
            <w:pPr>
              <w:spacing w:line="240" w:lineRule="auto"/>
              <w:ind w:firstLine="0"/>
              <w:jc w:val="right"/>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0</w:t>
            </w:r>
          </w:p>
        </w:tc>
        <w:tc>
          <w:tcPr>
            <w:tcW w:w="253" w:type="pct"/>
            <w:noWrap/>
            <w:hideMark/>
          </w:tcPr>
          <w:p w14:paraId="1F8EE5C5" w14:textId="77777777" w:rsidR="007C2E48" w:rsidRPr="002D3529" w:rsidRDefault="007C2E48" w:rsidP="00DE1A10">
            <w:pPr>
              <w:spacing w:line="240" w:lineRule="auto"/>
              <w:ind w:firstLine="0"/>
              <w:jc w:val="right"/>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1</w:t>
            </w:r>
          </w:p>
        </w:tc>
        <w:tc>
          <w:tcPr>
            <w:tcW w:w="253" w:type="pct"/>
            <w:noWrap/>
            <w:hideMark/>
          </w:tcPr>
          <w:p w14:paraId="481188EA" w14:textId="77777777" w:rsidR="007C2E48" w:rsidRPr="002D3529" w:rsidRDefault="007C2E48" w:rsidP="00DE1A10">
            <w:pPr>
              <w:spacing w:line="240" w:lineRule="auto"/>
              <w:ind w:firstLine="0"/>
              <w:jc w:val="right"/>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0</w:t>
            </w:r>
          </w:p>
        </w:tc>
        <w:tc>
          <w:tcPr>
            <w:tcW w:w="888" w:type="pct"/>
            <w:noWrap/>
            <w:hideMark/>
          </w:tcPr>
          <w:p w14:paraId="63BE4462"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Calibri" w:hAnsi="Sabon Next LT" w:cs="Sabon Next LT"/>
                <w:color w:val="000000"/>
                <w:szCs w:val="20"/>
                <w:lang w:eastAsia="en-US"/>
              </w:rPr>
              <w:t>0,631</w:t>
            </w:r>
          </w:p>
        </w:tc>
        <w:tc>
          <w:tcPr>
            <w:tcW w:w="889" w:type="pct"/>
            <w:noWrap/>
            <w:hideMark/>
          </w:tcPr>
          <w:p w14:paraId="15525977"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0,422</w:t>
            </w:r>
          </w:p>
        </w:tc>
        <w:tc>
          <w:tcPr>
            <w:tcW w:w="1573" w:type="pct"/>
            <w:noWrap/>
            <w:hideMark/>
          </w:tcPr>
          <w:p w14:paraId="133EF95C"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Torun, Rzeszow, Bielsko-Biala</w:t>
            </w:r>
          </w:p>
        </w:tc>
      </w:tr>
      <w:tr w:rsidR="007C2E48" w:rsidRPr="000D63C6" w14:paraId="47AEF946" w14:textId="77777777" w:rsidTr="00DE1A10">
        <w:trPr>
          <w:trHeight w:val="449"/>
        </w:trPr>
        <w:tc>
          <w:tcPr>
            <w:tcW w:w="253" w:type="pct"/>
            <w:noWrap/>
            <w:hideMark/>
          </w:tcPr>
          <w:p w14:paraId="4268E2A4" w14:textId="77777777" w:rsidR="007C2E48" w:rsidRPr="002D3529" w:rsidRDefault="007C2E48" w:rsidP="00DE1A10">
            <w:pPr>
              <w:spacing w:line="240" w:lineRule="auto"/>
              <w:ind w:firstLine="0"/>
              <w:jc w:val="right"/>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1</w:t>
            </w:r>
          </w:p>
        </w:tc>
        <w:tc>
          <w:tcPr>
            <w:tcW w:w="384" w:type="pct"/>
            <w:noWrap/>
            <w:hideMark/>
          </w:tcPr>
          <w:p w14:paraId="4CCB931B" w14:textId="77777777" w:rsidR="007C2E48" w:rsidRPr="002D3529" w:rsidRDefault="007C2E48" w:rsidP="00DE1A10">
            <w:pPr>
              <w:spacing w:line="240" w:lineRule="auto"/>
              <w:ind w:firstLine="0"/>
              <w:jc w:val="right"/>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1</w:t>
            </w:r>
          </w:p>
        </w:tc>
        <w:tc>
          <w:tcPr>
            <w:tcW w:w="253" w:type="pct"/>
            <w:noWrap/>
            <w:hideMark/>
          </w:tcPr>
          <w:p w14:paraId="38D7515E" w14:textId="77777777" w:rsidR="007C2E48" w:rsidRPr="002D3529" w:rsidRDefault="007C2E48" w:rsidP="00DE1A10">
            <w:pPr>
              <w:spacing w:line="240" w:lineRule="auto"/>
              <w:ind w:firstLine="0"/>
              <w:jc w:val="right"/>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0</w:t>
            </w:r>
          </w:p>
        </w:tc>
        <w:tc>
          <w:tcPr>
            <w:tcW w:w="253" w:type="pct"/>
            <w:noWrap/>
            <w:hideMark/>
          </w:tcPr>
          <w:p w14:paraId="375965D4" w14:textId="77777777" w:rsidR="007C2E48" w:rsidRPr="002D3529" w:rsidRDefault="007C2E48" w:rsidP="00DE1A10">
            <w:pPr>
              <w:spacing w:line="240" w:lineRule="auto"/>
              <w:ind w:firstLine="0"/>
              <w:jc w:val="right"/>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1</w:t>
            </w:r>
          </w:p>
        </w:tc>
        <w:tc>
          <w:tcPr>
            <w:tcW w:w="253" w:type="pct"/>
            <w:noWrap/>
            <w:hideMark/>
          </w:tcPr>
          <w:p w14:paraId="7BA45851" w14:textId="77777777" w:rsidR="007C2E48" w:rsidRPr="002D3529" w:rsidRDefault="007C2E48" w:rsidP="00DE1A10">
            <w:pPr>
              <w:spacing w:line="240" w:lineRule="auto"/>
              <w:ind w:firstLine="0"/>
              <w:jc w:val="right"/>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0</w:t>
            </w:r>
          </w:p>
        </w:tc>
        <w:tc>
          <w:tcPr>
            <w:tcW w:w="253" w:type="pct"/>
            <w:noWrap/>
            <w:hideMark/>
          </w:tcPr>
          <w:p w14:paraId="6ADD279D" w14:textId="77777777" w:rsidR="007C2E48" w:rsidRPr="002D3529" w:rsidRDefault="007C2E48" w:rsidP="00DE1A10">
            <w:pPr>
              <w:spacing w:line="240" w:lineRule="auto"/>
              <w:ind w:firstLine="0"/>
              <w:jc w:val="right"/>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0</w:t>
            </w:r>
          </w:p>
        </w:tc>
        <w:tc>
          <w:tcPr>
            <w:tcW w:w="888" w:type="pct"/>
            <w:noWrap/>
            <w:hideMark/>
          </w:tcPr>
          <w:p w14:paraId="4145AC8B"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Calibri" w:hAnsi="Sabon Next LT" w:cs="Sabon Next LT"/>
                <w:color w:val="000000"/>
                <w:szCs w:val="20"/>
                <w:lang w:eastAsia="en-US"/>
              </w:rPr>
              <w:t>0,622</w:t>
            </w:r>
          </w:p>
        </w:tc>
        <w:tc>
          <w:tcPr>
            <w:tcW w:w="889" w:type="pct"/>
            <w:noWrap/>
            <w:hideMark/>
          </w:tcPr>
          <w:p w14:paraId="28F929BD"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0,430</w:t>
            </w:r>
          </w:p>
        </w:tc>
        <w:tc>
          <w:tcPr>
            <w:tcW w:w="1573" w:type="pct"/>
            <w:noWrap/>
            <w:hideMark/>
          </w:tcPr>
          <w:p w14:paraId="79C2F7F2"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Szczecin, Bydgoszcz</w:t>
            </w:r>
          </w:p>
        </w:tc>
      </w:tr>
      <w:tr w:rsidR="007C2E48" w:rsidRPr="000D63C6" w14:paraId="7D9A1622" w14:textId="77777777" w:rsidTr="00DE1A10">
        <w:trPr>
          <w:trHeight w:val="449"/>
        </w:trPr>
        <w:tc>
          <w:tcPr>
            <w:tcW w:w="253" w:type="pct"/>
            <w:noWrap/>
            <w:hideMark/>
          </w:tcPr>
          <w:p w14:paraId="1E9DBDBC" w14:textId="77777777" w:rsidR="007C2E48" w:rsidRPr="002D3529" w:rsidRDefault="007C2E48" w:rsidP="00DE1A10">
            <w:pPr>
              <w:spacing w:line="240" w:lineRule="auto"/>
              <w:ind w:firstLine="0"/>
              <w:jc w:val="right"/>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1</w:t>
            </w:r>
          </w:p>
        </w:tc>
        <w:tc>
          <w:tcPr>
            <w:tcW w:w="384" w:type="pct"/>
            <w:noWrap/>
            <w:hideMark/>
          </w:tcPr>
          <w:p w14:paraId="24849DD4" w14:textId="77777777" w:rsidR="007C2E48" w:rsidRPr="002D3529" w:rsidRDefault="007C2E48" w:rsidP="00DE1A10">
            <w:pPr>
              <w:spacing w:line="240" w:lineRule="auto"/>
              <w:ind w:firstLine="0"/>
              <w:jc w:val="right"/>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0</w:t>
            </w:r>
          </w:p>
        </w:tc>
        <w:tc>
          <w:tcPr>
            <w:tcW w:w="253" w:type="pct"/>
            <w:noWrap/>
            <w:hideMark/>
          </w:tcPr>
          <w:p w14:paraId="0EA7A144" w14:textId="77777777" w:rsidR="007C2E48" w:rsidRPr="002D3529" w:rsidRDefault="007C2E48" w:rsidP="00DE1A10">
            <w:pPr>
              <w:spacing w:line="240" w:lineRule="auto"/>
              <w:ind w:firstLine="0"/>
              <w:jc w:val="right"/>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0</w:t>
            </w:r>
          </w:p>
        </w:tc>
        <w:tc>
          <w:tcPr>
            <w:tcW w:w="253" w:type="pct"/>
            <w:noWrap/>
            <w:hideMark/>
          </w:tcPr>
          <w:p w14:paraId="4FE2599C" w14:textId="77777777" w:rsidR="007C2E48" w:rsidRPr="002D3529" w:rsidRDefault="007C2E48" w:rsidP="00DE1A10">
            <w:pPr>
              <w:spacing w:line="240" w:lineRule="auto"/>
              <w:ind w:firstLine="0"/>
              <w:jc w:val="right"/>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0</w:t>
            </w:r>
          </w:p>
        </w:tc>
        <w:tc>
          <w:tcPr>
            <w:tcW w:w="253" w:type="pct"/>
            <w:noWrap/>
            <w:hideMark/>
          </w:tcPr>
          <w:p w14:paraId="3994A072" w14:textId="77777777" w:rsidR="007C2E48" w:rsidRPr="002D3529" w:rsidRDefault="007C2E48" w:rsidP="00DE1A10">
            <w:pPr>
              <w:spacing w:line="240" w:lineRule="auto"/>
              <w:ind w:firstLine="0"/>
              <w:jc w:val="right"/>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1</w:t>
            </w:r>
          </w:p>
        </w:tc>
        <w:tc>
          <w:tcPr>
            <w:tcW w:w="253" w:type="pct"/>
            <w:noWrap/>
            <w:hideMark/>
          </w:tcPr>
          <w:p w14:paraId="15DC0909" w14:textId="77777777" w:rsidR="007C2E48" w:rsidRPr="002D3529" w:rsidRDefault="007C2E48" w:rsidP="00DE1A10">
            <w:pPr>
              <w:spacing w:line="240" w:lineRule="auto"/>
              <w:ind w:firstLine="0"/>
              <w:jc w:val="right"/>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0</w:t>
            </w:r>
          </w:p>
        </w:tc>
        <w:tc>
          <w:tcPr>
            <w:tcW w:w="888" w:type="pct"/>
            <w:noWrap/>
            <w:hideMark/>
          </w:tcPr>
          <w:p w14:paraId="35536D05"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Calibri" w:hAnsi="Sabon Next LT" w:cs="Sabon Next LT"/>
                <w:color w:val="000000"/>
                <w:szCs w:val="20"/>
                <w:lang w:eastAsia="en-US"/>
              </w:rPr>
              <w:t>0,598</w:t>
            </w:r>
          </w:p>
        </w:tc>
        <w:tc>
          <w:tcPr>
            <w:tcW w:w="889" w:type="pct"/>
            <w:noWrap/>
            <w:hideMark/>
          </w:tcPr>
          <w:p w14:paraId="5C8A2EFC"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0,346</w:t>
            </w:r>
          </w:p>
        </w:tc>
        <w:tc>
          <w:tcPr>
            <w:tcW w:w="1573" w:type="pct"/>
            <w:noWrap/>
            <w:hideMark/>
          </w:tcPr>
          <w:p w14:paraId="3C394F0A"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Lublin</w:t>
            </w:r>
          </w:p>
        </w:tc>
      </w:tr>
      <w:tr w:rsidR="007C2E48" w:rsidRPr="000D63C6" w14:paraId="5433D391" w14:textId="77777777" w:rsidTr="00DE1A10">
        <w:trPr>
          <w:trHeight w:val="449"/>
        </w:trPr>
        <w:tc>
          <w:tcPr>
            <w:tcW w:w="253" w:type="pct"/>
            <w:noWrap/>
            <w:hideMark/>
          </w:tcPr>
          <w:p w14:paraId="1B501EF3" w14:textId="77777777" w:rsidR="007C2E48" w:rsidRPr="002D3529" w:rsidRDefault="007C2E48" w:rsidP="00DE1A10">
            <w:pPr>
              <w:spacing w:line="240" w:lineRule="auto"/>
              <w:ind w:firstLine="0"/>
              <w:jc w:val="right"/>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0</w:t>
            </w:r>
          </w:p>
        </w:tc>
        <w:tc>
          <w:tcPr>
            <w:tcW w:w="384" w:type="pct"/>
            <w:noWrap/>
            <w:hideMark/>
          </w:tcPr>
          <w:p w14:paraId="6BC008D9" w14:textId="77777777" w:rsidR="007C2E48" w:rsidRPr="002D3529" w:rsidRDefault="007C2E48" w:rsidP="00DE1A10">
            <w:pPr>
              <w:spacing w:line="240" w:lineRule="auto"/>
              <w:ind w:firstLine="0"/>
              <w:jc w:val="right"/>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1</w:t>
            </w:r>
          </w:p>
        </w:tc>
        <w:tc>
          <w:tcPr>
            <w:tcW w:w="253" w:type="pct"/>
            <w:noWrap/>
            <w:hideMark/>
          </w:tcPr>
          <w:p w14:paraId="41204BFE" w14:textId="77777777" w:rsidR="007C2E48" w:rsidRPr="002D3529" w:rsidRDefault="007C2E48" w:rsidP="00DE1A10">
            <w:pPr>
              <w:spacing w:line="240" w:lineRule="auto"/>
              <w:ind w:firstLine="0"/>
              <w:jc w:val="right"/>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0</w:t>
            </w:r>
          </w:p>
        </w:tc>
        <w:tc>
          <w:tcPr>
            <w:tcW w:w="253" w:type="pct"/>
            <w:noWrap/>
            <w:hideMark/>
          </w:tcPr>
          <w:p w14:paraId="0F101D21" w14:textId="77777777" w:rsidR="007C2E48" w:rsidRPr="002D3529" w:rsidRDefault="007C2E48" w:rsidP="00DE1A10">
            <w:pPr>
              <w:spacing w:line="240" w:lineRule="auto"/>
              <w:ind w:firstLine="0"/>
              <w:jc w:val="right"/>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0</w:t>
            </w:r>
          </w:p>
        </w:tc>
        <w:tc>
          <w:tcPr>
            <w:tcW w:w="253" w:type="pct"/>
            <w:noWrap/>
            <w:hideMark/>
          </w:tcPr>
          <w:p w14:paraId="783A23E5" w14:textId="77777777" w:rsidR="007C2E48" w:rsidRPr="002D3529" w:rsidRDefault="007C2E48" w:rsidP="00DE1A10">
            <w:pPr>
              <w:spacing w:line="240" w:lineRule="auto"/>
              <w:ind w:firstLine="0"/>
              <w:jc w:val="right"/>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1</w:t>
            </w:r>
          </w:p>
        </w:tc>
        <w:tc>
          <w:tcPr>
            <w:tcW w:w="253" w:type="pct"/>
            <w:noWrap/>
            <w:hideMark/>
          </w:tcPr>
          <w:p w14:paraId="69800F23" w14:textId="77777777" w:rsidR="007C2E48" w:rsidRPr="002D3529" w:rsidRDefault="007C2E48" w:rsidP="00DE1A10">
            <w:pPr>
              <w:spacing w:line="240" w:lineRule="auto"/>
              <w:ind w:firstLine="0"/>
              <w:jc w:val="right"/>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0</w:t>
            </w:r>
          </w:p>
        </w:tc>
        <w:tc>
          <w:tcPr>
            <w:tcW w:w="888" w:type="pct"/>
            <w:noWrap/>
            <w:hideMark/>
          </w:tcPr>
          <w:p w14:paraId="70D190CC"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Calibri" w:hAnsi="Sabon Next LT" w:cs="Sabon Next LT"/>
                <w:color w:val="000000"/>
                <w:szCs w:val="20"/>
                <w:lang w:eastAsia="en-US"/>
              </w:rPr>
              <w:t>0,588</w:t>
            </w:r>
          </w:p>
        </w:tc>
        <w:tc>
          <w:tcPr>
            <w:tcW w:w="889" w:type="pct"/>
            <w:noWrap/>
            <w:hideMark/>
          </w:tcPr>
          <w:p w14:paraId="32ACCF35"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0,172</w:t>
            </w:r>
          </w:p>
        </w:tc>
        <w:tc>
          <w:tcPr>
            <w:tcW w:w="1573" w:type="pct"/>
            <w:noWrap/>
            <w:hideMark/>
          </w:tcPr>
          <w:p w14:paraId="2A95E9B7"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Zabrze</w:t>
            </w:r>
          </w:p>
        </w:tc>
      </w:tr>
      <w:tr w:rsidR="007C2E48" w:rsidRPr="000D63C6" w14:paraId="7A686E85" w14:textId="77777777" w:rsidTr="00DE1A10">
        <w:trPr>
          <w:trHeight w:val="449"/>
        </w:trPr>
        <w:tc>
          <w:tcPr>
            <w:tcW w:w="253" w:type="pct"/>
            <w:noWrap/>
            <w:hideMark/>
          </w:tcPr>
          <w:p w14:paraId="63484375" w14:textId="77777777" w:rsidR="007C2E48" w:rsidRPr="002D3529" w:rsidRDefault="007C2E48" w:rsidP="00DE1A10">
            <w:pPr>
              <w:spacing w:line="240" w:lineRule="auto"/>
              <w:ind w:firstLine="0"/>
              <w:jc w:val="right"/>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0</w:t>
            </w:r>
          </w:p>
        </w:tc>
        <w:tc>
          <w:tcPr>
            <w:tcW w:w="384" w:type="pct"/>
            <w:noWrap/>
            <w:hideMark/>
          </w:tcPr>
          <w:p w14:paraId="6650BAEA" w14:textId="77777777" w:rsidR="007C2E48" w:rsidRPr="002D3529" w:rsidRDefault="007C2E48" w:rsidP="00DE1A10">
            <w:pPr>
              <w:spacing w:line="240" w:lineRule="auto"/>
              <w:ind w:firstLine="0"/>
              <w:jc w:val="right"/>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1</w:t>
            </w:r>
          </w:p>
        </w:tc>
        <w:tc>
          <w:tcPr>
            <w:tcW w:w="253" w:type="pct"/>
            <w:noWrap/>
            <w:hideMark/>
          </w:tcPr>
          <w:p w14:paraId="421F93ED" w14:textId="77777777" w:rsidR="007C2E48" w:rsidRPr="002D3529" w:rsidRDefault="007C2E48" w:rsidP="00DE1A10">
            <w:pPr>
              <w:spacing w:line="240" w:lineRule="auto"/>
              <w:ind w:firstLine="0"/>
              <w:jc w:val="right"/>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1</w:t>
            </w:r>
          </w:p>
        </w:tc>
        <w:tc>
          <w:tcPr>
            <w:tcW w:w="253" w:type="pct"/>
            <w:noWrap/>
            <w:hideMark/>
          </w:tcPr>
          <w:p w14:paraId="507ABAAC" w14:textId="77777777" w:rsidR="007C2E48" w:rsidRPr="002D3529" w:rsidRDefault="007C2E48" w:rsidP="00DE1A10">
            <w:pPr>
              <w:spacing w:line="240" w:lineRule="auto"/>
              <w:ind w:firstLine="0"/>
              <w:jc w:val="right"/>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0</w:t>
            </w:r>
          </w:p>
        </w:tc>
        <w:tc>
          <w:tcPr>
            <w:tcW w:w="253" w:type="pct"/>
            <w:noWrap/>
            <w:hideMark/>
          </w:tcPr>
          <w:p w14:paraId="0F582E95" w14:textId="77777777" w:rsidR="007C2E48" w:rsidRPr="002D3529" w:rsidRDefault="007C2E48" w:rsidP="00DE1A10">
            <w:pPr>
              <w:spacing w:line="240" w:lineRule="auto"/>
              <w:ind w:firstLine="0"/>
              <w:jc w:val="right"/>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0</w:t>
            </w:r>
          </w:p>
        </w:tc>
        <w:tc>
          <w:tcPr>
            <w:tcW w:w="253" w:type="pct"/>
            <w:noWrap/>
            <w:hideMark/>
          </w:tcPr>
          <w:p w14:paraId="44FFB24A" w14:textId="77777777" w:rsidR="007C2E48" w:rsidRPr="002D3529" w:rsidRDefault="007C2E48" w:rsidP="00DE1A10">
            <w:pPr>
              <w:spacing w:line="240" w:lineRule="auto"/>
              <w:ind w:firstLine="0"/>
              <w:jc w:val="right"/>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0</w:t>
            </w:r>
          </w:p>
        </w:tc>
        <w:tc>
          <w:tcPr>
            <w:tcW w:w="888" w:type="pct"/>
            <w:noWrap/>
            <w:hideMark/>
          </w:tcPr>
          <w:p w14:paraId="2067A883"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Calibri" w:hAnsi="Sabon Next LT" w:cs="Sabon Next LT"/>
                <w:color w:val="000000"/>
                <w:szCs w:val="20"/>
                <w:lang w:eastAsia="en-US"/>
              </w:rPr>
              <w:t>0,529</w:t>
            </w:r>
          </w:p>
        </w:tc>
        <w:tc>
          <w:tcPr>
            <w:tcW w:w="889" w:type="pct"/>
            <w:noWrap/>
            <w:hideMark/>
          </w:tcPr>
          <w:p w14:paraId="43B86515"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0,172</w:t>
            </w:r>
          </w:p>
        </w:tc>
        <w:tc>
          <w:tcPr>
            <w:tcW w:w="1573" w:type="pct"/>
            <w:noWrap/>
            <w:hideMark/>
          </w:tcPr>
          <w:p w14:paraId="140AB903"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Katowice, Gliwice</w:t>
            </w:r>
          </w:p>
        </w:tc>
      </w:tr>
      <w:tr w:rsidR="007C2E48" w:rsidRPr="000D63C6" w14:paraId="7EDBA8DC" w14:textId="77777777" w:rsidTr="00DE1A10">
        <w:trPr>
          <w:trHeight w:val="449"/>
        </w:trPr>
        <w:tc>
          <w:tcPr>
            <w:tcW w:w="253" w:type="pct"/>
            <w:noWrap/>
            <w:hideMark/>
          </w:tcPr>
          <w:p w14:paraId="1364DAA2" w14:textId="77777777" w:rsidR="007C2E48" w:rsidRPr="002D3529" w:rsidRDefault="007C2E48" w:rsidP="00DE1A10">
            <w:pPr>
              <w:spacing w:line="240" w:lineRule="auto"/>
              <w:ind w:firstLine="0"/>
              <w:jc w:val="right"/>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0</w:t>
            </w:r>
          </w:p>
        </w:tc>
        <w:tc>
          <w:tcPr>
            <w:tcW w:w="384" w:type="pct"/>
            <w:noWrap/>
            <w:hideMark/>
          </w:tcPr>
          <w:p w14:paraId="1F242523" w14:textId="77777777" w:rsidR="007C2E48" w:rsidRPr="002D3529" w:rsidRDefault="007C2E48" w:rsidP="00DE1A10">
            <w:pPr>
              <w:spacing w:line="240" w:lineRule="auto"/>
              <w:ind w:firstLine="0"/>
              <w:jc w:val="right"/>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1</w:t>
            </w:r>
          </w:p>
        </w:tc>
        <w:tc>
          <w:tcPr>
            <w:tcW w:w="253" w:type="pct"/>
            <w:noWrap/>
            <w:hideMark/>
          </w:tcPr>
          <w:p w14:paraId="48B1709A" w14:textId="77777777" w:rsidR="007C2E48" w:rsidRPr="002D3529" w:rsidRDefault="007C2E48" w:rsidP="00DE1A10">
            <w:pPr>
              <w:spacing w:line="240" w:lineRule="auto"/>
              <w:ind w:firstLine="0"/>
              <w:jc w:val="right"/>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0</w:t>
            </w:r>
          </w:p>
        </w:tc>
        <w:tc>
          <w:tcPr>
            <w:tcW w:w="253" w:type="pct"/>
            <w:noWrap/>
            <w:hideMark/>
          </w:tcPr>
          <w:p w14:paraId="5A39A952" w14:textId="77777777" w:rsidR="007C2E48" w:rsidRPr="002D3529" w:rsidRDefault="007C2E48" w:rsidP="00DE1A10">
            <w:pPr>
              <w:spacing w:line="240" w:lineRule="auto"/>
              <w:ind w:firstLine="0"/>
              <w:jc w:val="right"/>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0</w:t>
            </w:r>
          </w:p>
        </w:tc>
        <w:tc>
          <w:tcPr>
            <w:tcW w:w="253" w:type="pct"/>
            <w:noWrap/>
            <w:hideMark/>
          </w:tcPr>
          <w:p w14:paraId="7121A5C6" w14:textId="77777777" w:rsidR="007C2E48" w:rsidRPr="002D3529" w:rsidRDefault="007C2E48" w:rsidP="00DE1A10">
            <w:pPr>
              <w:spacing w:line="240" w:lineRule="auto"/>
              <w:ind w:firstLine="0"/>
              <w:jc w:val="right"/>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0</w:t>
            </w:r>
          </w:p>
        </w:tc>
        <w:tc>
          <w:tcPr>
            <w:tcW w:w="253" w:type="pct"/>
            <w:noWrap/>
            <w:hideMark/>
          </w:tcPr>
          <w:p w14:paraId="32E187DA" w14:textId="77777777" w:rsidR="007C2E48" w:rsidRPr="002D3529" w:rsidRDefault="007C2E48" w:rsidP="00DE1A10">
            <w:pPr>
              <w:spacing w:line="240" w:lineRule="auto"/>
              <w:ind w:firstLine="0"/>
              <w:jc w:val="right"/>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0</w:t>
            </w:r>
          </w:p>
        </w:tc>
        <w:tc>
          <w:tcPr>
            <w:tcW w:w="888" w:type="pct"/>
            <w:noWrap/>
            <w:hideMark/>
          </w:tcPr>
          <w:p w14:paraId="112597D4"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Calibri" w:hAnsi="Sabon Next LT" w:cs="Sabon Next LT"/>
                <w:color w:val="000000"/>
                <w:szCs w:val="20"/>
                <w:lang w:eastAsia="en-US"/>
              </w:rPr>
              <w:t>0,431</w:t>
            </w:r>
          </w:p>
        </w:tc>
        <w:tc>
          <w:tcPr>
            <w:tcW w:w="889" w:type="pct"/>
            <w:noWrap/>
            <w:hideMark/>
          </w:tcPr>
          <w:p w14:paraId="6A3E6D7D"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0,111</w:t>
            </w:r>
          </w:p>
        </w:tc>
        <w:tc>
          <w:tcPr>
            <w:tcW w:w="1573" w:type="pct"/>
            <w:noWrap/>
            <w:hideMark/>
          </w:tcPr>
          <w:p w14:paraId="77FB4D91"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Sosnowiec, Bytom</w:t>
            </w:r>
          </w:p>
        </w:tc>
      </w:tr>
    </w:tbl>
    <w:p w14:paraId="4BEA036C" w14:textId="77777777" w:rsidR="007C2E48" w:rsidRPr="000D63C6" w:rsidRDefault="007C2E48" w:rsidP="007C2E48">
      <w:pPr>
        <w:spacing w:before="0" w:after="0" w:line="240" w:lineRule="auto"/>
        <w:ind w:firstLine="0"/>
        <w:contextualSpacing/>
        <w:rPr>
          <w:rFonts w:eastAsia="Calibri"/>
          <w:sz w:val="20"/>
          <w:szCs w:val="20"/>
          <w:lang w:eastAsia="en-US"/>
        </w:rPr>
      </w:pPr>
      <w:r w:rsidRPr="000D63C6">
        <w:rPr>
          <w:rFonts w:eastAsia="Calibri"/>
          <w:sz w:val="20"/>
          <w:szCs w:val="20"/>
          <w:lang w:eastAsia="en-US"/>
        </w:rPr>
        <w:t xml:space="preserve">Source: author’s own elaboration. </w:t>
      </w:r>
    </w:p>
    <w:p w14:paraId="6B9217AE" w14:textId="77777777" w:rsidR="007C2E48" w:rsidRPr="000D63C6" w:rsidRDefault="007C2E48" w:rsidP="007C2E48">
      <w:pPr>
        <w:spacing w:before="0" w:after="0" w:line="240" w:lineRule="auto"/>
        <w:ind w:firstLine="0"/>
        <w:contextualSpacing/>
        <w:rPr>
          <w:rFonts w:eastAsia="Calibri"/>
          <w:sz w:val="20"/>
          <w:szCs w:val="20"/>
          <w:lang w:eastAsia="en-US"/>
        </w:rPr>
      </w:pPr>
      <w:r w:rsidRPr="000D63C6">
        <w:rPr>
          <w:rFonts w:eastAsia="Calibri"/>
          <w:sz w:val="20"/>
          <w:szCs w:val="20"/>
          <w:lang w:eastAsia="en-US"/>
        </w:rPr>
        <w:t>Note: The crossed-out cities are deviant cases (consistency in kind). [1] stands for the presence of a condition or the outcome, while [0] for its absence. ‘PRI’ denotes ‘Proportional Reduction in Inconsistency’, an additional metric of relevance (</w:t>
      </w:r>
      <w:r w:rsidRPr="000D63C6">
        <w:rPr>
          <w:rFonts w:eastAsia="Calibri"/>
          <w:sz w:val="20"/>
          <w:szCs w:val="20"/>
          <w:lang w:eastAsia="en-US"/>
        </w:rPr>
        <w:fldChar w:fldCharType="begin"/>
      </w:r>
      <w:r>
        <w:rPr>
          <w:rFonts w:eastAsia="Calibri"/>
          <w:sz w:val="20"/>
          <w:szCs w:val="20"/>
          <w:lang w:eastAsia="en-US"/>
        </w:rPr>
        <w:instrText xml:space="preserve"> ADDIN ZOTERO_ITEM CSL_CITATION {"citationID":"xuXt66hi","properties":{"formattedCitation":"(Oana, Schneider, and Thomann 2021)","plainCitation":"(Oana, Schneider, and Thomann 2021)","dontUpdate":true,"noteIndex":0},"citationItems":[{"id":"Ubi3gMvx/ng05ZxE6","uris":["http://zotero.org/users/7323662/items/A8CMQT33"],"itemData":{"id":"4NJ9K8uW/WOBaknkC","type":"book","abstract":"A comprehensive introduction and teaching resource for state-of-the-art Qualitative Comparative Analysis (QCA) using R software. This guide facilitates the efficient teaching, independent learning, and use of QCA with the best available software, reducing the time and effort required when encountering not just the logic of a new method, but also new software. With its applied and practical focus, the book offers a genuinely simple and intuitive resource for implementing the most complete protocol of QCA. To make the lives of students, teachers, researchers, and practitioners as easy as possible, the book includes learning goals, core points, empirical examples, and tips for good practices. The freely available online material provides a rich body of additional resources to aid users in their learning process. Beyond performing core analyses with the R package QCA, the book also facilitates a close integration with the R package SetMethods allowing for a host of additional protocols for building a more solid and well-rounded QCA.","ISBN":"978-1-316-51872-4","language":"en","note":"Google-Books-ID: lhA5EAAAQBAJ","number-of-pages":"249","publisher":"Cambridge University Press","source":"Google Books","title":"Qualitative Comparative Analysis Using R: A Beginner's Guide","title-short":"Qualitative Comparative Analysis Using R","author":[{"family":"Oana","given":"Ioana-Elena"},{"family":"Schneider","given":"Carsten Q."},{"family":"Thomann","given":"Eva"}],"issued":{"date-parts":[["2021",10,28]]}}}],"schema":"https://github.com/citation-style-language/schema/raw/master/csl-citation.json"} </w:instrText>
      </w:r>
      <w:r w:rsidRPr="000D63C6">
        <w:rPr>
          <w:rFonts w:eastAsia="Calibri"/>
          <w:sz w:val="20"/>
          <w:szCs w:val="20"/>
          <w:lang w:eastAsia="en-US"/>
        </w:rPr>
        <w:fldChar w:fldCharType="separate"/>
      </w:r>
      <w:r w:rsidRPr="000D63C6">
        <w:rPr>
          <w:rFonts w:eastAsia="Calibri"/>
          <w:sz w:val="20"/>
          <w:szCs w:val="20"/>
          <w:lang w:eastAsia="en-US"/>
        </w:rPr>
        <w:t>see Oana, Schneider, and Thomann 2021)</w:t>
      </w:r>
      <w:r w:rsidRPr="000D63C6">
        <w:rPr>
          <w:rFonts w:eastAsia="Calibri"/>
          <w:sz w:val="20"/>
          <w:szCs w:val="20"/>
          <w:lang w:eastAsia="en-US"/>
        </w:rPr>
        <w:fldChar w:fldCharType="end"/>
      </w:r>
      <w:r w:rsidRPr="000D63C6">
        <w:rPr>
          <w:rFonts w:eastAsia="Calibri"/>
          <w:sz w:val="20"/>
          <w:szCs w:val="20"/>
          <w:lang w:eastAsia="en-US"/>
        </w:rPr>
        <w:t xml:space="preserve">. The consistency threshold were set at a conservative value of 0,8 (ibid). Presented her without empty configurations (logical reminders).  </w:t>
      </w:r>
    </w:p>
    <w:p w14:paraId="5EA3590F" w14:textId="77777777" w:rsidR="007C2E48" w:rsidRPr="000D63C6" w:rsidRDefault="007C2E48" w:rsidP="007C2E48">
      <w:pPr>
        <w:spacing w:before="0" w:after="160" w:line="259" w:lineRule="auto"/>
        <w:ind w:firstLine="0"/>
        <w:jc w:val="left"/>
        <w:rPr>
          <w:rFonts w:eastAsia="Calibri"/>
          <w:b/>
          <w:bCs/>
          <w:sz w:val="20"/>
          <w:szCs w:val="20"/>
          <w:lang w:eastAsia="en-US"/>
        </w:rPr>
      </w:pPr>
    </w:p>
    <w:p w14:paraId="3B9C6F30" w14:textId="77777777" w:rsidR="007C2E48" w:rsidRPr="000D63C6" w:rsidRDefault="007C2E48" w:rsidP="007C2E48">
      <w:pPr>
        <w:spacing w:before="0" w:after="160" w:line="259" w:lineRule="auto"/>
        <w:ind w:firstLine="0"/>
        <w:jc w:val="left"/>
        <w:rPr>
          <w:rFonts w:eastAsia="Calibri"/>
          <w:sz w:val="20"/>
          <w:szCs w:val="20"/>
          <w:lang w:eastAsia="en-US"/>
        </w:rPr>
      </w:pPr>
      <w:r w:rsidRPr="000D63C6">
        <w:rPr>
          <w:rFonts w:eastAsia="Calibri"/>
          <w:b/>
          <w:bCs/>
          <w:sz w:val="24"/>
          <w:szCs w:val="24"/>
          <w:lang w:eastAsia="en-US"/>
        </w:rPr>
        <w:t>Conservative solution (no logical reminders included)</w:t>
      </w:r>
      <w:r w:rsidRPr="000D63C6">
        <w:rPr>
          <w:rFonts w:eastAsia="Calibri"/>
          <w:sz w:val="24"/>
          <w:szCs w:val="24"/>
          <w:lang w:eastAsia="en-US"/>
        </w:rPr>
        <w:t xml:space="preserve">: </w:t>
      </w:r>
      <w:r w:rsidRPr="000D63C6">
        <w:rPr>
          <w:rFonts w:eastAsia="Calibri"/>
          <w:sz w:val="24"/>
          <w:szCs w:val="24"/>
          <w:lang w:eastAsia="en-US"/>
        </w:rPr>
        <w:br/>
        <w:t>(~POP*~POORHEALTH *WMR *SOCAP) + (~POORHEALTH*AFFL *WMR *SOCAP) → OUT</w:t>
      </w:r>
      <w:r w:rsidRPr="000D63C6">
        <w:rPr>
          <w:rFonts w:eastAsia="Calibri"/>
          <w:sz w:val="24"/>
          <w:szCs w:val="24"/>
          <w:lang w:eastAsia="en-US"/>
        </w:rPr>
        <w:br/>
      </w:r>
      <w:r w:rsidRPr="000D63C6">
        <w:rPr>
          <w:rFonts w:eastAsia="Calibri"/>
          <w:sz w:val="20"/>
          <w:szCs w:val="20"/>
          <w:lang w:eastAsia="en-US"/>
        </w:rPr>
        <w:t xml:space="preserve">Note: solution consistency = 0,916, PRI = 0,839, solution coverage = 0,542. </w:t>
      </w:r>
    </w:p>
    <w:p w14:paraId="7B625D00" w14:textId="77777777" w:rsidR="007C2E48" w:rsidRDefault="007C2E48" w:rsidP="007C2E48">
      <w:pPr>
        <w:spacing w:before="0" w:after="160" w:line="259" w:lineRule="auto"/>
        <w:ind w:firstLine="0"/>
        <w:jc w:val="left"/>
        <w:rPr>
          <w:rFonts w:eastAsia="Calibri"/>
          <w:b/>
          <w:bCs/>
          <w:sz w:val="20"/>
          <w:szCs w:val="20"/>
          <w:lang w:eastAsia="en-US"/>
        </w:rPr>
      </w:pPr>
      <w:r w:rsidRPr="000D63C6">
        <w:rPr>
          <w:rFonts w:eastAsia="Calibri"/>
          <w:b/>
          <w:bCs/>
          <w:sz w:val="24"/>
          <w:szCs w:val="24"/>
          <w:lang w:eastAsia="en-US"/>
        </w:rPr>
        <w:t xml:space="preserve">The most parsimonious (all logical reminders included, without directional expectations) and intermediate solutions proved to be effectively the same. </w:t>
      </w:r>
      <w:r w:rsidRPr="000D63C6">
        <w:rPr>
          <w:rFonts w:eastAsia="Calibri"/>
          <w:b/>
          <w:bCs/>
          <w:sz w:val="20"/>
          <w:szCs w:val="20"/>
          <w:lang w:eastAsia="en-US"/>
        </w:rPr>
        <w:t xml:space="preserve"> </w:t>
      </w:r>
    </w:p>
    <w:p w14:paraId="0796BDAB" w14:textId="77777777" w:rsidR="007C2E48" w:rsidRDefault="007C2E48" w:rsidP="007C2E48">
      <w:pPr>
        <w:spacing w:line="240" w:lineRule="auto"/>
        <w:ind w:firstLine="0"/>
        <w:rPr>
          <w:rFonts w:eastAsia="Calibri"/>
          <w:b/>
          <w:bCs/>
          <w:sz w:val="20"/>
          <w:szCs w:val="20"/>
          <w:lang w:eastAsia="en-US"/>
        </w:rPr>
      </w:pPr>
      <w:r>
        <w:rPr>
          <w:rFonts w:eastAsia="Calibri"/>
          <w:b/>
          <w:bCs/>
          <w:sz w:val="20"/>
          <w:szCs w:val="20"/>
          <w:lang w:eastAsia="en-US"/>
        </w:rPr>
        <w:br w:type="page"/>
      </w:r>
    </w:p>
    <w:p w14:paraId="3CF6F58E" w14:textId="77777777" w:rsidR="007C2E48" w:rsidRPr="000D63C6" w:rsidRDefault="007C2E48" w:rsidP="007C2E48">
      <w:pPr>
        <w:spacing w:before="0" w:after="160" w:line="259" w:lineRule="auto"/>
        <w:ind w:firstLine="0"/>
        <w:jc w:val="left"/>
        <w:rPr>
          <w:rFonts w:eastAsia="Calibri"/>
          <w:b/>
          <w:bCs/>
          <w:sz w:val="20"/>
          <w:szCs w:val="20"/>
          <w:lang w:eastAsia="en-US"/>
        </w:rPr>
      </w:pPr>
      <w:r w:rsidRPr="000D63C6">
        <w:rPr>
          <w:rFonts w:eastAsia="Calibri"/>
          <w:b/>
          <w:bCs/>
          <w:sz w:val="20"/>
          <w:szCs w:val="20"/>
          <w:lang w:eastAsia="en-US"/>
        </w:rPr>
        <w:lastRenderedPageBreak/>
        <w:t>Table A</w:t>
      </w:r>
      <w:r>
        <w:rPr>
          <w:rFonts w:eastAsia="Calibri"/>
          <w:b/>
          <w:bCs/>
          <w:sz w:val="20"/>
          <w:szCs w:val="20"/>
          <w:lang w:eastAsia="en-US"/>
        </w:rPr>
        <w:t>5</w:t>
      </w:r>
      <w:r w:rsidRPr="000D63C6">
        <w:rPr>
          <w:rFonts w:eastAsia="Calibri"/>
          <w:b/>
          <w:bCs/>
          <w:sz w:val="20"/>
          <w:szCs w:val="20"/>
          <w:lang w:eastAsia="en-US"/>
        </w:rPr>
        <w:t xml:space="preserve">: Truth table for the absence of universal targeting in municipal public health policy. </w:t>
      </w:r>
    </w:p>
    <w:p w14:paraId="69371769" w14:textId="77777777" w:rsidR="007C2E48" w:rsidRPr="000D63C6" w:rsidRDefault="007C2E48" w:rsidP="007C2E48">
      <w:pPr>
        <w:spacing w:before="0" w:after="0"/>
        <w:ind w:firstLine="0"/>
        <w:contextualSpacing/>
        <w:rPr>
          <w:rFonts w:eastAsia="Calibri"/>
          <w:b/>
          <w:bCs/>
          <w:sz w:val="20"/>
          <w:szCs w:val="20"/>
          <w:lang w:eastAsia="en-US"/>
        </w:rPr>
      </w:pPr>
    </w:p>
    <w:tbl>
      <w:tblPr>
        <w:tblStyle w:val="Tabela-Siatka"/>
        <w:tblW w:w="5052" w:type="pct"/>
        <w:tblLook w:val="04A0" w:firstRow="1" w:lastRow="0" w:firstColumn="1" w:lastColumn="0" w:noHBand="0" w:noVBand="1"/>
      </w:tblPr>
      <w:tblGrid>
        <w:gridCol w:w="667"/>
        <w:gridCol w:w="1053"/>
        <w:gridCol w:w="783"/>
        <w:gridCol w:w="667"/>
        <w:gridCol w:w="667"/>
        <w:gridCol w:w="667"/>
        <w:gridCol w:w="1052"/>
        <w:gridCol w:w="711"/>
        <w:gridCol w:w="2889"/>
      </w:tblGrid>
      <w:tr w:rsidR="007C2E48" w:rsidRPr="000D63C6" w14:paraId="22FF668E" w14:textId="77777777" w:rsidTr="00DE1A10">
        <w:trPr>
          <w:trHeight w:val="1569"/>
        </w:trPr>
        <w:tc>
          <w:tcPr>
            <w:tcW w:w="417" w:type="pct"/>
            <w:tcBorders>
              <w:bottom w:val="single" w:sz="8" w:space="0" w:color="auto"/>
            </w:tcBorders>
            <w:noWrap/>
            <w:textDirection w:val="btLr"/>
            <w:hideMark/>
          </w:tcPr>
          <w:p w14:paraId="0189F449" w14:textId="77777777" w:rsidR="007C2E48" w:rsidRPr="002D3529" w:rsidRDefault="007C2E48" w:rsidP="00DE1A10">
            <w:pPr>
              <w:spacing w:line="240" w:lineRule="auto"/>
              <w:ind w:firstLine="0"/>
              <w:jc w:val="center"/>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b/>
                <w:bCs/>
                <w:color w:val="000000"/>
                <w:szCs w:val="20"/>
                <w:lang w:eastAsia="pl-PL"/>
              </w:rPr>
              <w:t>POP</w:t>
            </w:r>
          </w:p>
        </w:tc>
        <w:tc>
          <w:tcPr>
            <w:tcW w:w="694" w:type="pct"/>
            <w:tcBorders>
              <w:bottom w:val="single" w:sz="8" w:space="0" w:color="auto"/>
            </w:tcBorders>
            <w:noWrap/>
            <w:textDirection w:val="btLr"/>
            <w:hideMark/>
          </w:tcPr>
          <w:p w14:paraId="246D3F88" w14:textId="77777777" w:rsidR="007C2E48" w:rsidRPr="002D3529" w:rsidRDefault="007C2E48" w:rsidP="00DE1A10">
            <w:pPr>
              <w:spacing w:line="240" w:lineRule="auto"/>
              <w:ind w:firstLine="0"/>
              <w:jc w:val="center"/>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b/>
                <w:bCs/>
                <w:color w:val="000000"/>
                <w:szCs w:val="20"/>
                <w:lang w:eastAsia="pl-PL"/>
              </w:rPr>
              <w:t>POOR</w:t>
            </w:r>
            <w:r w:rsidRPr="002D3529">
              <w:rPr>
                <w:rFonts w:ascii="Sabon Next LT" w:eastAsia="Times New Roman" w:hAnsi="Sabon Next LT" w:cs="Sabon Next LT"/>
                <w:b/>
                <w:bCs/>
                <w:color w:val="000000"/>
                <w:szCs w:val="20"/>
                <w:lang w:eastAsia="pl-PL"/>
              </w:rPr>
              <w:br/>
              <w:t>HEALTH</w:t>
            </w:r>
          </w:p>
        </w:tc>
        <w:tc>
          <w:tcPr>
            <w:tcW w:w="545" w:type="pct"/>
            <w:tcBorders>
              <w:bottom w:val="single" w:sz="8" w:space="0" w:color="auto"/>
            </w:tcBorders>
            <w:noWrap/>
            <w:textDirection w:val="btLr"/>
            <w:hideMark/>
          </w:tcPr>
          <w:p w14:paraId="0E2B01ED" w14:textId="77777777" w:rsidR="007C2E48" w:rsidRPr="002D3529" w:rsidRDefault="007C2E48" w:rsidP="00DE1A10">
            <w:pPr>
              <w:spacing w:line="240" w:lineRule="auto"/>
              <w:ind w:firstLine="0"/>
              <w:jc w:val="center"/>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b/>
                <w:bCs/>
                <w:color w:val="000000"/>
                <w:szCs w:val="20"/>
                <w:lang w:eastAsia="pl-PL"/>
              </w:rPr>
              <w:t>AFFL</w:t>
            </w:r>
          </w:p>
        </w:tc>
        <w:tc>
          <w:tcPr>
            <w:tcW w:w="366" w:type="pct"/>
            <w:tcBorders>
              <w:bottom w:val="single" w:sz="8" w:space="0" w:color="auto"/>
            </w:tcBorders>
            <w:noWrap/>
            <w:textDirection w:val="btLr"/>
            <w:hideMark/>
          </w:tcPr>
          <w:p w14:paraId="22F5A4F3" w14:textId="77777777" w:rsidR="007C2E48" w:rsidRPr="002D3529" w:rsidRDefault="007C2E48" w:rsidP="00DE1A10">
            <w:pPr>
              <w:spacing w:line="240" w:lineRule="auto"/>
              <w:ind w:firstLine="0"/>
              <w:jc w:val="center"/>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b/>
                <w:bCs/>
                <w:color w:val="000000"/>
                <w:szCs w:val="20"/>
                <w:lang w:eastAsia="pl-PL"/>
              </w:rPr>
              <w:t>WMR</w:t>
            </w:r>
          </w:p>
        </w:tc>
        <w:tc>
          <w:tcPr>
            <w:tcW w:w="388" w:type="pct"/>
            <w:tcBorders>
              <w:bottom w:val="single" w:sz="8" w:space="0" w:color="auto"/>
            </w:tcBorders>
            <w:noWrap/>
            <w:textDirection w:val="btLr"/>
            <w:hideMark/>
          </w:tcPr>
          <w:p w14:paraId="44C5B0D1" w14:textId="77777777" w:rsidR="007C2E48" w:rsidRPr="002D3529" w:rsidRDefault="007C2E48" w:rsidP="00DE1A10">
            <w:pPr>
              <w:spacing w:line="240" w:lineRule="auto"/>
              <w:ind w:firstLine="0"/>
              <w:jc w:val="center"/>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b/>
                <w:bCs/>
                <w:color w:val="000000"/>
                <w:szCs w:val="20"/>
                <w:lang w:eastAsia="pl-PL"/>
              </w:rPr>
              <w:t>SOCAP</w:t>
            </w:r>
          </w:p>
        </w:tc>
        <w:tc>
          <w:tcPr>
            <w:tcW w:w="253" w:type="pct"/>
            <w:tcBorders>
              <w:bottom w:val="single" w:sz="8" w:space="0" w:color="auto"/>
            </w:tcBorders>
            <w:noWrap/>
            <w:textDirection w:val="btLr"/>
            <w:hideMark/>
          </w:tcPr>
          <w:p w14:paraId="6F1D1C66" w14:textId="77777777" w:rsidR="007C2E48" w:rsidRPr="002D3529" w:rsidRDefault="007C2E48" w:rsidP="00DE1A10">
            <w:pPr>
              <w:spacing w:line="240" w:lineRule="auto"/>
              <w:ind w:firstLine="0"/>
              <w:jc w:val="center"/>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b/>
                <w:bCs/>
                <w:color w:val="000000"/>
                <w:szCs w:val="20"/>
                <w:lang w:eastAsia="pl-PL"/>
              </w:rPr>
              <w:t>OUT</w:t>
            </w:r>
          </w:p>
        </w:tc>
        <w:tc>
          <w:tcPr>
            <w:tcW w:w="396" w:type="pct"/>
            <w:tcBorders>
              <w:bottom w:val="single" w:sz="8" w:space="0" w:color="auto"/>
            </w:tcBorders>
            <w:noWrap/>
            <w:textDirection w:val="btLr"/>
            <w:hideMark/>
          </w:tcPr>
          <w:p w14:paraId="4AD76EBD" w14:textId="77777777" w:rsidR="007C2E48" w:rsidRPr="002D3529" w:rsidRDefault="007C2E48" w:rsidP="00DE1A10">
            <w:pPr>
              <w:tabs>
                <w:tab w:val="center" w:pos="920"/>
              </w:tabs>
              <w:spacing w:line="240" w:lineRule="auto"/>
              <w:ind w:left="113" w:right="113" w:firstLine="0"/>
              <w:jc w:val="center"/>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b/>
                <w:bCs/>
                <w:color w:val="000000"/>
                <w:szCs w:val="20"/>
                <w:lang w:eastAsia="pl-PL"/>
              </w:rPr>
              <w:t>Inclusion</w:t>
            </w:r>
          </w:p>
          <w:p w14:paraId="45C021E6" w14:textId="77777777" w:rsidR="007C2E48" w:rsidRPr="002D3529" w:rsidRDefault="007C2E48" w:rsidP="00DE1A10">
            <w:pPr>
              <w:spacing w:line="240" w:lineRule="auto"/>
              <w:ind w:firstLine="0"/>
              <w:jc w:val="center"/>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b/>
                <w:bCs/>
                <w:color w:val="000000"/>
                <w:szCs w:val="20"/>
                <w:lang w:eastAsia="pl-PL"/>
              </w:rPr>
              <w:t>score</w:t>
            </w:r>
          </w:p>
        </w:tc>
        <w:tc>
          <w:tcPr>
            <w:tcW w:w="396" w:type="pct"/>
            <w:tcBorders>
              <w:bottom w:val="single" w:sz="8" w:space="0" w:color="auto"/>
            </w:tcBorders>
            <w:noWrap/>
            <w:textDirection w:val="btLr"/>
            <w:hideMark/>
          </w:tcPr>
          <w:p w14:paraId="76E15B34" w14:textId="77777777" w:rsidR="007C2E48" w:rsidRPr="002D3529" w:rsidRDefault="007C2E48" w:rsidP="00DE1A10">
            <w:pPr>
              <w:spacing w:line="240" w:lineRule="auto"/>
              <w:ind w:firstLine="0"/>
              <w:jc w:val="center"/>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b/>
                <w:bCs/>
                <w:color w:val="000000"/>
                <w:szCs w:val="20"/>
                <w:lang w:eastAsia="pl-PL"/>
              </w:rPr>
              <w:t>PRI</w:t>
            </w:r>
          </w:p>
        </w:tc>
        <w:tc>
          <w:tcPr>
            <w:tcW w:w="1545" w:type="pct"/>
            <w:tcBorders>
              <w:bottom w:val="single" w:sz="8" w:space="0" w:color="auto"/>
            </w:tcBorders>
            <w:noWrap/>
            <w:vAlign w:val="center"/>
            <w:hideMark/>
          </w:tcPr>
          <w:p w14:paraId="3E74D440" w14:textId="77777777" w:rsidR="007C2E48" w:rsidRPr="002D3529" w:rsidRDefault="007C2E48" w:rsidP="00DE1A10">
            <w:pPr>
              <w:spacing w:line="240" w:lineRule="auto"/>
              <w:ind w:firstLine="0"/>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b/>
                <w:bCs/>
                <w:color w:val="000000"/>
                <w:szCs w:val="20"/>
                <w:lang w:eastAsia="pl-PL"/>
              </w:rPr>
              <w:t>Cases</w:t>
            </w:r>
          </w:p>
        </w:tc>
      </w:tr>
      <w:tr w:rsidR="007C2E48" w:rsidRPr="000D63C6" w14:paraId="789A0348" w14:textId="77777777" w:rsidTr="00DE1A10">
        <w:trPr>
          <w:trHeight w:val="425"/>
        </w:trPr>
        <w:tc>
          <w:tcPr>
            <w:tcW w:w="417" w:type="pct"/>
            <w:tcBorders>
              <w:top w:val="single" w:sz="8" w:space="0" w:color="auto"/>
            </w:tcBorders>
            <w:noWrap/>
            <w:hideMark/>
          </w:tcPr>
          <w:p w14:paraId="3B0E1E1E" w14:textId="77777777" w:rsidR="007C2E48" w:rsidRPr="002D3529" w:rsidRDefault="007C2E48" w:rsidP="00DE1A10">
            <w:pPr>
              <w:spacing w:line="240" w:lineRule="auto"/>
              <w:ind w:firstLine="0"/>
              <w:jc w:val="right"/>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b/>
                <w:bCs/>
                <w:color w:val="000000"/>
                <w:szCs w:val="20"/>
                <w:lang w:eastAsia="pl-PL"/>
              </w:rPr>
              <w:t>0</w:t>
            </w:r>
          </w:p>
        </w:tc>
        <w:tc>
          <w:tcPr>
            <w:tcW w:w="694" w:type="pct"/>
            <w:tcBorders>
              <w:top w:val="single" w:sz="8" w:space="0" w:color="auto"/>
            </w:tcBorders>
            <w:noWrap/>
            <w:hideMark/>
          </w:tcPr>
          <w:p w14:paraId="27A63825" w14:textId="77777777" w:rsidR="007C2E48" w:rsidRPr="002D3529" w:rsidRDefault="007C2E48" w:rsidP="00DE1A10">
            <w:pPr>
              <w:spacing w:line="240" w:lineRule="auto"/>
              <w:ind w:firstLine="0"/>
              <w:jc w:val="right"/>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b/>
                <w:bCs/>
                <w:color w:val="000000"/>
                <w:szCs w:val="20"/>
                <w:lang w:eastAsia="pl-PL"/>
              </w:rPr>
              <w:t>1</w:t>
            </w:r>
          </w:p>
        </w:tc>
        <w:tc>
          <w:tcPr>
            <w:tcW w:w="545" w:type="pct"/>
            <w:tcBorders>
              <w:top w:val="single" w:sz="8" w:space="0" w:color="auto"/>
            </w:tcBorders>
            <w:noWrap/>
            <w:hideMark/>
          </w:tcPr>
          <w:p w14:paraId="2EC4B5B7" w14:textId="77777777" w:rsidR="007C2E48" w:rsidRPr="002D3529" w:rsidRDefault="007C2E48" w:rsidP="00DE1A10">
            <w:pPr>
              <w:spacing w:line="240" w:lineRule="auto"/>
              <w:ind w:firstLine="0"/>
              <w:jc w:val="right"/>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b/>
                <w:bCs/>
                <w:color w:val="000000"/>
                <w:szCs w:val="20"/>
                <w:lang w:eastAsia="pl-PL"/>
              </w:rPr>
              <w:t>0</w:t>
            </w:r>
          </w:p>
        </w:tc>
        <w:tc>
          <w:tcPr>
            <w:tcW w:w="366" w:type="pct"/>
            <w:tcBorders>
              <w:top w:val="single" w:sz="8" w:space="0" w:color="auto"/>
            </w:tcBorders>
            <w:noWrap/>
            <w:hideMark/>
          </w:tcPr>
          <w:p w14:paraId="4B7BF1E4" w14:textId="77777777" w:rsidR="007C2E48" w:rsidRPr="002D3529" w:rsidRDefault="007C2E48" w:rsidP="00DE1A10">
            <w:pPr>
              <w:spacing w:line="240" w:lineRule="auto"/>
              <w:ind w:firstLine="0"/>
              <w:jc w:val="right"/>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b/>
                <w:bCs/>
                <w:color w:val="000000"/>
                <w:szCs w:val="20"/>
                <w:lang w:eastAsia="pl-PL"/>
              </w:rPr>
              <w:t>0</w:t>
            </w:r>
          </w:p>
        </w:tc>
        <w:tc>
          <w:tcPr>
            <w:tcW w:w="388" w:type="pct"/>
            <w:tcBorders>
              <w:top w:val="single" w:sz="8" w:space="0" w:color="auto"/>
            </w:tcBorders>
            <w:noWrap/>
            <w:hideMark/>
          </w:tcPr>
          <w:p w14:paraId="6CFB8B72" w14:textId="77777777" w:rsidR="007C2E48" w:rsidRPr="002D3529" w:rsidRDefault="007C2E48" w:rsidP="00DE1A10">
            <w:pPr>
              <w:spacing w:line="240" w:lineRule="auto"/>
              <w:ind w:firstLine="0"/>
              <w:jc w:val="right"/>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b/>
                <w:bCs/>
                <w:color w:val="000000"/>
                <w:szCs w:val="20"/>
                <w:lang w:eastAsia="pl-PL"/>
              </w:rPr>
              <w:t>1</w:t>
            </w:r>
          </w:p>
        </w:tc>
        <w:tc>
          <w:tcPr>
            <w:tcW w:w="253" w:type="pct"/>
            <w:tcBorders>
              <w:top w:val="single" w:sz="8" w:space="0" w:color="auto"/>
            </w:tcBorders>
            <w:noWrap/>
            <w:hideMark/>
          </w:tcPr>
          <w:p w14:paraId="09218988" w14:textId="77777777" w:rsidR="007C2E48" w:rsidRPr="002D3529" w:rsidRDefault="007C2E48" w:rsidP="00DE1A10">
            <w:pPr>
              <w:spacing w:line="240" w:lineRule="auto"/>
              <w:ind w:firstLine="0"/>
              <w:jc w:val="right"/>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b/>
                <w:bCs/>
                <w:color w:val="000000"/>
                <w:szCs w:val="20"/>
                <w:lang w:eastAsia="pl-PL"/>
              </w:rPr>
              <w:t>1</w:t>
            </w:r>
          </w:p>
        </w:tc>
        <w:tc>
          <w:tcPr>
            <w:tcW w:w="396" w:type="pct"/>
            <w:tcBorders>
              <w:top w:val="single" w:sz="8" w:space="0" w:color="auto"/>
            </w:tcBorders>
            <w:noWrap/>
            <w:hideMark/>
          </w:tcPr>
          <w:p w14:paraId="66A5D649" w14:textId="77777777" w:rsidR="007C2E48" w:rsidRPr="002D3529" w:rsidRDefault="007C2E48" w:rsidP="00DE1A10">
            <w:pPr>
              <w:spacing w:line="240" w:lineRule="auto"/>
              <w:ind w:firstLine="0"/>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b/>
                <w:bCs/>
                <w:color w:val="000000"/>
                <w:szCs w:val="20"/>
                <w:lang w:eastAsia="pl-PL"/>
              </w:rPr>
              <w:t>0,915</w:t>
            </w:r>
          </w:p>
        </w:tc>
        <w:tc>
          <w:tcPr>
            <w:tcW w:w="396" w:type="pct"/>
            <w:tcBorders>
              <w:top w:val="single" w:sz="8" w:space="0" w:color="auto"/>
            </w:tcBorders>
            <w:noWrap/>
            <w:hideMark/>
          </w:tcPr>
          <w:p w14:paraId="031A8AFC" w14:textId="77777777" w:rsidR="007C2E48" w:rsidRPr="002D3529" w:rsidRDefault="007C2E48" w:rsidP="00DE1A10">
            <w:pPr>
              <w:spacing w:line="240" w:lineRule="auto"/>
              <w:ind w:firstLine="0"/>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b/>
                <w:bCs/>
                <w:color w:val="000000"/>
                <w:szCs w:val="20"/>
                <w:lang w:eastAsia="pl-PL"/>
              </w:rPr>
              <w:t>0,828</w:t>
            </w:r>
          </w:p>
        </w:tc>
        <w:tc>
          <w:tcPr>
            <w:tcW w:w="1545" w:type="pct"/>
            <w:tcBorders>
              <w:top w:val="single" w:sz="8" w:space="0" w:color="auto"/>
            </w:tcBorders>
            <w:noWrap/>
            <w:hideMark/>
          </w:tcPr>
          <w:p w14:paraId="2C529E92" w14:textId="77777777" w:rsidR="007C2E48" w:rsidRPr="002D3529" w:rsidRDefault="007C2E48" w:rsidP="00DE1A10">
            <w:pPr>
              <w:spacing w:line="240" w:lineRule="auto"/>
              <w:ind w:firstLine="0"/>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b/>
                <w:bCs/>
                <w:color w:val="000000"/>
                <w:szCs w:val="20"/>
                <w:lang w:eastAsia="pl-PL"/>
              </w:rPr>
              <w:t>Zabrze</w:t>
            </w:r>
          </w:p>
        </w:tc>
      </w:tr>
      <w:tr w:rsidR="007C2E48" w:rsidRPr="000D63C6" w14:paraId="360A5672" w14:textId="77777777" w:rsidTr="00DE1A10">
        <w:trPr>
          <w:trHeight w:val="425"/>
        </w:trPr>
        <w:tc>
          <w:tcPr>
            <w:tcW w:w="417" w:type="pct"/>
            <w:noWrap/>
            <w:hideMark/>
          </w:tcPr>
          <w:p w14:paraId="477CD37F" w14:textId="77777777" w:rsidR="007C2E48" w:rsidRPr="002D3529" w:rsidRDefault="007C2E48" w:rsidP="00DE1A10">
            <w:pPr>
              <w:spacing w:line="240" w:lineRule="auto"/>
              <w:ind w:firstLine="0"/>
              <w:jc w:val="right"/>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b/>
                <w:bCs/>
                <w:color w:val="000000"/>
                <w:szCs w:val="20"/>
                <w:lang w:eastAsia="pl-PL"/>
              </w:rPr>
              <w:t>0</w:t>
            </w:r>
          </w:p>
        </w:tc>
        <w:tc>
          <w:tcPr>
            <w:tcW w:w="694" w:type="pct"/>
            <w:noWrap/>
            <w:hideMark/>
          </w:tcPr>
          <w:p w14:paraId="1ACA902C" w14:textId="77777777" w:rsidR="007C2E48" w:rsidRPr="002D3529" w:rsidRDefault="007C2E48" w:rsidP="00DE1A10">
            <w:pPr>
              <w:spacing w:line="240" w:lineRule="auto"/>
              <w:ind w:firstLine="0"/>
              <w:jc w:val="right"/>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b/>
                <w:bCs/>
                <w:color w:val="000000"/>
                <w:szCs w:val="20"/>
                <w:lang w:eastAsia="pl-PL"/>
              </w:rPr>
              <w:t>1</w:t>
            </w:r>
          </w:p>
        </w:tc>
        <w:tc>
          <w:tcPr>
            <w:tcW w:w="545" w:type="pct"/>
            <w:noWrap/>
            <w:hideMark/>
          </w:tcPr>
          <w:p w14:paraId="6809A413" w14:textId="77777777" w:rsidR="007C2E48" w:rsidRPr="002D3529" w:rsidRDefault="007C2E48" w:rsidP="00DE1A10">
            <w:pPr>
              <w:spacing w:line="240" w:lineRule="auto"/>
              <w:ind w:firstLine="0"/>
              <w:jc w:val="right"/>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b/>
                <w:bCs/>
                <w:color w:val="000000"/>
                <w:szCs w:val="20"/>
                <w:lang w:eastAsia="pl-PL"/>
              </w:rPr>
              <w:t>1</w:t>
            </w:r>
          </w:p>
        </w:tc>
        <w:tc>
          <w:tcPr>
            <w:tcW w:w="366" w:type="pct"/>
            <w:noWrap/>
            <w:hideMark/>
          </w:tcPr>
          <w:p w14:paraId="54E860AA" w14:textId="77777777" w:rsidR="007C2E48" w:rsidRPr="002D3529" w:rsidRDefault="007C2E48" w:rsidP="00DE1A10">
            <w:pPr>
              <w:spacing w:line="240" w:lineRule="auto"/>
              <w:ind w:firstLine="0"/>
              <w:jc w:val="right"/>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b/>
                <w:bCs/>
                <w:color w:val="000000"/>
                <w:szCs w:val="20"/>
                <w:lang w:eastAsia="pl-PL"/>
              </w:rPr>
              <w:t>0</w:t>
            </w:r>
          </w:p>
        </w:tc>
        <w:tc>
          <w:tcPr>
            <w:tcW w:w="388" w:type="pct"/>
            <w:noWrap/>
            <w:hideMark/>
          </w:tcPr>
          <w:p w14:paraId="71D14BF2" w14:textId="77777777" w:rsidR="007C2E48" w:rsidRPr="002D3529" w:rsidRDefault="007C2E48" w:rsidP="00DE1A10">
            <w:pPr>
              <w:spacing w:line="240" w:lineRule="auto"/>
              <w:ind w:firstLine="0"/>
              <w:jc w:val="right"/>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b/>
                <w:bCs/>
                <w:color w:val="000000"/>
                <w:szCs w:val="20"/>
                <w:lang w:eastAsia="pl-PL"/>
              </w:rPr>
              <w:t>0</w:t>
            </w:r>
          </w:p>
        </w:tc>
        <w:tc>
          <w:tcPr>
            <w:tcW w:w="253" w:type="pct"/>
            <w:noWrap/>
            <w:hideMark/>
          </w:tcPr>
          <w:p w14:paraId="055B7C3A" w14:textId="77777777" w:rsidR="007C2E48" w:rsidRPr="002D3529" w:rsidRDefault="007C2E48" w:rsidP="00DE1A10">
            <w:pPr>
              <w:spacing w:line="240" w:lineRule="auto"/>
              <w:ind w:firstLine="0"/>
              <w:jc w:val="right"/>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b/>
                <w:bCs/>
                <w:color w:val="000000"/>
                <w:szCs w:val="20"/>
                <w:lang w:eastAsia="pl-PL"/>
              </w:rPr>
              <w:t>1</w:t>
            </w:r>
          </w:p>
        </w:tc>
        <w:tc>
          <w:tcPr>
            <w:tcW w:w="396" w:type="pct"/>
            <w:noWrap/>
            <w:hideMark/>
          </w:tcPr>
          <w:p w14:paraId="21B9738C" w14:textId="77777777" w:rsidR="007C2E48" w:rsidRPr="002D3529" w:rsidRDefault="007C2E48" w:rsidP="00DE1A10">
            <w:pPr>
              <w:spacing w:line="240" w:lineRule="auto"/>
              <w:ind w:firstLine="0"/>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b/>
                <w:bCs/>
                <w:color w:val="000000"/>
                <w:szCs w:val="20"/>
                <w:lang w:eastAsia="pl-PL"/>
              </w:rPr>
              <w:t>0,902</w:t>
            </w:r>
          </w:p>
        </w:tc>
        <w:tc>
          <w:tcPr>
            <w:tcW w:w="396" w:type="pct"/>
            <w:noWrap/>
            <w:hideMark/>
          </w:tcPr>
          <w:p w14:paraId="6292775B" w14:textId="77777777" w:rsidR="007C2E48" w:rsidRPr="002D3529" w:rsidRDefault="007C2E48" w:rsidP="00DE1A10">
            <w:pPr>
              <w:spacing w:line="240" w:lineRule="auto"/>
              <w:ind w:firstLine="0"/>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b/>
                <w:bCs/>
                <w:color w:val="000000"/>
                <w:szCs w:val="20"/>
                <w:lang w:eastAsia="pl-PL"/>
              </w:rPr>
              <w:t>0,828</w:t>
            </w:r>
          </w:p>
        </w:tc>
        <w:tc>
          <w:tcPr>
            <w:tcW w:w="1545" w:type="pct"/>
            <w:noWrap/>
            <w:hideMark/>
          </w:tcPr>
          <w:p w14:paraId="27F9D26D" w14:textId="77777777" w:rsidR="007C2E48" w:rsidRPr="002D3529" w:rsidRDefault="007C2E48" w:rsidP="00DE1A10">
            <w:pPr>
              <w:spacing w:line="240" w:lineRule="auto"/>
              <w:ind w:firstLine="0"/>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b/>
                <w:bCs/>
                <w:color w:val="000000"/>
                <w:szCs w:val="20"/>
                <w:lang w:eastAsia="pl-PL"/>
              </w:rPr>
              <w:t>Katowice, Gliwice</w:t>
            </w:r>
          </w:p>
        </w:tc>
      </w:tr>
      <w:tr w:rsidR="007C2E48" w:rsidRPr="000D63C6" w14:paraId="26A1AC50" w14:textId="77777777" w:rsidTr="00DE1A10">
        <w:trPr>
          <w:trHeight w:val="425"/>
        </w:trPr>
        <w:tc>
          <w:tcPr>
            <w:tcW w:w="417" w:type="pct"/>
            <w:noWrap/>
            <w:hideMark/>
          </w:tcPr>
          <w:p w14:paraId="45A32BC1" w14:textId="77777777" w:rsidR="007C2E48" w:rsidRPr="002D3529" w:rsidRDefault="007C2E48" w:rsidP="00DE1A10">
            <w:pPr>
              <w:spacing w:line="240" w:lineRule="auto"/>
              <w:ind w:firstLine="0"/>
              <w:jc w:val="right"/>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b/>
                <w:bCs/>
                <w:color w:val="000000"/>
                <w:szCs w:val="20"/>
                <w:lang w:eastAsia="pl-PL"/>
              </w:rPr>
              <w:t>0</w:t>
            </w:r>
          </w:p>
        </w:tc>
        <w:tc>
          <w:tcPr>
            <w:tcW w:w="694" w:type="pct"/>
            <w:noWrap/>
            <w:hideMark/>
          </w:tcPr>
          <w:p w14:paraId="1FD26AE0" w14:textId="77777777" w:rsidR="007C2E48" w:rsidRPr="002D3529" w:rsidRDefault="007C2E48" w:rsidP="00DE1A10">
            <w:pPr>
              <w:spacing w:line="240" w:lineRule="auto"/>
              <w:ind w:firstLine="0"/>
              <w:jc w:val="right"/>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b/>
                <w:bCs/>
                <w:color w:val="000000"/>
                <w:szCs w:val="20"/>
                <w:lang w:eastAsia="pl-PL"/>
              </w:rPr>
              <w:t>1</w:t>
            </w:r>
          </w:p>
        </w:tc>
        <w:tc>
          <w:tcPr>
            <w:tcW w:w="545" w:type="pct"/>
            <w:noWrap/>
            <w:hideMark/>
          </w:tcPr>
          <w:p w14:paraId="665ACC18" w14:textId="77777777" w:rsidR="007C2E48" w:rsidRPr="002D3529" w:rsidRDefault="007C2E48" w:rsidP="00DE1A10">
            <w:pPr>
              <w:spacing w:line="240" w:lineRule="auto"/>
              <w:ind w:firstLine="0"/>
              <w:jc w:val="right"/>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b/>
                <w:bCs/>
                <w:color w:val="000000"/>
                <w:szCs w:val="20"/>
                <w:lang w:eastAsia="pl-PL"/>
              </w:rPr>
              <w:t>0</w:t>
            </w:r>
          </w:p>
        </w:tc>
        <w:tc>
          <w:tcPr>
            <w:tcW w:w="366" w:type="pct"/>
            <w:noWrap/>
            <w:hideMark/>
          </w:tcPr>
          <w:p w14:paraId="4454A1D0" w14:textId="77777777" w:rsidR="007C2E48" w:rsidRPr="002D3529" w:rsidRDefault="007C2E48" w:rsidP="00DE1A10">
            <w:pPr>
              <w:spacing w:line="240" w:lineRule="auto"/>
              <w:ind w:firstLine="0"/>
              <w:jc w:val="right"/>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b/>
                <w:bCs/>
                <w:color w:val="000000"/>
                <w:szCs w:val="20"/>
                <w:lang w:eastAsia="pl-PL"/>
              </w:rPr>
              <w:t>0</w:t>
            </w:r>
          </w:p>
        </w:tc>
        <w:tc>
          <w:tcPr>
            <w:tcW w:w="388" w:type="pct"/>
            <w:noWrap/>
            <w:hideMark/>
          </w:tcPr>
          <w:p w14:paraId="7DD09462" w14:textId="77777777" w:rsidR="007C2E48" w:rsidRPr="002D3529" w:rsidRDefault="007C2E48" w:rsidP="00DE1A10">
            <w:pPr>
              <w:spacing w:line="240" w:lineRule="auto"/>
              <w:ind w:firstLine="0"/>
              <w:jc w:val="right"/>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b/>
                <w:bCs/>
                <w:color w:val="000000"/>
                <w:szCs w:val="20"/>
                <w:lang w:eastAsia="pl-PL"/>
              </w:rPr>
              <w:t>0</w:t>
            </w:r>
          </w:p>
        </w:tc>
        <w:tc>
          <w:tcPr>
            <w:tcW w:w="253" w:type="pct"/>
            <w:noWrap/>
            <w:hideMark/>
          </w:tcPr>
          <w:p w14:paraId="45D95C0D" w14:textId="77777777" w:rsidR="007C2E48" w:rsidRPr="002D3529" w:rsidRDefault="007C2E48" w:rsidP="00DE1A10">
            <w:pPr>
              <w:spacing w:line="240" w:lineRule="auto"/>
              <w:ind w:firstLine="0"/>
              <w:jc w:val="right"/>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b/>
                <w:bCs/>
                <w:color w:val="000000"/>
                <w:szCs w:val="20"/>
                <w:lang w:eastAsia="pl-PL"/>
              </w:rPr>
              <w:t>1</w:t>
            </w:r>
          </w:p>
        </w:tc>
        <w:tc>
          <w:tcPr>
            <w:tcW w:w="396" w:type="pct"/>
            <w:noWrap/>
            <w:hideMark/>
          </w:tcPr>
          <w:p w14:paraId="3EAD40A8" w14:textId="77777777" w:rsidR="007C2E48" w:rsidRPr="002D3529" w:rsidRDefault="007C2E48" w:rsidP="00DE1A10">
            <w:pPr>
              <w:spacing w:line="240" w:lineRule="auto"/>
              <w:ind w:firstLine="0"/>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b/>
                <w:bCs/>
                <w:color w:val="000000"/>
                <w:szCs w:val="20"/>
                <w:lang w:eastAsia="pl-PL"/>
              </w:rPr>
              <w:t>0,889</w:t>
            </w:r>
          </w:p>
        </w:tc>
        <w:tc>
          <w:tcPr>
            <w:tcW w:w="396" w:type="pct"/>
            <w:noWrap/>
            <w:hideMark/>
          </w:tcPr>
          <w:p w14:paraId="17963005" w14:textId="77777777" w:rsidR="007C2E48" w:rsidRPr="002D3529" w:rsidRDefault="007C2E48" w:rsidP="00DE1A10">
            <w:pPr>
              <w:spacing w:line="240" w:lineRule="auto"/>
              <w:ind w:firstLine="0"/>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b/>
                <w:bCs/>
                <w:color w:val="000000"/>
                <w:szCs w:val="20"/>
                <w:lang w:eastAsia="pl-PL"/>
              </w:rPr>
              <w:t>0,827</w:t>
            </w:r>
          </w:p>
        </w:tc>
        <w:tc>
          <w:tcPr>
            <w:tcW w:w="1545" w:type="pct"/>
            <w:noWrap/>
            <w:hideMark/>
          </w:tcPr>
          <w:p w14:paraId="77BCF220" w14:textId="77777777" w:rsidR="007C2E48" w:rsidRPr="002D3529" w:rsidRDefault="007C2E48" w:rsidP="00DE1A10">
            <w:pPr>
              <w:spacing w:line="240" w:lineRule="auto"/>
              <w:ind w:firstLine="0"/>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b/>
                <w:bCs/>
                <w:color w:val="000000"/>
                <w:szCs w:val="20"/>
                <w:lang w:eastAsia="pl-PL"/>
              </w:rPr>
              <w:t>Sosnowiec, Bytom</w:t>
            </w:r>
          </w:p>
        </w:tc>
      </w:tr>
      <w:tr w:rsidR="007C2E48" w:rsidRPr="000D63C6" w14:paraId="4A96CA61" w14:textId="77777777" w:rsidTr="00DE1A10">
        <w:trPr>
          <w:trHeight w:val="425"/>
        </w:trPr>
        <w:tc>
          <w:tcPr>
            <w:tcW w:w="417" w:type="pct"/>
            <w:noWrap/>
            <w:hideMark/>
          </w:tcPr>
          <w:p w14:paraId="235C481D" w14:textId="77777777" w:rsidR="007C2E48" w:rsidRPr="002D3529" w:rsidRDefault="007C2E48" w:rsidP="00DE1A10">
            <w:pPr>
              <w:spacing w:line="240" w:lineRule="auto"/>
              <w:ind w:firstLine="0"/>
              <w:jc w:val="right"/>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b/>
                <w:bCs/>
                <w:color w:val="000000"/>
                <w:szCs w:val="20"/>
                <w:lang w:eastAsia="pl-PL"/>
              </w:rPr>
              <w:t>0</w:t>
            </w:r>
          </w:p>
        </w:tc>
        <w:tc>
          <w:tcPr>
            <w:tcW w:w="694" w:type="pct"/>
            <w:noWrap/>
            <w:hideMark/>
          </w:tcPr>
          <w:p w14:paraId="26474C37" w14:textId="77777777" w:rsidR="007C2E48" w:rsidRPr="002D3529" w:rsidRDefault="007C2E48" w:rsidP="00DE1A10">
            <w:pPr>
              <w:spacing w:line="240" w:lineRule="auto"/>
              <w:ind w:firstLine="0"/>
              <w:jc w:val="right"/>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b/>
                <w:bCs/>
                <w:color w:val="000000"/>
                <w:szCs w:val="20"/>
                <w:lang w:eastAsia="pl-PL"/>
              </w:rPr>
              <w:t>1</w:t>
            </w:r>
          </w:p>
        </w:tc>
        <w:tc>
          <w:tcPr>
            <w:tcW w:w="545" w:type="pct"/>
            <w:noWrap/>
            <w:hideMark/>
          </w:tcPr>
          <w:p w14:paraId="18439EFE" w14:textId="77777777" w:rsidR="007C2E48" w:rsidRPr="002D3529" w:rsidRDefault="007C2E48" w:rsidP="00DE1A10">
            <w:pPr>
              <w:spacing w:line="240" w:lineRule="auto"/>
              <w:ind w:firstLine="0"/>
              <w:jc w:val="right"/>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b/>
                <w:bCs/>
                <w:color w:val="000000"/>
                <w:szCs w:val="20"/>
                <w:lang w:eastAsia="pl-PL"/>
              </w:rPr>
              <w:t>0</w:t>
            </w:r>
          </w:p>
        </w:tc>
        <w:tc>
          <w:tcPr>
            <w:tcW w:w="366" w:type="pct"/>
            <w:noWrap/>
            <w:hideMark/>
          </w:tcPr>
          <w:p w14:paraId="753734E9" w14:textId="77777777" w:rsidR="007C2E48" w:rsidRPr="002D3529" w:rsidRDefault="007C2E48" w:rsidP="00DE1A10">
            <w:pPr>
              <w:spacing w:line="240" w:lineRule="auto"/>
              <w:ind w:firstLine="0"/>
              <w:jc w:val="right"/>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b/>
                <w:bCs/>
                <w:color w:val="000000"/>
                <w:szCs w:val="20"/>
                <w:lang w:eastAsia="pl-PL"/>
              </w:rPr>
              <w:t>1</w:t>
            </w:r>
          </w:p>
        </w:tc>
        <w:tc>
          <w:tcPr>
            <w:tcW w:w="388" w:type="pct"/>
            <w:noWrap/>
            <w:hideMark/>
          </w:tcPr>
          <w:p w14:paraId="61F5C927" w14:textId="77777777" w:rsidR="007C2E48" w:rsidRPr="002D3529" w:rsidRDefault="007C2E48" w:rsidP="00DE1A10">
            <w:pPr>
              <w:spacing w:line="240" w:lineRule="auto"/>
              <w:ind w:firstLine="0"/>
              <w:jc w:val="right"/>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b/>
                <w:bCs/>
                <w:color w:val="000000"/>
                <w:szCs w:val="20"/>
                <w:lang w:eastAsia="pl-PL"/>
              </w:rPr>
              <w:t>1</w:t>
            </w:r>
          </w:p>
        </w:tc>
        <w:tc>
          <w:tcPr>
            <w:tcW w:w="253" w:type="pct"/>
            <w:noWrap/>
            <w:hideMark/>
          </w:tcPr>
          <w:p w14:paraId="2D32B669" w14:textId="77777777" w:rsidR="007C2E48" w:rsidRPr="002D3529" w:rsidRDefault="007C2E48" w:rsidP="00DE1A10">
            <w:pPr>
              <w:spacing w:line="240" w:lineRule="auto"/>
              <w:ind w:firstLine="0"/>
              <w:jc w:val="right"/>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b/>
                <w:bCs/>
                <w:color w:val="000000"/>
                <w:szCs w:val="20"/>
                <w:lang w:eastAsia="pl-PL"/>
              </w:rPr>
              <w:t>1</w:t>
            </w:r>
          </w:p>
        </w:tc>
        <w:tc>
          <w:tcPr>
            <w:tcW w:w="396" w:type="pct"/>
            <w:noWrap/>
            <w:hideMark/>
          </w:tcPr>
          <w:p w14:paraId="0D8C9A70" w14:textId="77777777" w:rsidR="007C2E48" w:rsidRPr="002D3529" w:rsidRDefault="007C2E48" w:rsidP="00DE1A10">
            <w:pPr>
              <w:spacing w:line="240" w:lineRule="auto"/>
              <w:ind w:firstLine="0"/>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b/>
                <w:bCs/>
                <w:color w:val="000000"/>
                <w:szCs w:val="20"/>
                <w:lang w:eastAsia="pl-PL"/>
              </w:rPr>
              <w:t>0,884</w:t>
            </w:r>
          </w:p>
        </w:tc>
        <w:tc>
          <w:tcPr>
            <w:tcW w:w="396" w:type="pct"/>
            <w:noWrap/>
            <w:hideMark/>
          </w:tcPr>
          <w:p w14:paraId="660D6851" w14:textId="77777777" w:rsidR="007C2E48" w:rsidRPr="002D3529" w:rsidRDefault="007C2E48" w:rsidP="00DE1A10">
            <w:pPr>
              <w:spacing w:line="240" w:lineRule="auto"/>
              <w:ind w:firstLine="0"/>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b/>
                <w:bCs/>
                <w:color w:val="000000"/>
                <w:szCs w:val="20"/>
                <w:lang w:eastAsia="pl-PL"/>
              </w:rPr>
              <w:t>0,745</w:t>
            </w:r>
          </w:p>
        </w:tc>
        <w:tc>
          <w:tcPr>
            <w:tcW w:w="1545" w:type="pct"/>
            <w:noWrap/>
            <w:hideMark/>
          </w:tcPr>
          <w:p w14:paraId="2B67DD05" w14:textId="77777777" w:rsidR="007C2E48" w:rsidRPr="002D3529" w:rsidRDefault="007C2E48" w:rsidP="00DE1A10">
            <w:pPr>
              <w:spacing w:line="240" w:lineRule="auto"/>
              <w:ind w:firstLine="0"/>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b/>
                <w:bCs/>
                <w:color w:val="000000"/>
                <w:szCs w:val="20"/>
                <w:lang w:eastAsia="pl-PL"/>
              </w:rPr>
              <w:t>Czestochowa</w:t>
            </w:r>
          </w:p>
        </w:tc>
      </w:tr>
      <w:tr w:rsidR="007C2E48" w:rsidRPr="000D63C6" w14:paraId="3C6F13E7" w14:textId="77777777" w:rsidTr="00DE1A10">
        <w:trPr>
          <w:trHeight w:val="425"/>
        </w:trPr>
        <w:tc>
          <w:tcPr>
            <w:tcW w:w="417" w:type="pct"/>
            <w:noWrap/>
            <w:hideMark/>
          </w:tcPr>
          <w:p w14:paraId="15DEC29C" w14:textId="77777777" w:rsidR="007C2E48" w:rsidRPr="002D3529" w:rsidRDefault="007C2E48" w:rsidP="00DE1A10">
            <w:pPr>
              <w:spacing w:line="240" w:lineRule="auto"/>
              <w:ind w:firstLine="0"/>
              <w:jc w:val="right"/>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b/>
                <w:bCs/>
                <w:color w:val="000000"/>
                <w:szCs w:val="20"/>
                <w:lang w:eastAsia="pl-PL"/>
              </w:rPr>
              <w:t>1</w:t>
            </w:r>
          </w:p>
        </w:tc>
        <w:tc>
          <w:tcPr>
            <w:tcW w:w="694" w:type="pct"/>
            <w:noWrap/>
            <w:hideMark/>
          </w:tcPr>
          <w:p w14:paraId="1DDC8635" w14:textId="77777777" w:rsidR="007C2E48" w:rsidRPr="002D3529" w:rsidRDefault="007C2E48" w:rsidP="00DE1A10">
            <w:pPr>
              <w:spacing w:line="240" w:lineRule="auto"/>
              <w:ind w:firstLine="0"/>
              <w:jc w:val="right"/>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b/>
                <w:bCs/>
                <w:color w:val="000000"/>
                <w:szCs w:val="20"/>
                <w:lang w:eastAsia="pl-PL"/>
              </w:rPr>
              <w:t>0</w:t>
            </w:r>
          </w:p>
        </w:tc>
        <w:tc>
          <w:tcPr>
            <w:tcW w:w="545" w:type="pct"/>
            <w:noWrap/>
            <w:hideMark/>
          </w:tcPr>
          <w:p w14:paraId="30156730" w14:textId="77777777" w:rsidR="007C2E48" w:rsidRPr="002D3529" w:rsidRDefault="007C2E48" w:rsidP="00DE1A10">
            <w:pPr>
              <w:spacing w:line="240" w:lineRule="auto"/>
              <w:ind w:firstLine="0"/>
              <w:jc w:val="right"/>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b/>
                <w:bCs/>
                <w:color w:val="000000"/>
                <w:szCs w:val="20"/>
                <w:lang w:eastAsia="pl-PL"/>
              </w:rPr>
              <w:t>1</w:t>
            </w:r>
          </w:p>
        </w:tc>
        <w:tc>
          <w:tcPr>
            <w:tcW w:w="366" w:type="pct"/>
            <w:noWrap/>
            <w:hideMark/>
          </w:tcPr>
          <w:p w14:paraId="40245E4D" w14:textId="77777777" w:rsidR="007C2E48" w:rsidRPr="002D3529" w:rsidRDefault="007C2E48" w:rsidP="00DE1A10">
            <w:pPr>
              <w:spacing w:line="240" w:lineRule="auto"/>
              <w:ind w:firstLine="0"/>
              <w:jc w:val="right"/>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b/>
                <w:bCs/>
                <w:color w:val="000000"/>
                <w:szCs w:val="20"/>
                <w:lang w:eastAsia="pl-PL"/>
              </w:rPr>
              <w:t>1</w:t>
            </w:r>
          </w:p>
        </w:tc>
        <w:tc>
          <w:tcPr>
            <w:tcW w:w="388" w:type="pct"/>
            <w:noWrap/>
            <w:hideMark/>
          </w:tcPr>
          <w:p w14:paraId="4E427CD9" w14:textId="77777777" w:rsidR="007C2E48" w:rsidRPr="002D3529" w:rsidRDefault="007C2E48" w:rsidP="00DE1A10">
            <w:pPr>
              <w:spacing w:line="240" w:lineRule="auto"/>
              <w:ind w:firstLine="0"/>
              <w:jc w:val="right"/>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b/>
                <w:bCs/>
                <w:color w:val="000000"/>
                <w:szCs w:val="20"/>
                <w:lang w:eastAsia="pl-PL"/>
              </w:rPr>
              <w:t>0</w:t>
            </w:r>
          </w:p>
        </w:tc>
        <w:tc>
          <w:tcPr>
            <w:tcW w:w="253" w:type="pct"/>
            <w:noWrap/>
            <w:hideMark/>
          </w:tcPr>
          <w:p w14:paraId="67BC789B" w14:textId="77777777" w:rsidR="007C2E48" w:rsidRPr="002D3529" w:rsidRDefault="007C2E48" w:rsidP="00DE1A10">
            <w:pPr>
              <w:spacing w:line="240" w:lineRule="auto"/>
              <w:ind w:firstLine="0"/>
              <w:jc w:val="right"/>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b/>
                <w:bCs/>
                <w:color w:val="000000"/>
                <w:szCs w:val="20"/>
                <w:lang w:eastAsia="pl-PL"/>
              </w:rPr>
              <w:t>1</w:t>
            </w:r>
          </w:p>
        </w:tc>
        <w:tc>
          <w:tcPr>
            <w:tcW w:w="396" w:type="pct"/>
            <w:noWrap/>
            <w:hideMark/>
          </w:tcPr>
          <w:p w14:paraId="446BC21A" w14:textId="77777777" w:rsidR="007C2E48" w:rsidRPr="002D3529" w:rsidRDefault="007C2E48" w:rsidP="00DE1A10">
            <w:pPr>
              <w:spacing w:line="240" w:lineRule="auto"/>
              <w:ind w:firstLine="0"/>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b/>
                <w:bCs/>
                <w:color w:val="000000"/>
                <w:szCs w:val="20"/>
                <w:lang w:eastAsia="pl-PL"/>
              </w:rPr>
              <w:t>0,847</w:t>
            </w:r>
          </w:p>
        </w:tc>
        <w:tc>
          <w:tcPr>
            <w:tcW w:w="396" w:type="pct"/>
            <w:noWrap/>
            <w:hideMark/>
          </w:tcPr>
          <w:p w14:paraId="75023995" w14:textId="77777777" w:rsidR="007C2E48" w:rsidRPr="002D3529" w:rsidRDefault="007C2E48" w:rsidP="00DE1A10">
            <w:pPr>
              <w:spacing w:line="240" w:lineRule="auto"/>
              <w:ind w:firstLine="0"/>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b/>
                <w:bCs/>
                <w:color w:val="000000"/>
                <w:szCs w:val="20"/>
                <w:lang w:eastAsia="pl-PL"/>
              </w:rPr>
              <w:t>0,611</w:t>
            </w:r>
          </w:p>
        </w:tc>
        <w:tc>
          <w:tcPr>
            <w:tcW w:w="1545" w:type="pct"/>
            <w:noWrap/>
            <w:hideMark/>
          </w:tcPr>
          <w:p w14:paraId="7167F6AC" w14:textId="77777777" w:rsidR="007C2E48" w:rsidRPr="002D3529" w:rsidRDefault="007C2E48" w:rsidP="00DE1A10">
            <w:pPr>
              <w:spacing w:line="240" w:lineRule="auto"/>
              <w:ind w:firstLine="0"/>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b/>
                <w:bCs/>
                <w:color w:val="000000"/>
                <w:szCs w:val="20"/>
                <w:lang w:eastAsia="pl-PL"/>
              </w:rPr>
              <w:t>Poznan</w:t>
            </w:r>
          </w:p>
        </w:tc>
      </w:tr>
      <w:tr w:rsidR="007C2E48" w:rsidRPr="000D63C6" w14:paraId="157A5220" w14:textId="77777777" w:rsidTr="00DE1A10">
        <w:trPr>
          <w:trHeight w:val="425"/>
        </w:trPr>
        <w:tc>
          <w:tcPr>
            <w:tcW w:w="417" w:type="pct"/>
            <w:noWrap/>
            <w:hideMark/>
          </w:tcPr>
          <w:p w14:paraId="0C5B62A8" w14:textId="77777777" w:rsidR="007C2E48" w:rsidRPr="002D3529" w:rsidRDefault="007C2E48" w:rsidP="00DE1A10">
            <w:pPr>
              <w:spacing w:line="240" w:lineRule="auto"/>
              <w:ind w:firstLine="0"/>
              <w:jc w:val="right"/>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b/>
                <w:bCs/>
                <w:color w:val="000000"/>
                <w:szCs w:val="20"/>
                <w:lang w:eastAsia="pl-PL"/>
              </w:rPr>
              <w:t>0</w:t>
            </w:r>
          </w:p>
        </w:tc>
        <w:tc>
          <w:tcPr>
            <w:tcW w:w="694" w:type="pct"/>
            <w:noWrap/>
            <w:hideMark/>
          </w:tcPr>
          <w:p w14:paraId="28E4836D" w14:textId="77777777" w:rsidR="007C2E48" w:rsidRPr="002D3529" w:rsidRDefault="007C2E48" w:rsidP="00DE1A10">
            <w:pPr>
              <w:spacing w:line="240" w:lineRule="auto"/>
              <w:ind w:firstLine="0"/>
              <w:jc w:val="right"/>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b/>
                <w:bCs/>
                <w:color w:val="000000"/>
                <w:szCs w:val="20"/>
                <w:lang w:eastAsia="pl-PL"/>
              </w:rPr>
              <w:t>0</w:t>
            </w:r>
          </w:p>
        </w:tc>
        <w:tc>
          <w:tcPr>
            <w:tcW w:w="545" w:type="pct"/>
            <w:noWrap/>
            <w:hideMark/>
          </w:tcPr>
          <w:p w14:paraId="6192AF82" w14:textId="77777777" w:rsidR="007C2E48" w:rsidRPr="002D3529" w:rsidRDefault="007C2E48" w:rsidP="00DE1A10">
            <w:pPr>
              <w:spacing w:line="240" w:lineRule="auto"/>
              <w:ind w:firstLine="0"/>
              <w:jc w:val="right"/>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b/>
                <w:bCs/>
                <w:color w:val="000000"/>
                <w:szCs w:val="20"/>
                <w:lang w:eastAsia="pl-PL"/>
              </w:rPr>
              <w:t>0</w:t>
            </w:r>
          </w:p>
        </w:tc>
        <w:tc>
          <w:tcPr>
            <w:tcW w:w="366" w:type="pct"/>
            <w:noWrap/>
            <w:hideMark/>
          </w:tcPr>
          <w:p w14:paraId="5363EFEF" w14:textId="77777777" w:rsidR="007C2E48" w:rsidRPr="002D3529" w:rsidRDefault="007C2E48" w:rsidP="00DE1A10">
            <w:pPr>
              <w:spacing w:line="240" w:lineRule="auto"/>
              <w:ind w:firstLine="0"/>
              <w:jc w:val="right"/>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b/>
                <w:bCs/>
                <w:color w:val="000000"/>
                <w:szCs w:val="20"/>
                <w:lang w:eastAsia="pl-PL"/>
              </w:rPr>
              <w:t>0</w:t>
            </w:r>
          </w:p>
        </w:tc>
        <w:tc>
          <w:tcPr>
            <w:tcW w:w="388" w:type="pct"/>
            <w:noWrap/>
            <w:hideMark/>
          </w:tcPr>
          <w:p w14:paraId="3BF87845" w14:textId="77777777" w:rsidR="007C2E48" w:rsidRPr="002D3529" w:rsidRDefault="007C2E48" w:rsidP="00DE1A10">
            <w:pPr>
              <w:spacing w:line="240" w:lineRule="auto"/>
              <w:ind w:firstLine="0"/>
              <w:jc w:val="right"/>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b/>
                <w:bCs/>
                <w:color w:val="000000"/>
                <w:szCs w:val="20"/>
                <w:lang w:eastAsia="pl-PL"/>
              </w:rPr>
              <w:t>0</w:t>
            </w:r>
          </w:p>
        </w:tc>
        <w:tc>
          <w:tcPr>
            <w:tcW w:w="253" w:type="pct"/>
            <w:noWrap/>
            <w:hideMark/>
          </w:tcPr>
          <w:p w14:paraId="462ABDBE" w14:textId="77777777" w:rsidR="007C2E48" w:rsidRPr="002D3529" w:rsidRDefault="007C2E48" w:rsidP="00DE1A10">
            <w:pPr>
              <w:spacing w:line="240" w:lineRule="auto"/>
              <w:ind w:firstLine="0"/>
              <w:jc w:val="right"/>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b/>
                <w:bCs/>
                <w:color w:val="000000"/>
                <w:szCs w:val="20"/>
                <w:lang w:eastAsia="pl-PL"/>
              </w:rPr>
              <w:t>1</w:t>
            </w:r>
          </w:p>
        </w:tc>
        <w:tc>
          <w:tcPr>
            <w:tcW w:w="396" w:type="pct"/>
            <w:noWrap/>
            <w:hideMark/>
          </w:tcPr>
          <w:p w14:paraId="70BDF138" w14:textId="77777777" w:rsidR="007C2E48" w:rsidRPr="002D3529" w:rsidRDefault="007C2E48" w:rsidP="00DE1A10">
            <w:pPr>
              <w:spacing w:line="240" w:lineRule="auto"/>
              <w:ind w:firstLine="0"/>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b/>
                <w:bCs/>
                <w:color w:val="000000"/>
                <w:szCs w:val="20"/>
                <w:lang w:eastAsia="pl-PL"/>
              </w:rPr>
              <w:t>0,815</w:t>
            </w:r>
          </w:p>
        </w:tc>
        <w:tc>
          <w:tcPr>
            <w:tcW w:w="396" w:type="pct"/>
            <w:noWrap/>
            <w:hideMark/>
          </w:tcPr>
          <w:p w14:paraId="41DBF152" w14:textId="77777777" w:rsidR="007C2E48" w:rsidRPr="002D3529" w:rsidRDefault="007C2E48" w:rsidP="00DE1A10">
            <w:pPr>
              <w:spacing w:line="240" w:lineRule="auto"/>
              <w:ind w:firstLine="0"/>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b/>
                <w:bCs/>
                <w:color w:val="000000"/>
                <w:szCs w:val="20"/>
                <w:lang w:eastAsia="pl-PL"/>
              </w:rPr>
              <w:t>0,557</w:t>
            </w:r>
          </w:p>
        </w:tc>
        <w:tc>
          <w:tcPr>
            <w:tcW w:w="1545" w:type="pct"/>
            <w:noWrap/>
            <w:hideMark/>
          </w:tcPr>
          <w:p w14:paraId="2DC5B9EC" w14:textId="77777777" w:rsidR="007C2E48" w:rsidRPr="002D3529" w:rsidRDefault="007C2E48" w:rsidP="00DE1A10">
            <w:pPr>
              <w:spacing w:line="240" w:lineRule="auto"/>
              <w:ind w:firstLine="0"/>
              <w:rPr>
                <w:rFonts w:ascii="Sabon Next LT" w:eastAsia="Times New Roman" w:hAnsi="Sabon Next LT" w:cs="Sabon Next LT"/>
                <w:b/>
                <w:bCs/>
                <w:strike/>
                <w:color w:val="000000"/>
                <w:szCs w:val="20"/>
                <w:lang w:eastAsia="pl-PL"/>
              </w:rPr>
            </w:pPr>
            <w:r w:rsidRPr="002D3529">
              <w:rPr>
                <w:rFonts w:ascii="Sabon Next LT" w:eastAsia="Times New Roman" w:hAnsi="Sabon Next LT" w:cs="Sabon Next LT"/>
                <w:b/>
                <w:bCs/>
                <w:strike/>
                <w:color w:val="000000"/>
                <w:szCs w:val="20"/>
                <w:lang w:eastAsia="pl-PL"/>
              </w:rPr>
              <w:t>Radom</w:t>
            </w:r>
          </w:p>
        </w:tc>
      </w:tr>
      <w:tr w:rsidR="007C2E48" w:rsidRPr="000D63C6" w14:paraId="6950C888" w14:textId="77777777" w:rsidTr="00DE1A10">
        <w:trPr>
          <w:trHeight w:val="425"/>
        </w:trPr>
        <w:tc>
          <w:tcPr>
            <w:tcW w:w="417" w:type="pct"/>
            <w:noWrap/>
            <w:hideMark/>
          </w:tcPr>
          <w:p w14:paraId="10AD62BB" w14:textId="77777777" w:rsidR="007C2E48" w:rsidRPr="002D3529" w:rsidRDefault="007C2E48" w:rsidP="00DE1A10">
            <w:pPr>
              <w:spacing w:line="240" w:lineRule="auto"/>
              <w:ind w:firstLine="0"/>
              <w:jc w:val="right"/>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1</w:t>
            </w:r>
          </w:p>
        </w:tc>
        <w:tc>
          <w:tcPr>
            <w:tcW w:w="694" w:type="pct"/>
            <w:noWrap/>
            <w:hideMark/>
          </w:tcPr>
          <w:p w14:paraId="66B14FE3" w14:textId="77777777" w:rsidR="007C2E48" w:rsidRPr="002D3529" w:rsidRDefault="007C2E48" w:rsidP="00DE1A10">
            <w:pPr>
              <w:spacing w:line="240" w:lineRule="auto"/>
              <w:ind w:firstLine="0"/>
              <w:jc w:val="right"/>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0</w:t>
            </w:r>
          </w:p>
        </w:tc>
        <w:tc>
          <w:tcPr>
            <w:tcW w:w="545" w:type="pct"/>
            <w:noWrap/>
            <w:hideMark/>
          </w:tcPr>
          <w:p w14:paraId="3B529AE5" w14:textId="77777777" w:rsidR="007C2E48" w:rsidRPr="002D3529" w:rsidRDefault="007C2E48" w:rsidP="00DE1A10">
            <w:pPr>
              <w:spacing w:line="240" w:lineRule="auto"/>
              <w:ind w:firstLine="0"/>
              <w:jc w:val="right"/>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0</w:t>
            </w:r>
          </w:p>
        </w:tc>
        <w:tc>
          <w:tcPr>
            <w:tcW w:w="366" w:type="pct"/>
            <w:noWrap/>
            <w:hideMark/>
          </w:tcPr>
          <w:p w14:paraId="6B0D1E74" w14:textId="77777777" w:rsidR="007C2E48" w:rsidRPr="002D3529" w:rsidRDefault="007C2E48" w:rsidP="00DE1A10">
            <w:pPr>
              <w:spacing w:line="240" w:lineRule="auto"/>
              <w:ind w:firstLine="0"/>
              <w:jc w:val="right"/>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0</w:t>
            </w:r>
          </w:p>
        </w:tc>
        <w:tc>
          <w:tcPr>
            <w:tcW w:w="388" w:type="pct"/>
            <w:noWrap/>
            <w:hideMark/>
          </w:tcPr>
          <w:p w14:paraId="71562B1E" w14:textId="77777777" w:rsidR="007C2E48" w:rsidRPr="002D3529" w:rsidRDefault="007C2E48" w:rsidP="00DE1A10">
            <w:pPr>
              <w:spacing w:line="240" w:lineRule="auto"/>
              <w:ind w:firstLine="0"/>
              <w:jc w:val="right"/>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1</w:t>
            </w:r>
          </w:p>
        </w:tc>
        <w:tc>
          <w:tcPr>
            <w:tcW w:w="253" w:type="pct"/>
            <w:noWrap/>
            <w:hideMark/>
          </w:tcPr>
          <w:p w14:paraId="11C11C28" w14:textId="77777777" w:rsidR="007C2E48" w:rsidRPr="002D3529" w:rsidRDefault="007C2E48" w:rsidP="00DE1A10">
            <w:pPr>
              <w:spacing w:line="240" w:lineRule="auto"/>
              <w:ind w:firstLine="0"/>
              <w:jc w:val="right"/>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0</w:t>
            </w:r>
          </w:p>
        </w:tc>
        <w:tc>
          <w:tcPr>
            <w:tcW w:w="396" w:type="pct"/>
            <w:noWrap/>
            <w:hideMark/>
          </w:tcPr>
          <w:p w14:paraId="3861E08E"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0,788</w:t>
            </w:r>
          </w:p>
        </w:tc>
        <w:tc>
          <w:tcPr>
            <w:tcW w:w="396" w:type="pct"/>
            <w:noWrap/>
            <w:hideMark/>
          </w:tcPr>
          <w:p w14:paraId="1DF08001"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0,654</w:t>
            </w:r>
          </w:p>
        </w:tc>
        <w:tc>
          <w:tcPr>
            <w:tcW w:w="1545" w:type="pct"/>
            <w:noWrap/>
            <w:hideMark/>
          </w:tcPr>
          <w:p w14:paraId="2E6B66BA"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Lublin</w:t>
            </w:r>
          </w:p>
        </w:tc>
      </w:tr>
      <w:tr w:rsidR="007C2E48" w:rsidRPr="000D63C6" w14:paraId="493B9DA3" w14:textId="77777777" w:rsidTr="00DE1A10">
        <w:trPr>
          <w:trHeight w:val="425"/>
        </w:trPr>
        <w:tc>
          <w:tcPr>
            <w:tcW w:w="417" w:type="pct"/>
            <w:noWrap/>
            <w:hideMark/>
          </w:tcPr>
          <w:p w14:paraId="5B29F6E0" w14:textId="77777777" w:rsidR="007C2E48" w:rsidRPr="002D3529" w:rsidRDefault="007C2E48" w:rsidP="00DE1A10">
            <w:pPr>
              <w:spacing w:line="240" w:lineRule="auto"/>
              <w:ind w:firstLine="0"/>
              <w:jc w:val="right"/>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1</w:t>
            </w:r>
          </w:p>
        </w:tc>
        <w:tc>
          <w:tcPr>
            <w:tcW w:w="694" w:type="pct"/>
            <w:noWrap/>
            <w:hideMark/>
          </w:tcPr>
          <w:p w14:paraId="73F0D7AC" w14:textId="77777777" w:rsidR="007C2E48" w:rsidRPr="002D3529" w:rsidRDefault="007C2E48" w:rsidP="00DE1A10">
            <w:pPr>
              <w:spacing w:line="240" w:lineRule="auto"/>
              <w:ind w:firstLine="0"/>
              <w:jc w:val="right"/>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1</w:t>
            </w:r>
          </w:p>
        </w:tc>
        <w:tc>
          <w:tcPr>
            <w:tcW w:w="545" w:type="pct"/>
            <w:noWrap/>
            <w:hideMark/>
          </w:tcPr>
          <w:p w14:paraId="798EDBB0" w14:textId="77777777" w:rsidR="007C2E48" w:rsidRPr="002D3529" w:rsidRDefault="007C2E48" w:rsidP="00DE1A10">
            <w:pPr>
              <w:spacing w:line="240" w:lineRule="auto"/>
              <w:ind w:firstLine="0"/>
              <w:jc w:val="right"/>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1</w:t>
            </w:r>
          </w:p>
        </w:tc>
        <w:tc>
          <w:tcPr>
            <w:tcW w:w="366" w:type="pct"/>
            <w:noWrap/>
            <w:hideMark/>
          </w:tcPr>
          <w:p w14:paraId="788EF907" w14:textId="77777777" w:rsidR="007C2E48" w:rsidRPr="002D3529" w:rsidRDefault="007C2E48" w:rsidP="00DE1A10">
            <w:pPr>
              <w:spacing w:line="240" w:lineRule="auto"/>
              <w:ind w:firstLine="0"/>
              <w:jc w:val="right"/>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1</w:t>
            </w:r>
          </w:p>
        </w:tc>
        <w:tc>
          <w:tcPr>
            <w:tcW w:w="388" w:type="pct"/>
            <w:noWrap/>
            <w:hideMark/>
          </w:tcPr>
          <w:p w14:paraId="1FF478C2" w14:textId="77777777" w:rsidR="007C2E48" w:rsidRPr="002D3529" w:rsidRDefault="007C2E48" w:rsidP="00DE1A10">
            <w:pPr>
              <w:spacing w:line="240" w:lineRule="auto"/>
              <w:ind w:firstLine="0"/>
              <w:jc w:val="right"/>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1</w:t>
            </w:r>
          </w:p>
        </w:tc>
        <w:tc>
          <w:tcPr>
            <w:tcW w:w="253" w:type="pct"/>
            <w:noWrap/>
            <w:hideMark/>
          </w:tcPr>
          <w:p w14:paraId="00C95DA8" w14:textId="77777777" w:rsidR="007C2E48" w:rsidRPr="002D3529" w:rsidRDefault="007C2E48" w:rsidP="00DE1A10">
            <w:pPr>
              <w:spacing w:line="240" w:lineRule="auto"/>
              <w:ind w:firstLine="0"/>
              <w:jc w:val="right"/>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0</w:t>
            </w:r>
          </w:p>
        </w:tc>
        <w:tc>
          <w:tcPr>
            <w:tcW w:w="396" w:type="pct"/>
            <w:noWrap/>
            <w:hideMark/>
          </w:tcPr>
          <w:p w14:paraId="481AABD4"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0,736</w:t>
            </w:r>
          </w:p>
        </w:tc>
        <w:tc>
          <w:tcPr>
            <w:tcW w:w="396" w:type="pct"/>
            <w:noWrap/>
            <w:hideMark/>
          </w:tcPr>
          <w:p w14:paraId="423ECDE4"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0,291</w:t>
            </w:r>
          </w:p>
        </w:tc>
        <w:tc>
          <w:tcPr>
            <w:tcW w:w="1545" w:type="pct"/>
            <w:noWrap/>
            <w:hideMark/>
          </w:tcPr>
          <w:p w14:paraId="7E6D7C04"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Lodz</w:t>
            </w:r>
          </w:p>
        </w:tc>
      </w:tr>
      <w:tr w:rsidR="007C2E48" w:rsidRPr="000D63C6" w14:paraId="1F8FA8BC" w14:textId="77777777" w:rsidTr="00DE1A10">
        <w:trPr>
          <w:trHeight w:val="425"/>
        </w:trPr>
        <w:tc>
          <w:tcPr>
            <w:tcW w:w="417" w:type="pct"/>
            <w:noWrap/>
            <w:hideMark/>
          </w:tcPr>
          <w:p w14:paraId="0F1B5D8B" w14:textId="77777777" w:rsidR="007C2E48" w:rsidRPr="002D3529" w:rsidRDefault="007C2E48" w:rsidP="00DE1A10">
            <w:pPr>
              <w:spacing w:line="240" w:lineRule="auto"/>
              <w:ind w:firstLine="0"/>
              <w:jc w:val="right"/>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0</w:t>
            </w:r>
          </w:p>
        </w:tc>
        <w:tc>
          <w:tcPr>
            <w:tcW w:w="694" w:type="pct"/>
            <w:noWrap/>
            <w:hideMark/>
          </w:tcPr>
          <w:p w14:paraId="27E0637B" w14:textId="77777777" w:rsidR="007C2E48" w:rsidRPr="002D3529" w:rsidRDefault="007C2E48" w:rsidP="00DE1A10">
            <w:pPr>
              <w:spacing w:line="240" w:lineRule="auto"/>
              <w:ind w:firstLine="0"/>
              <w:jc w:val="right"/>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0</w:t>
            </w:r>
          </w:p>
        </w:tc>
        <w:tc>
          <w:tcPr>
            <w:tcW w:w="545" w:type="pct"/>
            <w:noWrap/>
            <w:hideMark/>
          </w:tcPr>
          <w:p w14:paraId="6655322F" w14:textId="77777777" w:rsidR="007C2E48" w:rsidRPr="002D3529" w:rsidRDefault="007C2E48" w:rsidP="00DE1A10">
            <w:pPr>
              <w:spacing w:line="240" w:lineRule="auto"/>
              <w:ind w:firstLine="0"/>
              <w:jc w:val="right"/>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0</w:t>
            </w:r>
          </w:p>
        </w:tc>
        <w:tc>
          <w:tcPr>
            <w:tcW w:w="366" w:type="pct"/>
            <w:noWrap/>
            <w:hideMark/>
          </w:tcPr>
          <w:p w14:paraId="6D73205E" w14:textId="77777777" w:rsidR="007C2E48" w:rsidRPr="002D3529" w:rsidRDefault="007C2E48" w:rsidP="00DE1A10">
            <w:pPr>
              <w:spacing w:line="240" w:lineRule="auto"/>
              <w:ind w:firstLine="0"/>
              <w:jc w:val="right"/>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0</w:t>
            </w:r>
          </w:p>
        </w:tc>
        <w:tc>
          <w:tcPr>
            <w:tcW w:w="388" w:type="pct"/>
            <w:noWrap/>
            <w:hideMark/>
          </w:tcPr>
          <w:p w14:paraId="74ADBA8B" w14:textId="77777777" w:rsidR="007C2E48" w:rsidRPr="002D3529" w:rsidRDefault="007C2E48" w:rsidP="00DE1A10">
            <w:pPr>
              <w:spacing w:line="240" w:lineRule="auto"/>
              <w:ind w:firstLine="0"/>
              <w:jc w:val="right"/>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1</w:t>
            </w:r>
          </w:p>
        </w:tc>
        <w:tc>
          <w:tcPr>
            <w:tcW w:w="253" w:type="pct"/>
            <w:noWrap/>
            <w:hideMark/>
          </w:tcPr>
          <w:p w14:paraId="47DA6533" w14:textId="77777777" w:rsidR="007C2E48" w:rsidRPr="002D3529" w:rsidRDefault="007C2E48" w:rsidP="00DE1A10">
            <w:pPr>
              <w:spacing w:line="240" w:lineRule="auto"/>
              <w:ind w:firstLine="0"/>
              <w:jc w:val="right"/>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0</w:t>
            </w:r>
          </w:p>
        </w:tc>
        <w:tc>
          <w:tcPr>
            <w:tcW w:w="396" w:type="pct"/>
            <w:noWrap/>
            <w:hideMark/>
          </w:tcPr>
          <w:p w14:paraId="2069355D"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0,731</w:t>
            </w:r>
          </w:p>
        </w:tc>
        <w:tc>
          <w:tcPr>
            <w:tcW w:w="396" w:type="pct"/>
            <w:noWrap/>
            <w:hideMark/>
          </w:tcPr>
          <w:p w14:paraId="7F30F078"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0,578</w:t>
            </w:r>
          </w:p>
        </w:tc>
        <w:tc>
          <w:tcPr>
            <w:tcW w:w="1545" w:type="pct"/>
            <w:noWrap/>
            <w:hideMark/>
          </w:tcPr>
          <w:p w14:paraId="13863AEF"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Torun,Rzeszow, Bielsko-Biala</w:t>
            </w:r>
          </w:p>
        </w:tc>
      </w:tr>
      <w:tr w:rsidR="007C2E48" w:rsidRPr="000D63C6" w14:paraId="0E428EEF" w14:textId="77777777" w:rsidTr="00DE1A10">
        <w:trPr>
          <w:trHeight w:val="425"/>
        </w:trPr>
        <w:tc>
          <w:tcPr>
            <w:tcW w:w="417" w:type="pct"/>
            <w:noWrap/>
            <w:hideMark/>
          </w:tcPr>
          <w:p w14:paraId="6548F9D4" w14:textId="77777777" w:rsidR="007C2E48" w:rsidRPr="002D3529" w:rsidRDefault="007C2E48" w:rsidP="00DE1A10">
            <w:pPr>
              <w:spacing w:line="240" w:lineRule="auto"/>
              <w:ind w:firstLine="0"/>
              <w:jc w:val="right"/>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1</w:t>
            </w:r>
          </w:p>
        </w:tc>
        <w:tc>
          <w:tcPr>
            <w:tcW w:w="694" w:type="pct"/>
            <w:noWrap/>
            <w:hideMark/>
          </w:tcPr>
          <w:p w14:paraId="3BA5296F" w14:textId="77777777" w:rsidR="007C2E48" w:rsidRPr="002D3529" w:rsidRDefault="007C2E48" w:rsidP="00DE1A10">
            <w:pPr>
              <w:spacing w:line="240" w:lineRule="auto"/>
              <w:ind w:firstLine="0"/>
              <w:jc w:val="right"/>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1</w:t>
            </w:r>
          </w:p>
        </w:tc>
        <w:tc>
          <w:tcPr>
            <w:tcW w:w="545" w:type="pct"/>
            <w:noWrap/>
            <w:hideMark/>
          </w:tcPr>
          <w:p w14:paraId="4A3364FC" w14:textId="77777777" w:rsidR="007C2E48" w:rsidRPr="002D3529" w:rsidRDefault="007C2E48" w:rsidP="00DE1A10">
            <w:pPr>
              <w:spacing w:line="240" w:lineRule="auto"/>
              <w:ind w:firstLine="0"/>
              <w:jc w:val="right"/>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0</w:t>
            </w:r>
          </w:p>
        </w:tc>
        <w:tc>
          <w:tcPr>
            <w:tcW w:w="366" w:type="pct"/>
            <w:noWrap/>
            <w:hideMark/>
          </w:tcPr>
          <w:p w14:paraId="30B5F356" w14:textId="77777777" w:rsidR="007C2E48" w:rsidRPr="002D3529" w:rsidRDefault="007C2E48" w:rsidP="00DE1A10">
            <w:pPr>
              <w:spacing w:line="240" w:lineRule="auto"/>
              <w:ind w:firstLine="0"/>
              <w:jc w:val="right"/>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1</w:t>
            </w:r>
          </w:p>
        </w:tc>
        <w:tc>
          <w:tcPr>
            <w:tcW w:w="388" w:type="pct"/>
            <w:noWrap/>
            <w:hideMark/>
          </w:tcPr>
          <w:p w14:paraId="4F44F146" w14:textId="77777777" w:rsidR="007C2E48" w:rsidRPr="002D3529" w:rsidRDefault="007C2E48" w:rsidP="00DE1A10">
            <w:pPr>
              <w:spacing w:line="240" w:lineRule="auto"/>
              <w:ind w:firstLine="0"/>
              <w:jc w:val="right"/>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0</w:t>
            </w:r>
          </w:p>
        </w:tc>
        <w:tc>
          <w:tcPr>
            <w:tcW w:w="253" w:type="pct"/>
            <w:noWrap/>
            <w:hideMark/>
          </w:tcPr>
          <w:p w14:paraId="22E8EBC3" w14:textId="77777777" w:rsidR="007C2E48" w:rsidRPr="002D3529" w:rsidRDefault="007C2E48" w:rsidP="00DE1A10">
            <w:pPr>
              <w:spacing w:line="240" w:lineRule="auto"/>
              <w:ind w:firstLine="0"/>
              <w:jc w:val="right"/>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0</w:t>
            </w:r>
          </w:p>
        </w:tc>
        <w:tc>
          <w:tcPr>
            <w:tcW w:w="396" w:type="pct"/>
            <w:noWrap/>
            <w:hideMark/>
          </w:tcPr>
          <w:p w14:paraId="5CA96FCE"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0,714</w:t>
            </w:r>
          </w:p>
        </w:tc>
        <w:tc>
          <w:tcPr>
            <w:tcW w:w="396" w:type="pct"/>
            <w:noWrap/>
            <w:hideMark/>
          </w:tcPr>
          <w:p w14:paraId="6B33151D"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0,570</w:t>
            </w:r>
          </w:p>
        </w:tc>
        <w:tc>
          <w:tcPr>
            <w:tcW w:w="1545" w:type="pct"/>
            <w:noWrap/>
            <w:hideMark/>
          </w:tcPr>
          <w:p w14:paraId="21BDED3A"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Szczecin, Bydgoszcz</w:t>
            </w:r>
          </w:p>
        </w:tc>
      </w:tr>
      <w:tr w:rsidR="007C2E48" w:rsidRPr="000D63C6" w14:paraId="78BD56AE" w14:textId="77777777" w:rsidTr="00DE1A10">
        <w:trPr>
          <w:trHeight w:val="425"/>
        </w:trPr>
        <w:tc>
          <w:tcPr>
            <w:tcW w:w="417" w:type="pct"/>
            <w:noWrap/>
            <w:hideMark/>
          </w:tcPr>
          <w:p w14:paraId="2A721787" w14:textId="77777777" w:rsidR="007C2E48" w:rsidRPr="002D3529" w:rsidRDefault="007C2E48" w:rsidP="00DE1A10">
            <w:pPr>
              <w:spacing w:line="240" w:lineRule="auto"/>
              <w:ind w:firstLine="0"/>
              <w:jc w:val="right"/>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1</w:t>
            </w:r>
          </w:p>
        </w:tc>
        <w:tc>
          <w:tcPr>
            <w:tcW w:w="694" w:type="pct"/>
            <w:noWrap/>
            <w:hideMark/>
          </w:tcPr>
          <w:p w14:paraId="75FD726D" w14:textId="77777777" w:rsidR="007C2E48" w:rsidRPr="002D3529" w:rsidRDefault="007C2E48" w:rsidP="00DE1A10">
            <w:pPr>
              <w:spacing w:line="240" w:lineRule="auto"/>
              <w:ind w:firstLine="0"/>
              <w:jc w:val="right"/>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0</w:t>
            </w:r>
          </w:p>
        </w:tc>
        <w:tc>
          <w:tcPr>
            <w:tcW w:w="545" w:type="pct"/>
            <w:noWrap/>
            <w:hideMark/>
          </w:tcPr>
          <w:p w14:paraId="171BBE61" w14:textId="77777777" w:rsidR="007C2E48" w:rsidRPr="002D3529" w:rsidRDefault="007C2E48" w:rsidP="00DE1A10">
            <w:pPr>
              <w:spacing w:line="240" w:lineRule="auto"/>
              <w:ind w:firstLine="0"/>
              <w:jc w:val="right"/>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1</w:t>
            </w:r>
          </w:p>
        </w:tc>
        <w:tc>
          <w:tcPr>
            <w:tcW w:w="366" w:type="pct"/>
            <w:noWrap/>
            <w:hideMark/>
          </w:tcPr>
          <w:p w14:paraId="1E634F9B" w14:textId="77777777" w:rsidR="007C2E48" w:rsidRPr="002D3529" w:rsidRDefault="007C2E48" w:rsidP="00DE1A10">
            <w:pPr>
              <w:spacing w:line="240" w:lineRule="auto"/>
              <w:ind w:firstLine="0"/>
              <w:jc w:val="right"/>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0</w:t>
            </w:r>
          </w:p>
        </w:tc>
        <w:tc>
          <w:tcPr>
            <w:tcW w:w="388" w:type="pct"/>
            <w:noWrap/>
            <w:hideMark/>
          </w:tcPr>
          <w:p w14:paraId="62F1A1E8" w14:textId="77777777" w:rsidR="007C2E48" w:rsidRPr="002D3529" w:rsidRDefault="007C2E48" w:rsidP="00DE1A10">
            <w:pPr>
              <w:spacing w:line="240" w:lineRule="auto"/>
              <w:ind w:firstLine="0"/>
              <w:jc w:val="right"/>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1</w:t>
            </w:r>
          </w:p>
        </w:tc>
        <w:tc>
          <w:tcPr>
            <w:tcW w:w="253" w:type="pct"/>
            <w:noWrap/>
            <w:hideMark/>
          </w:tcPr>
          <w:p w14:paraId="6ADD2EC0" w14:textId="77777777" w:rsidR="007C2E48" w:rsidRPr="002D3529" w:rsidRDefault="007C2E48" w:rsidP="00DE1A10">
            <w:pPr>
              <w:spacing w:line="240" w:lineRule="auto"/>
              <w:ind w:firstLine="0"/>
              <w:jc w:val="right"/>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0</w:t>
            </w:r>
          </w:p>
        </w:tc>
        <w:tc>
          <w:tcPr>
            <w:tcW w:w="396" w:type="pct"/>
            <w:noWrap/>
            <w:hideMark/>
          </w:tcPr>
          <w:p w14:paraId="4257640D"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0,690</w:t>
            </w:r>
          </w:p>
        </w:tc>
        <w:tc>
          <w:tcPr>
            <w:tcW w:w="396" w:type="pct"/>
            <w:noWrap/>
            <w:hideMark/>
          </w:tcPr>
          <w:p w14:paraId="2DA61A92"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0,393</w:t>
            </w:r>
          </w:p>
        </w:tc>
        <w:tc>
          <w:tcPr>
            <w:tcW w:w="1545" w:type="pct"/>
            <w:noWrap/>
            <w:hideMark/>
          </w:tcPr>
          <w:p w14:paraId="58561054"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Wroclaw, Krakow</w:t>
            </w:r>
          </w:p>
        </w:tc>
      </w:tr>
      <w:tr w:rsidR="007C2E48" w:rsidRPr="000D63C6" w14:paraId="47B380C6" w14:textId="77777777" w:rsidTr="00DE1A10">
        <w:trPr>
          <w:trHeight w:val="425"/>
        </w:trPr>
        <w:tc>
          <w:tcPr>
            <w:tcW w:w="417" w:type="pct"/>
            <w:noWrap/>
            <w:hideMark/>
          </w:tcPr>
          <w:p w14:paraId="12B34E32" w14:textId="77777777" w:rsidR="007C2E48" w:rsidRPr="002D3529" w:rsidRDefault="007C2E48" w:rsidP="00DE1A10">
            <w:pPr>
              <w:spacing w:line="240" w:lineRule="auto"/>
              <w:ind w:firstLine="0"/>
              <w:jc w:val="right"/>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0</w:t>
            </w:r>
          </w:p>
        </w:tc>
        <w:tc>
          <w:tcPr>
            <w:tcW w:w="694" w:type="pct"/>
            <w:noWrap/>
            <w:hideMark/>
          </w:tcPr>
          <w:p w14:paraId="03CB86BF" w14:textId="77777777" w:rsidR="007C2E48" w:rsidRPr="002D3529" w:rsidRDefault="007C2E48" w:rsidP="00DE1A10">
            <w:pPr>
              <w:spacing w:line="240" w:lineRule="auto"/>
              <w:ind w:firstLine="0"/>
              <w:jc w:val="right"/>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0</w:t>
            </w:r>
          </w:p>
        </w:tc>
        <w:tc>
          <w:tcPr>
            <w:tcW w:w="545" w:type="pct"/>
            <w:noWrap/>
            <w:hideMark/>
          </w:tcPr>
          <w:p w14:paraId="31FCF1CE" w14:textId="77777777" w:rsidR="007C2E48" w:rsidRPr="002D3529" w:rsidRDefault="007C2E48" w:rsidP="00DE1A10">
            <w:pPr>
              <w:spacing w:line="240" w:lineRule="auto"/>
              <w:ind w:firstLine="0"/>
              <w:jc w:val="right"/>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1</w:t>
            </w:r>
          </w:p>
        </w:tc>
        <w:tc>
          <w:tcPr>
            <w:tcW w:w="366" w:type="pct"/>
            <w:noWrap/>
            <w:hideMark/>
          </w:tcPr>
          <w:p w14:paraId="4FD529F3" w14:textId="77777777" w:rsidR="007C2E48" w:rsidRPr="002D3529" w:rsidRDefault="007C2E48" w:rsidP="00DE1A10">
            <w:pPr>
              <w:spacing w:line="240" w:lineRule="auto"/>
              <w:ind w:firstLine="0"/>
              <w:jc w:val="right"/>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1</w:t>
            </w:r>
          </w:p>
        </w:tc>
        <w:tc>
          <w:tcPr>
            <w:tcW w:w="388" w:type="pct"/>
            <w:noWrap/>
            <w:hideMark/>
          </w:tcPr>
          <w:p w14:paraId="3FB73F5F" w14:textId="77777777" w:rsidR="007C2E48" w:rsidRPr="002D3529" w:rsidRDefault="007C2E48" w:rsidP="00DE1A10">
            <w:pPr>
              <w:spacing w:line="240" w:lineRule="auto"/>
              <w:ind w:firstLine="0"/>
              <w:jc w:val="right"/>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1</w:t>
            </w:r>
          </w:p>
        </w:tc>
        <w:tc>
          <w:tcPr>
            <w:tcW w:w="253" w:type="pct"/>
            <w:noWrap/>
            <w:hideMark/>
          </w:tcPr>
          <w:p w14:paraId="7406EF28" w14:textId="77777777" w:rsidR="007C2E48" w:rsidRPr="002D3529" w:rsidRDefault="007C2E48" w:rsidP="00DE1A10">
            <w:pPr>
              <w:spacing w:line="240" w:lineRule="auto"/>
              <w:ind w:firstLine="0"/>
              <w:jc w:val="right"/>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0</w:t>
            </w:r>
          </w:p>
        </w:tc>
        <w:tc>
          <w:tcPr>
            <w:tcW w:w="396" w:type="pct"/>
            <w:noWrap/>
            <w:hideMark/>
          </w:tcPr>
          <w:p w14:paraId="4911D4F5"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0,688</w:t>
            </w:r>
          </w:p>
        </w:tc>
        <w:tc>
          <w:tcPr>
            <w:tcW w:w="396" w:type="pct"/>
            <w:noWrap/>
            <w:hideMark/>
          </w:tcPr>
          <w:p w14:paraId="4C23858F"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0,279</w:t>
            </w:r>
          </w:p>
        </w:tc>
        <w:tc>
          <w:tcPr>
            <w:tcW w:w="1545" w:type="pct"/>
            <w:noWrap/>
            <w:hideMark/>
          </w:tcPr>
          <w:p w14:paraId="09C78E87"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Gdynia</w:t>
            </w:r>
          </w:p>
        </w:tc>
      </w:tr>
      <w:tr w:rsidR="007C2E48" w:rsidRPr="000D63C6" w14:paraId="45FF8215" w14:textId="77777777" w:rsidTr="00DE1A10">
        <w:trPr>
          <w:trHeight w:val="425"/>
        </w:trPr>
        <w:tc>
          <w:tcPr>
            <w:tcW w:w="417" w:type="pct"/>
            <w:noWrap/>
            <w:hideMark/>
          </w:tcPr>
          <w:p w14:paraId="4C5FFA74" w14:textId="77777777" w:rsidR="007C2E48" w:rsidRPr="002D3529" w:rsidRDefault="007C2E48" w:rsidP="00DE1A10">
            <w:pPr>
              <w:spacing w:line="240" w:lineRule="auto"/>
              <w:ind w:firstLine="0"/>
              <w:jc w:val="right"/>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0</w:t>
            </w:r>
          </w:p>
        </w:tc>
        <w:tc>
          <w:tcPr>
            <w:tcW w:w="694" w:type="pct"/>
            <w:noWrap/>
            <w:hideMark/>
          </w:tcPr>
          <w:p w14:paraId="19181BC5" w14:textId="77777777" w:rsidR="007C2E48" w:rsidRPr="002D3529" w:rsidRDefault="007C2E48" w:rsidP="00DE1A10">
            <w:pPr>
              <w:spacing w:line="240" w:lineRule="auto"/>
              <w:ind w:firstLine="0"/>
              <w:jc w:val="right"/>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0</w:t>
            </w:r>
          </w:p>
        </w:tc>
        <w:tc>
          <w:tcPr>
            <w:tcW w:w="545" w:type="pct"/>
            <w:noWrap/>
            <w:hideMark/>
          </w:tcPr>
          <w:p w14:paraId="4CEE100F" w14:textId="77777777" w:rsidR="007C2E48" w:rsidRPr="002D3529" w:rsidRDefault="007C2E48" w:rsidP="00DE1A10">
            <w:pPr>
              <w:spacing w:line="240" w:lineRule="auto"/>
              <w:ind w:firstLine="0"/>
              <w:jc w:val="right"/>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0</w:t>
            </w:r>
          </w:p>
        </w:tc>
        <w:tc>
          <w:tcPr>
            <w:tcW w:w="366" w:type="pct"/>
            <w:noWrap/>
            <w:hideMark/>
          </w:tcPr>
          <w:p w14:paraId="63EAF1D4" w14:textId="77777777" w:rsidR="007C2E48" w:rsidRPr="002D3529" w:rsidRDefault="007C2E48" w:rsidP="00DE1A10">
            <w:pPr>
              <w:spacing w:line="240" w:lineRule="auto"/>
              <w:ind w:firstLine="0"/>
              <w:jc w:val="right"/>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1</w:t>
            </w:r>
          </w:p>
        </w:tc>
        <w:tc>
          <w:tcPr>
            <w:tcW w:w="388" w:type="pct"/>
            <w:noWrap/>
            <w:hideMark/>
          </w:tcPr>
          <w:p w14:paraId="474C3ED0" w14:textId="77777777" w:rsidR="007C2E48" w:rsidRPr="002D3529" w:rsidRDefault="007C2E48" w:rsidP="00DE1A10">
            <w:pPr>
              <w:spacing w:line="240" w:lineRule="auto"/>
              <w:ind w:firstLine="0"/>
              <w:jc w:val="right"/>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1</w:t>
            </w:r>
          </w:p>
        </w:tc>
        <w:tc>
          <w:tcPr>
            <w:tcW w:w="253" w:type="pct"/>
            <w:noWrap/>
            <w:hideMark/>
          </w:tcPr>
          <w:p w14:paraId="53128183" w14:textId="77777777" w:rsidR="007C2E48" w:rsidRPr="002D3529" w:rsidRDefault="007C2E48" w:rsidP="00DE1A10">
            <w:pPr>
              <w:spacing w:line="240" w:lineRule="auto"/>
              <w:ind w:firstLine="0"/>
              <w:jc w:val="right"/>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0</w:t>
            </w:r>
          </w:p>
        </w:tc>
        <w:tc>
          <w:tcPr>
            <w:tcW w:w="396" w:type="pct"/>
            <w:noWrap/>
            <w:hideMark/>
          </w:tcPr>
          <w:p w14:paraId="07FF512A"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0,625</w:t>
            </w:r>
          </w:p>
        </w:tc>
        <w:tc>
          <w:tcPr>
            <w:tcW w:w="396" w:type="pct"/>
            <w:noWrap/>
            <w:hideMark/>
          </w:tcPr>
          <w:p w14:paraId="68D9722D"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0,015</w:t>
            </w:r>
          </w:p>
        </w:tc>
        <w:tc>
          <w:tcPr>
            <w:tcW w:w="1545" w:type="pct"/>
            <w:noWrap/>
            <w:hideMark/>
          </w:tcPr>
          <w:p w14:paraId="78FE11D8"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Olsztyn, Kielce, Bialystok</w:t>
            </w:r>
          </w:p>
        </w:tc>
      </w:tr>
      <w:tr w:rsidR="007C2E48" w:rsidRPr="000D63C6" w14:paraId="26767DEC" w14:textId="77777777" w:rsidTr="00DE1A10">
        <w:trPr>
          <w:trHeight w:val="425"/>
        </w:trPr>
        <w:tc>
          <w:tcPr>
            <w:tcW w:w="417" w:type="pct"/>
            <w:noWrap/>
            <w:hideMark/>
          </w:tcPr>
          <w:p w14:paraId="762E27C8" w14:textId="77777777" w:rsidR="007C2E48" w:rsidRPr="002D3529" w:rsidRDefault="007C2E48" w:rsidP="00DE1A10">
            <w:pPr>
              <w:spacing w:line="240" w:lineRule="auto"/>
              <w:ind w:firstLine="0"/>
              <w:jc w:val="right"/>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1</w:t>
            </w:r>
          </w:p>
        </w:tc>
        <w:tc>
          <w:tcPr>
            <w:tcW w:w="694" w:type="pct"/>
            <w:noWrap/>
            <w:hideMark/>
          </w:tcPr>
          <w:p w14:paraId="63B920C9" w14:textId="77777777" w:rsidR="007C2E48" w:rsidRPr="002D3529" w:rsidRDefault="007C2E48" w:rsidP="00DE1A10">
            <w:pPr>
              <w:spacing w:line="240" w:lineRule="auto"/>
              <w:ind w:firstLine="0"/>
              <w:jc w:val="right"/>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0</w:t>
            </w:r>
          </w:p>
        </w:tc>
        <w:tc>
          <w:tcPr>
            <w:tcW w:w="545" w:type="pct"/>
            <w:noWrap/>
            <w:hideMark/>
          </w:tcPr>
          <w:p w14:paraId="502BA60C" w14:textId="77777777" w:rsidR="007C2E48" w:rsidRPr="002D3529" w:rsidRDefault="007C2E48" w:rsidP="00DE1A10">
            <w:pPr>
              <w:spacing w:line="240" w:lineRule="auto"/>
              <w:ind w:firstLine="0"/>
              <w:jc w:val="right"/>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1</w:t>
            </w:r>
          </w:p>
        </w:tc>
        <w:tc>
          <w:tcPr>
            <w:tcW w:w="366" w:type="pct"/>
            <w:noWrap/>
            <w:hideMark/>
          </w:tcPr>
          <w:p w14:paraId="358DEAD5" w14:textId="77777777" w:rsidR="007C2E48" w:rsidRPr="002D3529" w:rsidRDefault="007C2E48" w:rsidP="00DE1A10">
            <w:pPr>
              <w:spacing w:line="240" w:lineRule="auto"/>
              <w:ind w:firstLine="0"/>
              <w:jc w:val="right"/>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1</w:t>
            </w:r>
          </w:p>
        </w:tc>
        <w:tc>
          <w:tcPr>
            <w:tcW w:w="388" w:type="pct"/>
            <w:noWrap/>
            <w:hideMark/>
          </w:tcPr>
          <w:p w14:paraId="2076CA5E" w14:textId="77777777" w:rsidR="007C2E48" w:rsidRPr="002D3529" w:rsidRDefault="007C2E48" w:rsidP="00DE1A10">
            <w:pPr>
              <w:spacing w:line="240" w:lineRule="auto"/>
              <w:ind w:firstLine="0"/>
              <w:jc w:val="right"/>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1</w:t>
            </w:r>
          </w:p>
        </w:tc>
        <w:tc>
          <w:tcPr>
            <w:tcW w:w="253" w:type="pct"/>
            <w:noWrap/>
            <w:hideMark/>
          </w:tcPr>
          <w:p w14:paraId="083E3B96" w14:textId="77777777" w:rsidR="007C2E48" w:rsidRPr="002D3529" w:rsidRDefault="007C2E48" w:rsidP="00DE1A10">
            <w:pPr>
              <w:spacing w:line="240" w:lineRule="auto"/>
              <w:ind w:firstLine="0"/>
              <w:jc w:val="right"/>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0</w:t>
            </w:r>
          </w:p>
        </w:tc>
        <w:tc>
          <w:tcPr>
            <w:tcW w:w="396" w:type="pct"/>
            <w:noWrap/>
            <w:hideMark/>
          </w:tcPr>
          <w:p w14:paraId="5680AF40"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0,551</w:t>
            </w:r>
          </w:p>
        </w:tc>
        <w:tc>
          <w:tcPr>
            <w:tcW w:w="396" w:type="pct"/>
            <w:noWrap/>
            <w:hideMark/>
          </w:tcPr>
          <w:p w14:paraId="21D00836"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0,118</w:t>
            </w:r>
          </w:p>
        </w:tc>
        <w:tc>
          <w:tcPr>
            <w:tcW w:w="1545" w:type="pct"/>
            <w:noWrap/>
            <w:hideMark/>
          </w:tcPr>
          <w:p w14:paraId="44D7D0EA"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Warsaw, Gdansk</w:t>
            </w:r>
          </w:p>
        </w:tc>
      </w:tr>
    </w:tbl>
    <w:p w14:paraId="2AC98334" w14:textId="77777777" w:rsidR="007C2E48" w:rsidRPr="000D63C6" w:rsidRDefault="007C2E48" w:rsidP="007C2E48">
      <w:pPr>
        <w:spacing w:before="0" w:after="0" w:line="240" w:lineRule="auto"/>
        <w:ind w:firstLine="0"/>
        <w:contextualSpacing/>
        <w:rPr>
          <w:rFonts w:eastAsia="Calibri"/>
          <w:sz w:val="20"/>
          <w:szCs w:val="20"/>
          <w:lang w:eastAsia="en-US"/>
        </w:rPr>
      </w:pPr>
      <w:r w:rsidRPr="000D63C6">
        <w:rPr>
          <w:rFonts w:eastAsia="Calibri"/>
          <w:sz w:val="20"/>
          <w:szCs w:val="20"/>
          <w:lang w:eastAsia="en-US"/>
        </w:rPr>
        <w:t>Source: author’s own elaboration</w:t>
      </w:r>
    </w:p>
    <w:p w14:paraId="0FBB2BC6" w14:textId="77777777" w:rsidR="007C2E48" w:rsidRPr="000D63C6" w:rsidRDefault="007C2E48" w:rsidP="007C2E48">
      <w:pPr>
        <w:spacing w:before="0" w:after="0" w:line="240" w:lineRule="auto"/>
        <w:ind w:firstLine="0"/>
        <w:contextualSpacing/>
        <w:rPr>
          <w:rFonts w:eastAsia="Calibri"/>
          <w:sz w:val="20"/>
          <w:szCs w:val="20"/>
          <w:lang w:eastAsia="en-US"/>
        </w:rPr>
      </w:pPr>
      <w:r w:rsidRPr="000D63C6">
        <w:rPr>
          <w:rFonts w:eastAsia="Calibri"/>
          <w:sz w:val="20"/>
          <w:szCs w:val="20"/>
          <w:lang w:eastAsia="en-US"/>
        </w:rPr>
        <w:t xml:space="preserve">Note: The crossed-out cities are deviant cases (consistency in kind). The consistency threshold equals 0,8. Presented here without empty configurations. </w:t>
      </w:r>
    </w:p>
    <w:p w14:paraId="1A8B0228" w14:textId="77777777" w:rsidR="007C2E48" w:rsidRPr="000D63C6" w:rsidRDefault="007C2E48" w:rsidP="007C2E48">
      <w:pPr>
        <w:spacing w:before="0" w:after="0"/>
        <w:ind w:firstLine="0"/>
        <w:contextualSpacing/>
        <w:rPr>
          <w:rFonts w:eastAsia="Calibri"/>
          <w:sz w:val="20"/>
          <w:szCs w:val="20"/>
          <w:lang w:eastAsia="en-US"/>
        </w:rPr>
      </w:pPr>
    </w:p>
    <w:p w14:paraId="61DE66FC" w14:textId="77777777" w:rsidR="007C2E48" w:rsidRPr="000D63C6" w:rsidRDefault="007C2E48" w:rsidP="007C2E48">
      <w:pPr>
        <w:spacing w:before="0" w:after="160" w:line="259" w:lineRule="auto"/>
        <w:ind w:firstLine="0"/>
        <w:jc w:val="left"/>
        <w:rPr>
          <w:rFonts w:eastAsia="Calibri"/>
          <w:b/>
          <w:bCs/>
          <w:sz w:val="24"/>
          <w:szCs w:val="24"/>
          <w:lang w:eastAsia="en-US"/>
        </w:rPr>
      </w:pPr>
      <w:r w:rsidRPr="000D63C6">
        <w:rPr>
          <w:rFonts w:eastAsia="Calibri"/>
          <w:b/>
          <w:bCs/>
          <w:sz w:val="24"/>
          <w:szCs w:val="24"/>
          <w:lang w:eastAsia="en-US"/>
        </w:rPr>
        <w:t xml:space="preserve">Conservative solution (no logical reminders included): </w:t>
      </w:r>
    </w:p>
    <w:p w14:paraId="2C21C311" w14:textId="77777777" w:rsidR="007C2E48" w:rsidRPr="000D63C6" w:rsidRDefault="007C2E48" w:rsidP="007C2E48">
      <w:pPr>
        <w:spacing w:before="0" w:after="160" w:line="259" w:lineRule="auto"/>
        <w:ind w:firstLine="0"/>
        <w:jc w:val="left"/>
        <w:rPr>
          <w:rFonts w:eastAsia="Calibri"/>
          <w:sz w:val="24"/>
          <w:szCs w:val="24"/>
          <w:lang w:eastAsia="en-US"/>
        </w:rPr>
      </w:pPr>
      <w:r w:rsidRPr="000D63C6">
        <w:rPr>
          <w:rFonts w:eastAsia="Calibri"/>
          <w:sz w:val="24"/>
          <w:szCs w:val="24"/>
          <w:lang w:eastAsia="en-US"/>
        </w:rPr>
        <w:t>(~POP*POORHEALTH *~AFFL *SOCAP) + (~POP*POORHEALTH*~WMR*~SOCAP) + (~POP *~AFFL*~WMR*~SOCAP) + (POP*~POORHEALTH*AFFL*WMR*~SOCAP) → ~OUT</w:t>
      </w:r>
    </w:p>
    <w:p w14:paraId="26451DC6" w14:textId="77777777" w:rsidR="007C2E48" w:rsidRPr="000D63C6" w:rsidRDefault="007C2E48" w:rsidP="007C2E48">
      <w:pPr>
        <w:spacing w:before="0" w:after="160" w:line="259" w:lineRule="auto"/>
        <w:ind w:firstLine="0"/>
        <w:jc w:val="left"/>
        <w:rPr>
          <w:rFonts w:eastAsia="Calibri"/>
          <w:sz w:val="20"/>
          <w:szCs w:val="20"/>
          <w:lang w:eastAsia="en-US"/>
        </w:rPr>
      </w:pPr>
      <w:r w:rsidRPr="000D63C6">
        <w:rPr>
          <w:rFonts w:eastAsia="Calibri"/>
          <w:sz w:val="20"/>
          <w:szCs w:val="20"/>
          <w:lang w:eastAsia="en-US"/>
        </w:rPr>
        <w:t xml:space="preserve">Note: solution consistency = 0,915, PRI =  0,864, solution coverage = 0,523. </w:t>
      </w:r>
    </w:p>
    <w:p w14:paraId="4493EA0E" w14:textId="77777777" w:rsidR="007C2E48" w:rsidRPr="000D63C6" w:rsidRDefault="007C2E48" w:rsidP="007C2E48">
      <w:pPr>
        <w:spacing w:before="0" w:after="160" w:line="259" w:lineRule="auto"/>
        <w:ind w:firstLine="0"/>
        <w:jc w:val="left"/>
        <w:rPr>
          <w:rFonts w:eastAsia="Calibri"/>
          <w:b/>
          <w:bCs/>
          <w:sz w:val="24"/>
          <w:szCs w:val="24"/>
          <w:lang w:eastAsia="en-US"/>
        </w:rPr>
      </w:pPr>
      <w:r w:rsidRPr="000D63C6">
        <w:rPr>
          <w:rFonts w:eastAsia="Calibri"/>
          <w:b/>
          <w:bCs/>
          <w:sz w:val="24"/>
          <w:szCs w:val="24"/>
          <w:lang w:eastAsia="en-US"/>
        </w:rPr>
        <w:t>The most parsimonious solution (all logical reminders included, without directional expectations):</w:t>
      </w:r>
    </w:p>
    <w:p w14:paraId="7986EC9B" w14:textId="77777777" w:rsidR="007C2E48" w:rsidRPr="000D63C6" w:rsidRDefault="007C2E48" w:rsidP="007C2E48">
      <w:pPr>
        <w:spacing w:before="0" w:after="160" w:line="259" w:lineRule="auto"/>
        <w:ind w:firstLine="0"/>
        <w:jc w:val="left"/>
        <w:rPr>
          <w:rFonts w:eastAsia="Calibri"/>
          <w:sz w:val="24"/>
          <w:szCs w:val="24"/>
          <w:lang w:eastAsia="en-US"/>
        </w:rPr>
      </w:pPr>
      <w:r w:rsidRPr="000D63C6">
        <w:rPr>
          <w:rFonts w:eastAsia="Calibri"/>
          <w:sz w:val="24"/>
          <w:szCs w:val="24"/>
          <w:lang w:eastAsia="en-US"/>
        </w:rPr>
        <w:t>(~POP*POORHEALTH) + (~POORHEALTH*~SOCAP) → ~OUT</w:t>
      </w:r>
    </w:p>
    <w:p w14:paraId="482FE820" w14:textId="77777777" w:rsidR="007C2E48" w:rsidRPr="000D63C6" w:rsidRDefault="007C2E48" w:rsidP="007C2E48">
      <w:pPr>
        <w:spacing w:before="0" w:after="160" w:line="259" w:lineRule="auto"/>
        <w:ind w:firstLine="0"/>
        <w:jc w:val="left"/>
        <w:rPr>
          <w:rFonts w:eastAsia="Calibri"/>
          <w:sz w:val="20"/>
          <w:szCs w:val="20"/>
          <w:lang w:eastAsia="en-US"/>
        </w:rPr>
      </w:pPr>
      <w:r w:rsidRPr="000D63C6">
        <w:rPr>
          <w:rFonts w:eastAsia="Calibri"/>
          <w:sz w:val="20"/>
          <w:szCs w:val="20"/>
          <w:lang w:eastAsia="en-US"/>
        </w:rPr>
        <w:t>Note: solution consistency = 0,926, PRI =  0,878, solution coverage = 0,612.</w:t>
      </w:r>
    </w:p>
    <w:p w14:paraId="70E8EA2A" w14:textId="77777777" w:rsidR="007C2E48" w:rsidRDefault="007C2E48" w:rsidP="007C2E48">
      <w:pPr>
        <w:spacing w:line="240" w:lineRule="auto"/>
        <w:ind w:firstLine="0"/>
        <w:rPr>
          <w:rFonts w:eastAsia="Calibri"/>
          <w:b/>
          <w:bCs/>
          <w:sz w:val="20"/>
          <w:szCs w:val="20"/>
          <w:lang w:eastAsia="en-US"/>
        </w:rPr>
      </w:pPr>
      <w:r>
        <w:rPr>
          <w:rFonts w:eastAsia="Calibri"/>
          <w:b/>
          <w:bCs/>
          <w:sz w:val="20"/>
          <w:szCs w:val="20"/>
          <w:lang w:eastAsia="en-US"/>
        </w:rPr>
        <w:br w:type="page"/>
      </w:r>
    </w:p>
    <w:p w14:paraId="326C4598" w14:textId="77777777" w:rsidR="007C2E48" w:rsidRPr="000D63C6" w:rsidRDefault="007C2E48" w:rsidP="007C2E48">
      <w:pPr>
        <w:spacing w:before="0" w:after="0"/>
        <w:ind w:firstLine="0"/>
        <w:contextualSpacing/>
        <w:rPr>
          <w:rFonts w:eastAsia="Calibri"/>
          <w:b/>
          <w:bCs/>
          <w:sz w:val="20"/>
          <w:szCs w:val="20"/>
          <w:lang w:eastAsia="en-US"/>
        </w:rPr>
      </w:pPr>
      <w:r w:rsidRPr="000D63C6">
        <w:rPr>
          <w:rFonts w:eastAsia="Calibri"/>
          <w:b/>
          <w:bCs/>
          <w:sz w:val="20"/>
          <w:szCs w:val="20"/>
          <w:lang w:eastAsia="en-US"/>
        </w:rPr>
        <w:lastRenderedPageBreak/>
        <w:t>Table A</w:t>
      </w:r>
      <w:r>
        <w:rPr>
          <w:rFonts w:eastAsia="Calibri"/>
          <w:b/>
          <w:bCs/>
          <w:sz w:val="20"/>
          <w:szCs w:val="20"/>
          <w:lang w:eastAsia="en-US"/>
        </w:rPr>
        <w:t>6</w:t>
      </w:r>
      <w:r w:rsidRPr="000D63C6">
        <w:rPr>
          <w:rFonts w:eastAsia="Calibri"/>
          <w:b/>
          <w:bCs/>
          <w:sz w:val="20"/>
          <w:szCs w:val="20"/>
          <w:lang w:eastAsia="en-US"/>
        </w:rPr>
        <w:t xml:space="preserve">: Raw data. </w:t>
      </w:r>
    </w:p>
    <w:tbl>
      <w:tblPr>
        <w:tblStyle w:val="Tabela-Siatka"/>
        <w:tblW w:w="5000" w:type="pct"/>
        <w:tblLook w:val="06A0" w:firstRow="1" w:lastRow="0" w:firstColumn="1" w:lastColumn="0" w:noHBand="1" w:noVBand="1"/>
      </w:tblPr>
      <w:tblGrid>
        <w:gridCol w:w="1544"/>
        <w:gridCol w:w="890"/>
        <w:gridCol w:w="774"/>
        <w:gridCol w:w="900"/>
        <w:gridCol w:w="667"/>
        <w:gridCol w:w="765"/>
        <w:gridCol w:w="775"/>
        <w:gridCol w:w="775"/>
        <w:gridCol w:w="667"/>
        <w:gridCol w:w="657"/>
        <w:gridCol w:w="648"/>
      </w:tblGrid>
      <w:tr w:rsidR="007C2E48" w:rsidRPr="000D63C6" w14:paraId="4E1D6F27" w14:textId="77777777" w:rsidTr="00DE1A10">
        <w:trPr>
          <w:trHeight w:val="1345"/>
          <w:tblHeader/>
        </w:trPr>
        <w:tc>
          <w:tcPr>
            <w:tcW w:w="859" w:type="pct"/>
            <w:tcBorders>
              <w:bottom w:val="single" w:sz="8" w:space="0" w:color="auto"/>
            </w:tcBorders>
            <w:noWrap/>
            <w:vAlign w:val="center"/>
            <w:hideMark/>
          </w:tcPr>
          <w:p w14:paraId="7EB6A744" w14:textId="77777777" w:rsidR="007C2E48" w:rsidRPr="002D3529" w:rsidRDefault="007C2E48" w:rsidP="00DE1A10">
            <w:pPr>
              <w:spacing w:line="240" w:lineRule="auto"/>
              <w:ind w:firstLine="0"/>
              <w:jc w:val="center"/>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b/>
                <w:bCs/>
                <w:color w:val="000000"/>
                <w:szCs w:val="20"/>
                <w:lang w:eastAsia="pl-PL"/>
              </w:rPr>
              <w:t>Cases</w:t>
            </w:r>
          </w:p>
        </w:tc>
        <w:tc>
          <w:tcPr>
            <w:tcW w:w="498" w:type="pct"/>
            <w:tcBorders>
              <w:bottom w:val="single" w:sz="8" w:space="0" w:color="auto"/>
            </w:tcBorders>
            <w:noWrap/>
            <w:textDirection w:val="btLr"/>
            <w:hideMark/>
          </w:tcPr>
          <w:p w14:paraId="403BCDBF" w14:textId="77777777" w:rsidR="007C2E48" w:rsidRPr="002D3529" w:rsidRDefault="007C2E48" w:rsidP="00DE1A10">
            <w:pPr>
              <w:spacing w:line="240" w:lineRule="auto"/>
              <w:ind w:left="113" w:right="113" w:firstLine="0"/>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b/>
                <w:bCs/>
                <w:color w:val="000000"/>
                <w:szCs w:val="20"/>
                <w:lang w:eastAsia="pl-PL"/>
              </w:rPr>
              <w:t>PHP_EXP</w:t>
            </w:r>
          </w:p>
        </w:tc>
        <w:tc>
          <w:tcPr>
            <w:tcW w:w="434" w:type="pct"/>
            <w:tcBorders>
              <w:bottom w:val="single" w:sz="8" w:space="0" w:color="auto"/>
            </w:tcBorders>
            <w:noWrap/>
            <w:textDirection w:val="btLr"/>
            <w:hideMark/>
          </w:tcPr>
          <w:p w14:paraId="5150DD8B" w14:textId="77777777" w:rsidR="007C2E48" w:rsidRPr="002D3529" w:rsidRDefault="007C2E48" w:rsidP="00DE1A10">
            <w:pPr>
              <w:spacing w:line="240" w:lineRule="auto"/>
              <w:ind w:left="113" w:right="113" w:firstLine="0"/>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b/>
                <w:bCs/>
                <w:color w:val="000000"/>
                <w:szCs w:val="20"/>
                <w:lang w:eastAsia="pl-PL"/>
              </w:rPr>
              <w:t>POP</w:t>
            </w:r>
          </w:p>
        </w:tc>
        <w:tc>
          <w:tcPr>
            <w:tcW w:w="503" w:type="pct"/>
            <w:tcBorders>
              <w:bottom w:val="single" w:sz="8" w:space="0" w:color="auto"/>
            </w:tcBorders>
            <w:textDirection w:val="btLr"/>
          </w:tcPr>
          <w:p w14:paraId="26501070" w14:textId="77777777" w:rsidR="007C2E48" w:rsidRPr="002D3529" w:rsidRDefault="007C2E48" w:rsidP="00DE1A10">
            <w:pPr>
              <w:spacing w:line="240" w:lineRule="auto"/>
              <w:ind w:left="113" w:right="113" w:firstLine="0"/>
              <w:rPr>
                <w:rFonts w:ascii="Sabon Next LT" w:eastAsia="Times New Roman" w:hAnsi="Sabon Next LT" w:cs="Sabon Next LT"/>
                <w:b/>
                <w:bCs/>
                <w:color w:val="000000"/>
                <w:szCs w:val="20"/>
                <w:lang w:eastAsia="pl-PL"/>
              </w:rPr>
            </w:pPr>
            <w:r w:rsidRPr="002D3529">
              <w:rPr>
                <w:rFonts w:ascii="Sabon Next LT" w:eastAsia="Calibri" w:hAnsi="Sabon Next LT" w:cs="Sabon Next LT"/>
                <w:b/>
                <w:bCs/>
                <w:color w:val="000000"/>
                <w:szCs w:val="20"/>
                <w:lang w:eastAsia="en-US"/>
              </w:rPr>
              <w:t>AFFL</w:t>
            </w:r>
          </w:p>
        </w:tc>
        <w:tc>
          <w:tcPr>
            <w:tcW w:w="369" w:type="pct"/>
            <w:tcBorders>
              <w:bottom w:val="single" w:sz="8" w:space="0" w:color="auto"/>
            </w:tcBorders>
            <w:noWrap/>
            <w:textDirection w:val="btLr"/>
            <w:hideMark/>
          </w:tcPr>
          <w:p w14:paraId="68936496" w14:textId="77777777" w:rsidR="007C2E48" w:rsidRPr="002D3529" w:rsidRDefault="007C2E48" w:rsidP="00DE1A10">
            <w:pPr>
              <w:spacing w:line="240" w:lineRule="auto"/>
              <w:ind w:left="113" w:right="113" w:firstLine="0"/>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b/>
                <w:bCs/>
                <w:color w:val="000000"/>
                <w:szCs w:val="20"/>
                <w:lang w:eastAsia="pl-PL"/>
              </w:rPr>
              <w:t>AGEMED</w:t>
            </w:r>
          </w:p>
        </w:tc>
        <w:tc>
          <w:tcPr>
            <w:tcW w:w="434" w:type="pct"/>
            <w:tcBorders>
              <w:bottom w:val="single" w:sz="8" w:space="0" w:color="auto"/>
            </w:tcBorders>
            <w:noWrap/>
            <w:textDirection w:val="btLr"/>
            <w:hideMark/>
          </w:tcPr>
          <w:p w14:paraId="7986CEC4" w14:textId="77777777" w:rsidR="007C2E48" w:rsidRPr="002D3529" w:rsidRDefault="007C2E48" w:rsidP="00DE1A10">
            <w:pPr>
              <w:spacing w:line="240" w:lineRule="auto"/>
              <w:ind w:left="113" w:right="113" w:firstLine="0"/>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b/>
                <w:bCs/>
                <w:color w:val="000000"/>
                <w:szCs w:val="20"/>
                <w:lang w:eastAsia="pl-PL"/>
              </w:rPr>
              <w:t>DEATH</w:t>
            </w:r>
          </w:p>
        </w:tc>
        <w:tc>
          <w:tcPr>
            <w:tcW w:w="434" w:type="pct"/>
            <w:tcBorders>
              <w:bottom w:val="single" w:sz="8" w:space="0" w:color="auto"/>
            </w:tcBorders>
            <w:noWrap/>
            <w:textDirection w:val="btLr"/>
            <w:hideMark/>
          </w:tcPr>
          <w:p w14:paraId="43B73435" w14:textId="77777777" w:rsidR="007C2E48" w:rsidRPr="002D3529" w:rsidRDefault="007C2E48" w:rsidP="00DE1A10">
            <w:pPr>
              <w:spacing w:line="240" w:lineRule="auto"/>
              <w:ind w:left="113" w:right="113" w:firstLine="0"/>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b/>
                <w:bCs/>
                <w:color w:val="000000"/>
                <w:szCs w:val="20"/>
                <w:lang w:eastAsia="pl-PL"/>
              </w:rPr>
              <w:t>TURN-OUT</w:t>
            </w:r>
          </w:p>
        </w:tc>
        <w:tc>
          <w:tcPr>
            <w:tcW w:w="434" w:type="pct"/>
            <w:tcBorders>
              <w:bottom w:val="single" w:sz="8" w:space="0" w:color="auto"/>
            </w:tcBorders>
            <w:noWrap/>
            <w:textDirection w:val="btLr"/>
            <w:hideMark/>
          </w:tcPr>
          <w:p w14:paraId="665AAA98" w14:textId="66A31442" w:rsidR="007C2E48" w:rsidRPr="002D3529" w:rsidRDefault="007C2E48" w:rsidP="00DE1A10">
            <w:pPr>
              <w:spacing w:line="240" w:lineRule="auto"/>
              <w:ind w:left="113" w:right="113" w:firstLine="0"/>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b/>
                <w:bCs/>
                <w:color w:val="000000"/>
                <w:szCs w:val="20"/>
                <w:lang w:eastAsia="pl-PL"/>
              </w:rPr>
              <w:t>PARTICIP</w:t>
            </w:r>
          </w:p>
        </w:tc>
        <w:tc>
          <w:tcPr>
            <w:tcW w:w="302" w:type="pct"/>
            <w:tcBorders>
              <w:bottom w:val="single" w:sz="8" w:space="0" w:color="auto"/>
            </w:tcBorders>
            <w:noWrap/>
            <w:textDirection w:val="btLr"/>
            <w:hideMark/>
          </w:tcPr>
          <w:p w14:paraId="3F4F8527" w14:textId="77777777" w:rsidR="007C2E48" w:rsidRPr="002D3529" w:rsidRDefault="007C2E48" w:rsidP="00DE1A10">
            <w:pPr>
              <w:spacing w:line="240" w:lineRule="auto"/>
              <w:ind w:left="113" w:right="113" w:firstLine="0"/>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b/>
                <w:bCs/>
                <w:color w:val="000000"/>
                <w:szCs w:val="20"/>
                <w:lang w:eastAsia="pl-PL"/>
              </w:rPr>
              <w:t>WMR</w:t>
            </w:r>
          </w:p>
        </w:tc>
        <w:tc>
          <w:tcPr>
            <w:tcW w:w="369" w:type="pct"/>
            <w:tcBorders>
              <w:bottom w:val="single" w:sz="8" w:space="0" w:color="auto"/>
            </w:tcBorders>
            <w:noWrap/>
            <w:textDirection w:val="btLr"/>
            <w:hideMark/>
          </w:tcPr>
          <w:p w14:paraId="68B3ED47" w14:textId="77777777" w:rsidR="007C2E48" w:rsidRPr="00623E54" w:rsidRDefault="007C2E48" w:rsidP="00DE1A10">
            <w:pPr>
              <w:spacing w:line="240" w:lineRule="auto"/>
              <w:ind w:left="113" w:right="113" w:firstLine="0"/>
              <w:rPr>
                <w:rFonts w:ascii="Sabon Next LT" w:eastAsia="Times New Roman" w:hAnsi="Sabon Next LT" w:cs="Sabon Next LT"/>
                <w:b/>
                <w:bCs/>
                <w:color w:val="000000"/>
                <w:sz w:val="18"/>
                <w:szCs w:val="18"/>
                <w:lang w:eastAsia="pl-PL"/>
              </w:rPr>
            </w:pPr>
            <w:r w:rsidRPr="00623E54">
              <w:rPr>
                <w:rFonts w:ascii="Sabon Next LT" w:eastAsia="Times New Roman" w:hAnsi="Sabon Next LT" w:cs="Sabon Next LT"/>
                <w:b/>
                <w:bCs/>
                <w:color w:val="000000"/>
                <w:sz w:val="18"/>
                <w:szCs w:val="18"/>
                <w:lang w:eastAsia="pl-PL"/>
              </w:rPr>
              <w:t>UNI_COV_A</w:t>
            </w:r>
          </w:p>
        </w:tc>
        <w:tc>
          <w:tcPr>
            <w:tcW w:w="365" w:type="pct"/>
            <w:tcBorders>
              <w:bottom w:val="single" w:sz="8" w:space="0" w:color="auto"/>
            </w:tcBorders>
            <w:noWrap/>
            <w:textDirection w:val="btLr"/>
            <w:hideMark/>
          </w:tcPr>
          <w:p w14:paraId="59A29AE7" w14:textId="77777777" w:rsidR="007C2E48" w:rsidRPr="00623E54" w:rsidRDefault="007C2E48" w:rsidP="00DE1A10">
            <w:pPr>
              <w:spacing w:line="240" w:lineRule="auto"/>
              <w:ind w:left="113" w:right="113" w:firstLine="0"/>
              <w:rPr>
                <w:rFonts w:ascii="Sabon Next LT" w:eastAsia="Times New Roman" w:hAnsi="Sabon Next LT" w:cs="Sabon Next LT"/>
                <w:b/>
                <w:bCs/>
                <w:color w:val="000000"/>
                <w:sz w:val="18"/>
                <w:szCs w:val="18"/>
                <w:lang w:eastAsia="pl-PL"/>
              </w:rPr>
            </w:pPr>
            <w:r w:rsidRPr="00623E54">
              <w:rPr>
                <w:rFonts w:ascii="Sabon Next LT" w:eastAsia="Times New Roman" w:hAnsi="Sabon Next LT" w:cs="Sabon Next LT"/>
                <w:b/>
                <w:bCs/>
                <w:color w:val="000000"/>
                <w:sz w:val="18"/>
                <w:szCs w:val="18"/>
                <w:lang w:eastAsia="pl-PL"/>
              </w:rPr>
              <w:t>UNI_COV_B</w:t>
            </w:r>
          </w:p>
        </w:tc>
      </w:tr>
      <w:tr w:rsidR="007C2E48" w:rsidRPr="000D63C6" w14:paraId="60BC1B66" w14:textId="77777777" w:rsidTr="00DE1A10">
        <w:trPr>
          <w:trHeight w:val="722"/>
        </w:trPr>
        <w:tc>
          <w:tcPr>
            <w:tcW w:w="859" w:type="pct"/>
            <w:tcBorders>
              <w:top w:val="single" w:sz="8" w:space="0" w:color="auto"/>
            </w:tcBorders>
            <w:noWrap/>
            <w:hideMark/>
          </w:tcPr>
          <w:p w14:paraId="5A3DFFD6" w14:textId="77777777" w:rsidR="007C2E48" w:rsidRPr="002D3529" w:rsidRDefault="007C2E48" w:rsidP="00DE1A10">
            <w:pPr>
              <w:spacing w:before="240" w:line="240" w:lineRule="auto"/>
              <w:ind w:firstLine="0"/>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color w:val="000000"/>
                <w:szCs w:val="20"/>
                <w:lang w:eastAsia="pl-PL"/>
              </w:rPr>
              <w:t>Zabrze</w:t>
            </w:r>
          </w:p>
        </w:tc>
        <w:tc>
          <w:tcPr>
            <w:tcW w:w="498" w:type="pct"/>
            <w:tcBorders>
              <w:top w:val="single" w:sz="8" w:space="0" w:color="auto"/>
            </w:tcBorders>
            <w:noWrap/>
            <w:hideMark/>
          </w:tcPr>
          <w:p w14:paraId="178C9853" w14:textId="77777777" w:rsidR="007C2E48" w:rsidRPr="002D3529" w:rsidRDefault="007C2E48" w:rsidP="00DE1A10">
            <w:pPr>
              <w:spacing w:before="240"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16,87</w:t>
            </w:r>
          </w:p>
        </w:tc>
        <w:tc>
          <w:tcPr>
            <w:tcW w:w="434" w:type="pct"/>
            <w:tcBorders>
              <w:top w:val="single" w:sz="8" w:space="0" w:color="auto"/>
            </w:tcBorders>
            <w:noWrap/>
            <w:hideMark/>
          </w:tcPr>
          <w:p w14:paraId="07BC6AFE" w14:textId="77777777" w:rsidR="007C2E48" w:rsidRPr="002D3529" w:rsidRDefault="007C2E48" w:rsidP="00DE1A10">
            <w:pPr>
              <w:spacing w:before="240"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172,4</w:t>
            </w:r>
          </w:p>
        </w:tc>
        <w:tc>
          <w:tcPr>
            <w:tcW w:w="503" w:type="pct"/>
            <w:tcBorders>
              <w:top w:val="single" w:sz="8" w:space="0" w:color="auto"/>
            </w:tcBorders>
          </w:tcPr>
          <w:p w14:paraId="626146A6" w14:textId="77777777" w:rsidR="007C2E48" w:rsidRPr="002D3529" w:rsidRDefault="007C2E48" w:rsidP="00DE1A10">
            <w:pPr>
              <w:spacing w:before="240" w:line="240" w:lineRule="auto"/>
              <w:ind w:firstLine="0"/>
              <w:rPr>
                <w:rFonts w:ascii="Sabon Next LT" w:eastAsia="Times New Roman" w:hAnsi="Sabon Next LT" w:cs="Sabon Next LT"/>
                <w:color w:val="000000"/>
                <w:szCs w:val="20"/>
                <w:lang w:eastAsia="pl-PL"/>
              </w:rPr>
            </w:pPr>
            <w:r w:rsidRPr="002D3529">
              <w:rPr>
                <w:rFonts w:ascii="Sabon Next LT" w:eastAsia="Calibri" w:hAnsi="Sabon Next LT" w:cs="Sabon Next LT"/>
                <w:color w:val="000000"/>
                <w:szCs w:val="20"/>
                <w:lang w:eastAsia="en-US"/>
              </w:rPr>
              <w:t>2777,8</w:t>
            </w:r>
          </w:p>
        </w:tc>
        <w:tc>
          <w:tcPr>
            <w:tcW w:w="369" w:type="pct"/>
            <w:tcBorders>
              <w:top w:val="single" w:sz="8" w:space="0" w:color="auto"/>
            </w:tcBorders>
            <w:noWrap/>
            <w:hideMark/>
          </w:tcPr>
          <w:p w14:paraId="48E026DF" w14:textId="77777777" w:rsidR="007C2E48" w:rsidRPr="002D3529" w:rsidRDefault="007C2E48" w:rsidP="00DE1A10">
            <w:pPr>
              <w:spacing w:before="240"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43,8</w:t>
            </w:r>
          </w:p>
        </w:tc>
        <w:tc>
          <w:tcPr>
            <w:tcW w:w="434" w:type="pct"/>
            <w:tcBorders>
              <w:top w:val="single" w:sz="8" w:space="0" w:color="auto"/>
            </w:tcBorders>
            <w:noWrap/>
            <w:hideMark/>
          </w:tcPr>
          <w:p w14:paraId="5A40074F" w14:textId="77777777" w:rsidR="007C2E48" w:rsidRPr="002D3529" w:rsidRDefault="007C2E48" w:rsidP="00DE1A10">
            <w:pPr>
              <w:spacing w:before="240"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10,81</w:t>
            </w:r>
          </w:p>
        </w:tc>
        <w:tc>
          <w:tcPr>
            <w:tcW w:w="434" w:type="pct"/>
            <w:tcBorders>
              <w:top w:val="single" w:sz="8" w:space="0" w:color="auto"/>
            </w:tcBorders>
            <w:noWrap/>
            <w:hideMark/>
          </w:tcPr>
          <w:p w14:paraId="65655AC8" w14:textId="77777777" w:rsidR="007C2E48" w:rsidRPr="002D3529" w:rsidRDefault="007C2E48" w:rsidP="00DE1A10">
            <w:pPr>
              <w:spacing w:before="240"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35,35</w:t>
            </w:r>
          </w:p>
        </w:tc>
        <w:tc>
          <w:tcPr>
            <w:tcW w:w="434" w:type="pct"/>
            <w:tcBorders>
              <w:top w:val="single" w:sz="8" w:space="0" w:color="auto"/>
            </w:tcBorders>
            <w:noWrap/>
            <w:hideMark/>
          </w:tcPr>
          <w:p w14:paraId="7C5898DF" w14:textId="65938004" w:rsidR="007C2E48" w:rsidRPr="002D3529" w:rsidRDefault="00612848" w:rsidP="00DE1A10">
            <w:pPr>
              <w:spacing w:before="240" w:line="240" w:lineRule="auto"/>
              <w:ind w:firstLine="0"/>
              <w:rPr>
                <w:rFonts w:ascii="Sabon Next LT" w:eastAsia="Times New Roman" w:hAnsi="Sabon Next LT" w:cs="Sabon Next LT"/>
                <w:color w:val="000000"/>
                <w:szCs w:val="20"/>
                <w:lang w:eastAsia="pl-PL"/>
              </w:rPr>
            </w:pPr>
            <w:r w:rsidRPr="00612848">
              <w:rPr>
                <w:rFonts w:ascii="Sabon Next LT" w:eastAsia="Times New Roman" w:hAnsi="Sabon Next LT" w:cs="Sabon Next LT"/>
                <w:color w:val="000000"/>
                <w:szCs w:val="20"/>
                <w:lang w:eastAsia="pl-PL"/>
              </w:rPr>
              <w:t>14,91</w:t>
            </w:r>
          </w:p>
        </w:tc>
        <w:tc>
          <w:tcPr>
            <w:tcW w:w="302" w:type="pct"/>
            <w:tcBorders>
              <w:top w:val="single" w:sz="8" w:space="0" w:color="auto"/>
            </w:tcBorders>
            <w:noWrap/>
            <w:hideMark/>
          </w:tcPr>
          <w:p w14:paraId="6DEDAAA1" w14:textId="77777777" w:rsidR="007C2E48" w:rsidRPr="002D3529" w:rsidRDefault="007C2E48" w:rsidP="00DE1A10">
            <w:pPr>
              <w:spacing w:before="240"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24</w:t>
            </w:r>
          </w:p>
        </w:tc>
        <w:tc>
          <w:tcPr>
            <w:tcW w:w="369" w:type="pct"/>
            <w:tcBorders>
              <w:top w:val="single" w:sz="8" w:space="0" w:color="auto"/>
            </w:tcBorders>
            <w:noWrap/>
            <w:hideMark/>
          </w:tcPr>
          <w:p w14:paraId="51B7DA00" w14:textId="77777777" w:rsidR="007C2E48" w:rsidRPr="002D3529" w:rsidRDefault="007C2E48" w:rsidP="00DE1A10">
            <w:pPr>
              <w:spacing w:before="240"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2,1</w:t>
            </w:r>
          </w:p>
        </w:tc>
        <w:tc>
          <w:tcPr>
            <w:tcW w:w="365" w:type="pct"/>
            <w:tcBorders>
              <w:top w:val="single" w:sz="8" w:space="0" w:color="auto"/>
            </w:tcBorders>
            <w:noWrap/>
            <w:hideMark/>
          </w:tcPr>
          <w:p w14:paraId="1533010D" w14:textId="77777777" w:rsidR="007C2E48" w:rsidRPr="002D3529" w:rsidRDefault="007C2E48" w:rsidP="00DE1A10">
            <w:pPr>
              <w:spacing w:before="240"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99</w:t>
            </w:r>
          </w:p>
        </w:tc>
      </w:tr>
      <w:tr w:rsidR="007C2E48" w:rsidRPr="000D63C6" w14:paraId="5800F7D7" w14:textId="77777777" w:rsidTr="00DE1A10">
        <w:trPr>
          <w:trHeight w:val="624"/>
        </w:trPr>
        <w:tc>
          <w:tcPr>
            <w:tcW w:w="859" w:type="pct"/>
            <w:noWrap/>
            <w:hideMark/>
          </w:tcPr>
          <w:p w14:paraId="2B74036E" w14:textId="77777777" w:rsidR="007C2E48" w:rsidRPr="002D3529" w:rsidRDefault="007C2E48" w:rsidP="00DE1A10">
            <w:pPr>
              <w:spacing w:line="240" w:lineRule="auto"/>
              <w:ind w:firstLine="0"/>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color w:val="000000"/>
                <w:szCs w:val="20"/>
                <w:lang w:eastAsia="pl-PL"/>
              </w:rPr>
              <w:t>Wroclaw</w:t>
            </w:r>
          </w:p>
        </w:tc>
        <w:tc>
          <w:tcPr>
            <w:tcW w:w="498" w:type="pct"/>
            <w:noWrap/>
            <w:hideMark/>
          </w:tcPr>
          <w:p w14:paraId="1CB4519A"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14,03</w:t>
            </w:r>
          </w:p>
        </w:tc>
        <w:tc>
          <w:tcPr>
            <w:tcW w:w="434" w:type="pct"/>
            <w:noWrap/>
            <w:hideMark/>
          </w:tcPr>
          <w:p w14:paraId="4CAB5517"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642,9</w:t>
            </w:r>
          </w:p>
        </w:tc>
        <w:tc>
          <w:tcPr>
            <w:tcW w:w="503" w:type="pct"/>
          </w:tcPr>
          <w:p w14:paraId="63EC2C85"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Calibri" w:hAnsi="Sabon Next LT" w:cs="Sabon Next LT"/>
                <w:color w:val="000000"/>
                <w:szCs w:val="20"/>
                <w:lang w:eastAsia="en-US"/>
              </w:rPr>
              <w:t>4948,3</w:t>
            </w:r>
          </w:p>
        </w:tc>
        <w:tc>
          <w:tcPr>
            <w:tcW w:w="369" w:type="pct"/>
            <w:noWrap/>
            <w:hideMark/>
          </w:tcPr>
          <w:p w14:paraId="7674C9FF"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41,4</w:t>
            </w:r>
          </w:p>
        </w:tc>
        <w:tc>
          <w:tcPr>
            <w:tcW w:w="434" w:type="pct"/>
            <w:noWrap/>
            <w:hideMark/>
          </w:tcPr>
          <w:p w14:paraId="79763A1D"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10,7</w:t>
            </w:r>
          </w:p>
        </w:tc>
        <w:tc>
          <w:tcPr>
            <w:tcW w:w="434" w:type="pct"/>
            <w:noWrap/>
            <w:hideMark/>
          </w:tcPr>
          <w:p w14:paraId="47A05BC0"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45,14</w:t>
            </w:r>
          </w:p>
        </w:tc>
        <w:tc>
          <w:tcPr>
            <w:tcW w:w="434" w:type="pct"/>
            <w:noWrap/>
            <w:hideMark/>
          </w:tcPr>
          <w:p w14:paraId="6DECC045" w14:textId="257638E5"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8,</w:t>
            </w:r>
            <w:r w:rsidR="003D7856">
              <w:rPr>
                <w:rFonts w:ascii="Sabon Next LT" w:eastAsia="Times New Roman" w:hAnsi="Sabon Next LT" w:cs="Sabon Next LT"/>
                <w:color w:val="000000"/>
                <w:szCs w:val="20"/>
                <w:lang w:eastAsia="pl-PL"/>
              </w:rPr>
              <w:t>5</w:t>
            </w:r>
          </w:p>
        </w:tc>
        <w:tc>
          <w:tcPr>
            <w:tcW w:w="302" w:type="pct"/>
            <w:noWrap/>
            <w:hideMark/>
          </w:tcPr>
          <w:p w14:paraId="2E990A02"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24</w:t>
            </w:r>
          </w:p>
        </w:tc>
        <w:tc>
          <w:tcPr>
            <w:tcW w:w="369" w:type="pct"/>
            <w:noWrap/>
            <w:hideMark/>
          </w:tcPr>
          <w:p w14:paraId="4021BAC7"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32,3</w:t>
            </w:r>
          </w:p>
        </w:tc>
        <w:tc>
          <w:tcPr>
            <w:tcW w:w="365" w:type="pct"/>
            <w:noWrap/>
            <w:hideMark/>
          </w:tcPr>
          <w:p w14:paraId="69074C24"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71</w:t>
            </w:r>
          </w:p>
        </w:tc>
      </w:tr>
      <w:tr w:rsidR="007C2E48" w:rsidRPr="000D63C6" w14:paraId="1D0F5526" w14:textId="77777777" w:rsidTr="00DE1A10">
        <w:trPr>
          <w:trHeight w:val="722"/>
        </w:trPr>
        <w:tc>
          <w:tcPr>
            <w:tcW w:w="859" w:type="pct"/>
            <w:noWrap/>
            <w:hideMark/>
          </w:tcPr>
          <w:p w14:paraId="3830C920" w14:textId="77777777" w:rsidR="007C2E48" w:rsidRPr="002D3529" w:rsidRDefault="007C2E48" w:rsidP="00DE1A10">
            <w:pPr>
              <w:spacing w:line="240" w:lineRule="auto"/>
              <w:ind w:firstLine="0"/>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color w:val="000000"/>
                <w:szCs w:val="20"/>
                <w:lang w:eastAsia="pl-PL"/>
              </w:rPr>
              <w:t>Warsaw</w:t>
            </w:r>
          </w:p>
        </w:tc>
        <w:tc>
          <w:tcPr>
            <w:tcW w:w="498" w:type="pct"/>
            <w:noWrap/>
            <w:hideMark/>
          </w:tcPr>
          <w:p w14:paraId="42A0982F"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161,38</w:t>
            </w:r>
          </w:p>
        </w:tc>
        <w:tc>
          <w:tcPr>
            <w:tcW w:w="434" w:type="pct"/>
            <w:noWrap/>
            <w:hideMark/>
          </w:tcPr>
          <w:p w14:paraId="25FB0876"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1791</w:t>
            </w:r>
          </w:p>
        </w:tc>
        <w:tc>
          <w:tcPr>
            <w:tcW w:w="503" w:type="pct"/>
          </w:tcPr>
          <w:p w14:paraId="2A8051FD"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Calibri" w:hAnsi="Sabon Next LT" w:cs="Sabon Next LT"/>
                <w:color w:val="000000"/>
                <w:szCs w:val="20"/>
                <w:lang w:eastAsia="en-US"/>
              </w:rPr>
              <w:t>7054</w:t>
            </w:r>
          </w:p>
        </w:tc>
        <w:tc>
          <w:tcPr>
            <w:tcW w:w="369" w:type="pct"/>
            <w:noWrap/>
            <w:hideMark/>
          </w:tcPr>
          <w:p w14:paraId="17D61674"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41,7</w:t>
            </w:r>
          </w:p>
        </w:tc>
        <w:tc>
          <w:tcPr>
            <w:tcW w:w="434" w:type="pct"/>
            <w:noWrap/>
            <w:hideMark/>
          </w:tcPr>
          <w:p w14:paraId="0B2814D2"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10,82</w:t>
            </w:r>
          </w:p>
        </w:tc>
        <w:tc>
          <w:tcPr>
            <w:tcW w:w="434" w:type="pct"/>
            <w:noWrap/>
            <w:hideMark/>
          </w:tcPr>
          <w:p w14:paraId="1BB36401"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56,94</w:t>
            </w:r>
          </w:p>
        </w:tc>
        <w:tc>
          <w:tcPr>
            <w:tcW w:w="434" w:type="pct"/>
            <w:noWrap/>
            <w:hideMark/>
          </w:tcPr>
          <w:p w14:paraId="4C10382E" w14:textId="3F6B342E"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1</w:t>
            </w:r>
            <w:r w:rsidR="003D7856">
              <w:rPr>
                <w:rFonts w:ascii="Sabon Next LT" w:eastAsia="Times New Roman" w:hAnsi="Sabon Next LT" w:cs="Sabon Next LT"/>
                <w:color w:val="000000"/>
                <w:szCs w:val="20"/>
                <w:lang w:eastAsia="pl-PL"/>
              </w:rPr>
              <w:t>7</w:t>
            </w:r>
            <w:r w:rsidRPr="002D3529">
              <w:rPr>
                <w:rFonts w:ascii="Sabon Next LT" w:eastAsia="Times New Roman" w:hAnsi="Sabon Next LT" w:cs="Sabon Next LT"/>
                <w:color w:val="000000"/>
                <w:szCs w:val="20"/>
                <w:lang w:eastAsia="pl-PL"/>
              </w:rPr>
              <w:t>,55</w:t>
            </w:r>
          </w:p>
        </w:tc>
        <w:tc>
          <w:tcPr>
            <w:tcW w:w="302" w:type="pct"/>
            <w:noWrap/>
            <w:hideMark/>
          </w:tcPr>
          <w:p w14:paraId="254810EF"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47</w:t>
            </w:r>
          </w:p>
        </w:tc>
        <w:tc>
          <w:tcPr>
            <w:tcW w:w="369" w:type="pct"/>
            <w:noWrap/>
            <w:hideMark/>
          </w:tcPr>
          <w:p w14:paraId="58BE5A98"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54,7</w:t>
            </w:r>
          </w:p>
        </w:tc>
        <w:tc>
          <w:tcPr>
            <w:tcW w:w="365" w:type="pct"/>
            <w:noWrap/>
            <w:hideMark/>
          </w:tcPr>
          <w:p w14:paraId="19A654C9"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95</w:t>
            </w:r>
          </w:p>
        </w:tc>
      </w:tr>
      <w:tr w:rsidR="007C2E48" w:rsidRPr="000D63C6" w14:paraId="59C9E4AD" w14:textId="77777777" w:rsidTr="00DE1A10">
        <w:trPr>
          <w:trHeight w:val="722"/>
        </w:trPr>
        <w:tc>
          <w:tcPr>
            <w:tcW w:w="859" w:type="pct"/>
            <w:noWrap/>
            <w:hideMark/>
          </w:tcPr>
          <w:p w14:paraId="70425A22" w14:textId="77777777" w:rsidR="007C2E48" w:rsidRPr="002D3529" w:rsidRDefault="007C2E48" w:rsidP="00DE1A10">
            <w:pPr>
              <w:spacing w:line="240" w:lineRule="auto"/>
              <w:ind w:firstLine="0"/>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color w:val="000000"/>
                <w:szCs w:val="20"/>
                <w:lang w:eastAsia="pl-PL"/>
              </w:rPr>
              <w:t>Torun</w:t>
            </w:r>
          </w:p>
        </w:tc>
        <w:tc>
          <w:tcPr>
            <w:tcW w:w="498" w:type="pct"/>
            <w:noWrap/>
            <w:hideMark/>
          </w:tcPr>
          <w:p w14:paraId="3C88C78F"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9,06</w:t>
            </w:r>
          </w:p>
        </w:tc>
        <w:tc>
          <w:tcPr>
            <w:tcW w:w="434" w:type="pct"/>
            <w:noWrap/>
            <w:hideMark/>
          </w:tcPr>
          <w:p w14:paraId="665C8081"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201,4</w:t>
            </w:r>
          </w:p>
        </w:tc>
        <w:tc>
          <w:tcPr>
            <w:tcW w:w="503" w:type="pct"/>
          </w:tcPr>
          <w:p w14:paraId="05BAC09D"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Calibri" w:hAnsi="Sabon Next LT" w:cs="Sabon Next LT"/>
                <w:color w:val="000000"/>
                <w:szCs w:val="20"/>
                <w:lang w:eastAsia="en-US"/>
              </w:rPr>
              <w:t>3154,5</w:t>
            </w:r>
          </w:p>
        </w:tc>
        <w:tc>
          <w:tcPr>
            <w:tcW w:w="369" w:type="pct"/>
            <w:noWrap/>
            <w:hideMark/>
          </w:tcPr>
          <w:p w14:paraId="687C0227"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41,9</w:t>
            </w:r>
          </w:p>
        </w:tc>
        <w:tc>
          <w:tcPr>
            <w:tcW w:w="434" w:type="pct"/>
            <w:noWrap/>
            <w:hideMark/>
          </w:tcPr>
          <w:p w14:paraId="786B7811"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9,92</w:t>
            </w:r>
          </w:p>
        </w:tc>
        <w:tc>
          <w:tcPr>
            <w:tcW w:w="434" w:type="pct"/>
            <w:noWrap/>
            <w:hideMark/>
          </w:tcPr>
          <w:p w14:paraId="4DEA2594"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46,68</w:t>
            </w:r>
          </w:p>
        </w:tc>
        <w:tc>
          <w:tcPr>
            <w:tcW w:w="434" w:type="pct"/>
            <w:noWrap/>
            <w:hideMark/>
          </w:tcPr>
          <w:p w14:paraId="2AB06CEB" w14:textId="423F0F7D"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8,</w:t>
            </w:r>
            <w:r w:rsidR="003D7856">
              <w:rPr>
                <w:rFonts w:ascii="Sabon Next LT" w:eastAsia="Times New Roman" w:hAnsi="Sabon Next LT" w:cs="Sabon Next LT"/>
                <w:color w:val="000000"/>
                <w:szCs w:val="20"/>
                <w:lang w:eastAsia="pl-PL"/>
              </w:rPr>
              <w:t>57</w:t>
            </w:r>
          </w:p>
        </w:tc>
        <w:tc>
          <w:tcPr>
            <w:tcW w:w="302" w:type="pct"/>
            <w:noWrap/>
            <w:hideMark/>
          </w:tcPr>
          <w:p w14:paraId="4D4F3828"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24</w:t>
            </w:r>
          </w:p>
        </w:tc>
        <w:tc>
          <w:tcPr>
            <w:tcW w:w="369" w:type="pct"/>
            <w:noWrap/>
            <w:hideMark/>
          </w:tcPr>
          <w:p w14:paraId="732A26A0"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0</w:t>
            </w:r>
          </w:p>
        </w:tc>
        <w:tc>
          <w:tcPr>
            <w:tcW w:w="365" w:type="pct"/>
            <w:noWrap/>
            <w:hideMark/>
          </w:tcPr>
          <w:p w14:paraId="3318CEFF"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97</w:t>
            </w:r>
          </w:p>
        </w:tc>
      </w:tr>
      <w:tr w:rsidR="007C2E48" w:rsidRPr="000D63C6" w14:paraId="44BD6F24" w14:textId="77777777" w:rsidTr="00DE1A10">
        <w:trPr>
          <w:trHeight w:val="722"/>
        </w:trPr>
        <w:tc>
          <w:tcPr>
            <w:tcW w:w="859" w:type="pct"/>
            <w:noWrap/>
            <w:hideMark/>
          </w:tcPr>
          <w:p w14:paraId="3156AB19" w14:textId="77777777" w:rsidR="007C2E48" w:rsidRPr="002D3529" w:rsidRDefault="007C2E48" w:rsidP="00DE1A10">
            <w:pPr>
              <w:spacing w:line="240" w:lineRule="auto"/>
              <w:ind w:firstLine="0"/>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color w:val="000000"/>
                <w:szCs w:val="20"/>
                <w:lang w:eastAsia="pl-PL"/>
              </w:rPr>
              <w:t>Szczecin</w:t>
            </w:r>
          </w:p>
        </w:tc>
        <w:tc>
          <w:tcPr>
            <w:tcW w:w="498" w:type="pct"/>
            <w:noWrap/>
            <w:hideMark/>
          </w:tcPr>
          <w:p w14:paraId="64EEA749"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16,1</w:t>
            </w:r>
          </w:p>
        </w:tc>
        <w:tc>
          <w:tcPr>
            <w:tcW w:w="434" w:type="pct"/>
            <w:noWrap/>
            <w:hideMark/>
          </w:tcPr>
          <w:p w14:paraId="3294871E"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401,9</w:t>
            </w:r>
          </w:p>
        </w:tc>
        <w:tc>
          <w:tcPr>
            <w:tcW w:w="503" w:type="pct"/>
          </w:tcPr>
          <w:p w14:paraId="07105D73"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Calibri" w:hAnsi="Sabon Next LT" w:cs="Sabon Next LT"/>
                <w:color w:val="000000"/>
                <w:szCs w:val="20"/>
                <w:lang w:eastAsia="en-US"/>
              </w:rPr>
              <w:t>3572</w:t>
            </w:r>
          </w:p>
        </w:tc>
        <w:tc>
          <w:tcPr>
            <w:tcW w:w="369" w:type="pct"/>
            <w:noWrap/>
            <w:hideMark/>
          </w:tcPr>
          <w:p w14:paraId="19DDA633"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43,3</w:t>
            </w:r>
          </w:p>
        </w:tc>
        <w:tc>
          <w:tcPr>
            <w:tcW w:w="434" w:type="pct"/>
            <w:noWrap/>
            <w:hideMark/>
          </w:tcPr>
          <w:p w14:paraId="673DA673"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11,51</w:t>
            </w:r>
          </w:p>
        </w:tc>
        <w:tc>
          <w:tcPr>
            <w:tcW w:w="434" w:type="pct"/>
            <w:noWrap/>
            <w:hideMark/>
          </w:tcPr>
          <w:p w14:paraId="43278542"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43,7</w:t>
            </w:r>
          </w:p>
        </w:tc>
        <w:tc>
          <w:tcPr>
            <w:tcW w:w="434" w:type="pct"/>
            <w:noWrap/>
            <w:hideMark/>
          </w:tcPr>
          <w:p w14:paraId="5E301C00" w14:textId="213F2B46" w:rsidR="007C2E48" w:rsidRPr="002D3529" w:rsidRDefault="003D7856" w:rsidP="00DE1A10">
            <w:pPr>
              <w:spacing w:line="240" w:lineRule="auto"/>
              <w:ind w:firstLine="0"/>
              <w:rPr>
                <w:rFonts w:ascii="Sabon Next LT" w:eastAsia="Times New Roman" w:hAnsi="Sabon Next LT" w:cs="Sabon Next LT"/>
                <w:color w:val="000000"/>
                <w:szCs w:val="20"/>
                <w:lang w:eastAsia="pl-PL"/>
              </w:rPr>
            </w:pPr>
            <w:r>
              <w:rPr>
                <w:rFonts w:ascii="Sabon Next LT" w:eastAsia="Times New Roman" w:hAnsi="Sabon Next LT" w:cs="Sabon Next LT"/>
                <w:color w:val="000000"/>
                <w:szCs w:val="20"/>
                <w:lang w:eastAsia="pl-PL"/>
              </w:rPr>
              <w:t>3,23</w:t>
            </w:r>
          </w:p>
        </w:tc>
        <w:tc>
          <w:tcPr>
            <w:tcW w:w="302" w:type="pct"/>
            <w:noWrap/>
            <w:hideMark/>
          </w:tcPr>
          <w:p w14:paraId="76AF22D5"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37</w:t>
            </w:r>
          </w:p>
        </w:tc>
        <w:tc>
          <w:tcPr>
            <w:tcW w:w="369" w:type="pct"/>
            <w:noWrap/>
            <w:hideMark/>
          </w:tcPr>
          <w:p w14:paraId="37D848BB"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13,9</w:t>
            </w:r>
          </w:p>
        </w:tc>
        <w:tc>
          <w:tcPr>
            <w:tcW w:w="365" w:type="pct"/>
            <w:noWrap/>
            <w:hideMark/>
          </w:tcPr>
          <w:p w14:paraId="7F6AF171"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32</w:t>
            </w:r>
          </w:p>
        </w:tc>
      </w:tr>
      <w:tr w:rsidR="007C2E48" w:rsidRPr="000D63C6" w14:paraId="65631534" w14:textId="77777777" w:rsidTr="00DE1A10">
        <w:trPr>
          <w:trHeight w:val="722"/>
        </w:trPr>
        <w:tc>
          <w:tcPr>
            <w:tcW w:w="859" w:type="pct"/>
            <w:noWrap/>
            <w:hideMark/>
          </w:tcPr>
          <w:p w14:paraId="325D91EB" w14:textId="77777777" w:rsidR="007C2E48" w:rsidRPr="002D3529" w:rsidRDefault="007C2E48" w:rsidP="00DE1A10">
            <w:pPr>
              <w:spacing w:line="240" w:lineRule="auto"/>
              <w:ind w:firstLine="0"/>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color w:val="000000"/>
                <w:szCs w:val="20"/>
                <w:lang w:eastAsia="pl-PL"/>
              </w:rPr>
              <w:t>Sosnowiec</w:t>
            </w:r>
          </w:p>
        </w:tc>
        <w:tc>
          <w:tcPr>
            <w:tcW w:w="498" w:type="pct"/>
            <w:noWrap/>
            <w:hideMark/>
          </w:tcPr>
          <w:p w14:paraId="4AB3B60B"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9,7</w:t>
            </w:r>
          </w:p>
        </w:tc>
        <w:tc>
          <w:tcPr>
            <w:tcW w:w="434" w:type="pct"/>
            <w:noWrap/>
            <w:hideMark/>
          </w:tcPr>
          <w:p w14:paraId="6B5B9D62"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200</w:t>
            </w:r>
          </w:p>
        </w:tc>
        <w:tc>
          <w:tcPr>
            <w:tcW w:w="503" w:type="pct"/>
          </w:tcPr>
          <w:p w14:paraId="34B1AD31"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Calibri" w:hAnsi="Sabon Next LT" w:cs="Sabon Next LT"/>
                <w:color w:val="000000"/>
                <w:szCs w:val="20"/>
                <w:lang w:eastAsia="en-US"/>
              </w:rPr>
              <w:t>2798,9</w:t>
            </w:r>
          </w:p>
        </w:tc>
        <w:tc>
          <w:tcPr>
            <w:tcW w:w="369" w:type="pct"/>
            <w:noWrap/>
            <w:hideMark/>
          </w:tcPr>
          <w:p w14:paraId="1F4DFC8E"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45,4</w:t>
            </w:r>
          </w:p>
        </w:tc>
        <w:tc>
          <w:tcPr>
            <w:tcW w:w="434" w:type="pct"/>
            <w:noWrap/>
            <w:hideMark/>
          </w:tcPr>
          <w:p w14:paraId="0DDE9F91"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12,75</w:t>
            </w:r>
          </w:p>
        </w:tc>
        <w:tc>
          <w:tcPr>
            <w:tcW w:w="434" w:type="pct"/>
            <w:noWrap/>
            <w:hideMark/>
          </w:tcPr>
          <w:p w14:paraId="309C3832"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44,61</w:t>
            </w:r>
          </w:p>
        </w:tc>
        <w:tc>
          <w:tcPr>
            <w:tcW w:w="434" w:type="pct"/>
            <w:noWrap/>
            <w:hideMark/>
          </w:tcPr>
          <w:p w14:paraId="7424AAAE" w14:textId="0EB25236" w:rsidR="007C2E48" w:rsidRPr="002D3529" w:rsidRDefault="003D7856" w:rsidP="00DE1A10">
            <w:pPr>
              <w:spacing w:line="240" w:lineRule="auto"/>
              <w:ind w:firstLine="0"/>
              <w:rPr>
                <w:rFonts w:ascii="Sabon Next LT" w:eastAsia="Times New Roman" w:hAnsi="Sabon Next LT" w:cs="Sabon Next LT"/>
                <w:color w:val="000000"/>
                <w:szCs w:val="20"/>
                <w:lang w:eastAsia="pl-PL"/>
              </w:rPr>
            </w:pPr>
            <w:r>
              <w:rPr>
                <w:rFonts w:ascii="Sabon Next LT" w:eastAsia="Times New Roman" w:hAnsi="Sabon Next LT" w:cs="Sabon Next LT"/>
                <w:color w:val="000000"/>
                <w:szCs w:val="20"/>
                <w:lang w:eastAsia="pl-PL"/>
              </w:rPr>
              <w:t>0,69</w:t>
            </w:r>
          </w:p>
        </w:tc>
        <w:tc>
          <w:tcPr>
            <w:tcW w:w="302" w:type="pct"/>
            <w:noWrap/>
            <w:hideMark/>
          </w:tcPr>
          <w:p w14:paraId="3DB4D138"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28</w:t>
            </w:r>
          </w:p>
        </w:tc>
        <w:tc>
          <w:tcPr>
            <w:tcW w:w="369" w:type="pct"/>
            <w:noWrap/>
            <w:hideMark/>
          </w:tcPr>
          <w:p w14:paraId="5CCB1C7F"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4,1</w:t>
            </w:r>
          </w:p>
        </w:tc>
        <w:tc>
          <w:tcPr>
            <w:tcW w:w="365" w:type="pct"/>
            <w:noWrap/>
            <w:hideMark/>
          </w:tcPr>
          <w:p w14:paraId="77111517"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0</w:t>
            </w:r>
          </w:p>
        </w:tc>
      </w:tr>
      <w:tr w:rsidR="007C2E48" w:rsidRPr="000D63C6" w14:paraId="61275EC3" w14:textId="77777777" w:rsidTr="00DE1A10">
        <w:trPr>
          <w:trHeight w:val="722"/>
        </w:trPr>
        <w:tc>
          <w:tcPr>
            <w:tcW w:w="859" w:type="pct"/>
            <w:noWrap/>
            <w:hideMark/>
          </w:tcPr>
          <w:p w14:paraId="253163DA" w14:textId="77777777" w:rsidR="007C2E48" w:rsidRPr="002D3529" w:rsidRDefault="007C2E48" w:rsidP="00DE1A10">
            <w:pPr>
              <w:spacing w:line="240" w:lineRule="auto"/>
              <w:ind w:firstLine="0"/>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color w:val="000000"/>
                <w:szCs w:val="20"/>
                <w:lang w:eastAsia="pl-PL"/>
              </w:rPr>
              <w:t>Rzeszow</w:t>
            </w:r>
          </w:p>
        </w:tc>
        <w:tc>
          <w:tcPr>
            <w:tcW w:w="498" w:type="pct"/>
            <w:noWrap/>
            <w:hideMark/>
          </w:tcPr>
          <w:p w14:paraId="72D0749D"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141,99</w:t>
            </w:r>
          </w:p>
        </w:tc>
        <w:tc>
          <w:tcPr>
            <w:tcW w:w="434" w:type="pct"/>
            <w:noWrap/>
            <w:hideMark/>
          </w:tcPr>
          <w:p w14:paraId="4216A3BF"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196,2</w:t>
            </w:r>
          </w:p>
        </w:tc>
        <w:tc>
          <w:tcPr>
            <w:tcW w:w="503" w:type="pct"/>
          </w:tcPr>
          <w:p w14:paraId="7994A1D6"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Calibri" w:hAnsi="Sabon Next LT" w:cs="Sabon Next LT"/>
                <w:color w:val="000000"/>
                <w:szCs w:val="20"/>
                <w:lang w:eastAsia="en-US"/>
              </w:rPr>
              <w:t>3375,7</w:t>
            </w:r>
          </w:p>
        </w:tc>
        <w:tc>
          <w:tcPr>
            <w:tcW w:w="369" w:type="pct"/>
            <w:noWrap/>
            <w:hideMark/>
          </w:tcPr>
          <w:p w14:paraId="56118B92"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39,1</w:t>
            </w:r>
          </w:p>
        </w:tc>
        <w:tc>
          <w:tcPr>
            <w:tcW w:w="434" w:type="pct"/>
            <w:noWrap/>
            <w:hideMark/>
          </w:tcPr>
          <w:p w14:paraId="7A24518D"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7,89</w:t>
            </w:r>
          </w:p>
        </w:tc>
        <w:tc>
          <w:tcPr>
            <w:tcW w:w="434" w:type="pct"/>
            <w:noWrap/>
            <w:hideMark/>
          </w:tcPr>
          <w:p w14:paraId="5E59958B"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51,49</w:t>
            </w:r>
          </w:p>
        </w:tc>
        <w:tc>
          <w:tcPr>
            <w:tcW w:w="434" w:type="pct"/>
            <w:noWrap/>
            <w:hideMark/>
          </w:tcPr>
          <w:p w14:paraId="2DCAD123" w14:textId="34CF7792"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23,</w:t>
            </w:r>
            <w:r w:rsidR="003D7856">
              <w:rPr>
                <w:rFonts w:ascii="Sabon Next LT" w:eastAsia="Times New Roman" w:hAnsi="Sabon Next LT" w:cs="Sabon Next LT"/>
                <w:color w:val="000000"/>
                <w:szCs w:val="20"/>
                <w:lang w:eastAsia="pl-PL"/>
              </w:rPr>
              <w:t>93</w:t>
            </w:r>
          </w:p>
        </w:tc>
        <w:tc>
          <w:tcPr>
            <w:tcW w:w="302" w:type="pct"/>
            <w:noWrap/>
            <w:hideMark/>
          </w:tcPr>
          <w:p w14:paraId="58C5E4CF"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22</w:t>
            </w:r>
          </w:p>
        </w:tc>
        <w:tc>
          <w:tcPr>
            <w:tcW w:w="369" w:type="pct"/>
            <w:noWrap/>
            <w:hideMark/>
          </w:tcPr>
          <w:p w14:paraId="3AE7C2C6"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7,7</w:t>
            </w:r>
          </w:p>
        </w:tc>
        <w:tc>
          <w:tcPr>
            <w:tcW w:w="365" w:type="pct"/>
            <w:noWrap/>
            <w:hideMark/>
          </w:tcPr>
          <w:p w14:paraId="6827FD25"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98</w:t>
            </w:r>
          </w:p>
        </w:tc>
      </w:tr>
      <w:tr w:rsidR="007C2E48" w:rsidRPr="000D63C6" w14:paraId="731C7703" w14:textId="77777777" w:rsidTr="00DE1A10">
        <w:trPr>
          <w:trHeight w:val="722"/>
        </w:trPr>
        <w:tc>
          <w:tcPr>
            <w:tcW w:w="859" w:type="pct"/>
            <w:noWrap/>
            <w:hideMark/>
          </w:tcPr>
          <w:p w14:paraId="3E6B5560" w14:textId="77777777" w:rsidR="007C2E48" w:rsidRPr="002D3529" w:rsidRDefault="007C2E48" w:rsidP="00DE1A10">
            <w:pPr>
              <w:spacing w:line="240" w:lineRule="auto"/>
              <w:ind w:firstLine="0"/>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color w:val="000000"/>
                <w:szCs w:val="20"/>
                <w:lang w:eastAsia="pl-PL"/>
              </w:rPr>
              <w:t>Radom</w:t>
            </w:r>
          </w:p>
        </w:tc>
        <w:tc>
          <w:tcPr>
            <w:tcW w:w="498" w:type="pct"/>
            <w:noWrap/>
            <w:hideMark/>
          </w:tcPr>
          <w:p w14:paraId="36B72B5A"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22,26</w:t>
            </w:r>
          </w:p>
        </w:tc>
        <w:tc>
          <w:tcPr>
            <w:tcW w:w="434" w:type="pct"/>
            <w:noWrap/>
            <w:hideMark/>
          </w:tcPr>
          <w:p w14:paraId="2C06EF9E"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211,4</w:t>
            </w:r>
          </w:p>
        </w:tc>
        <w:tc>
          <w:tcPr>
            <w:tcW w:w="503" w:type="pct"/>
          </w:tcPr>
          <w:p w14:paraId="212344A9"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Calibri" w:hAnsi="Sabon Next LT" w:cs="Sabon Next LT"/>
                <w:color w:val="000000"/>
                <w:szCs w:val="20"/>
                <w:lang w:eastAsia="en-US"/>
              </w:rPr>
              <w:t>2566,6</w:t>
            </w:r>
          </w:p>
        </w:tc>
        <w:tc>
          <w:tcPr>
            <w:tcW w:w="369" w:type="pct"/>
            <w:noWrap/>
            <w:hideMark/>
          </w:tcPr>
          <w:p w14:paraId="610DCD13"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42,4</w:t>
            </w:r>
          </w:p>
        </w:tc>
        <w:tc>
          <w:tcPr>
            <w:tcW w:w="434" w:type="pct"/>
            <w:noWrap/>
            <w:hideMark/>
          </w:tcPr>
          <w:p w14:paraId="69814F41"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11,15</w:t>
            </w:r>
          </w:p>
        </w:tc>
        <w:tc>
          <w:tcPr>
            <w:tcW w:w="434" w:type="pct"/>
            <w:noWrap/>
            <w:hideMark/>
          </w:tcPr>
          <w:p w14:paraId="20CA6C66"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47,33</w:t>
            </w:r>
          </w:p>
        </w:tc>
        <w:tc>
          <w:tcPr>
            <w:tcW w:w="434" w:type="pct"/>
            <w:noWrap/>
            <w:hideMark/>
          </w:tcPr>
          <w:p w14:paraId="10AD3B3B" w14:textId="29E9BB1E"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7,</w:t>
            </w:r>
            <w:r w:rsidR="003D7856">
              <w:rPr>
                <w:rFonts w:ascii="Sabon Next LT" w:eastAsia="Times New Roman" w:hAnsi="Sabon Next LT" w:cs="Sabon Next LT"/>
                <w:color w:val="000000"/>
                <w:szCs w:val="20"/>
                <w:lang w:eastAsia="pl-PL"/>
              </w:rPr>
              <w:t>48</w:t>
            </w:r>
          </w:p>
        </w:tc>
        <w:tc>
          <w:tcPr>
            <w:tcW w:w="302" w:type="pct"/>
            <w:noWrap/>
            <w:hideMark/>
          </w:tcPr>
          <w:p w14:paraId="60C6066C"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29</w:t>
            </w:r>
          </w:p>
        </w:tc>
        <w:tc>
          <w:tcPr>
            <w:tcW w:w="369" w:type="pct"/>
            <w:noWrap/>
            <w:hideMark/>
          </w:tcPr>
          <w:p w14:paraId="27F13BB9"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74,7</w:t>
            </w:r>
          </w:p>
        </w:tc>
        <w:tc>
          <w:tcPr>
            <w:tcW w:w="365" w:type="pct"/>
            <w:noWrap/>
            <w:hideMark/>
          </w:tcPr>
          <w:p w14:paraId="6C8CDD8E"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6</w:t>
            </w:r>
          </w:p>
        </w:tc>
      </w:tr>
      <w:tr w:rsidR="007C2E48" w:rsidRPr="000D63C6" w14:paraId="40E02940" w14:textId="77777777" w:rsidTr="00DE1A10">
        <w:trPr>
          <w:trHeight w:val="722"/>
        </w:trPr>
        <w:tc>
          <w:tcPr>
            <w:tcW w:w="859" w:type="pct"/>
            <w:noWrap/>
            <w:hideMark/>
          </w:tcPr>
          <w:p w14:paraId="260E939F" w14:textId="77777777" w:rsidR="007C2E48" w:rsidRPr="002D3529" w:rsidRDefault="007C2E48" w:rsidP="00DE1A10">
            <w:pPr>
              <w:spacing w:line="240" w:lineRule="auto"/>
              <w:ind w:firstLine="0"/>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color w:val="000000"/>
                <w:szCs w:val="20"/>
                <w:lang w:eastAsia="pl-PL"/>
              </w:rPr>
              <w:t>Poznan</w:t>
            </w:r>
          </w:p>
        </w:tc>
        <w:tc>
          <w:tcPr>
            <w:tcW w:w="498" w:type="pct"/>
            <w:noWrap/>
            <w:hideMark/>
          </w:tcPr>
          <w:p w14:paraId="1841F309"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17,89</w:t>
            </w:r>
          </w:p>
        </w:tc>
        <w:tc>
          <w:tcPr>
            <w:tcW w:w="434" w:type="pct"/>
            <w:noWrap/>
            <w:hideMark/>
          </w:tcPr>
          <w:p w14:paraId="3515638E"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534,8</w:t>
            </w:r>
          </w:p>
        </w:tc>
        <w:tc>
          <w:tcPr>
            <w:tcW w:w="503" w:type="pct"/>
          </w:tcPr>
          <w:p w14:paraId="10991CC6"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Calibri" w:hAnsi="Sabon Next LT" w:cs="Sabon Next LT"/>
                <w:color w:val="000000"/>
                <w:szCs w:val="20"/>
                <w:lang w:eastAsia="en-US"/>
              </w:rPr>
              <w:t>4592</w:t>
            </w:r>
          </w:p>
        </w:tc>
        <w:tc>
          <w:tcPr>
            <w:tcW w:w="369" w:type="pct"/>
            <w:noWrap/>
            <w:hideMark/>
          </w:tcPr>
          <w:p w14:paraId="5CF197C4"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41,9</w:t>
            </w:r>
          </w:p>
        </w:tc>
        <w:tc>
          <w:tcPr>
            <w:tcW w:w="434" w:type="pct"/>
            <w:noWrap/>
            <w:hideMark/>
          </w:tcPr>
          <w:p w14:paraId="3B58311D"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10,59</w:t>
            </w:r>
          </w:p>
        </w:tc>
        <w:tc>
          <w:tcPr>
            <w:tcW w:w="434" w:type="pct"/>
            <w:noWrap/>
            <w:hideMark/>
          </w:tcPr>
          <w:p w14:paraId="4161097D"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47,96</w:t>
            </w:r>
          </w:p>
        </w:tc>
        <w:tc>
          <w:tcPr>
            <w:tcW w:w="434" w:type="pct"/>
            <w:noWrap/>
            <w:hideMark/>
          </w:tcPr>
          <w:p w14:paraId="42B5E617" w14:textId="7FB04D45" w:rsidR="007C2E48" w:rsidRPr="002D3529" w:rsidRDefault="003D7856" w:rsidP="00DE1A10">
            <w:pPr>
              <w:spacing w:line="240" w:lineRule="auto"/>
              <w:ind w:firstLine="0"/>
              <w:rPr>
                <w:rFonts w:ascii="Sabon Next LT" w:eastAsia="Times New Roman" w:hAnsi="Sabon Next LT" w:cs="Sabon Next LT"/>
                <w:color w:val="000000"/>
                <w:szCs w:val="20"/>
                <w:lang w:eastAsia="pl-PL"/>
              </w:rPr>
            </w:pPr>
            <w:r>
              <w:rPr>
                <w:rFonts w:ascii="Sabon Next LT" w:eastAsia="Times New Roman" w:hAnsi="Sabon Next LT" w:cs="Sabon Next LT"/>
                <w:color w:val="000000"/>
                <w:szCs w:val="20"/>
                <w:lang w:eastAsia="pl-PL"/>
              </w:rPr>
              <w:t>2,22</w:t>
            </w:r>
          </w:p>
        </w:tc>
        <w:tc>
          <w:tcPr>
            <w:tcW w:w="302" w:type="pct"/>
            <w:noWrap/>
            <w:hideMark/>
          </w:tcPr>
          <w:p w14:paraId="5748C67D"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41</w:t>
            </w:r>
          </w:p>
        </w:tc>
        <w:tc>
          <w:tcPr>
            <w:tcW w:w="369" w:type="pct"/>
            <w:noWrap/>
            <w:hideMark/>
          </w:tcPr>
          <w:p w14:paraId="1DF383DA"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41,2</w:t>
            </w:r>
          </w:p>
        </w:tc>
        <w:tc>
          <w:tcPr>
            <w:tcW w:w="365" w:type="pct"/>
            <w:noWrap/>
            <w:hideMark/>
          </w:tcPr>
          <w:p w14:paraId="2215FEE4"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13</w:t>
            </w:r>
          </w:p>
        </w:tc>
      </w:tr>
      <w:tr w:rsidR="007C2E48" w:rsidRPr="000D63C6" w14:paraId="4F56CED1" w14:textId="77777777" w:rsidTr="00DE1A10">
        <w:trPr>
          <w:trHeight w:val="722"/>
        </w:trPr>
        <w:tc>
          <w:tcPr>
            <w:tcW w:w="859" w:type="pct"/>
            <w:noWrap/>
            <w:hideMark/>
          </w:tcPr>
          <w:p w14:paraId="729B4D78" w14:textId="77777777" w:rsidR="007C2E48" w:rsidRPr="002D3529" w:rsidRDefault="007C2E48" w:rsidP="00DE1A10">
            <w:pPr>
              <w:spacing w:line="240" w:lineRule="auto"/>
              <w:ind w:firstLine="0"/>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color w:val="000000"/>
                <w:szCs w:val="20"/>
                <w:lang w:eastAsia="pl-PL"/>
              </w:rPr>
              <w:t>Olsztyn</w:t>
            </w:r>
          </w:p>
        </w:tc>
        <w:tc>
          <w:tcPr>
            <w:tcW w:w="498" w:type="pct"/>
            <w:noWrap/>
            <w:hideMark/>
          </w:tcPr>
          <w:p w14:paraId="4AF7F0E6"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82,45</w:t>
            </w:r>
          </w:p>
        </w:tc>
        <w:tc>
          <w:tcPr>
            <w:tcW w:w="434" w:type="pct"/>
            <w:noWrap/>
            <w:hideMark/>
          </w:tcPr>
          <w:p w14:paraId="24E18E95"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172</w:t>
            </w:r>
          </w:p>
        </w:tc>
        <w:tc>
          <w:tcPr>
            <w:tcW w:w="503" w:type="pct"/>
          </w:tcPr>
          <w:p w14:paraId="7C27BA99"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Calibri" w:hAnsi="Sabon Next LT" w:cs="Sabon Next LT"/>
                <w:color w:val="000000"/>
                <w:szCs w:val="20"/>
                <w:lang w:eastAsia="en-US"/>
              </w:rPr>
              <w:t>3592,6</w:t>
            </w:r>
          </w:p>
        </w:tc>
        <w:tc>
          <w:tcPr>
            <w:tcW w:w="369" w:type="pct"/>
            <w:noWrap/>
            <w:hideMark/>
          </w:tcPr>
          <w:p w14:paraId="1B2E82EF"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41,9</w:t>
            </w:r>
          </w:p>
        </w:tc>
        <w:tc>
          <w:tcPr>
            <w:tcW w:w="434" w:type="pct"/>
            <w:noWrap/>
            <w:hideMark/>
          </w:tcPr>
          <w:p w14:paraId="6261CE55"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9,3</w:t>
            </w:r>
          </w:p>
        </w:tc>
        <w:tc>
          <w:tcPr>
            <w:tcW w:w="434" w:type="pct"/>
            <w:noWrap/>
            <w:hideMark/>
          </w:tcPr>
          <w:p w14:paraId="5D3585F8"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51,27</w:t>
            </w:r>
          </w:p>
        </w:tc>
        <w:tc>
          <w:tcPr>
            <w:tcW w:w="434" w:type="pct"/>
            <w:noWrap/>
            <w:hideMark/>
          </w:tcPr>
          <w:p w14:paraId="696154EE" w14:textId="6BAE5E84" w:rsidR="007C2E48" w:rsidRPr="002D3529" w:rsidRDefault="003D7856" w:rsidP="00DE1A10">
            <w:pPr>
              <w:spacing w:line="240" w:lineRule="auto"/>
              <w:ind w:firstLine="0"/>
              <w:rPr>
                <w:rFonts w:ascii="Sabon Next LT" w:eastAsia="Times New Roman" w:hAnsi="Sabon Next LT" w:cs="Sabon Next LT"/>
                <w:color w:val="000000"/>
                <w:szCs w:val="20"/>
                <w:lang w:eastAsia="pl-PL"/>
              </w:rPr>
            </w:pPr>
            <w:r>
              <w:rPr>
                <w:rFonts w:ascii="Sabon Next LT" w:eastAsia="Times New Roman" w:hAnsi="Sabon Next LT" w:cs="Sabon Next LT"/>
                <w:color w:val="000000"/>
                <w:szCs w:val="20"/>
                <w:lang w:eastAsia="pl-PL"/>
              </w:rPr>
              <w:t>1,25</w:t>
            </w:r>
          </w:p>
        </w:tc>
        <w:tc>
          <w:tcPr>
            <w:tcW w:w="302" w:type="pct"/>
            <w:noWrap/>
            <w:hideMark/>
          </w:tcPr>
          <w:p w14:paraId="5604267F"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44</w:t>
            </w:r>
          </w:p>
        </w:tc>
        <w:tc>
          <w:tcPr>
            <w:tcW w:w="369" w:type="pct"/>
            <w:noWrap/>
            <w:hideMark/>
          </w:tcPr>
          <w:p w14:paraId="7845AF86"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99,9</w:t>
            </w:r>
          </w:p>
        </w:tc>
        <w:tc>
          <w:tcPr>
            <w:tcW w:w="365" w:type="pct"/>
            <w:noWrap/>
            <w:hideMark/>
          </w:tcPr>
          <w:p w14:paraId="246B9C45"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100</w:t>
            </w:r>
          </w:p>
        </w:tc>
      </w:tr>
      <w:tr w:rsidR="007C2E48" w:rsidRPr="000D63C6" w14:paraId="2EC60213" w14:textId="77777777" w:rsidTr="00DE1A10">
        <w:trPr>
          <w:trHeight w:val="722"/>
        </w:trPr>
        <w:tc>
          <w:tcPr>
            <w:tcW w:w="859" w:type="pct"/>
            <w:noWrap/>
            <w:hideMark/>
          </w:tcPr>
          <w:p w14:paraId="50491A44" w14:textId="77777777" w:rsidR="007C2E48" w:rsidRPr="002D3529" w:rsidRDefault="007C2E48" w:rsidP="00DE1A10">
            <w:pPr>
              <w:spacing w:line="240" w:lineRule="auto"/>
              <w:ind w:firstLine="0"/>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color w:val="000000"/>
                <w:szCs w:val="20"/>
                <w:lang w:eastAsia="pl-PL"/>
              </w:rPr>
              <w:t>Lublin</w:t>
            </w:r>
          </w:p>
        </w:tc>
        <w:tc>
          <w:tcPr>
            <w:tcW w:w="498" w:type="pct"/>
            <w:noWrap/>
            <w:hideMark/>
          </w:tcPr>
          <w:p w14:paraId="1F818396"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13,09</w:t>
            </w:r>
          </w:p>
        </w:tc>
        <w:tc>
          <w:tcPr>
            <w:tcW w:w="434" w:type="pct"/>
            <w:noWrap/>
            <w:hideMark/>
          </w:tcPr>
          <w:p w14:paraId="46A1E603"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339,8</w:t>
            </w:r>
          </w:p>
        </w:tc>
        <w:tc>
          <w:tcPr>
            <w:tcW w:w="503" w:type="pct"/>
          </w:tcPr>
          <w:p w14:paraId="4C01D6BC"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Calibri" w:hAnsi="Sabon Next LT" w:cs="Sabon Next LT"/>
                <w:color w:val="000000"/>
                <w:szCs w:val="20"/>
                <w:lang w:eastAsia="en-US"/>
              </w:rPr>
              <w:t>3372,9</w:t>
            </w:r>
          </w:p>
        </w:tc>
        <w:tc>
          <w:tcPr>
            <w:tcW w:w="369" w:type="pct"/>
            <w:noWrap/>
            <w:hideMark/>
          </w:tcPr>
          <w:p w14:paraId="7D97B55F"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42,1</w:t>
            </w:r>
          </w:p>
        </w:tc>
        <w:tc>
          <w:tcPr>
            <w:tcW w:w="434" w:type="pct"/>
            <w:noWrap/>
            <w:hideMark/>
          </w:tcPr>
          <w:p w14:paraId="4015FDDD"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10,25</w:t>
            </w:r>
          </w:p>
        </w:tc>
        <w:tc>
          <w:tcPr>
            <w:tcW w:w="434" w:type="pct"/>
            <w:noWrap/>
            <w:hideMark/>
          </w:tcPr>
          <w:p w14:paraId="26B8E6F8"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47,87</w:t>
            </w:r>
          </w:p>
        </w:tc>
        <w:tc>
          <w:tcPr>
            <w:tcW w:w="434" w:type="pct"/>
            <w:noWrap/>
            <w:hideMark/>
          </w:tcPr>
          <w:p w14:paraId="1E819036" w14:textId="4FE627E4" w:rsidR="007C2E48" w:rsidRPr="002D3529" w:rsidRDefault="003D7856" w:rsidP="00DE1A10">
            <w:pPr>
              <w:spacing w:line="240" w:lineRule="auto"/>
              <w:ind w:firstLine="0"/>
              <w:rPr>
                <w:rFonts w:ascii="Sabon Next LT" w:eastAsia="Times New Roman" w:hAnsi="Sabon Next LT" w:cs="Sabon Next LT"/>
                <w:color w:val="000000"/>
                <w:szCs w:val="20"/>
                <w:lang w:eastAsia="pl-PL"/>
              </w:rPr>
            </w:pPr>
            <w:r>
              <w:rPr>
                <w:rFonts w:ascii="Sabon Next LT" w:eastAsia="Times New Roman" w:hAnsi="Sabon Next LT" w:cs="Sabon Next LT"/>
                <w:color w:val="000000"/>
                <w:szCs w:val="20"/>
                <w:lang w:eastAsia="pl-PL"/>
              </w:rPr>
              <w:t>16,37</w:t>
            </w:r>
          </w:p>
        </w:tc>
        <w:tc>
          <w:tcPr>
            <w:tcW w:w="302" w:type="pct"/>
            <w:noWrap/>
            <w:hideMark/>
          </w:tcPr>
          <w:p w14:paraId="6B863278"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26</w:t>
            </w:r>
          </w:p>
        </w:tc>
        <w:tc>
          <w:tcPr>
            <w:tcW w:w="369" w:type="pct"/>
            <w:noWrap/>
            <w:hideMark/>
          </w:tcPr>
          <w:p w14:paraId="164B110B"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41</w:t>
            </w:r>
          </w:p>
        </w:tc>
        <w:tc>
          <w:tcPr>
            <w:tcW w:w="365" w:type="pct"/>
            <w:noWrap/>
            <w:hideMark/>
          </w:tcPr>
          <w:p w14:paraId="58D998C1"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45</w:t>
            </w:r>
          </w:p>
        </w:tc>
      </w:tr>
      <w:tr w:rsidR="007C2E48" w:rsidRPr="000D63C6" w14:paraId="6E5ADEBD" w14:textId="77777777" w:rsidTr="00DE1A10">
        <w:trPr>
          <w:trHeight w:val="722"/>
        </w:trPr>
        <w:tc>
          <w:tcPr>
            <w:tcW w:w="859" w:type="pct"/>
            <w:noWrap/>
            <w:hideMark/>
          </w:tcPr>
          <w:p w14:paraId="7D4A6432" w14:textId="77777777" w:rsidR="007C2E48" w:rsidRPr="002D3529" w:rsidRDefault="007C2E48" w:rsidP="00DE1A10">
            <w:pPr>
              <w:spacing w:line="240" w:lineRule="auto"/>
              <w:ind w:firstLine="0"/>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color w:val="000000"/>
                <w:szCs w:val="20"/>
                <w:lang w:eastAsia="pl-PL"/>
              </w:rPr>
              <w:t>Lodz</w:t>
            </w:r>
          </w:p>
        </w:tc>
        <w:tc>
          <w:tcPr>
            <w:tcW w:w="498" w:type="pct"/>
            <w:noWrap/>
            <w:hideMark/>
          </w:tcPr>
          <w:p w14:paraId="29F2D571"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17,68</w:t>
            </w:r>
          </w:p>
        </w:tc>
        <w:tc>
          <w:tcPr>
            <w:tcW w:w="434" w:type="pct"/>
            <w:noWrap/>
            <w:hideMark/>
          </w:tcPr>
          <w:p w14:paraId="63F30C84"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679,9</w:t>
            </w:r>
          </w:p>
        </w:tc>
        <w:tc>
          <w:tcPr>
            <w:tcW w:w="503" w:type="pct"/>
          </w:tcPr>
          <w:p w14:paraId="7E341431"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Calibri" w:hAnsi="Sabon Next LT" w:cs="Sabon Next LT"/>
                <w:color w:val="000000"/>
                <w:szCs w:val="20"/>
                <w:lang w:eastAsia="en-US"/>
              </w:rPr>
              <w:t>3873,5</w:t>
            </w:r>
          </w:p>
        </w:tc>
        <w:tc>
          <w:tcPr>
            <w:tcW w:w="369" w:type="pct"/>
            <w:noWrap/>
            <w:hideMark/>
          </w:tcPr>
          <w:p w14:paraId="2EF79FC0"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45,1</w:t>
            </w:r>
          </w:p>
        </w:tc>
        <w:tc>
          <w:tcPr>
            <w:tcW w:w="434" w:type="pct"/>
            <w:noWrap/>
            <w:hideMark/>
          </w:tcPr>
          <w:p w14:paraId="6CB85DA4"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14,27</w:t>
            </w:r>
          </w:p>
        </w:tc>
        <w:tc>
          <w:tcPr>
            <w:tcW w:w="434" w:type="pct"/>
            <w:noWrap/>
            <w:hideMark/>
          </w:tcPr>
          <w:p w14:paraId="77ED550F"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47,83</w:t>
            </w:r>
          </w:p>
        </w:tc>
        <w:tc>
          <w:tcPr>
            <w:tcW w:w="434" w:type="pct"/>
            <w:noWrap/>
            <w:hideMark/>
          </w:tcPr>
          <w:p w14:paraId="66E523A6" w14:textId="4EECFC43"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12,</w:t>
            </w:r>
            <w:r w:rsidR="003D7856">
              <w:rPr>
                <w:rFonts w:ascii="Sabon Next LT" w:eastAsia="Times New Roman" w:hAnsi="Sabon Next LT" w:cs="Sabon Next LT"/>
                <w:color w:val="000000"/>
                <w:szCs w:val="20"/>
                <w:lang w:eastAsia="pl-PL"/>
              </w:rPr>
              <w:t>97</w:t>
            </w:r>
          </w:p>
        </w:tc>
        <w:tc>
          <w:tcPr>
            <w:tcW w:w="302" w:type="pct"/>
            <w:noWrap/>
            <w:hideMark/>
          </w:tcPr>
          <w:p w14:paraId="7F95733D"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38</w:t>
            </w:r>
          </w:p>
        </w:tc>
        <w:tc>
          <w:tcPr>
            <w:tcW w:w="369" w:type="pct"/>
            <w:noWrap/>
            <w:hideMark/>
          </w:tcPr>
          <w:p w14:paraId="2372E67F"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43,7</w:t>
            </w:r>
          </w:p>
        </w:tc>
        <w:tc>
          <w:tcPr>
            <w:tcW w:w="365" w:type="pct"/>
            <w:noWrap/>
            <w:hideMark/>
          </w:tcPr>
          <w:p w14:paraId="0A014904"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87</w:t>
            </w:r>
          </w:p>
        </w:tc>
      </w:tr>
      <w:tr w:rsidR="007C2E48" w:rsidRPr="000D63C6" w14:paraId="25ABC4C2" w14:textId="77777777" w:rsidTr="00DE1A10">
        <w:trPr>
          <w:trHeight w:val="722"/>
        </w:trPr>
        <w:tc>
          <w:tcPr>
            <w:tcW w:w="859" w:type="pct"/>
            <w:noWrap/>
            <w:hideMark/>
          </w:tcPr>
          <w:p w14:paraId="2F1FF305" w14:textId="77777777" w:rsidR="007C2E48" w:rsidRPr="002D3529" w:rsidRDefault="007C2E48" w:rsidP="00DE1A10">
            <w:pPr>
              <w:spacing w:line="240" w:lineRule="auto"/>
              <w:ind w:firstLine="0"/>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color w:val="000000"/>
                <w:szCs w:val="20"/>
                <w:lang w:eastAsia="pl-PL"/>
              </w:rPr>
              <w:t>Krakow</w:t>
            </w:r>
          </w:p>
        </w:tc>
        <w:tc>
          <w:tcPr>
            <w:tcW w:w="498" w:type="pct"/>
            <w:noWrap/>
            <w:hideMark/>
          </w:tcPr>
          <w:p w14:paraId="77BAD21E"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31,81</w:t>
            </w:r>
          </w:p>
        </w:tc>
        <w:tc>
          <w:tcPr>
            <w:tcW w:w="434" w:type="pct"/>
            <w:noWrap/>
            <w:hideMark/>
          </w:tcPr>
          <w:p w14:paraId="551BB7CB"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779,1</w:t>
            </w:r>
          </w:p>
        </w:tc>
        <w:tc>
          <w:tcPr>
            <w:tcW w:w="503" w:type="pct"/>
          </w:tcPr>
          <w:p w14:paraId="2366B9FE"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Calibri" w:hAnsi="Sabon Next LT" w:cs="Sabon Next LT"/>
                <w:color w:val="000000"/>
                <w:szCs w:val="20"/>
                <w:lang w:eastAsia="en-US"/>
              </w:rPr>
              <w:t>4648,7</w:t>
            </w:r>
          </w:p>
        </w:tc>
        <w:tc>
          <w:tcPr>
            <w:tcW w:w="369" w:type="pct"/>
            <w:noWrap/>
            <w:hideMark/>
          </w:tcPr>
          <w:p w14:paraId="36FA178C"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41,2</w:t>
            </w:r>
          </w:p>
        </w:tc>
        <w:tc>
          <w:tcPr>
            <w:tcW w:w="434" w:type="pct"/>
            <w:noWrap/>
            <w:hideMark/>
          </w:tcPr>
          <w:p w14:paraId="33661A45"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9,95</w:t>
            </w:r>
          </w:p>
        </w:tc>
        <w:tc>
          <w:tcPr>
            <w:tcW w:w="434" w:type="pct"/>
            <w:noWrap/>
            <w:hideMark/>
          </w:tcPr>
          <w:p w14:paraId="6F0A9CAF"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50,16</w:t>
            </w:r>
          </w:p>
        </w:tc>
        <w:tc>
          <w:tcPr>
            <w:tcW w:w="434" w:type="pct"/>
            <w:noWrap/>
            <w:hideMark/>
          </w:tcPr>
          <w:p w14:paraId="0529DAB1" w14:textId="7CC55C0B"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1</w:t>
            </w:r>
            <w:r w:rsidR="00881900">
              <w:rPr>
                <w:rFonts w:ascii="Sabon Next LT" w:eastAsia="Times New Roman" w:hAnsi="Sabon Next LT" w:cs="Sabon Next LT"/>
                <w:color w:val="000000"/>
                <w:szCs w:val="20"/>
                <w:lang w:eastAsia="pl-PL"/>
              </w:rPr>
              <w:t>6,82</w:t>
            </w:r>
          </w:p>
        </w:tc>
        <w:tc>
          <w:tcPr>
            <w:tcW w:w="302" w:type="pct"/>
            <w:noWrap/>
            <w:hideMark/>
          </w:tcPr>
          <w:p w14:paraId="31B7682E"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26</w:t>
            </w:r>
          </w:p>
        </w:tc>
        <w:tc>
          <w:tcPr>
            <w:tcW w:w="369" w:type="pct"/>
            <w:noWrap/>
            <w:hideMark/>
          </w:tcPr>
          <w:p w14:paraId="6424892C"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0,1</w:t>
            </w:r>
          </w:p>
        </w:tc>
        <w:tc>
          <w:tcPr>
            <w:tcW w:w="365" w:type="pct"/>
            <w:noWrap/>
            <w:hideMark/>
          </w:tcPr>
          <w:p w14:paraId="68AF3C5E"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99</w:t>
            </w:r>
          </w:p>
        </w:tc>
      </w:tr>
      <w:tr w:rsidR="007C2E48" w:rsidRPr="000D63C6" w14:paraId="7273AFC6" w14:textId="77777777" w:rsidTr="00DE1A10">
        <w:trPr>
          <w:trHeight w:val="722"/>
        </w:trPr>
        <w:tc>
          <w:tcPr>
            <w:tcW w:w="859" w:type="pct"/>
            <w:noWrap/>
            <w:hideMark/>
          </w:tcPr>
          <w:p w14:paraId="49A7FB73" w14:textId="77777777" w:rsidR="007C2E48" w:rsidRPr="002D3529" w:rsidRDefault="007C2E48" w:rsidP="00DE1A10">
            <w:pPr>
              <w:spacing w:line="240" w:lineRule="auto"/>
              <w:ind w:firstLine="0"/>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color w:val="000000"/>
                <w:szCs w:val="20"/>
                <w:lang w:eastAsia="pl-PL"/>
              </w:rPr>
              <w:t>Kielce</w:t>
            </w:r>
          </w:p>
        </w:tc>
        <w:tc>
          <w:tcPr>
            <w:tcW w:w="498" w:type="pct"/>
            <w:noWrap/>
            <w:hideMark/>
          </w:tcPr>
          <w:p w14:paraId="4C6654BA"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19,74</w:t>
            </w:r>
          </w:p>
        </w:tc>
        <w:tc>
          <w:tcPr>
            <w:tcW w:w="434" w:type="pct"/>
            <w:noWrap/>
            <w:hideMark/>
          </w:tcPr>
          <w:p w14:paraId="0CCD3745"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194,9</w:t>
            </w:r>
          </w:p>
        </w:tc>
        <w:tc>
          <w:tcPr>
            <w:tcW w:w="503" w:type="pct"/>
          </w:tcPr>
          <w:p w14:paraId="37CE016C"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Calibri" w:hAnsi="Sabon Next LT" w:cs="Sabon Next LT"/>
                <w:color w:val="000000"/>
                <w:szCs w:val="20"/>
                <w:lang w:eastAsia="en-US"/>
              </w:rPr>
              <w:t>3356,2</w:t>
            </w:r>
          </w:p>
        </w:tc>
        <w:tc>
          <w:tcPr>
            <w:tcW w:w="369" w:type="pct"/>
            <w:noWrap/>
            <w:hideMark/>
          </w:tcPr>
          <w:p w14:paraId="75195E47"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43,6</w:t>
            </w:r>
          </w:p>
        </w:tc>
        <w:tc>
          <w:tcPr>
            <w:tcW w:w="434" w:type="pct"/>
            <w:noWrap/>
            <w:hideMark/>
          </w:tcPr>
          <w:p w14:paraId="6942C606"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10,64</w:t>
            </w:r>
          </w:p>
        </w:tc>
        <w:tc>
          <w:tcPr>
            <w:tcW w:w="434" w:type="pct"/>
            <w:noWrap/>
            <w:hideMark/>
          </w:tcPr>
          <w:p w14:paraId="41B3B450"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48,72</w:t>
            </w:r>
          </w:p>
        </w:tc>
        <w:tc>
          <w:tcPr>
            <w:tcW w:w="434" w:type="pct"/>
            <w:noWrap/>
            <w:hideMark/>
          </w:tcPr>
          <w:p w14:paraId="26193CA0" w14:textId="2A21EEEF" w:rsidR="007C2E48" w:rsidRPr="002D3529" w:rsidRDefault="00881900" w:rsidP="00DE1A10">
            <w:pPr>
              <w:spacing w:line="240" w:lineRule="auto"/>
              <w:ind w:firstLine="0"/>
              <w:rPr>
                <w:rFonts w:ascii="Sabon Next LT" w:eastAsia="Times New Roman" w:hAnsi="Sabon Next LT" w:cs="Sabon Next LT"/>
                <w:color w:val="000000"/>
                <w:szCs w:val="20"/>
                <w:lang w:eastAsia="pl-PL"/>
              </w:rPr>
            </w:pPr>
            <w:r>
              <w:rPr>
                <w:rFonts w:ascii="Sabon Next LT" w:eastAsia="Times New Roman" w:hAnsi="Sabon Next LT" w:cs="Sabon Next LT"/>
                <w:color w:val="000000"/>
                <w:szCs w:val="20"/>
                <w:lang w:eastAsia="pl-PL"/>
              </w:rPr>
              <w:t>2,09</w:t>
            </w:r>
          </w:p>
        </w:tc>
        <w:tc>
          <w:tcPr>
            <w:tcW w:w="302" w:type="pct"/>
            <w:noWrap/>
            <w:hideMark/>
          </w:tcPr>
          <w:p w14:paraId="31379E9E"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40</w:t>
            </w:r>
          </w:p>
        </w:tc>
        <w:tc>
          <w:tcPr>
            <w:tcW w:w="369" w:type="pct"/>
            <w:noWrap/>
            <w:hideMark/>
          </w:tcPr>
          <w:p w14:paraId="3DCCDABB"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76,2</w:t>
            </w:r>
          </w:p>
        </w:tc>
        <w:tc>
          <w:tcPr>
            <w:tcW w:w="365" w:type="pct"/>
            <w:noWrap/>
            <w:hideMark/>
          </w:tcPr>
          <w:p w14:paraId="76F00EC6"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91</w:t>
            </w:r>
          </w:p>
        </w:tc>
      </w:tr>
      <w:tr w:rsidR="007C2E48" w:rsidRPr="000D63C6" w14:paraId="3C47F2A8" w14:textId="77777777" w:rsidTr="00DE1A10">
        <w:trPr>
          <w:trHeight w:val="722"/>
        </w:trPr>
        <w:tc>
          <w:tcPr>
            <w:tcW w:w="859" w:type="pct"/>
            <w:noWrap/>
            <w:hideMark/>
          </w:tcPr>
          <w:p w14:paraId="5B2B23DB" w14:textId="77777777" w:rsidR="007C2E48" w:rsidRPr="002D3529" w:rsidRDefault="007C2E48" w:rsidP="00DE1A10">
            <w:pPr>
              <w:spacing w:line="240" w:lineRule="auto"/>
              <w:ind w:firstLine="0"/>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color w:val="000000"/>
                <w:szCs w:val="20"/>
                <w:lang w:eastAsia="pl-PL"/>
              </w:rPr>
              <w:t>Katowice</w:t>
            </w:r>
          </w:p>
        </w:tc>
        <w:tc>
          <w:tcPr>
            <w:tcW w:w="498" w:type="pct"/>
            <w:noWrap/>
            <w:hideMark/>
          </w:tcPr>
          <w:p w14:paraId="210B7C2D"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122,46</w:t>
            </w:r>
          </w:p>
        </w:tc>
        <w:tc>
          <w:tcPr>
            <w:tcW w:w="434" w:type="pct"/>
            <w:noWrap/>
            <w:hideMark/>
          </w:tcPr>
          <w:p w14:paraId="50A7883D"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292,8</w:t>
            </w:r>
          </w:p>
        </w:tc>
        <w:tc>
          <w:tcPr>
            <w:tcW w:w="503" w:type="pct"/>
          </w:tcPr>
          <w:p w14:paraId="46226759"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Calibri" w:hAnsi="Sabon Next LT" w:cs="Sabon Next LT"/>
                <w:color w:val="000000"/>
                <w:szCs w:val="20"/>
                <w:lang w:eastAsia="en-US"/>
              </w:rPr>
              <w:t>4441,9</w:t>
            </w:r>
          </w:p>
        </w:tc>
        <w:tc>
          <w:tcPr>
            <w:tcW w:w="369" w:type="pct"/>
            <w:noWrap/>
            <w:hideMark/>
          </w:tcPr>
          <w:p w14:paraId="30E39D58"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44,7</w:t>
            </w:r>
          </w:p>
        </w:tc>
        <w:tc>
          <w:tcPr>
            <w:tcW w:w="434" w:type="pct"/>
            <w:noWrap/>
            <w:hideMark/>
          </w:tcPr>
          <w:p w14:paraId="271814E8"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12,23</w:t>
            </w:r>
          </w:p>
        </w:tc>
        <w:tc>
          <w:tcPr>
            <w:tcW w:w="434" w:type="pct"/>
            <w:noWrap/>
            <w:hideMark/>
          </w:tcPr>
          <w:p w14:paraId="61E6DD40"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45,35</w:t>
            </w:r>
          </w:p>
        </w:tc>
        <w:tc>
          <w:tcPr>
            <w:tcW w:w="434" w:type="pct"/>
            <w:noWrap/>
            <w:hideMark/>
          </w:tcPr>
          <w:p w14:paraId="70C2B956" w14:textId="5271D649" w:rsidR="007C2E48" w:rsidRPr="002D3529" w:rsidRDefault="00881900" w:rsidP="00DE1A10">
            <w:pPr>
              <w:spacing w:line="240" w:lineRule="auto"/>
              <w:ind w:firstLine="0"/>
              <w:rPr>
                <w:rFonts w:ascii="Sabon Next LT" w:eastAsia="Times New Roman" w:hAnsi="Sabon Next LT" w:cs="Sabon Next LT"/>
                <w:color w:val="000000"/>
                <w:szCs w:val="20"/>
                <w:lang w:eastAsia="pl-PL"/>
              </w:rPr>
            </w:pPr>
            <w:r>
              <w:rPr>
                <w:rFonts w:ascii="Sabon Next LT" w:eastAsia="Times New Roman" w:hAnsi="Sabon Next LT" w:cs="Sabon Next LT"/>
                <w:color w:val="000000"/>
                <w:szCs w:val="20"/>
                <w:lang w:eastAsia="pl-PL"/>
              </w:rPr>
              <w:t>4,61</w:t>
            </w:r>
          </w:p>
        </w:tc>
        <w:tc>
          <w:tcPr>
            <w:tcW w:w="302" w:type="pct"/>
            <w:noWrap/>
            <w:hideMark/>
          </w:tcPr>
          <w:p w14:paraId="794D1751"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25</w:t>
            </w:r>
          </w:p>
        </w:tc>
        <w:tc>
          <w:tcPr>
            <w:tcW w:w="369" w:type="pct"/>
            <w:noWrap/>
            <w:hideMark/>
          </w:tcPr>
          <w:p w14:paraId="1D848107"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34,9</w:t>
            </w:r>
          </w:p>
        </w:tc>
        <w:tc>
          <w:tcPr>
            <w:tcW w:w="365" w:type="pct"/>
            <w:noWrap/>
            <w:hideMark/>
          </w:tcPr>
          <w:p w14:paraId="7F56B418"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68</w:t>
            </w:r>
          </w:p>
        </w:tc>
      </w:tr>
      <w:tr w:rsidR="007C2E48" w:rsidRPr="000D63C6" w14:paraId="578EA160" w14:textId="77777777" w:rsidTr="00DE1A10">
        <w:trPr>
          <w:trHeight w:val="722"/>
        </w:trPr>
        <w:tc>
          <w:tcPr>
            <w:tcW w:w="859" w:type="pct"/>
            <w:noWrap/>
            <w:hideMark/>
          </w:tcPr>
          <w:p w14:paraId="2F34ED46" w14:textId="77777777" w:rsidR="007C2E48" w:rsidRPr="002D3529" w:rsidRDefault="007C2E48" w:rsidP="00DE1A10">
            <w:pPr>
              <w:spacing w:line="240" w:lineRule="auto"/>
              <w:ind w:firstLine="0"/>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color w:val="000000"/>
                <w:szCs w:val="20"/>
                <w:lang w:eastAsia="pl-PL"/>
              </w:rPr>
              <w:t>Gliwice</w:t>
            </w:r>
          </w:p>
        </w:tc>
        <w:tc>
          <w:tcPr>
            <w:tcW w:w="498" w:type="pct"/>
            <w:noWrap/>
            <w:hideMark/>
          </w:tcPr>
          <w:p w14:paraId="1C7F72E5"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9,65</w:t>
            </w:r>
          </w:p>
        </w:tc>
        <w:tc>
          <w:tcPr>
            <w:tcW w:w="434" w:type="pct"/>
            <w:noWrap/>
            <w:hideMark/>
          </w:tcPr>
          <w:p w14:paraId="60677436"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178,6</w:t>
            </w:r>
          </w:p>
        </w:tc>
        <w:tc>
          <w:tcPr>
            <w:tcW w:w="503" w:type="pct"/>
          </w:tcPr>
          <w:p w14:paraId="7BE21E38"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Calibri" w:hAnsi="Sabon Next LT" w:cs="Sabon Next LT"/>
                <w:color w:val="000000"/>
                <w:szCs w:val="20"/>
                <w:lang w:eastAsia="en-US"/>
              </w:rPr>
              <w:t>4226,9</w:t>
            </w:r>
          </w:p>
        </w:tc>
        <w:tc>
          <w:tcPr>
            <w:tcW w:w="369" w:type="pct"/>
            <w:noWrap/>
            <w:hideMark/>
          </w:tcPr>
          <w:p w14:paraId="2CAE4C0C"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43,3</w:t>
            </w:r>
          </w:p>
        </w:tc>
        <w:tc>
          <w:tcPr>
            <w:tcW w:w="434" w:type="pct"/>
            <w:noWrap/>
            <w:hideMark/>
          </w:tcPr>
          <w:p w14:paraId="35A82C05"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11,36</w:t>
            </w:r>
          </w:p>
        </w:tc>
        <w:tc>
          <w:tcPr>
            <w:tcW w:w="434" w:type="pct"/>
            <w:noWrap/>
            <w:hideMark/>
          </w:tcPr>
          <w:p w14:paraId="0FAD967C"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43,83</w:t>
            </w:r>
          </w:p>
        </w:tc>
        <w:tc>
          <w:tcPr>
            <w:tcW w:w="434" w:type="pct"/>
            <w:noWrap/>
            <w:hideMark/>
          </w:tcPr>
          <w:p w14:paraId="1172BE49" w14:textId="2B575967" w:rsidR="007C2E48" w:rsidRPr="002D3529" w:rsidRDefault="007C2E48" w:rsidP="00DE1A10">
            <w:pPr>
              <w:spacing w:line="240" w:lineRule="auto"/>
              <w:ind w:firstLine="0"/>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b/>
                <w:bCs/>
                <w:color w:val="000000"/>
                <w:szCs w:val="20"/>
                <w:lang w:eastAsia="pl-PL"/>
              </w:rPr>
              <w:t>NA</w:t>
            </w:r>
            <w:r w:rsidR="0054473C">
              <w:rPr>
                <w:rFonts w:ascii="Sabon Next LT" w:eastAsia="Times New Roman" w:hAnsi="Sabon Next LT" w:cs="Sabon Next LT"/>
                <w:b/>
                <w:bCs/>
                <w:color w:val="000000"/>
                <w:szCs w:val="20"/>
                <w:lang w:eastAsia="pl-PL"/>
              </w:rPr>
              <w:t xml:space="preserve"> </w:t>
            </w:r>
            <w:r w:rsidR="0054473C">
              <w:rPr>
                <w:rFonts w:ascii="Sabon Next LT" w:eastAsia="Times New Roman" w:hAnsi="Sabon Next LT" w:cs="Sabon Next LT"/>
                <w:b/>
                <w:bCs/>
                <w:color w:val="000000"/>
                <w:szCs w:val="20"/>
                <w:lang w:eastAsia="pl-PL"/>
              </w:rPr>
              <w:br/>
            </w:r>
            <w:r w:rsidR="0054473C" w:rsidRPr="0054473C">
              <w:rPr>
                <w:rFonts w:ascii="Sabon Next LT" w:eastAsia="Times New Roman" w:hAnsi="Sabon Next LT" w:cs="Sabon Next LT"/>
                <w:color w:val="000000"/>
                <w:szCs w:val="20"/>
                <w:lang w:eastAsia="pl-PL"/>
              </w:rPr>
              <w:t>(1,39)</w:t>
            </w:r>
          </w:p>
        </w:tc>
        <w:tc>
          <w:tcPr>
            <w:tcW w:w="302" w:type="pct"/>
            <w:noWrap/>
            <w:hideMark/>
          </w:tcPr>
          <w:p w14:paraId="79FAA293"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20</w:t>
            </w:r>
          </w:p>
        </w:tc>
        <w:tc>
          <w:tcPr>
            <w:tcW w:w="369" w:type="pct"/>
            <w:noWrap/>
            <w:hideMark/>
          </w:tcPr>
          <w:p w14:paraId="1F3BDA1D"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71,6</w:t>
            </w:r>
          </w:p>
        </w:tc>
        <w:tc>
          <w:tcPr>
            <w:tcW w:w="365" w:type="pct"/>
            <w:noWrap/>
            <w:hideMark/>
          </w:tcPr>
          <w:p w14:paraId="562B55FD"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69</w:t>
            </w:r>
          </w:p>
        </w:tc>
      </w:tr>
      <w:tr w:rsidR="007C2E48" w:rsidRPr="000D63C6" w14:paraId="1592ADD5" w14:textId="77777777" w:rsidTr="00DE1A10">
        <w:trPr>
          <w:trHeight w:val="722"/>
        </w:trPr>
        <w:tc>
          <w:tcPr>
            <w:tcW w:w="859" w:type="pct"/>
            <w:noWrap/>
            <w:hideMark/>
          </w:tcPr>
          <w:p w14:paraId="15D1D13F" w14:textId="77777777" w:rsidR="007C2E48" w:rsidRPr="002D3529" w:rsidRDefault="007C2E48" w:rsidP="00DE1A10">
            <w:pPr>
              <w:spacing w:line="240" w:lineRule="auto"/>
              <w:ind w:firstLine="0"/>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color w:val="000000"/>
                <w:szCs w:val="20"/>
                <w:lang w:eastAsia="pl-PL"/>
              </w:rPr>
              <w:lastRenderedPageBreak/>
              <w:t>Gdynia</w:t>
            </w:r>
          </w:p>
        </w:tc>
        <w:tc>
          <w:tcPr>
            <w:tcW w:w="498" w:type="pct"/>
            <w:noWrap/>
            <w:hideMark/>
          </w:tcPr>
          <w:p w14:paraId="2D550A8C"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17,1</w:t>
            </w:r>
          </w:p>
        </w:tc>
        <w:tc>
          <w:tcPr>
            <w:tcW w:w="434" w:type="pct"/>
            <w:noWrap/>
            <w:hideMark/>
          </w:tcPr>
          <w:p w14:paraId="32825A3A"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246,3</w:t>
            </w:r>
          </w:p>
        </w:tc>
        <w:tc>
          <w:tcPr>
            <w:tcW w:w="503" w:type="pct"/>
          </w:tcPr>
          <w:p w14:paraId="4DCC33D8"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Calibri" w:hAnsi="Sabon Next LT" w:cs="Sabon Next LT"/>
                <w:color w:val="000000"/>
                <w:szCs w:val="20"/>
                <w:lang w:eastAsia="en-US"/>
              </w:rPr>
              <w:t>4043,8</w:t>
            </w:r>
          </w:p>
        </w:tc>
        <w:tc>
          <w:tcPr>
            <w:tcW w:w="369" w:type="pct"/>
            <w:noWrap/>
            <w:hideMark/>
          </w:tcPr>
          <w:p w14:paraId="2DEDB7F7"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43,5</w:t>
            </w:r>
          </w:p>
        </w:tc>
        <w:tc>
          <w:tcPr>
            <w:tcW w:w="434" w:type="pct"/>
            <w:noWrap/>
            <w:hideMark/>
          </w:tcPr>
          <w:p w14:paraId="13B7580C"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10,65</w:t>
            </w:r>
          </w:p>
        </w:tc>
        <w:tc>
          <w:tcPr>
            <w:tcW w:w="434" w:type="pct"/>
            <w:noWrap/>
            <w:hideMark/>
          </w:tcPr>
          <w:p w14:paraId="7BB98B9D"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52,5</w:t>
            </w:r>
          </w:p>
        </w:tc>
        <w:tc>
          <w:tcPr>
            <w:tcW w:w="434" w:type="pct"/>
            <w:noWrap/>
            <w:hideMark/>
          </w:tcPr>
          <w:p w14:paraId="182DFC46" w14:textId="79C7F588"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0,</w:t>
            </w:r>
            <w:r w:rsidR="00AE03CB">
              <w:rPr>
                <w:rFonts w:ascii="Sabon Next LT" w:eastAsia="Times New Roman" w:hAnsi="Sabon Next LT" w:cs="Sabon Next LT"/>
                <w:color w:val="000000"/>
                <w:szCs w:val="20"/>
                <w:lang w:eastAsia="pl-PL"/>
              </w:rPr>
              <w:t>3</w:t>
            </w:r>
          </w:p>
        </w:tc>
        <w:tc>
          <w:tcPr>
            <w:tcW w:w="302" w:type="pct"/>
            <w:noWrap/>
            <w:hideMark/>
          </w:tcPr>
          <w:p w14:paraId="3733D52F"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39</w:t>
            </w:r>
          </w:p>
        </w:tc>
        <w:tc>
          <w:tcPr>
            <w:tcW w:w="369" w:type="pct"/>
            <w:noWrap/>
            <w:hideMark/>
          </w:tcPr>
          <w:p w14:paraId="5A86380D"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66,1</w:t>
            </w:r>
          </w:p>
        </w:tc>
        <w:tc>
          <w:tcPr>
            <w:tcW w:w="365" w:type="pct"/>
            <w:noWrap/>
            <w:hideMark/>
          </w:tcPr>
          <w:p w14:paraId="6A212B9A"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75</w:t>
            </w:r>
          </w:p>
        </w:tc>
      </w:tr>
      <w:tr w:rsidR="007C2E48" w:rsidRPr="000D63C6" w14:paraId="24E5AD64" w14:textId="77777777" w:rsidTr="00DE1A10">
        <w:trPr>
          <w:trHeight w:val="680"/>
        </w:trPr>
        <w:tc>
          <w:tcPr>
            <w:tcW w:w="859" w:type="pct"/>
            <w:noWrap/>
            <w:hideMark/>
          </w:tcPr>
          <w:p w14:paraId="372373A9" w14:textId="77777777" w:rsidR="007C2E48" w:rsidRPr="002D3529" w:rsidRDefault="007C2E48" w:rsidP="00DE1A10">
            <w:pPr>
              <w:spacing w:before="240" w:line="240" w:lineRule="auto"/>
              <w:ind w:firstLine="0"/>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color w:val="000000"/>
                <w:szCs w:val="20"/>
                <w:lang w:eastAsia="pl-PL"/>
              </w:rPr>
              <w:t>Gdansk</w:t>
            </w:r>
          </w:p>
        </w:tc>
        <w:tc>
          <w:tcPr>
            <w:tcW w:w="498" w:type="pct"/>
            <w:noWrap/>
            <w:hideMark/>
          </w:tcPr>
          <w:p w14:paraId="6618E578" w14:textId="77777777" w:rsidR="007C2E48" w:rsidRPr="002D3529" w:rsidRDefault="007C2E48" w:rsidP="00DE1A10">
            <w:pPr>
              <w:spacing w:before="240"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28,58</w:t>
            </w:r>
          </w:p>
        </w:tc>
        <w:tc>
          <w:tcPr>
            <w:tcW w:w="434" w:type="pct"/>
            <w:noWrap/>
            <w:hideMark/>
          </w:tcPr>
          <w:p w14:paraId="64282CF2" w14:textId="77777777" w:rsidR="007C2E48" w:rsidRPr="002D3529" w:rsidRDefault="007C2E48" w:rsidP="00DE1A10">
            <w:pPr>
              <w:spacing w:before="240"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470,9</w:t>
            </w:r>
          </w:p>
        </w:tc>
        <w:tc>
          <w:tcPr>
            <w:tcW w:w="503" w:type="pct"/>
          </w:tcPr>
          <w:p w14:paraId="74511F85" w14:textId="77777777" w:rsidR="007C2E48" w:rsidRPr="002D3529" w:rsidRDefault="007C2E48" w:rsidP="00DE1A10">
            <w:pPr>
              <w:spacing w:before="240" w:line="240" w:lineRule="auto"/>
              <w:ind w:firstLine="0"/>
              <w:rPr>
                <w:rFonts w:ascii="Sabon Next LT" w:eastAsia="Times New Roman" w:hAnsi="Sabon Next LT" w:cs="Sabon Next LT"/>
                <w:color w:val="000000"/>
                <w:szCs w:val="20"/>
                <w:lang w:eastAsia="pl-PL"/>
              </w:rPr>
            </w:pPr>
            <w:r w:rsidRPr="002D3529">
              <w:rPr>
                <w:rFonts w:ascii="Sabon Next LT" w:eastAsia="Calibri" w:hAnsi="Sabon Next LT" w:cs="Sabon Next LT"/>
                <w:color w:val="000000"/>
                <w:szCs w:val="20"/>
                <w:lang w:eastAsia="en-US"/>
              </w:rPr>
              <w:t>4617,2</w:t>
            </w:r>
          </w:p>
        </w:tc>
        <w:tc>
          <w:tcPr>
            <w:tcW w:w="369" w:type="pct"/>
            <w:noWrap/>
            <w:hideMark/>
          </w:tcPr>
          <w:p w14:paraId="673328D3" w14:textId="77777777" w:rsidR="007C2E48" w:rsidRPr="002D3529" w:rsidRDefault="007C2E48" w:rsidP="00DE1A10">
            <w:pPr>
              <w:spacing w:before="240"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41,7</w:t>
            </w:r>
          </w:p>
        </w:tc>
        <w:tc>
          <w:tcPr>
            <w:tcW w:w="434" w:type="pct"/>
            <w:noWrap/>
            <w:hideMark/>
          </w:tcPr>
          <w:p w14:paraId="30B21C11" w14:textId="77777777" w:rsidR="007C2E48" w:rsidRPr="002D3529" w:rsidRDefault="007C2E48" w:rsidP="00DE1A10">
            <w:pPr>
              <w:spacing w:before="240"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10,88</w:t>
            </w:r>
          </w:p>
        </w:tc>
        <w:tc>
          <w:tcPr>
            <w:tcW w:w="434" w:type="pct"/>
            <w:noWrap/>
            <w:hideMark/>
          </w:tcPr>
          <w:p w14:paraId="3BEB83DB" w14:textId="77777777" w:rsidR="007C2E48" w:rsidRPr="002D3529" w:rsidRDefault="007C2E48" w:rsidP="00DE1A10">
            <w:pPr>
              <w:spacing w:before="240"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50,32</w:t>
            </w:r>
          </w:p>
        </w:tc>
        <w:tc>
          <w:tcPr>
            <w:tcW w:w="434" w:type="pct"/>
            <w:noWrap/>
            <w:hideMark/>
          </w:tcPr>
          <w:p w14:paraId="552E2D91" w14:textId="72E6F3DD" w:rsidR="007C2E48" w:rsidRPr="002D3529" w:rsidRDefault="007C2E48" w:rsidP="00DE1A10">
            <w:pPr>
              <w:spacing w:before="240"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5,</w:t>
            </w:r>
            <w:r w:rsidR="00AE03CB">
              <w:rPr>
                <w:rFonts w:ascii="Sabon Next LT" w:eastAsia="Times New Roman" w:hAnsi="Sabon Next LT" w:cs="Sabon Next LT"/>
                <w:color w:val="000000"/>
                <w:szCs w:val="20"/>
                <w:lang w:eastAsia="pl-PL"/>
              </w:rPr>
              <w:t>5</w:t>
            </w:r>
            <w:r w:rsidRPr="002D3529">
              <w:rPr>
                <w:rFonts w:ascii="Sabon Next LT" w:eastAsia="Times New Roman" w:hAnsi="Sabon Next LT" w:cs="Sabon Next LT"/>
                <w:color w:val="000000"/>
                <w:szCs w:val="20"/>
                <w:lang w:eastAsia="pl-PL"/>
              </w:rPr>
              <w:t>7</w:t>
            </w:r>
          </w:p>
        </w:tc>
        <w:tc>
          <w:tcPr>
            <w:tcW w:w="302" w:type="pct"/>
            <w:noWrap/>
            <w:hideMark/>
          </w:tcPr>
          <w:p w14:paraId="6796F8AD" w14:textId="77777777" w:rsidR="007C2E48" w:rsidRPr="002D3529" w:rsidRDefault="007C2E48" w:rsidP="00DE1A10">
            <w:pPr>
              <w:spacing w:before="240"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32</w:t>
            </w:r>
          </w:p>
        </w:tc>
        <w:tc>
          <w:tcPr>
            <w:tcW w:w="369" w:type="pct"/>
            <w:noWrap/>
            <w:hideMark/>
          </w:tcPr>
          <w:p w14:paraId="25CEFF5B" w14:textId="77777777" w:rsidR="007C2E48" w:rsidRPr="002D3529" w:rsidRDefault="007C2E48" w:rsidP="00DE1A10">
            <w:pPr>
              <w:spacing w:before="240"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81,7</w:t>
            </w:r>
          </w:p>
        </w:tc>
        <w:tc>
          <w:tcPr>
            <w:tcW w:w="365" w:type="pct"/>
            <w:noWrap/>
            <w:hideMark/>
          </w:tcPr>
          <w:p w14:paraId="11271F3A" w14:textId="77777777" w:rsidR="007C2E48" w:rsidRPr="002D3529" w:rsidRDefault="007C2E48" w:rsidP="00DE1A10">
            <w:pPr>
              <w:spacing w:before="240"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83</w:t>
            </w:r>
          </w:p>
        </w:tc>
      </w:tr>
      <w:tr w:rsidR="007C2E48" w:rsidRPr="000D63C6" w14:paraId="661FAAEA" w14:textId="77777777" w:rsidTr="00DE1A10">
        <w:trPr>
          <w:trHeight w:val="722"/>
        </w:trPr>
        <w:tc>
          <w:tcPr>
            <w:tcW w:w="859" w:type="pct"/>
            <w:noWrap/>
            <w:hideMark/>
          </w:tcPr>
          <w:p w14:paraId="1A39AD72" w14:textId="77777777" w:rsidR="007C2E48" w:rsidRPr="002D3529" w:rsidRDefault="007C2E48" w:rsidP="00DE1A10">
            <w:pPr>
              <w:spacing w:line="240" w:lineRule="auto"/>
              <w:ind w:firstLine="0"/>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color w:val="000000"/>
                <w:szCs w:val="20"/>
                <w:lang w:eastAsia="pl-PL"/>
              </w:rPr>
              <w:t>Czestochowa</w:t>
            </w:r>
          </w:p>
        </w:tc>
        <w:tc>
          <w:tcPr>
            <w:tcW w:w="498" w:type="pct"/>
            <w:noWrap/>
            <w:hideMark/>
          </w:tcPr>
          <w:p w14:paraId="31BFB945"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12,26</w:t>
            </w:r>
          </w:p>
        </w:tc>
        <w:tc>
          <w:tcPr>
            <w:tcW w:w="434" w:type="pct"/>
            <w:noWrap/>
            <w:hideMark/>
          </w:tcPr>
          <w:p w14:paraId="23335127"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220,4</w:t>
            </w:r>
          </w:p>
        </w:tc>
        <w:tc>
          <w:tcPr>
            <w:tcW w:w="503" w:type="pct"/>
          </w:tcPr>
          <w:p w14:paraId="02BD0AC8"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Calibri" w:hAnsi="Sabon Next LT" w:cs="Sabon Next LT"/>
                <w:color w:val="000000"/>
                <w:szCs w:val="20"/>
                <w:lang w:eastAsia="en-US"/>
              </w:rPr>
              <w:t>2973,3</w:t>
            </w:r>
          </w:p>
        </w:tc>
        <w:tc>
          <w:tcPr>
            <w:tcW w:w="369" w:type="pct"/>
            <w:noWrap/>
            <w:hideMark/>
          </w:tcPr>
          <w:p w14:paraId="29534451"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45,3</w:t>
            </w:r>
          </w:p>
        </w:tc>
        <w:tc>
          <w:tcPr>
            <w:tcW w:w="434" w:type="pct"/>
            <w:noWrap/>
            <w:hideMark/>
          </w:tcPr>
          <w:p w14:paraId="7A70B0F7"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12,93</w:t>
            </w:r>
          </w:p>
        </w:tc>
        <w:tc>
          <w:tcPr>
            <w:tcW w:w="434" w:type="pct"/>
            <w:noWrap/>
            <w:hideMark/>
          </w:tcPr>
          <w:p w14:paraId="5041E6E5"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48,63</w:t>
            </w:r>
          </w:p>
        </w:tc>
        <w:tc>
          <w:tcPr>
            <w:tcW w:w="434" w:type="pct"/>
            <w:noWrap/>
            <w:hideMark/>
          </w:tcPr>
          <w:p w14:paraId="0B43C014" w14:textId="48E52FEE" w:rsidR="007C2E48" w:rsidRPr="002D3529" w:rsidRDefault="00AE03CB" w:rsidP="00DE1A10">
            <w:pPr>
              <w:spacing w:line="240" w:lineRule="auto"/>
              <w:ind w:firstLine="0"/>
              <w:rPr>
                <w:rFonts w:ascii="Sabon Next LT" w:eastAsia="Times New Roman" w:hAnsi="Sabon Next LT" w:cs="Sabon Next LT"/>
                <w:color w:val="000000"/>
                <w:szCs w:val="20"/>
                <w:lang w:eastAsia="pl-PL"/>
              </w:rPr>
            </w:pPr>
            <w:r>
              <w:rPr>
                <w:rFonts w:ascii="Sabon Next LT" w:eastAsia="Times New Roman" w:hAnsi="Sabon Next LT" w:cs="Sabon Next LT"/>
                <w:color w:val="000000"/>
                <w:szCs w:val="20"/>
                <w:lang w:eastAsia="pl-PL"/>
              </w:rPr>
              <w:t>4,62</w:t>
            </w:r>
          </w:p>
        </w:tc>
        <w:tc>
          <w:tcPr>
            <w:tcW w:w="302" w:type="pct"/>
            <w:noWrap/>
            <w:hideMark/>
          </w:tcPr>
          <w:p w14:paraId="412C6D6C"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43</w:t>
            </w:r>
          </w:p>
        </w:tc>
        <w:tc>
          <w:tcPr>
            <w:tcW w:w="369" w:type="pct"/>
            <w:noWrap/>
            <w:hideMark/>
          </w:tcPr>
          <w:p w14:paraId="606E9DE0"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83,1</w:t>
            </w:r>
          </w:p>
        </w:tc>
        <w:tc>
          <w:tcPr>
            <w:tcW w:w="365" w:type="pct"/>
            <w:noWrap/>
            <w:hideMark/>
          </w:tcPr>
          <w:p w14:paraId="0EAB8BD2"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87</w:t>
            </w:r>
          </w:p>
        </w:tc>
      </w:tr>
      <w:tr w:rsidR="007C2E48" w:rsidRPr="000D63C6" w14:paraId="0EF6DABE" w14:textId="77777777" w:rsidTr="00DE1A10">
        <w:trPr>
          <w:trHeight w:val="722"/>
        </w:trPr>
        <w:tc>
          <w:tcPr>
            <w:tcW w:w="859" w:type="pct"/>
            <w:noWrap/>
            <w:hideMark/>
          </w:tcPr>
          <w:p w14:paraId="67ECB29D" w14:textId="77777777" w:rsidR="007C2E48" w:rsidRPr="002D3529" w:rsidRDefault="007C2E48" w:rsidP="00DE1A10">
            <w:pPr>
              <w:spacing w:line="240" w:lineRule="auto"/>
              <w:ind w:firstLine="0"/>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color w:val="000000"/>
                <w:szCs w:val="20"/>
                <w:lang w:eastAsia="pl-PL"/>
              </w:rPr>
              <w:t>Bytom</w:t>
            </w:r>
          </w:p>
        </w:tc>
        <w:tc>
          <w:tcPr>
            <w:tcW w:w="498" w:type="pct"/>
            <w:noWrap/>
            <w:hideMark/>
          </w:tcPr>
          <w:p w14:paraId="7E8D288B"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15,74</w:t>
            </w:r>
          </w:p>
        </w:tc>
        <w:tc>
          <w:tcPr>
            <w:tcW w:w="434" w:type="pct"/>
            <w:noWrap/>
            <w:hideMark/>
          </w:tcPr>
          <w:p w14:paraId="085951D6"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165,3</w:t>
            </w:r>
          </w:p>
        </w:tc>
        <w:tc>
          <w:tcPr>
            <w:tcW w:w="503" w:type="pct"/>
          </w:tcPr>
          <w:p w14:paraId="65A54399"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Calibri" w:hAnsi="Sabon Next LT" w:cs="Sabon Next LT"/>
                <w:color w:val="000000"/>
                <w:szCs w:val="20"/>
                <w:lang w:eastAsia="en-US"/>
              </w:rPr>
              <w:t>2522</w:t>
            </w:r>
          </w:p>
        </w:tc>
        <w:tc>
          <w:tcPr>
            <w:tcW w:w="369" w:type="pct"/>
            <w:noWrap/>
            <w:hideMark/>
          </w:tcPr>
          <w:p w14:paraId="101F4204"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43,5</w:t>
            </w:r>
          </w:p>
        </w:tc>
        <w:tc>
          <w:tcPr>
            <w:tcW w:w="434" w:type="pct"/>
            <w:noWrap/>
            <w:hideMark/>
          </w:tcPr>
          <w:p w14:paraId="1A34497B"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12,55</w:t>
            </w:r>
          </w:p>
        </w:tc>
        <w:tc>
          <w:tcPr>
            <w:tcW w:w="434" w:type="pct"/>
            <w:noWrap/>
            <w:hideMark/>
          </w:tcPr>
          <w:p w14:paraId="62F3A5BC"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38,64</w:t>
            </w:r>
          </w:p>
        </w:tc>
        <w:tc>
          <w:tcPr>
            <w:tcW w:w="434" w:type="pct"/>
            <w:noWrap/>
            <w:hideMark/>
          </w:tcPr>
          <w:p w14:paraId="382A0406" w14:textId="57EA7E09" w:rsidR="007C2E48" w:rsidRPr="002D3529" w:rsidRDefault="00AE03CB" w:rsidP="00DE1A10">
            <w:pPr>
              <w:spacing w:line="240" w:lineRule="auto"/>
              <w:ind w:firstLine="0"/>
              <w:rPr>
                <w:rFonts w:ascii="Sabon Next LT" w:eastAsia="Times New Roman" w:hAnsi="Sabon Next LT" w:cs="Sabon Next LT"/>
                <w:color w:val="000000"/>
                <w:szCs w:val="20"/>
                <w:lang w:eastAsia="pl-PL"/>
              </w:rPr>
            </w:pPr>
            <w:r>
              <w:rPr>
                <w:rFonts w:ascii="Sabon Next LT" w:eastAsia="Times New Roman" w:hAnsi="Sabon Next LT" w:cs="Sabon Next LT"/>
                <w:color w:val="000000"/>
                <w:szCs w:val="20"/>
                <w:lang w:eastAsia="pl-PL"/>
              </w:rPr>
              <w:t>3,58</w:t>
            </w:r>
          </w:p>
        </w:tc>
        <w:tc>
          <w:tcPr>
            <w:tcW w:w="302" w:type="pct"/>
            <w:noWrap/>
            <w:hideMark/>
          </w:tcPr>
          <w:p w14:paraId="3EE93525"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16</w:t>
            </w:r>
          </w:p>
        </w:tc>
        <w:tc>
          <w:tcPr>
            <w:tcW w:w="369" w:type="pct"/>
            <w:noWrap/>
            <w:hideMark/>
          </w:tcPr>
          <w:p w14:paraId="13A8938D"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69,9</w:t>
            </w:r>
          </w:p>
        </w:tc>
        <w:tc>
          <w:tcPr>
            <w:tcW w:w="365" w:type="pct"/>
            <w:noWrap/>
            <w:hideMark/>
          </w:tcPr>
          <w:p w14:paraId="45314A29"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0</w:t>
            </w:r>
          </w:p>
        </w:tc>
      </w:tr>
      <w:tr w:rsidR="007C2E48" w:rsidRPr="000D63C6" w14:paraId="7FCF0C23" w14:textId="77777777" w:rsidTr="00DE1A10">
        <w:trPr>
          <w:trHeight w:val="722"/>
        </w:trPr>
        <w:tc>
          <w:tcPr>
            <w:tcW w:w="859" w:type="pct"/>
            <w:noWrap/>
            <w:hideMark/>
          </w:tcPr>
          <w:p w14:paraId="2F326851" w14:textId="77777777" w:rsidR="007C2E48" w:rsidRPr="002D3529" w:rsidRDefault="007C2E48" w:rsidP="00DE1A10">
            <w:pPr>
              <w:spacing w:line="240" w:lineRule="auto"/>
              <w:ind w:firstLine="0"/>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color w:val="000000"/>
                <w:szCs w:val="20"/>
                <w:lang w:eastAsia="pl-PL"/>
              </w:rPr>
              <w:t>Bydgoszcz</w:t>
            </w:r>
          </w:p>
        </w:tc>
        <w:tc>
          <w:tcPr>
            <w:tcW w:w="498" w:type="pct"/>
            <w:noWrap/>
            <w:hideMark/>
          </w:tcPr>
          <w:p w14:paraId="3BD8B53B"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87,16</w:t>
            </w:r>
          </w:p>
        </w:tc>
        <w:tc>
          <w:tcPr>
            <w:tcW w:w="434" w:type="pct"/>
            <w:noWrap/>
            <w:hideMark/>
          </w:tcPr>
          <w:p w14:paraId="03AD6F0E"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348,2</w:t>
            </w:r>
          </w:p>
        </w:tc>
        <w:tc>
          <w:tcPr>
            <w:tcW w:w="503" w:type="pct"/>
          </w:tcPr>
          <w:p w14:paraId="2F8A1EAA"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Calibri" w:hAnsi="Sabon Next LT" w:cs="Sabon Next LT"/>
                <w:color w:val="000000"/>
                <w:szCs w:val="20"/>
                <w:lang w:eastAsia="en-US"/>
              </w:rPr>
              <w:t>3439,4</w:t>
            </w:r>
          </w:p>
        </w:tc>
        <w:tc>
          <w:tcPr>
            <w:tcW w:w="369" w:type="pct"/>
            <w:noWrap/>
            <w:hideMark/>
          </w:tcPr>
          <w:p w14:paraId="60C72A89"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43,5</w:t>
            </w:r>
          </w:p>
        </w:tc>
        <w:tc>
          <w:tcPr>
            <w:tcW w:w="434" w:type="pct"/>
            <w:noWrap/>
            <w:hideMark/>
          </w:tcPr>
          <w:p w14:paraId="53B7AE3F"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11,16</w:t>
            </w:r>
          </w:p>
        </w:tc>
        <w:tc>
          <w:tcPr>
            <w:tcW w:w="434" w:type="pct"/>
            <w:noWrap/>
            <w:hideMark/>
          </w:tcPr>
          <w:p w14:paraId="48A496FB"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45,21</w:t>
            </w:r>
          </w:p>
        </w:tc>
        <w:tc>
          <w:tcPr>
            <w:tcW w:w="434" w:type="pct"/>
            <w:noWrap/>
            <w:hideMark/>
          </w:tcPr>
          <w:p w14:paraId="6D40EAD4" w14:textId="6326F3C8" w:rsidR="007C2E48" w:rsidRPr="002D3529" w:rsidRDefault="00AE03CB" w:rsidP="00DE1A10">
            <w:pPr>
              <w:spacing w:line="240" w:lineRule="auto"/>
              <w:ind w:firstLine="0"/>
              <w:rPr>
                <w:rFonts w:ascii="Sabon Next LT" w:eastAsia="Times New Roman" w:hAnsi="Sabon Next LT" w:cs="Sabon Next LT"/>
                <w:color w:val="000000"/>
                <w:szCs w:val="20"/>
                <w:lang w:eastAsia="pl-PL"/>
              </w:rPr>
            </w:pPr>
            <w:r>
              <w:rPr>
                <w:rFonts w:ascii="Sabon Next LT" w:eastAsia="Times New Roman" w:hAnsi="Sabon Next LT" w:cs="Sabon Next LT"/>
                <w:color w:val="000000"/>
                <w:szCs w:val="20"/>
                <w:lang w:eastAsia="pl-PL"/>
              </w:rPr>
              <w:t>7,61</w:t>
            </w:r>
          </w:p>
        </w:tc>
        <w:tc>
          <w:tcPr>
            <w:tcW w:w="302" w:type="pct"/>
            <w:noWrap/>
            <w:hideMark/>
          </w:tcPr>
          <w:p w14:paraId="6E7DCA70"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32</w:t>
            </w:r>
          </w:p>
        </w:tc>
        <w:tc>
          <w:tcPr>
            <w:tcW w:w="369" w:type="pct"/>
            <w:noWrap/>
            <w:hideMark/>
          </w:tcPr>
          <w:p w14:paraId="6ACC1B9A"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3,6</w:t>
            </w:r>
          </w:p>
        </w:tc>
        <w:tc>
          <w:tcPr>
            <w:tcW w:w="365" w:type="pct"/>
            <w:noWrap/>
            <w:hideMark/>
          </w:tcPr>
          <w:p w14:paraId="334BD8F5"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97</w:t>
            </w:r>
          </w:p>
        </w:tc>
      </w:tr>
      <w:tr w:rsidR="007C2E48" w:rsidRPr="000D63C6" w14:paraId="59D6857A" w14:textId="77777777" w:rsidTr="00DE1A10">
        <w:trPr>
          <w:trHeight w:val="722"/>
        </w:trPr>
        <w:tc>
          <w:tcPr>
            <w:tcW w:w="859" w:type="pct"/>
            <w:noWrap/>
            <w:hideMark/>
          </w:tcPr>
          <w:p w14:paraId="45119273" w14:textId="77777777" w:rsidR="007C2E48" w:rsidRPr="002D3529" w:rsidRDefault="007C2E48" w:rsidP="00DE1A10">
            <w:pPr>
              <w:spacing w:line="240" w:lineRule="auto"/>
              <w:ind w:firstLine="0"/>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color w:val="000000"/>
                <w:szCs w:val="20"/>
                <w:lang w:eastAsia="pl-PL"/>
              </w:rPr>
              <w:t>Bielsko-Biala</w:t>
            </w:r>
          </w:p>
        </w:tc>
        <w:tc>
          <w:tcPr>
            <w:tcW w:w="498" w:type="pct"/>
            <w:noWrap/>
            <w:hideMark/>
          </w:tcPr>
          <w:p w14:paraId="4E2C29CE"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6,4</w:t>
            </w:r>
          </w:p>
        </w:tc>
        <w:tc>
          <w:tcPr>
            <w:tcW w:w="434" w:type="pct"/>
            <w:noWrap/>
            <w:hideMark/>
          </w:tcPr>
          <w:p w14:paraId="0F4CB07C"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170,7</w:t>
            </w:r>
          </w:p>
        </w:tc>
        <w:tc>
          <w:tcPr>
            <w:tcW w:w="503" w:type="pct"/>
          </w:tcPr>
          <w:p w14:paraId="0C1B4710"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Calibri" w:hAnsi="Sabon Next LT" w:cs="Sabon Next LT"/>
                <w:color w:val="000000"/>
                <w:szCs w:val="20"/>
                <w:lang w:eastAsia="en-US"/>
              </w:rPr>
              <w:t>3570,1</w:t>
            </w:r>
          </w:p>
        </w:tc>
        <w:tc>
          <w:tcPr>
            <w:tcW w:w="369" w:type="pct"/>
            <w:noWrap/>
            <w:hideMark/>
          </w:tcPr>
          <w:p w14:paraId="0D81E544"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43</w:t>
            </w:r>
          </w:p>
        </w:tc>
        <w:tc>
          <w:tcPr>
            <w:tcW w:w="434" w:type="pct"/>
            <w:noWrap/>
            <w:hideMark/>
          </w:tcPr>
          <w:p w14:paraId="4B451AE0"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10,74</w:t>
            </w:r>
          </w:p>
        </w:tc>
        <w:tc>
          <w:tcPr>
            <w:tcW w:w="434" w:type="pct"/>
            <w:noWrap/>
            <w:hideMark/>
          </w:tcPr>
          <w:p w14:paraId="3524CD8E"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48,66</w:t>
            </w:r>
          </w:p>
        </w:tc>
        <w:tc>
          <w:tcPr>
            <w:tcW w:w="434" w:type="pct"/>
            <w:noWrap/>
            <w:hideMark/>
          </w:tcPr>
          <w:p w14:paraId="5FEE93AE" w14:textId="26C4FFBD" w:rsidR="007C2E48" w:rsidRPr="002D3529" w:rsidRDefault="005919A9" w:rsidP="00DE1A10">
            <w:pPr>
              <w:spacing w:line="240" w:lineRule="auto"/>
              <w:ind w:firstLine="0"/>
              <w:rPr>
                <w:rFonts w:ascii="Sabon Next LT" w:eastAsia="Times New Roman" w:hAnsi="Sabon Next LT" w:cs="Sabon Next LT"/>
                <w:color w:val="000000"/>
                <w:szCs w:val="20"/>
                <w:lang w:eastAsia="pl-PL"/>
              </w:rPr>
            </w:pPr>
            <w:r>
              <w:rPr>
                <w:rFonts w:ascii="Sabon Next LT" w:eastAsia="Times New Roman" w:hAnsi="Sabon Next LT" w:cs="Sabon Next LT"/>
                <w:color w:val="000000"/>
                <w:szCs w:val="20"/>
                <w:lang w:eastAsia="pl-PL"/>
              </w:rPr>
              <w:t>19,22</w:t>
            </w:r>
          </w:p>
        </w:tc>
        <w:tc>
          <w:tcPr>
            <w:tcW w:w="302" w:type="pct"/>
            <w:noWrap/>
            <w:hideMark/>
          </w:tcPr>
          <w:p w14:paraId="5EA464E8"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20</w:t>
            </w:r>
          </w:p>
        </w:tc>
        <w:tc>
          <w:tcPr>
            <w:tcW w:w="369" w:type="pct"/>
            <w:noWrap/>
            <w:hideMark/>
          </w:tcPr>
          <w:p w14:paraId="63C00B4B"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12</w:t>
            </w:r>
          </w:p>
        </w:tc>
        <w:tc>
          <w:tcPr>
            <w:tcW w:w="365" w:type="pct"/>
            <w:noWrap/>
            <w:hideMark/>
          </w:tcPr>
          <w:p w14:paraId="597E357B"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0</w:t>
            </w:r>
          </w:p>
        </w:tc>
      </w:tr>
      <w:tr w:rsidR="007C2E48" w:rsidRPr="000D63C6" w14:paraId="7338B4C9" w14:textId="77777777" w:rsidTr="00DE1A10">
        <w:trPr>
          <w:trHeight w:val="722"/>
        </w:trPr>
        <w:tc>
          <w:tcPr>
            <w:tcW w:w="859" w:type="pct"/>
            <w:tcBorders>
              <w:bottom w:val="single" w:sz="8" w:space="0" w:color="auto"/>
            </w:tcBorders>
            <w:noWrap/>
            <w:hideMark/>
          </w:tcPr>
          <w:p w14:paraId="15CB7257" w14:textId="77777777" w:rsidR="007C2E48" w:rsidRPr="002D3529" w:rsidRDefault="007C2E48" w:rsidP="00DE1A10">
            <w:pPr>
              <w:spacing w:line="240" w:lineRule="auto"/>
              <w:ind w:firstLine="0"/>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color w:val="000000"/>
                <w:szCs w:val="20"/>
                <w:lang w:eastAsia="pl-PL"/>
              </w:rPr>
              <w:t>Bialystok</w:t>
            </w:r>
          </w:p>
        </w:tc>
        <w:tc>
          <w:tcPr>
            <w:tcW w:w="498" w:type="pct"/>
            <w:tcBorders>
              <w:bottom w:val="single" w:sz="8" w:space="0" w:color="auto"/>
            </w:tcBorders>
            <w:noWrap/>
            <w:hideMark/>
          </w:tcPr>
          <w:p w14:paraId="38EE1EFD"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23,76</w:t>
            </w:r>
          </w:p>
        </w:tc>
        <w:tc>
          <w:tcPr>
            <w:tcW w:w="434" w:type="pct"/>
            <w:tcBorders>
              <w:bottom w:val="single" w:sz="8" w:space="0" w:color="auto"/>
            </w:tcBorders>
            <w:noWrap/>
            <w:hideMark/>
          </w:tcPr>
          <w:p w14:paraId="2227B045"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297,6</w:t>
            </w:r>
          </w:p>
        </w:tc>
        <w:tc>
          <w:tcPr>
            <w:tcW w:w="503" w:type="pct"/>
            <w:tcBorders>
              <w:bottom w:val="single" w:sz="8" w:space="0" w:color="auto"/>
            </w:tcBorders>
          </w:tcPr>
          <w:p w14:paraId="67A2112B"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Calibri" w:hAnsi="Sabon Next LT" w:cs="Sabon Next LT"/>
                <w:color w:val="000000"/>
                <w:szCs w:val="20"/>
                <w:lang w:eastAsia="en-US"/>
              </w:rPr>
              <w:t>3260,6</w:t>
            </w:r>
          </w:p>
        </w:tc>
        <w:tc>
          <w:tcPr>
            <w:tcW w:w="369" w:type="pct"/>
            <w:tcBorders>
              <w:bottom w:val="single" w:sz="8" w:space="0" w:color="auto"/>
            </w:tcBorders>
            <w:noWrap/>
            <w:hideMark/>
          </w:tcPr>
          <w:p w14:paraId="4F79911C"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41,1</w:t>
            </w:r>
          </w:p>
        </w:tc>
        <w:tc>
          <w:tcPr>
            <w:tcW w:w="434" w:type="pct"/>
            <w:tcBorders>
              <w:bottom w:val="single" w:sz="8" w:space="0" w:color="auto"/>
            </w:tcBorders>
            <w:noWrap/>
            <w:hideMark/>
          </w:tcPr>
          <w:p w14:paraId="05C0CDFF"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8,65</w:t>
            </w:r>
          </w:p>
        </w:tc>
        <w:tc>
          <w:tcPr>
            <w:tcW w:w="434" w:type="pct"/>
            <w:tcBorders>
              <w:bottom w:val="single" w:sz="8" w:space="0" w:color="auto"/>
            </w:tcBorders>
            <w:noWrap/>
            <w:hideMark/>
          </w:tcPr>
          <w:p w14:paraId="50AB558D"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47,53</w:t>
            </w:r>
          </w:p>
        </w:tc>
        <w:tc>
          <w:tcPr>
            <w:tcW w:w="434" w:type="pct"/>
            <w:tcBorders>
              <w:bottom w:val="single" w:sz="8" w:space="0" w:color="auto"/>
            </w:tcBorders>
            <w:noWrap/>
            <w:hideMark/>
          </w:tcPr>
          <w:p w14:paraId="57FDD89D" w14:textId="7184B949" w:rsidR="007C2E48" w:rsidRPr="002D3529" w:rsidRDefault="005919A9" w:rsidP="00DE1A10">
            <w:pPr>
              <w:spacing w:line="240" w:lineRule="auto"/>
              <w:ind w:firstLine="0"/>
              <w:rPr>
                <w:rFonts w:ascii="Sabon Next LT" w:eastAsia="Times New Roman" w:hAnsi="Sabon Next LT" w:cs="Sabon Next LT"/>
                <w:color w:val="000000"/>
                <w:szCs w:val="20"/>
                <w:lang w:eastAsia="pl-PL"/>
              </w:rPr>
            </w:pPr>
            <w:r>
              <w:rPr>
                <w:rFonts w:ascii="Sabon Next LT" w:eastAsia="Times New Roman" w:hAnsi="Sabon Next LT" w:cs="Sabon Next LT"/>
                <w:color w:val="000000"/>
                <w:szCs w:val="20"/>
                <w:lang w:eastAsia="pl-PL"/>
              </w:rPr>
              <w:t>10,1</w:t>
            </w:r>
          </w:p>
        </w:tc>
        <w:tc>
          <w:tcPr>
            <w:tcW w:w="302" w:type="pct"/>
            <w:tcBorders>
              <w:bottom w:val="single" w:sz="8" w:space="0" w:color="auto"/>
            </w:tcBorders>
            <w:noWrap/>
            <w:hideMark/>
          </w:tcPr>
          <w:p w14:paraId="406BE96F"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36</w:t>
            </w:r>
          </w:p>
        </w:tc>
        <w:tc>
          <w:tcPr>
            <w:tcW w:w="369" w:type="pct"/>
            <w:tcBorders>
              <w:bottom w:val="single" w:sz="8" w:space="0" w:color="auto"/>
            </w:tcBorders>
            <w:noWrap/>
            <w:hideMark/>
          </w:tcPr>
          <w:p w14:paraId="06E71E78"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67,2</w:t>
            </w:r>
          </w:p>
        </w:tc>
        <w:tc>
          <w:tcPr>
            <w:tcW w:w="365" w:type="pct"/>
            <w:tcBorders>
              <w:bottom w:val="single" w:sz="8" w:space="0" w:color="auto"/>
            </w:tcBorders>
            <w:noWrap/>
            <w:hideMark/>
          </w:tcPr>
          <w:p w14:paraId="6B889E95"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98</w:t>
            </w:r>
          </w:p>
        </w:tc>
      </w:tr>
      <w:tr w:rsidR="007C2E48" w:rsidRPr="000D63C6" w14:paraId="5D4F664F" w14:textId="77777777" w:rsidTr="00DE1A10">
        <w:trPr>
          <w:trHeight w:val="502"/>
        </w:trPr>
        <w:tc>
          <w:tcPr>
            <w:tcW w:w="859" w:type="pct"/>
            <w:tcBorders>
              <w:top w:val="single" w:sz="8" w:space="0" w:color="auto"/>
            </w:tcBorders>
            <w:noWrap/>
          </w:tcPr>
          <w:p w14:paraId="617C6A32" w14:textId="77777777" w:rsidR="007C2E48" w:rsidRPr="002D3529" w:rsidRDefault="007C2E48" w:rsidP="00DE1A10">
            <w:pPr>
              <w:spacing w:line="240" w:lineRule="auto"/>
              <w:ind w:firstLine="0"/>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b/>
                <w:bCs/>
                <w:color w:val="000000"/>
                <w:szCs w:val="20"/>
                <w:lang w:eastAsia="pl-PL"/>
              </w:rPr>
              <w:t>Crossover</w:t>
            </w:r>
          </w:p>
          <w:p w14:paraId="7D02DEA5"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b/>
                <w:bCs/>
                <w:color w:val="000000"/>
                <w:szCs w:val="20"/>
                <w:lang w:eastAsia="pl-PL"/>
              </w:rPr>
              <w:t>point:</w:t>
            </w:r>
          </w:p>
        </w:tc>
        <w:tc>
          <w:tcPr>
            <w:tcW w:w="498" w:type="pct"/>
            <w:tcBorders>
              <w:top w:val="single" w:sz="8" w:space="0" w:color="auto"/>
            </w:tcBorders>
            <w:noWrap/>
          </w:tcPr>
          <w:p w14:paraId="72246204"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17,8</w:t>
            </w:r>
          </w:p>
        </w:tc>
        <w:tc>
          <w:tcPr>
            <w:tcW w:w="434" w:type="pct"/>
            <w:tcBorders>
              <w:top w:val="single" w:sz="8" w:space="0" w:color="auto"/>
            </w:tcBorders>
            <w:noWrap/>
          </w:tcPr>
          <w:p w14:paraId="78D119E1"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300</w:t>
            </w:r>
          </w:p>
        </w:tc>
        <w:tc>
          <w:tcPr>
            <w:tcW w:w="503" w:type="pct"/>
            <w:tcBorders>
              <w:top w:val="single" w:sz="8" w:space="0" w:color="auto"/>
            </w:tcBorders>
          </w:tcPr>
          <w:p w14:paraId="08DAB245" w14:textId="77777777" w:rsidR="007C2E48" w:rsidRPr="002D3529" w:rsidRDefault="007C2E48" w:rsidP="00DE1A10">
            <w:pPr>
              <w:spacing w:line="240" w:lineRule="auto"/>
              <w:ind w:firstLine="0"/>
              <w:rPr>
                <w:rFonts w:ascii="Sabon Next LT" w:eastAsia="Calibri" w:hAnsi="Sabon Next LT" w:cs="Sabon Next LT"/>
                <w:color w:val="000000"/>
                <w:szCs w:val="20"/>
                <w:lang w:eastAsia="en-US"/>
              </w:rPr>
            </w:pPr>
            <w:r w:rsidRPr="002D3529">
              <w:rPr>
                <w:rFonts w:ascii="Sabon Next LT" w:eastAsia="Calibri" w:hAnsi="Sabon Next LT" w:cs="Sabon Next LT"/>
                <w:color w:val="000000"/>
                <w:szCs w:val="20"/>
                <w:lang w:eastAsia="en-US"/>
              </w:rPr>
              <w:t>3700</w:t>
            </w:r>
          </w:p>
        </w:tc>
        <w:tc>
          <w:tcPr>
            <w:tcW w:w="369" w:type="pct"/>
            <w:tcBorders>
              <w:top w:val="single" w:sz="8" w:space="0" w:color="auto"/>
            </w:tcBorders>
            <w:noWrap/>
          </w:tcPr>
          <w:p w14:paraId="48F5B956"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42,7</w:t>
            </w:r>
          </w:p>
        </w:tc>
        <w:tc>
          <w:tcPr>
            <w:tcW w:w="434" w:type="pct"/>
            <w:tcBorders>
              <w:top w:val="single" w:sz="8" w:space="0" w:color="auto"/>
            </w:tcBorders>
            <w:noWrap/>
          </w:tcPr>
          <w:p w14:paraId="15D401E5"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10,8</w:t>
            </w:r>
          </w:p>
        </w:tc>
        <w:tc>
          <w:tcPr>
            <w:tcW w:w="434" w:type="pct"/>
            <w:tcBorders>
              <w:top w:val="single" w:sz="8" w:space="0" w:color="auto"/>
            </w:tcBorders>
            <w:noWrap/>
          </w:tcPr>
          <w:p w14:paraId="01596604"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48</w:t>
            </w:r>
          </w:p>
        </w:tc>
        <w:tc>
          <w:tcPr>
            <w:tcW w:w="434" w:type="pct"/>
            <w:tcBorders>
              <w:top w:val="single" w:sz="8" w:space="0" w:color="auto"/>
            </w:tcBorders>
            <w:noWrap/>
          </w:tcPr>
          <w:p w14:paraId="5DAB674A"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8</w:t>
            </w:r>
          </w:p>
        </w:tc>
        <w:tc>
          <w:tcPr>
            <w:tcW w:w="302" w:type="pct"/>
            <w:tcBorders>
              <w:top w:val="single" w:sz="8" w:space="0" w:color="auto"/>
            </w:tcBorders>
            <w:noWrap/>
          </w:tcPr>
          <w:p w14:paraId="13A678CC"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30</w:t>
            </w:r>
          </w:p>
        </w:tc>
        <w:tc>
          <w:tcPr>
            <w:tcW w:w="369" w:type="pct"/>
            <w:tcBorders>
              <w:top w:val="single" w:sz="8" w:space="0" w:color="auto"/>
            </w:tcBorders>
            <w:noWrap/>
          </w:tcPr>
          <w:p w14:paraId="7474F329"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50</w:t>
            </w:r>
          </w:p>
        </w:tc>
        <w:tc>
          <w:tcPr>
            <w:tcW w:w="365" w:type="pct"/>
            <w:tcBorders>
              <w:top w:val="single" w:sz="8" w:space="0" w:color="auto"/>
            </w:tcBorders>
            <w:noWrap/>
          </w:tcPr>
          <w:p w14:paraId="45A16FEB"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70</w:t>
            </w:r>
          </w:p>
        </w:tc>
      </w:tr>
    </w:tbl>
    <w:p w14:paraId="4A14B9AB" w14:textId="77777777" w:rsidR="007C2E48" w:rsidRPr="000D63C6" w:rsidRDefault="007C2E48" w:rsidP="007C2E48">
      <w:pPr>
        <w:spacing w:before="0" w:after="0" w:line="240" w:lineRule="auto"/>
        <w:ind w:firstLine="0"/>
        <w:contextualSpacing/>
        <w:jc w:val="left"/>
        <w:rPr>
          <w:rFonts w:eastAsia="Calibri"/>
          <w:sz w:val="20"/>
          <w:szCs w:val="20"/>
          <w:lang w:eastAsia="en-US"/>
        </w:rPr>
      </w:pPr>
      <w:r w:rsidRPr="000D63C6">
        <w:rPr>
          <w:rFonts w:eastAsia="Calibri"/>
          <w:sz w:val="20"/>
          <w:szCs w:val="20"/>
          <w:lang w:eastAsia="en-US"/>
        </w:rPr>
        <w:t xml:space="preserve">Source: author’s own elaboration. </w:t>
      </w:r>
      <w:r w:rsidRPr="000D63C6">
        <w:rPr>
          <w:rFonts w:eastAsia="Calibri"/>
          <w:sz w:val="20"/>
          <w:szCs w:val="20"/>
          <w:lang w:eastAsia="en-US"/>
        </w:rPr>
        <w:br/>
        <w:t xml:space="preserve">Note:  PHP_EXP for Poznan was manually changed due to a detected reporting mistake, based on the documentation of a wrongly reported programme. </w:t>
      </w:r>
    </w:p>
    <w:p w14:paraId="1823AE37" w14:textId="77777777" w:rsidR="007C2E48" w:rsidRPr="000D63C6" w:rsidRDefault="007C2E48" w:rsidP="007C2E48">
      <w:pPr>
        <w:spacing w:before="0" w:after="0" w:line="240" w:lineRule="auto"/>
        <w:ind w:firstLine="0"/>
        <w:contextualSpacing/>
        <w:jc w:val="left"/>
        <w:rPr>
          <w:rFonts w:eastAsia="Calibri"/>
          <w:sz w:val="20"/>
          <w:szCs w:val="20"/>
          <w:lang w:eastAsia="en-US"/>
        </w:rPr>
      </w:pPr>
      <w:r w:rsidRPr="000D63C6">
        <w:rPr>
          <w:rFonts w:eastAsia="Calibri"/>
          <w:sz w:val="20"/>
          <w:szCs w:val="20"/>
          <w:lang w:eastAsia="en-US"/>
        </w:rPr>
        <w:t xml:space="preserve">Key: </w:t>
      </w:r>
      <w:r w:rsidRPr="000D63C6">
        <w:rPr>
          <w:rFonts w:eastAsia="Calibri"/>
          <w:sz w:val="20"/>
          <w:szCs w:val="20"/>
          <w:lang w:eastAsia="en-US"/>
        </w:rPr>
        <w:br/>
        <w:t xml:space="preserve">PHP_EXP = </w:t>
      </w:r>
      <w:r w:rsidRPr="000D63C6">
        <w:rPr>
          <w:rFonts w:eastAsia="Calibri"/>
          <w:i/>
          <w:iCs/>
          <w:sz w:val="20"/>
          <w:szCs w:val="20"/>
          <w:lang w:eastAsia="en-US"/>
        </w:rPr>
        <w:t>Per capita</w:t>
      </w:r>
      <w:r w:rsidRPr="000D63C6">
        <w:rPr>
          <w:rFonts w:eastAsia="Calibri"/>
          <w:sz w:val="20"/>
          <w:szCs w:val="20"/>
          <w:lang w:eastAsia="en-US"/>
        </w:rPr>
        <w:t xml:space="preserve"> expenditure on public health programmes in 2019 in Polish Zloty. </w:t>
      </w:r>
      <w:r w:rsidRPr="000D63C6">
        <w:rPr>
          <w:rFonts w:eastAsia="Calibri"/>
          <w:sz w:val="20"/>
          <w:szCs w:val="20"/>
          <w:lang w:eastAsia="en-US"/>
        </w:rPr>
        <w:br/>
        <w:t xml:space="preserve">POP = Population in thousands in 2019. </w:t>
      </w:r>
    </w:p>
    <w:p w14:paraId="2BDF2655" w14:textId="77777777" w:rsidR="007C2E48" w:rsidRPr="000D63C6" w:rsidRDefault="007C2E48" w:rsidP="007C2E48">
      <w:pPr>
        <w:spacing w:before="0" w:after="0" w:line="240" w:lineRule="auto"/>
        <w:ind w:firstLine="0"/>
        <w:contextualSpacing/>
        <w:jc w:val="left"/>
        <w:rPr>
          <w:rFonts w:eastAsia="Calibri"/>
          <w:sz w:val="20"/>
          <w:szCs w:val="20"/>
          <w:lang w:eastAsia="en-US"/>
        </w:rPr>
      </w:pPr>
      <w:r w:rsidRPr="000D63C6">
        <w:rPr>
          <w:rFonts w:eastAsia="Calibri"/>
          <w:sz w:val="20"/>
          <w:szCs w:val="20"/>
          <w:lang w:eastAsia="en-US"/>
        </w:rPr>
        <w:t xml:space="preserve">AGEMED = Median age of the population in 2019.  </w:t>
      </w:r>
    </w:p>
    <w:p w14:paraId="2ACE671E" w14:textId="77777777" w:rsidR="007C2E48" w:rsidRPr="000D63C6" w:rsidRDefault="007C2E48" w:rsidP="007C2E48">
      <w:pPr>
        <w:spacing w:before="0" w:after="0" w:line="240" w:lineRule="auto"/>
        <w:ind w:firstLine="0"/>
        <w:contextualSpacing/>
        <w:jc w:val="left"/>
        <w:rPr>
          <w:rFonts w:eastAsia="Calibri"/>
          <w:sz w:val="20"/>
          <w:szCs w:val="20"/>
          <w:lang w:eastAsia="en-US"/>
        </w:rPr>
      </w:pPr>
      <w:r w:rsidRPr="000D63C6">
        <w:rPr>
          <w:rFonts w:eastAsia="Calibri"/>
          <w:sz w:val="20"/>
          <w:szCs w:val="20"/>
          <w:lang w:eastAsia="en-US"/>
        </w:rPr>
        <w:t xml:space="preserve">AFFL = Average </w:t>
      </w:r>
      <w:r w:rsidRPr="000D63C6">
        <w:rPr>
          <w:rFonts w:eastAsia="Calibri"/>
          <w:i/>
          <w:iCs/>
          <w:sz w:val="20"/>
          <w:szCs w:val="20"/>
          <w:lang w:eastAsia="en-US"/>
        </w:rPr>
        <w:t>per capita</w:t>
      </w:r>
      <w:r w:rsidRPr="000D63C6">
        <w:rPr>
          <w:rFonts w:eastAsia="Calibri"/>
          <w:sz w:val="20"/>
          <w:szCs w:val="20"/>
          <w:lang w:eastAsia="en-US"/>
        </w:rPr>
        <w:t xml:space="preserve"> municipal ‘own income’ between 2017 and 2019 in Polish zloty. </w:t>
      </w:r>
      <w:r w:rsidRPr="000D63C6">
        <w:rPr>
          <w:rFonts w:eastAsia="Calibri"/>
          <w:sz w:val="20"/>
          <w:szCs w:val="20"/>
          <w:lang w:eastAsia="en-US"/>
        </w:rPr>
        <w:br/>
        <w:t xml:space="preserve">DEATH = Average death rate calculated for 1000 inhabitants between 2016 and 2019.  </w:t>
      </w:r>
      <w:r w:rsidRPr="000D63C6">
        <w:rPr>
          <w:rFonts w:eastAsia="Calibri"/>
          <w:sz w:val="20"/>
          <w:szCs w:val="20"/>
          <w:lang w:eastAsia="en-US"/>
        </w:rPr>
        <w:br/>
        <w:t xml:space="preserve">TURNOUT = Average turnout at two consecutive local elections in 2014 and 2018. </w:t>
      </w:r>
    </w:p>
    <w:p w14:paraId="4B56B460" w14:textId="77777777" w:rsidR="007C2E48" w:rsidRPr="000D63C6" w:rsidRDefault="007C2E48" w:rsidP="007C2E48">
      <w:pPr>
        <w:spacing w:before="0" w:after="0" w:line="240" w:lineRule="auto"/>
        <w:ind w:firstLine="0"/>
        <w:contextualSpacing/>
        <w:jc w:val="left"/>
        <w:rPr>
          <w:rFonts w:eastAsia="Calibri"/>
          <w:sz w:val="20"/>
          <w:szCs w:val="20"/>
          <w:lang w:eastAsia="en-US"/>
        </w:rPr>
      </w:pPr>
      <w:r w:rsidRPr="000D63C6">
        <w:rPr>
          <w:rFonts w:eastAsia="Calibri"/>
          <w:sz w:val="20"/>
          <w:szCs w:val="20"/>
          <w:lang w:eastAsia="en-US"/>
        </w:rPr>
        <w:t xml:space="preserve">PARTICP = Average number of participants in local civic organisations (clubs, sections) </w:t>
      </w:r>
      <w:r w:rsidRPr="000D63C6">
        <w:rPr>
          <w:rFonts w:eastAsia="Calibri"/>
          <w:i/>
          <w:iCs/>
          <w:sz w:val="20"/>
          <w:szCs w:val="20"/>
          <w:lang w:eastAsia="en-US"/>
        </w:rPr>
        <w:t>per</w:t>
      </w:r>
      <w:r w:rsidRPr="000D63C6">
        <w:rPr>
          <w:rFonts w:eastAsia="Calibri"/>
          <w:sz w:val="20"/>
          <w:szCs w:val="20"/>
          <w:lang w:eastAsia="en-US"/>
        </w:rPr>
        <w:t xml:space="preserve"> 1000 inhabitants between 2017 and 2019.  </w:t>
      </w:r>
      <w:r w:rsidRPr="000D63C6">
        <w:rPr>
          <w:rFonts w:eastAsia="Calibri"/>
          <w:sz w:val="20"/>
          <w:szCs w:val="20"/>
          <w:lang w:eastAsia="en-US"/>
        </w:rPr>
        <w:br/>
        <w:t xml:space="preserve">WMR = Average representation of women on a </w:t>
      </w:r>
      <w:r>
        <w:rPr>
          <w:rFonts w:eastAsia="Calibri"/>
          <w:sz w:val="20"/>
          <w:szCs w:val="20"/>
          <w:lang w:eastAsia="en-US"/>
        </w:rPr>
        <w:t>c</w:t>
      </w:r>
      <w:r w:rsidRPr="000D63C6">
        <w:rPr>
          <w:rFonts w:eastAsia="Calibri"/>
          <w:sz w:val="20"/>
          <w:szCs w:val="20"/>
          <w:lang w:eastAsia="en-US"/>
        </w:rPr>
        <w:t xml:space="preserve">ity </w:t>
      </w:r>
      <w:r>
        <w:rPr>
          <w:rFonts w:eastAsia="Calibri"/>
          <w:sz w:val="20"/>
          <w:szCs w:val="20"/>
          <w:lang w:eastAsia="en-US"/>
        </w:rPr>
        <w:t>c</w:t>
      </w:r>
      <w:r w:rsidRPr="000D63C6">
        <w:rPr>
          <w:rFonts w:eastAsia="Calibri"/>
          <w:sz w:val="20"/>
          <w:szCs w:val="20"/>
          <w:lang w:eastAsia="en-US"/>
        </w:rPr>
        <w:t xml:space="preserve">ouncil in 2019. </w:t>
      </w:r>
    </w:p>
    <w:p w14:paraId="5852B5D8" w14:textId="77777777" w:rsidR="007C2E48" w:rsidRPr="000D63C6" w:rsidRDefault="007C2E48" w:rsidP="007C2E48">
      <w:pPr>
        <w:spacing w:before="0" w:after="0" w:line="240" w:lineRule="auto"/>
        <w:ind w:firstLine="0"/>
        <w:contextualSpacing/>
        <w:jc w:val="left"/>
        <w:rPr>
          <w:rFonts w:eastAsia="Calibri"/>
          <w:sz w:val="20"/>
          <w:szCs w:val="20"/>
          <w:lang w:eastAsia="en-US"/>
        </w:rPr>
      </w:pPr>
      <w:r w:rsidRPr="000D63C6">
        <w:rPr>
          <w:rFonts w:eastAsia="Calibri"/>
          <w:sz w:val="20"/>
          <w:szCs w:val="20"/>
          <w:lang w:eastAsia="en-US"/>
        </w:rPr>
        <w:t xml:space="preserve">UNI_COV_A = The proportion of participants in programmes belonging to the 'universal prevention’ category (a legal designation used for statistical purposes in the National Health Programme) in 2019. </w:t>
      </w:r>
    </w:p>
    <w:p w14:paraId="7816F9AE" w14:textId="77777777" w:rsidR="007C2E48" w:rsidRPr="000D63C6" w:rsidRDefault="007C2E48" w:rsidP="007C2E48">
      <w:pPr>
        <w:spacing w:before="0" w:after="0" w:line="240" w:lineRule="auto"/>
        <w:ind w:firstLine="0"/>
        <w:contextualSpacing/>
        <w:jc w:val="left"/>
        <w:rPr>
          <w:rFonts w:eastAsia="Calibri"/>
          <w:sz w:val="20"/>
          <w:szCs w:val="20"/>
          <w:lang w:eastAsia="en-US"/>
        </w:rPr>
      </w:pPr>
      <w:r w:rsidRPr="000D63C6">
        <w:rPr>
          <w:rFonts w:eastAsia="Calibri"/>
          <w:sz w:val="20"/>
          <w:szCs w:val="20"/>
          <w:lang w:eastAsia="en-US"/>
        </w:rPr>
        <w:t>UNI_COV_B = The proportion of participants in programmes that addressed more than 1% of the city's population.</w:t>
      </w:r>
    </w:p>
    <w:p w14:paraId="24757CBA" w14:textId="77777777" w:rsidR="007C2E48" w:rsidRPr="000D63C6" w:rsidRDefault="007C2E48" w:rsidP="007C2E48">
      <w:pPr>
        <w:spacing w:before="0" w:after="160" w:line="259" w:lineRule="auto"/>
        <w:ind w:firstLine="0"/>
        <w:jc w:val="left"/>
        <w:rPr>
          <w:rFonts w:eastAsia="Calibri"/>
          <w:sz w:val="20"/>
          <w:szCs w:val="20"/>
          <w:lang w:eastAsia="en-US"/>
        </w:rPr>
      </w:pPr>
    </w:p>
    <w:p w14:paraId="4A3EB06E" w14:textId="77777777" w:rsidR="007C2E48" w:rsidRPr="000D63C6" w:rsidRDefault="007C2E48" w:rsidP="007C2E48">
      <w:pPr>
        <w:spacing w:before="0" w:after="160" w:line="259" w:lineRule="auto"/>
        <w:ind w:firstLine="0"/>
        <w:jc w:val="left"/>
        <w:rPr>
          <w:rFonts w:eastAsia="Calibri"/>
          <w:b/>
          <w:bCs/>
          <w:sz w:val="20"/>
          <w:szCs w:val="20"/>
          <w:lang w:eastAsia="en-US"/>
        </w:rPr>
      </w:pPr>
      <w:r w:rsidRPr="000D63C6">
        <w:rPr>
          <w:rFonts w:eastAsia="Calibri"/>
          <w:b/>
          <w:bCs/>
          <w:sz w:val="20"/>
          <w:szCs w:val="20"/>
          <w:lang w:eastAsia="en-US"/>
        </w:rPr>
        <w:br w:type="page"/>
      </w:r>
    </w:p>
    <w:p w14:paraId="62034307" w14:textId="77777777" w:rsidR="007C2E48" w:rsidRPr="000D63C6" w:rsidRDefault="007C2E48" w:rsidP="007C2E48">
      <w:pPr>
        <w:spacing w:before="0" w:after="0"/>
        <w:ind w:firstLine="0"/>
        <w:contextualSpacing/>
        <w:rPr>
          <w:rFonts w:eastAsia="Calibri"/>
          <w:b/>
          <w:bCs/>
          <w:sz w:val="20"/>
          <w:szCs w:val="20"/>
          <w:lang w:eastAsia="en-US"/>
        </w:rPr>
      </w:pPr>
      <w:r w:rsidRPr="000D63C6">
        <w:rPr>
          <w:rFonts w:eastAsia="Calibri"/>
          <w:b/>
          <w:bCs/>
          <w:sz w:val="20"/>
          <w:szCs w:val="20"/>
          <w:lang w:eastAsia="en-US"/>
        </w:rPr>
        <w:lastRenderedPageBreak/>
        <w:t>Table A</w:t>
      </w:r>
      <w:r>
        <w:rPr>
          <w:rFonts w:eastAsia="Calibri"/>
          <w:b/>
          <w:bCs/>
          <w:sz w:val="20"/>
          <w:szCs w:val="20"/>
          <w:lang w:eastAsia="en-US"/>
        </w:rPr>
        <w:t>7</w:t>
      </w:r>
      <w:r w:rsidRPr="000D63C6">
        <w:rPr>
          <w:rFonts w:eastAsia="Calibri"/>
          <w:b/>
          <w:bCs/>
          <w:sz w:val="20"/>
          <w:szCs w:val="20"/>
          <w:lang w:eastAsia="en-US"/>
        </w:rPr>
        <w:t>: Descriptive statistics for raw conditions.</w:t>
      </w:r>
    </w:p>
    <w:tbl>
      <w:tblPr>
        <w:tblStyle w:val="Tabela-Siatka"/>
        <w:tblW w:w="0" w:type="auto"/>
        <w:tblLook w:val="04A0" w:firstRow="1" w:lastRow="0" w:firstColumn="1" w:lastColumn="0" w:noHBand="0" w:noVBand="1"/>
      </w:tblPr>
      <w:tblGrid>
        <w:gridCol w:w="1918"/>
        <w:gridCol w:w="1451"/>
        <w:gridCol w:w="1466"/>
        <w:gridCol w:w="1294"/>
        <w:gridCol w:w="1365"/>
        <w:gridCol w:w="1426"/>
      </w:tblGrid>
      <w:tr w:rsidR="007C2E48" w:rsidRPr="000D63C6" w14:paraId="2587FFDA" w14:textId="77777777" w:rsidTr="00DE1A10">
        <w:trPr>
          <w:trHeight w:val="702"/>
        </w:trPr>
        <w:tc>
          <w:tcPr>
            <w:tcW w:w="1918" w:type="dxa"/>
            <w:tcBorders>
              <w:bottom w:val="single" w:sz="8" w:space="0" w:color="auto"/>
            </w:tcBorders>
          </w:tcPr>
          <w:p w14:paraId="322F3FEE" w14:textId="77777777" w:rsidR="007C2E48" w:rsidRPr="002D3529" w:rsidRDefault="007C2E48" w:rsidP="00DE1A10">
            <w:pPr>
              <w:spacing w:after="160" w:line="259" w:lineRule="auto"/>
              <w:ind w:firstLine="0"/>
              <w:rPr>
                <w:rFonts w:ascii="Sabon Next LT" w:eastAsia="Calibri" w:hAnsi="Sabon Next LT" w:cs="Sabon Next LT"/>
                <w:b/>
                <w:bCs/>
                <w:szCs w:val="20"/>
                <w:lang w:eastAsia="en-US"/>
              </w:rPr>
            </w:pPr>
            <w:r w:rsidRPr="002D3529">
              <w:rPr>
                <w:rFonts w:ascii="Sabon Next LT" w:eastAsia="Calibri" w:hAnsi="Sabon Next LT" w:cs="Sabon Next LT"/>
                <w:b/>
                <w:bCs/>
                <w:szCs w:val="20"/>
                <w:lang w:eastAsia="en-US"/>
              </w:rPr>
              <w:t>Condition</w:t>
            </w:r>
          </w:p>
        </w:tc>
        <w:tc>
          <w:tcPr>
            <w:tcW w:w="1451" w:type="dxa"/>
            <w:tcBorders>
              <w:bottom w:val="single" w:sz="8" w:space="0" w:color="auto"/>
            </w:tcBorders>
          </w:tcPr>
          <w:p w14:paraId="59B465E0" w14:textId="77777777" w:rsidR="007C2E48" w:rsidRPr="002D3529" w:rsidRDefault="007C2E48" w:rsidP="00DE1A10">
            <w:pPr>
              <w:spacing w:after="160" w:line="259" w:lineRule="auto"/>
              <w:ind w:firstLine="0"/>
              <w:rPr>
                <w:rFonts w:ascii="Sabon Next LT" w:eastAsia="Calibri" w:hAnsi="Sabon Next LT" w:cs="Sabon Next LT"/>
                <w:b/>
                <w:bCs/>
                <w:szCs w:val="20"/>
                <w:lang w:eastAsia="en-US"/>
              </w:rPr>
            </w:pPr>
            <w:r w:rsidRPr="002D3529">
              <w:rPr>
                <w:rFonts w:ascii="Sabon Next LT" w:eastAsia="Calibri" w:hAnsi="Sabon Next LT" w:cs="Sabon Next LT"/>
                <w:b/>
                <w:bCs/>
                <w:szCs w:val="20"/>
                <w:lang w:eastAsia="en-US"/>
              </w:rPr>
              <w:t>Minimum</w:t>
            </w:r>
          </w:p>
        </w:tc>
        <w:tc>
          <w:tcPr>
            <w:tcW w:w="1466" w:type="dxa"/>
            <w:tcBorders>
              <w:bottom w:val="single" w:sz="8" w:space="0" w:color="auto"/>
            </w:tcBorders>
          </w:tcPr>
          <w:p w14:paraId="78B52919" w14:textId="77777777" w:rsidR="007C2E48" w:rsidRPr="002D3529" w:rsidRDefault="007C2E48" w:rsidP="00DE1A10">
            <w:pPr>
              <w:spacing w:after="160" w:line="259" w:lineRule="auto"/>
              <w:ind w:firstLine="0"/>
              <w:rPr>
                <w:rFonts w:ascii="Sabon Next LT" w:eastAsia="Calibri" w:hAnsi="Sabon Next LT" w:cs="Sabon Next LT"/>
                <w:b/>
                <w:bCs/>
                <w:szCs w:val="20"/>
                <w:lang w:eastAsia="en-US"/>
              </w:rPr>
            </w:pPr>
            <w:r w:rsidRPr="002D3529">
              <w:rPr>
                <w:rFonts w:ascii="Sabon Next LT" w:eastAsia="Calibri" w:hAnsi="Sabon Next LT" w:cs="Sabon Next LT"/>
                <w:b/>
                <w:bCs/>
                <w:szCs w:val="20"/>
                <w:lang w:eastAsia="en-US"/>
              </w:rPr>
              <w:t>Maximum</w:t>
            </w:r>
          </w:p>
        </w:tc>
        <w:tc>
          <w:tcPr>
            <w:tcW w:w="1294" w:type="dxa"/>
            <w:tcBorders>
              <w:bottom w:val="single" w:sz="8" w:space="0" w:color="auto"/>
            </w:tcBorders>
          </w:tcPr>
          <w:p w14:paraId="58F6A568" w14:textId="77777777" w:rsidR="007C2E48" w:rsidRPr="002D3529" w:rsidRDefault="007C2E48" w:rsidP="00DE1A10">
            <w:pPr>
              <w:spacing w:after="160" w:line="259" w:lineRule="auto"/>
              <w:ind w:firstLine="0"/>
              <w:rPr>
                <w:rFonts w:ascii="Sabon Next LT" w:eastAsia="Calibri" w:hAnsi="Sabon Next LT" w:cs="Sabon Next LT"/>
                <w:b/>
                <w:bCs/>
                <w:szCs w:val="20"/>
                <w:lang w:eastAsia="en-US"/>
              </w:rPr>
            </w:pPr>
            <w:r w:rsidRPr="002D3529">
              <w:rPr>
                <w:rFonts w:ascii="Sabon Next LT" w:eastAsia="Calibri" w:hAnsi="Sabon Next LT" w:cs="Sabon Next LT"/>
                <w:b/>
                <w:bCs/>
                <w:szCs w:val="20"/>
                <w:lang w:eastAsia="en-US"/>
              </w:rPr>
              <w:t>Mean</w:t>
            </w:r>
          </w:p>
        </w:tc>
        <w:tc>
          <w:tcPr>
            <w:tcW w:w="1365" w:type="dxa"/>
            <w:tcBorders>
              <w:bottom w:val="single" w:sz="8" w:space="0" w:color="auto"/>
            </w:tcBorders>
          </w:tcPr>
          <w:p w14:paraId="09347468" w14:textId="77777777" w:rsidR="007C2E48" w:rsidRPr="002D3529" w:rsidRDefault="007C2E48" w:rsidP="00DE1A10">
            <w:pPr>
              <w:spacing w:after="160" w:line="259" w:lineRule="auto"/>
              <w:ind w:firstLine="0"/>
              <w:rPr>
                <w:rFonts w:ascii="Sabon Next LT" w:eastAsia="Calibri" w:hAnsi="Sabon Next LT" w:cs="Sabon Next LT"/>
                <w:b/>
                <w:bCs/>
                <w:szCs w:val="20"/>
                <w:lang w:eastAsia="en-US"/>
              </w:rPr>
            </w:pPr>
            <w:r w:rsidRPr="002D3529">
              <w:rPr>
                <w:rFonts w:ascii="Sabon Next LT" w:eastAsia="Calibri" w:hAnsi="Sabon Next LT" w:cs="Sabon Next LT"/>
                <w:b/>
                <w:bCs/>
                <w:szCs w:val="20"/>
                <w:lang w:eastAsia="en-US"/>
              </w:rPr>
              <w:t>Median</w:t>
            </w:r>
          </w:p>
        </w:tc>
        <w:tc>
          <w:tcPr>
            <w:tcW w:w="1426" w:type="dxa"/>
            <w:tcBorders>
              <w:bottom w:val="single" w:sz="8" w:space="0" w:color="auto"/>
            </w:tcBorders>
          </w:tcPr>
          <w:p w14:paraId="3C62634B" w14:textId="77777777" w:rsidR="007C2E48" w:rsidRPr="002D3529" w:rsidRDefault="007C2E48" w:rsidP="00DE1A10">
            <w:pPr>
              <w:spacing w:after="160" w:line="259" w:lineRule="auto"/>
              <w:ind w:firstLine="0"/>
              <w:rPr>
                <w:rFonts w:ascii="Sabon Next LT" w:eastAsia="Calibri" w:hAnsi="Sabon Next LT" w:cs="Sabon Next LT"/>
                <w:b/>
                <w:bCs/>
                <w:szCs w:val="20"/>
                <w:lang w:eastAsia="en-US"/>
              </w:rPr>
            </w:pPr>
            <w:r w:rsidRPr="002D3529">
              <w:rPr>
                <w:rFonts w:ascii="Sabon Next LT" w:eastAsia="Calibri" w:hAnsi="Sabon Next LT" w:cs="Sabon Next LT"/>
                <w:b/>
                <w:bCs/>
                <w:szCs w:val="20"/>
                <w:lang w:eastAsia="en-US"/>
              </w:rPr>
              <w:t>Standard deviation</w:t>
            </w:r>
          </w:p>
        </w:tc>
      </w:tr>
      <w:tr w:rsidR="007C2E48" w:rsidRPr="000D63C6" w14:paraId="4C737F0F" w14:textId="77777777" w:rsidTr="00DE1A10">
        <w:trPr>
          <w:trHeight w:val="425"/>
        </w:trPr>
        <w:tc>
          <w:tcPr>
            <w:tcW w:w="1918" w:type="dxa"/>
            <w:tcBorders>
              <w:top w:val="single" w:sz="8" w:space="0" w:color="auto"/>
            </w:tcBorders>
          </w:tcPr>
          <w:p w14:paraId="6D6F0C3C" w14:textId="77777777" w:rsidR="007C2E48" w:rsidRPr="002D3529" w:rsidRDefault="007C2E48" w:rsidP="00DE1A10">
            <w:pPr>
              <w:spacing w:after="160" w:line="259" w:lineRule="auto"/>
              <w:ind w:firstLine="0"/>
              <w:rPr>
                <w:rFonts w:ascii="Sabon Next LT" w:eastAsia="Calibri" w:hAnsi="Sabon Next LT" w:cs="Sabon Next LT"/>
                <w:szCs w:val="20"/>
                <w:lang w:eastAsia="en-US"/>
              </w:rPr>
            </w:pPr>
            <w:r w:rsidRPr="002D3529">
              <w:rPr>
                <w:rFonts w:ascii="Sabon Next LT" w:eastAsia="Calibri" w:hAnsi="Sabon Next LT" w:cs="Sabon Next LT"/>
                <w:szCs w:val="20"/>
                <w:lang w:eastAsia="en-US"/>
              </w:rPr>
              <w:t>PHP_EXP</w:t>
            </w:r>
          </w:p>
        </w:tc>
        <w:tc>
          <w:tcPr>
            <w:tcW w:w="1451" w:type="dxa"/>
            <w:tcBorders>
              <w:top w:val="single" w:sz="8" w:space="0" w:color="auto"/>
            </w:tcBorders>
          </w:tcPr>
          <w:p w14:paraId="583542EC" w14:textId="77777777" w:rsidR="007C2E48" w:rsidRPr="002D3529" w:rsidRDefault="007C2E48" w:rsidP="00DE1A10">
            <w:pPr>
              <w:spacing w:after="160" w:line="259" w:lineRule="auto"/>
              <w:ind w:firstLine="0"/>
              <w:rPr>
                <w:rFonts w:ascii="Sabon Next LT" w:eastAsia="Calibri" w:hAnsi="Sabon Next LT" w:cs="Sabon Next LT"/>
                <w:szCs w:val="20"/>
                <w:lang w:eastAsia="en-US"/>
              </w:rPr>
            </w:pPr>
            <w:r w:rsidRPr="002D3529">
              <w:rPr>
                <w:rFonts w:ascii="Sabon Next LT" w:eastAsia="Calibri" w:hAnsi="Sabon Next LT" w:cs="Sabon Next LT"/>
                <w:szCs w:val="20"/>
                <w:lang w:eastAsia="en-US"/>
              </w:rPr>
              <w:t>6,40</w:t>
            </w:r>
          </w:p>
        </w:tc>
        <w:tc>
          <w:tcPr>
            <w:tcW w:w="1466" w:type="dxa"/>
            <w:tcBorders>
              <w:top w:val="single" w:sz="8" w:space="0" w:color="auto"/>
            </w:tcBorders>
          </w:tcPr>
          <w:p w14:paraId="0E552B95" w14:textId="77777777" w:rsidR="007C2E48" w:rsidRPr="002D3529" w:rsidRDefault="007C2E48" w:rsidP="00DE1A10">
            <w:pPr>
              <w:spacing w:after="160" w:line="259" w:lineRule="auto"/>
              <w:ind w:firstLine="0"/>
              <w:rPr>
                <w:rFonts w:ascii="Sabon Next LT" w:eastAsia="Calibri" w:hAnsi="Sabon Next LT" w:cs="Sabon Next LT"/>
                <w:szCs w:val="20"/>
                <w:lang w:eastAsia="en-US"/>
              </w:rPr>
            </w:pPr>
            <w:r w:rsidRPr="002D3529">
              <w:rPr>
                <w:rFonts w:ascii="Sabon Next LT" w:eastAsia="Calibri" w:hAnsi="Sabon Next LT" w:cs="Sabon Next LT"/>
                <w:szCs w:val="20"/>
                <w:lang w:eastAsia="en-US"/>
              </w:rPr>
              <w:t>577,29</w:t>
            </w:r>
          </w:p>
        </w:tc>
        <w:tc>
          <w:tcPr>
            <w:tcW w:w="1294" w:type="dxa"/>
            <w:tcBorders>
              <w:top w:val="single" w:sz="8" w:space="0" w:color="auto"/>
            </w:tcBorders>
          </w:tcPr>
          <w:p w14:paraId="7475B06B" w14:textId="77777777" w:rsidR="007C2E48" w:rsidRPr="002D3529" w:rsidRDefault="007C2E48" w:rsidP="00DE1A10">
            <w:pPr>
              <w:spacing w:after="160" w:line="259" w:lineRule="auto"/>
              <w:ind w:firstLine="0"/>
              <w:rPr>
                <w:rFonts w:ascii="Sabon Next LT" w:eastAsia="Calibri" w:hAnsi="Sabon Next LT" w:cs="Sabon Next LT"/>
                <w:szCs w:val="20"/>
                <w:lang w:eastAsia="en-US"/>
              </w:rPr>
            </w:pPr>
            <w:r w:rsidRPr="002D3529">
              <w:rPr>
                <w:rFonts w:ascii="Sabon Next LT" w:eastAsia="Calibri" w:hAnsi="Sabon Next LT" w:cs="Sabon Next LT"/>
                <w:szCs w:val="20"/>
                <w:lang w:eastAsia="en-US"/>
              </w:rPr>
              <w:t>63,33</w:t>
            </w:r>
          </w:p>
        </w:tc>
        <w:tc>
          <w:tcPr>
            <w:tcW w:w="1365" w:type="dxa"/>
            <w:tcBorders>
              <w:top w:val="single" w:sz="8" w:space="0" w:color="auto"/>
            </w:tcBorders>
          </w:tcPr>
          <w:p w14:paraId="61FDE909" w14:textId="77777777" w:rsidR="007C2E48" w:rsidRPr="002D3529" w:rsidRDefault="007C2E48" w:rsidP="00DE1A10">
            <w:pPr>
              <w:spacing w:after="160" w:line="259" w:lineRule="auto"/>
              <w:ind w:firstLine="0"/>
              <w:rPr>
                <w:rFonts w:ascii="Sabon Next LT" w:eastAsia="Calibri" w:hAnsi="Sabon Next LT" w:cs="Sabon Next LT"/>
                <w:szCs w:val="20"/>
                <w:lang w:eastAsia="en-US"/>
              </w:rPr>
            </w:pPr>
            <w:r w:rsidRPr="002D3529">
              <w:rPr>
                <w:rFonts w:ascii="Sabon Next LT" w:eastAsia="Calibri" w:hAnsi="Sabon Next LT" w:cs="Sabon Next LT"/>
                <w:szCs w:val="20"/>
                <w:lang w:eastAsia="en-US"/>
              </w:rPr>
              <w:t>17,68</w:t>
            </w:r>
          </w:p>
        </w:tc>
        <w:tc>
          <w:tcPr>
            <w:tcW w:w="1426" w:type="dxa"/>
            <w:tcBorders>
              <w:top w:val="single" w:sz="8" w:space="0" w:color="auto"/>
            </w:tcBorders>
          </w:tcPr>
          <w:p w14:paraId="64E1FB53" w14:textId="146B839D" w:rsidR="007C2E48" w:rsidRPr="002D3529" w:rsidRDefault="00FB6F9C" w:rsidP="00DE1A10">
            <w:pPr>
              <w:spacing w:after="160" w:line="259" w:lineRule="auto"/>
              <w:ind w:firstLine="0"/>
              <w:rPr>
                <w:rFonts w:ascii="Sabon Next LT" w:eastAsia="Calibri" w:hAnsi="Sabon Next LT" w:cs="Sabon Next LT"/>
                <w:szCs w:val="20"/>
                <w:lang w:eastAsia="en-US"/>
              </w:rPr>
            </w:pPr>
            <w:r>
              <w:rPr>
                <w:rFonts w:ascii="Sabon Next LT" w:eastAsia="Calibri" w:hAnsi="Sabon Next LT" w:cs="Sabon Next LT"/>
                <w:szCs w:val="20"/>
                <w:lang w:eastAsia="en-US"/>
              </w:rPr>
              <w:t>44,93</w:t>
            </w:r>
          </w:p>
        </w:tc>
      </w:tr>
      <w:tr w:rsidR="007C2E48" w:rsidRPr="000D63C6" w14:paraId="2EB53304" w14:textId="77777777" w:rsidTr="00DE1A10">
        <w:trPr>
          <w:trHeight w:val="436"/>
        </w:trPr>
        <w:tc>
          <w:tcPr>
            <w:tcW w:w="1918" w:type="dxa"/>
          </w:tcPr>
          <w:p w14:paraId="05DE4F79" w14:textId="77777777" w:rsidR="007C2E48" w:rsidRPr="002D3529" w:rsidRDefault="007C2E48" w:rsidP="00DE1A10">
            <w:pPr>
              <w:spacing w:after="160" w:line="259" w:lineRule="auto"/>
              <w:ind w:firstLine="0"/>
              <w:rPr>
                <w:rFonts w:ascii="Sabon Next LT" w:eastAsia="Calibri" w:hAnsi="Sabon Next LT" w:cs="Sabon Next LT"/>
                <w:szCs w:val="20"/>
                <w:lang w:eastAsia="en-US"/>
              </w:rPr>
            </w:pPr>
            <w:r w:rsidRPr="002D3529">
              <w:rPr>
                <w:rFonts w:ascii="Sabon Next LT" w:eastAsia="Calibri" w:hAnsi="Sabon Next LT" w:cs="Sabon Next LT"/>
                <w:szCs w:val="20"/>
                <w:lang w:eastAsia="en-US"/>
              </w:rPr>
              <w:t>POP</w:t>
            </w:r>
          </w:p>
        </w:tc>
        <w:tc>
          <w:tcPr>
            <w:tcW w:w="1451" w:type="dxa"/>
          </w:tcPr>
          <w:p w14:paraId="3C9B9373" w14:textId="77777777" w:rsidR="007C2E48" w:rsidRPr="002D3529" w:rsidRDefault="007C2E48" w:rsidP="00DE1A10">
            <w:pPr>
              <w:spacing w:after="160" w:line="259" w:lineRule="auto"/>
              <w:ind w:firstLine="0"/>
              <w:rPr>
                <w:rFonts w:ascii="Sabon Next LT" w:eastAsia="Calibri" w:hAnsi="Sabon Next LT" w:cs="Sabon Next LT"/>
                <w:szCs w:val="20"/>
                <w:lang w:eastAsia="en-US"/>
              </w:rPr>
            </w:pPr>
            <w:r w:rsidRPr="002D3529">
              <w:rPr>
                <w:rFonts w:ascii="Sabon Next LT" w:eastAsia="Calibri" w:hAnsi="Sabon Next LT" w:cs="Sabon Next LT"/>
                <w:szCs w:val="20"/>
                <w:lang w:eastAsia="en-US"/>
              </w:rPr>
              <w:t>165,3</w:t>
            </w:r>
          </w:p>
        </w:tc>
        <w:tc>
          <w:tcPr>
            <w:tcW w:w="1466" w:type="dxa"/>
          </w:tcPr>
          <w:p w14:paraId="377468FC" w14:textId="77777777" w:rsidR="007C2E48" w:rsidRPr="002D3529" w:rsidRDefault="007C2E48" w:rsidP="00DE1A10">
            <w:pPr>
              <w:spacing w:after="160" w:line="259" w:lineRule="auto"/>
              <w:ind w:firstLine="0"/>
              <w:rPr>
                <w:rFonts w:ascii="Sabon Next LT" w:eastAsia="Calibri" w:hAnsi="Sabon Next LT" w:cs="Sabon Next LT"/>
                <w:szCs w:val="20"/>
                <w:lang w:eastAsia="en-US"/>
              </w:rPr>
            </w:pPr>
            <w:r w:rsidRPr="002D3529">
              <w:rPr>
                <w:rFonts w:ascii="Sabon Next LT" w:eastAsia="Calibri" w:hAnsi="Sabon Next LT" w:cs="Sabon Next LT"/>
                <w:szCs w:val="20"/>
                <w:lang w:eastAsia="en-US"/>
              </w:rPr>
              <w:t>1790,7</w:t>
            </w:r>
          </w:p>
        </w:tc>
        <w:tc>
          <w:tcPr>
            <w:tcW w:w="1294" w:type="dxa"/>
          </w:tcPr>
          <w:p w14:paraId="07EC6CF5" w14:textId="77777777" w:rsidR="007C2E48" w:rsidRPr="002D3529" w:rsidRDefault="007C2E48" w:rsidP="00DE1A10">
            <w:pPr>
              <w:spacing w:after="160" w:line="259" w:lineRule="auto"/>
              <w:ind w:firstLine="0"/>
              <w:rPr>
                <w:rFonts w:ascii="Sabon Next LT" w:eastAsia="Calibri" w:hAnsi="Sabon Next LT" w:cs="Sabon Next LT"/>
                <w:szCs w:val="20"/>
                <w:lang w:eastAsia="en-US"/>
              </w:rPr>
            </w:pPr>
            <w:r w:rsidRPr="002D3529">
              <w:rPr>
                <w:rFonts w:ascii="Sabon Next LT" w:eastAsia="Calibri" w:hAnsi="Sabon Next LT" w:cs="Sabon Next LT"/>
                <w:szCs w:val="20"/>
                <w:lang w:eastAsia="en-US"/>
              </w:rPr>
              <w:t xml:space="preserve">387,3   </w:t>
            </w:r>
          </w:p>
        </w:tc>
        <w:tc>
          <w:tcPr>
            <w:tcW w:w="1365" w:type="dxa"/>
          </w:tcPr>
          <w:p w14:paraId="141CAB94" w14:textId="77777777" w:rsidR="007C2E48" w:rsidRPr="002D3529" w:rsidRDefault="007C2E48" w:rsidP="00DE1A10">
            <w:pPr>
              <w:spacing w:after="160" w:line="259" w:lineRule="auto"/>
              <w:ind w:firstLine="0"/>
              <w:rPr>
                <w:rFonts w:ascii="Sabon Next LT" w:eastAsia="Calibri" w:hAnsi="Sabon Next LT" w:cs="Sabon Next LT"/>
                <w:szCs w:val="20"/>
                <w:lang w:eastAsia="en-US"/>
              </w:rPr>
            </w:pPr>
            <w:r w:rsidRPr="002D3529">
              <w:rPr>
                <w:rFonts w:ascii="Sabon Next LT" w:eastAsia="Calibri" w:hAnsi="Sabon Next LT" w:cs="Sabon Next LT"/>
                <w:szCs w:val="20"/>
                <w:lang w:eastAsia="en-US"/>
              </w:rPr>
              <w:t xml:space="preserve">246,3   </w:t>
            </w:r>
          </w:p>
        </w:tc>
        <w:tc>
          <w:tcPr>
            <w:tcW w:w="1426" w:type="dxa"/>
          </w:tcPr>
          <w:p w14:paraId="2AEF0590" w14:textId="77777777" w:rsidR="007C2E48" w:rsidRPr="002D3529" w:rsidRDefault="007C2E48" w:rsidP="00DE1A10">
            <w:pPr>
              <w:spacing w:after="160" w:line="259" w:lineRule="auto"/>
              <w:ind w:firstLine="0"/>
              <w:rPr>
                <w:rFonts w:ascii="Sabon Next LT" w:eastAsia="Calibri" w:hAnsi="Sabon Next LT" w:cs="Sabon Next LT"/>
                <w:szCs w:val="20"/>
                <w:lang w:eastAsia="en-US"/>
              </w:rPr>
            </w:pPr>
            <w:r w:rsidRPr="002D3529">
              <w:rPr>
                <w:rFonts w:ascii="Sabon Next LT" w:eastAsia="Calibri" w:hAnsi="Sabon Next LT" w:cs="Sabon Next LT"/>
                <w:szCs w:val="20"/>
                <w:lang w:eastAsia="en-US"/>
              </w:rPr>
              <w:t>347,53</w:t>
            </w:r>
          </w:p>
        </w:tc>
      </w:tr>
      <w:tr w:rsidR="007C2E48" w:rsidRPr="000D63C6" w14:paraId="7680CE6E" w14:textId="77777777" w:rsidTr="00DE1A10">
        <w:trPr>
          <w:trHeight w:val="436"/>
        </w:trPr>
        <w:tc>
          <w:tcPr>
            <w:tcW w:w="1918" w:type="dxa"/>
          </w:tcPr>
          <w:p w14:paraId="7872E1CA" w14:textId="77777777" w:rsidR="007C2E48" w:rsidRPr="002D3529" w:rsidRDefault="007C2E48" w:rsidP="00DE1A10">
            <w:pPr>
              <w:spacing w:after="160" w:line="259" w:lineRule="auto"/>
              <w:ind w:firstLine="0"/>
              <w:rPr>
                <w:rFonts w:ascii="Sabon Next LT" w:eastAsia="Calibri" w:hAnsi="Sabon Next LT" w:cs="Sabon Next LT"/>
                <w:szCs w:val="20"/>
                <w:lang w:eastAsia="en-US"/>
              </w:rPr>
            </w:pPr>
            <w:r w:rsidRPr="002D3529">
              <w:rPr>
                <w:rFonts w:ascii="Sabon Next LT" w:eastAsia="Calibri" w:hAnsi="Sabon Next LT" w:cs="Sabon Next LT"/>
                <w:szCs w:val="20"/>
                <w:lang w:eastAsia="en-US"/>
              </w:rPr>
              <w:t>AFFL</w:t>
            </w:r>
          </w:p>
        </w:tc>
        <w:tc>
          <w:tcPr>
            <w:tcW w:w="1451" w:type="dxa"/>
          </w:tcPr>
          <w:p w14:paraId="6A4CEB35" w14:textId="77777777" w:rsidR="007C2E48" w:rsidRPr="002D3529" w:rsidRDefault="007C2E48" w:rsidP="00DE1A10">
            <w:pPr>
              <w:spacing w:after="160" w:line="259" w:lineRule="auto"/>
              <w:ind w:firstLine="0"/>
              <w:rPr>
                <w:rFonts w:ascii="Sabon Next LT" w:eastAsia="Calibri" w:hAnsi="Sabon Next LT" w:cs="Sabon Next LT"/>
                <w:szCs w:val="20"/>
                <w:lang w:eastAsia="en-US"/>
              </w:rPr>
            </w:pPr>
            <w:r w:rsidRPr="002D3529">
              <w:rPr>
                <w:rFonts w:ascii="Sabon Next LT" w:eastAsia="Calibri" w:hAnsi="Sabon Next LT" w:cs="Sabon Next LT"/>
                <w:szCs w:val="20"/>
                <w:lang w:eastAsia="en-US"/>
              </w:rPr>
              <w:t>2522</w:t>
            </w:r>
          </w:p>
        </w:tc>
        <w:tc>
          <w:tcPr>
            <w:tcW w:w="1466" w:type="dxa"/>
          </w:tcPr>
          <w:p w14:paraId="23E82E97" w14:textId="77777777" w:rsidR="007C2E48" w:rsidRPr="002D3529" w:rsidRDefault="007C2E48" w:rsidP="00DE1A10">
            <w:pPr>
              <w:spacing w:after="160" w:line="259" w:lineRule="auto"/>
              <w:ind w:firstLine="0"/>
              <w:rPr>
                <w:rFonts w:ascii="Sabon Next LT" w:eastAsia="Calibri" w:hAnsi="Sabon Next LT" w:cs="Sabon Next LT"/>
                <w:szCs w:val="20"/>
                <w:lang w:eastAsia="en-US"/>
              </w:rPr>
            </w:pPr>
            <w:r w:rsidRPr="002D3529">
              <w:rPr>
                <w:rFonts w:ascii="Sabon Next LT" w:eastAsia="Calibri" w:hAnsi="Sabon Next LT" w:cs="Sabon Next LT"/>
                <w:szCs w:val="20"/>
                <w:lang w:eastAsia="en-US"/>
              </w:rPr>
              <w:t>7054</w:t>
            </w:r>
          </w:p>
        </w:tc>
        <w:tc>
          <w:tcPr>
            <w:tcW w:w="1294" w:type="dxa"/>
          </w:tcPr>
          <w:p w14:paraId="1D5024A2" w14:textId="77777777" w:rsidR="007C2E48" w:rsidRPr="002D3529" w:rsidRDefault="007C2E48" w:rsidP="00DE1A10">
            <w:pPr>
              <w:spacing w:after="160" w:line="259" w:lineRule="auto"/>
              <w:ind w:firstLine="0"/>
              <w:rPr>
                <w:rFonts w:ascii="Sabon Next LT" w:eastAsia="Calibri" w:hAnsi="Sabon Next LT" w:cs="Sabon Next LT"/>
                <w:szCs w:val="20"/>
                <w:lang w:eastAsia="en-US"/>
              </w:rPr>
            </w:pPr>
            <w:r w:rsidRPr="002D3529">
              <w:rPr>
                <w:rFonts w:ascii="Sabon Next LT" w:eastAsia="Calibri" w:hAnsi="Sabon Next LT" w:cs="Sabon Next LT"/>
                <w:szCs w:val="20"/>
                <w:lang w:eastAsia="en-US"/>
              </w:rPr>
              <w:t>3773</w:t>
            </w:r>
          </w:p>
        </w:tc>
        <w:tc>
          <w:tcPr>
            <w:tcW w:w="1365" w:type="dxa"/>
          </w:tcPr>
          <w:p w14:paraId="269A2329" w14:textId="77777777" w:rsidR="007C2E48" w:rsidRPr="002D3529" w:rsidRDefault="007C2E48" w:rsidP="00DE1A10">
            <w:pPr>
              <w:spacing w:after="160" w:line="259" w:lineRule="auto"/>
              <w:ind w:firstLine="0"/>
              <w:rPr>
                <w:rFonts w:ascii="Sabon Next LT" w:eastAsia="Calibri" w:hAnsi="Sabon Next LT" w:cs="Sabon Next LT"/>
                <w:szCs w:val="20"/>
                <w:lang w:eastAsia="en-US"/>
              </w:rPr>
            </w:pPr>
            <w:r w:rsidRPr="002D3529">
              <w:rPr>
                <w:rFonts w:ascii="Sabon Next LT" w:eastAsia="Calibri" w:hAnsi="Sabon Next LT" w:cs="Sabon Next LT"/>
                <w:szCs w:val="20"/>
                <w:lang w:eastAsia="en-US"/>
              </w:rPr>
              <w:t>3570</w:t>
            </w:r>
          </w:p>
        </w:tc>
        <w:tc>
          <w:tcPr>
            <w:tcW w:w="1426" w:type="dxa"/>
          </w:tcPr>
          <w:p w14:paraId="02439A3D" w14:textId="77777777" w:rsidR="007C2E48" w:rsidRPr="002D3529" w:rsidRDefault="007C2E48" w:rsidP="00DE1A10">
            <w:pPr>
              <w:spacing w:after="160" w:line="259" w:lineRule="auto"/>
              <w:ind w:firstLine="0"/>
              <w:rPr>
                <w:rFonts w:ascii="Sabon Next LT" w:eastAsia="Calibri" w:hAnsi="Sabon Next LT" w:cs="Sabon Next LT"/>
                <w:szCs w:val="20"/>
                <w:lang w:eastAsia="en-US"/>
              </w:rPr>
            </w:pPr>
            <w:r w:rsidRPr="002D3529">
              <w:rPr>
                <w:rFonts w:ascii="Sabon Next LT" w:eastAsia="Calibri" w:hAnsi="Sabon Next LT" w:cs="Sabon Next LT"/>
                <w:szCs w:val="20"/>
                <w:lang w:eastAsia="en-US"/>
              </w:rPr>
              <w:t>977,91</w:t>
            </w:r>
          </w:p>
        </w:tc>
      </w:tr>
      <w:tr w:rsidR="007C2E48" w:rsidRPr="000D63C6" w14:paraId="0A7428EF" w14:textId="77777777" w:rsidTr="00DE1A10">
        <w:trPr>
          <w:trHeight w:val="436"/>
        </w:trPr>
        <w:tc>
          <w:tcPr>
            <w:tcW w:w="1918" w:type="dxa"/>
          </w:tcPr>
          <w:p w14:paraId="467C3B9D" w14:textId="77777777" w:rsidR="007C2E48" w:rsidRPr="002D3529" w:rsidRDefault="007C2E48" w:rsidP="00DE1A10">
            <w:pPr>
              <w:spacing w:after="160" w:line="259" w:lineRule="auto"/>
              <w:ind w:firstLine="0"/>
              <w:rPr>
                <w:rFonts w:ascii="Sabon Next LT" w:eastAsia="Calibri" w:hAnsi="Sabon Next LT" w:cs="Sabon Next LT"/>
                <w:szCs w:val="20"/>
                <w:lang w:eastAsia="en-US"/>
              </w:rPr>
            </w:pPr>
            <w:r w:rsidRPr="002D3529">
              <w:rPr>
                <w:rFonts w:ascii="Sabon Next LT" w:eastAsia="Calibri" w:hAnsi="Sabon Next LT" w:cs="Sabon Next LT"/>
                <w:szCs w:val="20"/>
                <w:lang w:eastAsia="en-US"/>
              </w:rPr>
              <w:t>AGEMED</w:t>
            </w:r>
          </w:p>
        </w:tc>
        <w:tc>
          <w:tcPr>
            <w:tcW w:w="1451" w:type="dxa"/>
          </w:tcPr>
          <w:p w14:paraId="2707C4F0" w14:textId="77777777" w:rsidR="007C2E48" w:rsidRPr="002D3529" w:rsidRDefault="007C2E48" w:rsidP="00DE1A10">
            <w:pPr>
              <w:spacing w:after="160" w:line="259" w:lineRule="auto"/>
              <w:ind w:firstLine="0"/>
              <w:rPr>
                <w:rFonts w:ascii="Sabon Next LT" w:eastAsia="Calibri" w:hAnsi="Sabon Next LT" w:cs="Sabon Next LT"/>
                <w:szCs w:val="20"/>
                <w:lang w:eastAsia="en-US"/>
              </w:rPr>
            </w:pPr>
            <w:r w:rsidRPr="002D3529">
              <w:rPr>
                <w:rFonts w:ascii="Sabon Next LT" w:eastAsia="Calibri" w:hAnsi="Sabon Next LT" w:cs="Sabon Next LT"/>
                <w:szCs w:val="20"/>
                <w:lang w:eastAsia="en-US"/>
              </w:rPr>
              <w:t xml:space="preserve">39,10   </w:t>
            </w:r>
          </w:p>
        </w:tc>
        <w:tc>
          <w:tcPr>
            <w:tcW w:w="1466" w:type="dxa"/>
          </w:tcPr>
          <w:p w14:paraId="701AE8ED" w14:textId="77777777" w:rsidR="007C2E48" w:rsidRPr="002D3529" w:rsidRDefault="007C2E48" w:rsidP="00DE1A10">
            <w:pPr>
              <w:spacing w:after="160" w:line="259" w:lineRule="auto"/>
              <w:ind w:firstLine="0"/>
              <w:rPr>
                <w:rFonts w:ascii="Sabon Next LT" w:eastAsia="Calibri" w:hAnsi="Sabon Next LT" w:cs="Sabon Next LT"/>
                <w:szCs w:val="20"/>
                <w:lang w:eastAsia="en-US"/>
              </w:rPr>
            </w:pPr>
            <w:r w:rsidRPr="002D3529">
              <w:rPr>
                <w:rFonts w:ascii="Sabon Next LT" w:eastAsia="Calibri" w:hAnsi="Sabon Next LT" w:cs="Sabon Next LT"/>
                <w:szCs w:val="20"/>
                <w:lang w:eastAsia="en-US"/>
              </w:rPr>
              <w:t>45,40</w:t>
            </w:r>
          </w:p>
        </w:tc>
        <w:tc>
          <w:tcPr>
            <w:tcW w:w="1294" w:type="dxa"/>
          </w:tcPr>
          <w:p w14:paraId="5366BFB6" w14:textId="77777777" w:rsidR="007C2E48" w:rsidRPr="002D3529" w:rsidRDefault="007C2E48" w:rsidP="00DE1A10">
            <w:pPr>
              <w:spacing w:after="160" w:line="259" w:lineRule="auto"/>
              <w:ind w:firstLine="0"/>
              <w:rPr>
                <w:rFonts w:ascii="Sabon Next LT" w:eastAsia="Calibri" w:hAnsi="Sabon Next LT" w:cs="Sabon Next LT"/>
                <w:szCs w:val="20"/>
                <w:lang w:eastAsia="en-US"/>
              </w:rPr>
            </w:pPr>
            <w:r w:rsidRPr="002D3529">
              <w:rPr>
                <w:rFonts w:ascii="Sabon Next LT" w:eastAsia="Calibri" w:hAnsi="Sabon Next LT" w:cs="Sabon Next LT"/>
                <w:szCs w:val="20"/>
                <w:lang w:eastAsia="en-US"/>
              </w:rPr>
              <w:t xml:space="preserve">42,8   </w:t>
            </w:r>
          </w:p>
        </w:tc>
        <w:tc>
          <w:tcPr>
            <w:tcW w:w="1365" w:type="dxa"/>
          </w:tcPr>
          <w:p w14:paraId="27D58D73" w14:textId="77777777" w:rsidR="007C2E48" w:rsidRPr="002D3529" w:rsidRDefault="007C2E48" w:rsidP="00DE1A10">
            <w:pPr>
              <w:spacing w:after="160" w:line="259" w:lineRule="auto"/>
              <w:ind w:firstLine="0"/>
              <w:rPr>
                <w:rFonts w:ascii="Sabon Next LT" w:eastAsia="Calibri" w:hAnsi="Sabon Next LT" w:cs="Sabon Next LT"/>
                <w:szCs w:val="20"/>
                <w:lang w:eastAsia="en-US"/>
              </w:rPr>
            </w:pPr>
            <w:r w:rsidRPr="002D3529">
              <w:rPr>
                <w:rFonts w:ascii="Sabon Next LT" w:eastAsia="Calibri" w:hAnsi="Sabon Next LT" w:cs="Sabon Next LT"/>
                <w:szCs w:val="20"/>
                <w:lang w:eastAsia="en-US"/>
              </w:rPr>
              <w:t>43</w:t>
            </w:r>
          </w:p>
        </w:tc>
        <w:tc>
          <w:tcPr>
            <w:tcW w:w="1426" w:type="dxa"/>
          </w:tcPr>
          <w:p w14:paraId="46A03092" w14:textId="77777777" w:rsidR="007C2E48" w:rsidRPr="002D3529" w:rsidRDefault="007C2E48" w:rsidP="00DE1A10">
            <w:pPr>
              <w:spacing w:after="160" w:line="259" w:lineRule="auto"/>
              <w:ind w:firstLine="0"/>
              <w:rPr>
                <w:rFonts w:ascii="Sabon Next LT" w:eastAsia="Calibri" w:hAnsi="Sabon Next LT" w:cs="Sabon Next LT"/>
                <w:szCs w:val="20"/>
                <w:lang w:eastAsia="en-US"/>
              </w:rPr>
            </w:pPr>
            <w:r w:rsidRPr="002D3529">
              <w:rPr>
                <w:rFonts w:ascii="Sabon Next LT" w:eastAsia="Calibri" w:hAnsi="Sabon Next LT" w:cs="Sabon Next LT"/>
                <w:szCs w:val="20"/>
                <w:lang w:eastAsia="en-US"/>
              </w:rPr>
              <w:t>1,51</w:t>
            </w:r>
          </w:p>
        </w:tc>
      </w:tr>
      <w:tr w:rsidR="007C2E48" w:rsidRPr="000D63C6" w14:paraId="6F343144" w14:textId="77777777" w:rsidTr="00DE1A10">
        <w:trPr>
          <w:trHeight w:val="436"/>
        </w:trPr>
        <w:tc>
          <w:tcPr>
            <w:tcW w:w="1918" w:type="dxa"/>
          </w:tcPr>
          <w:p w14:paraId="25530EC6" w14:textId="77777777" w:rsidR="007C2E48" w:rsidRPr="002D3529" w:rsidRDefault="007C2E48" w:rsidP="00DE1A10">
            <w:pPr>
              <w:spacing w:after="160" w:line="259" w:lineRule="auto"/>
              <w:ind w:firstLine="0"/>
              <w:rPr>
                <w:rFonts w:ascii="Sabon Next LT" w:eastAsia="Calibri" w:hAnsi="Sabon Next LT" w:cs="Sabon Next LT"/>
                <w:szCs w:val="20"/>
                <w:lang w:eastAsia="en-US"/>
              </w:rPr>
            </w:pPr>
            <w:r w:rsidRPr="002D3529">
              <w:rPr>
                <w:rFonts w:ascii="Sabon Next LT" w:eastAsia="Calibri" w:hAnsi="Sabon Next LT" w:cs="Sabon Next LT"/>
                <w:szCs w:val="20"/>
                <w:lang w:eastAsia="en-US"/>
              </w:rPr>
              <w:t>DEATH</w:t>
            </w:r>
          </w:p>
        </w:tc>
        <w:tc>
          <w:tcPr>
            <w:tcW w:w="1451" w:type="dxa"/>
          </w:tcPr>
          <w:p w14:paraId="7E6A9360" w14:textId="77777777" w:rsidR="007C2E48" w:rsidRPr="002D3529" w:rsidRDefault="007C2E48" w:rsidP="00DE1A10">
            <w:pPr>
              <w:spacing w:after="160" w:line="259" w:lineRule="auto"/>
              <w:ind w:firstLine="0"/>
              <w:rPr>
                <w:rFonts w:ascii="Sabon Next LT" w:eastAsia="Calibri" w:hAnsi="Sabon Next LT" w:cs="Sabon Next LT"/>
                <w:szCs w:val="20"/>
                <w:lang w:eastAsia="en-US"/>
              </w:rPr>
            </w:pPr>
            <w:r w:rsidRPr="002D3529">
              <w:rPr>
                <w:rFonts w:ascii="Sabon Next LT" w:eastAsia="Calibri" w:hAnsi="Sabon Next LT" w:cs="Sabon Next LT"/>
                <w:szCs w:val="20"/>
                <w:lang w:eastAsia="en-US"/>
              </w:rPr>
              <w:t>7,89</w:t>
            </w:r>
          </w:p>
        </w:tc>
        <w:tc>
          <w:tcPr>
            <w:tcW w:w="1466" w:type="dxa"/>
          </w:tcPr>
          <w:p w14:paraId="59A4B4B9" w14:textId="77777777" w:rsidR="007C2E48" w:rsidRPr="002D3529" w:rsidRDefault="007C2E48" w:rsidP="00DE1A10">
            <w:pPr>
              <w:spacing w:after="160" w:line="259" w:lineRule="auto"/>
              <w:ind w:firstLine="0"/>
              <w:rPr>
                <w:rFonts w:ascii="Sabon Next LT" w:eastAsia="Calibri" w:hAnsi="Sabon Next LT" w:cs="Sabon Next LT"/>
                <w:szCs w:val="20"/>
                <w:lang w:eastAsia="en-US"/>
              </w:rPr>
            </w:pPr>
            <w:r w:rsidRPr="002D3529">
              <w:rPr>
                <w:rFonts w:ascii="Sabon Next LT" w:eastAsia="Calibri" w:hAnsi="Sabon Next LT" w:cs="Sabon Next LT"/>
                <w:szCs w:val="20"/>
                <w:lang w:eastAsia="en-US"/>
              </w:rPr>
              <w:t>14,27</w:t>
            </w:r>
          </w:p>
        </w:tc>
        <w:tc>
          <w:tcPr>
            <w:tcW w:w="1294" w:type="dxa"/>
          </w:tcPr>
          <w:p w14:paraId="1EB5F7F3" w14:textId="77777777" w:rsidR="007C2E48" w:rsidRPr="002D3529" w:rsidRDefault="007C2E48" w:rsidP="00DE1A10">
            <w:pPr>
              <w:spacing w:after="160" w:line="259" w:lineRule="auto"/>
              <w:ind w:firstLine="0"/>
              <w:rPr>
                <w:rFonts w:ascii="Sabon Next LT" w:eastAsia="Calibri" w:hAnsi="Sabon Next LT" w:cs="Sabon Next LT"/>
                <w:szCs w:val="20"/>
                <w:lang w:eastAsia="en-US"/>
              </w:rPr>
            </w:pPr>
            <w:r w:rsidRPr="002D3529">
              <w:rPr>
                <w:rFonts w:ascii="Sabon Next LT" w:eastAsia="Calibri" w:hAnsi="Sabon Next LT" w:cs="Sabon Next LT"/>
                <w:szCs w:val="20"/>
                <w:lang w:eastAsia="en-US"/>
              </w:rPr>
              <w:t xml:space="preserve">10,94   </w:t>
            </w:r>
          </w:p>
        </w:tc>
        <w:tc>
          <w:tcPr>
            <w:tcW w:w="1365" w:type="dxa"/>
          </w:tcPr>
          <w:p w14:paraId="45F5D77B" w14:textId="77777777" w:rsidR="007C2E48" w:rsidRPr="002D3529" w:rsidRDefault="007C2E48" w:rsidP="00DE1A10">
            <w:pPr>
              <w:spacing w:after="160" w:line="259" w:lineRule="auto"/>
              <w:ind w:firstLine="0"/>
              <w:rPr>
                <w:rFonts w:ascii="Sabon Next LT" w:eastAsia="Calibri" w:hAnsi="Sabon Next LT" w:cs="Sabon Next LT"/>
                <w:szCs w:val="20"/>
                <w:lang w:eastAsia="en-US"/>
              </w:rPr>
            </w:pPr>
            <w:r w:rsidRPr="002D3529">
              <w:rPr>
                <w:rFonts w:ascii="Sabon Next LT" w:eastAsia="Calibri" w:hAnsi="Sabon Next LT" w:cs="Sabon Next LT"/>
                <w:szCs w:val="20"/>
                <w:lang w:eastAsia="en-US"/>
              </w:rPr>
              <w:t xml:space="preserve">10,81   </w:t>
            </w:r>
          </w:p>
        </w:tc>
        <w:tc>
          <w:tcPr>
            <w:tcW w:w="1426" w:type="dxa"/>
          </w:tcPr>
          <w:p w14:paraId="035857FD" w14:textId="77777777" w:rsidR="007C2E48" w:rsidRPr="002D3529" w:rsidRDefault="007C2E48" w:rsidP="00DE1A10">
            <w:pPr>
              <w:spacing w:after="160" w:line="259" w:lineRule="auto"/>
              <w:ind w:firstLine="0"/>
              <w:rPr>
                <w:rFonts w:ascii="Sabon Next LT" w:eastAsia="Calibri" w:hAnsi="Sabon Next LT" w:cs="Sabon Next LT"/>
                <w:szCs w:val="20"/>
                <w:lang w:eastAsia="en-US"/>
              </w:rPr>
            </w:pPr>
            <w:r w:rsidRPr="002D3529">
              <w:rPr>
                <w:rFonts w:ascii="Sabon Next LT" w:eastAsia="Calibri" w:hAnsi="Sabon Next LT" w:cs="Sabon Next LT"/>
                <w:szCs w:val="20"/>
                <w:lang w:eastAsia="en-US"/>
              </w:rPr>
              <w:t>1,37</w:t>
            </w:r>
          </w:p>
        </w:tc>
      </w:tr>
      <w:tr w:rsidR="007C2E48" w:rsidRPr="000D63C6" w14:paraId="10B471BE" w14:textId="77777777" w:rsidTr="00DE1A10">
        <w:trPr>
          <w:trHeight w:val="436"/>
        </w:trPr>
        <w:tc>
          <w:tcPr>
            <w:tcW w:w="1918" w:type="dxa"/>
          </w:tcPr>
          <w:p w14:paraId="4052EBEC" w14:textId="77777777" w:rsidR="007C2E48" w:rsidRPr="002D3529" w:rsidRDefault="007C2E48" w:rsidP="00DE1A10">
            <w:pPr>
              <w:spacing w:after="160" w:line="259" w:lineRule="auto"/>
              <w:ind w:firstLine="0"/>
              <w:rPr>
                <w:rFonts w:ascii="Sabon Next LT" w:eastAsia="Calibri" w:hAnsi="Sabon Next LT" w:cs="Sabon Next LT"/>
                <w:szCs w:val="20"/>
                <w:lang w:eastAsia="en-US"/>
              </w:rPr>
            </w:pPr>
            <w:r w:rsidRPr="002D3529">
              <w:rPr>
                <w:rFonts w:ascii="Sabon Next LT" w:eastAsia="Calibri" w:hAnsi="Sabon Next LT" w:cs="Sabon Next LT"/>
                <w:szCs w:val="20"/>
                <w:lang w:eastAsia="en-US"/>
              </w:rPr>
              <w:t>TURNOUT</w:t>
            </w:r>
          </w:p>
        </w:tc>
        <w:tc>
          <w:tcPr>
            <w:tcW w:w="1451" w:type="dxa"/>
          </w:tcPr>
          <w:p w14:paraId="48319E11" w14:textId="77777777" w:rsidR="007C2E48" w:rsidRPr="002D3529" w:rsidRDefault="007C2E48" w:rsidP="00DE1A10">
            <w:pPr>
              <w:spacing w:after="160" w:line="259" w:lineRule="auto"/>
              <w:ind w:firstLine="0"/>
              <w:rPr>
                <w:rFonts w:ascii="Sabon Next LT" w:eastAsia="Calibri" w:hAnsi="Sabon Next LT" w:cs="Sabon Next LT"/>
                <w:szCs w:val="20"/>
                <w:lang w:eastAsia="en-US"/>
              </w:rPr>
            </w:pPr>
            <w:r w:rsidRPr="002D3529">
              <w:rPr>
                <w:rFonts w:ascii="Sabon Next LT" w:eastAsia="Calibri" w:hAnsi="Sabon Next LT" w:cs="Sabon Next LT"/>
                <w:szCs w:val="20"/>
                <w:lang w:eastAsia="en-US"/>
              </w:rPr>
              <w:t>35,35</w:t>
            </w:r>
          </w:p>
        </w:tc>
        <w:tc>
          <w:tcPr>
            <w:tcW w:w="1466" w:type="dxa"/>
          </w:tcPr>
          <w:p w14:paraId="3289CA25" w14:textId="77777777" w:rsidR="007C2E48" w:rsidRPr="002D3529" w:rsidRDefault="007C2E48" w:rsidP="00DE1A10">
            <w:pPr>
              <w:spacing w:after="160" w:line="259" w:lineRule="auto"/>
              <w:ind w:firstLine="0"/>
              <w:rPr>
                <w:rFonts w:ascii="Sabon Next LT" w:eastAsia="Calibri" w:hAnsi="Sabon Next LT" w:cs="Sabon Next LT"/>
                <w:szCs w:val="20"/>
                <w:lang w:eastAsia="en-US"/>
              </w:rPr>
            </w:pPr>
            <w:r w:rsidRPr="002D3529">
              <w:rPr>
                <w:rFonts w:ascii="Sabon Next LT" w:eastAsia="Calibri" w:hAnsi="Sabon Next LT" w:cs="Sabon Next LT"/>
                <w:szCs w:val="20"/>
                <w:lang w:eastAsia="en-US"/>
              </w:rPr>
              <w:t>56,94</w:t>
            </w:r>
          </w:p>
        </w:tc>
        <w:tc>
          <w:tcPr>
            <w:tcW w:w="1294" w:type="dxa"/>
          </w:tcPr>
          <w:p w14:paraId="6B1CAA5B" w14:textId="77777777" w:rsidR="007C2E48" w:rsidRPr="002D3529" w:rsidRDefault="007C2E48" w:rsidP="00DE1A10">
            <w:pPr>
              <w:spacing w:after="160" w:line="259" w:lineRule="auto"/>
              <w:ind w:firstLine="0"/>
              <w:rPr>
                <w:rFonts w:ascii="Sabon Next LT" w:eastAsia="Calibri" w:hAnsi="Sabon Next LT" w:cs="Sabon Next LT"/>
                <w:szCs w:val="20"/>
                <w:lang w:eastAsia="en-US"/>
              </w:rPr>
            </w:pPr>
            <w:r w:rsidRPr="002D3529">
              <w:rPr>
                <w:rFonts w:ascii="Sabon Next LT" w:eastAsia="Calibri" w:hAnsi="Sabon Next LT" w:cs="Sabon Next LT"/>
                <w:szCs w:val="20"/>
                <w:lang w:eastAsia="en-US"/>
              </w:rPr>
              <w:t>47,21</w:t>
            </w:r>
          </w:p>
        </w:tc>
        <w:tc>
          <w:tcPr>
            <w:tcW w:w="1365" w:type="dxa"/>
          </w:tcPr>
          <w:p w14:paraId="45C058BF" w14:textId="77777777" w:rsidR="007C2E48" w:rsidRPr="002D3529" w:rsidRDefault="007C2E48" w:rsidP="00DE1A10">
            <w:pPr>
              <w:spacing w:after="160" w:line="259" w:lineRule="auto"/>
              <w:ind w:firstLine="0"/>
              <w:rPr>
                <w:rFonts w:ascii="Sabon Next LT" w:eastAsia="Calibri" w:hAnsi="Sabon Next LT" w:cs="Sabon Next LT"/>
                <w:szCs w:val="20"/>
                <w:lang w:eastAsia="en-US"/>
              </w:rPr>
            </w:pPr>
            <w:r w:rsidRPr="002D3529">
              <w:rPr>
                <w:rFonts w:ascii="Sabon Next LT" w:eastAsia="Calibri" w:hAnsi="Sabon Next LT" w:cs="Sabon Next LT"/>
                <w:szCs w:val="20"/>
                <w:lang w:eastAsia="en-US"/>
              </w:rPr>
              <w:t>47,83</w:t>
            </w:r>
          </w:p>
        </w:tc>
        <w:tc>
          <w:tcPr>
            <w:tcW w:w="1426" w:type="dxa"/>
          </w:tcPr>
          <w:p w14:paraId="7F19829B" w14:textId="77777777" w:rsidR="007C2E48" w:rsidRPr="002D3529" w:rsidRDefault="007C2E48" w:rsidP="00DE1A10">
            <w:pPr>
              <w:spacing w:after="160" w:line="259" w:lineRule="auto"/>
              <w:ind w:firstLine="0"/>
              <w:rPr>
                <w:rFonts w:ascii="Sabon Next LT" w:eastAsia="Calibri" w:hAnsi="Sabon Next LT" w:cs="Sabon Next LT"/>
                <w:szCs w:val="20"/>
                <w:lang w:eastAsia="en-US"/>
              </w:rPr>
            </w:pPr>
            <w:r w:rsidRPr="002D3529">
              <w:rPr>
                <w:rFonts w:ascii="Sabon Next LT" w:eastAsia="Calibri" w:hAnsi="Sabon Next LT" w:cs="Sabon Next LT"/>
                <w:szCs w:val="20"/>
                <w:lang w:eastAsia="en-US"/>
              </w:rPr>
              <w:t>4,38</w:t>
            </w:r>
          </w:p>
        </w:tc>
      </w:tr>
      <w:tr w:rsidR="007C2E48" w:rsidRPr="000D63C6" w14:paraId="4F595A0B" w14:textId="77777777" w:rsidTr="00DE1A10">
        <w:trPr>
          <w:trHeight w:val="425"/>
        </w:trPr>
        <w:tc>
          <w:tcPr>
            <w:tcW w:w="1918" w:type="dxa"/>
          </w:tcPr>
          <w:p w14:paraId="757C3C32" w14:textId="77777777" w:rsidR="007C2E48" w:rsidRPr="002D3529" w:rsidRDefault="007C2E48" w:rsidP="00DE1A10">
            <w:pPr>
              <w:spacing w:after="160" w:line="259" w:lineRule="auto"/>
              <w:ind w:firstLine="0"/>
              <w:rPr>
                <w:rFonts w:ascii="Sabon Next LT" w:eastAsia="Calibri" w:hAnsi="Sabon Next LT" w:cs="Sabon Next LT"/>
                <w:szCs w:val="20"/>
                <w:lang w:eastAsia="en-US"/>
              </w:rPr>
            </w:pPr>
            <w:r w:rsidRPr="002D3529">
              <w:rPr>
                <w:rFonts w:ascii="Sabon Next LT" w:eastAsia="Calibri" w:hAnsi="Sabon Next LT" w:cs="Sabon Next LT"/>
                <w:szCs w:val="20"/>
                <w:lang w:eastAsia="en-US"/>
              </w:rPr>
              <w:t>PARTICIPATION</w:t>
            </w:r>
          </w:p>
        </w:tc>
        <w:tc>
          <w:tcPr>
            <w:tcW w:w="1451" w:type="dxa"/>
          </w:tcPr>
          <w:p w14:paraId="3A1E3084" w14:textId="77777777" w:rsidR="007C2E48" w:rsidRPr="002D3529" w:rsidRDefault="007C2E48" w:rsidP="00DE1A10">
            <w:pPr>
              <w:spacing w:after="160" w:line="259" w:lineRule="auto"/>
              <w:ind w:firstLine="0"/>
              <w:rPr>
                <w:rFonts w:ascii="Sabon Next LT" w:eastAsia="Calibri" w:hAnsi="Sabon Next LT" w:cs="Sabon Next LT"/>
                <w:szCs w:val="20"/>
                <w:lang w:eastAsia="en-US"/>
              </w:rPr>
            </w:pPr>
            <w:r w:rsidRPr="002D3529">
              <w:rPr>
                <w:rFonts w:ascii="Sabon Next LT" w:eastAsia="Calibri" w:hAnsi="Sabon Next LT" w:cs="Sabon Next LT"/>
                <w:szCs w:val="20"/>
                <w:lang w:eastAsia="en-US"/>
              </w:rPr>
              <w:t xml:space="preserve">0,3  </w:t>
            </w:r>
          </w:p>
        </w:tc>
        <w:tc>
          <w:tcPr>
            <w:tcW w:w="1466" w:type="dxa"/>
          </w:tcPr>
          <w:p w14:paraId="33381697" w14:textId="77777777" w:rsidR="007C2E48" w:rsidRPr="002D3529" w:rsidRDefault="007C2E48" w:rsidP="00DE1A10">
            <w:pPr>
              <w:spacing w:after="160" w:line="259" w:lineRule="auto"/>
              <w:ind w:firstLine="0"/>
              <w:rPr>
                <w:rFonts w:ascii="Sabon Next LT" w:eastAsia="Calibri" w:hAnsi="Sabon Next LT" w:cs="Sabon Next LT"/>
                <w:szCs w:val="20"/>
                <w:lang w:eastAsia="en-US"/>
              </w:rPr>
            </w:pPr>
            <w:r w:rsidRPr="002D3529">
              <w:rPr>
                <w:rFonts w:ascii="Sabon Next LT" w:eastAsia="Calibri" w:hAnsi="Sabon Next LT" w:cs="Sabon Next LT"/>
                <w:szCs w:val="20"/>
                <w:lang w:eastAsia="en-US"/>
              </w:rPr>
              <w:t>23,93</w:t>
            </w:r>
          </w:p>
        </w:tc>
        <w:tc>
          <w:tcPr>
            <w:tcW w:w="1294" w:type="dxa"/>
          </w:tcPr>
          <w:p w14:paraId="09C76225" w14:textId="77777777" w:rsidR="007C2E48" w:rsidRPr="002D3529" w:rsidRDefault="007C2E48" w:rsidP="00DE1A10">
            <w:pPr>
              <w:spacing w:after="160" w:line="259" w:lineRule="auto"/>
              <w:ind w:firstLine="0"/>
              <w:rPr>
                <w:rFonts w:ascii="Sabon Next LT" w:eastAsia="Calibri" w:hAnsi="Sabon Next LT" w:cs="Sabon Next LT"/>
                <w:szCs w:val="20"/>
                <w:lang w:eastAsia="en-US"/>
              </w:rPr>
            </w:pPr>
            <w:r w:rsidRPr="002D3529">
              <w:rPr>
                <w:rFonts w:ascii="Sabon Next LT" w:eastAsia="Calibri" w:hAnsi="Sabon Next LT" w:cs="Sabon Next LT"/>
                <w:szCs w:val="20"/>
                <w:lang w:eastAsia="en-US"/>
              </w:rPr>
              <w:t>8,41</w:t>
            </w:r>
          </w:p>
        </w:tc>
        <w:tc>
          <w:tcPr>
            <w:tcW w:w="1365" w:type="dxa"/>
          </w:tcPr>
          <w:p w14:paraId="410CDD43" w14:textId="77777777" w:rsidR="007C2E48" w:rsidRPr="002D3529" w:rsidRDefault="007C2E48" w:rsidP="00DE1A10">
            <w:pPr>
              <w:spacing w:after="160" w:line="259" w:lineRule="auto"/>
              <w:ind w:firstLine="0"/>
              <w:rPr>
                <w:rFonts w:ascii="Sabon Next LT" w:eastAsia="Calibri" w:hAnsi="Sabon Next LT" w:cs="Sabon Next LT"/>
                <w:szCs w:val="20"/>
                <w:lang w:eastAsia="en-US"/>
              </w:rPr>
            </w:pPr>
            <w:r w:rsidRPr="002D3529">
              <w:rPr>
                <w:rFonts w:ascii="Sabon Next LT" w:eastAsia="Calibri" w:hAnsi="Sabon Next LT" w:cs="Sabon Next LT"/>
                <w:szCs w:val="20"/>
                <w:lang w:eastAsia="en-US"/>
              </w:rPr>
              <w:t>7,48</w:t>
            </w:r>
          </w:p>
        </w:tc>
        <w:tc>
          <w:tcPr>
            <w:tcW w:w="1426" w:type="dxa"/>
          </w:tcPr>
          <w:p w14:paraId="2591398B" w14:textId="1620323F" w:rsidR="007C2E48" w:rsidRPr="002D3529" w:rsidRDefault="00FB6F9C" w:rsidP="00DE1A10">
            <w:pPr>
              <w:spacing w:after="160" w:line="259" w:lineRule="auto"/>
              <w:ind w:firstLine="0"/>
              <w:rPr>
                <w:rFonts w:ascii="Sabon Next LT" w:eastAsia="Calibri" w:hAnsi="Sabon Next LT" w:cs="Sabon Next LT"/>
                <w:szCs w:val="20"/>
                <w:lang w:eastAsia="en-US"/>
              </w:rPr>
            </w:pPr>
            <w:r>
              <w:rPr>
                <w:rFonts w:ascii="Sabon Next LT" w:eastAsia="Calibri" w:hAnsi="Sabon Next LT" w:cs="Sabon Next LT"/>
                <w:szCs w:val="20"/>
                <w:lang w:eastAsia="en-US"/>
              </w:rPr>
              <w:t>6,71</w:t>
            </w:r>
          </w:p>
        </w:tc>
      </w:tr>
      <w:tr w:rsidR="007C2E48" w:rsidRPr="000D63C6" w14:paraId="37FC363E" w14:textId="77777777" w:rsidTr="00DE1A10">
        <w:trPr>
          <w:trHeight w:val="436"/>
        </w:trPr>
        <w:tc>
          <w:tcPr>
            <w:tcW w:w="1918" w:type="dxa"/>
          </w:tcPr>
          <w:p w14:paraId="31E03BF4" w14:textId="77777777" w:rsidR="007C2E48" w:rsidRPr="002D3529" w:rsidRDefault="007C2E48" w:rsidP="00DE1A10">
            <w:pPr>
              <w:spacing w:after="160" w:line="259" w:lineRule="auto"/>
              <w:ind w:firstLine="0"/>
              <w:rPr>
                <w:rFonts w:ascii="Sabon Next LT" w:eastAsia="Calibri" w:hAnsi="Sabon Next LT" w:cs="Sabon Next LT"/>
                <w:szCs w:val="20"/>
                <w:lang w:eastAsia="en-US"/>
              </w:rPr>
            </w:pPr>
            <w:r w:rsidRPr="002D3529">
              <w:rPr>
                <w:rFonts w:ascii="Sabon Next LT" w:eastAsia="Calibri" w:hAnsi="Sabon Next LT" w:cs="Sabon Next LT"/>
                <w:szCs w:val="20"/>
                <w:lang w:eastAsia="en-US"/>
              </w:rPr>
              <w:t>WMR</w:t>
            </w:r>
          </w:p>
        </w:tc>
        <w:tc>
          <w:tcPr>
            <w:tcW w:w="1451" w:type="dxa"/>
          </w:tcPr>
          <w:p w14:paraId="0268BEF6" w14:textId="77777777" w:rsidR="007C2E48" w:rsidRPr="002D3529" w:rsidRDefault="007C2E48" w:rsidP="00DE1A10">
            <w:pPr>
              <w:spacing w:after="160" w:line="259" w:lineRule="auto"/>
              <w:ind w:firstLine="0"/>
              <w:rPr>
                <w:rFonts w:ascii="Sabon Next LT" w:eastAsia="Calibri" w:hAnsi="Sabon Next LT" w:cs="Sabon Next LT"/>
                <w:szCs w:val="20"/>
                <w:lang w:eastAsia="en-US"/>
              </w:rPr>
            </w:pPr>
            <w:r w:rsidRPr="002D3529">
              <w:rPr>
                <w:rFonts w:ascii="Sabon Next LT" w:eastAsia="Calibri" w:hAnsi="Sabon Next LT" w:cs="Sabon Next LT"/>
                <w:szCs w:val="20"/>
                <w:lang w:eastAsia="en-US"/>
              </w:rPr>
              <w:t>16</w:t>
            </w:r>
          </w:p>
        </w:tc>
        <w:tc>
          <w:tcPr>
            <w:tcW w:w="1466" w:type="dxa"/>
          </w:tcPr>
          <w:p w14:paraId="07728324" w14:textId="77777777" w:rsidR="007C2E48" w:rsidRPr="002D3529" w:rsidRDefault="007C2E48" w:rsidP="00DE1A10">
            <w:pPr>
              <w:spacing w:after="160" w:line="259" w:lineRule="auto"/>
              <w:ind w:firstLine="0"/>
              <w:rPr>
                <w:rFonts w:ascii="Sabon Next LT" w:eastAsia="Calibri" w:hAnsi="Sabon Next LT" w:cs="Sabon Next LT"/>
                <w:szCs w:val="20"/>
                <w:lang w:eastAsia="en-US"/>
              </w:rPr>
            </w:pPr>
            <w:r w:rsidRPr="002D3529">
              <w:rPr>
                <w:rFonts w:ascii="Sabon Next LT" w:eastAsia="Calibri" w:hAnsi="Sabon Next LT" w:cs="Sabon Next LT"/>
                <w:szCs w:val="20"/>
                <w:lang w:eastAsia="en-US"/>
              </w:rPr>
              <w:t>47</w:t>
            </w:r>
          </w:p>
        </w:tc>
        <w:tc>
          <w:tcPr>
            <w:tcW w:w="1294" w:type="dxa"/>
          </w:tcPr>
          <w:p w14:paraId="4F1DB028" w14:textId="77777777" w:rsidR="007C2E48" w:rsidRPr="002D3529" w:rsidRDefault="007C2E48" w:rsidP="00DE1A10">
            <w:pPr>
              <w:spacing w:after="160" w:line="259" w:lineRule="auto"/>
              <w:ind w:firstLine="0"/>
              <w:rPr>
                <w:rFonts w:ascii="Sabon Next LT" w:eastAsia="Calibri" w:hAnsi="Sabon Next LT" w:cs="Sabon Next LT"/>
                <w:szCs w:val="20"/>
                <w:lang w:eastAsia="en-US"/>
              </w:rPr>
            </w:pPr>
            <w:r w:rsidRPr="002D3529">
              <w:rPr>
                <w:rFonts w:ascii="Sabon Next LT" w:eastAsia="Calibri" w:hAnsi="Sabon Next LT" w:cs="Sabon Next LT"/>
                <w:szCs w:val="20"/>
                <w:lang w:eastAsia="en-US"/>
              </w:rPr>
              <w:t>31</w:t>
            </w:r>
          </w:p>
        </w:tc>
        <w:tc>
          <w:tcPr>
            <w:tcW w:w="1365" w:type="dxa"/>
          </w:tcPr>
          <w:p w14:paraId="40FBC238" w14:textId="77777777" w:rsidR="007C2E48" w:rsidRPr="002D3529" w:rsidRDefault="007C2E48" w:rsidP="00DE1A10">
            <w:pPr>
              <w:spacing w:after="160" w:line="259" w:lineRule="auto"/>
              <w:ind w:firstLine="0"/>
              <w:rPr>
                <w:rFonts w:ascii="Sabon Next LT" w:eastAsia="Calibri" w:hAnsi="Sabon Next LT" w:cs="Sabon Next LT"/>
                <w:szCs w:val="20"/>
                <w:lang w:eastAsia="en-US"/>
              </w:rPr>
            </w:pPr>
            <w:r w:rsidRPr="002D3529">
              <w:rPr>
                <w:rFonts w:ascii="Sabon Next LT" w:eastAsia="Calibri" w:hAnsi="Sabon Next LT" w:cs="Sabon Next LT"/>
                <w:szCs w:val="20"/>
                <w:lang w:eastAsia="en-US"/>
              </w:rPr>
              <w:t>29</w:t>
            </w:r>
          </w:p>
        </w:tc>
        <w:tc>
          <w:tcPr>
            <w:tcW w:w="1426" w:type="dxa"/>
          </w:tcPr>
          <w:p w14:paraId="1556A4C7" w14:textId="07E17EC0" w:rsidR="007C2E48" w:rsidRPr="002D3529" w:rsidRDefault="007C2E48" w:rsidP="00DE1A10">
            <w:pPr>
              <w:spacing w:after="160" w:line="259" w:lineRule="auto"/>
              <w:ind w:firstLine="0"/>
              <w:rPr>
                <w:rFonts w:ascii="Sabon Next LT" w:eastAsia="Calibri" w:hAnsi="Sabon Next LT" w:cs="Sabon Next LT"/>
                <w:szCs w:val="20"/>
                <w:lang w:eastAsia="en-US"/>
              </w:rPr>
            </w:pPr>
            <w:r w:rsidRPr="002D3529">
              <w:rPr>
                <w:rFonts w:ascii="Sabon Next LT" w:eastAsia="Calibri" w:hAnsi="Sabon Next LT" w:cs="Sabon Next LT"/>
                <w:szCs w:val="20"/>
                <w:lang w:eastAsia="en-US"/>
              </w:rPr>
              <w:t>8,</w:t>
            </w:r>
            <w:r w:rsidR="00024614">
              <w:rPr>
                <w:rFonts w:ascii="Sabon Next LT" w:eastAsia="Calibri" w:hAnsi="Sabon Next LT" w:cs="Sabon Next LT"/>
                <w:szCs w:val="20"/>
                <w:lang w:eastAsia="en-US"/>
              </w:rPr>
              <w:t>71</w:t>
            </w:r>
          </w:p>
        </w:tc>
      </w:tr>
      <w:tr w:rsidR="007C2E48" w:rsidRPr="000D63C6" w14:paraId="1856C459" w14:textId="77777777" w:rsidTr="00DE1A10">
        <w:trPr>
          <w:trHeight w:val="436"/>
        </w:trPr>
        <w:tc>
          <w:tcPr>
            <w:tcW w:w="1918" w:type="dxa"/>
          </w:tcPr>
          <w:p w14:paraId="61B9BB18" w14:textId="77777777" w:rsidR="007C2E48" w:rsidRPr="002D3529" w:rsidRDefault="007C2E48" w:rsidP="00DE1A10">
            <w:pPr>
              <w:spacing w:after="160" w:line="259" w:lineRule="auto"/>
              <w:ind w:firstLine="0"/>
              <w:rPr>
                <w:rFonts w:ascii="Sabon Next LT" w:eastAsia="Calibri" w:hAnsi="Sabon Next LT" w:cs="Sabon Next LT"/>
                <w:szCs w:val="20"/>
                <w:lang w:eastAsia="en-US"/>
              </w:rPr>
            </w:pPr>
            <w:r w:rsidRPr="002D3529">
              <w:rPr>
                <w:rFonts w:ascii="Sabon Next LT" w:eastAsia="Times New Roman" w:hAnsi="Sabon Next LT" w:cs="Sabon Next LT"/>
                <w:color w:val="000000"/>
                <w:szCs w:val="20"/>
                <w:lang w:eastAsia="pl-PL"/>
              </w:rPr>
              <w:t>UNI_COV_A</w:t>
            </w:r>
          </w:p>
        </w:tc>
        <w:tc>
          <w:tcPr>
            <w:tcW w:w="1451" w:type="dxa"/>
          </w:tcPr>
          <w:p w14:paraId="2D4B6801" w14:textId="77777777" w:rsidR="007C2E48" w:rsidRPr="002D3529" w:rsidRDefault="007C2E48" w:rsidP="00DE1A10">
            <w:pPr>
              <w:spacing w:after="160" w:line="259" w:lineRule="auto"/>
              <w:ind w:firstLine="0"/>
              <w:rPr>
                <w:rFonts w:ascii="Sabon Next LT" w:eastAsia="Calibri" w:hAnsi="Sabon Next LT" w:cs="Sabon Next LT"/>
                <w:szCs w:val="20"/>
                <w:lang w:eastAsia="en-US"/>
              </w:rPr>
            </w:pPr>
            <w:r w:rsidRPr="002D3529">
              <w:rPr>
                <w:rFonts w:ascii="Sabon Next LT" w:eastAsia="Calibri" w:hAnsi="Sabon Next LT" w:cs="Sabon Next LT"/>
                <w:szCs w:val="20"/>
                <w:lang w:eastAsia="en-US"/>
              </w:rPr>
              <w:t>0</w:t>
            </w:r>
          </w:p>
        </w:tc>
        <w:tc>
          <w:tcPr>
            <w:tcW w:w="1466" w:type="dxa"/>
          </w:tcPr>
          <w:p w14:paraId="40E1B180" w14:textId="77777777" w:rsidR="007C2E48" w:rsidRPr="002D3529" w:rsidRDefault="007C2E48" w:rsidP="00DE1A10">
            <w:pPr>
              <w:spacing w:after="160" w:line="259" w:lineRule="auto"/>
              <w:ind w:firstLine="0"/>
              <w:rPr>
                <w:rFonts w:ascii="Sabon Next LT" w:eastAsia="Calibri" w:hAnsi="Sabon Next LT" w:cs="Sabon Next LT"/>
                <w:szCs w:val="20"/>
                <w:lang w:eastAsia="en-US"/>
              </w:rPr>
            </w:pPr>
            <w:r w:rsidRPr="002D3529">
              <w:rPr>
                <w:rFonts w:ascii="Sabon Next LT" w:eastAsia="Calibri" w:hAnsi="Sabon Next LT" w:cs="Sabon Next LT"/>
                <w:szCs w:val="20"/>
                <w:lang w:eastAsia="en-US"/>
              </w:rPr>
              <w:t>99,9</w:t>
            </w:r>
          </w:p>
        </w:tc>
        <w:tc>
          <w:tcPr>
            <w:tcW w:w="1294" w:type="dxa"/>
          </w:tcPr>
          <w:p w14:paraId="2D634BC0" w14:textId="77777777" w:rsidR="007C2E48" w:rsidRPr="002D3529" w:rsidRDefault="007C2E48" w:rsidP="00DE1A10">
            <w:pPr>
              <w:spacing w:after="160" w:line="259" w:lineRule="auto"/>
              <w:ind w:firstLine="0"/>
              <w:rPr>
                <w:rFonts w:ascii="Sabon Next LT" w:eastAsia="Calibri" w:hAnsi="Sabon Next LT" w:cs="Sabon Next LT"/>
                <w:szCs w:val="20"/>
                <w:lang w:eastAsia="en-US"/>
              </w:rPr>
            </w:pPr>
            <w:r w:rsidRPr="002D3529">
              <w:rPr>
                <w:rFonts w:ascii="Sabon Next LT" w:eastAsia="Calibri" w:hAnsi="Sabon Next LT" w:cs="Sabon Next LT"/>
                <w:szCs w:val="20"/>
                <w:lang w:eastAsia="en-US"/>
              </w:rPr>
              <w:t xml:space="preserve">42,68   </w:t>
            </w:r>
          </w:p>
        </w:tc>
        <w:tc>
          <w:tcPr>
            <w:tcW w:w="1365" w:type="dxa"/>
          </w:tcPr>
          <w:p w14:paraId="555DCCD4" w14:textId="77777777" w:rsidR="007C2E48" w:rsidRPr="002D3529" w:rsidRDefault="007C2E48" w:rsidP="00DE1A10">
            <w:pPr>
              <w:spacing w:after="160" w:line="259" w:lineRule="auto"/>
              <w:ind w:firstLine="0"/>
              <w:rPr>
                <w:rFonts w:ascii="Sabon Next LT" w:eastAsia="Calibri" w:hAnsi="Sabon Next LT" w:cs="Sabon Next LT"/>
                <w:szCs w:val="20"/>
                <w:lang w:eastAsia="en-US"/>
              </w:rPr>
            </w:pPr>
            <w:r w:rsidRPr="002D3529">
              <w:rPr>
                <w:rFonts w:ascii="Sabon Next LT" w:eastAsia="Calibri" w:hAnsi="Sabon Next LT" w:cs="Sabon Next LT"/>
                <w:szCs w:val="20"/>
                <w:lang w:eastAsia="en-US"/>
              </w:rPr>
              <w:t>41,20</w:t>
            </w:r>
          </w:p>
        </w:tc>
        <w:tc>
          <w:tcPr>
            <w:tcW w:w="1426" w:type="dxa"/>
          </w:tcPr>
          <w:p w14:paraId="0A87D72E" w14:textId="77777777" w:rsidR="007C2E48" w:rsidRPr="002D3529" w:rsidRDefault="007C2E48" w:rsidP="00DE1A10">
            <w:pPr>
              <w:spacing w:after="160" w:line="259" w:lineRule="auto"/>
              <w:ind w:firstLine="0"/>
              <w:rPr>
                <w:rFonts w:ascii="Sabon Next LT" w:eastAsia="Calibri" w:hAnsi="Sabon Next LT" w:cs="Sabon Next LT"/>
                <w:szCs w:val="20"/>
                <w:lang w:eastAsia="en-US"/>
              </w:rPr>
            </w:pPr>
            <w:r w:rsidRPr="002D3529">
              <w:rPr>
                <w:rFonts w:ascii="Sabon Next LT" w:eastAsia="Calibri" w:hAnsi="Sabon Next LT" w:cs="Sabon Next LT"/>
                <w:szCs w:val="20"/>
                <w:lang w:eastAsia="en-US"/>
              </w:rPr>
              <w:t>31,56</w:t>
            </w:r>
          </w:p>
        </w:tc>
      </w:tr>
      <w:tr w:rsidR="007C2E48" w:rsidRPr="000D63C6" w14:paraId="075E5FBD" w14:textId="77777777" w:rsidTr="00DE1A10">
        <w:trPr>
          <w:trHeight w:val="436"/>
        </w:trPr>
        <w:tc>
          <w:tcPr>
            <w:tcW w:w="1918" w:type="dxa"/>
          </w:tcPr>
          <w:p w14:paraId="53B74C7E" w14:textId="77777777" w:rsidR="007C2E48" w:rsidRPr="002D3529" w:rsidRDefault="007C2E48" w:rsidP="00DE1A10">
            <w:pPr>
              <w:spacing w:after="160" w:line="259" w:lineRule="auto"/>
              <w:ind w:firstLine="0"/>
              <w:rPr>
                <w:rFonts w:ascii="Sabon Next LT" w:eastAsia="Calibri" w:hAnsi="Sabon Next LT" w:cs="Sabon Next LT"/>
                <w:szCs w:val="20"/>
                <w:lang w:eastAsia="en-US"/>
              </w:rPr>
            </w:pPr>
            <w:r w:rsidRPr="002D3529">
              <w:rPr>
                <w:rFonts w:ascii="Sabon Next LT" w:eastAsia="Calibri" w:hAnsi="Sabon Next LT" w:cs="Sabon Next LT"/>
                <w:szCs w:val="20"/>
                <w:lang w:eastAsia="en-US"/>
              </w:rPr>
              <w:t>UNI_COV_B</w:t>
            </w:r>
          </w:p>
        </w:tc>
        <w:tc>
          <w:tcPr>
            <w:tcW w:w="1451" w:type="dxa"/>
          </w:tcPr>
          <w:p w14:paraId="39FE6686" w14:textId="77777777" w:rsidR="007C2E48" w:rsidRPr="002D3529" w:rsidRDefault="007C2E48" w:rsidP="00DE1A10">
            <w:pPr>
              <w:spacing w:after="160" w:line="259" w:lineRule="auto"/>
              <w:ind w:firstLine="0"/>
              <w:rPr>
                <w:rFonts w:ascii="Sabon Next LT" w:eastAsia="Calibri" w:hAnsi="Sabon Next LT" w:cs="Sabon Next LT"/>
                <w:szCs w:val="20"/>
                <w:lang w:eastAsia="en-US"/>
              </w:rPr>
            </w:pPr>
            <w:r w:rsidRPr="002D3529">
              <w:rPr>
                <w:rFonts w:ascii="Sabon Next LT" w:eastAsia="Calibri" w:hAnsi="Sabon Next LT" w:cs="Sabon Next LT"/>
                <w:szCs w:val="20"/>
                <w:lang w:eastAsia="en-US"/>
              </w:rPr>
              <w:t>0</w:t>
            </w:r>
          </w:p>
        </w:tc>
        <w:tc>
          <w:tcPr>
            <w:tcW w:w="1466" w:type="dxa"/>
          </w:tcPr>
          <w:p w14:paraId="6FAFF9F8" w14:textId="77777777" w:rsidR="007C2E48" w:rsidRPr="002D3529" w:rsidRDefault="007C2E48" w:rsidP="00DE1A10">
            <w:pPr>
              <w:spacing w:after="160" w:line="259" w:lineRule="auto"/>
              <w:ind w:firstLine="0"/>
              <w:rPr>
                <w:rFonts w:ascii="Sabon Next LT" w:eastAsia="Calibri" w:hAnsi="Sabon Next LT" w:cs="Sabon Next LT"/>
                <w:szCs w:val="20"/>
                <w:lang w:eastAsia="en-US"/>
              </w:rPr>
            </w:pPr>
            <w:r w:rsidRPr="002D3529">
              <w:rPr>
                <w:rFonts w:ascii="Sabon Next LT" w:eastAsia="Calibri" w:hAnsi="Sabon Next LT" w:cs="Sabon Next LT"/>
                <w:szCs w:val="20"/>
                <w:lang w:eastAsia="en-US"/>
              </w:rPr>
              <w:t>100</w:t>
            </w:r>
          </w:p>
        </w:tc>
        <w:tc>
          <w:tcPr>
            <w:tcW w:w="1294" w:type="dxa"/>
          </w:tcPr>
          <w:p w14:paraId="4D159063" w14:textId="77777777" w:rsidR="007C2E48" w:rsidRPr="002D3529" w:rsidRDefault="007C2E48" w:rsidP="00DE1A10">
            <w:pPr>
              <w:spacing w:after="160" w:line="259" w:lineRule="auto"/>
              <w:ind w:firstLine="0"/>
              <w:rPr>
                <w:rFonts w:ascii="Sabon Next LT" w:eastAsia="Calibri" w:hAnsi="Sabon Next LT" w:cs="Sabon Next LT"/>
                <w:szCs w:val="20"/>
                <w:lang w:eastAsia="en-US"/>
              </w:rPr>
            </w:pPr>
            <w:r w:rsidRPr="002D3529">
              <w:rPr>
                <w:rFonts w:ascii="Sabon Next LT" w:eastAsia="Calibri" w:hAnsi="Sabon Next LT" w:cs="Sabon Next LT"/>
                <w:szCs w:val="20"/>
                <w:lang w:eastAsia="en-US"/>
              </w:rPr>
              <w:t>68</w:t>
            </w:r>
          </w:p>
        </w:tc>
        <w:tc>
          <w:tcPr>
            <w:tcW w:w="1365" w:type="dxa"/>
          </w:tcPr>
          <w:p w14:paraId="4F50F204" w14:textId="77777777" w:rsidR="007C2E48" w:rsidRPr="002D3529" w:rsidRDefault="007C2E48" w:rsidP="00DE1A10">
            <w:pPr>
              <w:spacing w:after="160" w:line="259" w:lineRule="auto"/>
              <w:ind w:firstLine="0"/>
              <w:rPr>
                <w:rFonts w:ascii="Sabon Next LT" w:eastAsia="Calibri" w:hAnsi="Sabon Next LT" w:cs="Sabon Next LT"/>
                <w:szCs w:val="20"/>
                <w:lang w:eastAsia="en-US"/>
              </w:rPr>
            </w:pPr>
            <w:r w:rsidRPr="002D3529">
              <w:rPr>
                <w:rFonts w:ascii="Sabon Next LT" w:eastAsia="Calibri" w:hAnsi="Sabon Next LT" w:cs="Sabon Next LT"/>
                <w:szCs w:val="20"/>
                <w:lang w:eastAsia="en-US"/>
              </w:rPr>
              <w:t>83</w:t>
            </w:r>
          </w:p>
        </w:tc>
        <w:tc>
          <w:tcPr>
            <w:tcW w:w="1426" w:type="dxa"/>
          </w:tcPr>
          <w:p w14:paraId="6F616B4D" w14:textId="1ABF3250" w:rsidR="007C2E48" w:rsidRPr="002D3529" w:rsidRDefault="007C2E48" w:rsidP="00DE1A10">
            <w:pPr>
              <w:spacing w:after="160" w:line="259" w:lineRule="auto"/>
              <w:ind w:firstLine="0"/>
              <w:rPr>
                <w:rFonts w:ascii="Sabon Next LT" w:eastAsia="Calibri" w:hAnsi="Sabon Next LT" w:cs="Sabon Next LT"/>
                <w:szCs w:val="20"/>
                <w:lang w:eastAsia="en-US"/>
              </w:rPr>
            </w:pPr>
            <w:r w:rsidRPr="002D3529">
              <w:rPr>
                <w:rFonts w:ascii="Sabon Next LT" w:eastAsia="Calibri" w:hAnsi="Sabon Next LT" w:cs="Sabon Next LT"/>
                <w:szCs w:val="20"/>
                <w:lang w:eastAsia="en-US"/>
              </w:rPr>
              <w:t>3</w:t>
            </w:r>
            <w:r w:rsidR="00525D2B">
              <w:rPr>
                <w:rFonts w:ascii="Sabon Next LT" w:eastAsia="Calibri" w:hAnsi="Sabon Next LT" w:cs="Sabon Next LT"/>
                <w:szCs w:val="20"/>
                <w:lang w:eastAsia="en-US"/>
              </w:rPr>
              <w:t>4,56</w:t>
            </w:r>
          </w:p>
        </w:tc>
      </w:tr>
    </w:tbl>
    <w:p w14:paraId="4A8B8564" w14:textId="77777777" w:rsidR="007C2E48" w:rsidRPr="000D63C6" w:rsidRDefault="007C2E48" w:rsidP="007C2E48">
      <w:pPr>
        <w:spacing w:before="0" w:after="0" w:line="240" w:lineRule="auto"/>
        <w:ind w:firstLine="0"/>
        <w:contextualSpacing/>
        <w:rPr>
          <w:rFonts w:eastAsia="Calibri"/>
          <w:sz w:val="20"/>
          <w:szCs w:val="20"/>
          <w:lang w:eastAsia="en-US"/>
        </w:rPr>
      </w:pPr>
      <w:r w:rsidRPr="000D63C6">
        <w:rPr>
          <w:rFonts w:eastAsia="Calibri"/>
          <w:sz w:val="20"/>
          <w:szCs w:val="20"/>
          <w:lang w:eastAsia="en-US"/>
        </w:rPr>
        <w:t xml:space="preserve">Source: author’s own elaboration, the format adopted from </w:t>
      </w:r>
      <w:r w:rsidRPr="000D63C6">
        <w:rPr>
          <w:rFonts w:eastAsia="Calibri"/>
          <w:sz w:val="20"/>
          <w:szCs w:val="20"/>
          <w:lang w:eastAsia="en-US"/>
        </w:rPr>
        <w:fldChar w:fldCharType="begin"/>
      </w:r>
      <w:r>
        <w:rPr>
          <w:rFonts w:eastAsia="Calibri"/>
          <w:sz w:val="20"/>
          <w:szCs w:val="20"/>
          <w:lang w:eastAsia="en-US"/>
        </w:rPr>
        <w:instrText xml:space="preserve"> ADDIN ZOTERO_ITEM CSL_CITATION {"citationID":"1HWIhFrw","properties":{"formattedCitation":"(Hinterleitner, Sager, and Thomann 2016, app. A)","plainCitation":"(Hinterleitner, Sager, and Thomann 2016, app. A)","dontUpdate":true,"noteIndex":0},"citationItems":[{"id":"Ubi3gMvx/GL2Uco1D","uris":["http://zotero.org/users/7323662/items/RY4N44JQ"],"itemData":{"id":6081,"type":"article-journal","abstract":"During the European debt crisis, numerous states launched austerity programmes. The International Monetary Fund (IMF) evaluates and forecasts the likelihood of member states’ success in implementing these programmes. Although IMF evaluations influence country risk perceptions on capital markets, little is known about their reasoning. This article uses fuzzy-set qualitative comparative analysis (fsQCA) to explore on what grounds the IMF evaluated the success prospects of austerity programmes during the European debt crisis. Results reveal that IMF evaluations are heavily influenced by the programme’s implementation credibility. They require a tractable policy problem, a country’s institutional capacity to structure implementation, and favour expenditure reduction over revenue measures. By acting as a strict guide on the road to fiscal adjustment, the IMF indirectly influences member states’ scope of policy making through its surveillance activities. Extensive austerity programmes that need to be implemented swiftly are evaluated negatively if the country is not involved in an IMF programme.","container-title":"European Journal of Political Research","DOI":"10.1111/1475-6765.12142","ISSN":"03044130","issue":"3","journalAbbreviation":"European Journal of Political Research","language":"en","page":"549-567","source":"DOI.org (Crossref)","title":"The politics of external approval: Explaining the IMF's evaluation of austerity programmes","title-short":"The politics of external approval","volume":"55","author":[{"family":"Hinterleitner","given":"Markus"},{"family":"Sager","given":"Fritz"},{"family":"Thomann","given":"Eva"}],"issued":{"date-parts":[["2016",8]]}},"locator":"A","label":"appendix"}],"schema":"https://github.com/citation-style-language/schema/raw/master/csl-citation.json"} </w:instrText>
      </w:r>
      <w:r w:rsidRPr="000D63C6">
        <w:rPr>
          <w:rFonts w:eastAsia="Calibri"/>
          <w:sz w:val="20"/>
          <w:szCs w:val="20"/>
          <w:lang w:eastAsia="en-US"/>
        </w:rPr>
        <w:fldChar w:fldCharType="separate"/>
      </w:r>
      <w:r w:rsidRPr="000D63C6">
        <w:rPr>
          <w:rFonts w:eastAsia="Calibri"/>
          <w:sz w:val="20"/>
          <w:lang w:eastAsia="en-US"/>
        </w:rPr>
        <w:t>Hinterleitner, Sager, and Thomann 2016, App. A</w:t>
      </w:r>
      <w:r w:rsidRPr="000D63C6">
        <w:rPr>
          <w:rFonts w:eastAsia="Calibri"/>
          <w:sz w:val="20"/>
          <w:szCs w:val="20"/>
          <w:lang w:eastAsia="en-US"/>
        </w:rPr>
        <w:fldChar w:fldCharType="end"/>
      </w:r>
      <w:r w:rsidRPr="000D63C6">
        <w:rPr>
          <w:rFonts w:eastAsia="Calibri"/>
          <w:sz w:val="20"/>
          <w:szCs w:val="20"/>
          <w:lang w:eastAsia="en-US"/>
        </w:rPr>
        <w:t xml:space="preserve">. </w:t>
      </w:r>
    </w:p>
    <w:p w14:paraId="46FA7216" w14:textId="77777777" w:rsidR="00623E54" w:rsidRDefault="007C2E48" w:rsidP="00623E54">
      <w:pPr>
        <w:spacing w:before="0" w:after="0" w:line="240" w:lineRule="auto"/>
        <w:ind w:firstLine="0"/>
        <w:contextualSpacing/>
        <w:rPr>
          <w:rFonts w:eastAsia="Calibri"/>
          <w:b/>
          <w:bCs/>
          <w:sz w:val="20"/>
          <w:szCs w:val="20"/>
          <w:lang w:eastAsia="en-US"/>
        </w:rPr>
      </w:pPr>
      <w:r w:rsidRPr="000D63C6">
        <w:rPr>
          <w:rFonts w:eastAsia="Calibri"/>
          <w:sz w:val="20"/>
          <w:szCs w:val="20"/>
          <w:lang w:eastAsia="en-US"/>
        </w:rPr>
        <w:t>.</w:t>
      </w:r>
    </w:p>
    <w:p w14:paraId="1BF97C99" w14:textId="77777777" w:rsidR="00954229" w:rsidRDefault="00954229">
      <w:pPr>
        <w:spacing w:before="0" w:after="160" w:line="259" w:lineRule="auto"/>
        <w:ind w:firstLine="0"/>
        <w:jc w:val="left"/>
        <w:rPr>
          <w:rFonts w:eastAsia="Calibri"/>
          <w:b/>
          <w:bCs/>
          <w:sz w:val="20"/>
          <w:szCs w:val="20"/>
          <w:lang w:eastAsia="en-US"/>
        </w:rPr>
      </w:pPr>
      <w:r>
        <w:rPr>
          <w:rFonts w:eastAsia="Calibri"/>
          <w:b/>
          <w:bCs/>
          <w:sz w:val="20"/>
          <w:szCs w:val="20"/>
          <w:lang w:eastAsia="en-US"/>
        </w:rPr>
        <w:br w:type="page"/>
      </w:r>
    </w:p>
    <w:p w14:paraId="54FB9725" w14:textId="1F1C4E6D" w:rsidR="007C2E48" w:rsidRPr="00623E54" w:rsidRDefault="007C2E48" w:rsidP="00623E54">
      <w:pPr>
        <w:spacing w:before="0" w:after="0" w:line="240" w:lineRule="auto"/>
        <w:ind w:firstLine="0"/>
        <w:contextualSpacing/>
        <w:rPr>
          <w:rFonts w:eastAsia="Calibri"/>
          <w:sz w:val="20"/>
          <w:szCs w:val="20"/>
          <w:lang w:eastAsia="en-US"/>
        </w:rPr>
      </w:pPr>
      <w:r w:rsidRPr="000D63C6">
        <w:rPr>
          <w:rFonts w:eastAsia="Calibri"/>
          <w:b/>
          <w:bCs/>
          <w:sz w:val="20"/>
          <w:szCs w:val="20"/>
          <w:lang w:eastAsia="en-US"/>
        </w:rPr>
        <w:lastRenderedPageBreak/>
        <w:t>Table A</w:t>
      </w:r>
      <w:r>
        <w:rPr>
          <w:rFonts w:eastAsia="Calibri"/>
          <w:b/>
          <w:bCs/>
          <w:sz w:val="20"/>
          <w:szCs w:val="20"/>
          <w:lang w:eastAsia="en-US"/>
        </w:rPr>
        <w:t>8</w:t>
      </w:r>
      <w:r w:rsidRPr="000D63C6">
        <w:rPr>
          <w:rFonts w:eastAsia="Calibri"/>
          <w:b/>
          <w:bCs/>
          <w:sz w:val="20"/>
          <w:szCs w:val="20"/>
          <w:lang w:eastAsia="en-US"/>
        </w:rPr>
        <w:t>: Calibrated data.</w:t>
      </w:r>
    </w:p>
    <w:tbl>
      <w:tblPr>
        <w:tblStyle w:val="Tabela-Siatka"/>
        <w:tblW w:w="5234" w:type="pct"/>
        <w:tblLayout w:type="fixed"/>
        <w:tblLook w:val="06A0" w:firstRow="1" w:lastRow="0" w:firstColumn="1" w:lastColumn="0" w:noHBand="1" w:noVBand="1"/>
      </w:tblPr>
      <w:tblGrid>
        <w:gridCol w:w="1359"/>
        <w:gridCol w:w="586"/>
        <w:gridCol w:w="778"/>
        <w:gridCol w:w="586"/>
        <w:gridCol w:w="586"/>
        <w:gridCol w:w="588"/>
        <w:gridCol w:w="588"/>
        <w:gridCol w:w="713"/>
        <w:gridCol w:w="577"/>
        <w:gridCol w:w="588"/>
        <w:gridCol w:w="588"/>
        <w:gridCol w:w="588"/>
        <w:gridCol w:w="780"/>
        <w:gridCol w:w="581"/>
      </w:tblGrid>
      <w:tr w:rsidR="007C2E48" w:rsidRPr="000D63C6" w14:paraId="7B300B46" w14:textId="77777777" w:rsidTr="00A15312">
        <w:trPr>
          <w:trHeight w:val="1307"/>
          <w:tblHeader/>
        </w:trPr>
        <w:tc>
          <w:tcPr>
            <w:tcW w:w="716" w:type="pct"/>
            <w:noWrap/>
            <w:vAlign w:val="center"/>
            <w:hideMark/>
          </w:tcPr>
          <w:p w14:paraId="52E248D2" w14:textId="77777777" w:rsidR="007C2E48" w:rsidRPr="002D3529" w:rsidRDefault="007C2E48" w:rsidP="00DE1A10">
            <w:pPr>
              <w:spacing w:line="240" w:lineRule="auto"/>
              <w:ind w:firstLine="0"/>
              <w:jc w:val="center"/>
              <w:rPr>
                <w:rFonts w:ascii="Sabon Next LT" w:eastAsia="Times New Roman" w:hAnsi="Sabon Next LT" w:cs="Sabon Next LT"/>
                <w:b/>
                <w:bCs/>
                <w:szCs w:val="20"/>
                <w:lang w:eastAsia="pl-PL"/>
              </w:rPr>
            </w:pPr>
            <w:r w:rsidRPr="002D3529">
              <w:rPr>
                <w:rFonts w:ascii="Sabon Next LT" w:eastAsia="Times New Roman" w:hAnsi="Sabon Next LT" w:cs="Sabon Next LT"/>
                <w:b/>
                <w:bCs/>
                <w:szCs w:val="20"/>
                <w:lang w:eastAsia="pl-PL"/>
              </w:rPr>
              <w:t>City county</w:t>
            </w:r>
          </w:p>
        </w:tc>
        <w:tc>
          <w:tcPr>
            <w:tcW w:w="309" w:type="pct"/>
            <w:noWrap/>
            <w:textDirection w:val="btLr"/>
            <w:hideMark/>
          </w:tcPr>
          <w:p w14:paraId="4E108D16" w14:textId="77777777" w:rsidR="007C2E48" w:rsidRPr="002D3529" w:rsidRDefault="007C2E48" w:rsidP="00DE1A10">
            <w:pPr>
              <w:spacing w:line="240" w:lineRule="auto"/>
              <w:ind w:left="113" w:right="113" w:firstLine="0"/>
              <w:jc w:val="center"/>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b/>
                <w:bCs/>
                <w:color w:val="000000"/>
                <w:szCs w:val="20"/>
                <w:lang w:eastAsia="pl-PL"/>
              </w:rPr>
              <w:t>OUT</w:t>
            </w:r>
          </w:p>
        </w:tc>
        <w:tc>
          <w:tcPr>
            <w:tcW w:w="410" w:type="pct"/>
            <w:noWrap/>
            <w:textDirection w:val="btLr"/>
            <w:hideMark/>
          </w:tcPr>
          <w:p w14:paraId="6C0154F0" w14:textId="77777777" w:rsidR="007C2E48" w:rsidRPr="002D3529" w:rsidRDefault="007C2E48" w:rsidP="00DE1A10">
            <w:pPr>
              <w:spacing w:line="240" w:lineRule="auto"/>
              <w:ind w:left="113" w:right="113" w:firstLine="0"/>
              <w:jc w:val="center"/>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b/>
                <w:bCs/>
                <w:color w:val="000000"/>
                <w:szCs w:val="20"/>
                <w:lang w:eastAsia="pl-PL"/>
              </w:rPr>
              <w:t>PHP_</w:t>
            </w:r>
            <w:r w:rsidRPr="002D3529">
              <w:rPr>
                <w:rFonts w:ascii="Sabon Next LT" w:eastAsia="Times New Roman" w:hAnsi="Sabon Next LT" w:cs="Sabon Next LT"/>
                <w:b/>
                <w:bCs/>
                <w:color w:val="000000"/>
                <w:szCs w:val="20"/>
                <w:lang w:eastAsia="pl-PL"/>
              </w:rPr>
              <w:br/>
              <w:t>EXP</w:t>
            </w:r>
          </w:p>
        </w:tc>
        <w:tc>
          <w:tcPr>
            <w:tcW w:w="309" w:type="pct"/>
            <w:noWrap/>
            <w:textDirection w:val="btLr"/>
            <w:hideMark/>
          </w:tcPr>
          <w:p w14:paraId="0A247420" w14:textId="77777777" w:rsidR="007C2E48" w:rsidRPr="002D3529" w:rsidRDefault="007C2E48" w:rsidP="00DE1A10">
            <w:pPr>
              <w:spacing w:line="240" w:lineRule="auto"/>
              <w:ind w:left="113" w:right="113" w:firstLine="0"/>
              <w:jc w:val="center"/>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b/>
                <w:bCs/>
                <w:color w:val="000000"/>
                <w:sz w:val="16"/>
                <w:szCs w:val="16"/>
                <w:lang w:eastAsia="pl-PL"/>
              </w:rPr>
              <w:t>UNI_COV_A</w:t>
            </w:r>
          </w:p>
        </w:tc>
        <w:tc>
          <w:tcPr>
            <w:tcW w:w="309" w:type="pct"/>
            <w:noWrap/>
            <w:textDirection w:val="btLr"/>
            <w:hideMark/>
          </w:tcPr>
          <w:p w14:paraId="3387A9B2" w14:textId="77777777" w:rsidR="007C2E48" w:rsidRPr="002D3529" w:rsidRDefault="007C2E48" w:rsidP="00DE1A10">
            <w:pPr>
              <w:spacing w:line="240" w:lineRule="auto"/>
              <w:ind w:left="113" w:right="113" w:firstLine="0"/>
              <w:jc w:val="center"/>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b/>
                <w:bCs/>
                <w:color w:val="000000"/>
                <w:sz w:val="16"/>
                <w:szCs w:val="16"/>
                <w:lang w:eastAsia="pl-PL"/>
              </w:rPr>
              <w:t>UNI_COV_B</w:t>
            </w:r>
          </w:p>
        </w:tc>
        <w:tc>
          <w:tcPr>
            <w:tcW w:w="310" w:type="pct"/>
            <w:noWrap/>
            <w:textDirection w:val="btLr"/>
            <w:hideMark/>
          </w:tcPr>
          <w:p w14:paraId="7685E2BC" w14:textId="77777777" w:rsidR="007C2E48" w:rsidRPr="002D3529" w:rsidRDefault="007C2E48" w:rsidP="00DE1A10">
            <w:pPr>
              <w:spacing w:line="240" w:lineRule="auto"/>
              <w:ind w:left="113" w:right="113" w:firstLine="0"/>
              <w:jc w:val="center"/>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b/>
                <w:bCs/>
                <w:color w:val="000000"/>
                <w:szCs w:val="20"/>
                <w:lang w:eastAsia="pl-PL"/>
              </w:rPr>
              <w:t>POP</w:t>
            </w:r>
          </w:p>
        </w:tc>
        <w:tc>
          <w:tcPr>
            <w:tcW w:w="310" w:type="pct"/>
            <w:noWrap/>
            <w:textDirection w:val="btLr"/>
            <w:hideMark/>
          </w:tcPr>
          <w:p w14:paraId="095834AB" w14:textId="77777777" w:rsidR="007C2E48" w:rsidRPr="002D3529" w:rsidRDefault="007C2E48" w:rsidP="00DE1A10">
            <w:pPr>
              <w:spacing w:line="240" w:lineRule="auto"/>
              <w:ind w:left="113" w:right="113" w:firstLine="0"/>
              <w:jc w:val="center"/>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b/>
                <w:bCs/>
                <w:color w:val="000000"/>
                <w:szCs w:val="20"/>
                <w:lang w:eastAsia="pl-PL"/>
              </w:rPr>
              <w:t>AFFL</w:t>
            </w:r>
          </w:p>
        </w:tc>
        <w:tc>
          <w:tcPr>
            <w:tcW w:w="376" w:type="pct"/>
            <w:tcBorders>
              <w:bottom w:val="single" w:sz="8" w:space="0" w:color="auto"/>
            </w:tcBorders>
            <w:noWrap/>
            <w:textDirection w:val="btLr"/>
            <w:hideMark/>
          </w:tcPr>
          <w:p w14:paraId="17E94D07" w14:textId="77777777" w:rsidR="007C2E48" w:rsidRPr="002D3529" w:rsidRDefault="007C2E48" w:rsidP="00DE1A10">
            <w:pPr>
              <w:spacing w:line="240" w:lineRule="auto"/>
              <w:ind w:left="113" w:right="113" w:firstLine="0"/>
              <w:jc w:val="center"/>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b/>
                <w:bCs/>
                <w:color w:val="000000"/>
                <w:szCs w:val="20"/>
                <w:lang w:eastAsia="pl-PL"/>
              </w:rPr>
              <w:t>AGEMED</w:t>
            </w:r>
          </w:p>
        </w:tc>
        <w:tc>
          <w:tcPr>
            <w:tcW w:w="304" w:type="pct"/>
            <w:noWrap/>
            <w:textDirection w:val="btLr"/>
            <w:hideMark/>
          </w:tcPr>
          <w:p w14:paraId="6C3CD544" w14:textId="77777777" w:rsidR="007C2E48" w:rsidRPr="002D3529" w:rsidRDefault="007C2E48" w:rsidP="00DE1A10">
            <w:pPr>
              <w:spacing w:line="240" w:lineRule="auto"/>
              <w:ind w:left="113" w:right="113" w:firstLine="0"/>
              <w:jc w:val="center"/>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b/>
                <w:bCs/>
                <w:color w:val="000000"/>
                <w:szCs w:val="20"/>
                <w:lang w:eastAsia="pl-PL"/>
              </w:rPr>
              <w:t>DEATH</w:t>
            </w:r>
          </w:p>
        </w:tc>
        <w:tc>
          <w:tcPr>
            <w:tcW w:w="310" w:type="pct"/>
            <w:noWrap/>
            <w:textDirection w:val="btLr"/>
            <w:hideMark/>
          </w:tcPr>
          <w:p w14:paraId="74CE75BB" w14:textId="77777777" w:rsidR="007C2E48" w:rsidRPr="002D3529" w:rsidRDefault="007C2E48" w:rsidP="00DE1A10">
            <w:pPr>
              <w:spacing w:line="240" w:lineRule="auto"/>
              <w:ind w:left="113" w:right="113" w:firstLine="0"/>
              <w:jc w:val="center"/>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b/>
                <w:bCs/>
                <w:color w:val="000000"/>
                <w:szCs w:val="20"/>
                <w:lang w:eastAsia="pl-PL"/>
              </w:rPr>
              <w:t>TURN-OUT</w:t>
            </w:r>
          </w:p>
        </w:tc>
        <w:tc>
          <w:tcPr>
            <w:tcW w:w="310" w:type="pct"/>
            <w:noWrap/>
            <w:textDirection w:val="btLr"/>
            <w:hideMark/>
          </w:tcPr>
          <w:p w14:paraId="2F8773A8" w14:textId="77777777" w:rsidR="007C2E48" w:rsidRPr="002D3529" w:rsidRDefault="007C2E48" w:rsidP="00DE1A10">
            <w:pPr>
              <w:spacing w:line="240" w:lineRule="auto"/>
              <w:ind w:left="113" w:right="113" w:firstLine="0"/>
              <w:jc w:val="center"/>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b/>
                <w:bCs/>
                <w:color w:val="000000"/>
                <w:szCs w:val="20"/>
                <w:lang w:eastAsia="pl-PL"/>
              </w:rPr>
              <w:t>PARTICIP</w:t>
            </w:r>
          </w:p>
        </w:tc>
        <w:tc>
          <w:tcPr>
            <w:tcW w:w="310" w:type="pct"/>
            <w:noWrap/>
            <w:textDirection w:val="btLr"/>
            <w:hideMark/>
          </w:tcPr>
          <w:p w14:paraId="7A6CBD15" w14:textId="77777777" w:rsidR="007C2E48" w:rsidRPr="002D3529" w:rsidRDefault="007C2E48" w:rsidP="00DE1A10">
            <w:pPr>
              <w:spacing w:line="240" w:lineRule="auto"/>
              <w:ind w:left="113" w:right="113" w:firstLine="0"/>
              <w:jc w:val="center"/>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b/>
                <w:bCs/>
                <w:color w:val="000000"/>
                <w:szCs w:val="20"/>
                <w:lang w:eastAsia="pl-PL"/>
              </w:rPr>
              <w:t>WMR</w:t>
            </w:r>
          </w:p>
        </w:tc>
        <w:tc>
          <w:tcPr>
            <w:tcW w:w="411" w:type="pct"/>
            <w:noWrap/>
            <w:textDirection w:val="btLr"/>
            <w:hideMark/>
          </w:tcPr>
          <w:p w14:paraId="389ED2A7" w14:textId="77777777" w:rsidR="007C2E48" w:rsidRPr="002D3529" w:rsidRDefault="007C2E48" w:rsidP="00DE1A10">
            <w:pPr>
              <w:spacing w:line="240" w:lineRule="auto"/>
              <w:ind w:left="113" w:right="113" w:firstLine="0"/>
              <w:jc w:val="center"/>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b/>
                <w:bCs/>
                <w:color w:val="000000"/>
                <w:szCs w:val="20"/>
                <w:lang w:eastAsia="pl-PL"/>
              </w:rPr>
              <w:t>POOR</w:t>
            </w:r>
            <w:r w:rsidRPr="002D3529">
              <w:rPr>
                <w:rFonts w:ascii="Sabon Next LT" w:eastAsia="Times New Roman" w:hAnsi="Sabon Next LT" w:cs="Sabon Next LT"/>
                <w:b/>
                <w:bCs/>
                <w:color w:val="000000"/>
                <w:szCs w:val="20"/>
                <w:lang w:eastAsia="pl-PL"/>
              </w:rPr>
              <w:br/>
              <w:t>HEALTH</w:t>
            </w:r>
          </w:p>
        </w:tc>
        <w:tc>
          <w:tcPr>
            <w:tcW w:w="308" w:type="pct"/>
            <w:noWrap/>
            <w:textDirection w:val="btLr"/>
            <w:hideMark/>
          </w:tcPr>
          <w:p w14:paraId="40042C9B" w14:textId="77777777" w:rsidR="007C2E48" w:rsidRPr="002D3529" w:rsidRDefault="007C2E48" w:rsidP="00DE1A10">
            <w:pPr>
              <w:spacing w:line="240" w:lineRule="auto"/>
              <w:ind w:left="113" w:right="113" w:firstLine="0"/>
              <w:jc w:val="center"/>
              <w:rPr>
                <w:rFonts w:ascii="Sabon Next LT" w:eastAsia="Times New Roman" w:hAnsi="Sabon Next LT" w:cs="Sabon Next LT"/>
                <w:b/>
                <w:bCs/>
                <w:color w:val="000000"/>
                <w:szCs w:val="20"/>
                <w:lang w:eastAsia="pl-PL"/>
              </w:rPr>
            </w:pPr>
            <w:r w:rsidRPr="002D3529">
              <w:rPr>
                <w:rFonts w:ascii="Sabon Next LT" w:eastAsia="Times New Roman" w:hAnsi="Sabon Next LT" w:cs="Sabon Next LT"/>
                <w:b/>
                <w:bCs/>
                <w:color w:val="000000"/>
                <w:szCs w:val="20"/>
                <w:lang w:eastAsia="pl-PL"/>
              </w:rPr>
              <w:t>SOCAP</w:t>
            </w:r>
          </w:p>
        </w:tc>
      </w:tr>
      <w:tr w:rsidR="007C2E48" w:rsidRPr="000D63C6" w14:paraId="74EEE846" w14:textId="77777777" w:rsidTr="00DE1A10">
        <w:trPr>
          <w:trHeight w:val="442"/>
        </w:trPr>
        <w:tc>
          <w:tcPr>
            <w:tcW w:w="716" w:type="pct"/>
            <w:noWrap/>
            <w:hideMark/>
          </w:tcPr>
          <w:p w14:paraId="7D2D7BE1"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Zabrze</w:t>
            </w:r>
          </w:p>
        </w:tc>
        <w:tc>
          <w:tcPr>
            <w:tcW w:w="309" w:type="pct"/>
            <w:noWrap/>
            <w:hideMark/>
          </w:tcPr>
          <w:p w14:paraId="54F665E4"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Calibri" w:hAnsi="Sabon Next LT" w:cs="Sabon Next LT"/>
                <w:sz w:val="18"/>
                <w:szCs w:val="16"/>
                <w:lang w:eastAsia="en-US"/>
              </w:rPr>
              <w:t>0,33</w:t>
            </w:r>
          </w:p>
        </w:tc>
        <w:tc>
          <w:tcPr>
            <w:tcW w:w="410" w:type="pct"/>
            <w:noWrap/>
            <w:hideMark/>
          </w:tcPr>
          <w:p w14:paraId="0BAFBF1D"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0,44</w:t>
            </w:r>
          </w:p>
        </w:tc>
        <w:tc>
          <w:tcPr>
            <w:tcW w:w="309" w:type="pct"/>
            <w:noWrap/>
            <w:hideMark/>
          </w:tcPr>
          <w:p w14:paraId="7043627F"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0,02</w:t>
            </w:r>
          </w:p>
        </w:tc>
        <w:tc>
          <w:tcPr>
            <w:tcW w:w="309" w:type="pct"/>
            <w:noWrap/>
            <w:hideMark/>
          </w:tcPr>
          <w:p w14:paraId="64268D5B"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0,99</w:t>
            </w:r>
          </w:p>
        </w:tc>
        <w:tc>
          <w:tcPr>
            <w:tcW w:w="310" w:type="pct"/>
            <w:noWrap/>
            <w:hideMark/>
          </w:tcPr>
          <w:p w14:paraId="3609D990"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0,08</w:t>
            </w:r>
          </w:p>
        </w:tc>
        <w:tc>
          <w:tcPr>
            <w:tcW w:w="310" w:type="pct"/>
            <w:noWrap/>
            <w:hideMark/>
          </w:tcPr>
          <w:p w14:paraId="32EC4CAB"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0,02</w:t>
            </w:r>
          </w:p>
        </w:tc>
        <w:tc>
          <w:tcPr>
            <w:tcW w:w="376" w:type="pct"/>
            <w:tcBorders>
              <w:top w:val="single" w:sz="8" w:space="0" w:color="auto"/>
            </w:tcBorders>
            <w:noWrap/>
            <w:hideMark/>
          </w:tcPr>
          <w:p w14:paraId="2E46106B"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0,91</w:t>
            </w:r>
          </w:p>
        </w:tc>
        <w:tc>
          <w:tcPr>
            <w:tcW w:w="304" w:type="pct"/>
            <w:noWrap/>
            <w:hideMark/>
          </w:tcPr>
          <w:p w14:paraId="50F0999C"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&gt;0,50</w:t>
            </w:r>
          </w:p>
        </w:tc>
        <w:tc>
          <w:tcPr>
            <w:tcW w:w="310" w:type="pct"/>
            <w:noWrap/>
            <w:hideMark/>
          </w:tcPr>
          <w:p w14:paraId="3941CD1D"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0,00</w:t>
            </w:r>
          </w:p>
        </w:tc>
        <w:tc>
          <w:tcPr>
            <w:tcW w:w="310" w:type="pct"/>
            <w:noWrap/>
            <w:hideMark/>
          </w:tcPr>
          <w:p w14:paraId="2C66AA67"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0,95</w:t>
            </w:r>
          </w:p>
        </w:tc>
        <w:tc>
          <w:tcPr>
            <w:tcW w:w="310" w:type="pct"/>
            <w:noWrap/>
            <w:hideMark/>
          </w:tcPr>
          <w:p w14:paraId="79A3F53A"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0,03</w:t>
            </w:r>
          </w:p>
        </w:tc>
        <w:tc>
          <w:tcPr>
            <w:tcW w:w="411" w:type="pct"/>
            <w:noWrap/>
            <w:hideMark/>
          </w:tcPr>
          <w:p w14:paraId="22039AAC"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&gt;0,50</w:t>
            </w:r>
          </w:p>
        </w:tc>
        <w:tc>
          <w:tcPr>
            <w:tcW w:w="308" w:type="pct"/>
            <w:noWrap/>
            <w:hideMark/>
          </w:tcPr>
          <w:p w14:paraId="7F5181D6"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0,95</w:t>
            </w:r>
          </w:p>
        </w:tc>
      </w:tr>
      <w:tr w:rsidR="007C2E48" w:rsidRPr="000D63C6" w14:paraId="6464E204" w14:textId="77777777" w:rsidTr="00DE1A10">
        <w:trPr>
          <w:trHeight w:val="442"/>
        </w:trPr>
        <w:tc>
          <w:tcPr>
            <w:tcW w:w="716" w:type="pct"/>
            <w:noWrap/>
            <w:hideMark/>
          </w:tcPr>
          <w:p w14:paraId="0C51B740"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Wroclaw</w:t>
            </w:r>
          </w:p>
        </w:tc>
        <w:tc>
          <w:tcPr>
            <w:tcW w:w="309" w:type="pct"/>
            <w:noWrap/>
            <w:hideMark/>
          </w:tcPr>
          <w:p w14:paraId="35EFC26E"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Calibri" w:hAnsi="Sabon Next LT" w:cs="Sabon Next LT"/>
                <w:sz w:val="18"/>
                <w:szCs w:val="16"/>
                <w:lang w:eastAsia="en-US"/>
              </w:rPr>
              <w:t>0,16</w:t>
            </w:r>
          </w:p>
        </w:tc>
        <w:tc>
          <w:tcPr>
            <w:tcW w:w="410" w:type="pct"/>
            <w:noWrap/>
            <w:hideMark/>
          </w:tcPr>
          <w:p w14:paraId="4A02C7EF"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0,20</w:t>
            </w:r>
          </w:p>
        </w:tc>
        <w:tc>
          <w:tcPr>
            <w:tcW w:w="309" w:type="pct"/>
            <w:noWrap/>
            <w:hideMark/>
          </w:tcPr>
          <w:p w14:paraId="67BCEAB9"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0,18</w:t>
            </w:r>
          </w:p>
        </w:tc>
        <w:tc>
          <w:tcPr>
            <w:tcW w:w="309" w:type="pct"/>
            <w:noWrap/>
            <w:hideMark/>
          </w:tcPr>
          <w:p w14:paraId="55859F4F"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0,54</w:t>
            </w:r>
          </w:p>
        </w:tc>
        <w:tc>
          <w:tcPr>
            <w:tcW w:w="310" w:type="pct"/>
            <w:noWrap/>
            <w:hideMark/>
          </w:tcPr>
          <w:p w14:paraId="023D8D51"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1,00</w:t>
            </w:r>
          </w:p>
        </w:tc>
        <w:tc>
          <w:tcPr>
            <w:tcW w:w="310" w:type="pct"/>
            <w:noWrap/>
            <w:hideMark/>
          </w:tcPr>
          <w:p w14:paraId="0E631A52"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1,00</w:t>
            </w:r>
          </w:p>
        </w:tc>
        <w:tc>
          <w:tcPr>
            <w:tcW w:w="376" w:type="pct"/>
            <w:noWrap/>
            <w:hideMark/>
          </w:tcPr>
          <w:p w14:paraId="0AF5709F"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0,04</w:t>
            </w:r>
          </w:p>
        </w:tc>
        <w:tc>
          <w:tcPr>
            <w:tcW w:w="304" w:type="pct"/>
            <w:noWrap/>
            <w:hideMark/>
          </w:tcPr>
          <w:p w14:paraId="04EE2A0E"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0,46</w:t>
            </w:r>
          </w:p>
        </w:tc>
        <w:tc>
          <w:tcPr>
            <w:tcW w:w="310" w:type="pct"/>
            <w:noWrap/>
            <w:hideMark/>
          </w:tcPr>
          <w:p w14:paraId="3FD00798"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0,16</w:t>
            </w:r>
          </w:p>
        </w:tc>
        <w:tc>
          <w:tcPr>
            <w:tcW w:w="310" w:type="pct"/>
            <w:noWrap/>
            <w:hideMark/>
          </w:tcPr>
          <w:p w14:paraId="2AC02803"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0,55</w:t>
            </w:r>
          </w:p>
        </w:tc>
        <w:tc>
          <w:tcPr>
            <w:tcW w:w="310" w:type="pct"/>
            <w:noWrap/>
            <w:hideMark/>
          </w:tcPr>
          <w:p w14:paraId="28CBD41B"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0,03</w:t>
            </w:r>
          </w:p>
        </w:tc>
        <w:tc>
          <w:tcPr>
            <w:tcW w:w="411" w:type="pct"/>
            <w:noWrap/>
            <w:hideMark/>
          </w:tcPr>
          <w:p w14:paraId="2E94E18F"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0,04</w:t>
            </w:r>
          </w:p>
        </w:tc>
        <w:tc>
          <w:tcPr>
            <w:tcW w:w="308" w:type="pct"/>
            <w:noWrap/>
            <w:hideMark/>
          </w:tcPr>
          <w:p w14:paraId="209DE4F2"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0,55</w:t>
            </w:r>
          </w:p>
        </w:tc>
      </w:tr>
      <w:tr w:rsidR="007C2E48" w:rsidRPr="000D63C6" w14:paraId="49335FFF" w14:textId="77777777" w:rsidTr="00DE1A10">
        <w:trPr>
          <w:trHeight w:val="442"/>
        </w:trPr>
        <w:tc>
          <w:tcPr>
            <w:tcW w:w="716" w:type="pct"/>
            <w:noWrap/>
            <w:hideMark/>
          </w:tcPr>
          <w:p w14:paraId="0D3FA5F2"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Warsaw</w:t>
            </w:r>
          </w:p>
        </w:tc>
        <w:tc>
          <w:tcPr>
            <w:tcW w:w="309" w:type="pct"/>
            <w:noWrap/>
            <w:hideMark/>
          </w:tcPr>
          <w:p w14:paraId="5DCDFD5E"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Calibri" w:hAnsi="Sabon Next LT" w:cs="Sabon Next LT"/>
                <w:sz w:val="18"/>
                <w:szCs w:val="16"/>
                <w:lang w:eastAsia="en-US"/>
              </w:rPr>
              <w:t>0,98</w:t>
            </w:r>
          </w:p>
        </w:tc>
        <w:tc>
          <w:tcPr>
            <w:tcW w:w="410" w:type="pct"/>
            <w:noWrap/>
            <w:hideMark/>
          </w:tcPr>
          <w:p w14:paraId="427DF1CA"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1,00</w:t>
            </w:r>
          </w:p>
        </w:tc>
        <w:tc>
          <w:tcPr>
            <w:tcW w:w="309" w:type="pct"/>
            <w:noWrap/>
            <w:hideMark/>
          </w:tcPr>
          <w:p w14:paraId="74B1A8C6"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0,61</w:t>
            </w:r>
          </w:p>
        </w:tc>
        <w:tc>
          <w:tcPr>
            <w:tcW w:w="309" w:type="pct"/>
            <w:noWrap/>
            <w:hideMark/>
          </w:tcPr>
          <w:p w14:paraId="5EA49E54"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0,98</w:t>
            </w:r>
          </w:p>
        </w:tc>
        <w:tc>
          <w:tcPr>
            <w:tcW w:w="310" w:type="pct"/>
            <w:noWrap/>
            <w:hideMark/>
          </w:tcPr>
          <w:p w14:paraId="6C5AD3A8"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1,00</w:t>
            </w:r>
          </w:p>
        </w:tc>
        <w:tc>
          <w:tcPr>
            <w:tcW w:w="310" w:type="pct"/>
            <w:noWrap/>
            <w:hideMark/>
          </w:tcPr>
          <w:p w14:paraId="7376B762"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1,00</w:t>
            </w:r>
          </w:p>
        </w:tc>
        <w:tc>
          <w:tcPr>
            <w:tcW w:w="376" w:type="pct"/>
            <w:noWrap/>
            <w:hideMark/>
          </w:tcPr>
          <w:p w14:paraId="2C662569"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0,08</w:t>
            </w:r>
          </w:p>
        </w:tc>
        <w:tc>
          <w:tcPr>
            <w:tcW w:w="304" w:type="pct"/>
            <w:noWrap/>
            <w:hideMark/>
          </w:tcPr>
          <w:p w14:paraId="65B5FBE4"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0,51</w:t>
            </w:r>
          </w:p>
        </w:tc>
        <w:tc>
          <w:tcPr>
            <w:tcW w:w="310" w:type="pct"/>
            <w:noWrap/>
            <w:hideMark/>
          </w:tcPr>
          <w:p w14:paraId="118D565D"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1,00</w:t>
            </w:r>
          </w:p>
        </w:tc>
        <w:tc>
          <w:tcPr>
            <w:tcW w:w="310" w:type="pct"/>
            <w:noWrap/>
            <w:hideMark/>
          </w:tcPr>
          <w:p w14:paraId="7636DCE9"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0,98</w:t>
            </w:r>
          </w:p>
        </w:tc>
        <w:tc>
          <w:tcPr>
            <w:tcW w:w="310" w:type="pct"/>
            <w:noWrap/>
            <w:hideMark/>
          </w:tcPr>
          <w:p w14:paraId="31C5E084"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0,99</w:t>
            </w:r>
          </w:p>
        </w:tc>
        <w:tc>
          <w:tcPr>
            <w:tcW w:w="411" w:type="pct"/>
            <w:noWrap/>
            <w:hideMark/>
          </w:tcPr>
          <w:p w14:paraId="0F42E3D3"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0,08</w:t>
            </w:r>
          </w:p>
        </w:tc>
        <w:tc>
          <w:tcPr>
            <w:tcW w:w="308" w:type="pct"/>
            <w:noWrap/>
            <w:hideMark/>
          </w:tcPr>
          <w:p w14:paraId="142ACE27"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1,00</w:t>
            </w:r>
          </w:p>
        </w:tc>
      </w:tr>
      <w:tr w:rsidR="007C2E48" w:rsidRPr="000D63C6" w14:paraId="3D432026" w14:textId="77777777" w:rsidTr="00DE1A10">
        <w:trPr>
          <w:trHeight w:val="442"/>
        </w:trPr>
        <w:tc>
          <w:tcPr>
            <w:tcW w:w="716" w:type="pct"/>
            <w:noWrap/>
            <w:hideMark/>
          </w:tcPr>
          <w:p w14:paraId="52F68B75"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Torun</w:t>
            </w:r>
          </w:p>
        </w:tc>
        <w:tc>
          <w:tcPr>
            <w:tcW w:w="309" w:type="pct"/>
            <w:noWrap/>
            <w:hideMark/>
          </w:tcPr>
          <w:p w14:paraId="5750EED4"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Calibri" w:hAnsi="Sabon Next LT" w:cs="Sabon Next LT"/>
                <w:sz w:val="18"/>
                <w:szCs w:val="16"/>
                <w:lang w:eastAsia="en-US"/>
              </w:rPr>
              <w:t>0,04</w:t>
            </w:r>
          </w:p>
        </w:tc>
        <w:tc>
          <w:tcPr>
            <w:tcW w:w="410" w:type="pct"/>
            <w:noWrap/>
            <w:hideMark/>
          </w:tcPr>
          <w:p w14:paraId="56E7275C"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0,04</w:t>
            </w:r>
          </w:p>
        </w:tc>
        <w:tc>
          <w:tcPr>
            <w:tcW w:w="309" w:type="pct"/>
            <w:noWrap/>
            <w:hideMark/>
          </w:tcPr>
          <w:p w14:paraId="7CDDE749"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0,01</w:t>
            </w:r>
          </w:p>
        </w:tc>
        <w:tc>
          <w:tcPr>
            <w:tcW w:w="309" w:type="pct"/>
            <w:noWrap/>
            <w:hideMark/>
          </w:tcPr>
          <w:p w14:paraId="67FEC6D1"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0,98</w:t>
            </w:r>
          </w:p>
        </w:tc>
        <w:tc>
          <w:tcPr>
            <w:tcW w:w="310" w:type="pct"/>
            <w:noWrap/>
            <w:hideMark/>
          </w:tcPr>
          <w:p w14:paraId="341E1DF6"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0,13</w:t>
            </w:r>
          </w:p>
        </w:tc>
        <w:tc>
          <w:tcPr>
            <w:tcW w:w="310" w:type="pct"/>
            <w:noWrap/>
            <w:hideMark/>
          </w:tcPr>
          <w:p w14:paraId="02703EA3"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0,09</w:t>
            </w:r>
          </w:p>
        </w:tc>
        <w:tc>
          <w:tcPr>
            <w:tcW w:w="376" w:type="pct"/>
            <w:noWrap/>
            <w:hideMark/>
          </w:tcPr>
          <w:p w14:paraId="271FA5A5"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0,12</w:t>
            </w:r>
          </w:p>
        </w:tc>
        <w:tc>
          <w:tcPr>
            <w:tcW w:w="304" w:type="pct"/>
            <w:noWrap/>
            <w:hideMark/>
          </w:tcPr>
          <w:p w14:paraId="042267CA"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0,19</w:t>
            </w:r>
          </w:p>
        </w:tc>
        <w:tc>
          <w:tcPr>
            <w:tcW w:w="310" w:type="pct"/>
            <w:noWrap/>
            <w:hideMark/>
          </w:tcPr>
          <w:p w14:paraId="36F46762"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0,31</w:t>
            </w:r>
          </w:p>
        </w:tc>
        <w:tc>
          <w:tcPr>
            <w:tcW w:w="310" w:type="pct"/>
            <w:noWrap/>
            <w:hideMark/>
          </w:tcPr>
          <w:p w14:paraId="592EDA84"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0,56</w:t>
            </w:r>
          </w:p>
        </w:tc>
        <w:tc>
          <w:tcPr>
            <w:tcW w:w="310" w:type="pct"/>
            <w:noWrap/>
            <w:hideMark/>
          </w:tcPr>
          <w:p w14:paraId="7581D177"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0,03</w:t>
            </w:r>
          </w:p>
        </w:tc>
        <w:tc>
          <w:tcPr>
            <w:tcW w:w="411" w:type="pct"/>
            <w:noWrap/>
            <w:hideMark/>
          </w:tcPr>
          <w:p w14:paraId="104DC86E"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0,12</w:t>
            </w:r>
          </w:p>
        </w:tc>
        <w:tc>
          <w:tcPr>
            <w:tcW w:w="308" w:type="pct"/>
            <w:noWrap/>
            <w:hideMark/>
          </w:tcPr>
          <w:p w14:paraId="130EE3BA"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0,56</w:t>
            </w:r>
          </w:p>
        </w:tc>
      </w:tr>
      <w:tr w:rsidR="007C2E48" w:rsidRPr="000D63C6" w14:paraId="1FC313D5" w14:textId="77777777" w:rsidTr="00DE1A10">
        <w:trPr>
          <w:trHeight w:val="442"/>
        </w:trPr>
        <w:tc>
          <w:tcPr>
            <w:tcW w:w="716" w:type="pct"/>
            <w:noWrap/>
            <w:hideMark/>
          </w:tcPr>
          <w:p w14:paraId="533539E1"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Szczecin</w:t>
            </w:r>
          </w:p>
        </w:tc>
        <w:tc>
          <w:tcPr>
            <w:tcW w:w="309" w:type="pct"/>
            <w:noWrap/>
            <w:hideMark/>
          </w:tcPr>
          <w:p w14:paraId="3BFA520B"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Calibri" w:hAnsi="Sabon Next LT" w:cs="Sabon Next LT"/>
                <w:sz w:val="18"/>
                <w:szCs w:val="16"/>
                <w:lang w:eastAsia="en-US"/>
              </w:rPr>
              <w:t>0,05</w:t>
            </w:r>
          </w:p>
        </w:tc>
        <w:tc>
          <w:tcPr>
            <w:tcW w:w="410" w:type="pct"/>
            <w:noWrap/>
            <w:hideMark/>
          </w:tcPr>
          <w:p w14:paraId="0D2A39A7"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0,37</w:t>
            </w:r>
          </w:p>
        </w:tc>
        <w:tc>
          <w:tcPr>
            <w:tcW w:w="309" w:type="pct"/>
            <w:noWrap/>
            <w:hideMark/>
          </w:tcPr>
          <w:p w14:paraId="27F2845A"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0,05</w:t>
            </w:r>
          </w:p>
        </w:tc>
        <w:tc>
          <w:tcPr>
            <w:tcW w:w="309" w:type="pct"/>
            <w:noWrap/>
            <w:hideMark/>
          </w:tcPr>
          <w:p w14:paraId="1DCC2B84"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0,00</w:t>
            </w:r>
          </w:p>
        </w:tc>
        <w:tc>
          <w:tcPr>
            <w:tcW w:w="310" w:type="pct"/>
            <w:noWrap/>
            <w:hideMark/>
          </w:tcPr>
          <w:p w14:paraId="3CAE30FC"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0,95</w:t>
            </w:r>
          </w:p>
        </w:tc>
        <w:tc>
          <w:tcPr>
            <w:tcW w:w="310" w:type="pct"/>
            <w:noWrap/>
            <w:hideMark/>
          </w:tcPr>
          <w:p w14:paraId="0199F8B6"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0,37</w:t>
            </w:r>
          </w:p>
        </w:tc>
        <w:tc>
          <w:tcPr>
            <w:tcW w:w="376" w:type="pct"/>
            <w:noWrap/>
            <w:hideMark/>
          </w:tcPr>
          <w:p w14:paraId="0AE70456"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0,78</w:t>
            </w:r>
          </w:p>
        </w:tc>
        <w:tc>
          <w:tcPr>
            <w:tcW w:w="304" w:type="pct"/>
            <w:noWrap/>
            <w:hideMark/>
          </w:tcPr>
          <w:p w14:paraId="5B9DFCC8"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0,77</w:t>
            </w:r>
          </w:p>
        </w:tc>
        <w:tc>
          <w:tcPr>
            <w:tcW w:w="310" w:type="pct"/>
            <w:noWrap/>
            <w:hideMark/>
          </w:tcPr>
          <w:p w14:paraId="56F76A12"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0,07</w:t>
            </w:r>
          </w:p>
        </w:tc>
        <w:tc>
          <w:tcPr>
            <w:tcW w:w="310" w:type="pct"/>
            <w:noWrap/>
            <w:hideMark/>
          </w:tcPr>
          <w:p w14:paraId="6CAD1BCA"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0,01</w:t>
            </w:r>
          </w:p>
        </w:tc>
        <w:tc>
          <w:tcPr>
            <w:tcW w:w="310" w:type="pct"/>
            <w:noWrap/>
            <w:hideMark/>
          </w:tcPr>
          <w:p w14:paraId="480FF9C3"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0,89</w:t>
            </w:r>
          </w:p>
        </w:tc>
        <w:tc>
          <w:tcPr>
            <w:tcW w:w="411" w:type="pct"/>
            <w:noWrap/>
            <w:hideMark/>
          </w:tcPr>
          <w:p w14:paraId="27ED7E8A"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0,77</w:t>
            </w:r>
          </w:p>
        </w:tc>
        <w:tc>
          <w:tcPr>
            <w:tcW w:w="308" w:type="pct"/>
            <w:noWrap/>
            <w:hideMark/>
          </w:tcPr>
          <w:p w14:paraId="5D1C3FA9"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0,07</w:t>
            </w:r>
          </w:p>
        </w:tc>
      </w:tr>
      <w:tr w:rsidR="007C2E48" w:rsidRPr="000D63C6" w14:paraId="3B11C8CD" w14:textId="77777777" w:rsidTr="00DE1A10">
        <w:trPr>
          <w:trHeight w:val="442"/>
        </w:trPr>
        <w:tc>
          <w:tcPr>
            <w:tcW w:w="716" w:type="pct"/>
            <w:noWrap/>
            <w:hideMark/>
          </w:tcPr>
          <w:p w14:paraId="19DC9944"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Sosnowiec</w:t>
            </w:r>
          </w:p>
        </w:tc>
        <w:tc>
          <w:tcPr>
            <w:tcW w:w="309" w:type="pct"/>
            <w:noWrap/>
            <w:hideMark/>
          </w:tcPr>
          <w:p w14:paraId="3EF072BC"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Calibri" w:hAnsi="Sabon Next LT" w:cs="Sabon Next LT"/>
                <w:sz w:val="18"/>
                <w:szCs w:val="16"/>
                <w:lang w:eastAsia="en-US"/>
              </w:rPr>
              <w:t>0,02</w:t>
            </w:r>
          </w:p>
        </w:tc>
        <w:tc>
          <w:tcPr>
            <w:tcW w:w="410" w:type="pct"/>
            <w:noWrap/>
            <w:hideMark/>
          </w:tcPr>
          <w:p w14:paraId="296E7682"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0,04</w:t>
            </w:r>
          </w:p>
        </w:tc>
        <w:tc>
          <w:tcPr>
            <w:tcW w:w="309" w:type="pct"/>
            <w:noWrap/>
            <w:hideMark/>
          </w:tcPr>
          <w:p w14:paraId="0DC51566"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0,02</w:t>
            </w:r>
          </w:p>
        </w:tc>
        <w:tc>
          <w:tcPr>
            <w:tcW w:w="309" w:type="pct"/>
            <w:noWrap/>
            <w:hideMark/>
          </w:tcPr>
          <w:p w14:paraId="5CD2980F"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0,00</w:t>
            </w:r>
          </w:p>
        </w:tc>
        <w:tc>
          <w:tcPr>
            <w:tcW w:w="310" w:type="pct"/>
            <w:noWrap/>
            <w:hideMark/>
          </w:tcPr>
          <w:p w14:paraId="16206586"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0,12</w:t>
            </w:r>
          </w:p>
        </w:tc>
        <w:tc>
          <w:tcPr>
            <w:tcW w:w="310" w:type="pct"/>
            <w:noWrap/>
            <w:hideMark/>
          </w:tcPr>
          <w:p w14:paraId="73E372A2"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0,02</w:t>
            </w:r>
          </w:p>
        </w:tc>
        <w:tc>
          <w:tcPr>
            <w:tcW w:w="376" w:type="pct"/>
            <w:noWrap/>
            <w:hideMark/>
          </w:tcPr>
          <w:p w14:paraId="77B1B074"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1,00</w:t>
            </w:r>
          </w:p>
        </w:tc>
        <w:tc>
          <w:tcPr>
            <w:tcW w:w="304" w:type="pct"/>
            <w:noWrap/>
            <w:hideMark/>
          </w:tcPr>
          <w:p w14:paraId="76CB38DD"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0,97</w:t>
            </w:r>
          </w:p>
        </w:tc>
        <w:tc>
          <w:tcPr>
            <w:tcW w:w="310" w:type="pct"/>
            <w:noWrap/>
            <w:hideMark/>
          </w:tcPr>
          <w:p w14:paraId="6D5177AF"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0,12</w:t>
            </w:r>
          </w:p>
        </w:tc>
        <w:tc>
          <w:tcPr>
            <w:tcW w:w="310" w:type="pct"/>
            <w:noWrap/>
            <w:hideMark/>
          </w:tcPr>
          <w:p w14:paraId="69696916"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0,00</w:t>
            </w:r>
          </w:p>
        </w:tc>
        <w:tc>
          <w:tcPr>
            <w:tcW w:w="310" w:type="pct"/>
            <w:noWrap/>
            <w:hideMark/>
          </w:tcPr>
          <w:p w14:paraId="0BF15C38"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0,24</w:t>
            </w:r>
          </w:p>
        </w:tc>
        <w:tc>
          <w:tcPr>
            <w:tcW w:w="411" w:type="pct"/>
            <w:noWrap/>
            <w:hideMark/>
          </w:tcPr>
          <w:p w14:paraId="456B810C"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0,97</w:t>
            </w:r>
          </w:p>
        </w:tc>
        <w:tc>
          <w:tcPr>
            <w:tcW w:w="308" w:type="pct"/>
            <w:noWrap/>
            <w:hideMark/>
          </w:tcPr>
          <w:p w14:paraId="484285BF"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0,12</w:t>
            </w:r>
          </w:p>
        </w:tc>
      </w:tr>
      <w:tr w:rsidR="007C2E48" w:rsidRPr="000D63C6" w14:paraId="6ADEDD91" w14:textId="77777777" w:rsidTr="00DE1A10">
        <w:trPr>
          <w:trHeight w:val="442"/>
        </w:trPr>
        <w:tc>
          <w:tcPr>
            <w:tcW w:w="716" w:type="pct"/>
            <w:noWrap/>
            <w:hideMark/>
          </w:tcPr>
          <w:p w14:paraId="34514733"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Rzeszow</w:t>
            </w:r>
          </w:p>
        </w:tc>
        <w:tc>
          <w:tcPr>
            <w:tcW w:w="309" w:type="pct"/>
            <w:noWrap/>
            <w:hideMark/>
          </w:tcPr>
          <w:p w14:paraId="2D254A7E"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Calibri" w:hAnsi="Sabon Next LT" w:cs="Sabon Next LT"/>
                <w:sz w:val="18"/>
                <w:szCs w:val="16"/>
                <w:lang w:eastAsia="en-US"/>
              </w:rPr>
              <w:t>0,98</w:t>
            </w:r>
          </w:p>
        </w:tc>
        <w:tc>
          <w:tcPr>
            <w:tcW w:w="410" w:type="pct"/>
            <w:noWrap/>
            <w:hideMark/>
          </w:tcPr>
          <w:p w14:paraId="0AA78AE2"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1,00</w:t>
            </w:r>
          </w:p>
        </w:tc>
        <w:tc>
          <w:tcPr>
            <w:tcW w:w="309" w:type="pct"/>
            <w:noWrap/>
            <w:hideMark/>
          </w:tcPr>
          <w:p w14:paraId="5887C20A"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0,03</w:t>
            </w:r>
          </w:p>
        </w:tc>
        <w:tc>
          <w:tcPr>
            <w:tcW w:w="309" w:type="pct"/>
            <w:noWrap/>
            <w:hideMark/>
          </w:tcPr>
          <w:p w14:paraId="6B2BCD7A"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0,98</w:t>
            </w:r>
          </w:p>
        </w:tc>
        <w:tc>
          <w:tcPr>
            <w:tcW w:w="310" w:type="pct"/>
            <w:noWrap/>
            <w:hideMark/>
          </w:tcPr>
          <w:p w14:paraId="0A76A4FB"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0,12</w:t>
            </w:r>
          </w:p>
        </w:tc>
        <w:tc>
          <w:tcPr>
            <w:tcW w:w="310" w:type="pct"/>
            <w:noWrap/>
            <w:hideMark/>
          </w:tcPr>
          <w:p w14:paraId="04A3D4C7"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0,20</w:t>
            </w:r>
          </w:p>
        </w:tc>
        <w:tc>
          <w:tcPr>
            <w:tcW w:w="376" w:type="pct"/>
            <w:noWrap/>
            <w:hideMark/>
          </w:tcPr>
          <w:p w14:paraId="1C26947C"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0,00</w:t>
            </w:r>
          </w:p>
        </w:tc>
        <w:tc>
          <w:tcPr>
            <w:tcW w:w="304" w:type="pct"/>
            <w:noWrap/>
            <w:hideMark/>
          </w:tcPr>
          <w:p w14:paraId="0F1B29BF"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0,01</w:t>
            </w:r>
          </w:p>
        </w:tc>
        <w:tc>
          <w:tcPr>
            <w:tcW w:w="310" w:type="pct"/>
            <w:noWrap/>
            <w:hideMark/>
          </w:tcPr>
          <w:p w14:paraId="201D4FEB"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0,99</w:t>
            </w:r>
          </w:p>
        </w:tc>
        <w:tc>
          <w:tcPr>
            <w:tcW w:w="310" w:type="pct"/>
            <w:noWrap/>
            <w:hideMark/>
          </w:tcPr>
          <w:p w14:paraId="1F8FA172"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1,00</w:t>
            </w:r>
          </w:p>
        </w:tc>
        <w:tc>
          <w:tcPr>
            <w:tcW w:w="310" w:type="pct"/>
            <w:noWrap/>
            <w:hideMark/>
          </w:tcPr>
          <w:p w14:paraId="6431594B"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0,01</w:t>
            </w:r>
          </w:p>
        </w:tc>
        <w:tc>
          <w:tcPr>
            <w:tcW w:w="411" w:type="pct"/>
            <w:noWrap/>
            <w:hideMark/>
          </w:tcPr>
          <w:p w14:paraId="543B8C01"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0,00</w:t>
            </w:r>
          </w:p>
        </w:tc>
        <w:tc>
          <w:tcPr>
            <w:tcW w:w="308" w:type="pct"/>
            <w:noWrap/>
            <w:hideMark/>
          </w:tcPr>
          <w:p w14:paraId="0B76E293"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1,00</w:t>
            </w:r>
          </w:p>
        </w:tc>
      </w:tr>
      <w:tr w:rsidR="007C2E48" w:rsidRPr="000D63C6" w14:paraId="6799DC08" w14:textId="77777777" w:rsidTr="00DE1A10">
        <w:trPr>
          <w:trHeight w:val="442"/>
        </w:trPr>
        <w:tc>
          <w:tcPr>
            <w:tcW w:w="716" w:type="pct"/>
            <w:noWrap/>
            <w:hideMark/>
          </w:tcPr>
          <w:p w14:paraId="02E6FE6A"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Radom</w:t>
            </w:r>
          </w:p>
        </w:tc>
        <w:tc>
          <w:tcPr>
            <w:tcW w:w="309" w:type="pct"/>
            <w:noWrap/>
            <w:hideMark/>
          </w:tcPr>
          <w:p w14:paraId="72BAC9FF"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Calibri" w:hAnsi="Sabon Next LT" w:cs="Sabon Next LT"/>
                <w:sz w:val="18"/>
                <w:szCs w:val="16"/>
                <w:lang w:eastAsia="en-US"/>
              </w:rPr>
              <w:t>0,56</w:t>
            </w:r>
          </w:p>
        </w:tc>
        <w:tc>
          <w:tcPr>
            <w:tcW w:w="410" w:type="pct"/>
            <w:noWrap/>
            <w:hideMark/>
          </w:tcPr>
          <w:p w14:paraId="02E44343"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0,58</w:t>
            </w:r>
          </w:p>
        </w:tc>
        <w:tc>
          <w:tcPr>
            <w:tcW w:w="309" w:type="pct"/>
            <w:noWrap/>
            <w:hideMark/>
          </w:tcPr>
          <w:p w14:paraId="09F5230E"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0,92</w:t>
            </w:r>
          </w:p>
        </w:tc>
        <w:tc>
          <w:tcPr>
            <w:tcW w:w="309" w:type="pct"/>
            <w:noWrap/>
            <w:hideMark/>
          </w:tcPr>
          <w:p w14:paraId="1C4E8F08"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0,19</w:t>
            </w:r>
          </w:p>
        </w:tc>
        <w:tc>
          <w:tcPr>
            <w:tcW w:w="310" w:type="pct"/>
            <w:noWrap/>
            <w:hideMark/>
          </w:tcPr>
          <w:p w14:paraId="0CD1E032"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0,15</w:t>
            </w:r>
          </w:p>
        </w:tc>
        <w:tc>
          <w:tcPr>
            <w:tcW w:w="310" w:type="pct"/>
            <w:noWrap/>
            <w:hideMark/>
          </w:tcPr>
          <w:p w14:paraId="6A928E87"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0,01</w:t>
            </w:r>
          </w:p>
        </w:tc>
        <w:tc>
          <w:tcPr>
            <w:tcW w:w="376" w:type="pct"/>
            <w:noWrap/>
            <w:hideMark/>
          </w:tcPr>
          <w:p w14:paraId="1372C79F"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0,32</w:t>
            </w:r>
          </w:p>
        </w:tc>
        <w:tc>
          <w:tcPr>
            <w:tcW w:w="304" w:type="pct"/>
            <w:noWrap/>
            <w:hideMark/>
          </w:tcPr>
          <w:p w14:paraId="3560D037"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0,65</w:t>
            </w:r>
          </w:p>
        </w:tc>
        <w:tc>
          <w:tcPr>
            <w:tcW w:w="310" w:type="pct"/>
            <w:noWrap/>
            <w:hideMark/>
          </w:tcPr>
          <w:p w14:paraId="5E20A353"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0,40</w:t>
            </w:r>
          </w:p>
        </w:tc>
        <w:tc>
          <w:tcPr>
            <w:tcW w:w="310" w:type="pct"/>
            <w:noWrap/>
            <w:hideMark/>
          </w:tcPr>
          <w:p w14:paraId="25267CB9"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0,38</w:t>
            </w:r>
          </w:p>
        </w:tc>
        <w:tc>
          <w:tcPr>
            <w:tcW w:w="310" w:type="pct"/>
            <w:noWrap/>
            <w:hideMark/>
          </w:tcPr>
          <w:p w14:paraId="508B8951"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0,36</w:t>
            </w:r>
          </w:p>
        </w:tc>
        <w:tc>
          <w:tcPr>
            <w:tcW w:w="411" w:type="pct"/>
            <w:noWrap/>
            <w:hideMark/>
          </w:tcPr>
          <w:p w14:paraId="141FC68A"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0,32</w:t>
            </w:r>
          </w:p>
        </w:tc>
        <w:tc>
          <w:tcPr>
            <w:tcW w:w="308" w:type="pct"/>
            <w:noWrap/>
            <w:hideMark/>
          </w:tcPr>
          <w:p w14:paraId="22105501"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0,40</w:t>
            </w:r>
          </w:p>
        </w:tc>
      </w:tr>
      <w:tr w:rsidR="007C2E48" w:rsidRPr="000D63C6" w14:paraId="2AF933F3" w14:textId="77777777" w:rsidTr="00DE1A10">
        <w:trPr>
          <w:trHeight w:val="442"/>
        </w:trPr>
        <w:tc>
          <w:tcPr>
            <w:tcW w:w="716" w:type="pct"/>
            <w:noWrap/>
            <w:hideMark/>
          </w:tcPr>
          <w:p w14:paraId="149B027D"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Poznan</w:t>
            </w:r>
          </w:p>
        </w:tc>
        <w:tc>
          <w:tcPr>
            <w:tcW w:w="309" w:type="pct"/>
            <w:noWrap/>
            <w:hideMark/>
          </w:tcPr>
          <w:p w14:paraId="19BB3840"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Calibri" w:hAnsi="Sabon Next LT" w:cs="Sabon Next LT"/>
                <w:sz w:val="18"/>
                <w:szCs w:val="16"/>
                <w:lang w:eastAsia="en-US"/>
              </w:rPr>
              <w:t>0,34</w:t>
            </w:r>
          </w:p>
        </w:tc>
        <w:tc>
          <w:tcPr>
            <w:tcW w:w="410" w:type="pct"/>
            <w:noWrap/>
            <w:hideMark/>
          </w:tcPr>
          <w:p w14:paraId="3E69A3A0"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0,41</w:t>
            </w:r>
          </w:p>
        </w:tc>
        <w:tc>
          <w:tcPr>
            <w:tcW w:w="309" w:type="pct"/>
            <w:noWrap/>
            <w:hideMark/>
          </w:tcPr>
          <w:p w14:paraId="75B709B0"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0,32</w:t>
            </w:r>
          </w:p>
        </w:tc>
        <w:tc>
          <w:tcPr>
            <w:tcW w:w="309" w:type="pct"/>
            <w:noWrap/>
            <w:hideMark/>
          </w:tcPr>
          <w:p w14:paraId="09FB999B"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0,00</w:t>
            </w:r>
          </w:p>
        </w:tc>
        <w:tc>
          <w:tcPr>
            <w:tcW w:w="310" w:type="pct"/>
            <w:noWrap/>
            <w:hideMark/>
          </w:tcPr>
          <w:p w14:paraId="14407BBE"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1,00</w:t>
            </w:r>
          </w:p>
        </w:tc>
        <w:tc>
          <w:tcPr>
            <w:tcW w:w="310" w:type="pct"/>
            <w:noWrap/>
            <w:hideMark/>
          </w:tcPr>
          <w:p w14:paraId="08D7F6DA"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1,00</w:t>
            </w:r>
          </w:p>
        </w:tc>
        <w:tc>
          <w:tcPr>
            <w:tcW w:w="376" w:type="pct"/>
            <w:noWrap/>
            <w:hideMark/>
          </w:tcPr>
          <w:p w14:paraId="6025BFF7"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0,12</w:t>
            </w:r>
          </w:p>
        </w:tc>
        <w:tc>
          <w:tcPr>
            <w:tcW w:w="304" w:type="pct"/>
            <w:noWrap/>
            <w:hideMark/>
          </w:tcPr>
          <w:p w14:paraId="23425E78"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0,41</w:t>
            </w:r>
          </w:p>
        </w:tc>
        <w:tc>
          <w:tcPr>
            <w:tcW w:w="310" w:type="pct"/>
            <w:noWrap/>
            <w:hideMark/>
          </w:tcPr>
          <w:p w14:paraId="442EDF1C"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0,49</w:t>
            </w:r>
          </w:p>
        </w:tc>
        <w:tc>
          <w:tcPr>
            <w:tcW w:w="310" w:type="pct"/>
            <w:noWrap/>
            <w:hideMark/>
          </w:tcPr>
          <w:p w14:paraId="553213E1"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0,00</w:t>
            </w:r>
          </w:p>
        </w:tc>
        <w:tc>
          <w:tcPr>
            <w:tcW w:w="310" w:type="pct"/>
            <w:noWrap/>
            <w:hideMark/>
          </w:tcPr>
          <w:p w14:paraId="7D318F5A"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0,96</w:t>
            </w:r>
          </w:p>
        </w:tc>
        <w:tc>
          <w:tcPr>
            <w:tcW w:w="411" w:type="pct"/>
            <w:noWrap/>
            <w:hideMark/>
          </w:tcPr>
          <w:p w14:paraId="7155701F"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0,12</w:t>
            </w:r>
          </w:p>
        </w:tc>
        <w:tc>
          <w:tcPr>
            <w:tcW w:w="308" w:type="pct"/>
            <w:noWrap/>
            <w:hideMark/>
          </w:tcPr>
          <w:p w14:paraId="75BB3BFC"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0,49</w:t>
            </w:r>
          </w:p>
        </w:tc>
      </w:tr>
      <w:tr w:rsidR="007C2E48" w:rsidRPr="000D63C6" w14:paraId="0527C6CB" w14:textId="77777777" w:rsidTr="00DE1A10">
        <w:trPr>
          <w:trHeight w:val="442"/>
        </w:trPr>
        <w:tc>
          <w:tcPr>
            <w:tcW w:w="716" w:type="pct"/>
            <w:noWrap/>
            <w:hideMark/>
          </w:tcPr>
          <w:p w14:paraId="354ABF6E"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Olsztyn</w:t>
            </w:r>
          </w:p>
        </w:tc>
        <w:tc>
          <w:tcPr>
            <w:tcW w:w="309" w:type="pct"/>
            <w:noWrap/>
            <w:hideMark/>
          </w:tcPr>
          <w:p w14:paraId="0F9EA3C0"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Calibri" w:hAnsi="Sabon Next LT" w:cs="Sabon Next LT"/>
                <w:sz w:val="18"/>
                <w:szCs w:val="16"/>
                <w:lang w:eastAsia="en-US"/>
              </w:rPr>
              <w:t>0,99</w:t>
            </w:r>
          </w:p>
        </w:tc>
        <w:tc>
          <w:tcPr>
            <w:tcW w:w="410" w:type="pct"/>
            <w:noWrap/>
            <w:hideMark/>
          </w:tcPr>
          <w:p w14:paraId="53FCA67C"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0,99</w:t>
            </w:r>
          </w:p>
        </w:tc>
        <w:tc>
          <w:tcPr>
            <w:tcW w:w="309" w:type="pct"/>
            <w:noWrap/>
            <w:hideMark/>
          </w:tcPr>
          <w:p w14:paraId="1E8BC38F"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0,99</w:t>
            </w:r>
          </w:p>
        </w:tc>
        <w:tc>
          <w:tcPr>
            <w:tcW w:w="309" w:type="pct"/>
            <w:noWrap/>
            <w:hideMark/>
          </w:tcPr>
          <w:p w14:paraId="72D9F6A0"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0,99</w:t>
            </w:r>
          </w:p>
        </w:tc>
        <w:tc>
          <w:tcPr>
            <w:tcW w:w="310" w:type="pct"/>
            <w:noWrap/>
            <w:hideMark/>
          </w:tcPr>
          <w:p w14:paraId="2ED74260"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0,07</w:t>
            </w:r>
          </w:p>
        </w:tc>
        <w:tc>
          <w:tcPr>
            <w:tcW w:w="310" w:type="pct"/>
            <w:noWrap/>
            <w:hideMark/>
          </w:tcPr>
          <w:p w14:paraId="131A263C"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0,39</w:t>
            </w:r>
          </w:p>
        </w:tc>
        <w:tc>
          <w:tcPr>
            <w:tcW w:w="376" w:type="pct"/>
            <w:noWrap/>
            <w:hideMark/>
          </w:tcPr>
          <w:p w14:paraId="6D39789A"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0,12</w:t>
            </w:r>
          </w:p>
        </w:tc>
        <w:tc>
          <w:tcPr>
            <w:tcW w:w="304" w:type="pct"/>
            <w:noWrap/>
            <w:hideMark/>
          </w:tcPr>
          <w:p w14:paraId="50D49D9C"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0,08</w:t>
            </w:r>
          </w:p>
        </w:tc>
        <w:tc>
          <w:tcPr>
            <w:tcW w:w="310" w:type="pct"/>
            <w:noWrap/>
            <w:hideMark/>
          </w:tcPr>
          <w:p w14:paraId="07AF58A5"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0,99</w:t>
            </w:r>
          </w:p>
        </w:tc>
        <w:tc>
          <w:tcPr>
            <w:tcW w:w="310" w:type="pct"/>
            <w:noWrap/>
            <w:hideMark/>
          </w:tcPr>
          <w:p w14:paraId="6CE865CA"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0,00</w:t>
            </w:r>
          </w:p>
        </w:tc>
        <w:tc>
          <w:tcPr>
            <w:tcW w:w="310" w:type="pct"/>
            <w:noWrap/>
            <w:hideMark/>
          </w:tcPr>
          <w:p w14:paraId="2A95EAE6"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0,98</w:t>
            </w:r>
          </w:p>
        </w:tc>
        <w:tc>
          <w:tcPr>
            <w:tcW w:w="411" w:type="pct"/>
            <w:noWrap/>
            <w:hideMark/>
          </w:tcPr>
          <w:p w14:paraId="54613E6A"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0,08</w:t>
            </w:r>
          </w:p>
        </w:tc>
        <w:tc>
          <w:tcPr>
            <w:tcW w:w="308" w:type="pct"/>
            <w:noWrap/>
            <w:hideMark/>
          </w:tcPr>
          <w:p w14:paraId="31A43F93"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0,99</w:t>
            </w:r>
          </w:p>
        </w:tc>
      </w:tr>
      <w:tr w:rsidR="007C2E48" w:rsidRPr="000D63C6" w14:paraId="0FCFD360" w14:textId="77777777" w:rsidTr="00DE1A10">
        <w:trPr>
          <w:trHeight w:val="442"/>
        </w:trPr>
        <w:tc>
          <w:tcPr>
            <w:tcW w:w="716" w:type="pct"/>
            <w:noWrap/>
            <w:hideMark/>
          </w:tcPr>
          <w:p w14:paraId="62020BCC"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Lublin</w:t>
            </w:r>
          </w:p>
        </w:tc>
        <w:tc>
          <w:tcPr>
            <w:tcW w:w="309" w:type="pct"/>
            <w:noWrap/>
            <w:hideMark/>
          </w:tcPr>
          <w:p w14:paraId="038B77D7"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Calibri" w:hAnsi="Sabon Next LT" w:cs="Sabon Next LT"/>
                <w:sz w:val="18"/>
                <w:szCs w:val="16"/>
                <w:lang w:eastAsia="en-US"/>
              </w:rPr>
              <w:t>0,13</w:t>
            </w:r>
          </w:p>
        </w:tc>
        <w:tc>
          <w:tcPr>
            <w:tcW w:w="410" w:type="pct"/>
            <w:noWrap/>
            <w:hideMark/>
          </w:tcPr>
          <w:p w14:paraId="188127B5"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0,15</w:t>
            </w:r>
          </w:p>
        </w:tc>
        <w:tc>
          <w:tcPr>
            <w:tcW w:w="309" w:type="pct"/>
            <w:noWrap/>
            <w:hideMark/>
          </w:tcPr>
          <w:p w14:paraId="2DDD11DD"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0,32</w:t>
            </w:r>
          </w:p>
        </w:tc>
        <w:tc>
          <w:tcPr>
            <w:tcW w:w="309" w:type="pct"/>
            <w:noWrap/>
            <w:hideMark/>
          </w:tcPr>
          <w:p w14:paraId="15030D3A"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0,02</w:t>
            </w:r>
          </w:p>
        </w:tc>
        <w:tc>
          <w:tcPr>
            <w:tcW w:w="310" w:type="pct"/>
            <w:noWrap/>
            <w:hideMark/>
          </w:tcPr>
          <w:p w14:paraId="311F178E"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0,76</w:t>
            </w:r>
          </w:p>
        </w:tc>
        <w:tc>
          <w:tcPr>
            <w:tcW w:w="310" w:type="pct"/>
            <w:noWrap/>
            <w:hideMark/>
          </w:tcPr>
          <w:p w14:paraId="10D75FE1"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0,20</w:t>
            </w:r>
          </w:p>
        </w:tc>
        <w:tc>
          <w:tcPr>
            <w:tcW w:w="376" w:type="pct"/>
            <w:noWrap/>
            <w:hideMark/>
          </w:tcPr>
          <w:p w14:paraId="3186048B"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0,19</w:t>
            </w:r>
          </w:p>
        </w:tc>
        <w:tc>
          <w:tcPr>
            <w:tcW w:w="304" w:type="pct"/>
            <w:noWrap/>
            <w:hideMark/>
          </w:tcPr>
          <w:p w14:paraId="7D691F1C"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0,29</w:t>
            </w:r>
          </w:p>
        </w:tc>
        <w:tc>
          <w:tcPr>
            <w:tcW w:w="310" w:type="pct"/>
            <w:noWrap/>
            <w:hideMark/>
          </w:tcPr>
          <w:p w14:paraId="44DB747A"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0,48</w:t>
            </w:r>
          </w:p>
        </w:tc>
        <w:tc>
          <w:tcPr>
            <w:tcW w:w="310" w:type="pct"/>
            <w:noWrap/>
            <w:hideMark/>
          </w:tcPr>
          <w:p w14:paraId="3210372D"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0,97</w:t>
            </w:r>
          </w:p>
        </w:tc>
        <w:tc>
          <w:tcPr>
            <w:tcW w:w="310" w:type="pct"/>
            <w:noWrap/>
            <w:hideMark/>
          </w:tcPr>
          <w:p w14:paraId="33217E6F"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0,09</w:t>
            </w:r>
          </w:p>
        </w:tc>
        <w:tc>
          <w:tcPr>
            <w:tcW w:w="411" w:type="pct"/>
            <w:noWrap/>
            <w:hideMark/>
          </w:tcPr>
          <w:p w14:paraId="26FC2DEF"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0,19</w:t>
            </w:r>
          </w:p>
        </w:tc>
        <w:tc>
          <w:tcPr>
            <w:tcW w:w="308" w:type="pct"/>
            <w:noWrap/>
            <w:hideMark/>
          </w:tcPr>
          <w:p w14:paraId="337AF9D9"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0,97</w:t>
            </w:r>
          </w:p>
        </w:tc>
      </w:tr>
      <w:tr w:rsidR="007C2E48" w:rsidRPr="000D63C6" w14:paraId="74245409" w14:textId="77777777" w:rsidTr="00DE1A10">
        <w:trPr>
          <w:trHeight w:val="442"/>
        </w:trPr>
        <w:tc>
          <w:tcPr>
            <w:tcW w:w="716" w:type="pct"/>
            <w:noWrap/>
            <w:hideMark/>
          </w:tcPr>
          <w:p w14:paraId="32ECBFAD"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Lodz</w:t>
            </w:r>
          </w:p>
        </w:tc>
        <w:tc>
          <w:tcPr>
            <w:tcW w:w="309" w:type="pct"/>
            <w:noWrap/>
            <w:hideMark/>
          </w:tcPr>
          <w:p w14:paraId="3F82135C"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Calibri" w:hAnsi="Sabon Next LT" w:cs="Sabon Next LT"/>
                <w:sz w:val="18"/>
                <w:szCs w:val="16"/>
                <w:lang w:eastAsia="en-US"/>
              </w:rPr>
              <w:t>0,39</w:t>
            </w:r>
          </w:p>
        </w:tc>
        <w:tc>
          <w:tcPr>
            <w:tcW w:w="410" w:type="pct"/>
            <w:noWrap/>
            <w:hideMark/>
          </w:tcPr>
          <w:p w14:paraId="7C2D7D25"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&gt;0,50</w:t>
            </w:r>
          </w:p>
        </w:tc>
        <w:tc>
          <w:tcPr>
            <w:tcW w:w="309" w:type="pct"/>
            <w:noWrap/>
            <w:hideMark/>
          </w:tcPr>
          <w:p w14:paraId="7826F4A4"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0,37</w:t>
            </w:r>
          </w:p>
        </w:tc>
        <w:tc>
          <w:tcPr>
            <w:tcW w:w="309" w:type="pct"/>
            <w:noWrap/>
            <w:hideMark/>
          </w:tcPr>
          <w:p w14:paraId="09842FB1"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0,92</w:t>
            </w:r>
          </w:p>
        </w:tc>
        <w:tc>
          <w:tcPr>
            <w:tcW w:w="310" w:type="pct"/>
            <w:noWrap/>
            <w:hideMark/>
          </w:tcPr>
          <w:p w14:paraId="2F26535F"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1,00</w:t>
            </w:r>
          </w:p>
        </w:tc>
        <w:tc>
          <w:tcPr>
            <w:tcW w:w="310" w:type="pct"/>
            <w:noWrap/>
            <w:hideMark/>
          </w:tcPr>
          <w:p w14:paraId="6C593495"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0,85</w:t>
            </w:r>
          </w:p>
        </w:tc>
        <w:tc>
          <w:tcPr>
            <w:tcW w:w="376" w:type="pct"/>
            <w:noWrap/>
            <w:hideMark/>
          </w:tcPr>
          <w:p w14:paraId="35432680"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0,99</w:t>
            </w:r>
          </w:p>
        </w:tc>
        <w:tc>
          <w:tcPr>
            <w:tcW w:w="304" w:type="pct"/>
            <w:noWrap/>
            <w:hideMark/>
          </w:tcPr>
          <w:p w14:paraId="6C28C567"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1,00</w:t>
            </w:r>
          </w:p>
        </w:tc>
        <w:tc>
          <w:tcPr>
            <w:tcW w:w="310" w:type="pct"/>
            <w:noWrap/>
            <w:hideMark/>
          </w:tcPr>
          <w:p w14:paraId="7329F681"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0,47</w:t>
            </w:r>
          </w:p>
        </w:tc>
        <w:tc>
          <w:tcPr>
            <w:tcW w:w="310" w:type="pct"/>
            <w:noWrap/>
            <w:hideMark/>
          </w:tcPr>
          <w:p w14:paraId="2BE296E5"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0,89</w:t>
            </w:r>
          </w:p>
        </w:tc>
        <w:tc>
          <w:tcPr>
            <w:tcW w:w="310" w:type="pct"/>
            <w:noWrap/>
            <w:hideMark/>
          </w:tcPr>
          <w:p w14:paraId="2EC3958D"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0,91</w:t>
            </w:r>
          </w:p>
        </w:tc>
        <w:tc>
          <w:tcPr>
            <w:tcW w:w="411" w:type="pct"/>
            <w:noWrap/>
            <w:hideMark/>
          </w:tcPr>
          <w:p w14:paraId="204D0B34"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0,99</w:t>
            </w:r>
          </w:p>
        </w:tc>
        <w:tc>
          <w:tcPr>
            <w:tcW w:w="308" w:type="pct"/>
            <w:noWrap/>
            <w:hideMark/>
          </w:tcPr>
          <w:p w14:paraId="46B3A095"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0,89</w:t>
            </w:r>
          </w:p>
        </w:tc>
      </w:tr>
      <w:tr w:rsidR="007C2E48" w:rsidRPr="000D63C6" w14:paraId="6C9A3826" w14:textId="77777777" w:rsidTr="00DE1A10">
        <w:trPr>
          <w:trHeight w:val="442"/>
        </w:trPr>
        <w:tc>
          <w:tcPr>
            <w:tcW w:w="716" w:type="pct"/>
            <w:noWrap/>
            <w:hideMark/>
          </w:tcPr>
          <w:p w14:paraId="30B8CA4B"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Krakow</w:t>
            </w:r>
          </w:p>
        </w:tc>
        <w:tc>
          <w:tcPr>
            <w:tcW w:w="309" w:type="pct"/>
            <w:noWrap/>
            <w:hideMark/>
          </w:tcPr>
          <w:p w14:paraId="3C355DD0"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Calibri" w:hAnsi="Sabon Next LT" w:cs="Sabon Next LT"/>
                <w:sz w:val="18"/>
                <w:szCs w:val="16"/>
                <w:lang w:eastAsia="en-US"/>
              </w:rPr>
              <w:t>0,72</w:t>
            </w:r>
          </w:p>
        </w:tc>
        <w:tc>
          <w:tcPr>
            <w:tcW w:w="410" w:type="pct"/>
            <w:noWrap/>
            <w:hideMark/>
          </w:tcPr>
          <w:p w14:paraId="665CC1BD"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0,73</w:t>
            </w:r>
          </w:p>
        </w:tc>
        <w:tc>
          <w:tcPr>
            <w:tcW w:w="309" w:type="pct"/>
            <w:noWrap/>
            <w:hideMark/>
          </w:tcPr>
          <w:p w14:paraId="0F814CF3"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0,01</w:t>
            </w:r>
          </w:p>
        </w:tc>
        <w:tc>
          <w:tcPr>
            <w:tcW w:w="309" w:type="pct"/>
            <w:noWrap/>
            <w:hideMark/>
          </w:tcPr>
          <w:p w14:paraId="6E71BF38"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0,99</w:t>
            </w:r>
          </w:p>
        </w:tc>
        <w:tc>
          <w:tcPr>
            <w:tcW w:w="310" w:type="pct"/>
            <w:noWrap/>
            <w:hideMark/>
          </w:tcPr>
          <w:p w14:paraId="1CC1C959"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1,00</w:t>
            </w:r>
          </w:p>
        </w:tc>
        <w:tc>
          <w:tcPr>
            <w:tcW w:w="310" w:type="pct"/>
            <w:noWrap/>
            <w:hideMark/>
          </w:tcPr>
          <w:p w14:paraId="51561480"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1,00</w:t>
            </w:r>
          </w:p>
        </w:tc>
        <w:tc>
          <w:tcPr>
            <w:tcW w:w="376" w:type="pct"/>
            <w:noWrap/>
            <w:hideMark/>
          </w:tcPr>
          <w:p w14:paraId="6E5D630A"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0,02</w:t>
            </w:r>
          </w:p>
        </w:tc>
        <w:tc>
          <w:tcPr>
            <w:tcW w:w="304" w:type="pct"/>
            <w:noWrap/>
            <w:hideMark/>
          </w:tcPr>
          <w:p w14:paraId="0FAD7018"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0,20</w:t>
            </w:r>
          </w:p>
        </w:tc>
        <w:tc>
          <w:tcPr>
            <w:tcW w:w="310" w:type="pct"/>
            <w:noWrap/>
            <w:hideMark/>
          </w:tcPr>
          <w:p w14:paraId="0BB20D22"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0,96</w:t>
            </w:r>
          </w:p>
        </w:tc>
        <w:tc>
          <w:tcPr>
            <w:tcW w:w="310" w:type="pct"/>
            <w:noWrap/>
            <w:hideMark/>
          </w:tcPr>
          <w:p w14:paraId="48AE7E9C"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0,98</w:t>
            </w:r>
          </w:p>
        </w:tc>
        <w:tc>
          <w:tcPr>
            <w:tcW w:w="310" w:type="pct"/>
            <w:noWrap/>
            <w:hideMark/>
          </w:tcPr>
          <w:p w14:paraId="693BF56B"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0,09</w:t>
            </w:r>
          </w:p>
        </w:tc>
        <w:tc>
          <w:tcPr>
            <w:tcW w:w="411" w:type="pct"/>
            <w:noWrap/>
            <w:hideMark/>
          </w:tcPr>
          <w:p w14:paraId="3C430667"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0,02</w:t>
            </w:r>
          </w:p>
        </w:tc>
        <w:tc>
          <w:tcPr>
            <w:tcW w:w="308" w:type="pct"/>
            <w:noWrap/>
            <w:hideMark/>
          </w:tcPr>
          <w:p w14:paraId="725972E9"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0,98</w:t>
            </w:r>
          </w:p>
        </w:tc>
      </w:tr>
      <w:tr w:rsidR="007C2E48" w:rsidRPr="000D63C6" w14:paraId="08E865A9" w14:textId="77777777" w:rsidTr="00DE1A10">
        <w:trPr>
          <w:trHeight w:val="442"/>
        </w:trPr>
        <w:tc>
          <w:tcPr>
            <w:tcW w:w="716" w:type="pct"/>
            <w:noWrap/>
            <w:hideMark/>
          </w:tcPr>
          <w:p w14:paraId="7368EC08"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Kielce</w:t>
            </w:r>
          </w:p>
        </w:tc>
        <w:tc>
          <w:tcPr>
            <w:tcW w:w="309" w:type="pct"/>
            <w:noWrap/>
            <w:hideMark/>
          </w:tcPr>
          <w:p w14:paraId="1B33F435"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Calibri" w:hAnsi="Sabon Next LT" w:cs="Sabon Next LT"/>
                <w:sz w:val="18"/>
                <w:szCs w:val="16"/>
                <w:lang w:eastAsia="en-US"/>
              </w:rPr>
              <w:t>0,51</w:t>
            </w:r>
          </w:p>
        </w:tc>
        <w:tc>
          <w:tcPr>
            <w:tcW w:w="410" w:type="pct"/>
            <w:noWrap/>
            <w:hideMark/>
          </w:tcPr>
          <w:p w14:paraId="332C4E20"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0,54</w:t>
            </w:r>
          </w:p>
        </w:tc>
        <w:tc>
          <w:tcPr>
            <w:tcW w:w="309" w:type="pct"/>
            <w:noWrap/>
            <w:hideMark/>
          </w:tcPr>
          <w:p w14:paraId="45BDF64B"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0,93</w:t>
            </w:r>
          </w:p>
        </w:tc>
        <w:tc>
          <w:tcPr>
            <w:tcW w:w="309" w:type="pct"/>
            <w:noWrap/>
            <w:hideMark/>
          </w:tcPr>
          <w:p w14:paraId="239E7ED4"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0,96</w:t>
            </w:r>
          </w:p>
        </w:tc>
        <w:tc>
          <w:tcPr>
            <w:tcW w:w="310" w:type="pct"/>
            <w:noWrap/>
            <w:hideMark/>
          </w:tcPr>
          <w:p w14:paraId="12744DDB"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0,11</w:t>
            </w:r>
          </w:p>
        </w:tc>
        <w:tc>
          <w:tcPr>
            <w:tcW w:w="310" w:type="pct"/>
            <w:noWrap/>
            <w:hideMark/>
          </w:tcPr>
          <w:p w14:paraId="12DB7EF0"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0,19</w:t>
            </w:r>
          </w:p>
        </w:tc>
        <w:tc>
          <w:tcPr>
            <w:tcW w:w="376" w:type="pct"/>
            <w:noWrap/>
            <w:hideMark/>
          </w:tcPr>
          <w:p w14:paraId="09A16F65"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0,87</w:t>
            </w:r>
          </w:p>
        </w:tc>
        <w:tc>
          <w:tcPr>
            <w:tcW w:w="304" w:type="pct"/>
            <w:noWrap/>
            <w:hideMark/>
          </w:tcPr>
          <w:p w14:paraId="113B1DA2"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0,43</w:t>
            </w:r>
          </w:p>
        </w:tc>
        <w:tc>
          <w:tcPr>
            <w:tcW w:w="310" w:type="pct"/>
            <w:noWrap/>
            <w:hideMark/>
          </w:tcPr>
          <w:p w14:paraId="23EC7C36"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0,74</w:t>
            </w:r>
          </w:p>
        </w:tc>
        <w:tc>
          <w:tcPr>
            <w:tcW w:w="310" w:type="pct"/>
            <w:noWrap/>
            <w:hideMark/>
          </w:tcPr>
          <w:p w14:paraId="4265EB79"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0,00</w:t>
            </w:r>
          </w:p>
        </w:tc>
        <w:tc>
          <w:tcPr>
            <w:tcW w:w="310" w:type="pct"/>
            <w:noWrap/>
            <w:hideMark/>
          </w:tcPr>
          <w:p w14:paraId="5B076236"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0,95</w:t>
            </w:r>
          </w:p>
        </w:tc>
        <w:tc>
          <w:tcPr>
            <w:tcW w:w="411" w:type="pct"/>
            <w:noWrap/>
            <w:hideMark/>
          </w:tcPr>
          <w:p w14:paraId="454FA8FA"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0,43</w:t>
            </w:r>
          </w:p>
        </w:tc>
        <w:tc>
          <w:tcPr>
            <w:tcW w:w="308" w:type="pct"/>
            <w:noWrap/>
            <w:hideMark/>
          </w:tcPr>
          <w:p w14:paraId="1C126639"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0,74</w:t>
            </w:r>
          </w:p>
        </w:tc>
      </w:tr>
      <w:tr w:rsidR="007C2E48" w:rsidRPr="000D63C6" w14:paraId="4471AAF8" w14:textId="77777777" w:rsidTr="00DE1A10">
        <w:trPr>
          <w:trHeight w:val="442"/>
        </w:trPr>
        <w:tc>
          <w:tcPr>
            <w:tcW w:w="716" w:type="pct"/>
            <w:noWrap/>
            <w:hideMark/>
          </w:tcPr>
          <w:p w14:paraId="5690CCC6"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Katowice</w:t>
            </w:r>
          </w:p>
        </w:tc>
        <w:tc>
          <w:tcPr>
            <w:tcW w:w="309" w:type="pct"/>
            <w:noWrap/>
            <w:hideMark/>
          </w:tcPr>
          <w:p w14:paraId="0C0CB39B"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Calibri" w:hAnsi="Sabon Next LT" w:cs="Sabon Next LT"/>
                <w:sz w:val="18"/>
                <w:szCs w:val="16"/>
                <w:lang w:eastAsia="en-US"/>
              </w:rPr>
              <w:t>0,43</w:t>
            </w:r>
          </w:p>
        </w:tc>
        <w:tc>
          <w:tcPr>
            <w:tcW w:w="410" w:type="pct"/>
            <w:noWrap/>
            <w:hideMark/>
          </w:tcPr>
          <w:p w14:paraId="5E52F575"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1,00</w:t>
            </w:r>
          </w:p>
        </w:tc>
        <w:tc>
          <w:tcPr>
            <w:tcW w:w="309" w:type="pct"/>
            <w:noWrap/>
            <w:hideMark/>
          </w:tcPr>
          <w:p w14:paraId="2F9F7387"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0,22</w:t>
            </w:r>
          </w:p>
        </w:tc>
        <w:tc>
          <w:tcPr>
            <w:tcW w:w="309" w:type="pct"/>
            <w:noWrap/>
            <w:hideMark/>
          </w:tcPr>
          <w:p w14:paraId="131FDCB6"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0,43</w:t>
            </w:r>
          </w:p>
        </w:tc>
        <w:tc>
          <w:tcPr>
            <w:tcW w:w="310" w:type="pct"/>
            <w:noWrap/>
            <w:hideMark/>
          </w:tcPr>
          <w:p w14:paraId="4862DD5A"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0,46</w:t>
            </w:r>
          </w:p>
        </w:tc>
        <w:tc>
          <w:tcPr>
            <w:tcW w:w="310" w:type="pct"/>
            <w:noWrap/>
            <w:hideMark/>
          </w:tcPr>
          <w:p w14:paraId="13D2981F"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1,00</w:t>
            </w:r>
          </w:p>
        </w:tc>
        <w:tc>
          <w:tcPr>
            <w:tcW w:w="376" w:type="pct"/>
            <w:noWrap/>
            <w:hideMark/>
          </w:tcPr>
          <w:p w14:paraId="1122893F"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0,99</w:t>
            </w:r>
          </w:p>
        </w:tc>
        <w:tc>
          <w:tcPr>
            <w:tcW w:w="304" w:type="pct"/>
            <w:noWrap/>
            <w:hideMark/>
          </w:tcPr>
          <w:p w14:paraId="74F80143"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0,92</w:t>
            </w:r>
          </w:p>
        </w:tc>
        <w:tc>
          <w:tcPr>
            <w:tcW w:w="310" w:type="pct"/>
            <w:noWrap/>
            <w:hideMark/>
          </w:tcPr>
          <w:p w14:paraId="69555D33"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0,17</w:t>
            </w:r>
          </w:p>
        </w:tc>
        <w:tc>
          <w:tcPr>
            <w:tcW w:w="310" w:type="pct"/>
            <w:noWrap/>
            <w:hideMark/>
          </w:tcPr>
          <w:p w14:paraId="0AE56318"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0,03</w:t>
            </w:r>
          </w:p>
        </w:tc>
        <w:tc>
          <w:tcPr>
            <w:tcW w:w="310" w:type="pct"/>
            <w:noWrap/>
            <w:hideMark/>
          </w:tcPr>
          <w:p w14:paraId="1D1742F9"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0,05</w:t>
            </w:r>
          </w:p>
        </w:tc>
        <w:tc>
          <w:tcPr>
            <w:tcW w:w="411" w:type="pct"/>
            <w:noWrap/>
            <w:hideMark/>
          </w:tcPr>
          <w:p w14:paraId="2071073A"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0,92</w:t>
            </w:r>
          </w:p>
        </w:tc>
        <w:tc>
          <w:tcPr>
            <w:tcW w:w="308" w:type="pct"/>
            <w:noWrap/>
            <w:hideMark/>
          </w:tcPr>
          <w:p w14:paraId="2B2EFB76"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0,17</w:t>
            </w:r>
          </w:p>
        </w:tc>
      </w:tr>
      <w:tr w:rsidR="007C2E48" w:rsidRPr="000D63C6" w14:paraId="474C949F" w14:textId="77777777" w:rsidTr="00DE1A10">
        <w:trPr>
          <w:trHeight w:val="442"/>
        </w:trPr>
        <w:tc>
          <w:tcPr>
            <w:tcW w:w="716" w:type="pct"/>
            <w:noWrap/>
            <w:hideMark/>
          </w:tcPr>
          <w:p w14:paraId="57B8C269"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Gliwice</w:t>
            </w:r>
          </w:p>
        </w:tc>
        <w:tc>
          <w:tcPr>
            <w:tcW w:w="309" w:type="pct"/>
            <w:noWrap/>
            <w:hideMark/>
          </w:tcPr>
          <w:p w14:paraId="66071993"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Calibri" w:hAnsi="Sabon Next LT" w:cs="Sabon Next LT"/>
                <w:sz w:val="18"/>
                <w:szCs w:val="16"/>
                <w:lang w:eastAsia="en-US"/>
              </w:rPr>
              <w:t>0,04</w:t>
            </w:r>
          </w:p>
        </w:tc>
        <w:tc>
          <w:tcPr>
            <w:tcW w:w="410" w:type="pct"/>
            <w:noWrap/>
            <w:hideMark/>
          </w:tcPr>
          <w:p w14:paraId="396CF7AA"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0,04</w:t>
            </w:r>
          </w:p>
        </w:tc>
        <w:tc>
          <w:tcPr>
            <w:tcW w:w="309" w:type="pct"/>
            <w:noWrap/>
            <w:hideMark/>
          </w:tcPr>
          <w:p w14:paraId="246617BD"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0,89</w:t>
            </w:r>
          </w:p>
        </w:tc>
        <w:tc>
          <w:tcPr>
            <w:tcW w:w="309" w:type="pct"/>
            <w:noWrap/>
            <w:hideMark/>
          </w:tcPr>
          <w:p w14:paraId="7BA98579"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0,46</w:t>
            </w:r>
          </w:p>
        </w:tc>
        <w:tc>
          <w:tcPr>
            <w:tcW w:w="310" w:type="pct"/>
            <w:noWrap/>
            <w:hideMark/>
          </w:tcPr>
          <w:p w14:paraId="31726EAA"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0,08</w:t>
            </w:r>
          </w:p>
        </w:tc>
        <w:tc>
          <w:tcPr>
            <w:tcW w:w="310" w:type="pct"/>
            <w:noWrap/>
            <w:hideMark/>
          </w:tcPr>
          <w:p w14:paraId="0E0C4567"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0,99</w:t>
            </w:r>
          </w:p>
        </w:tc>
        <w:tc>
          <w:tcPr>
            <w:tcW w:w="376" w:type="pct"/>
            <w:noWrap/>
            <w:hideMark/>
          </w:tcPr>
          <w:p w14:paraId="07CF4B80"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0,78</w:t>
            </w:r>
          </w:p>
        </w:tc>
        <w:tc>
          <w:tcPr>
            <w:tcW w:w="304" w:type="pct"/>
            <w:noWrap/>
            <w:hideMark/>
          </w:tcPr>
          <w:p w14:paraId="36902120"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0,73</w:t>
            </w:r>
          </w:p>
        </w:tc>
        <w:tc>
          <w:tcPr>
            <w:tcW w:w="310" w:type="pct"/>
            <w:noWrap/>
            <w:hideMark/>
          </w:tcPr>
          <w:p w14:paraId="5253A83C"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0,08</w:t>
            </w:r>
          </w:p>
        </w:tc>
        <w:tc>
          <w:tcPr>
            <w:tcW w:w="310" w:type="pct"/>
            <w:noWrap/>
            <w:hideMark/>
          </w:tcPr>
          <w:p w14:paraId="6E69D6F1"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0,00</w:t>
            </w:r>
          </w:p>
        </w:tc>
        <w:tc>
          <w:tcPr>
            <w:tcW w:w="310" w:type="pct"/>
            <w:noWrap/>
            <w:hideMark/>
          </w:tcPr>
          <w:p w14:paraId="6D67D0E3"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0,00</w:t>
            </w:r>
          </w:p>
        </w:tc>
        <w:tc>
          <w:tcPr>
            <w:tcW w:w="411" w:type="pct"/>
            <w:noWrap/>
            <w:hideMark/>
          </w:tcPr>
          <w:p w14:paraId="42C57FB0"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0,73</w:t>
            </w:r>
          </w:p>
        </w:tc>
        <w:tc>
          <w:tcPr>
            <w:tcW w:w="308" w:type="pct"/>
            <w:noWrap/>
            <w:hideMark/>
          </w:tcPr>
          <w:p w14:paraId="2DC05A15"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0,08</w:t>
            </w:r>
          </w:p>
        </w:tc>
      </w:tr>
      <w:tr w:rsidR="007C2E48" w:rsidRPr="000D63C6" w14:paraId="19E64CEE" w14:textId="77777777" w:rsidTr="00DE1A10">
        <w:trPr>
          <w:trHeight w:val="442"/>
        </w:trPr>
        <w:tc>
          <w:tcPr>
            <w:tcW w:w="716" w:type="pct"/>
            <w:noWrap/>
            <w:hideMark/>
          </w:tcPr>
          <w:p w14:paraId="5FEE6C0E"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Gdynia</w:t>
            </w:r>
          </w:p>
        </w:tc>
        <w:tc>
          <w:tcPr>
            <w:tcW w:w="309" w:type="pct"/>
            <w:noWrap/>
            <w:hideMark/>
          </w:tcPr>
          <w:p w14:paraId="58B43C30"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Calibri" w:hAnsi="Sabon Next LT" w:cs="Sabon Next LT"/>
                <w:sz w:val="18"/>
                <w:szCs w:val="16"/>
                <w:lang w:eastAsia="en-US"/>
              </w:rPr>
              <w:t>0,35</w:t>
            </w:r>
          </w:p>
        </w:tc>
        <w:tc>
          <w:tcPr>
            <w:tcW w:w="410" w:type="pct"/>
            <w:noWrap/>
            <w:hideMark/>
          </w:tcPr>
          <w:p w14:paraId="1575D4E2"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0,46</w:t>
            </w:r>
          </w:p>
        </w:tc>
        <w:tc>
          <w:tcPr>
            <w:tcW w:w="309" w:type="pct"/>
            <w:noWrap/>
            <w:hideMark/>
          </w:tcPr>
          <w:p w14:paraId="6474949A"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0,83</w:t>
            </w:r>
          </w:p>
        </w:tc>
        <w:tc>
          <w:tcPr>
            <w:tcW w:w="309" w:type="pct"/>
            <w:noWrap/>
            <w:hideMark/>
          </w:tcPr>
          <w:p w14:paraId="6775C21E"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0,68</w:t>
            </w:r>
          </w:p>
        </w:tc>
        <w:tc>
          <w:tcPr>
            <w:tcW w:w="310" w:type="pct"/>
            <w:noWrap/>
            <w:hideMark/>
          </w:tcPr>
          <w:p w14:paraId="2BA4E180"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0,26</w:t>
            </w:r>
          </w:p>
        </w:tc>
        <w:tc>
          <w:tcPr>
            <w:tcW w:w="310" w:type="pct"/>
            <w:noWrap/>
            <w:hideMark/>
          </w:tcPr>
          <w:p w14:paraId="6F6BB4DA"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0,97</w:t>
            </w:r>
          </w:p>
        </w:tc>
        <w:tc>
          <w:tcPr>
            <w:tcW w:w="376" w:type="pct"/>
            <w:noWrap/>
            <w:hideMark/>
          </w:tcPr>
          <w:p w14:paraId="120608BB"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0,84</w:t>
            </w:r>
          </w:p>
        </w:tc>
        <w:tc>
          <w:tcPr>
            <w:tcW w:w="304" w:type="pct"/>
            <w:noWrap/>
            <w:hideMark/>
          </w:tcPr>
          <w:p w14:paraId="0C89B964"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0,44</w:t>
            </w:r>
          </w:p>
        </w:tc>
        <w:tc>
          <w:tcPr>
            <w:tcW w:w="310" w:type="pct"/>
            <w:noWrap/>
            <w:hideMark/>
          </w:tcPr>
          <w:p w14:paraId="1A99E16F"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1,00</w:t>
            </w:r>
          </w:p>
        </w:tc>
        <w:tc>
          <w:tcPr>
            <w:tcW w:w="310" w:type="pct"/>
            <w:noWrap/>
            <w:hideMark/>
          </w:tcPr>
          <w:p w14:paraId="1C6A2A54"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0,00</w:t>
            </w:r>
          </w:p>
        </w:tc>
        <w:tc>
          <w:tcPr>
            <w:tcW w:w="310" w:type="pct"/>
            <w:noWrap/>
            <w:hideMark/>
          </w:tcPr>
          <w:p w14:paraId="2FE6AB8A"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0,93</w:t>
            </w:r>
          </w:p>
        </w:tc>
        <w:tc>
          <w:tcPr>
            <w:tcW w:w="411" w:type="pct"/>
            <w:noWrap/>
            <w:hideMark/>
          </w:tcPr>
          <w:p w14:paraId="3F4F8A80"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0,44</w:t>
            </w:r>
          </w:p>
        </w:tc>
        <w:tc>
          <w:tcPr>
            <w:tcW w:w="308" w:type="pct"/>
            <w:noWrap/>
            <w:hideMark/>
          </w:tcPr>
          <w:p w14:paraId="69812145"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1,00</w:t>
            </w:r>
          </w:p>
        </w:tc>
      </w:tr>
      <w:tr w:rsidR="007C2E48" w:rsidRPr="000D63C6" w14:paraId="28A2BECD" w14:textId="77777777" w:rsidTr="00DE1A10">
        <w:trPr>
          <w:trHeight w:val="442"/>
        </w:trPr>
        <w:tc>
          <w:tcPr>
            <w:tcW w:w="716" w:type="pct"/>
            <w:noWrap/>
            <w:hideMark/>
          </w:tcPr>
          <w:p w14:paraId="3321F96A"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Gdansk</w:t>
            </w:r>
          </w:p>
        </w:tc>
        <w:tc>
          <w:tcPr>
            <w:tcW w:w="309" w:type="pct"/>
            <w:noWrap/>
            <w:hideMark/>
          </w:tcPr>
          <w:p w14:paraId="396A1EC4"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Calibri" w:hAnsi="Sabon Next LT" w:cs="Sabon Next LT"/>
                <w:sz w:val="18"/>
                <w:szCs w:val="16"/>
                <w:lang w:eastAsia="en-US"/>
              </w:rPr>
              <w:t>0,67</w:t>
            </w:r>
          </w:p>
        </w:tc>
        <w:tc>
          <w:tcPr>
            <w:tcW w:w="410" w:type="pct"/>
            <w:noWrap/>
            <w:hideMark/>
          </w:tcPr>
          <w:p w14:paraId="372B1514"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0,68</w:t>
            </w:r>
          </w:p>
        </w:tc>
        <w:tc>
          <w:tcPr>
            <w:tcW w:w="309" w:type="pct"/>
            <w:noWrap/>
            <w:hideMark/>
          </w:tcPr>
          <w:p w14:paraId="0AD46BDF"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0,96</w:t>
            </w:r>
          </w:p>
        </w:tc>
        <w:tc>
          <w:tcPr>
            <w:tcW w:w="309" w:type="pct"/>
            <w:noWrap/>
            <w:hideMark/>
          </w:tcPr>
          <w:p w14:paraId="123B080E"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0,87</w:t>
            </w:r>
          </w:p>
        </w:tc>
        <w:tc>
          <w:tcPr>
            <w:tcW w:w="310" w:type="pct"/>
            <w:noWrap/>
            <w:hideMark/>
          </w:tcPr>
          <w:p w14:paraId="7DB0C3D8"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0,99</w:t>
            </w:r>
          </w:p>
        </w:tc>
        <w:tc>
          <w:tcPr>
            <w:tcW w:w="310" w:type="pct"/>
            <w:noWrap/>
            <w:hideMark/>
          </w:tcPr>
          <w:p w14:paraId="01562F9B"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1,00</w:t>
            </w:r>
          </w:p>
        </w:tc>
        <w:tc>
          <w:tcPr>
            <w:tcW w:w="376" w:type="pct"/>
            <w:noWrap/>
            <w:hideMark/>
          </w:tcPr>
          <w:p w14:paraId="626D03C8"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0,08</w:t>
            </w:r>
          </w:p>
        </w:tc>
        <w:tc>
          <w:tcPr>
            <w:tcW w:w="304" w:type="pct"/>
            <w:noWrap/>
            <w:hideMark/>
          </w:tcPr>
          <w:p w14:paraId="0B36EB86"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0,53</w:t>
            </w:r>
          </w:p>
        </w:tc>
        <w:tc>
          <w:tcPr>
            <w:tcW w:w="310" w:type="pct"/>
            <w:noWrap/>
            <w:hideMark/>
          </w:tcPr>
          <w:p w14:paraId="54F626C8"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0,97</w:t>
            </w:r>
          </w:p>
        </w:tc>
        <w:tc>
          <w:tcPr>
            <w:tcW w:w="310" w:type="pct"/>
            <w:noWrap/>
            <w:hideMark/>
          </w:tcPr>
          <w:p w14:paraId="023A9BDB"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0,08</w:t>
            </w:r>
          </w:p>
        </w:tc>
        <w:tc>
          <w:tcPr>
            <w:tcW w:w="310" w:type="pct"/>
            <w:noWrap/>
            <w:hideMark/>
          </w:tcPr>
          <w:p w14:paraId="1D79C1D4"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0,64</w:t>
            </w:r>
          </w:p>
        </w:tc>
        <w:tc>
          <w:tcPr>
            <w:tcW w:w="411" w:type="pct"/>
            <w:noWrap/>
            <w:hideMark/>
          </w:tcPr>
          <w:p w14:paraId="630DAE5E"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0,08</w:t>
            </w:r>
          </w:p>
        </w:tc>
        <w:tc>
          <w:tcPr>
            <w:tcW w:w="308" w:type="pct"/>
            <w:noWrap/>
            <w:hideMark/>
          </w:tcPr>
          <w:p w14:paraId="1EE74084"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0,97</w:t>
            </w:r>
          </w:p>
        </w:tc>
      </w:tr>
      <w:tr w:rsidR="007C2E48" w:rsidRPr="000D63C6" w14:paraId="627DB444" w14:textId="77777777" w:rsidTr="00DE1A10">
        <w:trPr>
          <w:trHeight w:val="442"/>
        </w:trPr>
        <w:tc>
          <w:tcPr>
            <w:tcW w:w="716" w:type="pct"/>
            <w:noWrap/>
            <w:hideMark/>
          </w:tcPr>
          <w:p w14:paraId="067E96D1" w14:textId="598F6F24"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Czestocho</w:t>
            </w:r>
            <w:r w:rsidR="001C2A00">
              <w:rPr>
                <w:rFonts w:ascii="Sabon Next LT" w:eastAsia="Times New Roman" w:hAnsi="Sabon Next LT" w:cs="Sabon Next LT"/>
                <w:color w:val="000000"/>
                <w:szCs w:val="20"/>
                <w:lang w:eastAsia="pl-PL"/>
              </w:rPr>
              <w:t>-</w:t>
            </w:r>
            <w:r w:rsidRPr="002D3529">
              <w:rPr>
                <w:rFonts w:ascii="Sabon Next LT" w:eastAsia="Times New Roman" w:hAnsi="Sabon Next LT" w:cs="Sabon Next LT"/>
                <w:color w:val="000000"/>
                <w:szCs w:val="20"/>
                <w:lang w:eastAsia="pl-PL"/>
              </w:rPr>
              <w:t>wa</w:t>
            </w:r>
          </w:p>
        </w:tc>
        <w:tc>
          <w:tcPr>
            <w:tcW w:w="309" w:type="pct"/>
            <w:noWrap/>
            <w:hideMark/>
          </w:tcPr>
          <w:p w14:paraId="416C8952"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Calibri" w:hAnsi="Sabon Next LT" w:cs="Sabon Next LT"/>
                <w:sz w:val="18"/>
                <w:szCs w:val="16"/>
                <w:lang w:eastAsia="en-US"/>
              </w:rPr>
              <w:t>0,10</w:t>
            </w:r>
          </w:p>
        </w:tc>
        <w:tc>
          <w:tcPr>
            <w:tcW w:w="410" w:type="pct"/>
            <w:noWrap/>
            <w:hideMark/>
          </w:tcPr>
          <w:p w14:paraId="7BDCEDDF"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0,11</w:t>
            </w:r>
          </w:p>
        </w:tc>
        <w:tc>
          <w:tcPr>
            <w:tcW w:w="309" w:type="pct"/>
            <w:noWrap/>
            <w:hideMark/>
          </w:tcPr>
          <w:p w14:paraId="659E711B"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0,96</w:t>
            </w:r>
          </w:p>
        </w:tc>
        <w:tc>
          <w:tcPr>
            <w:tcW w:w="309" w:type="pct"/>
            <w:noWrap/>
            <w:hideMark/>
          </w:tcPr>
          <w:p w14:paraId="0A6604A2"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0,92</w:t>
            </w:r>
          </w:p>
        </w:tc>
        <w:tc>
          <w:tcPr>
            <w:tcW w:w="310" w:type="pct"/>
            <w:noWrap/>
            <w:hideMark/>
          </w:tcPr>
          <w:p w14:paraId="06CC7CF1"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0,17</w:t>
            </w:r>
          </w:p>
        </w:tc>
        <w:tc>
          <w:tcPr>
            <w:tcW w:w="310" w:type="pct"/>
            <w:noWrap/>
            <w:hideMark/>
          </w:tcPr>
          <w:p w14:paraId="6DE1E4F7"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0,04</w:t>
            </w:r>
          </w:p>
        </w:tc>
        <w:tc>
          <w:tcPr>
            <w:tcW w:w="376" w:type="pct"/>
            <w:noWrap/>
            <w:hideMark/>
          </w:tcPr>
          <w:p w14:paraId="0E19D982"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1,00</w:t>
            </w:r>
          </w:p>
        </w:tc>
        <w:tc>
          <w:tcPr>
            <w:tcW w:w="304" w:type="pct"/>
            <w:noWrap/>
            <w:hideMark/>
          </w:tcPr>
          <w:p w14:paraId="10BA1AC9"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0,98</w:t>
            </w:r>
          </w:p>
        </w:tc>
        <w:tc>
          <w:tcPr>
            <w:tcW w:w="310" w:type="pct"/>
            <w:noWrap/>
            <w:hideMark/>
          </w:tcPr>
          <w:p w14:paraId="4EA23A3B"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0,72</w:t>
            </w:r>
          </w:p>
        </w:tc>
        <w:tc>
          <w:tcPr>
            <w:tcW w:w="310" w:type="pct"/>
            <w:noWrap/>
            <w:hideMark/>
          </w:tcPr>
          <w:p w14:paraId="40A0BF87"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0,03</w:t>
            </w:r>
          </w:p>
        </w:tc>
        <w:tc>
          <w:tcPr>
            <w:tcW w:w="310" w:type="pct"/>
            <w:noWrap/>
            <w:hideMark/>
          </w:tcPr>
          <w:p w14:paraId="71E06C91"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0,98</w:t>
            </w:r>
          </w:p>
        </w:tc>
        <w:tc>
          <w:tcPr>
            <w:tcW w:w="411" w:type="pct"/>
            <w:noWrap/>
            <w:hideMark/>
          </w:tcPr>
          <w:p w14:paraId="49B1DE4D"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0,98</w:t>
            </w:r>
          </w:p>
        </w:tc>
        <w:tc>
          <w:tcPr>
            <w:tcW w:w="308" w:type="pct"/>
            <w:noWrap/>
            <w:hideMark/>
          </w:tcPr>
          <w:p w14:paraId="47AA11E7"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0,72</w:t>
            </w:r>
          </w:p>
        </w:tc>
      </w:tr>
      <w:tr w:rsidR="007C2E48" w:rsidRPr="000D63C6" w14:paraId="6B47CD86" w14:textId="77777777" w:rsidTr="00DE1A10">
        <w:trPr>
          <w:trHeight w:val="442"/>
        </w:trPr>
        <w:tc>
          <w:tcPr>
            <w:tcW w:w="716" w:type="pct"/>
            <w:noWrap/>
            <w:hideMark/>
          </w:tcPr>
          <w:p w14:paraId="0B797D62"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Bytom</w:t>
            </w:r>
          </w:p>
        </w:tc>
        <w:tc>
          <w:tcPr>
            <w:tcW w:w="309" w:type="pct"/>
            <w:noWrap/>
            <w:hideMark/>
          </w:tcPr>
          <w:p w14:paraId="4ECBC290"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Calibri" w:hAnsi="Sabon Next LT" w:cs="Sabon Next LT"/>
                <w:sz w:val="18"/>
                <w:szCs w:val="16"/>
                <w:lang w:eastAsia="en-US"/>
              </w:rPr>
              <w:t>0,26</w:t>
            </w:r>
          </w:p>
        </w:tc>
        <w:tc>
          <w:tcPr>
            <w:tcW w:w="410" w:type="pct"/>
            <w:noWrap/>
            <w:hideMark/>
          </w:tcPr>
          <w:p w14:paraId="79F3DD5C"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0,33</w:t>
            </w:r>
          </w:p>
        </w:tc>
        <w:tc>
          <w:tcPr>
            <w:tcW w:w="309" w:type="pct"/>
            <w:noWrap/>
            <w:hideMark/>
          </w:tcPr>
          <w:p w14:paraId="1B800477"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0,88</w:t>
            </w:r>
          </w:p>
        </w:tc>
        <w:tc>
          <w:tcPr>
            <w:tcW w:w="309" w:type="pct"/>
            <w:noWrap/>
            <w:hideMark/>
          </w:tcPr>
          <w:p w14:paraId="19380E64"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0,00</w:t>
            </w:r>
          </w:p>
        </w:tc>
        <w:tc>
          <w:tcPr>
            <w:tcW w:w="310" w:type="pct"/>
            <w:noWrap/>
            <w:hideMark/>
          </w:tcPr>
          <w:p w14:paraId="168CDEE8"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0,07</w:t>
            </w:r>
          </w:p>
        </w:tc>
        <w:tc>
          <w:tcPr>
            <w:tcW w:w="310" w:type="pct"/>
            <w:noWrap/>
            <w:hideMark/>
          </w:tcPr>
          <w:p w14:paraId="3550362F"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0,01</w:t>
            </w:r>
          </w:p>
        </w:tc>
        <w:tc>
          <w:tcPr>
            <w:tcW w:w="376" w:type="pct"/>
            <w:noWrap/>
            <w:hideMark/>
          </w:tcPr>
          <w:p w14:paraId="613B82FD"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0,84</w:t>
            </w:r>
          </w:p>
        </w:tc>
        <w:tc>
          <w:tcPr>
            <w:tcW w:w="304" w:type="pct"/>
            <w:noWrap/>
            <w:hideMark/>
          </w:tcPr>
          <w:p w14:paraId="431CFC8D"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0,95</w:t>
            </w:r>
          </w:p>
        </w:tc>
        <w:tc>
          <w:tcPr>
            <w:tcW w:w="310" w:type="pct"/>
            <w:noWrap/>
            <w:hideMark/>
          </w:tcPr>
          <w:p w14:paraId="4A11827E"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0,00</w:t>
            </w:r>
          </w:p>
        </w:tc>
        <w:tc>
          <w:tcPr>
            <w:tcW w:w="310" w:type="pct"/>
            <w:noWrap/>
            <w:hideMark/>
          </w:tcPr>
          <w:p w14:paraId="1CC7EA60"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0,01</w:t>
            </w:r>
          </w:p>
        </w:tc>
        <w:tc>
          <w:tcPr>
            <w:tcW w:w="310" w:type="pct"/>
            <w:noWrap/>
            <w:hideMark/>
          </w:tcPr>
          <w:p w14:paraId="3C772D1B"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0,00</w:t>
            </w:r>
          </w:p>
        </w:tc>
        <w:tc>
          <w:tcPr>
            <w:tcW w:w="411" w:type="pct"/>
            <w:noWrap/>
            <w:hideMark/>
          </w:tcPr>
          <w:p w14:paraId="430A428B"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0,84</w:t>
            </w:r>
          </w:p>
        </w:tc>
        <w:tc>
          <w:tcPr>
            <w:tcW w:w="308" w:type="pct"/>
            <w:noWrap/>
            <w:hideMark/>
          </w:tcPr>
          <w:p w14:paraId="7BA7B140"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0,01</w:t>
            </w:r>
          </w:p>
        </w:tc>
      </w:tr>
      <w:tr w:rsidR="007C2E48" w:rsidRPr="000D63C6" w14:paraId="1346D05B" w14:textId="77777777" w:rsidTr="00DE1A10">
        <w:trPr>
          <w:trHeight w:val="442"/>
        </w:trPr>
        <w:tc>
          <w:tcPr>
            <w:tcW w:w="716" w:type="pct"/>
            <w:noWrap/>
            <w:hideMark/>
          </w:tcPr>
          <w:p w14:paraId="3CA46F76"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Bydgoszcz</w:t>
            </w:r>
          </w:p>
        </w:tc>
        <w:tc>
          <w:tcPr>
            <w:tcW w:w="309" w:type="pct"/>
            <w:noWrap/>
            <w:hideMark/>
          </w:tcPr>
          <w:p w14:paraId="0B54DD5C"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Calibri" w:hAnsi="Sabon Next LT" w:cs="Sabon Next LT"/>
                <w:sz w:val="18"/>
                <w:szCs w:val="16"/>
                <w:lang w:eastAsia="en-US"/>
              </w:rPr>
              <w:t>0,98</w:t>
            </w:r>
          </w:p>
        </w:tc>
        <w:tc>
          <w:tcPr>
            <w:tcW w:w="410" w:type="pct"/>
            <w:noWrap/>
            <w:hideMark/>
          </w:tcPr>
          <w:p w14:paraId="51BCBD94"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0,99</w:t>
            </w:r>
          </w:p>
        </w:tc>
        <w:tc>
          <w:tcPr>
            <w:tcW w:w="309" w:type="pct"/>
            <w:noWrap/>
            <w:hideMark/>
          </w:tcPr>
          <w:p w14:paraId="50C1C895"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0,02</w:t>
            </w:r>
          </w:p>
        </w:tc>
        <w:tc>
          <w:tcPr>
            <w:tcW w:w="309" w:type="pct"/>
            <w:noWrap/>
            <w:hideMark/>
          </w:tcPr>
          <w:p w14:paraId="3538D299"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0,98</w:t>
            </w:r>
          </w:p>
        </w:tc>
        <w:tc>
          <w:tcPr>
            <w:tcW w:w="310" w:type="pct"/>
            <w:noWrap/>
            <w:hideMark/>
          </w:tcPr>
          <w:p w14:paraId="5FF40295"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0,81</w:t>
            </w:r>
          </w:p>
        </w:tc>
        <w:tc>
          <w:tcPr>
            <w:tcW w:w="310" w:type="pct"/>
            <w:noWrap/>
            <w:hideMark/>
          </w:tcPr>
          <w:p w14:paraId="2F140784"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0,25</w:t>
            </w:r>
          </w:p>
        </w:tc>
        <w:tc>
          <w:tcPr>
            <w:tcW w:w="376" w:type="pct"/>
            <w:noWrap/>
            <w:hideMark/>
          </w:tcPr>
          <w:p w14:paraId="2E711052"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0,84</w:t>
            </w:r>
          </w:p>
        </w:tc>
        <w:tc>
          <w:tcPr>
            <w:tcW w:w="304" w:type="pct"/>
            <w:noWrap/>
            <w:hideMark/>
          </w:tcPr>
          <w:p w14:paraId="428BEA90"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0,65</w:t>
            </w:r>
          </w:p>
        </w:tc>
        <w:tc>
          <w:tcPr>
            <w:tcW w:w="310" w:type="pct"/>
            <w:noWrap/>
            <w:hideMark/>
          </w:tcPr>
          <w:p w14:paraId="0CB268D0"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0,16</w:t>
            </w:r>
          </w:p>
        </w:tc>
        <w:tc>
          <w:tcPr>
            <w:tcW w:w="310" w:type="pct"/>
            <w:noWrap/>
            <w:hideMark/>
          </w:tcPr>
          <w:p w14:paraId="336BA684"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0,41</w:t>
            </w:r>
          </w:p>
        </w:tc>
        <w:tc>
          <w:tcPr>
            <w:tcW w:w="310" w:type="pct"/>
            <w:noWrap/>
            <w:hideMark/>
          </w:tcPr>
          <w:p w14:paraId="43DFDD36"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0,64</w:t>
            </w:r>
          </w:p>
        </w:tc>
        <w:tc>
          <w:tcPr>
            <w:tcW w:w="411" w:type="pct"/>
            <w:noWrap/>
            <w:hideMark/>
          </w:tcPr>
          <w:p w14:paraId="7E36307D"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0,65</w:t>
            </w:r>
          </w:p>
        </w:tc>
        <w:tc>
          <w:tcPr>
            <w:tcW w:w="308" w:type="pct"/>
            <w:noWrap/>
            <w:hideMark/>
          </w:tcPr>
          <w:p w14:paraId="7FEF1D5F"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0,41</w:t>
            </w:r>
          </w:p>
        </w:tc>
      </w:tr>
      <w:tr w:rsidR="007C2E48" w:rsidRPr="000D63C6" w14:paraId="76DF4BA7" w14:textId="77777777" w:rsidTr="00DE1A10">
        <w:trPr>
          <w:trHeight w:val="442"/>
        </w:trPr>
        <w:tc>
          <w:tcPr>
            <w:tcW w:w="716" w:type="pct"/>
            <w:noWrap/>
            <w:hideMark/>
          </w:tcPr>
          <w:p w14:paraId="1EB3FCDE"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Bielsko-Biala</w:t>
            </w:r>
          </w:p>
        </w:tc>
        <w:tc>
          <w:tcPr>
            <w:tcW w:w="309" w:type="pct"/>
            <w:noWrap/>
            <w:hideMark/>
          </w:tcPr>
          <w:p w14:paraId="79F880E6"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Calibri" w:hAnsi="Sabon Next LT" w:cs="Sabon Next LT"/>
                <w:sz w:val="18"/>
                <w:szCs w:val="16"/>
                <w:lang w:eastAsia="en-US"/>
              </w:rPr>
              <w:t>0,02</w:t>
            </w:r>
          </w:p>
        </w:tc>
        <w:tc>
          <w:tcPr>
            <w:tcW w:w="410" w:type="pct"/>
            <w:noWrap/>
            <w:hideMark/>
          </w:tcPr>
          <w:p w14:paraId="4D75F6DB"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0,01</w:t>
            </w:r>
          </w:p>
        </w:tc>
        <w:tc>
          <w:tcPr>
            <w:tcW w:w="309" w:type="pct"/>
            <w:noWrap/>
            <w:hideMark/>
          </w:tcPr>
          <w:p w14:paraId="418C20C7"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0,04</w:t>
            </w:r>
          </w:p>
        </w:tc>
        <w:tc>
          <w:tcPr>
            <w:tcW w:w="309" w:type="pct"/>
            <w:noWrap/>
            <w:hideMark/>
          </w:tcPr>
          <w:p w14:paraId="37D23761"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0,00</w:t>
            </w:r>
          </w:p>
        </w:tc>
        <w:tc>
          <w:tcPr>
            <w:tcW w:w="310" w:type="pct"/>
            <w:noWrap/>
            <w:hideMark/>
          </w:tcPr>
          <w:p w14:paraId="16A349D9"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0,07</w:t>
            </w:r>
          </w:p>
        </w:tc>
        <w:tc>
          <w:tcPr>
            <w:tcW w:w="310" w:type="pct"/>
            <w:noWrap/>
            <w:hideMark/>
          </w:tcPr>
          <w:p w14:paraId="1154D9DC"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0,37</w:t>
            </w:r>
          </w:p>
        </w:tc>
        <w:tc>
          <w:tcPr>
            <w:tcW w:w="376" w:type="pct"/>
            <w:noWrap/>
            <w:hideMark/>
          </w:tcPr>
          <w:p w14:paraId="7F368018"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0,65</w:t>
            </w:r>
          </w:p>
        </w:tc>
        <w:tc>
          <w:tcPr>
            <w:tcW w:w="304" w:type="pct"/>
            <w:noWrap/>
            <w:hideMark/>
          </w:tcPr>
          <w:p w14:paraId="68DD1B3E"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0,48</w:t>
            </w:r>
          </w:p>
        </w:tc>
        <w:tc>
          <w:tcPr>
            <w:tcW w:w="310" w:type="pct"/>
            <w:noWrap/>
            <w:hideMark/>
          </w:tcPr>
          <w:p w14:paraId="056B038D"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0,73</w:t>
            </w:r>
          </w:p>
        </w:tc>
        <w:tc>
          <w:tcPr>
            <w:tcW w:w="310" w:type="pct"/>
            <w:noWrap/>
            <w:hideMark/>
          </w:tcPr>
          <w:p w14:paraId="7573EC85"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0,99</w:t>
            </w:r>
          </w:p>
        </w:tc>
        <w:tc>
          <w:tcPr>
            <w:tcW w:w="310" w:type="pct"/>
            <w:noWrap/>
            <w:hideMark/>
          </w:tcPr>
          <w:p w14:paraId="7B45A246"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0,00</w:t>
            </w:r>
          </w:p>
        </w:tc>
        <w:tc>
          <w:tcPr>
            <w:tcW w:w="411" w:type="pct"/>
            <w:noWrap/>
            <w:hideMark/>
          </w:tcPr>
          <w:p w14:paraId="396F504A"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0,48</w:t>
            </w:r>
          </w:p>
        </w:tc>
        <w:tc>
          <w:tcPr>
            <w:tcW w:w="308" w:type="pct"/>
            <w:noWrap/>
            <w:hideMark/>
          </w:tcPr>
          <w:p w14:paraId="7E680045"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0,99</w:t>
            </w:r>
          </w:p>
        </w:tc>
      </w:tr>
      <w:tr w:rsidR="007C2E48" w:rsidRPr="000D63C6" w14:paraId="41AB3788" w14:textId="77777777" w:rsidTr="00DE1A10">
        <w:trPr>
          <w:trHeight w:val="442"/>
        </w:trPr>
        <w:tc>
          <w:tcPr>
            <w:tcW w:w="716" w:type="pct"/>
            <w:noWrap/>
            <w:hideMark/>
          </w:tcPr>
          <w:p w14:paraId="6F6637C8" w14:textId="77777777" w:rsidR="007C2E48" w:rsidRPr="002D3529" w:rsidRDefault="007C2E48" w:rsidP="00DE1A10">
            <w:pPr>
              <w:spacing w:line="240" w:lineRule="auto"/>
              <w:ind w:firstLine="0"/>
              <w:rPr>
                <w:rFonts w:ascii="Sabon Next LT" w:eastAsia="Times New Roman" w:hAnsi="Sabon Next LT" w:cs="Sabon Next LT"/>
                <w:color w:val="000000"/>
                <w:szCs w:val="20"/>
                <w:lang w:eastAsia="pl-PL"/>
              </w:rPr>
            </w:pPr>
            <w:r w:rsidRPr="002D3529">
              <w:rPr>
                <w:rFonts w:ascii="Sabon Next LT" w:eastAsia="Times New Roman" w:hAnsi="Sabon Next LT" w:cs="Sabon Next LT"/>
                <w:color w:val="000000"/>
                <w:szCs w:val="20"/>
                <w:lang w:eastAsia="pl-PL"/>
              </w:rPr>
              <w:t>Bialystok</w:t>
            </w:r>
          </w:p>
        </w:tc>
        <w:tc>
          <w:tcPr>
            <w:tcW w:w="309" w:type="pct"/>
            <w:noWrap/>
            <w:hideMark/>
          </w:tcPr>
          <w:p w14:paraId="3F76E612"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Calibri" w:hAnsi="Sabon Next LT" w:cs="Sabon Next LT"/>
                <w:sz w:val="18"/>
                <w:szCs w:val="16"/>
                <w:lang w:eastAsia="en-US"/>
              </w:rPr>
              <w:t>0,58</w:t>
            </w:r>
          </w:p>
        </w:tc>
        <w:tc>
          <w:tcPr>
            <w:tcW w:w="410" w:type="pct"/>
            <w:noWrap/>
            <w:hideMark/>
          </w:tcPr>
          <w:p w14:paraId="4F652877"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0,61</w:t>
            </w:r>
          </w:p>
        </w:tc>
        <w:tc>
          <w:tcPr>
            <w:tcW w:w="309" w:type="pct"/>
            <w:noWrap/>
            <w:hideMark/>
          </w:tcPr>
          <w:p w14:paraId="76CE3498"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0,84</w:t>
            </w:r>
          </w:p>
        </w:tc>
        <w:tc>
          <w:tcPr>
            <w:tcW w:w="309" w:type="pct"/>
            <w:noWrap/>
            <w:hideMark/>
          </w:tcPr>
          <w:p w14:paraId="5FC4A37A"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0,98</w:t>
            </w:r>
          </w:p>
        </w:tc>
        <w:tc>
          <w:tcPr>
            <w:tcW w:w="310" w:type="pct"/>
            <w:noWrap/>
            <w:hideMark/>
          </w:tcPr>
          <w:p w14:paraId="15C06DB1"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0,49</w:t>
            </w:r>
          </w:p>
        </w:tc>
        <w:tc>
          <w:tcPr>
            <w:tcW w:w="310" w:type="pct"/>
            <w:noWrap/>
            <w:hideMark/>
          </w:tcPr>
          <w:p w14:paraId="123CE822"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0,14</w:t>
            </w:r>
          </w:p>
        </w:tc>
        <w:tc>
          <w:tcPr>
            <w:tcW w:w="376" w:type="pct"/>
            <w:noWrap/>
            <w:hideMark/>
          </w:tcPr>
          <w:p w14:paraId="45A2291B"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0,02</w:t>
            </w:r>
          </w:p>
        </w:tc>
        <w:tc>
          <w:tcPr>
            <w:tcW w:w="304" w:type="pct"/>
            <w:noWrap/>
            <w:hideMark/>
          </w:tcPr>
          <w:p w14:paraId="790FD8F5"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0,03</w:t>
            </w:r>
          </w:p>
        </w:tc>
        <w:tc>
          <w:tcPr>
            <w:tcW w:w="310" w:type="pct"/>
            <w:noWrap/>
            <w:hideMark/>
          </w:tcPr>
          <w:p w14:paraId="70031B46"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0,43</w:t>
            </w:r>
          </w:p>
        </w:tc>
        <w:tc>
          <w:tcPr>
            <w:tcW w:w="310" w:type="pct"/>
            <w:noWrap/>
            <w:hideMark/>
          </w:tcPr>
          <w:p w14:paraId="423A3867"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0,71</w:t>
            </w:r>
          </w:p>
        </w:tc>
        <w:tc>
          <w:tcPr>
            <w:tcW w:w="310" w:type="pct"/>
            <w:noWrap/>
            <w:hideMark/>
          </w:tcPr>
          <w:p w14:paraId="4E929784"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0,85</w:t>
            </w:r>
          </w:p>
        </w:tc>
        <w:tc>
          <w:tcPr>
            <w:tcW w:w="411" w:type="pct"/>
            <w:noWrap/>
            <w:hideMark/>
          </w:tcPr>
          <w:p w14:paraId="68CB8375"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0,02</w:t>
            </w:r>
          </w:p>
        </w:tc>
        <w:tc>
          <w:tcPr>
            <w:tcW w:w="308" w:type="pct"/>
            <w:noWrap/>
            <w:hideMark/>
          </w:tcPr>
          <w:p w14:paraId="627F1DE8" w14:textId="77777777" w:rsidR="007C2E48" w:rsidRPr="002D3529" w:rsidRDefault="007C2E48" w:rsidP="00DE1A10">
            <w:pPr>
              <w:spacing w:line="240" w:lineRule="auto"/>
              <w:ind w:firstLine="0"/>
              <w:jc w:val="right"/>
              <w:rPr>
                <w:rFonts w:ascii="Sabon Next LT" w:eastAsia="Times New Roman" w:hAnsi="Sabon Next LT" w:cs="Sabon Next LT"/>
                <w:color w:val="000000"/>
                <w:sz w:val="18"/>
                <w:szCs w:val="16"/>
                <w:lang w:eastAsia="pl-PL"/>
              </w:rPr>
            </w:pPr>
            <w:r w:rsidRPr="002D3529">
              <w:rPr>
                <w:rFonts w:ascii="Sabon Next LT" w:eastAsia="Times New Roman" w:hAnsi="Sabon Next LT" w:cs="Sabon Next LT"/>
                <w:color w:val="000000"/>
                <w:sz w:val="18"/>
                <w:szCs w:val="16"/>
                <w:lang w:eastAsia="pl-PL"/>
              </w:rPr>
              <w:t>0,71</w:t>
            </w:r>
          </w:p>
        </w:tc>
      </w:tr>
    </w:tbl>
    <w:p w14:paraId="607E259C" w14:textId="77777777" w:rsidR="007C2E48" w:rsidRPr="000D63C6" w:rsidRDefault="007C2E48" w:rsidP="007C2E48">
      <w:pPr>
        <w:spacing w:before="0" w:after="0" w:line="240" w:lineRule="auto"/>
        <w:ind w:firstLine="0"/>
        <w:contextualSpacing/>
        <w:rPr>
          <w:rFonts w:eastAsia="Calibri"/>
          <w:sz w:val="20"/>
          <w:szCs w:val="20"/>
          <w:lang w:eastAsia="en-US"/>
        </w:rPr>
      </w:pPr>
      <w:r w:rsidRPr="000D63C6">
        <w:rPr>
          <w:rFonts w:eastAsia="Calibri"/>
          <w:sz w:val="20"/>
          <w:szCs w:val="20"/>
          <w:lang w:eastAsia="en-US"/>
        </w:rPr>
        <w:t>Source: author’s own elaboration.</w:t>
      </w:r>
    </w:p>
    <w:p w14:paraId="6275BD44" w14:textId="3004CE86" w:rsidR="007C2E48" w:rsidRPr="000D63C6" w:rsidRDefault="007C2E48" w:rsidP="007C2E48">
      <w:pPr>
        <w:spacing w:before="0" w:after="0" w:line="240" w:lineRule="auto"/>
        <w:ind w:firstLine="0"/>
        <w:contextualSpacing/>
        <w:rPr>
          <w:rFonts w:eastAsia="Calibri"/>
          <w:sz w:val="20"/>
          <w:szCs w:val="20"/>
          <w:lang w:eastAsia="en-US"/>
        </w:rPr>
      </w:pPr>
      <w:r w:rsidRPr="000D63C6">
        <w:rPr>
          <w:rFonts w:eastAsia="Calibri"/>
          <w:sz w:val="20"/>
          <w:szCs w:val="20"/>
          <w:lang w:eastAsia="en-US"/>
        </w:rPr>
        <w:t xml:space="preserve">Note: </w:t>
      </w:r>
      <w:r>
        <w:rPr>
          <w:rFonts w:eastAsia="Calibri"/>
          <w:sz w:val="20"/>
          <w:szCs w:val="20"/>
          <w:lang w:eastAsia="en-US"/>
        </w:rPr>
        <w:t>For Gliwice</w:t>
      </w:r>
      <w:r w:rsidRPr="000D63C6">
        <w:rPr>
          <w:rFonts w:eastAsia="Calibri"/>
          <w:sz w:val="20"/>
          <w:szCs w:val="20"/>
          <w:lang w:eastAsia="en-US"/>
        </w:rPr>
        <w:t>, only the data on the turnout at local elections was used to calculate its inclusion in SOCAP. POORHEALTH was created as a disjunction between AGEMED and DEATH sets. SOCAP is a conjunction of two conditions: TURNOUT and PARTICIP. OUT is a fuzzy</w:t>
      </w:r>
      <w:r w:rsidR="00B33F6F">
        <w:rPr>
          <w:rFonts w:eastAsia="Calibri"/>
          <w:sz w:val="20"/>
          <w:szCs w:val="20"/>
          <w:lang w:eastAsia="en-US"/>
        </w:rPr>
        <w:t xml:space="preserve"> </w:t>
      </w:r>
      <w:r w:rsidRPr="000D63C6">
        <w:rPr>
          <w:rFonts w:eastAsia="Calibri"/>
          <w:sz w:val="20"/>
          <w:szCs w:val="20"/>
          <w:lang w:eastAsia="en-US"/>
        </w:rPr>
        <w:t xml:space="preserve">set created as a family resemblance concept: PHP_EXP </w:t>
      </w:r>
      <w:r w:rsidRPr="000D63C6">
        <w:rPr>
          <w:rFonts w:eastAsia="Calibri"/>
          <w:b/>
          <w:bCs/>
          <w:sz w:val="20"/>
          <w:szCs w:val="20"/>
          <w:lang w:eastAsia="en-US"/>
        </w:rPr>
        <w:t>AND EITHER</w:t>
      </w:r>
      <w:r w:rsidRPr="000D63C6">
        <w:rPr>
          <w:rFonts w:eastAsia="Calibri"/>
          <w:sz w:val="20"/>
          <w:szCs w:val="20"/>
          <w:lang w:eastAsia="en-US"/>
        </w:rPr>
        <w:t xml:space="preserve"> UNI_COV_A </w:t>
      </w:r>
      <w:r w:rsidRPr="000D63C6">
        <w:rPr>
          <w:rFonts w:eastAsia="Calibri"/>
          <w:b/>
          <w:bCs/>
          <w:sz w:val="20"/>
          <w:szCs w:val="20"/>
          <w:lang w:eastAsia="en-US"/>
        </w:rPr>
        <w:t>OR</w:t>
      </w:r>
      <w:r w:rsidRPr="000D63C6">
        <w:rPr>
          <w:rFonts w:eastAsia="Calibri"/>
          <w:sz w:val="20"/>
          <w:szCs w:val="20"/>
          <w:lang w:eastAsia="en-US"/>
        </w:rPr>
        <w:t xml:space="preserve"> UNI_COV_B. </w:t>
      </w:r>
    </w:p>
    <w:p w14:paraId="552F9168" w14:textId="77777777" w:rsidR="00623E54" w:rsidRDefault="00623E54" w:rsidP="007C2E48">
      <w:pPr>
        <w:spacing w:before="0" w:after="0"/>
        <w:ind w:firstLine="0"/>
        <w:contextualSpacing/>
        <w:rPr>
          <w:rFonts w:eastAsia="Calibri"/>
          <w:b/>
          <w:bCs/>
          <w:lang w:eastAsia="en-US"/>
        </w:rPr>
      </w:pPr>
    </w:p>
    <w:p w14:paraId="60576701" w14:textId="57C1BC39" w:rsidR="006359AA" w:rsidRPr="006359AA" w:rsidRDefault="007C2E48" w:rsidP="006359AA">
      <w:pPr>
        <w:spacing w:before="0" w:after="0"/>
        <w:ind w:firstLine="0"/>
        <w:contextualSpacing/>
        <w:rPr>
          <w:rFonts w:eastAsia="Calibri"/>
          <w:b/>
          <w:bCs/>
          <w:sz w:val="24"/>
          <w:szCs w:val="24"/>
          <w:lang w:eastAsia="en-US"/>
        </w:rPr>
      </w:pPr>
      <w:r w:rsidRPr="00623E54">
        <w:rPr>
          <w:rFonts w:eastAsia="Calibri"/>
          <w:b/>
          <w:bCs/>
          <w:sz w:val="24"/>
          <w:szCs w:val="24"/>
          <w:lang w:eastAsia="en-US"/>
        </w:rPr>
        <w:t xml:space="preserve">Appendix B: Calibration and robustness tests </w:t>
      </w:r>
    </w:p>
    <w:p w14:paraId="00DB6B27" w14:textId="40A0BC6D" w:rsidR="006359AA" w:rsidRPr="006359AA" w:rsidRDefault="006359AA" w:rsidP="006359AA">
      <w:pPr>
        <w:ind w:firstLine="0"/>
        <w:rPr>
          <w:sz w:val="20"/>
          <w:szCs w:val="20"/>
        </w:rPr>
      </w:pPr>
      <w:r w:rsidRPr="006359AA">
        <w:rPr>
          <w:b/>
          <w:bCs/>
          <w:sz w:val="20"/>
          <w:szCs w:val="20"/>
        </w:rPr>
        <w:t>Data Availability Statement</w:t>
      </w:r>
    </w:p>
    <w:p w14:paraId="6269F0B3" w14:textId="07855A95" w:rsidR="006359AA" w:rsidRPr="006359AA" w:rsidRDefault="006359AA" w:rsidP="006359AA">
      <w:pPr>
        <w:ind w:firstLine="0"/>
        <w:rPr>
          <w:sz w:val="20"/>
          <w:szCs w:val="20"/>
        </w:rPr>
      </w:pPr>
      <w:r w:rsidRPr="006359AA">
        <w:rPr>
          <w:sz w:val="20"/>
          <w:szCs w:val="20"/>
        </w:rPr>
        <w:t xml:space="preserve">Replication materials are available in the Journal of Public Policy Dataverse at </w:t>
      </w:r>
      <w:hyperlink r:id="rId5" w:history="1">
        <w:r w:rsidRPr="006359AA">
          <w:rPr>
            <w:rStyle w:val="Hipercze"/>
            <w:sz w:val="20"/>
            <w:szCs w:val="20"/>
          </w:rPr>
          <w:t>https://doi.org/10.7910/DVN/YMUVN2</w:t>
        </w:r>
      </w:hyperlink>
      <w:r w:rsidRPr="006359AA">
        <w:rPr>
          <w:sz w:val="20"/>
          <w:szCs w:val="20"/>
        </w:rPr>
        <w:t xml:space="preserve"> </w:t>
      </w:r>
    </w:p>
    <w:p w14:paraId="296C73BC" w14:textId="77777777" w:rsidR="006359AA" w:rsidRDefault="006359AA" w:rsidP="006359AA">
      <w:pPr>
        <w:ind w:firstLine="0"/>
      </w:pPr>
    </w:p>
    <w:p w14:paraId="20C4F5D2" w14:textId="5EBEFF5C" w:rsidR="007C2E48" w:rsidRPr="000D63C6" w:rsidRDefault="007C2E48" w:rsidP="007C2E48">
      <w:pPr>
        <w:rPr>
          <w:b/>
          <w:bCs/>
          <w:lang w:eastAsia="en-US"/>
        </w:rPr>
      </w:pPr>
      <w:r w:rsidRPr="000D63C6">
        <w:rPr>
          <w:lang w:eastAsia="en-US"/>
        </w:rPr>
        <w:t xml:space="preserve">This appendix provides detailed elaboration on the calibration choices made in this study, which is followed by a section dedicated to the robustness tests that adhere to the protocol proposed by Ioana-Elena Oana and Carsten Schneider </w:t>
      </w:r>
      <w:r w:rsidRPr="000D63C6">
        <w:rPr>
          <w:lang w:eastAsia="en-US"/>
        </w:rPr>
        <w:fldChar w:fldCharType="begin"/>
      </w:r>
      <w:r>
        <w:rPr>
          <w:lang w:eastAsia="en-US"/>
        </w:rPr>
        <w:instrText xml:space="preserve"> ADDIN ZOTERO_ITEM CSL_CITATION {"citationID":"7w7Hem73","properties":{"formattedCitation":"(Oana and Schneider 2021)","plainCitation":"(Oana and Schneider 2021)","dontUpdate":true,"noteIndex":0},"citationItems":[{"id":"Ubi3gMvx/4MTB7AZp","uris":["http://zotero.org/users/7323662/items/KTHSWYBV"],"itemData":{"id":863,"type":"article-journal","abstract":"The robustness of qualitative comparative analysis (QCA) results features high on the agenda of methodologists and practitioners. This article aims at advancing this debate on several fronts. First, in line with the extant literature, we take a comprehensive view on robustness arguing that decisions on calibration, consistency, and frequency thresholds should all be tested. Second, we introduce the notion of “sensitivity range” as the range of values for any of these parameters within which the solution formula remains unchanged. Third, we argue that interpreting robustness is more intricate than simply checking if solutions remain unchanged. Beyond sensitivity ranges, researchers should assess robustness by evaluating changes in parameters of fit and the classification of cases as robust, shaky, or possible. Fourth, we enable researchers to perform more than one robustness test at a time by proposing the notions of a “test set”: the overlap between conceptually plausible alternative solutions that can be generated; and of a “robust core”: that part of a QCA solution that withstands the robustness checks. Fifth, we present functionalities implemented in the R package SetMethods that enable researchers to put in practice our proposals. These advancements are integrated into a comprehensive QCA Robustness Test Protocol consisting of three main tests: sensitivity ranges, fit-oriented robustness, and case-oriented robustness. We illustrate the protocol’s implementation with an example on high life expectancy across the globe.","container-title":"Sociological Methods &amp; Research","DOI":"10.1177/00491241211036158","ISSN":"0049-1241","journalAbbreviation":"Sociological Methods &amp; Research","language":"en","note":"publisher: SAGE Publications Inc","page":"1-32","source":"SAGE Journals","title":"A Robustness Test Protocol for Applied QCA: Theory and R Software Application","title-short":"A Robustness Test Protocol for Applied QCA","author":[{"family":"Oana","given":"Ioana-Elena"},{"family":"Schneider","given":"Carsten Q."}],"issued":{"date-parts":[["2021"]]}}}],"schema":"https://github.com/citation-style-language/schema/raw/master/csl-citation.json"} </w:instrText>
      </w:r>
      <w:r w:rsidRPr="000D63C6">
        <w:rPr>
          <w:lang w:eastAsia="en-US"/>
        </w:rPr>
        <w:fldChar w:fldCharType="separate"/>
      </w:r>
      <w:r w:rsidRPr="000D63C6">
        <w:rPr>
          <w:lang w:eastAsia="en-US"/>
        </w:rPr>
        <w:t>(2021)</w:t>
      </w:r>
      <w:r w:rsidRPr="000D63C6">
        <w:rPr>
          <w:lang w:eastAsia="en-US"/>
        </w:rPr>
        <w:fldChar w:fldCharType="end"/>
      </w:r>
      <w:r w:rsidRPr="000D63C6">
        <w:rPr>
          <w:lang w:eastAsia="en-US"/>
        </w:rPr>
        <w:t xml:space="preserve">. The overall structure of the appendix (e.g., section names) draws on the Online Appendix B in the study of Markus </w:t>
      </w:r>
      <w:r w:rsidRPr="000D63C6">
        <w:rPr>
          <w:lang w:eastAsia="en-US"/>
        </w:rPr>
        <w:fldChar w:fldCharType="begin"/>
      </w:r>
      <w:r>
        <w:rPr>
          <w:lang w:eastAsia="en-US"/>
        </w:rPr>
        <w:instrText xml:space="preserve"> ADDIN ZOTERO_ITEM CSL_CITATION {"citationID":"yqKb2479","properties":{"formattedCitation":"(Hinterleitner, Sager, and Thomann 2016)","plainCitation":"(Hinterleitner, Sager, and Thomann 2016)","dontUpdate":true,"noteIndex":0},"citationItems":[{"id":"Ubi3gMvx/GL2Uco1D","uris":["http://zotero.org/users/7323662/items/RY4N44JQ"],"itemData":{"id":6081,"type":"article-journal","abstract":"During the European debt crisis, numerous states launched austerity programmes. The International Monetary Fund (IMF) evaluates and forecasts the likelihood of member states’ success in implementing these programmes. Although IMF evaluations influence country risk perceptions on capital markets, little is known about their reasoning. This article uses fuzzy-set qualitative comparative analysis (fsQCA) to explore on what grounds the IMF evaluated the success prospects of austerity programmes during the European debt crisis. Results reveal that IMF evaluations are heavily influenced by the programme’s implementation credibility. They require a tractable policy problem, a country’s institutional capacity to structure implementation, and favour expenditure reduction over revenue measures. By acting as a strict guide on the road to fiscal adjustment, the IMF indirectly influences member states’ scope of policy making through its surveillance activities. Extensive austerity programmes that need to be implemented swiftly are evaluated negatively if the country is not involved in an IMF programme.","container-title":"European Journal of Political Research","DOI":"10.1111/1475-6765.12142","ISSN":"03044130","issue":"3","journalAbbreviation":"European Journal of Political Research","language":"en","page":"549-567","source":"DOI.org (Crossref)","title":"The politics of external approval: Explaining the IMF's evaluation of austerity programmes","title-short":"The politics of external approval","volume":"55","author":[{"family":"Hinterleitner","given":"Markus"},{"family":"Sager","given":"Fritz"},{"family":"Thomann","given":"Eva"}],"issued":{"date-parts":[["2016",8]]}}}],"schema":"https://github.com/citation-style-language/schema/raw/master/csl-citation.json"} </w:instrText>
      </w:r>
      <w:r w:rsidRPr="000D63C6">
        <w:rPr>
          <w:lang w:eastAsia="en-US"/>
        </w:rPr>
        <w:fldChar w:fldCharType="separate"/>
      </w:r>
      <w:r w:rsidRPr="000D63C6">
        <w:rPr>
          <w:lang w:eastAsia="en-US"/>
        </w:rPr>
        <w:t>Hinterleitner, Fritz Sager, and Eva Thomann (2016</w:t>
      </w:r>
      <w:r w:rsidRPr="000D63C6">
        <w:rPr>
          <w:lang w:eastAsia="en-US"/>
        </w:rPr>
        <w:fldChar w:fldCharType="end"/>
      </w:r>
      <w:r w:rsidRPr="000D63C6">
        <w:rPr>
          <w:lang w:eastAsia="en-US"/>
        </w:rPr>
        <w:t>).</w:t>
      </w:r>
    </w:p>
    <w:p w14:paraId="3F172D37" w14:textId="77777777" w:rsidR="007C2E48" w:rsidRPr="000D63C6" w:rsidRDefault="007C2E48" w:rsidP="007C2E48">
      <w:pPr>
        <w:spacing w:before="0" w:after="0"/>
        <w:ind w:firstLine="0"/>
        <w:contextualSpacing/>
        <w:rPr>
          <w:rFonts w:eastAsia="Calibri"/>
          <w:b/>
          <w:bCs/>
          <w:lang w:eastAsia="en-US"/>
        </w:rPr>
      </w:pPr>
      <w:r w:rsidRPr="000D63C6">
        <w:rPr>
          <w:rFonts w:eastAsia="Calibri"/>
          <w:b/>
          <w:bCs/>
          <w:lang w:eastAsia="en-US"/>
        </w:rPr>
        <w:t>Calibration choices</w:t>
      </w:r>
    </w:p>
    <w:p w14:paraId="772E6C19" w14:textId="41F491E3" w:rsidR="007C2E48" w:rsidRPr="000D63C6" w:rsidRDefault="007C2E48" w:rsidP="007C2E48">
      <w:pPr>
        <w:rPr>
          <w:lang w:eastAsia="en-US"/>
        </w:rPr>
      </w:pPr>
      <w:r w:rsidRPr="000D63C6">
        <w:rPr>
          <w:lang w:eastAsia="en-US"/>
        </w:rPr>
        <w:t>For the purpose of operationalisation, the direct method of calibration was used. This procedure assigns cases to sets using three qualitative points of reference, or anchors: 0,05 (‘fully absent’), 0,5 (the ‘conversion’ or ‘crossover’ point), and 0,95 (‘fully present’</w:t>
      </w:r>
      <w:r w:rsidRPr="000D63C6">
        <w:rPr>
          <w:lang w:eastAsia="en-US"/>
        </w:rPr>
        <w:fldChar w:fldCharType="begin"/>
      </w:r>
      <w:r>
        <w:rPr>
          <w:lang w:eastAsia="en-US"/>
        </w:rPr>
        <w:instrText xml:space="preserve"> ADDIN ZOTERO_ITEM CSL_CITATION {"citationID":"ZePQNrOc","properties":{"formattedCitation":"(Hinterleitner, Sager, and Thomann 2016, app. B; Oana, Schneider, and Thomann 2021; C. Q. Schneider and Wagemann 2012)","plainCitation":"(Hinterleitner, Sager, and Thomann 2016, app. B; Oana, Schneider, and Thomann 2021; C. Q. Schneider and Wagemann 2012)","dontUpdate":true,"noteIndex":0},"citationItems":[{"id":"Ubi3gMvx/GL2Uco1D","uris":["http://zotero.org/users/7323662/items/RY4N44JQ"],"itemData":{"id":6081,"type":"article-journal","abstract":"During the European debt crisis, numerous states launched austerity programmes. The International Monetary Fund (IMF) evaluates and forecasts the likelihood of member states’ success in implementing these programmes. Although IMF evaluations influence country risk perceptions on capital markets, little is known about their reasoning. This article uses fuzzy-set qualitative comparative analysis (fsQCA) to explore on what grounds the IMF evaluated the success prospects of austerity programmes during the European debt crisis. Results reveal that IMF evaluations are heavily influenced by the programme’s implementation credibility. They require a tractable policy problem, a country’s institutional capacity to structure implementation, and favour expenditure reduction over revenue measures. By acting as a strict guide on the road to fiscal adjustment, the IMF indirectly influences member states’ scope of policy making through its surveillance activities. Extensive austerity programmes that need to be implemented swiftly are evaluated negatively if the country is not involved in an IMF programme.","container-title":"European Journal of Political Research","DOI":"10.1111/1475-6765.12142","ISSN":"03044130","issue":"3","journalAbbreviation":"European Journal of Political Research","language":"en","page":"549-567","source":"DOI.org (Crossref)","title":"The politics of external approval: Explaining the IMF's evaluation of austerity programmes","title-short":"The politics of external approval","volume":"55","author":[{"family":"Hinterleitner","given":"Markus"},{"family":"Sager","given":"Fritz"},{"family":"Thomann","given":"Eva"}],"issued":{"date-parts":[["2016",8]]}},"locator":"B","label":"appendix"},{"id":"Ubi3gMvx/ng05ZxE6","uris":["http://zotero.org/users/7323662/items/A8CMQT33"],"itemData":{"id":"Nagp5ywh/Gek5PlyC","type":"book","abstract":"A comprehensive introduction and teaching resource for state-of-the-art Qualitative Comparative Analysis (QCA) using R software. This guide facilitates the efficient teaching, independent learning, and use of QCA with the best available software, reducing the time and effort required when encountering not just the logic of a new method, but also new software. With its applied and practical focus, the book offers a genuinely simple and intuitive resource for implementing the most complete protocol of QCA. To make the lives of students, teachers, researchers, and practitioners as easy as possible, the book includes learning goals, core points, empirical examples, and tips for good practices. The freely available online material provides a rich body of additional resources to aid users in their learning process. Beyond performing core analyses with the R package QCA, the book also facilitates a close integration with the R package SetMethods allowing for a host of additional protocols for building a more solid and well-rounded QCA.","ISBN":"978-1-316-51872-4","language":"en","note":"Google-Books-ID: lhA5EAAAQBAJ","number-of-pages":"249","publisher":"Cambridge University Press","source":"Google Books","title":"Qualitative Comparative Analysis Using R: A Beginner's Guide","title-short":"Qualitative Comparative Analysis Using R","author":[{"family":"Oana","given":"Ioana-Elena"},{"family":"Schneider","given":"Carsten Q."},{"family":"Thomann","given":"Eva"}],"issued":{"date-parts":[["2021",10,28]]}}},{"id":"Ubi3gMvx/qcFDPNxN","uris":["http://zotero.org/users/7323662/items/HBDMFDLE"],"itemData":{"id":2,"type":"book","language":"en","publisher":"Cambridge University Press","source":"Zotero","title":"Set-Theoretic Methods for the Social Sciences: A Guide to Qualitative Comparative Analysis","author":[{"family":"Schneider","given":"Carsten Q"},{"family":"Wagemann","given":"Claudius"}],"issued":{"date-parts":[["2012"]]}}}],"schema":"https://github.com/citation-style-language/schema/raw/master/csl-citation.json"} </w:instrText>
      </w:r>
      <w:r w:rsidRPr="000D63C6">
        <w:rPr>
          <w:lang w:eastAsia="en-US"/>
        </w:rPr>
        <w:fldChar w:fldCharType="separate"/>
      </w:r>
      <w:r w:rsidRPr="000D63C6">
        <w:rPr>
          <w:lang w:eastAsia="en-US"/>
        </w:rPr>
        <w:t>; Hinterleitner, Sager, and Thomann 2016, App. B; Oana, Schneider, and Thomann 2021; Schneider and Wagemann 2012)</w:t>
      </w:r>
      <w:r w:rsidRPr="000D63C6">
        <w:rPr>
          <w:lang w:eastAsia="en-US"/>
        </w:rPr>
        <w:fldChar w:fldCharType="end"/>
      </w:r>
      <w:r w:rsidRPr="000D63C6">
        <w:rPr>
          <w:lang w:eastAsia="en-US"/>
        </w:rPr>
        <w:t>. As explained by Hinterleitner, Sager and Thomann in the online appendix to their study: “</w:t>
      </w:r>
      <w:r w:rsidRPr="000D63C6">
        <w:rPr>
          <w:i/>
          <w:iCs/>
          <w:lang w:eastAsia="en-US"/>
        </w:rPr>
        <w:t>the most important anchor is the crossover point (0</w:t>
      </w:r>
      <w:r w:rsidR="00A813F3">
        <w:rPr>
          <w:i/>
          <w:iCs/>
          <w:lang w:eastAsia="en-US"/>
        </w:rPr>
        <w:t>,</w:t>
      </w:r>
      <w:r w:rsidRPr="000D63C6">
        <w:rPr>
          <w:i/>
          <w:iCs/>
          <w:lang w:eastAsia="en-US"/>
        </w:rPr>
        <w:t>5): if a change in this anchor leads to a case displaying a qualitatively different membership in the set, then this can change its membership in the truth table rows and, hence, the substantial results</w:t>
      </w:r>
      <w:r w:rsidRPr="000D63C6">
        <w:rPr>
          <w:lang w:eastAsia="en-US"/>
        </w:rPr>
        <w:t xml:space="preserve">” </w:t>
      </w:r>
      <w:r w:rsidRPr="000D63C6">
        <w:rPr>
          <w:lang w:eastAsia="en-US"/>
        </w:rPr>
        <w:fldChar w:fldCharType="begin"/>
      </w:r>
      <w:r>
        <w:rPr>
          <w:lang w:eastAsia="en-US"/>
        </w:rPr>
        <w:instrText xml:space="preserve"> ADDIN ZOTERO_ITEM CSL_CITATION {"citationID":"sUNpAX1E","properties":{"formattedCitation":"(Hinterleitner, Sager, and Thomann 2016, app. B)","plainCitation":"(Hinterleitner, Sager, and Thomann 2016, app. B)","dontUpdate":true,"noteIndex":0},"citationItems":[{"id":"Ubi3gMvx/GL2Uco1D","uris":["http://zotero.org/users/7323662/items/RY4N44JQ"],"itemData":{"id":6081,"type":"article-journal","abstract":"During the European debt crisis, numerous states launched austerity programmes. The International Monetary Fund (IMF) evaluates and forecasts the likelihood of member states’ success in implementing these programmes. Although IMF evaluations influence country risk perceptions on capital markets, little is known about their reasoning. This article uses fuzzy-set qualitative comparative analysis (fsQCA) to explore on what grounds the IMF evaluated the success prospects of austerity programmes during the European debt crisis. Results reveal that IMF evaluations are heavily influenced by the programme’s implementation credibility. They require a tractable policy problem, a country’s institutional capacity to structure implementation, and favour expenditure reduction over revenue measures. By acting as a strict guide on the road to fiscal adjustment, the IMF indirectly influences member states’ scope of policy making through its surveillance activities. Extensive austerity programmes that need to be implemented swiftly are evaluated negatively if the country is not involved in an IMF programme.","container-title":"European Journal of Political Research","DOI":"10.1111/1475-6765.12142","ISSN":"03044130","issue":"3","journalAbbreviation":"European Journal of Political Research","language":"en","page":"549-567","source":"DOI.org (Crossref)","title":"The politics of external approval: Explaining the IMF's evaluation of austerity programmes","title-short":"The politics of external approval","volume":"55","author":[{"family":"Hinterleitner","given":"Markus"},{"family":"Sager","given":"Fritz"},{"family":"Thomann","given":"Eva"}],"issued":{"date-parts":[["2016",8]]}},"locator":"B","label":"appendix"}],"schema":"https://github.com/citation-style-language/schema/raw/master/csl-citation.json"} </w:instrText>
      </w:r>
      <w:r w:rsidRPr="000D63C6">
        <w:rPr>
          <w:lang w:eastAsia="en-US"/>
        </w:rPr>
        <w:fldChar w:fldCharType="separate"/>
      </w:r>
      <w:r w:rsidRPr="000D63C6">
        <w:rPr>
          <w:lang w:eastAsia="en-US"/>
        </w:rPr>
        <w:t>(Hinterleitner, Sager, and Thomann 2016, App. B)</w:t>
      </w:r>
      <w:r w:rsidRPr="000D63C6">
        <w:rPr>
          <w:lang w:eastAsia="en-US"/>
        </w:rPr>
        <w:fldChar w:fldCharType="end"/>
      </w:r>
      <w:r w:rsidRPr="000D63C6">
        <w:rPr>
          <w:lang w:eastAsia="en-US"/>
        </w:rPr>
        <w:t xml:space="preserve">. Accordingly, alternative choices in setting conversion points were carefully evaluated. </w:t>
      </w:r>
    </w:p>
    <w:p w14:paraId="4AF5E21C" w14:textId="77777777" w:rsidR="007C2E48" w:rsidRPr="000D63C6" w:rsidRDefault="007C2E48" w:rsidP="007C2E48">
      <w:pPr>
        <w:rPr>
          <w:i/>
          <w:iCs/>
          <w:lang w:eastAsia="en-US"/>
        </w:rPr>
      </w:pPr>
      <w:r w:rsidRPr="000D63C6">
        <w:rPr>
          <w:i/>
          <w:iCs/>
          <w:lang w:eastAsia="en-US"/>
        </w:rPr>
        <w:t>fuzzy-set Universal Targeting Index</w:t>
      </w:r>
    </w:p>
    <w:p w14:paraId="55F01CB8" w14:textId="77777777" w:rsidR="007C2E48" w:rsidRPr="000D63C6" w:rsidRDefault="007C2E48" w:rsidP="007C2E48">
      <w:pPr>
        <w:rPr>
          <w:lang w:eastAsia="en-US"/>
        </w:rPr>
      </w:pPr>
      <w:r w:rsidRPr="000D63C6">
        <w:rPr>
          <w:lang w:eastAsia="en-US"/>
        </w:rPr>
        <w:t xml:space="preserve">Since the fuzzy-set Universal Targeting Index was constructed using the family resemblance strategy in concept formation, three distinct attributes of cases were calibrated into fuzzy sets: </w:t>
      </w:r>
    </w:p>
    <w:p w14:paraId="778AA2CC" w14:textId="200B294E" w:rsidR="007C2E48" w:rsidRDefault="007C2E48" w:rsidP="007C2E48">
      <w:pPr>
        <w:pStyle w:val="Akapitzlist"/>
        <w:numPr>
          <w:ilvl w:val="0"/>
          <w:numId w:val="23"/>
        </w:numPr>
        <w:rPr>
          <w:rFonts w:eastAsia="Calibri"/>
          <w:lang w:eastAsia="en-US"/>
        </w:rPr>
      </w:pPr>
      <w:r w:rsidRPr="000D63C6">
        <w:rPr>
          <w:rFonts w:eastAsia="Calibri"/>
          <w:lang w:eastAsia="en-US"/>
        </w:rPr>
        <w:t xml:space="preserve">First, </w:t>
      </w:r>
      <w:r w:rsidRPr="00E525AE">
        <w:rPr>
          <w:rFonts w:eastAsia="Calibri"/>
          <w:b/>
          <w:bCs/>
          <w:i/>
          <w:iCs/>
          <w:lang w:eastAsia="en-US"/>
        </w:rPr>
        <w:t>per capita</w:t>
      </w:r>
      <w:r w:rsidRPr="00E525AE">
        <w:rPr>
          <w:rFonts w:eastAsia="Calibri"/>
          <w:b/>
          <w:bCs/>
          <w:lang w:eastAsia="en-US"/>
        </w:rPr>
        <w:t xml:space="preserve"> spending on public health programmes</w:t>
      </w:r>
      <w:r w:rsidRPr="000D63C6">
        <w:rPr>
          <w:rFonts w:eastAsia="Calibri"/>
          <w:lang w:eastAsia="en-US"/>
        </w:rPr>
        <w:t xml:space="preserve"> was used to assign cases to the set </w:t>
      </w:r>
      <w:r w:rsidR="00D34C25">
        <w:rPr>
          <w:rFonts w:eastAsia="Calibri"/>
          <w:lang w:eastAsia="en-US"/>
        </w:rPr>
        <w:t>representing</w:t>
      </w:r>
      <w:r w:rsidRPr="000D63C6">
        <w:rPr>
          <w:rFonts w:eastAsia="Calibri"/>
          <w:lang w:eastAsia="en-US"/>
        </w:rPr>
        <w:t xml:space="preserve"> above</w:t>
      </w:r>
      <w:r w:rsidR="00D34C25">
        <w:rPr>
          <w:rFonts w:eastAsia="Calibri"/>
          <w:lang w:eastAsia="en-US"/>
        </w:rPr>
        <w:t>-</w:t>
      </w:r>
      <w:r w:rsidRPr="000D63C6">
        <w:rPr>
          <w:rFonts w:eastAsia="Calibri"/>
          <w:lang w:eastAsia="en-US"/>
        </w:rPr>
        <w:t xml:space="preserve">median municipal public health expenditure in 2019 (PHP_EXP). The conversion point was conservatively set at 19, between the case slightly above the sample median (Lodz, 17,68), and the next relevant case. Borderline cases, Lodz and Poznan, that spent around this amount on the programmes, were excluded from the set to ensure a meaningful difference between sets representing the presence and absence of ‘high spending’. As the raw data are rather skewed, the full inclusion point was chosen based on </w:t>
      </w:r>
      <w:r w:rsidR="001029B2">
        <w:rPr>
          <w:rFonts w:eastAsia="Calibri"/>
          <w:lang w:eastAsia="en-US"/>
        </w:rPr>
        <w:t>the</w:t>
      </w:r>
      <w:r w:rsidRPr="000D63C6">
        <w:rPr>
          <w:rFonts w:eastAsia="Calibri"/>
          <w:lang w:eastAsia="en-US"/>
        </w:rPr>
        <w:t xml:space="preserve"> noticeable gap between Krakow (ca. 31) and Olsztyn (ca. 81), supported by the </w:t>
      </w:r>
      <w:r w:rsidRPr="000D63C6">
        <w:rPr>
          <w:rFonts w:eastAsia="Calibri"/>
          <w:lang w:eastAsia="en-US"/>
        </w:rPr>
        <w:lastRenderedPageBreak/>
        <w:t xml:space="preserve">mean value (63). </w:t>
      </w:r>
      <w:r w:rsidR="009C0E2A">
        <w:rPr>
          <w:rFonts w:eastAsia="Calibri"/>
          <w:lang w:eastAsia="en-US"/>
        </w:rPr>
        <w:t>The</w:t>
      </w:r>
      <w:r w:rsidRPr="000D63C6">
        <w:rPr>
          <w:rFonts w:eastAsia="Calibri"/>
          <w:lang w:eastAsia="en-US"/>
        </w:rPr>
        <w:t xml:space="preserve"> full absence point was set at 10, demarcating the lowest-spending municipalities. This set serves as a necessary attribute (NA) for the index, indicating the presence of well-funded public health </w:t>
      </w:r>
      <w:r w:rsidR="00C37AB1">
        <w:rPr>
          <w:rFonts w:eastAsia="Calibri"/>
          <w:lang w:eastAsia="en-US"/>
        </w:rPr>
        <w:t>policies</w:t>
      </w:r>
      <w:r w:rsidRPr="000D63C6">
        <w:rPr>
          <w:rFonts w:eastAsia="Calibri"/>
          <w:lang w:eastAsia="en-US"/>
        </w:rPr>
        <w:t xml:space="preserve"> at the local level. </w:t>
      </w:r>
    </w:p>
    <w:p w14:paraId="1C9451CA" w14:textId="77777777" w:rsidR="007C2E48" w:rsidRDefault="007C2E48" w:rsidP="007C2E48">
      <w:pPr>
        <w:pStyle w:val="Akapitzlist"/>
        <w:numPr>
          <w:ilvl w:val="0"/>
          <w:numId w:val="23"/>
        </w:numPr>
        <w:rPr>
          <w:rFonts w:eastAsia="Calibri"/>
          <w:lang w:eastAsia="en-US"/>
        </w:rPr>
      </w:pPr>
      <w:r w:rsidRPr="000D63C6">
        <w:rPr>
          <w:rFonts w:eastAsia="Calibri"/>
          <w:lang w:eastAsia="en-US"/>
        </w:rPr>
        <w:t xml:space="preserve">Next, the </w:t>
      </w:r>
      <w:r w:rsidRPr="00E525AE">
        <w:rPr>
          <w:rFonts w:eastAsia="Calibri"/>
          <w:b/>
          <w:bCs/>
          <w:lang w:eastAsia="en-US"/>
        </w:rPr>
        <w:t>high share of participants in universally targeted programmes</w:t>
      </w:r>
      <w:r w:rsidRPr="000D63C6">
        <w:rPr>
          <w:rFonts w:eastAsia="Calibri"/>
          <w:lang w:eastAsia="en-US"/>
        </w:rPr>
        <w:t xml:space="preserve"> as classified under the National Health Programme (‘universal prevention’ is a category used for reporting purposes), was calibrated into a separate set (UNI_COV_A). Universal programmes are defined as those dedicated to broad groups of inhabitants, regardless of their social or health status. Calibration thresholds were based on the distribution of raw values: at 50% for the crossover point, 80% for full inclusion and 10% for full exclusion. The crossover point reflects a division between majority and minority in participation scores. Full inclusion and full absence were assigned based on the significant gaps in empirical values. This set constitutes first substitutable attribute (SA1) in the fsUTI index. </w:t>
      </w:r>
    </w:p>
    <w:p w14:paraId="01127898" w14:textId="6A1435F8" w:rsidR="007C2E48" w:rsidRPr="000D63C6" w:rsidRDefault="007C2E48" w:rsidP="007C2E48">
      <w:pPr>
        <w:pStyle w:val="Akapitzlist"/>
        <w:numPr>
          <w:ilvl w:val="0"/>
          <w:numId w:val="23"/>
        </w:numPr>
        <w:rPr>
          <w:rFonts w:eastAsia="Calibri"/>
          <w:lang w:eastAsia="en-US"/>
        </w:rPr>
      </w:pPr>
      <w:r w:rsidRPr="000D63C6">
        <w:rPr>
          <w:rFonts w:eastAsia="Calibri"/>
          <w:lang w:eastAsia="en-US"/>
        </w:rPr>
        <w:t xml:space="preserve">Finally, to account for limitations in the official National Health Programme classifications,  an alternative measure (UNI_COV_B) was also included. This set describes the high share of participants in public health programmes that target large groups of beneficiaries, even if they are officially classified as ‘selective’. Due to the relatively low quality of the reported data, </w:t>
      </w:r>
      <w:r w:rsidR="00473112">
        <w:rPr>
          <w:rFonts w:eastAsia="Calibri"/>
          <w:lang w:eastAsia="en-US"/>
        </w:rPr>
        <w:t>some</w:t>
      </w:r>
      <w:r w:rsidRPr="000D63C6">
        <w:rPr>
          <w:rFonts w:eastAsia="Calibri"/>
          <w:lang w:eastAsia="en-US"/>
        </w:rPr>
        <w:t xml:space="preserve"> well-funded programmes </w:t>
      </w:r>
      <w:r w:rsidR="00473112">
        <w:rPr>
          <w:rFonts w:eastAsia="Calibri"/>
          <w:lang w:eastAsia="en-US"/>
        </w:rPr>
        <w:t xml:space="preserve">may </w:t>
      </w:r>
      <w:r w:rsidRPr="000D63C6">
        <w:rPr>
          <w:rFonts w:eastAsia="Calibri"/>
          <w:lang w:eastAsia="en-US"/>
        </w:rPr>
        <w:t xml:space="preserve">target </w:t>
      </w:r>
      <w:r w:rsidR="00000321">
        <w:rPr>
          <w:rFonts w:eastAsia="Calibri"/>
          <w:lang w:eastAsia="en-US"/>
        </w:rPr>
        <w:t>large populations but be classified</w:t>
      </w:r>
      <w:r w:rsidRPr="000D63C6">
        <w:rPr>
          <w:rFonts w:eastAsia="Calibri"/>
          <w:lang w:eastAsia="en-US"/>
        </w:rPr>
        <w:t xml:space="preserve"> as selective support. Based on additional assessments made on case-to-case basis, a threshold of 1% of the population was deemed sufficient to identify large-scale programmes that could be miscategorised. In the course of the calibration process, the conversion point was set slightly above the mean value among the included cases (68%) at 70%. Since the condition was included based on observational criteria, a more conservative conversion point than 50% is required. Gliwice (69%) was excluded due to geographical and historical proximity to Katowice (68%). This set serves as the second substitutable attribute (SA2) in the fsUTI index.</w:t>
      </w:r>
    </w:p>
    <w:p w14:paraId="3CA91A43" w14:textId="77777777" w:rsidR="007C2E48" w:rsidRPr="00E525AE" w:rsidRDefault="007C2E48" w:rsidP="007C2E48">
      <w:pPr>
        <w:rPr>
          <w:i/>
          <w:iCs/>
          <w:lang w:eastAsia="en-US"/>
        </w:rPr>
      </w:pPr>
      <w:r w:rsidRPr="00E525AE">
        <w:rPr>
          <w:i/>
          <w:iCs/>
          <w:lang w:eastAsia="en-US"/>
        </w:rPr>
        <w:t xml:space="preserve">Alternative calibration of the outcome </w:t>
      </w:r>
    </w:p>
    <w:p w14:paraId="3E615B47" w14:textId="0EBC029D" w:rsidR="007C2E48" w:rsidRPr="00EC0E4C" w:rsidRDefault="007C2E48" w:rsidP="007C2E48">
      <w:pPr>
        <w:rPr>
          <w:lang w:eastAsia="en-US"/>
        </w:rPr>
      </w:pPr>
      <w:r w:rsidRPr="00EC0E4C">
        <w:rPr>
          <w:lang w:eastAsia="en-US"/>
        </w:rPr>
        <w:t xml:space="preserve">Given the poor quality of municipal data, no other indicators of </w:t>
      </w:r>
      <w:r w:rsidRPr="00EC0E4C">
        <w:rPr>
          <w:lang w:eastAsia="en-US"/>
        </w:rPr>
        <w:br/>
        <w:t xml:space="preserve">policy content were deemed suitable for measurement purposes. For instance, the sheer number of programmes was </w:t>
      </w:r>
      <w:r w:rsidR="00662C70">
        <w:rPr>
          <w:lang w:eastAsia="en-US"/>
        </w:rPr>
        <w:t>in</w:t>
      </w:r>
      <w:r w:rsidRPr="00EC0E4C">
        <w:rPr>
          <w:lang w:eastAsia="en-US"/>
        </w:rPr>
        <w:t xml:space="preserve">appropriate due to significant variation in their scope and size. In addition, data on the absolute number of participants per 1000 inhabitants proved inconsistent. This may be attributed to a few large programmes that often dominate the local </w:t>
      </w:r>
      <w:r>
        <w:rPr>
          <w:lang w:eastAsia="en-US"/>
        </w:rPr>
        <w:t>policy</w:t>
      </w:r>
      <w:r w:rsidRPr="00EC0E4C">
        <w:rPr>
          <w:lang w:eastAsia="en-US"/>
        </w:rPr>
        <w:t xml:space="preserve"> landscape, but also to visible differences in reporting practices across cases. Ultimately, additional tests were conducted, which incorporated per capita spending on universal </w:t>
      </w:r>
      <w:r w:rsidRPr="00EC0E4C">
        <w:rPr>
          <w:lang w:eastAsia="en-US"/>
        </w:rPr>
        <w:lastRenderedPageBreak/>
        <w:t xml:space="preserve">programmes in an alternative version of the fuzzy-set index. The following logical operation represents its operationalisation: </w:t>
      </w:r>
    </w:p>
    <w:p w14:paraId="37F7770E" w14:textId="77777777" w:rsidR="007C2E48" w:rsidRPr="00EC0E4C" w:rsidRDefault="007C2E48" w:rsidP="007C2E48">
      <w:pPr>
        <w:ind w:firstLine="0"/>
        <w:rPr>
          <w:lang w:eastAsia="en-US"/>
        </w:rPr>
      </w:pPr>
      <w:r w:rsidRPr="00EC0E4C">
        <w:rPr>
          <w:lang w:eastAsia="en-US"/>
        </w:rPr>
        <w:t xml:space="preserve">[(UNI_EXP_A + UNI_EXP_B) * PHP_EXP] * (UNI_COV_A + UNI_COV_B) → OUT </w:t>
      </w:r>
      <w:r w:rsidRPr="00EC0E4C">
        <w:rPr>
          <w:lang w:eastAsia="en-US"/>
        </w:rPr>
        <w:br/>
        <w:t xml:space="preserve">(and independently: ~OUT). </w:t>
      </w:r>
    </w:p>
    <w:p w14:paraId="2B9F19C5" w14:textId="77777777" w:rsidR="007C2E48" w:rsidRPr="00532FD0" w:rsidRDefault="007C2E48" w:rsidP="007C2E48">
      <w:pPr>
        <w:rPr>
          <w:lang w:eastAsia="en-US"/>
        </w:rPr>
      </w:pPr>
      <w:r w:rsidRPr="00F374C6">
        <w:rPr>
          <w:lang w:eastAsia="en-US"/>
        </w:rPr>
        <w:t xml:space="preserve">Here, the cities included in the first set (the alternative necessary attribute) were restricted to those with high per capita spending on universally targeted public health interventions in 2019. </w:t>
      </w:r>
      <w:r w:rsidRPr="00055A9C">
        <w:rPr>
          <w:lang w:eastAsia="en-US"/>
        </w:rPr>
        <w:t xml:space="preserve">Once again, either based on the National Health Programme categorisation (A) or the substantial size of the </w:t>
      </w:r>
      <w:r w:rsidRPr="00CD3F33">
        <w:rPr>
          <w:lang w:eastAsia="en-US"/>
        </w:rPr>
        <w:t xml:space="preserve">programmes (B). The results of the alternative analysis did not, however, differ from those presented in the main body of the article. While the alternative measurement choices resulted in slightly lower Proportional Reduction in Inconsistency (PRI) scores (a byproduct of combining 5 sets in the Index), the solutions obtained remained consistent with the findings presented in the article. </w:t>
      </w:r>
    </w:p>
    <w:p w14:paraId="11AC7190" w14:textId="77777777" w:rsidR="007C2E48" w:rsidRPr="00E525AE" w:rsidRDefault="007C2E48" w:rsidP="007C2E48">
      <w:pPr>
        <w:rPr>
          <w:i/>
          <w:iCs/>
          <w:lang w:eastAsia="en-US"/>
        </w:rPr>
      </w:pPr>
      <w:r w:rsidRPr="00E525AE">
        <w:rPr>
          <w:i/>
          <w:iCs/>
          <w:lang w:eastAsia="en-US"/>
        </w:rPr>
        <w:t xml:space="preserve">POP </w:t>
      </w:r>
    </w:p>
    <w:p w14:paraId="1F8D505F" w14:textId="77777777" w:rsidR="007C2E48" w:rsidRPr="00692538" w:rsidRDefault="007C2E48" w:rsidP="007C2E48">
      <w:pPr>
        <w:rPr>
          <w:lang w:eastAsia="en-US"/>
        </w:rPr>
      </w:pPr>
      <w:r w:rsidRPr="00492AE6">
        <w:rPr>
          <w:lang w:eastAsia="en-US"/>
        </w:rPr>
        <w:t xml:space="preserve">For ‘large population size’ (POP), the crossover point was set at 300 000 inhabitants in 2019, between the sample median (ca.. 246 000) and the mean (ca. 387 000). Beyond simple descriptive statistics, the choice was informed by a noticeable gap in values that exists between Bialystok (ca. 297 000) and Lublin (ca. 339 000). This gap supports the conclusion that an in-kind difference exists between the two cities. Similarly, the full inclusion point was </w:t>
      </w:r>
      <w:r w:rsidRPr="00692538">
        <w:rPr>
          <w:lang w:eastAsia="en-US"/>
        </w:rPr>
        <w:t>set at 400 000 inhabitants, falling between the cases of Bydgoszcz (ca. 348 000) and Szczecin (ca. 402 000). Full absence was assigned to cases with fewer than 165 000 residents, a threshold close to the minimum value in the dataset. The presence of the condition gradually declines below the conversion point, down to 0,06. However, based on the raw data distribution, no definitive point of full absence could be reasonably set.</w:t>
      </w:r>
    </w:p>
    <w:p w14:paraId="0B5102B0" w14:textId="77777777" w:rsidR="007C2E48" w:rsidRPr="00E525AE" w:rsidRDefault="007C2E48" w:rsidP="007C2E48">
      <w:pPr>
        <w:rPr>
          <w:i/>
          <w:iCs/>
          <w:lang w:eastAsia="en-US"/>
        </w:rPr>
      </w:pPr>
      <w:r w:rsidRPr="00E525AE">
        <w:rPr>
          <w:i/>
          <w:iCs/>
          <w:lang w:eastAsia="en-US"/>
        </w:rPr>
        <w:t>POORHEALTH</w:t>
      </w:r>
    </w:p>
    <w:p w14:paraId="3DE0D9ED" w14:textId="77777777" w:rsidR="007C2E48" w:rsidRPr="00692538" w:rsidRDefault="007C2E48" w:rsidP="007C2E48">
      <w:pPr>
        <w:rPr>
          <w:lang w:eastAsia="en-US"/>
        </w:rPr>
      </w:pPr>
      <w:r w:rsidRPr="00692538">
        <w:rPr>
          <w:lang w:eastAsia="en-US"/>
        </w:rPr>
        <w:t xml:space="preserve">As the data provided by the Ministry of Health omits important health indicators at the county level (e.g., life expectancy), the POORHEALTH condition was calculated using the  conjunction (‘AND’) of two separate sets: </w:t>
      </w:r>
    </w:p>
    <w:p w14:paraId="76153794" w14:textId="77777777" w:rsidR="007C2E48" w:rsidRPr="007E1B90" w:rsidRDefault="007C2E48" w:rsidP="007C2E48">
      <w:pPr>
        <w:pStyle w:val="Akapitzlist"/>
        <w:numPr>
          <w:ilvl w:val="0"/>
          <w:numId w:val="28"/>
        </w:numPr>
        <w:rPr>
          <w:rFonts w:eastAsia="Calibri"/>
          <w:lang w:eastAsia="en-US"/>
        </w:rPr>
      </w:pPr>
      <w:r w:rsidRPr="007E1B90">
        <w:rPr>
          <w:rFonts w:eastAsia="Calibri"/>
          <w:lang w:eastAsia="en-US"/>
        </w:rPr>
        <w:t xml:space="preserve">The median age of inhabitants in 2019 was used to assign cases to a set representing the presence of a high population median age (AGEMED). Older populations are naturally more prone to experience health problems, increasing the demand for many types of public health programmes. The conversion point was set at the mean value of 42,8, reflecting an empirical gap between Radom (42,4) and Bielsko-Biala (43). However, this choice is arguable, as Bielsko-Biala and two other cases (Gliwice and Szczecin) are close in terms of median age. Therefore, a possible alternative choice is acknowledged in the robustness tests section, where the crossover point is </w:t>
      </w:r>
      <w:r w:rsidRPr="007E1B90">
        <w:rPr>
          <w:rFonts w:eastAsia="Calibri"/>
          <w:lang w:eastAsia="en-US"/>
        </w:rPr>
        <w:lastRenderedPageBreak/>
        <w:t xml:space="preserve">raised to a more conservative value, and all three borderline cases are </w:t>
      </w:r>
      <w:r w:rsidRPr="007E1B90">
        <w:rPr>
          <w:rFonts w:eastAsia="Calibri"/>
          <w:lang w:eastAsia="en-US"/>
        </w:rPr>
        <w:br/>
        <w:t>re-coded to be included in the ~POORHEALTH set. Full inclusion (44,1) and exclusion (41,5) points were determined based on the Q</w:t>
      </w:r>
      <w:r w:rsidRPr="007E1B90">
        <w:rPr>
          <w:rFonts w:eastAsia="Calibri"/>
          <w:vertAlign w:val="subscript"/>
          <w:lang w:eastAsia="en-US"/>
        </w:rPr>
        <w:t>1</w:t>
      </w:r>
      <w:r w:rsidRPr="007E1B90">
        <w:rPr>
          <w:rFonts w:eastAsia="Calibri"/>
          <w:lang w:eastAsia="en-US"/>
        </w:rPr>
        <w:t xml:space="preserve"> and Q</w:t>
      </w:r>
      <w:r w:rsidRPr="007E1B90">
        <w:rPr>
          <w:rFonts w:eastAsia="Calibri"/>
          <w:vertAlign w:val="subscript"/>
          <w:lang w:eastAsia="en-US"/>
        </w:rPr>
        <w:t xml:space="preserve">3 </w:t>
      </w:r>
      <w:r w:rsidRPr="007E1B90">
        <w:rPr>
          <w:rFonts w:eastAsia="Calibri"/>
          <w:lang w:eastAsia="en-US"/>
        </w:rPr>
        <w:t xml:space="preserve">values, as well as gaps observed in empirical data. Additionally, an alternative metric of population health structure, the age dependency ratio, was separately used to assess the validity of relying the median age in this conjunction. </w:t>
      </w:r>
    </w:p>
    <w:p w14:paraId="27022AD8" w14:textId="343D5089" w:rsidR="007C2E48" w:rsidRPr="00692538" w:rsidRDefault="007C2E48" w:rsidP="007C2E48">
      <w:pPr>
        <w:pStyle w:val="Akapitzlist"/>
        <w:numPr>
          <w:ilvl w:val="0"/>
          <w:numId w:val="28"/>
        </w:numPr>
        <w:rPr>
          <w:rFonts w:eastAsia="Calibri"/>
          <w:lang w:eastAsia="en-US"/>
        </w:rPr>
      </w:pPr>
      <w:r w:rsidRPr="00692538">
        <w:rPr>
          <w:rFonts w:eastAsia="Calibri"/>
          <w:lang w:eastAsia="en-US"/>
        </w:rPr>
        <w:t xml:space="preserve">To further evaluate the health situation, the average death rate </w:t>
      </w:r>
      <w:r w:rsidRPr="007E1B90">
        <w:rPr>
          <w:rFonts w:eastAsia="Calibri"/>
          <w:i/>
          <w:iCs/>
          <w:lang w:eastAsia="en-US"/>
        </w:rPr>
        <w:t>per</w:t>
      </w:r>
      <w:r w:rsidRPr="00692538">
        <w:rPr>
          <w:rFonts w:eastAsia="Calibri"/>
          <w:lang w:eastAsia="en-US"/>
        </w:rPr>
        <w:t xml:space="preserve"> 1000 inhabitants between 2016 and 2019 (DEATH) was calculated and added to the conjunction. The conversion point (10,8) was set close to the median value (10,81), between Bielsko-Biala and (10,74) and Zabrze (10,81). Zabrze </w:t>
      </w:r>
      <w:r w:rsidR="00FD1144">
        <w:rPr>
          <w:rFonts w:eastAsia="Calibri"/>
          <w:lang w:eastAsia="en-US"/>
        </w:rPr>
        <w:t>was included in the set as the gap between it and the next closest case (Warsaw) was very narrow</w:t>
      </w:r>
      <w:r w:rsidRPr="00692538">
        <w:rPr>
          <w:rFonts w:eastAsia="Calibri"/>
          <w:lang w:eastAsia="en-US"/>
        </w:rPr>
        <w:t xml:space="preserve">. In the robustness tests, a more conservative crossover point is applied, as an alternative calibration choice could also be reasonably justified based solely on the data distribution. Similarly to the AGEMED set, fully included cases (12,5) and excluded cases (9) were determined based on existing gaps in empirical data. </w:t>
      </w:r>
    </w:p>
    <w:p w14:paraId="19326089" w14:textId="77777777" w:rsidR="007C2E48" w:rsidRPr="007E1B90" w:rsidRDefault="007C2E48" w:rsidP="007C2E48">
      <w:pPr>
        <w:rPr>
          <w:i/>
          <w:iCs/>
          <w:lang w:eastAsia="en-US"/>
        </w:rPr>
      </w:pPr>
      <w:r w:rsidRPr="007E1B90">
        <w:rPr>
          <w:i/>
          <w:iCs/>
          <w:lang w:eastAsia="en-US"/>
        </w:rPr>
        <w:t>AFFL</w:t>
      </w:r>
    </w:p>
    <w:p w14:paraId="3CAE26DC" w14:textId="47C963C1" w:rsidR="007C2E48" w:rsidRPr="00233C23" w:rsidRDefault="007C2E48" w:rsidP="007C2E48">
      <w:pPr>
        <w:rPr>
          <w:lang w:eastAsia="en-US"/>
        </w:rPr>
      </w:pPr>
      <w:r w:rsidRPr="00233C23">
        <w:rPr>
          <w:lang w:eastAsia="en-US"/>
        </w:rPr>
        <w:t xml:space="preserve">For the set containing only the most affluent large cities in Poland (AFFL), the choice of the crossover point was informed by the mean per capita income of selected </w:t>
      </w:r>
      <w:r w:rsidR="00F1098E">
        <w:rPr>
          <w:lang w:eastAsia="en-US"/>
        </w:rPr>
        <w:t xml:space="preserve">cities </w:t>
      </w:r>
      <w:r w:rsidR="00F1098E" w:rsidRPr="00233C23">
        <w:rPr>
          <w:lang w:eastAsia="en-US"/>
        </w:rPr>
        <w:t>(3773 PLN)</w:t>
      </w:r>
      <w:r w:rsidRPr="00233C23">
        <w:rPr>
          <w:lang w:eastAsia="en-US"/>
        </w:rPr>
        <w:t xml:space="preserve"> between </w:t>
      </w:r>
      <w:r w:rsidR="00F1098E" w:rsidRPr="00233C23">
        <w:rPr>
          <w:lang w:eastAsia="en-US"/>
        </w:rPr>
        <w:t>2017 and 2019</w:t>
      </w:r>
      <w:r w:rsidRPr="00233C23">
        <w:rPr>
          <w:lang w:eastAsia="en-US"/>
        </w:rPr>
        <w:t xml:space="preserve">. A large empirical difference exists between the last ~AFFL case, Olsztyn (3593 PLN), and the first two cities assigned to AFFL, which are characterised by above average per capita incomes – Lodz (3873 PLN) and Gdynia (4044 PLN). This clear gap justifies the presumption of an in-kind difference. The point of full membership is put at 4000 PLN, as only 8 of the chosen cities were able to reach this threshold. Overall, income variability remains relatively low, despite the presence of a notable outlier: the capital city of Warsaw. Full absence was assigned to Sosnowiec, Zabrze, Radom, and Bytom; post-industrial cities which were particularly affected by the fall of socialism in Poland. </w:t>
      </w:r>
    </w:p>
    <w:p w14:paraId="00159D84" w14:textId="77777777" w:rsidR="007C2E48" w:rsidRPr="00E058C9" w:rsidRDefault="007C2E48" w:rsidP="007C2E48">
      <w:pPr>
        <w:rPr>
          <w:highlight w:val="yellow"/>
          <w:lang w:eastAsia="en-US"/>
        </w:rPr>
      </w:pPr>
    </w:p>
    <w:p w14:paraId="58489164" w14:textId="77777777" w:rsidR="007C2E48" w:rsidRPr="007E1B90" w:rsidRDefault="007C2E48" w:rsidP="007C2E48">
      <w:pPr>
        <w:rPr>
          <w:i/>
          <w:iCs/>
          <w:lang w:eastAsia="en-US"/>
        </w:rPr>
      </w:pPr>
      <w:r w:rsidRPr="007E1B90">
        <w:rPr>
          <w:i/>
          <w:iCs/>
          <w:lang w:eastAsia="en-US"/>
        </w:rPr>
        <w:t>WMR</w:t>
      </w:r>
    </w:p>
    <w:p w14:paraId="72FE8B42" w14:textId="4B2E9B23" w:rsidR="007C2E48" w:rsidRPr="00B66AEF" w:rsidRDefault="007C2E48" w:rsidP="007C2E48">
      <w:pPr>
        <w:rPr>
          <w:lang w:eastAsia="en-US"/>
        </w:rPr>
      </w:pPr>
      <w:r w:rsidRPr="00B66AEF">
        <w:rPr>
          <w:lang w:eastAsia="en-US"/>
        </w:rPr>
        <w:t xml:space="preserve">As already mentioned in the main body of the article, the crossover point for the presence of a high representation of women in city councils was based on theoretical works on ‘substantial representation’. Coincidentally, the point aligns closely with the sample median (29%) and the mean (31%), which further reinforce this choice. The point of full inclusion, on the other hand, was set at 40% – as this level of representation is close to the overall majority in the council and suggests relatively strong influence of women. In turn, cases with </w:t>
      </w:r>
      <w:r w:rsidRPr="00B66AEF">
        <w:rPr>
          <w:lang w:eastAsia="en-US"/>
        </w:rPr>
        <w:lastRenderedPageBreak/>
        <w:t xml:space="preserve">comparatively weak representation, defined as less than 25% of council members, were assigned to the ‘fully absent’ set. </w:t>
      </w:r>
    </w:p>
    <w:p w14:paraId="2A3159F7" w14:textId="77777777" w:rsidR="007C2E48" w:rsidRPr="007E1B90" w:rsidRDefault="007C2E48" w:rsidP="007C2E48">
      <w:pPr>
        <w:rPr>
          <w:i/>
          <w:iCs/>
          <w:lang w:eastAsia="en-US"/>
        </w:rPr>
      </w:pPr>
      <w:r w:rsidRPr="007E1B90">
        <w:rPr>
          <w:i/>
          <w:iCs/>
          <w:lang w:eastAsia="en-US"/>
        </w:rPr>
        <w:t>CIVSOC</w:t>
      </w:r>
    </w:p>
    <w:p w14:paraId="42551D4A" w14:textId="77777777" w:rsidR="007C2E48" w:rsidRPr="005B1606" w:rsidRDefault="007C2E48" w:rsidP="007C2E48">
      <w:pPr>
        <w:rPr>
          <w:lang w:eastAsia="en-US"/>
        </w:rPr>
      </w:pPr>
      <w:r w:rsidRPr="00065C6B">
        <w:rPr>
          <w:lang w:eastAsia="en-US"/>
        </w:rPr>
        <w:t xml:space="preserve">The </w:t>
      </w:r>
      <w:r>
        <w:rPr>
          <w:lang w:eastAsia="en-US"/>
        </w:rPr>
        <w:t>primary</w:t>
      </w:r>
      <w:r w:rsidRPr="00065C6B">
        <w:rPr>
          <w:lang w:eastAsia="en-US"/>
        </w:rPr>
        <w:t xml:space="preserve"> metric</w:t>
      </w:r>
      <w:r>
        <w:rPr>
          <w:lang w:eastAsia="en-US"/>
        </w:rPr>
        <w:t xml:space="preserve"> for measuring</w:t>
      </w:r>
      <w:r w:rsidRPr="00065C6B">
        <w:rPr>
          <w:lang w:eastAsia="en-US"/>
        </w:rPr>
        <w:t xml:space="preserve"> the strength of civil society proved to be slightly incomplete, as it included </w:t>
      </w:r>
      <w:r w:rsidRPr="00A128A9">
        <w:rPr>
          <w:lang w:eastAsia="en-US"/>
        </w:rPr>
        <w:t xml:space="preserve">missing values for the city of Gliwice. </w:t>
      </w:r>
      <w:r>
        <w:rPr>
          <w:lang w:eastAsia="en-US"/>
        </w:rPr>
        <w:t>Therefore</w:t>
      </w:r>
      <w:r w:rsidRPr="00A128A9">
        <w:rPr>
          <w:lang w:eastAsia="en-US"/>
        </w:rPr>
        <w:t xml:space="preserve">, it was necessary to incorporate an </w:t>
      </w:r>
      <w:r w:rsidRPr="005B1606">
        <w:rPr>
          <w:lang w:eastAsia="en-US"/>
        </w:rPr>
        <w:t xml:space="preserve">additional metric to improve the overall precision of the measurement. Based on a recent study linking local social embeddedness with electoral turnout in Poland (Markowski, Żerkowska-Balas, and Stanley 2023), the presence of the ‘strong civil society’ condition was calculated as a disjunction (“OR”) of two sets:  </w:t>
      </w:r>
    </w:p>
    <w:p w14:paraId="56518170" w14:textId="77777777" w:rsidR="007C2E48" w:rsidRPr="00621DA6" w:rsidRDefault="007C2E48" w:rsidP="007C2E48">
      <w:pPr>
        <w:pStyle w:val="Akapitzlist"/>
        <w:numPr>
          <w:ilvl w:val="0"/>
          <w:numId w:val="29"/>
        </w:numPr>
        <w:rPr>
          <w:rFonts w:eastAsia="Calibri"/>
          <w:lang w:eastAsia="en-US"/>
        </w:rPr>
      </w:pPr>
      <w:r w:rsidRPr="005B1606">
        <w:rPr>
          <w:rFonts w:eastAsia="Calibri"/>
          <w:lang w:eastAsia="en-US"/>
        </w:rPr>
        <w:t xml:space="preserve">Above-average membership in civil society organisations per 1000 inhabitants between 2017 and 2019. The crossover point was set at 8 (mean = 8,4), marking a clear empirical gap between Radom (7,61) and Bydgoszcz (8,5). An alternative choice of the crossover point, which similarly constitutes a clear empirical gap, was included in the </w:t>
      </w:r>
      <w:r w:rsidRPr="00621DA6">
        <w:rPr>
          <w:rFonts w:eastAsia="Calibri"/>
          <w:lang w:eastAsia="en-US"/>
        </w:rPr>
        <w:t xml:space="preserve">robustness tests. Full inclusion (15) and absence (5) were assigned based on existing gaps in empirical values and the proximity to other cases.  </w:t>
      </w:r>
    </w:p>
    <w:p w14:paraId="0FDF9290" w14:textId="71331E4E" w:rsidR="007C2E48" w:rsidRPr="00621DA6" w:rsidRDefault="007C2E48" w:rsidP="007C2E48">
      <w:pPr>
        <w:pStyle w:val="Akapitzlist"/>
        <w:numPr>
          <w:ilvl w:val="0"/>
          <w:numId w:val="29"/>
        </w:numPr>
        <w:rPr>
          <w:rFonts w:eastAsia="Calibri"/>
          <w:lang w:eastAsia="en-US"/>
        </w:rPr>
      </w:pPr>
      <w:r w:rsidRPr="00621DA6">
        <w:rPr>
          <w:rFonts w:eastAsia="Calibri"/>
          <w:lang w:eastAsia="en-US"/>
        </w:rPr>
        <w:t xml:space="preserve">Above-average turnout calculated for two local elections (2014, 2018), with the conversion point equal to the mean value of 48%. Full membership in the set begins at 50%, which represents turnout exceeding a majority of the eligible voters. Since the latter value could potentially serve as an alternative conversion point given the distribution of raw data, it is verified in the robustness tests. </w:t>
      </w:r>
    </w:p>
    <w:p w14:paraId="0F064EDF" w14:textId="77777777" w:rsidR="007C2E48" w:rsidRPr="00E058C9" w:rsidRDefault="007C2E48" w:rsidP="007C2E48">
      <w:pPr>
        <w:spacing w:before="0" w:after="0"/>
        <w:ind w:firstLine="0"/>
        <w:contextualSpacing/>
        <w:rPr>
          <w:rFonts w:eastAsia="Calibri"/>
          <w:b/>
          <w:bCs/>
          <w:highlight w:val="yellow"/>
          <w:lang w:eastAsia="en-US"/>
        </w:rPr>
      </w:pPr>
    </w:p>
    <w:p w14:paraId="000C691A" w14:textId="77777777" w:rsidR="007C2E48" w:rsidRPr="00F53B92" w:rsidRDefault="007C2E48" w:rsidP="007C2E48">
      <w:pPr>
        <w:spacing w:before="0" w:after="0"/>
        <w:ind w:firstLine="0"/>
        <w:contextualSpacing/>
        <w:rPr>
          <w:rFonts w:eastAsia="Calibri"/>
          <w:b/>
          <w:bCs/>
          <w:lang w:eastAsia="en-US"/>
        </w:rPr>
      </w:pPr>
      <w:r w:rsidRPr="00F53B92">
        <w:rPr>
          <w:rFonts w:eastAsia="Calibri"/>
          <w:b/>
          <w:bCs/>
          <w:lang w:eastAsia="en-US"/>
        </w:rPr>
        <w:t>Robustness tests</w:t>
      </w:r>
    </w:p>
    <w:p w14:paraId="7728C4BD" w14:textId="4FA8ACCA" w:rsidR="007C2E48" w:rsidRPr="00F53B92" w:rsidRDefault="007C2E48" w:rsidP="007C2E48">
      <w:pPr>
        <w:rPr>
          <w:lang w:eastAsia="en-US"/>
        </w:rPr>
      </w:pPr>
      <w:r w:rsidRPr="00F53B92">
        <w:rPr>
          <w:lang w:eastAsia="en-US"/>
        </w:rPr>
        <w:t xml:space="preserve">Robustness tests applied in this article are based on the protocol outlined by Ioana-Elena Oana and Carsten Schneider </w:t>
      </w:r>
      <w:r w:rsidRPr="00F53B92">
        <w:rPr>
          <w:lang w:eastAsia="en-US"/>
        </w:rPr>
        <w:fldChar w:fldCharType="begin"/>
      </w:r>
      <w:r>
        <w:rPr>
          <w:lang w:eastAsia="en-US"/>
        </w:rPr>
        <w:instrText xml:space="preserve"> ADDIN ZOTERO_ITEM CSL_CITATION {"citationID":"2Cx8ehzQ","properties":{"formattedCitation":"(Oana and Schneider 2021; Oana, Schneider, and Thomann 2021)","plainCitation":"(Oana and Schneider 2021; Oana, Schneider, and Thomann 2021)","noteIndex":0},"citationItems":[{"id":"Ubi3gMvx/4MTB7AZp","uris":["http://zotero.org/users/7323662/items/KTHSWYBV"],"itemData":{"id":863,"type":"article-journal","abstract":"The robustness of qualitative comparative analysis (QCA) results features high on the agenda of methodologists and practitioners. This article aims at advancing this debate on several fronts. First, in line with the extant literature, we take a comprehensive view on robustness arguing that decisions on calibration, consistency, and frequency thresholds should all be tested. Second, we introduce the notion of “sensitivity range” as the range of values for any of these parameters within which the solution formula remains unchanged. Third, we argue that interpreting robustness is more intricate than simply checking if solutions remain unchanged. Beyond sensitivity ranges, researchers should assess robustness by evaluating changes in parameters of fit and the classification of cases as robust, shaky, or possible. Fourth, we enable researchers to perform more than one robustness test at a time by proposing the notions of a “test set”: the overlap between conceptually plausible alternative solutions that can be generated; and of a “robust core”: that part of a QCA solution that withstands the robustness checks. Fifth, we present functionalities implemented in the R package SetMethods that enable researchers to put in practice our proposals. These advancements are integrated into a comprehensive QCA Robustness Test Protocol consisting of three main tests: sensitivity ranges, fit-oriented robustness, and case-oriented robustness. We illustrate the protocol’s implementation with an example on high life expectancy across the globe.","container-title":"Sociological Methods &amp; Research","DOI":"10.1177/00491241211036158","ISSN":"0049-1241","journalAbbreviation":"Sociological Methods &amp; Research","language":"en","note":"publisher: SAGE Publications Inc","page":"1-32","source":"SAGE Journals","title":"A Robustness Test Protocol for Applied QCA: Theory and R Software Application","title-short":"A Robustness Test Protocol for Applied QCA","author":[{"family":"Oana","given":"Ioana-Elena"},{"family":"Schneider","given":"Carsten Q."}],"issued":{"date-parts":[["2021"]]}}},{"id":"Ubi3gMvx/ng05ZxE6","uris":["http://zotero.org/users/7323662/items/A8CMQT33"],"itemData":{"id":"p3EdbCMN/2X9WiU9i","type":"book","abstract":"A comprehensive introduction and teaching resource for state-of-the-art Qualitative Comparative Analysis (QCA) using R software. This guide facilitates the efficient teaching, independent learning, and use of QCA with the best available software, reducing the time and effort required when encountering not just the logic of a new method, but also new software. With its applied and practical focus, the book offers a genuinely simple and intuitive resource for implementing the most complete protocol of QCA. To make the lives of students, teachers, researchers, and practitioners as easy as possible, the book includes learning goals, core points, empirical examples, and tips for good practices. The freely available online material provides a rich body of additional resources to aid users in their learning process. Beyond performing core analyses with the R package QCA, the book also facilitates a close integration with the R package SetMethods allowing for a host of additional protocols for building a more solid and well-rounded QCA.","ISBN":"978-1-316-51872-4","language":"en","note":"Google-Books-ID: lhA5EAAAQBAJ","number-of-pages":"249","publisher":"Cambridge University Press","source":"Google Books","title":"Qualitative Comparative Analysis Using R: A Beginner's Guide","title-short":"Qualitative Comparative Analysis Using R","author":[{"family":"Oana","given":"Ioana-Elena"},{"family":"Schneider","given":"Carsten Q."},{"family":"Thomann","given":"Eva"}],"issued":{"date-parts":[["2021",10,28]]}}}],"schema":"https://github.com/citation-style-language/schema/raw/master/csl-citation.json"} </w:instrText>
      </w:r>
      <w:r w:rsidRPr="00F53B92">
        <w:rPr>
          <w:lang w:eastAsia="en-US"/>
        </w:rPr>
        <w:fldChar w:fldCharType="separate"/>
      </w:r>
      <w:r w:rsidRPr="00F53B92">
        <w:rPr>
          <w:lang w:eastAsia="en-US"/>
        </w:rPr>
        <w:t>(Oana and Schneider 2021; Oana, Schneider, and Thomann 2021)</w:t>
      </w:r>
      <w:r w:rsidRPr="00F53B92">
        <w:rPr>
          <w:lang w:eastAsia="en-US"/>
        </w:rPr>
        <w:fldChar w:fldCharType="end"/>
      </w:r>
      <w:r w:rsidRPr="00F53B92">
        <w:rPr>
          <w:lang w:eastAsia="en-US"/>
        </w:rPr>
        <w:t xml:space="preserve">.  Applying QCA as a qualitative comparative method inherently involves a certain degree of arbitrariness in set calibration. There </w:t>
      </w:r>
      <w:r w:rsidR="00122236">
        <w:rPr>
          <w:lang w:eastAsia="en-US"/>
        </w:rPr>
        <w:t>is</w:t>
      </w:r>
      <w:r w:rsidRPr="00F53B92">
        <w:rPr>
          <w:lang w:eastAsia="en-US"/>
        </w:rPr>
        <w:t xml:space="preserve"> often more than one plausible conversion points for a condition (or the outcome set), which may significantly alter the final results of the analysis. To ensure the quality of the analysis, robustness tests are thus recommended. Oana and Schneider propose to compare the final QCA results with alternative solutions that account for all possible measurement decisions. In this context, a ‘robust’ QCA result means one that remains unchanged against major changes in calibration choices.  Quality control of this kind is based on the following steps (after ibid):</w:t>
      </w:r>
    </w:p>
    <w:p w14:paraId="72106CA3" w14:textId="77777777" w:rsidR="007C2E48" w:rsidRPr="00CC385D" w:rsidRDefault="007C2E48" w:rsidP="007C2E48">
      <w:pPr>
        <w:pStyle w:val="Akapitzlist"/>
        <w:numPr>
          <w:ilvl w:val="0"/>
          <w:numId w:val="30"/>
        </w:numPr>
        <w:rPr>
          <w:rFonts w:eastAsia="Calibri"/>
          <w:lang w:eastAsia="en-US"/>
        </w:rPr>
      </w:pPr>
      <w:r w:rsidRPr="00CC385D">
        <w:rPr>
          <w:rFonts w:eastAsia="Calibri"/>
          <w:lang w:eastAsia="en-US"/>
        </w:rPr>
        <w:t xml:space="preserve">Produce the initial solution (IS) of QCA. </w:t>
      </w:r>
    </w:p>
    <w:p w14:paraId="7B2498EE" w14:textId="77777777" w:rsidR="007C2E48" w:rsidRPr="00CC385D" w:rsidRDefault="007C2E48" w:rsidP="007C2E48">
      <w:pPr>
        <w:pStyle w:val="Akapitzlist"/>
        <w:numPr>
          <w:ilvl w:val="0"/>
          <w:numId w:val="30"/>
        </w:numPr>
        <w:rPr>
          <w:rFonts w:eastAsia="Calibri"/>
          <w:lang w:eastAsia="en-US"/>
        </w:rPr>
      </w:pPr>
      <w:r w:rsidRPr="00CC385D">
        <w:rPr>
          <w:rFonts w:eastAsia="Calibri"/>
          <w:lang w:eastAsia="en-US"/>
        </w:rPr>
        <w:lastRenderedPageBreak/>
        <w:t xml:space="preserve">Determine the sensitivity ranges of the IS. </w:t>
      </w:r>
    </w:p>
    <w:p w14:paraId="460BDC12" w14:textId="77777777" w:rsidR="007C2E48" w:rsidRPr="00CC385D" w:rsidRDefault="007C2E48" w:rsidP="007C2E48">
      <w:pPr>
        <w:pStyle w:val="Akapitzlist"/>
        <w:numPr>
          <w:ilvl w:val="0"/>
          <w:numId w:val="30"/>
        </w:numPr>
        <w:rPr>
          <w:rFonts w:eastAsia="Calibri"/>
          <w:lang w:eastAsia="en-US"/>
        </w:rPr>
      </w:pPr>
      <w:r w:rsidRPr="00CC385D">
        <w:rPr>
          <w:rFonts w:eastAsia="Calibri"/>
          <w:lang w:eastAsia="en-US"/>
        </w:rPr>
        <w:t xml:space="preserve">Generate alternative solutions for the various analytic changes that are as challenging as possible. </w:t>
      </w:r>
    </w:p>
    <w:p w14:paraId="500670E2" w14:textId="77777777" w:rsidR="007C2E48" w:rsidRPr="00CC385D" w:rsidRDefault="007C2E48" w:rsidP="007C2E48">
      <w:pPr>
        <w:pStyle w:val="Akapitzlist"/>
        <w:numPr>
          <w:ilvl w:val="0"/>
          <w:numId w:val="30"/>
        </w:numPr>
        <w:rPr>
          <w:rFonts w:eastAsia="Calibri"/>
          <w:lang w:eastAsia="en-US"/>
        </w:rPr>
      </w:pPr>
      <w:r w:rsidRPr="00CC385D">
        <w:rPr>
          <w:rFonts w:eastAsia="Calibri"/>
          <w:lang w:eastAsia="en-US"/>
        </w:rPr>
        <w:t xml:space="preserve">Obtain the test solution (TS) and the robust core (RC) of the results. </w:t>
      </w:r>
    </w:p>
    <w:p w14:paraId="22257FD8" w14:textId="77777777" w:rsidR="007C2E48" w:rsidRPr="00CC385D" w:rsidRDefault="007C2E48" w:rsidP="007C2E48">
      <w:pPr>
        <w:pStyle w:val="Akapitzlist"/>
        <w:numPr>
          <w:ilvl w:val="0"/>
          <w:numId w:val="30"/>
        </w:numPr>
        <w:rPr>
          <w:rFonts w:eastAsia="Calibri"/>
          <w:lang w:eastAsia="en-US"/>
        </w:rPr>
      </w:pPr>
      <w:r w:rsidRPr="00CC385D">
        <w:rPr>
          <w:rFonts w:eastAsia="Calibri"/>
          <w:lang w:eastAsia="en-US"/>
        </w:rPr>
        <w:t xml:space="preserve">Calculate the fit-oriented parameters (RF) to evaluate the overlap between IS, RC and TS to assess the consistency of the initial solution. </w:t>
      </w:r>
    </w:p>
    <w:p w14:paraId="13A650F8" w14:textId="77777777" w:rsidR="007C2E48" w:rsidRPr="00CC385D" w:rsidRDefault="007C2E48" w:rsidP="007C2E48">
      <w:pPr>
        <w:pStyle w:val="Akapitzlist"/>
        <w:numPr>
          <w:ilvl w:val="0"/>
          <w:numId w:val="30"/>
        </w:numPr>
        <w:rPr>
          <w:rFonts w:eastAsia="Calibri"/>
          <w:lang w:eastAsia="en-US"/>
        </w:rPr>
      </w:pPr>
      <w:r w:rsidRPr="00CC385D">
        <w:rPr>
          <w:rFonts w:eastAsia="Calibri"/>
          <w:lang w:eastAsia="en-US"/>
        </w:rPr>
        <w:t>Calculate the case-oriented robustness (RCR); identify robust types of cases and the robustness rank (RCC</w:t>
      </w:r>
      <w:r w:rsidRPr="006B3DD2">
        <w:rPr>
          <w:rFonts w:eastAsia="Calibri"/>
          <w:vertAlign w:val="subscript"/>
          <w:lang w:eastAsia="en-US"/>
        </w:rPr>
        <w:t>rank</w:t>
      </w:r>
      <w:r w:rsidRPr="00CC385D">
        <w:rPr>
          <w:rFonts w:eastAsia="Calibri"/>
          <w:lang w:eastAsia="en-US"/>
        </w:rPr>
        <w:t xml:space="preserve">) </w:t>
      </w:r>
    </w:p>
    <w:p w14:paraId="6E7D0937" w14:textId="77777777" w:rsidR="007C2E48" w:rsidRPr="006B3DD2" w:rsidRDefault="007C2E48" w:rsidP="007C2E48">
      <w:pPr>
        <w:rPr>
          <w:i/>
          <w:iCs/>
          <w:lang w:eastAsia="en-US"/>
        </w:rPr>
      </w:pPr>
      <w:r w:rsidRPr="006B3DD2">
        <w:rPr>
          <w:i/>
          <w:iCs/>
          <w:lang w:eastAsia="en-US"/>
        </w:rPr>
        <w:t xml:space="preserve">Sensitivity ranges </w:t>
      </w:r>
    </w:p>
    <w:p w14:paraId="4DD77BFD" w14:textId="2735BA4F" w:rsidR="007C2E48" w:rsidRPr="004C2BEF" w:rsidRDefault="007C2E48" w:rsidP="007C2E48">
      <w:pPr>
        <w:rPr>
          <w:highlight w:val="yellow"/>
          <w:lang w:eastAsia="en-US"/>
        </w:rPr>
      </w:pPr>
      <w:r w:rsidRPr="009B308C">
        <w:rPr>
          <w:lang w:eastAsia="en-US"/>
        </w:rPr>
        <w:t xml:space="preserve">As clarified by Oana and Schneider: “Sensitivity ranges allow us to empirically assess the limits within which the Boolean expression for the solution remains unchanged” (ibid). The initial solutions considered here – for the occurrence of universal targeting (OUT) and its absence (~OUT) – are presented in the main body of the </w:t>
      </w:r>
      <w:r w:rsidRPr="00BE5DB5">
        <w:rPr>
          <w:lang w:eastAsia="en-US"/>
        </w:rPr>
        <w:t xml:space="preserve">article. Sensitivity tests revealed that both solutions are relatively </w:t>
      </w:r>
      <w:r w:rsidR="00C46E37">
        <w:rPr>
          <w:lang w:eastAsia="en-US"/>
        </w:rPr>
        <w:t>in</w:t>
      </w:r>
      <w:r w:rsidRPr="00BE5DB5">
        <w:rPr>
          <w:lang w:eastAsia="en-US"/>
        </w:rPr>
        <w:t xml:space="preserve">sensitive to changes in the initial consistency threshold (0,8), above which individual configurations are considered as sufficient for the outcome or its </w:t>
      </w:r>
      <w:r w:rsidRPr="00A31674">
        <w:rPr>
          <w:lang w:eastAsia="en-US"/>
        </w:rPr>
        <w:t>absence. For OUT, consistent results were obtained in the range of 0,7</w:t>
      </w:r>
      <w:r w:rsidR="00D4369B">
        <w:rPr>
          <w:lang w:eastAsia="en-US"/>
        </w:rPr>
        <w:t>4</w:t>
      </w:r>
      <w:r w:rsidRPr="00A31674">
        <w:rPr>
          <w:lang w:eastAsia="en-US"/>
        </w:rPr>
        <w:t xml:space="preserve"> and 0,93. For ~OUT, the range is between 0,74 and 0,88.</w:t>
      </w:r>
      <w:r w:rsidRPr="00BE5DB5">
        <w:rPr>
          <w:lang w:eastAsia="en-US"/>
        </w:rPr>
        <w:t xml:space="preserve"> </w:t>
      </w:r>
    </w:p>
    <w:p w14:paraId="5EBC803C" w14:textId="77777777" w:rsidR="007C2E48" w:rsidRPr="006B3DD2" w:rsidRDefault="007C2E48" w:rsidP="007C2E48">
      <w:pPr>
        <w:rPr>
          <w:i/>
          <w:iCs/>
          <w:lang w:eastAsia="en-US"/>
        </w:rPr>
      </w:pPr>
      <w:r w:rsidRPr="006B3DD2">
        <w:rPr>
          <w:i/>
          <w:iCs/>
          <w:lang w:eastAsia="en-US"/>
        </w:rPr>
        <w:t>Alternative solution</w:t>
      </w:r>
    </w:p>
    <w:p w14:paraId="00906A26" w14:textId="4F8416ED" w:rsidR="007C2E48" w:rsidRPr="00E058C9" w:rsidRDefault="007C2E48" w:rsidP="007C2E48">
      <w:pPr>
        <w:rPr>
          <w:highlight w:val="yellow"/>
          <w:lang w:eastAsia="en-US"/>
        </w:rPr>
      </w:pPr>
      <w:r w:rsidRPr="00566B4B">
        <w:rPr>
          <w:lang w:eastAsia="en-US"/>
        </w:rPr>
        <w:t xml:space="preserve">To account for alternative operationalisation choices and to generate a test solution, the following three condition sets were recalibrated: AFFL, POORHEALTH (AGEMED AND DEATH), SOCAP (PARTICIP OR TURNOUT). The crucial choices regarding alternative conversion points are summarised and explained in Table B1. </w:t>
      </w:r>
    </w:p>
    <w:p w14:paraId="3F44D9F2" w14:textId="77777777" w:rsidR="007C2E48" w:rsidRPr="00E058C9" w:rsidRDefault="007C2E48" w:rsidP="007C2E48">
      <w:pPr>
        <w:spacing w:before="0" w:after="0"/>
        <w:ind w:firstLine="709"/>
        <w:contextualSpacing/>
        <w:rPr>
          <w:rFonts w:eastAsia="Calibri"/>
          <w:highlight w:val="yellow"/>
          <w:lang w:eastAsia="en-US"/>
        </w:rPr>
      </w:pPr>
      <w:r w:rsidRPr="00E058C9">
        <w:rPr>
          <w:rFonts w:eastAsia="Calibri"/>
          <w:highlight w:val="yellow"/>
          <w:lang w:eastAsia="en-US"/>
        </w:rPr>
        <w:t xml:space="preserve"> </w:t>
      </w:r>
    </w:p>
    <w:p w14:paraId="4F69DDD9" w14:textId="77777777" w:rsidR="007C2E48" w:rsidRPr="00566B4B" w:rsidRDefault="007C2E48" w:rsidP="007C2E48">
      <w:pPr>
        <w:spacing w:before="0" w:after="0"/>
        <w:ind w:firstLine="0"/>
        <w:contextualSpacing/>
        <w:rPr>
          <w:rFonts w:eastAsia="Calibri"/>
          <w:b/>
          <w:bCs/>
          <w:lang w:eastAsia="en-US"/>
        </w:rPr>
      </w:pPr>
      <w:r w:rsidRPr="00566B4B">
        <w:rPr>
          <w:rFonts w:eastAsia="Calibri"/>
          <w:b/>
          <w:bCs/>
          <w:lang w:eastAsia="en-US"/>
        </w:rPr>
        <w:t>Table B1: Alternative calibration choices for the conditions</w:t>
      </w:r>
    </w:p>
    <w:tbl>
      <w:tblPr>
        <w:tblStyle w:val="Tabela-Siatka"/>
        <w:tblW w:w="5353" w:type="pct"/>
        <w:tblLook w:val="04A0" w:firstRow="1" w:lastRow="0" w:firstColumn="1" w:lastColumn="0" w:noHBand="0" w:noVBand="1"/>
      </w:tblPr>
      <w:tblGrid>
        <w:gridCol w:w="2724"/>
        <w:gridCol w:w="2323"/>
        <w:gridCol w:w="2328"/>
        <w:gridCol w:w="2327"/>
      </w:tblGrid>
      <w:tr w:rsidR="007C2E48" w:rsidRPr="00566B4B" w14:paraId="3F933A3D" w14:textId="77777777" w:rsidTr="00DE1A10">
        <w:trPr>
          <w:trHeight w:val="337"/>
          <w:tblHeader/>
        </w:trPr>
        <w:tc>
          <w:tcPr>
            <w:tcW w:w="1404" w:type="pct"/>
          </w:tcPr>
          <w:p w14:paraId="2B70B755" w14:textId="77777777" w:rsidR="007C2E48" w:rsidRPr="0076094F" w:rsidRDefault="007C2E48" w:rsidP="00DE1A10">
            <w:pPr>
              <w:spacing w:after="160" w:line="259" w:lineRule="auto"/>
              <w:ind w:firstLine="0"/>
              <w:rPr>
                <w:rFonts w:ascii="Sabon Next LT" w:eastAsia="Calibri" w:hAnsi="Sabon Next LT" w:cs="Sabon Next LT"/>
                <w:b/>
                <w:bCs/>
                <w:lang w:eastAsia="en-US"/>
              </w:rPr>
            </w:pPr>
            <w:r w:rsidRPr="0076094F">
              <w:rPr>
                <w:rFonts w:ascii="Sabon Next LT" w:eastAsia="Calibri" w:hAnsi="Sabon Next LT" w:cs="Sabon Next LT"/>
                <w:b/>
                <w:bCs/>
                <w:lang w:eastAsia="en-US"/>
              </w:rPr>
              <w:t>Condition</w:t>
            </w:r>
          </w:p>
        </w:tc>
        <w:tc>
          <w:tcPr>
            <w:tcW w:w="1197" w:type="pct"/>
          </w:tcPr>
          <w:p w14:paraId="1E360821" w14:textId="77777777" w:rsidR="007C2E48" w:rsidRPr="0076094F" w:rsidRDefault="007C2E48" w:rsidP="00DE1A10">
            <w:pPr>
              <w:spacing w:after="160" w:line="259" w:lineRule="auto"/>
              <w:ind w:firstLine="0"/>
              <w:rPr>
                <w:rFonts w:ascii="Sabon Next LT" w:eastAsia="Calibri" w:hAnsi="Sabon Next LT" w:cs="Sabon Next LT"/>
                <w:b/>
                <w:bCs/>
                <w:lang w:eastAsia="en-US"/>
              </w:rPr>
            </w:pPr>
            <w:r w:rsidRPr="0076094F">
              <w:rPr>
                <w:rFonts w:ascii="Sabon Next LT" w:eastAsia="Calibri" w:hAnsi="Sabon Next LT" w:cs="Sabon Next LT"/>
                <w:b/>
                <w:bCs/>
                <w:lang w:eastAsia="en-US"/>
              </w:rPr>
              <w:t xml:space="preserve">Original </w:t>
            </w:r>
            <w:r w:rsidRPr="0076094F">
              <w:rPr>
                <w:rFonts w:ascii="Sabon Next LT" w:eastAsia="Calibri" w:hAnsi="Sabon Next LT" w:cs="Sabon Next LT"/>
                <w:b/>
                <w:bCs/>
                <w:lang w:eastAsia="en-US"/>
              </w:rPr>
              <w:br/>
              <w:t xml:space="preserve">conversion point </w:t>
            </w:r>
          </w:p>
        </w:tc>
        <w:tc>
          <w:tcPr>
            <w:tcW w:w="1200" w:type="pct"/>
          </w:tcPr>
          <w:p w14:paraId="19E2A212" w14:textId="77777777" w:rsidR="007C2E48" w:rsidRPr="0076094F" w:rsidRDefault="007C2E48" w:rsidP="00DE1A10">
            <w:pPr>
              <w:spacing w:after="160" w:line="259" w:lineRule="auto"/>
              <w:ind w:firstLine="0"/>
              <w:rPr>
                <w:rFonts w:ascii="Sabon Next LT" w:eastAsia="Calibri" w:hAnsi="Sabon Next LT" w:cs="Sabon Next LT"/>
                <w:b/>
                <w:bCs/>
                <w:lang w:eastAsia="en-US"/>
              </w:rPr>
            </w:pPr>
            <w:r w:rsidRPr="0076094F">
              <w:rPr>
                <w:rFonts w:ascii="Sabon Next LT" w:eastAsia="Calibri" w:hAnsi="Sabon Next LT" w:cs="Sabon Next LT"/>
                <w:b/>
                <w:bCs/>
                <w:lang w:eastAsia="en-US"/>
              </w:rPr>
              <w:t xml:space="preserve">Alternative </w:t>
            </w:r>
            <w:r w:rsidRPr="0076094F">
              <w:rPr>
                <w:rFonts w:ascii="Sabon Next LT" w:eastAsia="Calibri" w:hAnsi="Sabon Next LT" w:cs="Sabon Next LT"/>
                <w:b/>
                <w:bCs/>
                <w:lang w:eastAsia="en-US"/>
              </w:rPr>
              <w:br/>
              <w:t>conversion point</w:t>
            </w:r>
          </w:p>
        </w:tc>
        <w:tc>
          <w:tcPr>
            <w:tcW w:w="1199" w:type="pct"/>
          </w:tcPr>
          <w:p w14:paraId="26705C57" w14:textId="77777777" w:rsidR="007C2E48" w:rsidRPr="0076094F" w:rsidRDefault="007C2E48" w:rsidP="00DE1A10">
            <w:pPr>
              <w:spacing w:after="160" w:line="259" w:lineRule="auto"/>
              <w:ind w:firstLine="0"/>
              <w:rPr>
                <w:rFonts w:ascii="Sabon Next LT" w:eastAsia="Calibri" w:hAnsi="Sabon Next LT" w:cs="Sabon Next LT"/>
                <w:b/>
                <w:bCs/>
                <w:lang w:eastAsia="en-US"/>
              </w:rPr>
            </w:pPr>
            <w:r w:rsidRPr="0076094F">
              <w:rPr>
                <w:rFonts w:ascii="Sabon Next LT" w:eastAsia="Calibri" w:hAnsi="Sabon Next LT" w:cs="Sabon Next LT"/>
                <w:b/>
                <w:bCs/>
                <w:lang w:eastAsia="en-US"/>
              </w:rPr>
              <w:t>Rationale</w:t>
            </w:r>
          </w:p>
        </w:tc>
      </w:tr>
      <w:tr w:rsidR="007C2E48" w:rsidRPr="00566B4B" w14:paraId="4F844305" w14:textId="77777777" w:rsidTr="00DE1A10">
        <w:trPr>
          <w:trHeight w:val="337"/>
        </w:trPr>
        <w:tc>
          <w:tcPr>
            <w:tcW w:w="1404" w:type="pct"/>
          </w:tcPr>
          <w:p w14:paraId="0E2E1EB0" w14:textId="77777777" w:rsidR="007C2E48" w:rsidRPr="0076094F" w:rsidRDefault="007C2E48" w:rsidP="00DE1A10">
            <w:pPr>
              <w:spacing w:after="160" w:line="259" w:lineRule="auto"/>
              <w:ind w:firstLine="0"/>
              <w:rPr>
                <w:rFonts w:ascii="Sabon Next LT" w:eastAsia="Calibri" w:hAnsi="Sabon Next LT" w:cs="Sabon Next LT"/>
                <w:lang w:eastAsia="en-US"/>
              </w:rPr>
            </w:pPr>
            <w:r w:rsidRPr="0076094F">
              <w:rPr>
                <w:rFonts w:ascii="Sabon Next LT" w:eastAsia="Calibri" w:hAnsi="Sabon Next LT" w:cs="Sabon Next LT"/>
                <w:lang w:eastAsia="en-US"/>
              </w:rPr>
              <w:t>AFFL</w:t>
            </w:r>
          </w:p>
        </w:tc>
        <w:tc>
          <w:tcPr>
            <w:tcW w:w="1197" w:type="pct"/>
          </w:tcPr>
          <w:p w14:paraId="1A5C0854" w14:textId="77777777" w:rsidR="007C2E48" w:rsidRPr="0076094F" w:rsidRDefault="007C2E48" w:rsidP="00DE1A10">
            <w:pPr>
              <w:spacing w:after="160" w:line="259" w:lineRule="auto"/>
              <w:ind w:firstLine="0"/>
              <w:jc w:val="center"/>
              <w:rPr>
                <w:rFonts w:ascii="Sabon Next LT" w:eastAsia="Calibri" w:hAnsi="Sabon Next LT" w:cs="Sabon Next LT"/>
                <w:lang w:eastAsia="en-US"/>
              </w:rPr>
            </w:pPr>
            <w:r w:rsidRPr="0076094F">
              <w:rPr>
                <w:rFonts w:ascii="Sabon Next LT" w:eastAsia="Calibri" w:hAnsi="Sabon Next LT" w:cs="Sabon Next LT"/>
                <w:lang w:eastAsia="en-US"/>
              </w:rPr>
              <w:t>3700</w:t>
            </w:r>
          </w:p>
        </w:tc>
        <w:tc>
          <w:tcPr>
            <w:tcW w:w="1200" w:type="pct"/>
          </w:tcPr>
          <w:p w14:paraId="57B82F71" w14:textId="77777777" w:rsidR="007C2E48" w:rsidRPr="0076094F" w:rsidRDefault="007C2E48" w:rsidP="00DE1A10">
            <w:pPr>
              <w:spacing w:after="160" w:line="259" w:lineRule="auto"/>
              <w:ind w:firstLine="0"/>
              <w:jc w:val="center"/>
              <w:rPr>
                <w:rFonts w:ascii="Sabon Next LT" w:eastAsia="Calibri" w:hAnsi="Sabon Next LT" w:cs="Sabon Next LT"/>
                <w:lang w:eastAsia="en-US"/>
              </w:rPr>
            </w:pPr>
            <w:r w:rsidRPr="0076094F">
              <w:rPr>
                <w:rFonts w:ascii="Sabon Next LT" w:eastAsia="Calibri" w:hAnsi="Sabon Next LT" w:cs="Sabon Next LT"/>
                <w:lang w:eastAsia="en-US"/>
              </w:rPr>
              <w:t>3900</w:t>
            </w:r>
          </w:p>
        </w:tc>
        <w:tc>
          <w:tcPr>
            <w:tcW w:w="1199" w:type="pct"/>
          </w:tcPr>
          <w:p w14:paraId="5000F357" w14:textId="77777777" w:rsidR="007C2E48" w:rsidRPr="00623E54" w:rsidRDefault="007C2E48" w:rsidP="00DE1A10">
            <w:pPr>
              <w:spacing w:after="160" w:line="259" w:lineRule="auto"/>
              <w:ind w:firstLine="0"/>
              <w:rPr>
                <w:rFonts w:ascii="Sabon Next LT" w:eastAsia="Calibri" w:hAnsi="Sabon Next LT" w:cs="Sabon Next LT"/>
                <w:lang w:val="en-GB" w:eastAsia="en-US"/>
              </w:rPr>
            </w:pPr>
            <w:r w:rsidRPr="00623E54">
              <w:rPr>
                <w:rFonts w:ascii="Sabon Next LT" w:eastAsia="Calibri" w:hAnsi="Sabon Next LT" w:cs="Sabon Next LT"/>
                <w:lang w:val="en-GB" w:eastAsia="en-US"/>
              </w:rPr>
              <w:t>Increased well above the mean. Excludes the city of Lodz from the set</w:t>
            </w:r>
          </w:p>
        </w:tc>
      </w:tr>
      <w:tr w:rsidR="007C2E48" w:rsidRPr="00566B4B" w14:paraId="1864B1DC" w14:textId="77777777" w:rsidTr="00DE1A10">
        <w:trPr>
          <w:trHeight w:val="337"/>
        </w:trPr>
        <w:tc>
          <w:tcPr>
            <w:tcW w:w="1404" w:type="pct"/>
          </w:tcPr>
          <w:p w14:paraId="200BFEAB" w14:textId="77777777" w:rsidR="007C2E48" w:rsidRPr="0076094F" w:rsidRDefault="007C2E48" w:rsidP="00DE1A10">
            <w:pPr>
              <w:spacing w:after="160" w:line="259" w:lineRule="auto"/>
              <w:ind w:firstLine="0"/>
              <w:rPr>
                <w:rFonts w:ascii="Sabon Next LT" w:eastAsia="Calibri" w:hAnsi="Sabon Next LT" w:cs="Sabon Next LT"/>
                <w:lang w:eastAsia="en-US"/>
              </w:rPr>
            </w:pPr>
            <w:r w:rsidRPr="0076094F">
              <w:rPr>
                <w:rFonts w:ascii="Sabon Next LT" w:eastAsia="Calibri" w:hAnsi="Sabon Next LT" w:cs="Sabon Next LT"/>
                <w:lang w:eastAsia="en-US"/>
              </w:rPr>
              <w:t>AGEMED</w:t>
            </w:r>
          </w:p>
        </w:tc>
        <w:tc>
          <w:tcPr>
            <w:tcW w:w="1197" w:type="pct"/>
          </w:tcPr>
          <w:p w14:paraId="0735B686" w14:textId="77777777" w:rsidR="007C2E48" w:rsidRPr="0076094F" w:rsidRDefault="007C2E48" w:rsidP="00DE1A10">
            <w:pPr>
              <w:spacing w:after="160" w:line="259" w:lineRule="auto"/>
              <w:ind w:firstLine="0"/>
              <w:jc w:val="center"/>
              <w:rPr>
                <w:rFonts w:ascii="Sabon Next LT" w:eastAsia="Calibri" w:hAnsi="Sabon Next LT" w:cs="Sabon Next LT"/>
                <w:lang w:eastAsia="en-US"/>
              </w:rPr>
            </w:pPr>
            <w:r w:rsidRPr="0076094F">
              <w:rPr>
                <w:rFonts w:ascii="Sabon Next LT" w:eastAsia="Calibri" w:hAnsi="Sabon Next LT" w:cs="Sabon Next LT"/>
                <w:lang w:eastAsia="en-US"/>
              </w:rPr>
              <w:t>42,7</w:t>
            </w:r>
          </w:p>
        </w:tc>
        <w:tc>
          <w:tcPr>
            <w:tcW w:w="1200" w:type="pct"/>
          </w:tcPr>
          <w:p w14:paraId="32A7E256" w14:textId="77777777" w:rsidR="007C2E48" w:rsidRPr="0076094F" w:rsidRDefault="007C2E48" w:rsidP="00DE1A10">
            <w:pPr>
              <w:spacing w:after="160" w:line="259" w:lineRule="auto"/>
              <w:ind w:firstLine="0"/>
              <w:jc w:val="center"/>
              <w:rPr>
                <w:rFonts w:ascii="Sabon Next LT" w:eastAsia="Calibri" w:hAnsi="Sabon Next LT" w:cs="Sabon Next LT"/>
                <w:lang w:eastAsia="en-US"/>
              </w:rPr>
            </w:pPr>
            <w:r w:rsidRPr="0076094F">
              <w:rPr>
                <w:rFonts w:ascii="Sabon Next LT" w:eastAsia="Calibri" w:hAnsi="Sabon Next LT" w:cs="Sabon Next LT"/>
                <w:lang w:eastAsia="en-US"/>
              </w:rPr>
              <w:t>43,4</w:t>
            </w:r>
          </w:p>
        </w:tc>
        <w:tc>
          <w:tcPr>
            <w:tcW w:w="1199" w:type="pct"/>
          </w:tcPr>
          <w:p w14:paraId="6DA2C4CC" w14:textId="575BE20D" w:rsidR="007C2E48" w:rsidRPr="00623E54" w:rsidRDefault="007C2E48" w:rsidP="00DE1A10">
            <w:pPr>
              <w:spacing w:after="160" w:line="259" w:lineRule="auto"/>
              <w:ind w:firstLine="0"/>
              <w:rPr>
                <w:rFonts w:ascii="Sabon Next LT" w:eastAsia="Calibri" w:hAnsi="Sabon Next LT" w:cs="Sabon Next LT"/>
                <w:lang w:val="en-GB" w:eastAsia="en-US"/>
              </w:rPr>
            </w:pPr>
            <w:r w:rsidRPr="00623E54">
              <w:rPr>
                <w:rFonts w:ascii="Sabon Next LT" w:eastAsia="Calibri" w:hAnsi="Sabon Next LT" w:cs="Sabon Next LT"/>
                <w:lang w:val="en-GB" w:eastAsia="en-US"/>
              </w:rPr>
              <w:t>Adjusted to be related to the median, not the mean. Excludes</w:t>
            </w:r>
            <w:r w:rsidR="00716F80">
              <w:rPr>
                <w:rFonts w:ascii="Sabon Next LT" w:eastAsia="Calibri" w:hAnsi="Sabon Next LT" w:cs="Sabon Next LT"/>
                <w:lang w:val="en-GB" w:eastAsia="en-US"/>
              </w:rPr>
              <w:t xml:space="preserve"> the</w:t>
            </w:r>
            <w:r w:rsidRPr="00623E54">
              <w:rPr>
                <w:rFonts w:ascii="Sabon Next LT" w:eastAsia="Calibri" w:hAnsi="Sabon Next LT" w:cs="Sabon Next LT"/>
                <w:lang w:val="en-GB" w:eastAsia="en-US"/>
              </w:rPr>
              <w:t xml:space="preserve"> three cases: Bielsko-Biala, Gliwice, Szczecin</w:t>
            </w:r>
          </w:p>
        </w:tc>
      </w:tr>
      <w:tr w:rsidR="007C2E48" w:rsidRPr="00566B4B" w14:paraId="060701C8" w14:textId="77777777" w:rsidTr="00DE1A10">
        <w:trPr>
          <w:trHeight w:val="337"/>
        </w:trPr>
        <w:tc>
          <w:tcPr>
            <w:tcW w:w="1404" w:type="pct"/>
          </w:tcPr>
          <w:p w14:paraId="6A080030" w14:textId="77777777" w:rsidR="007C2E48" w:rsidRPr="00623E54" w:rsidRDefault="007C2E48" w:rsidP="00DE1A10">
            <w:pPr>
              <w:spacing w:after="160" w:line="259" w:lineRule="auto"/>
              <w:ind w:firstLine="0"/>
              <w:rPr>
                <w:rFonts w:ascii="Sabon Next LT" w:eastAsia="Calibri" w:hAnsi="Sabon Next LT" w:cs="Sabon Next LT"/>
                <w:lang w:val="en-GB" w:eastAsia="en-US"/>
              </w:rPr>
            </w:pPr>
            <w:r w:rsidRPr="00623E54">
              <w:rPr>
                <w:rFonts w:ascii="Sabon Next LT" w:eastAsia="Calibri" w:hAnsi="Sabon Next LT" w:cs="Sabon Next LT"/>
                <w:lang w:val="en-GB" w:eastAsia="en-US"/>
              </w:rPr>
              <w:lastRenderedPageBreak/>
              <w:t xml:space="preserve"> </w:t>
            </w:r>
          </w:p>
          <w:p w14:paraId="4FFC2547" w14:textId="77777777" w:rsidR="007C2E48" w:rsidRPr="0076094F" w:rsidRDefault="007C2E48" w:rsidP="00DE1A10">
            <w:pPr>
              <w:spacing w:after="160" w:line="259" w:lineRule="auto"/>
              <w:ind w:firstLine="0"/>
              <w:rPr>
                <w:rFonts w:ascii="Sabon Next LT" w:eastAsia="Calibri" w:hAnsi="Sabon Next LT" w:cs="Sabon Next LT"/>
                <w:lang w:eastAsia="en-US"/>
              </w:rPr>
            </w:pPr>
            <w:r w:rsidRPr="0076094F">
              <w:rPr>
                <w:rFonts w:ascii="Sabon Next LT" w:eastAsia="Calibri" w:hAnsi="Sabon Next LT" w:cs="Sabon Next LT"/>
                <w:lang w:eastAsia="en-US"/>
              </w:rPr>
              <w:t>DEPENDENCY_RATIO (AGEMED replacement)</w:t>
            </w:r>
          </w:p>
        </w:tc>
        <w:tc>
          <w:tcPr>
            <w:tcW w:w="1197" w:type="pct"/>
          </w:tcPr>
          <w:p w14:paraId="172EE797" w14:textId="77777777" w:rsidR="007C2E48" w:rsidRPr="0076094F" w:rsidRDefault="007C2E48" w:rsidP="00DE1A10">
            <w:pPr>
              <w:spacing w:after="160" w:line="259" w:lineRule="auto"/>
              <w:ind w:firstLine="0"/>
              <w:jc w:val="center"/>
              <w:rPr>
                <w:rFonts w:ascii="Sabon Next LT" w:eastAsia="Calibri" w:hAnsi="Sabon Next LT" w:cs="Sabon Next LT"/>
                <w:lang w:eastAsia="en-US"/>
              </w:rPr>
            </w:pPr>
            <w:r w:rsidRPr="0076094F">
              <w:rPr>
                <w:rFonts w:ascii="Sabon Next LT" w:eastAsia="Calibri" w:hAnsi="Sabon Next LT" w:cs="Sabon Next LT"/>
                <w:lang w:eastAsia="en-US"/>
              </w:rPr>
              <w:t>-</w:t>
            </w:r>
          </w:p>
        </w:tc>
        <w:tc>
          <w:tcPr>
            <w:tcW w:w="1200" w:type="pct"/>
          </w:tcPr>
          <w:p w14:paraId="7D775AAD" w14:textId="77777777" w:rsidR="007C2E48" w:rsidRPr="0076094F" w:rsidRDefault="007C2E48" w:rsidP="00DE1A10">
            <w:pPr>
              <w:spacing w:after="160" w:line="259" w:lineRule="auto"/>
              <w:ind w:firstLine="0"/>
              <w:jc w:val="center"/>
              <w:rPr>
                <w:rFonts w:ascii="Sabon Next LT" w:eastAsia="Calibri" w:hAnsi="Sabon Next LT" w:cs="Sabon Next LT"/>
                <w:lang w:eastAsia="en-US"/>
              </w:rPr>
            </w:pPr>
            <w:r w:rsidRPr="0076094F">
              <w:rPr>
                <w:rFonts w:ascii="Sabon Next LT" w:eastAsia="Calibri" w:hAnsi="Sabon Next LT" w:cs="Sabon Next LT"/>
                <w:lang w:eastAsia="en-US"/>
              </w:rPr>
              <w:t>31,8</w:t>
            </w:r>
          </w:p>
        </w:tc>
        <w:tc>
          <w:tcPr>
            <w:tcW w:w="1199" w:type="pct"/>
          </w:tcPr>
          <w:p w14:paraId="66DEA258" w14:textId="77777777" w:rsidR="007C2E48" w:rsidRPr="00623E54" w:rsidRDefault="007C2E48" w:rsidP="00DE1A10">
            <w:pPr>
              <w:spacing w:after="160" w:line="259" w:lineRule="auto"/>
              <w:ind w:firstLine="0"/>
              <w:rPr>
                <w:rFonts w:ascii="Sabon Next LT" w:eastAsia="Calibri" w:hAnsi="Sabon Next LT" w:cs="Sabon Next LT"/>
                <w:lang w:val="en-GB" w:eastAsia="en-US"/>
              </w:rPr>
            </w:pPr>
            <w:r w:rsidRPr="00623E54">
              <w:rPr>
                <w:rFonts w:ascii="Sabon Next LT" w:eastAsia="Calibri" w:hAnsi="Sabon Next LT" w:cs="Sabon Next LT"/>
                <w:lang w:val="en-GB" w:eastAsia="en-US"/>
              </w:rPr>
              <w:t xml:space="preserve">Median age may be questioned as a definitive measure of population health, so an alternative indicator was used (age dependency ratio; an average value between 2018-2019) </w:t>
            </w:r>
          </w:p>
        </w:tc>
      </w:tr>
      <w:tr w:rsidR="007C2E48" w:rsidRPr="00566B4B" w14:paraId="06836A4C" w14:textId="77777777" w:rsidTr="00DE1A10">
        <w:trPr>
          <w:trHeight w:val="337"/>
        </w:trPr>
        <w:tc>
          <w:tcPr>
            <w:tcW w:w="1404" w:type="pct"/>
          </w:tcPr>
          <w:p w14:paraId="55DC1A24" w14:textId="77777777" w:rsidR="007C2E48" w:rsidRPr="0076094F" w:rsidRDefault="007C2E48" w:rsidP="00DE1A10">
            <w:pPr>
              <w:spacing w:after="160" w:line="259" w:lineRule="auto"/>
              <w:ind w:firstLine="0"/>
              <w:rPr>
                <w:rFonts w:ascii="Sabon Next LT" w:eastAsia="Calibri" w:hAnsi="Sabon Next LT" w:cs="Sabon Next LT"/>
                <w:lang w:eastAsia="en-US"/>
              </w:rPr>
            </w:pPr>
            <w:r w:rsidRPr="0076094F">
              <w:rPr>
                <w:rFonts w:ascii="Sabon Next LT" w:eastAsia="Calibri" w:hAnsi="Sabon Next LT" w:cs="Sabon Next LT"/>
                <w:lang w:eastAsia="en-US"/>
              </w:rPr>
              <w:t>DEATH</w:t>
            </w:r>
          </w:p>
        </w:tc>
        <w:tc>
          <w:tcPr>
            <w:tcW w:w="1197" w:type="pct"/>
          </w:tcPr>
          <w:p w14:paraId="77E3B1AA" w14:textId="77777777" w:rsidR="007C2E48" w:rsidRPr="0076094F" w:rsidRDefault="007C2E48" w:rsidP="00DE1A10">
            <w:pPr>
              <w:spacing w:after="160" w:line="259" w:lineRule="auto"/>
              <w:ind w:firstLine="0"/>
              <w:jc w:val="center"/>
              <w:rPr>
                <w:rFonts w:ascii="Sabon Next LT" w:eastAsia="Calibri" w:hAnsi="Sabon Next LT" w:cs="Sabon Next LT"/>
                <w:lang w:eastAsia="en-US"/>
              </w:rPr>
            </w:pPr>
            <w:r w:rsidRPr="0076094F">
              <w:rPr>
                <w:rFonts w:ascii="Sabon Next LT" w:eastAsia="Calibri" w:hAnsi="Sabon Next LT" w:cs="Sabon Next LT"/>
                <w:lang w:eastAsia="en-US"/>
              </w:rPr>
              <w:t>10,8</w:t>
            </w:r>
          </w:p>
        </w:tc>
        <w:tc>
          <w:tcPr>
            <w:tcW w:w="1200" w:type="pct"/>
          </w:tcPr>
          <w:p w14:paraId="7523B7BF" w14:textId="77777777" w:rsidR="007C2E48" w:rsidRPr="0076094F" w:rsidRDefault="007C2E48" w:rsidP="00DE1A10">
            <w:pPr>
              <w:spacing w:after="160" w:line="259" w:lineRule="auto"/>
              <w:ind w:firstLine="0"/>
              <w:jc w:val="center"/>
              <w:rPr>
                <w:rFonts w:ascii="Sabon Next LT" w:eastAsia="Calibri" w:hAnsi="Sabon Next LT" w:cs="Sabon Next LT"/>
                <w:lang w:eastAsia="en-US"/>
              </w:rPr>
            </w:pPr>
            <w:r w:rsidRPr="0076094F">
              <w:rPr>
                <w:rFonts w:ascii="Sabon Next LT" w:eastAsia="Calibri" w:hAnsi="Sabon Next LT" w:cs="Sabon Next LT"/>
                <w:lang w:eastAsia="en-US"/>
              </w:rPr>
              <w:t>11,3</w:t>
            </w:r>
          </w:p>
        </w:tc>
        <w:tc>
          <w:tcPr>
            <w:tcW w:w="1199" w:type="pct"/>
          </w:tcPr>
          <w:p w14:paraId="764D174A" w14:textId="77777777" w:rsidR="007C2E48" w:rsidRPr="00623E54" w:rsidRDefault="007C2E48" w:rsidP="00DE1A10">
            <w:pPr>
              <w:spacing w:after="160" w:line="259" w:lineRule="auto"/>
              <w:ind w:firstLine="0"/>
              <w:rPr>
                <w:rFonts w:ascii="Sabon Next LT" w:eastAsia="Calibri" w:hAnsi="Sabon Next LT" w:cs="Sabon Next LT"/>
                <w:lang w:val="en-GB" w:eastAsia="en-US"/>
              </w:rPr>
            </w:pPr>
            <w:r w:rsidRPr="00623E54">
              <w:rPr>
                <w:rFonts w:ascii="Sabon Next LT" w:eastAsia="Calibri" w:hAnsi="Sabon Next LT" w:cs="Sabon Next LT"/>
                <w:lang w:val="en-GB" w:eastAsia="en-US"/>
              </w:rPr>
              <w:t xml:space="preserve">Set well above the initial value to be closer to the mean. Excludes Zabrze, Warsaw, and Gdansk from the set </w:t>
            </w:r>
          </w:p>
        </w:tc>
      </w:tr>
      <w:tr w:rsidR="007C2E48" w:rsidRPr="00566B4B" w14:paraId="076B3842" w14:textId="77777777" w:rsidTr="00DE1A10">
        <w:trPr>
          <w:trHeight w:val="337"/>
        </w:trPr>
        <w:tc>
          <w:tcPr>
            <w:tcW w:w="1404" w:type="pct"/>
          </w:tcPr>
          <w:p w14:paraId="7A919530" w14:textId="77777777" w:rsidR="007C2E48" w:rsidRPr="0076094F" w:rsidRDefault="007C2E48" w:rsidP="00DE1A10">
            <w:pPr>
              <w:spacing w:after="160" w:line="259" w:lineRule="auto"/>
              <w:ind w:firstLine="0"/>
              <w:rPr>
                <w:rFonts w:ascii="Sabon Next LT" w:eastAsia="Calibri" w:hAnsi="Sabon Next LT" w:cs="Sabon Next LT"/>
                <w:lang w:eastAsia="en-US"/>
              </w:rPr>
            </w:pPr>
            <w:r w:rsidRPr="0076094F">
              <w:rPr>
                <w:rFonts w:ascii="Sabon Next LT" w:eastAsia="Calibri" w:hAnsi="Sabon Next LT" w:cs="Sabon Next LT"/>
                <w:lang w:eastAsia="en-US"/>
              </w:rPr>
              <w:t>TURNOUT</w:t>
            </w:r>
          </w:p>
        </w:tc>
        <w:tc>
          <w:tcPr>
            <w:tcW w:w="1197" w:type="pct"/>
          </w:tcPr>
          <w:p w14:paraId="3E153964" w14:textId="77777777" w:rsidR="007C2E48" w:rsidRPr="0076094F" w:rsidRDefault="007C2E48" w:rsidP="00DE1A10">
            <w:pPr>
              <w:spacing w:after="160" w:line="259" w:lineRule="auto"/>
              <w:ind w:firstLine="0"/>
              <w:jc w:val="center"/>
              <w:rPr>
                <w:rFonts w:ascii="Sabon Next LT" w:eastAsia="Calibri" w:hAnsi="Sabon Next LT" w:cs="Sabon Next LT"/>
                <w:lang w:eastAsia="en-US"/>
              </w:rPr>
            </w:pPr>
            <w:r w:rsidRPr="0076094F">
              <w:rPr>
                <w:rFonts w:ascii="Sabon Next LT" w:eastAsia="Calibri" w:hAnsi="Sabon Next LT" w:cs="Sabon Next LT"/>
                <w:lang w:eastAsia="en-US"/>
              </w:rPr>
              <w:t>48</w:t>
            </w:r>
          </w:p>
        </w:tc>
        <w:tc>
          <w:tcPr>
            <w:tcW w:w="1200" w:type="pct"/>
          </w:tcPr>
          <w:p w14:paraId="4F477AFB" w14:textId="77777777" w:rsidR="007C2E48" w:rsidRPr="0076094F" w:rsidRDefault="007C2E48" w:rsidP="00DE1A10">
            <w:pPr>
              <w:spacing w:after="160" w:line="259" w:lineRule="auto"/>
              <w:ind w:firstLine="0"/>
              <w:jc w:val="center"/>
              <w:rPr>
                <w:rFonts w:ascii="Sabon Next LT" w:eastAsia="Calibri" w:hAnsi="Sabon Next LT" w:cs="Sabon Next LT"/>
                <w:lang w:eastAsia="en-US"/>
              </w:rPr>
            </w:pPr>
            <w:r w:rsidRPr="0076094F">
              <w:rPr>
                <w:rFonts w:ascii="Sabon Next LT" w:eastAsia="Calibri" w:hAnsi="Sabon Next LT" w:cs="Sabon Next LT"/>
                <w:lang w:eastAsia="en-US"/>
              </w:rPr>
              <w:t>50</w:t>
            </w:r>
          </w:p>
        </w:tc>
        <w:tc>
          <w:tcPr>
            <w:tcW w:w="1199" w:type="pct"/>
          </w:tcPr>
          <w:p w14:paraId="0445DE3B" w14:textId="77777777" w:rsidR="007C2E48" w:rsidRPr="00623E54" w:rsidRDefault="007C2E48" w:rsidP="00DE1A10">
            <w:pPr>
              <w:spacing w:after="160" w:line="259" w:lineRule="auto"/>
              <w:ind w:firstLine="0"/>
              <w:rPr>
                <w:rFonts w:ascii="Sabon Next LT" w:eastAsia="Calibri" w:hAnsi="Sabon Next LT" w:cs="Sabon Next LT"/>
                <w:lang w:val="en-GB" w:eastAsia="en-US"/>
              </w:rPr>
            </w:pPr>
            <w:r w:rsidRPr="00623E54">
              <w:rPr>
                <w:rFonts w:ascii="Sabon Next LT" w:eastAsia="Calibri" w:hAnsi="Sabon Next LT" w:cs="Sabon Next LT"/>
                <w:lang w:val="en-GB" w:eastAsia="en-US"/>
              </w:rPr>
              <w:t xml:space="preserve">Changed for theoretical reasons, now indicates the turnout exceeding the natural conversion point (majority of voters) </w:t>
            </w:r>
          </w:p>
        </w:tc>
      </w:tr>
      <w:tr w:rsidR="007C2E48" w:rsidRPr="00566B4B" w14:paraId="1206F58C" w14:textId="77777777" w:rsidTr="00DE1A10">
        <w:trPr>
          <w:trHeight w:val="337"/>
        </w:trPr>
        <w:tc>
          <w:tcPr>
            <w:tcW w:w="1404" w:type="pct"/>
          </w:tcPr>
          <w:p w14:paraId="3759DFA5" w14:textId="77777777" w:rsidR="007C2E48" w:rsidRPr="0076094F" w:rsidRDefault="007C2E48" w:rsidP="00DE1A10">
            <w:pPr>
              <w:spacing w:after="160" w:line="259" w:lineRule="auto"/>
              <w:ind w:firstLine="0"/>
              <w:rPr>
                <w:rFonts w:ascii="Sabon Next LT" w:eastAsia="Calibri" w:hAnsi="Sabon Next LT" w:cs="Sabon Next LT"/>
                <w:lang w:eastAsia="en-US"/>
              </w:rPr>
            </w:pPr>
            <w:r w:rsidRPr="0076094F">
              <w:rPr>
                <w:rFonts w:ascii="Sabon Next LT" w:eastAsia="Calibri" w:hAnsi="Sabon Next LT" w:cs="Sabon Next LT"/>
                <w:lang w:eastAsia="en-US"/>
              </w:rPr>
              <w:t>PARTICIPATION</w:t>
            </w:r>
          </w:p>
        </w:tc>
        <w:tc>
          <w:tcPr>
            <w:tcW w:w="1197" w:type="pct"/>
          </w:tcPr>
          <w:p w14:paraId="0DE5821B" w14:textId="77777777" w:rsidR="007C2E48" w:rsidRPr="0076094F" w:rsidRDefault="007C2E48" w:rsidP="00DE1A10">
            <w:pPr>
              <w:spacing w:after="160" w:line="259" w:lineRule="auto"/>
              <w:ind w:firstLine="0"/>
              <w:jc w:val="center"/>
              <w:rPr>
                <w:rFonts w:ascii="Sabon Next LT" w:eastAsia="Calibri" w:hAnsi="Sabon Next LT" w:cs="Sabon Next LT"/>
                <w:lang w:eastAsia="en-US"/>
              </w:rPr>
            </w:pPr>
            <w:r w:rsidRPr="0076094F">
              <w:rPr>
                <w:rFonts w:ascii="Sabon Next LT" w:eastAsia="Calibri" w:hAnsi="Sabon Next LT" w:cs="Sabon Next LT"/>
                <w:lang w:eastAsia="en-US"/>
              </w:rPr>
              <w:t>8</w:t>
            </w:r>
          </w:p>
        </w:tc>
        <w:tc>
          <w:tcPr>
            <w:tcW w:w="1200" w:type="pct"/>
          </w:tcPr>
          <w:p w14:paraId="38BCEC06" w14:textId="77777777" w:rsidR="007C2E48" w:rsidRPr="0076094F" w:rsidRDefault="007C2E48" w:rsidP="00DE1A10">
            <w:pPr>
              <w:spacing w:after="160" w:line="259" w:lineRule="auto"/>
              <w:ind w:firstLine="0"/>
              <w:jc w:val="center"/>
              <w:rPr>
                <w:rFonts w:ascii="Sabon Next LT" w:eastAsia="Calibri" w:hAnsi="Sabon Next LT" w:cs="Sabon Next LT"/>
                <w:lang w:eastAsia="en-US"/>
              </w:rPr>
            </w:pPr>
            <w:r w:rsidRPr="0076094F">
              <w:rPr>
                <w:rFonts w:ascii="Sabon Next LT" w:eastAsia="Calibri" w:hAnsi="Sabon Next LT" w:cs="Sabon Next LT"/>
                <w:lang w:eastAsia="en-US"/>
              </w:rPr>
              <w:t>10</w:t>
            </w:r>
          </w:p>
        </w:tc>
        <w:tc>
          <w:tcPr>
            <w:tcW w:w="1199" w:type="pct"/>
          </w:tcPr>
          <w:p w14:paraId="42B76E15" w14:textId="77777777" w:rsidR="007C2E48" w:rsidRPr="00623E54" w:rsidRDefault="007C2E48" w:rsidP="00DE1A10">
            <w:pPr>
              <w:spacing w:after="160" w:line="259" w:lineRule="auto"/>
              <w:ind w:firstLine="0"/>
              <w:rPr>
                <w:rFonts w:ascii="Sabon Next LT" w:eastAsia="Calibri" w:hAnsi="Sabon Next LT" w:cs="Sabon Next LT"/>
                <w:lang w:val="en-GB" w:eastAsia="en-US"/>
              </w:rPr>
            </w:pPr>
            <w:r w:rsidRPr="00623E54">
              <w:rPr>
                <w:rFonts w:ascii="Sabon Next LT" w:eastAsia="Calibri" w:hAnsi="Sabon Next LT" w:cs="Sabon Next LT"/>
                <w:lang w:val="en-GB" w:eastAsia="en-US"/>
              </w:rPr>
              <w:t>Raised above both the mean and median values. Excludes possible borderline cases of Wroclaw and Torun</w:t>
            </w:r>
          </w:p>
        </w:tc>
      </w:tr>
    </w:tbl>
    <w:p w14:paraId="3006AE23" w14:textId="77777777" w:rsidR="007C2E48" w:rsidRPr="00566B4B" w:rsidRDefault="007C2E48" w:rsidP="007C2E48">
      <w:pPr>
        <w:spacing w:before="0" w:after="0"/>
        <w:ind w:firstLine="0"/>
        <w:contextualSpacing/>
        <w:rPr>
          <w:rFonts w:eastAsia="Calibri"/>
          <w:lang w:eastAsia="en-US"/>
        </w:rPr>
      </w:pPr>
      <w:r w:rsidRPr="00566B4B">
        <w:rPr>
          <w:rFonts w:eastAsia="Calibri"/>
          <w:lang w:eastAsia="en-US"/>
        </w:rPr>
        <w:t xml:space="preserve">Source: author’s own elaboration. </w:t>
      </w:r>
    </w:p>
    <w:p w14:paraId="0B5349FD" w14:textId="77777777" w:rsidR="007C2E48" w:rsidRPr="00E058C9" w:rsidRDefault="007C2E48" w:rsidP="007C2E48">
      <w:pPr>
        <w:spacing w:before="0" w:after="0"/>
        <w:ind w:left="708" w:hanging="708"/>
        <w:contextualSpacing/>
        <w:rPr>
          <w:rFonts w:eastAsia="Calibri"/>
          <w:i/>
          <w:iCs/>
          <w:highlight w:val="yellow"/>
          <w:lang w:eastAsia="en-US"/>
        </w:rPr>
      </w:pPr>
    </w:p>
    <w:p w14:paraId="154A1726" w14:textId="77777777" w:rsidR="007C2E48" w:rsidRPr="006B3DD2" w:rsidRDefault="007C2E48" w:rsidP="007C2E48">
      <w:pPr>
        <w:rPr>
          <w:i/>
          <w:iCs/>
          <w:lang w:eastAsia="en-US"/>
        </w:rPr>
      </w:pPr>
      <w:r w:rsidRPr="006B3DD2">
        <w:rPr>
          <w:i/>
          <w:iCs/>
          <w:lang w:eastAsia="en-US"/>
        </w:rPr>
        <w:t xml:space="preserve">Test solution and robust core </w:t>
      </w:r>
    </w:p>
    <w:p w14:paraId="5666D509" w14:textId="2037AEDB" w:rsidR="007C2E48" w:rsidRPr="001643D6" w:rsidRDefault="00492971" w:rsidP="007C2E48">
      <w:pPr>
        <w:rPr>
          <w:lang w:eastAsia="en-US"/>
        </w:rPr>
      </w:pPr>
      <w:r>
        <w:rPr>
          <w:lang w:eastAsia="en-US"/>
        </w:rPr>
        <w:t>Using</w:t>
      </w:r>
      <w:r w:rsidR="007C2E48" w:rsidRPr="00E87AB1">
        <w:rPr>
          <w:lang w:eastAsia="en-US"/>
        </w:rPr>
        <w:t xml:space="preserve"> the altered conditions presented in Table B1, two test solutions were calculated</w:t>
      </w:r>
      <w:r w:rsidR="004C732A">
        <w:rPr>
          <w:lang w:eastAsia="en-US"/>
        </w:rPr>
        <w:t xml:space="preserve">: </w:t>
      </w:r>
      <w:r w:rsidR="007C2E48" w:rsidRPr="00E87AB1">
        <w:rPr>
          <w:lang w:eastAsia="en-US"/>
        </w:rPr>
        <w:t xml:space="preserve">one for the presence of universal targeting in municipal public health policy and one for its absence. The results were then compared with the initial solution. The robust core </w:t>
      </w:r>
      <w:r w:rsidR="007C2E48" w:rsidRPr="00E87AB1">
        <w:rPr>
          <w:lang w:eastAsia="en-US"/>
        </w:rPr>
        <w:lastRenderedPageBreak/>
        <w:t>of the results was therefore obtained (“that part of the initial QCA solution that is supported by all the robustness tests performed by the researcher”, ibid). The robustness parameters were also calculated, as specified in detail in the guidelines by Oana and Schneider (2021</w:t>
      </w:r>
      <w:r w:rsidR="007C2E48" w:rsidRPr="001643D6">
        <w:rPr>
          <w:lang w:eastAsia="en-US"/>
        </w:rPr>
        <w:t>).</w:t>
      </w:r>
    </w:p>
    <w:p w14:paraId="42079801" w14:textId="2E07AE94" w:rsidR="007C2E48" w:rsidRPr="00E058C9" w:rsidRDefault="007C2E48" w:rsidP="007C2E48">
      <w:pPr>
        <w:rPr>
          <w:highlight w:val="yellow"/>
          <w:lang w:eastAsia="en-US"/>
        </w:rPr>
      </w:pPr>
      <w:r w:rsidRPr="001643D6">
        <w:rPr>
          <w:lang w:eastAsia="en-US"/>
        </w:rPr>
        <w:t xml:space="preserve">In the case of universal targeting in municipal public health policy (OUT), the obtained parameters remain convincingly high. Robustness Fit </w:t>
      </w:r>
      <w:r w:rsidRPr="00020288">
        <w:rPr>
          <w:lang w:eastAsia="en-US"/>
        </w:rPr>
        <w:t>Consistency (RF</w:t>
      </w:r>
      <w:r w:rsidRPr="00020288">
        <w:rPr>
          <w:vertAlign w:val="subscript"/>
          <w:lang w:eastAsia="en-US"/>
        </w:rPr>
        <w:t>Cons</w:t>
      </w:r>
      <w:r w:rsidRPr="00020288">
        <w:rPr>
          <w:lang w:eastAsia="en-US"/>
        </w:rPr>
        <w:t>)</w:t>
      </w:r>
      <w:r w:rsidRPr="00020288">
        <w:rPr>
          <w:vertAlign w:val="subscript"/>
          <w:lang w:eastAsia="en-US"/>
        </w:rPr>
        <w:t xml:space="preserve"> </w:t>
      </w:r>
      <w:r w:rsidRPr="00020288">
        <w:rPr>
          <w:lang w:eastAsia="en-US"/>
        </w:rPr>
        <w:t xml:space="preserve">and Robustness Fit Coverage </w:t>
      </w:r>
      <w:r w:rsidRPr="00A85D30">
        <w:rPr>
          <w:lang w:eastAsia="en-US"/>
        </w:rPr>
        <w:t>(RF</w:t>
      </w:r>
      <w:r w:rsidRPr="00A85D30">
        <w:rPr>
          <w:vertAlign w:val="subscript"/>
          <w:lang w:eastAsia="en-US"/>
        </w:rPr>
        <w:t>Cov</w:t>
      </w:r>
      <w:r w:rsidRPr="00A85D30">
        <w:rPr>
          <w:lang w:eastAsia="en-US"/>
        </w:rPr>
        <w:t>)</w:t>
      </w:r>
      <w:r w:rsidR="00D7299A">
        <w:rPr>
          <w:lang w:eastAsia="en-US"/>
        </w:rPr>
        <w:t xml:space="preserve"> both</w:t>
      </w:r>
      <w:r w:rsidRPr="00A85D30">
        <w:rPr>
          <w:vertAlign w:val="subscript"/>
          <w:lang w:eastAsia="en-US"/>
        </w:rPr>
        <w:t xml:space="preserve"> </w:t>
      </w:r>
      <w:r w:rsidRPr="00A85D30">
        <w:rPr>
          <w:lang w:eastAsia="en-US"/>
        </w:rPr>
        <w:t>exceed the value of</w:t>
      </w:r>
      <w:r>
        <w:rPr>
          <w:lang w:eastAsia="en-US"/>
        </w:rPr>
        <w:t xml:space="preserve"> 0,97 </w:t>
      </w:r>
      <w:r w:rsidRPr="00A85D30">
        <w:rPr>
          <w:lang w:eastAsia="en-US"/>
        </w:rPr>
        <w:t>(with 1 being the perfect score). However, the Robustness Fit Set Coincidence parameters prove to be more modest, slightly exceeding 0,6.  At the same time, Robustness Case Rank (RCC</w:t>
      </w:r>
      <w:r w:rsidRPr="00A85D30">
        <w:rPr>
          <w:vertAlign w:val="subscript"/>
          <w:lang w:eastAsia="en-US"/>
        </w:rPr>
        <w:t>rank</w:t>
      </w:r>
      <w:r w:rsidRPr="00A85D30">
        <w:rPr>
          <w:lang w:eastAsia="en-US"/>
        </w:rPr>
        <w:t xml:space="preserve">) reaches a score of 2 (out of 4), due to the presence of one </w:t>
      </w:r>
      <w:r w:rsidR="0075702B">
        <w:rPr>
          <w:lang w:eastAsia="en-US"/>
        </w:rPr>
        <w:t>potential</w:t>
      </w:r>
      <w:r w:rsidRPr="00A85D30">
        <w:rPr>
          <w:lang w:eastAsia="en-US"/>
        </w:rPr>
        <w:t xml:space="preserve"> deviant case (Lodz) and one possible typical case (Krakow). Gdynia was identified as a robust deviant case, a finding important for the interpretation of the initial solution. Taken together, these results indicate a satisfactory fit-oriented robustness for the presence of universal targeting</w:t>
      </w:r>
      <w:r>
        <w:rPr>
          <w:lang w:eastAsia="en-US"/>
        </w:rPr>
        <w:t xml:space="preserve"> across the included cases</w:t>
      </w:r>
      <w:r w:rsidRPr="00A85D30">
        <w:rPr>
          <w:lang w:eastAsia="en-US"/>
        </w:rPr>
        <w:t>.</w:t>
      </w:r>
    </w:p>
    <w:p w14:paraId="385F411F" w14:textId="66260B41" w:rsidR="007C2E48" w:rsidRPr="00E058C9" w:rsidRDefault="007C2E48" w:rsidP="007C2E48">
      <w:pPr>
        <w:rPr>
          <w:highlight w:val="yellow"/>
          <w:lang w:eastAsia="en-US"/>
        </w:rPr>
      </w:pPr>
      <w:r w:rsidRPr="00451948">
        <w:rPr>
          <w:lang w:eastAsia="en-US"/>
        </w:rPr>
        <w:t xml:space="preserve">The case-oriented parameters of robustness also proved to be relatively high. One notable case, namely that of Lodz, was difficult to assign during the calibration procedure. Its 2019 public health spending was slightly below the median, while its value in the fuzzy-set </w:t>
      </w:r>
      <w:r>
        <w:rPr>
          <w:lang w:eastAsia="en-US"/>
        </w:rPr>
        <w:t>UTI</w:t>
      </w:r>
      <w:r w:rsidRPr="00451948">
        <w:rPr>
          <w:lang w:eastAsia="en-US"/>
        </w:rPr>
        <w:t xml:space="preserve"> nearly exceeded 0,5 (indicating the presence of the investigated outcome). Thus, Lodz represents a mixed type of municipal public health policy, </w:t>
      </w:r>
      <w:r w:rsidR="00441C7E">
        <w:rPr>
          <w:lang w:eastAsia="en-US"/>
        </w:rPr>
        <w:t>one which</w:t>
      </w:r>
      <w:r w:rsidRPr="00451948">
        <w:rPr>
          <w:lang w:eastAsia="en-US"/>
        </w:rPr>
        <w:t xml:space="preserve"> is difficult to capture in the presented set-theoretic procedure. Notwithstanding the case of Lodz, all other cities in the initial solution were confirmed as robust typical cases, and the number of shaky cases remains low. In consequence, the interpretation of the solution proposed in the main body of the article was reinforced. </w:t>
      </w:r>
    </w:p>
    <w:p w14:paraId="3952052C" w14:textId="59955912" w:rsidR="007C2E48" w:rsidRPr="002508D0" w:rsidRDefault="007C2E48" w:rsidP="007C2E48">
      <w:pPr>
        <w:rPr>
          <w:lang w:eastAsia="en-US"/>
        </w:rPr>
      </w:pPr>
      <w:r w:rsidRPr="002508D0">
        <w:rPr>
          <w:lang w:eastAsia="en-US"/>
        </w:rPr>
        <w:t>For the absence of universal targeting, the test produced slightly different results. The parameters of robustness are relatively high; RF</w:t>
      </w:r>
      <w:r w:rsidRPr="002508D0">
        <w:rPr>
          <w:vertAlign w:val="subscript"/>
          <w:lang w:eastAsia="en-US"/>
        </w:rPr>
        <w:t xml:space="preserve">Cov </w:t>
      </w:r>
      <w:r w:rsidRPr="002508D0">
        <w:rPr>
          <w:lang w:eastAsia="en-US"/>
        </w:rPr>
        <w:t>exceeds 0,</w:t>
      </w:r>
      <w:r w:rsidR="00266F7E">
        <w:rPr>
          <w:lang w:eastAsia="en-US"/>
        </w:rPr>
        <w:t>85</w:t>
      </w:r>
      <w:r w:rsidRPr="002508D0">
        <w:rPr>
          <w:lang w:eastAsia="en-US"/>
        </w:rPr>
        <w:t xml:space="preserve"> and RF</w:t>
      </w:r>
      <w:r w:rsidRPr="002508D0">
        <w:rPr>
          <w:vertAlign w:val="subscript"/>
          <w:lang w:eastAsia="en-US"/>
        </w:rPr>
        <w:t xml:space="preserve">Cons </w:t>
      </w:r>
      <w:r w:rsidRPr="002508D0">
        <w:rPr>
          <w:lang w:eastAsia="en-US"/>
        </w:rPr>
        <w:t>equals 1, with Robustness Fit Set Coincidence parameters comparatively lower (below 0,</w:t>
      </w:r>
      <w:r w:rsidR="00266F7E">
        <w:rPr>
          <w:lang w:eastAsia="en-US"/>
        </w:rPr>
        <w:t>7</w:t>
      </w:r>
      <w:r w:rsidRPr="002508D0">
        <w:rPr>
          <w:lang w:eastAsia="en-US"/>
        </w:rPr>
        <w:t>; RCC</w:t>
      </w:r>
      <w:r w:rsidRPr="002508D0">
        <w:rPr>
          <w:vertAlign w:val="subscript"/>
          <w:lang w:eastAsia="en-US"/>
        </w:rPr>
        <w:t>rank</w:t>
      </w:r>
      <w:r w:rsidRPr="002508D0">
        <w:rPr>
          <w:lang w:eastAsia="en-US"/>
        </w:rPr>
        <w:t xml:space="preserve"> = 4). </w:t>
      </w:r>
      <w:r w:rsidR="00860D80">
        <w:rPr>
          <w:lang w:eastAsia="en-US"/>
        </w:rPr>
        <w:t>Three</w:t>
      </w:r>
      <w:r w:rsidRPr="002508D0">
        <w:rPr>
          <w:lang w:eastAsia="en-US"/>
        </w:rPr>
        <w:t xml:space="preserve"> possible deviant cases (Wroclaw, Torun,</w:t>
      </w:r>
      <w:r w:rsidR="00EA0FDA">
        <w:rPr>
          <w:lang w:eastAsia="en-US"/>
        </w:rPr>
        <w:t xml:space="preserve"> Lublin,</w:t>
      </w:r>
      <w:r w:rsidRPr="001543F5">
        <w:rPr>
          <w:lang w:eastAsia="en-US"/>
        </w:rPr>
        <w:t xml:space="preserve"> Lodz) and </w:t>
      </w:r>
      <w:r w:rsidR="006005E5">
        <w:rPr>
          <w:lang w:eastAsia="en-US"/>
        </w:rPr>
        <w:t>one</w:t>
      </w:r>
      <w:r w:rsidRPr="001543F5">
        <w:rPr>
          <w:lang w:eastAsia="en-US"/>
        </w:rPr>
        <w:t xml:space="preserve"> shaky typical case (Zabrze) were identified. However, the majority of cases in the initial solution (</w:t>
      </w:r>
      <w:r w:rsidR="00CA0600" w:rsidRPr="00CA0600">
        <w:rPr>
          <w:rFonts w:eastAsia="Times New Roman"/>
          <w:lang w:eastAsia="pl-PL"/>
        </w:rPr>
        <w:t>Sosnowiec, Bytom, Czestochowa, Katowice, Gliwice, Poznan</w:t>
      </w:r>
      <w:r w:rsidRPr="001543F5">
        <w:rPr>
          <w:lang w:eastAsia="en-US"/>
        </w:rPr>
        <w:t>)</w:t>
      </w:r>
      <w:r w:rsidRPr="002508D0">
        <w:rPr>
          <w:lang w:eastAsia="en-US"/>
        </w:rPr>
        <w:t xml:space="preserve"> were confirmed as robust typical cases. Radom, the only deviant case, was also identified as being robust against possible changes in the calibration. Overall, the results of the test indicate acceptable robustness of the initial solution for the absence of universal targeting (~OUT), although the low Robustness Case Rank reflects the heterogeneity of this category of cities, as also explicated in the main body of the article. The low RCC is therefore a by-product of this variability of the absence of the investigated concept (its ‘negative pole’). </w:t>
      </w:r>
    </w:p>
    <w:p w14:paraId="1A9D4AB2" w14:textId="77777777" w:rsidR="007C2E48" w:rsidRPr="002508D0" w:rsidRDefault="007C2E48" w:rsidP="007C2E48">
      <w:pPr>
        <w:rPr>
          <w:lang w:eastAsia="en-US"/>
        </w:rPr>
      </w:pPr>
      <w:r w:rsidRPr="002508D0">
        <w:rPr>
          <w:lang w:eastAsia="en-US"/>
        </w:rPr>
        <w:t xml:space="preserve">An additional version of the test outlined in the previous paragraphs was also conducted, which included an alternative condition choice in the POORHEALTH conjunction </w:t>
      </w:r>
      <w:r w:rsidRPr="002508D0">
        <w:rPr>
          <w:lang w:eastAsia="en-US"/>
        </w:rPr>
        <w:lastRenderedPageBreak/>
        <w:t>(</w:t>
      </w:r>
      <w:r>
        <w:rPr>
          <w:lang w:eastAsia="en-US"/>
        </w:rPr>
        <w:t xml:space="preserve">replacing </w:t>
      </w:r>
      <w:r w:rsidRPr="002508D0">
        <w:rPr>
          <w:lang w:eastAsia="en-US"/>
        </w:rPr>
        <w:t>median age</w:t>
      </w:r>
      <w:r>
        <w:rPr>
          <w:lang w:eastAsia="en-US"/>
        </w:rPr>
        <w:t xml:space="preserve"> with the </w:t>
      </w:r>
      <w:r w:rsidRPr="002508D0">
        <w:rPr>
          <w:lang w:eastAsia="en-US"/>
        </w:rPr>
        <w:t xml:space="preserve">age dependency ratio as a measure of population health). The alternative solutions obtained </w:t>
      </w:r>
      <w:r>
        <w:rPr>
          <w:lang w:eastAsia="en-US"/>
        </w:rPr>
        <w:t>are</w:t>
      </w:r>
      <w:r w:rsidRPr="002508D0">
        <w:rPr>
          <w:lang w:eastAsia="en-US"/>
        </w:rPr>
        <w:t xml:space="preserve"> similar to the ones outlined above:</w:t>
      </w:r>
    </w:p>
    <w:p w14:paraId="1F473CBF" w14:textId="77777777" w:rsidR="007C2E48" w:rsidRPr="00740647" w:rsidRDefault="007C2E48" w:rsidP="007C2E48">
      <w:pPr>
        <w:ind w:firstLine="0"/>
        <w:rPr>
          <w:lang w:eastAsia="en-US"/>
        </w:rPr>
      </w:pPr>
      <w:r w:rsidRPr="00740647">
        <w:rPr>
          <w:b/>
          <w:bCs/>
          <w:lang w:eastAsia="en-US"/>
        </w:rPr>
        <w:t>OUT</w:t>
      </w:r>
      <w:r w:rsidRPr="00740647">
        <w:rPr>
          <w:lang w:eastAsia="en-US"/>
        </w:rPr>
        <w:t>: RF</w:t>
      </w:r>
      <w:r w:rsidRPr="00740647">
        <w:rPr>
          <w:vertAlign w:val="subscript"/>
          <w:lang w:eastAsia="en-US"/>
        </w:rPr>
        <w:t xml:space="preserve">Cov </w:t>
      </w:r>
      <w:r w:rsidRPr="00740647">
        <w:rPr>
          <w:lang w:eastAsia="en-US"/>
        </w:rPr>
        <w:t>= 0,895, RF</w:t>
      </w:r>
      <w:r w:rsidRPr="00740647">
        <w:rPr>
          <w:vertAlign w:val="subscript"/>
          <w:lang w:eastAsia="en-US"/>
        </w:rPr>
        <w:t xml:space="preserve">Cons </w:t>
      </w:r>
      <w:r w:rsidRPr="00740647">
        <w:rPr>
          <w:lang w:eastAsia="en-US"/>
        </w:rPr>
        <w:t>= 0,979,  RCR</w:t>
      </w:r>
      <w:r w:rsidRPr="00740647">
        <w:rPr>
          <w:vertAlign w:val="subscript"/>
          <w:lang w:eastAsia="en-US"/>
        </w:rPr>
        <w:t>typ</w:t>
      </w:r>
      <w:r w:rsidRPr="00740647">
        <w:rPr>
          <w:lang w:eastAsia="en-US"/>
        </w:rPr>
        <w:t xml:space="preserve"> = 0,833, RCR</w:t>
      </w:r>
      <w:r w:rsidRPr="00740647">
        <w:rPr>
          <w:vertAlign w:val="subscript"/>
          <w:lang w:eastAsia="en-US"/>
        </w:rPr>
        <w:t>dev</w:t>
      </w:r>
      <w:r w:rsidRPr="00740647">
        <w:rPr>
          <w:lang w:eastAsia="en-US"/>
        </w:rPr>
        <w:t xml:space="preserve"> = 0,5; RCC</w:t>
      </w:r>
      <w:r w:rsidRPr="00740647">
        <w:rPr>
          <w:vertAlign w:val="subscript"/>
          <w:lang w:eastAsia="en-US"/>
        </w:rPr>
        <w:t>rank</w:t>
      </w:r>
      <w:r w:rsidRPr="00740647">
        <w:rPr>
          <w:lang w:eastAsia="en-US"/>
        </w:rPr>
        <w:t xml:space="preserve"> = 2;</w:t>
      </w:r>
    </w:p>
    <w:p w14:paraId="0AF23A11" w14:textId="77777777" w:rsidR="007C2E48" w:rsidRPr="00590EA4" w:rsidRDefault="007C2E48" w:rsidP="007C2E48">
      <w:pPr>
        <w:ind w:firstLine="0"/>
        <w:rPr>
          <w:lang w:eastAsia="en-US"/>
        </w:rPr>
      </w:pPr>
      <w:r w:rsidRPr="00740647">
        <w:rPr>
          <w:b/>
          <w:bCs/>
          <w:lang w:eastAsia="en-US"/>
        </w:rPr>
        <w:t>~OUT</w:t>
      </w:r>
      <w:r w:rsidRPr="00740647">
        <w:rPr>
          <w:lang w:eastAsia="en-US"/>
        </w:rPr>
        <w:t>: RF</w:t>
      </w:r>
      <w:r w:rsidRPr="00740647">
        <w:rPr>
          <w:vertAlign w:val="subscript"/>
          <w:lang w:eastAsia="en-US"/>
        </w:rPr>
        <w:t xml:space="preserve">Cov </w:t>
      </w:r>
      <w:r w:rsidRPr="00740647">
        <w:rPr>
          <w:lang w:eastAsia="en-US"/>
        </w:rPr>
        <w:t>= 0,713, RF</w:t>
      </w:r>
      <w:r w:rsidRPr="00740647">
        <w:rPr>
          <w:vertAlign w:val="subscript"/>
          <w:lang w:eastAsia="en-US"/>
        </w:rPr>
        <w:t xml:space="preserve">Cons </w:t>
      </w:r>
      <w:r w:rsidRPr="00740647">
        <w:rPr>
          <w:lang w:eastAsia="en-US"/>
        </w:rPr>
        <w:t>= 1 , RCR</w:t>
      </w:r>
      <w:r w:rsidRPr="00740647">
        <w:rPr>
          <w:vertAlign w:val="subscript"/>
          <w:lang w:eastAsia="en-US"/>
        </w:rPr>
        <w:t>typ</w:t>
      </w:r>
      <w:r w:rsidRPr="00740647">
        <w:rPr>
          <w:lang w:eastAsia="en-US"/>
        </w:rPr>
        <w:t xml:space="preserve"> = 0,455,  RCR</w:t>
      </w:r>
      <w:r w:rsidRPr="00740647">
        <w:rPr>
          <w:vertAlign w:val="subscript"/>
          <w:lang w:eastAsia="en-US"/>
        </w:rPr>
        <w:t>dev</w:t>
      </w:r>
      <w:r w:rsidRPr="00740647">
        <w:rPr>
          <w:lang w:eastAsia="en-US"/>
        </w:rPr>
        <w:t xml:space="preserve"> = 1, RCC</w:t>
      </w:r>
      <w:r w:rsidRPr="00740647">
        <w:rPr>
          <w:vertAlign w:val="subscript"/>
          <w:lang w:eastAsia="en-US"/>
        </w:rPr>
        <w:t>rank</w:t>
      </w:r>
      <w:r w:rsidRPr="00740647">
        <w:rPr>
          <w:lang w:eastAsia="en-US"/>
        </w:rPr>
        <w:t xml:space="preserve"> = 4.</w:t>
      </w:r>
    </w:p>
    <w:p w14:paraId="09AA4704" w14:textId="217CE2C5" w:rsidR="007C2E48" w:rsidRPr="000D63C6" w:rsidRDefault="007C2E48" w:rsidP="007C2E48">
      <w:pPr>
        <w:rPr>
          <w:lang w:eastAsia="en-US"/>
        </w:rPr>
      </w:pPr>
      <w:r w:rsidRPr="00B92BA1">
        <w:rPr>
          <w:lang w:eastAsia="en-US"/>
        </w:rPr>
        <w:t>In conclusion, the initial results, both for the presence (OUT) and absence (~OUT) of universal targeting in municipal public health policy, are fairly robust against possible changes in the set calibration. However, the case-oriented robustness metrics remain more modest for the ~OUT solution, which should provide additional context for the interpretation of the results presented in the main body of the article.</w:t>
      </w:r>
      <w:r w:rsidRPr="000D63C6">
        <w:rPr>
          <w:lang w:eastAsia="en-US"/>
        </w:rPr>
        <w:t xml:space="preserve"> </w:t>
      </w:r>
    </w:p>
    <w:p w14:paraId="647317B4" w14:textId="77777777" w:rsidR="007C2E48" w:rsidRPr="000D63C6" w:rsidRDefault="007C2E48" w:rsidP="007C2E48">
      <w:pPr>
        <w:spacing w:before="0" w:after="0"/>
        <w:ind w:firstLine="709"/>
        <w:contextualSpacing/>
        <w:rPr>
          <w:rFonts w:eastAsia="Calibri"/>
          <w:lang w:eastAsia="en-US"/>
        </w:rPr>
      </w:pPr>
    </w:p>
    <w:p w14:paraId="2E613786" w14:textId="77777777" w:rsidR="007C2E48" w:rsidRPr="00624D35" w:rsidRDefault="007C2E48" w:rsidP="007C2E48">
      <w:pPr>
        <w:spacing w:before="0" w:after="0"/>
        <w:ind w:firstLine="0"/>
        <w:contextualSpacing/>
        <w:jc w:val="left"/>
        <w:rPr>
          <w:rFonts w:eastAsia="Calibri"/>
          <w:b/>
          <w:bCs/>
          <w:lang w:eastAsia="en-US"/>
        </w:rPr>
      </w:pPr>
      <w:r w:rsidRPr="00624D35">
        <w:rPr>
          <w:rFonts w:eastAsia="Calibri"/>
          <w:b/>
          <w:bCs/>
          <w:lang w:eastAsia="en-US"/>
        </w:rPr>
        <w:t>References (Appendices)</w:t>
      </w:r>
    </w:p>
    <w:p w14:paraId="629BCF11" w14:textId="4F4D050E" w:rsidR="007C2E48" w:rsidRPr="00624D35" w:rsidRDefault="007C2E48" w:rsidP="007C2E48">
      <w:pPr>
        <w:spacing w:after="240"/>
        <w:ind w:left="720" w:hanging="720"/>
        <w:contextualSpacing/>
        <w:rPr>
          <w:rFonts w:eastAsia="Calibri"/>
          <w:lang w:eastAsia="en-US"/>
        </w:rPr>
      </w:pPr>
      <w:r w:rsidRPr="00624D35">
        <w:rPr>
          <w:rFonts w:eastAsia="Calibri"/>
          <w:b/>
          <w:bCs/>
          <w:lang w:eastAsia="en-US"/>
        </w:rPr>
        <w:fldChar w:fldCharType="begin"/>
      </w:r>
      <w:r w:rsidRPr="00624D35">
        <w:rPr>
          <w:rFonts w:eastAsia="Calibri"/>
          <w:b/>
          <w:bCs/>
          <w:lang w:eastAsia="en-US"/>
        </w:rPr>
        <w:instrText xml:space="preserve"> ADDIN ZOTERO_BIBL {"uncited":[],"omitted":[],"custom":[]} CSL_BIBLIOGRAPHY </w:instrText>
      </w:r>
      <w:r w:rsidRPr="00624D35">
        <w:rPr>
          <w:rFonts w:eastAsia="Calibri"/>
          <w:b/>
          <w:bCs/>
          <w:lang w:eastAsia="en-US"/>
        </w:rPr>
        <w:fldChar w:fldCharType="separate"/>
      </w:r>
      <w:r w:rsidRPr="00624D35">
        <w:rPr>
          <w:rFonts w:eastAsia="Calibri"/>
          <w:b/>
          <w:bCs/>
          <w:lang w:eastAsia="en-US"/>
        </w:rPr>
        <w:fldChar w:fldCharType="begin"/>
      </w:r>
      <w:r w:rsidRPr="00624D35">
        <w:rPr>
          <w:rFonts w:eastAsia="Calibri"/>
          <w:b/>
          <w:bCs/>
          <w:lang w:eastAsia="en-US"/>
        </w:rPr>
        <w:instrText xml:space="preserve"> ADDIN ZOTERO_BIBL {"uncited":[],"omitted":[],"custom":[]} CSL_BIBLIOGRAPHY </w:instrText>
      </w:r>
      <w:r w:rsidRPr="00624D35">
        <w:rPr>
          <w:rFonts w:eastAsia="Calibri"/>
          <w:b/>
          <w:bCs/>
          <w:lang w:eastAsia="en-US"/>
        </w:rPr>
        <w:fldChar w:fldCharType="separate"/>
      </w:r>
      <w:r w:rsidRPr="00624D35">
        <w:rPr>
          <w:rFonts w:eastAsia="Calibri"/>
          <w:lang w:eastAsia="en-US"/>
        </w:rPr>
        <w:t xml:space="preserve">Hinterleitner, Markus, Fritz Sager, and Eva Thomann. 2016. ‘The Politics of External Approval: Explaining the IMF’s Evaluation of Austerity Programmes’. </w:t>
      </w:r>
      <w:r w:rsidRPr="00624D35">
        <w:rPr>
          <w:rFonts w:eastAsia="Calibri"/>
          <w:i/>
          <w:iCs/>
          <w:lang w:eastAsia="en-US"/>
        </w:rPr>
        <w:t>European Journal of Political Research</w:t>
      </w:r>
      <w:r w:rsidRPr="00624D35">
        <w:rPr>
          <w:rFonts w:eastAsia="Calibri"/>
          <w:lang w:eastAsia="en-US"/>
        </w:rPr>
        <w:t xml:space="preserve"> 55(3): 549–67. </w:t>
      </w:r>
      <w:r w:rsidR="00E64B7F" w:rsidRPr="00E64B7F">
        <w:rPr>
          <w:rFonts w:eastAsia="Calibri"/>
          <w:lang w:eastAsia="en-US"/>
        </w:rPr>
        <w:t>https://doi.org/10.1111/1475-6765.12142</w:t>
      </w:r>
    </w:p>
    <w:p w14:paraId="0E63B2A5" w14:textId="2EDCA681" w:rsidR="007C2E48" w:rsidRPr="00624D35" w:rsidRDefault="007C2E48" w:rsidP="007C2E48">
      <w:pPr>
        <w:spacing w:after="240"/>
        <w:ind w:left="720" w:hanging="720"/>
        <w:contextualSpacing/>
        <w:rPr>
          <w:rFonts w:eastAsia="Calibri"/>
          <w:lang w:eastAsia="en-US"/>
        </w:rPr>
      </w:pPr>
      <w:r w:rsidRPr="00624D35">
        <w:rPr>
          <w:rFonts w:eastAsia="Calibri"/>
          <w:lang w:eastAsia="en-US"/>
        </w:rPr>
        <w:t>Markowski, Radosław, Marta Żerkowska-Balas, and Ben Stanley. 2023. '</w:t>
      </w:r>
      <w:r w:rsidRPr="00624D35">
        <w:t xml:space="preserve"> </w:t>
      </w:r>
      <w:r w:rsidRPr="00624D35">
        <w:rPr>
          <w:rFonts w:eastAsia="Calibri"/>
          <w:lang w:eastAsia="en-US"/>
        </w:rPr>
        <w:t xml:space="preserve">Participation in Polish Local Elections: Sheer Rational Choice or Social Embeddedness Fate?'. </w:t>
      </w:r>
      <w:r w:rsidRPr="00624D35">
        <w:rPr>
          <w:rFonts w:eastAsia="Calibri"/>
          <w:i/>
          <w:iCs/>
          <w:lang w:eastAsia="en-US"/>
        </w:rPr>
        <w:t>East European Politics and Societies</w:t>
      </w:r>
      <w:r w:rsidRPr="00624D35">
        <w:rPr>
          <w:rFonts w:eastAsia="Calibri"/>
          <w:lang w:eastAsia="en-US"/>
        </w:rPr>
        <w:t xml:space="preserve"> 38(1), 123–147. </w:t>
      </w:r>
      <w:r w:rsidR="00915016" w:rsidRPr="00915016">
        <w:rPr>
          <w:rFonts w:eastAsia="Calibri"/>
          <w:lang w:eastAsia="en-US"/>
        </w:rPr>
        <w:t>https://doi.org/10.1177/08883254231177416</w:t>
      </w:r>
    </w:p>
    <w:p w14:paraId="21C913E6" w14:textId="11B17FD9" w:rsidR="007C2E48" w:rsidRPr="00624D35" w:rsidRDefault="007C2E48" w:rsidP="007C2E48">
      <w:pPr>
        <w:spacing w:after="240"/>
        <w:ind w:left="720" w:hanging="720"/>
        <w:contextualSpacing/>
        <w:rPr>
          <w:rFonts w:eastAsia="Calibri"/>
          <w:lang w:eastAsia="en-US"/>
        </w:rPr>
      </w:pPr>
      <w:r w:rsidRPr="00624D35">
        <w:rPr>
          <w:rFonts w:eastAsia="Calibri"/>
          <w:lang w:eastAsia="en-US"/>
        </w:rPr>
        <w:t xml:space="preserve">National Electoral Commission. 2018. ‘Wybory Samorządowe 2018’. https://wybory2018.pkw.gov.pl/ </w:t>
      </w:r>
      <w:r w:rsidRPr="00624D35">
        <w:t>(</w:t>
      </w:r>
      <w:r w:rsidR="00915016">
        <w:t xml:space="preserve">Accessed </w:t>
      </w:r>
      <w:r w:rsidRPr="00624D35">
        <w:t>October 1, 202</w:t>
      </w:r>
      <w:r>
        <w:t>5</w:t>
      </w:r>
      <w:r w:rsidRPr="00624D35">
        <w:t>)</w:t>
      </w:r>
      <w:r w:rsidRPr="00624D35">
        <w:rPr>
          <w:rFonts w:eastAsia="Calibri"/>
          <w:lang w:eastAsia="en-US"/>
        </w:rPr>
        <w:t>.</w:t>
      </w:r>
    </w:p>
    <w:p w14:paraId="3A0D1B9F" w14:textId="756EE1E2" w:rsidR="007C2E48" w:rsidRPr="00624D35" w:rsidRDefault="007C2E48" w:rsidP="007C2E48">
      <w:pPr>
        <w:spacing w:after="240"/>
        <w:ind w:left="720" w:hanging="720"/>
        <w:contextualSpacing/>
        <w:rPr>
          <w:rFonts w:eastAsia="Calibri"/>
          <w:lang w:eastAsia="en-US"/>
        </w:rPr>
      </w:pPr>
      <w:r w:rsidRPr="00624D35">
        <w:rPr>
          <w:rFonts w:eastAsia="Calibri"/>
          <w:lang w:eastAsia="en-US"/>
        </w:rPr>
        <w:t xml:space="preserve">Oana, Ioana-Elena, and Carsten Q. Schneider. 2021. ‘A Robustness Test Protocol for Applied QCA: Theory and R Software Application’. </w:t>
      </w:r>
      <w:r w:rsidRPr="00624D35">
        <w:rPr>
          <w:rFonts w:eastAsia="Calibri"/>
          <w:i/>
          <w:iCs/>
          <w:lang w:eastAsia="en-US"/>
        </w:rPr>
        <w:t>Sociological Methods &amp; Research</w:t>
      </w:r>
      <w:r w:rsidRPr="00624D35">
        <w:rPr>
          <w:rFonts w:eastAsia="Calibri"/>
          <w:lang w:eastAsia="en-US"/>
        </w:rPr>
        <w:t>: 1–32.</w:t>
      </w:r>
      <w:r w:rsidR="00915016">
        <w:rPr>
          <w:rFonts w:eastAsia="Calibri"/>
          <w:lang w:eastAsia="en-US"/>
        </w:rPr>
        <w:t xml:space="preserve"> </w:t>
      </w:r>
      <w:r w:rsidR="00915016" w:rsidRPr="00915016">
        <w:rPr>
          <w:rFonts w:eastAsia="Calibri"/>
          <w:lang w:eastAsia="en-US"/>
        </w:rPr>
        <w:t>https://doi.org/10.1177/00491241211036158</w:t>
      </w:r>
      <w:r w:rsidRPr="00624D35">
        <w:rPr>
          <w:rFonts w:eastAsia="Calibri"/>
          <w:lang w:eastAsia="en-US"/>
        </w:rPr>
        <w:t xml:space="preserve"> </w:t>
      </w:r>
    </w:p>
    <w:p w14:paraId="23E97E07" w14:textId="77777777" w:rsidR="007C2E48" w:rsidRPr="00624D35" w:rsidRDefault="007C2E48" w:rsidP="007C2E48">
      <w:pPr>
        <w:spacing w:after="240"/>
        <w:ind w:left="720" w:hanging="720"/>
        <w:contextualSpacing/>
        <w:rPr>
          <w:rFonts w:eastAsia="Calibri"/>
          <w:lang w:eastAsia="en-US"/>
        </w:rPr>
      </w:pPr>
      <w:r w:rsidRPr="00624D35">
        <w:rPr>
          <w:rFonts w:eastAsia="Calibri"/>
          <w:lang w:eastAsia="en-US"/>
        </w:rPr>
        <w:t xml:space="preserve">Oana, Ioana-Elena, Carsten Q. Schneider, and Eva Thomann. 2021. </w:t>
      </w:r>
      <w:r w:rsidRPr="00624D35">
        <w:rPr>
          <w:rFonts w:eastAsia="Calibri"/>
          <w:i/>
          <w:iCs/>
          <w:lang w:eastAsia="en-US"/>
        </w:rPr>
        <w:t>Qualitative Comparative Analysis Using R: A Beginner’s Guide</w:t>
      </w:r>
      <w:r w:rsidRPr="00624D35">
        <w:rPr>
          <w:rFonts w:eastAsia="Calibri"/>
          <w:lang w:eastAsia="en-US"/>
        </w:rPr>
        <w:t>. Cambridge University Press.</w:t>
      </w:r>
    </w:p>
    <w:p w14:paraId="4F948F29" w14:textId="77777777" w:rsidR="007C2E48" w:rsidRPr="00624D35" w:rsidRDefault="007C2E48" w:rsidP="007C2E48">
      <w:pPr>
        <w:spacing w:after="240"/>
        <w:ind w:left="720" w:hanging="720"/>
        <w:contextualSpacing/>
        <w:rPr>
          <w:rFonts w:eastAsia="Calibri"/>
          <w:lang w:eastAsia="en-US"/>
        </w:rPr>
      </w:pPr>
      <w:r w:rsidRPr="00624D35">
        <w:rPr>
          <w:rFonts w:eastAsia="Calibri"/>
          <w:lang w:eastAsia="en-US"/>
        </w:rPr>
        <w:t xml:space="preserve">Schneider, Carsten Q, and Claudius Wagemann. 2012. </w:t>
      </w:r>
      <w:r w:rsidRPr="00624D35">
        <w:rPr>
          <w:rFonts w:eastAsia="Calibri"/>
          <w:i/>
          <w:iCs/>
          <w:lang w:eastAsia="en-US"/>
        </w:rPr>
        <w:t>Set-Theoretic Methods for the Social Sciences: A Guide to Qualitative Comparative Analysis</w:t>
      </w:r>
      <w:r w:rsidRPr="00624D35">
        <w:rPr>
          <w:rFonts w:eastAsia="Calibri"/>
          <w:lang w:eastAsia="en-US"/>
        </w:rPr>
        <w:t>. Cambridge University Press.</w:t>
      </w:r>
    </w:p>
    <w:p w14:paraId="1144EFB7" w14:textId="7D936AFE" w:rsidR="007C2E48" w:rsidRPr="00624D35" w:rsidRDefault="007C2E48" w:rsidP="007C2E48">
      <w:pPr>
        <w:spacing w:after="240"/>
        <w:ind w:left="720" w:hanging="720"/>
        <w:contextualSpacing/>
        <w:rPr>
          <w:rFonts w:eastAsia="Calibri"/>
          <w:lang w:eastAsia="en-US"/>
        </w:rPr>
      </w:pPr>
      <w:r w:rsidRPr="00624D35">
        <w:rPr>
          <w:rFonts w:eastAsia="Calibri"/>
          <w:lang w:eastAsia="en-US"/>
        </w:rPr>
        <w:t xml:space="preserve">Statistics Poland. 2023. ‘Local Data Bank’. https://bdl.stat.gov.pl/BDL/start </w:t>
      </w:r>
      <w:r w:rsidRPr="00624D35">
        <w:rPr>
          <w:rFonts w:eastAsia="Calibri"/>
          <w:lang w:eastAsia="en-US"/>
        </w:rPr>
        <w:br/>
      </w:r>
      <w:r w:rsidRPr="00624D35">
        <w:t>(</w:t>
      </w:r>
      <w:r w:rsidR="00F91781">
        <w:t xml:space="preserve">Accessed </w:t>
      </w:r>
      <w:r w:rsidRPr="00624D35">
        <w:t>October 1, 202</w:t>
      </w:r>
      <w:r>
        <w:t>5</w:t>
      </w:r>
      <w:r w:rsidRPr="00624D35">
        <w:t>)</w:t>
      </w:r>
      <w:r w:rsidRPr="00624D35">
        <w:rPr>
          <w:rFonts w:eastAsia="Calibri"/>
          <w:lang w:eastAsia="en-US"/>
        </w:rPr>
        <w:t>.</w:t>
      </w:r>
    </w:p>
    <w:p w14:paraId="1CACEE77" w14:textId="77777777" w:rsidR="007C2E48" w:rsidRPr="00624D35" w:rsidRDefault="007C2E48" w:rsidP="007C2E48">
      <w:pPr>
        <w:pStyle w:val="Bibliografia"/>
      </w:pPr>
      <w:r w:rsidRPr="00624D35">
        <w:rPr>
          <w:rFonts w:eastAsia="Calibri"/>
          <w:b/>
          <w:bCs/>
          <w:lang w:eastAsia="en-US"/>
        </w:rPr>
        <w:fldChar w:fldCharType="end"/>
      </w:r>
      <w:r w:rsidRPr="00624D35">
        <w:t xml:space="preserve"> </w:t>
      </w:r>
    </w:p>
    <w:p w14:paraId="6468847F" w14:textId="3144FA70" w:rsidR="001B58EC" w:rsidRDefault="007C2E48" w:rsidP="007C2E48">
      <w:r w:rsidRPr="00624D35">
        <w:rPr>
          <w:rFonts w:eastAsia="Calibri"/>
          <w:b/>
          <w:bCs/>
          <w:lang w:eastAsia="en-US"/>
        </w:rPr>
        <w:fldChar w:fldCharType="end"/>
      </w:r>
    </w:p>
    <w:sectPr w:rsidR="001B58EC" w:rsidSect="00324A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 Alt One MT">
    <w:altName w:val="Cambria"/>
    <w:panose1 w:val="00000000000000000000"/>
    <w:charset w:val="00"/>
    <w:family w:val="roman"/>
    <w:notTrueType/>
    <w:pitch w:val="default"/>
  </w:font>
  <w:font w:name="ETH Light">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Sabon Next LT">
    <w:charset w:val="00"/>
    <w:family w:val="auto"/>
    <w:pitch w:val="variable"/>
    <w:sig w:usb0="A11526FF" w:usb1="D000000B" w:usb2="0001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11FBB"/>
    <w:multiLevelType w:val="hybridMultilevel"/>
    <w:tmpl w:val="0F8A6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282D6B"/>
    <w:multiLevelType w:val="hybridMultilevel"/>
    <w:tmpl w:val="5F5CB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0B6705"/>
    <w:multiLevelType w:val="hybridMultilevel"/>
    <w:tmpl w:val="67D00876"/>
    <w:lvl w:ilvl="0" w:tplc="4C12B8BA">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 w15:restartNumberingAfterBreak="0">
    <w:nsid w:val="0C862E5E"/>
    <w:multiLevelType w:val="hybridMultilevel"/>
    <w:tmpl w:val="F814A5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CBC4008"/>
    <w:multiLevelType w:val="multilevel"/>
    <w:tmpl w:val="6C2C6FA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0151724"/>
    <w:multiLevelType w:val="multilevel"/>
    <w:tmpl w:val="CE0C27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22969F5"/>
    <w:multiLevelType w:val="hybridMultilevel"/>
    <w:tmpl w:val="63809E5E"/>
    <w:lvl w:ilvl="0" w:tplc="7C0659F4">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 w15:restartNumberingAfterBreak="0">
    <w:nsid w:val="14663B0D"/>
    <w:multiLevelType w:val="hybridMultilevel"/>
    <w:tmpl w:val="9EA4985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6DF0EAF"/>
    <w:multiLevelType w:val="hybridMultilevel"/>
    <w:tmpl w:val="3566E56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35407F6"/>
    <w:multiLevelType w:val="hybridMultilevel"/>
    <w:tmpl w:val="47BAF9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48C38E0"/>
    <w:multiLevelType w:val="hybridMultilevel"/>
    <w:tmpl w:val="6596A3D8"/>
    <w:lvl w:ilvl="0" w:tplc="0415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26262912"/>
    <w:multiLevelType w:val="hybridMultilevel"/>
    <w:tmpl w:val="9C3084F4"/>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2" w15:restartNumberingAfterBreak="0">
    <w:nsid w:val="29A600E2"/>
    <w:multiLevelType w:val="hybridMultilevel"/>
    <w:tmpl w:val="DD164BA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F9821EB"/>
    <w:multiLevelType w:val="hybridMultilevel"/>
    <w:tmpl w:val="D3948A3E"/>
    <w:lvl w:ilvl="0" w:tplc="FE467052">
      <w:start w:val="1"/>
      <w:numFmt w:val="lowerLetter"/>
      <w:lvlText w:val="%1)"/>
      <w:lvlJc w:val="left"/>
      <w:pPr>
        <w:ind w:left="1800" w:hanging="360"/>
      </w:pPr>
      <w:rPr>
        <w:rFonts w:ascii="Arial" w:eastAsia="Calibri" w:hAnsi="Arial" w:cs="Arial"/>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2FA91E85"/>
    <w:multiLevelType w:val="hybridMultilevel"/>
    <w:tmpl w:val="D272E196"/>
    <w:lvl w:ilvl="0" w:tplc="071631DA">
      <w:start w:val="1"/>
      <w:numFmt w:val="lowerLetter"/>
      <w:lvlText w:val="%1)"/>
      <w:lvlJc w:val="left"/>
      <w:pPr>
        <w:ind w:left="1069" w:hanging="360"/>
      </w:pPr>
      <w:rPr>
        <w:rFonts w:hint="default"/>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5" w15:restartNumberingAfterBreak="0">
    <w:nsid w:val="43AE2FF2"/>
    <w:multiLevelType w:val="multilevel"/>
    <w:tmpl w:val="31644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16569F"/>
    <w:multiLevelType w:val="hybridMultilevel"/>
    <w:tmpl w:val="28A812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CF1005B"/>
    <w:multiLevelType w:val="hybridMultilevel"/>
    <w:tmpl w:val="498CDE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4116041"/>
    <w:multiLevelType w:val="hybridMultilevel"/>
    <w:tmpl w:val="5E4A9F72"/>
    <w:lvl w:ilvl="0" w:tplc="F4A058A0">
      <w:start w:val="1"/>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7C31A64"/>
    <w:multiLevelType w:val="hybridMultilevel"/>
    <w:tmpl w:val="BE042A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F796716"/>
    <w:multiLevelType w:val="hybridMultilevel"/>
    <w:tmpl w:val="132022DC"/>
    <w:lvl w:ilvl="0" w:tplc="0415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1" w15:restartNumberingAfterBreak="0">
    <w:nsid w:val="658456C2"/>
    <w:multiLevelType w:val="hybridMultilevel"/>
    <w:tmpl w:val="051C6E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E0B5D95"/>
    <w:multiLevelType w:val="multilevel"/>
    <w:tmpl w:val="DAC8A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AF3508"/>
    <w:multiLevelType w:val="hybridMultilevel"/>
    <w:tmpl w:val="72824F34"/>
    <w:lvl w:ilvl="0" w:tplc="7C0659F4">
      <w:start w:val="1"/>
      <w:numFmt w:val="decimal"/>
      <w:lvlText w:val="%1."/>
      <w:lvlJc w:val="left"/>
      <w:pPr>
        <w:ind w:left="1778"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4" w15:restartNumberingAfterBreak="0">
    <w:nsid w:val="72E74E2B"/>
    <w:multiLevelType w:val="hybridMultilevel"/>
    <w:tmpl w:val="3746CA5E"/>
    <w:lvl w:ilvl="0" w:tplc="A4E8D970">
      <w:start w:val="1"/>
      <w:numFmt w:val="decimal"/>
      <w:lvlText w:val="%1."/>
      <w:lvlJc w:val="left"/>
      <w:pPr>
        <w:ind w:left="1249" w:hanging="360"/>
      </w:pPr>
      <w:rPr>
        <w:rFonts w:hint="default"/>
      </w:rPr>
    </w:lvl>
    <w:lvl w:ilvl="1" w:tplc="04150019" w:tentative="1">
      <w:start w:val="1"/>
      <w:numFmt w:val="lowerLetter"/>
      <w:lvlText w:val="%2."/>
      <w:lvlJc w:val="left"/>
      <w:pPr>
        <w:ind w:left="1969" w:hanging="360"/>
      </w:pPr>
    </w:lvl>
    <w:lvl w:ilvl="2" w:tplc="0415001B" w:tentative="1">
      <w:start w:val="1"/>
      <w:numFmt w:val="lowerRoman"/>
      <w:lvlText w:val="%3."/>
      <w:lvlJc w:val="right"/>
      <w:pPr>
        <w:ind w:left="2689" w:hanging="180"/>
      </w:pPr>
    </w:lvl>
    <w:lvl w:ilvl="3" w:tplc="0415000F" w:tentative="1">
      <w:start w:val="1"/>
      <w:numFmt w:val="decimal"/>
      <w:lvlText w:val="%4."/>
      <w:lvlJc w:val="left"/>
      <w:pPr>
        <w:ind w:left="3409" w:hanging="360"/>
      </w:pPr>
    </w:lvl>
    <w:lvl w:ilvl="4" w:tplc="04150019" w:tentative="1">
      <w:start w:val="1"/>
      <w:numFmt w:val="lowerLetter"/>
      <w:lvlText w:val="%5."/>
      <w:lvlJc w:val="left"/>
      <w:pPr>
        <w:ind w:left="4129" w:hanging="360"/>
      </w:pPr>
    </w:lvl>
    <w:lvl w:ilvl="5" w:tplc="0415001B" w:tentative="1">
      <w:start w:val="1"/>
      <w:numFmt w:val="lowerRoman"/>
      <w:lvlText w:val="%6."/>
      <w:lvlJc w:val="right"/>
      <w:pPr>
        <w:ind w:left="4849" w:hanging="180"/>
      </w:pPr>
    </w:lvl>
    <w:lvl w:ilvl="6" w:tplc="0415000F" w:tentative="1">
      <w:start w:val="1"/>
      <w:numFmt w:val="decimal"/>
      <w:lvlText w:val="%7."/>
      <w:lvlJc w:val="left"/>
      <w:pPr>
        <w:ind w:left="5569" w:hanging="360"/>
      </w:pPr>
    </w:lvl>
    <w:lvl w:ilvl="7" w:tplc="04150019" w:tentative="1">
      <w:start w:val="1"/>
      <w:numFmt w:val="lowerLetter"/>
      <w:lvlText w:val="%8."/>
      <w:lvlJc w:val="left"/>
      <w:pPr>
        <w:ind w:left="6289" w:hanging="360"/>
      </w:pPr>
    </w:lvl>
    <w:lvl w:ilvl="8" w:tplc="0415001B" w:tentative="1">
      <w:start w:val="1"/>
      <w:numFmt w:val="lowerRoman"/>
      <w:lvlText w:val="%9."/>
      <w:lvlJc w:val="right"/>
      <w:pPr>
        <w:ind w:left="7009" w:hanging="180"/>
      </w:pPr>
    </w:lvl>
  </w:abstractNum>
  <w:abstractNum w:abstractNumId="25" w15:restartNumberingAfterBreak="0">
    <w:nsid w:val="75B444A3"/>
    <w:multiLevelType w:val="hybridMultilevel"/>
    <w:tmpl w:val="D89426D2"/>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6" w15:restartNumberingAfterBreak="0">
    <w:nsid w:val="7825788E"/>
    <w:multiLevelType w:val="hybridMultilevel"/>
    <w:tmpl w:val="E17CD1FE"/>
    <w:lvl w:ilvl="0" w:tplc="B85C387A">
      <w:start w:val="1"/>
      <w:numFmt w:val="decimal"/>
      <w:lvlText w:val="%1."/>
      <w:lvlJc w:val="left"/>
      <w:pPr>
        <w:ind w:left="1080" w:hanging="360"/>
      </w:pPr>
      <w:rPr>
        <w:rFonts w:ascii="Arial" w:eastAsia="Arial" w:hAnsi="Arial" w:cs="Arial"/>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78B61FE3"/>
    <w:multiLevelType w:val="hybridMultilevel"/>
    <w:tmpl w:val="2A16161C"/>
    <w:lvl w:ilvl="0" w:tplc="21C03540">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8" w15:restartNumberingAfterBreak="0">
    <w:nsid w:val="79AA3469"/>
    <w:multiLevelType w:val="hybridMultilevel"/>
    <w:tmpl w:val="24F4E79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CC563B1"/>
    <w:multiLevelType w:val="hybridMultilevel"/>
    <w:tmpl w:val="9E2ED94E"/>
    <w:lvl w:ilvl="0" w:tplc="2814EEF4">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num w:numId="1" w16cid:durableId="1765883300">
    <w:abstractNumId w:val="4"/>
  </w:num>
  <w:num w:numId="2" w16cid:durableId="2080052899">
    <w:abstractNumId w:val="5"/>
  </w:num>
  <w:num w:numId="3" w16cid:durableId="557593173">
    <w:abstractNumId w:val="0"/>
  </w:num>
  <w:num w:numId="4" w16cid:durableId="1584490234">
    <w:abstractNumId w:val="1"/>
  </w:num>
  <w:num w:numId="5" w16cid:durableId="325745198">
    <w:abstractNumId w:val="9"/>
  </w:num>
  <w:num w:numId="6" w16cid:durableId="1780175393">
    <w:abstractNumId w:val="28"/>
  </w:num>
  <w:num w:numId="7" w16cid:durableId="321281561">
    <w:abstractNumId w:val="21"/>
  </w:num>
  <w:num w:numId="8" w16cid:durableId="31392207">
    <w:abstractNumId w:val="26"/>
  </w:num>
  <w:num w:numId="9" w16cid:durableId="1005665479">
    <w:abstractNumId w:val="16"/>
  </w:num>
  <w:num w:numId="10" w16cid:durableId="7680747">
    <w:abstractNumId w:val="8"/>
  </w:num>
  <w:num w:numId="11" w16cid:durableId="1893076503">
    <w:abstractNumId w:val="17"/>
  </w:num>
  <w:num w:numId="12" w16cid:durableId="781612082">
    <w:abstractNumId w:val="22"/>
  </w:num>
  <w:num w:numId="13" w16cid:durableId="1684671247">
    <w:abstractNumId w:val="15"/>
  </w:num>
  <w:num w:numId="14" w16cid:durableId="554778447">
    <w:abstractNumId w:val="3"/>
  </w:num>
  <w:num w:numId="15" w16cid:durableId="2030645885">
    <w:abstractNumId w:val="2"/>
  </w:num>
  <w:num w:numId="16" w16cid:durableId="1267420692">
    <w:abstractNumId w:val="29"/>
  </w:num>
  <w:num w:numId="17" w16cid:durableId="814294343">
    <w:abstractNumId w:val="6"/>
  </w:num>
  <w:num w:numId="18" w16cid:durableId="761950775">
    <w:abstractNumId w:val="23"/>
  </w:num>
  <w:num w:numId="19" w16cid:durableId="1134906346">
    <w:abstractNumId w:val="11"/>
  </w:num>
  <w:num w:numId="20" w16cid:durableId="1766338025">
    <w:abstractNumId w:val="25"/>
  </w:num>
  <w:num w:numId="21" w16cid:durableId="130026788">
    <w:abstractNumId w:val="24"/>
  </w:num>
  <w:num w:numId="22" w16cid:durableId="690109496">
    <w:abstractNumId w:val="18"/>
  </w:num>
  <w:num w:numId="23" w16cid:durableId="1841266653">
    <w:abstractNumId w:val="14"/>
  </w:num>
  <w:num w:numId="24" w16cid:durableId="1251814426">
    <w:abstractNumId w:val="27"/>
  </w:num>
  <w:num w:numId="25" w16cid:durableId="1781412151">
    <w:abstractNumId w:val="7"/>
  </w:num>
  <w:num w:numId="26" w16cid:durableId="1046298063">
    <w:abstractNumId w:val="12"/>
  </w:num>
  <w:num w:numId="27" w16cid:durableId="80686825">
    <w:abstractNumId w:val="19"/>
  </w:num>
  <w:num w:numId="28" w16cid:durableId="1529174414">
    <w:abstractNumId w:val="13"/>
  </w:num>
  <w:num w:numId="29" w16cid:durableId="1503469013">
    <w:abstractNumId w:val="10"/>
  </w:num>
  <w:num w:numId="30" w16cid:durableId="107809511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E51"/>
    <w:rsid w:val="00000321"/>
    <w:rsid w:val="0000148C"/>
    <w:rsid w:val="000035CE"/>
    <w:rsid w:val="00024614"/>
    <w:rsid w:val="000849E2"/>
    <w:rsid w:val="000A31F7"/>
    <w:rsid w:val="001029B2"/>
    <w:rsid w:val="00122236"/>
    <w:rsid w:val="001B58EC"/>
    <w:rsid w:val="001C2A00"/>
    <w:rsid w:val="00266F7E"/>
    <w:rsid w:val="00272512"/>
    <w:rsid w:val="00286695"/>
    <w:rsid w:val="003143FD"/>
    <w:rsid w:val="00324A65"/>
    <w:rsid w:val="00332F39"/>
    <w:rsid w:val="003A4315"/>
    <w:rsid w:val="003D7856"/>
    <w:rsid w:val="00441C7E"/>
    <w:rsid w:val="00473112"/>
    <w:rsid w:val="00492971"/>
    <w:rsid w:val="004C732A"/>
    <w:rsid w:val="004D007D"/>
    <w:rsid w:val="00525D2B"/>
    <w:rsid w:val="0054473C"/>
    <w:rsid w:val="00572608"/>
    <w:rsid w:val="005919A9"/>
    <w:rsid w:val="006005E5"/>
    <w:rsid w:val="00612848"/>
    <w:rsid w:val="00623E54"/>
    <w:rsid w:val="006359AA"/>
    <w:rsid w:val="00662C70"/>
    <w:rsid w:val="00716F80"/>
    <w:rsid w:val="0075702B"/>
    <w:rsid w:val="007A52A8"/>
    <w:rsid w:val="007C2E48"/>
    <w:rsid w:val="008206D2"/>
    <w:rsid w:val="00860D80"/>
    <w:rsid w:val="00881900"/>
    <w:rsid w:val="008C691A"/>
    <w:rsid w:val="00915016"/>
    <w:rsid w:val="00954229"/>
    <w:rsid w:val="009C0E2A"/>
    <w:rsid w:val="00A15312"/>
    <w:rsid w:val="00A813F3"/>
    <w:rsid w:val="00A91E3A"/>
    <w:rsid w:val="00AE03CB"/>
    <w:rsid w:val="00AF2E51"/>
    <w:rsid w:val="00B33F6F"/>
    <w:rsid w:val="00BC7696"/>
    <w:rsid w:val="00C37AB1"/>
    <w:rsid w:val="00C46E37"/>
    <w:rsid w:val="00CA0600"/>
    <w:rsid w:val="00D34C25"/>
    <w:rsid w:val="00D34D6A"/>
    <w:rsid w:val="00D40996"/>
    <w:rsid w:val="00D4369B"/>
    <w:rsid w:val="00D7299A"/>
    <w:rsid w:val="00DB2F56"/>
    <w:rsid w:val="00E64B7F"/>
    <w:rsid w:val="00EA0FDA"/>
    <w:rsid w:val="00F1098E"/>
    <w:rsid w:val="00F56BE0"/>
    <w:rsid w:val="00F91781"/>
    <w:rsid w:val="00FB6F9C"/>
    <w:rsid w:val="00FD1144"/>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9D93A"/>
  <w15:chartTrackingRefBased/>
  <w15:docId w15:val="{58D96A8C-7CEF-4D4B-9957-AAEB50FB3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C2E48"/>
    <w:pPr>
      <w:spacing w:before="60" w:after="60" w:line="360" w:lineRule="auto"/>
      <w:ind w:firstLine="1440"/>
      <w:jc w:val="both"/>
    </w:pPr>
    <w:rPr>
      <w:rFonts w:ascii="Arial" w:eastAsia="Arial" w:hAnsi="Arial" w:cs="Arial"/>
      <w:lang w:eastAsia="de-DE"/>
      <w14:ligatures w14:val="none"/>
    </w:rPr>
  </w:style>
  <w:style w:type="paragraph" w:styleId="Nagwek1">
    <w:name w:val="heading 1"/>
    <w:basedOn w:val="Normalny"/>
    <w:next w:val="Normalny"/>
    <w:link w:val="Nagwek1Znak"/>
    <w:uiPriority w:val="9"/>
    <w:qFormat/>
    <w:rsid w:val="00AF2E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unhideWhenUsed/>
    <w:qFormat/>
    <w:rsid w:val="00AF2E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unhideWhenUsed/>
    <w:qFormat/>
    <w:rsid w:val="00AF2E51"/>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AF2E51"/>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AF2E51"/>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AF2E5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nhideWhenUsed/>
    <w:qFormat/>
    <w:rsid w:val="00AF2E5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nhideWhenUsed/>
    <w:qFormat/>
    <w:rsid w:val="00AF2E5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nhideWhenUsed/>
    <w:qFormat/>
    <w:rsid w:val="00AF2E5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F2E51"/>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AF2E51"/>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AF2E51"/>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AF2E51"/>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AF2E51"/>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AF2E5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F2E5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F2E5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F2E51"/>
    <w:rPr>
      <w:rFonts w:eastAsiaTheme="majorEastAsia" w:cstheme="majorBidi"/>
      <w:color w:val="272727" w:themeColor="text1" w:themeTint="D8"/>
    </w:rPr>
  </w:style>
  <w:style w:type="paragraph" w:styleId="Tytu">
    <w:name w:val="Title"/>
    <w:basedOn w:val="Normalny"/>
    <w:next w:val="Normalny"/>
    <w:link w:val="TytuZnak"/>
    <w:uiPriority w:val="10"/>
    <w:qFormat/>
    <w:rsid w:val="00AF2E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F2E5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F2E51"/>
    <w:pPr>
      <w:numPr>
        <w:ilvl w:val="1"/>
      </w:numPr>
      <w:ind w:firstLine="144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F2E5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F2E51"/>
    <w:pPr>
      <w:spacing w:before="160"/>
      <w:jc w:val="center"/>
    </w:pPr>
    <w:rPr>
      <w:i/>
      <w:iCs/>
      <w:color w:val="404040" w:themeColor="text1" w:themeTint="BF"/>
    </w:rPr>
  </w:style>
  <w:style w:type="character" w:customStyle="1" w:styleId="CytatZnak">
    <w:name w:val="Cytat Znak"/>
    <w:basedOn w:val="Domylnaczcionkaakapitu"/>
    <w:link w:val="Cytat"/>
    <w:uiPriority w:val="29"/>
    <w:rsid w:val="00AF2E51"/>
    <w:rPr>
      <w:i/>
      <w:iCs/>
      <w:color w:val="404040" w:themeColor="text1" w:themeTint="BF"/>
    </w:rPr>
  </w:style>
  <w:style w:type="paragraph" w:styleId="Akapitzlist">
    <w:name w:val="List Paragraph"/>
    <w:basedOn w:val="Normalny"/>
    <w:uiPriority w:val="34"/>
    <w:qFormat/>
    <w:rsid w:val="00AF2E51"/>
    <w:pPr>
      <w:ind w:left="720"/>
      <w:contextualSpacing/>
    </w:pPr>
  </w:style>
  <w:style w:type="character" w:styleId="Wyrnienieintensywne">
    <w:name w:val="Intense Emphasis"/>
    <w:basedOn w:val="Domylnaczcionkaakapitu"/>
    <w:uiPriority w:val="21"/>
    <w:qFormat/>
    <w:rsid w:val="00AF2E51"/>
    <w:rPr>
      <w:i/>
      <w:iCs/>
      <w:color w:val="0F4761" w:themeColor="accent1" w:themeShade="BF"/>
    </w:rPr>
  </w:style>
  <w:style w:type="paragraph" w:styleId="Cytatintensywny">
    <w:name w:val="Intense Quote"/>
    <w:basedOn w:val="Normalny"/>
    <w:next w:val="Normalny"/>
    <w:link w:val="CytatintensywnyZnak"/>
    <w:uiPriority w:val="30"/>
    <w:qFormat/>
    <w:rsid w:val="00AF2E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AF2E51"/>
    <w:rPr>
      <w:i/>
      <w:iCs/>
      <w:color w:val="0F4761" w:themeColor="accent1" w:themeShade="BF"/>
    </w:rPr>
  </w:style>
  <w:style w:type="character" w:styleId="Odwoanieintensywne">
    <w:name w:val="Intense Reference"/>
    <w:basedOn w:val="Domylnaczcionkaakapitu"/>
    <w:uiPriority w:val="32"/>
    <w:qFormat/>
    <w:rsid w:val="00AF2E51"/>
    <w:rPr>
      <w:b/>
      <w:bCs/>
      <w:smallCaps/>
      <w:color w:val="0F4761" w:themeColor="accent1" w:themeShade="BF"/>
      <w:spacing w:val="5"/>
    </w:rPr>
  </w:style>
  <w:style w:type="paragraph" w:styleId="Nagwek">
    <w:name w:val="header"/>
    <w:basedOn w:val="Normalny"/>
    <w:link w:val="NagwekZnak"/>
    <w:uiPriority w:val="99"/>
    <w:rsid w:val="007C2E48"/>
    <w:pPr>
      <w:tabs>
        <w:tab w:val="left" w:pos="2155"/>
        <w:tab w:val="left" w:pos="4309"/>
        <w:tab w:val="center" w:pos="4536"/>
        <w:tab w:val="left" w:pos="6464"/>
        <w:tab w:val="left" w:pos="8618"/>
        <w:tab w:val="right" w:pos="9072"/>
      </w:tabs>
    </w:pPr>
    <w:rPr>
      <w:rFonts w:ascii="Gill Alt One MT" w:hAnsi="Gill Alt One MT"/>
      <w:sz w:val="20"/>
    </w:rPr>
  </w:style>
  <w:style w:type="character" w:customStyle="1" w:styleId="NagwekZnak">
    <w:name w:val="Nagłówek Znak"/>
    <w:basedOn w:val="Domylnaczcionkaakapitu"/>
    <w:link w:val="Nagwek"/>
    <w:uiPriority w:val="99"/>
    <w:rsid w:val="007C2E48"/>
    <w:rPr>
      <w:rFonts w:ascii="Gill Alt One MT" w:eastAsia="Arial" w:hAnsi="Gill Alt One MT" w:cs="Arial"/>
      <w:sz w:val="20"/>
      <w:lang w:eastAsia="de-DE"/>
      <w14:ligatures w14:val="none"/>
    </w:rPr>
  </w:style>
  <w:style w:type="paragraph" w:styleId="Stopka">
    <w:name w:val="footer"/>
    <w:basedOn w:val="Normalny"/>
    <w:link w:val="StopkaZnak"/>
    <w:uiPriority w:val="99"/>
    <w:rsid w:val="007C2E48"/>
    <w:pPr>
      <w:tabs>
        <w:tab w:val="center" w:pos="4536"/>
        <w:tab w:val="right" w:pos="9072"/>
      </w:tabs>
    </w:pPr>
  </w:style>
  <w:style w:type="character" w:customStyle="1" w:styleId="StopkaZnak">
    <w:name w:val="Stopka Znak"/>
    <w:basedOn w:val="Domylnaczcionkaakapitu"/>
    <w:link w:val="Stopka"/>
    <w:uiPriority w:val="99"/>
    <w:rsid w:val="007C2E48"/>
    <w:rPr>
      <w:rFonts w:ascii="Arial" w:eastAsia="Arial" w:hAnsi="Arial" w:cs="Arial"/>
      <w:lang w:eastAsia="de-DE"/>
      <w14:ligatures w14:val="none"/>
    </w:rPr>
  </w:style>
  <w:style w:type="character" w:styleId="Hipercze">
    <w:name w:val="Hyperlink"/>
    <w:rsid w:val="007C2E48"/>
    <w:rPr>
      <w:color w:val="0000FF"/>
      <w:u w:val="single"/>
    </w:rPr>
  </w:style>
  <w:style w:type="paragraph" w:styleId="Tekstpodstawowy">
    <w:name w:val="Body Text"/>
    <w:basedOn w:val="Normalny"/>
    <w:link w:val="TekstpodstawowyZnak"/>
    <w:rsid w:val="007C2E48"/>
    <w:rPr>
      <w:rFonts w:ascii="Gill Alt One MT" w:hAnsi="Gill Alt One MT"/>
      <w:sz w:val="16"/>
    </w:rPr>
  </w:style>
  <w:style w:type="character" w:customStyle="1" w:styleId="TekstpodstawowyZnak">
    <w:name w:val="Tekst podstawowy Znak"/>
    <w:basedOn w:val="Domylnaczcionkaakapitu"/>
    <w:link w:val="Tekstpodstawowy"/>
    <w:rsid w:val="007C2E48"/>
    <w:rPr>
      <w:rFonts w:ascii="Gill Alt One MT" w:eastAsia="Arial" w:hAnsi="Gill Alt One MT" w:cs="Arial"/>
      <w:sz w:val="16"/>
      <w:lang w:eastAsia="de-DE"/>
      <w14:ligatures w14:val="none"/>
    </w:rPr>
  </w:style>
  <w:style w:type="paragraph" w:styleId="Legenda">
    <w:name w:val="caption"/>
    <w:basedOn w:val="Normalny"/>
    <w:next w:val="Normalny"/>
    <w:qFormat/>
    <w:rsid w:val="007C2E48"/>
    <w:pPr>
      <w:tabs>
        <w:tab w:val="left" w:pos="2155"/>
        <w:tab w:val="left" w:pos="4309"/>
        <w:tab w:val="left" w:pos="6464"/>
        <w:tab w:val="left" w:pos="8618"/>
      </w:tabs>
      <w:spacing w:before="120" w:after="120"/>
    </w:pPr>
    <w:rPr>
      <w:rFonts w:ascii="Gill Alt One MT" w:hAnsi="Gill Alt One MT"/>
      <w:sz w:val="20"/>
    </w:rPr>
  </w:style>
  <w:style w:type="character" w:styleId="Odwoanieprzypisudolnego">
    <w:name w:val="footnote reference"/>
    <w:uiPriority w:val="99"/>
    <w:semiHidden/>
    <w:rsid w:val="007C2E48"/>
    <w:rPr>
      <w:vertAlign w:val="superscript"/>
    </w:rPr>
  </w:style>
  <w:style w:type="paragraph" w:styleId="Tekstpodstawowy2">
    <w:name w:val="Body Text 2"/>
    <w:basedOn w:val="Normalny"/>
    <w:link w:val="Tekstpodstawowy2Znak"/>
    <w:rsid w:val="007C2E48"/>
    <w:rPr>
      <w:noProof/>
    </w:rPr>
  </w:style>
  <w:style w:type="character" w:customStyle="1" w:styleId="Tekstpodstawowy2Znak">
    <w:name w:val="Tekst podstawowy 2 Znak"/>
    <w:basedOn w:val="Domylnaczcionkaakapitu"/>
    <w:link w:val="Tekstpodstawowy2"/>
    <w:rsid w:val="007C2E48"/>
    <w:rPr>
      <w:rFonts w:ascii="Arial" w:eastAsia="Arial" w:hAnsi="Arial" w:cs="Arial"/>
      <w:noProof/>
      <w:lang w:eastAsia="de-DE"/>
      <w14:ligatures w14:val="none"/>
    </w:rPr>
  </w:style>
  <w:style w:type="paragraph" w:styleId="Tekstpodstawowywcity">
    <w:name w:val="Body Text Indent"/>
    <w:basedOn w:val="Normalny"/>
    <w:link w:val="TekstpodstawowywcityZnak"/>
    <w:rsid w:val="007C2E48"/>
    <w:pPr>
      <w:ind w:left="142" w:hanging="142"/>
    </w:pPr>
    <w:rPr>
      <w:noProof/>
    </w:rPr>
  </w:style>
  <w:style w:type="character" w:customStyle="1" w:styleId="TekstpodstawowywcityZnak">
    <w:name w:val="Tekst podstawowy wcięty Znak"/>
    <w:basedOn w:val="Domylnaczcionkaakapitu"/>
    <w:link w:val="Tekstpodstawowywcity"/>
    <w:rsid w:val="007C2E48"/>
    <w:rPr>
      <w:rFonts w:ascii="Arial" w:eastAsia="Arial" w:hAnsi="Arial" w:cs="Arial"/>
      <w:noProof/>
      <w:lang w:eastAsia="de-DE"/>
      <w14:ligatures w14:val="none"/>
    </w:rPr>
  </w:style>
  <w:style w:type="paragraph" w:styleId="Tekstpodstawowy3">
    <w:name w:val="Body Text 3"/>
    <w:basedOn w:val="Normalny"/>
    <w:link w:val="Tekstpodstawowy3Znak"/>
    <w:rsid w:val="007C2E48"/>
    <w:pPr>
      <w:spacing w:before="0" w:after="120"/>
    </w:pPr>
    <w:rPr>
      <w:rFonts w:ascii="Times New Roman" w:hAnsi="Times New Roman"/>
    </w:rPr>
  </w:style>
  <w:style w:type="character" w:customStyle="1" w:styleId="Tekstpodstawowy3Znak">
    <w:name w:val="Tekst podstawowy 3 Znak"/>
    <w:basedOn w:val="Domylnaczcionkaakapitu"/>
    <w:link w:val="Tekstpodstawowy3"/>
    <w:rsid w:val="007C2E48"/>
    <w:rPr>
      <w:rFonts w:ascii="Times New Roman" w:eastAsia="Arial" w:hAnsi="Times New Roman" w:cs="Arial"/>
      <w:lang w:eastAsia="de-DE"/>
      <w14:ligatures w14:val="none"/>
    </w:rPr>
  </w:style>
  <w:style w:type="character" w:styleId="Odwoanieprzypisukocowego">
    <w:name w:val="endnote reference"/>
    <w:uiPriority w:val="99"/>
    <w:semiHidden/>
    <w:rsid w:val="007C2E48"/>
    <w:rPr>
      <w:vertAlign w:val="superscript"/>
    </w:rPr>
  </w:style>
  <w:style w:type="paragraph" w:styleId="Tekstprzypisudolnego">
    <w:name w:val="footnote text"/>
    <w:basedOn w:val="Normalny"/>
    <w:link w:val="TekstprzypisudolnegoZnak"/>
    <w:uiPriority w:val="99"/>
    <w:semiHidden/>
    <w:rsid w:val="007C2E48"/>
    <w:pPr>
      <w:spacing w:before="0" w:after="0" w:line="240" w:lineRule="auto"/>
      <w:jc w:val="left"/>
    </w:pPr>
    <w:rPr>
      <w:rFonts w:ascii="Times New Roman" w:hAnsi="Times New Roman"/>
      <w:sz w:val="20"/>
      <w:szCs w:val="24"/>
      <w:lang w:val="nl-BE" w:eastAsia="nl-NL"/>
    </w:rPr>
  </w:style>
  <w:style w:type="character" w:customStyle="1" w:styleId="TekstprzypisudolnegoZnak">
    <w:name w:val="Tekst przypisu dolnego Znak"/>
    <w:basedOn w:val="Domylnaczcionkaakapitu"/>
    <w:link w:val="Tekstprzypisudolnego"/>
    <w:uiPriority w:val="99"/>
    <w:semiHidden/>
    <w:rsid w:val="007C2E48"/>
    <w:rPr>
      <w:rFonts w:ascii="Times New Roman" w:eastAsia="Arial" w:hAnsi="Times New Roman" w:cs="Arial"/>
      <w:sz w:val="20"/>
      <w:szCs w:val="24"/>
      <w:lang w:val="nl-BE" w:eastAsia="nl-NL"/>
      <w14:ligatures w14:val="none"/>
    </w:rPr>
  </w:style>
  <w:style w:type="paragraph" w:styleId="Tekstprzypisukocowego">
    <w:name w:val="endnote text"/>
    <w:basedOn w:val="Normalny"/>
    <w:link w:val="TekstprzypisukocowegoZnak"/>
    <w:uiPriority w:val="99"/>
    <w:semiHidden/>
    <w:rsid w:val="007C2E48"/>
    <w:pPr>
      <w:spacing w:before="0" w:after="0" w:line="240" w:lineRule="auto"/>
      <w:jc w:val="left"/>
    </w:pPr>
    <w:rPr>
      <w:rFonts w:ascii="Times New Roman" w:hAnsi="Times New Roman"/>
      <w:sz w:val="20"/>
      <w:szCs w:val="24"/>
      <w:lang w:eastAsia="nl-NL"/>
    </w:rPr>
  </w:style>
  <w:style w:type="character" w:customStyle="1" w:styleId="TekstprzypisukocowegoZnak">
    <w:name w:val="Tekst przypisu końcowego Znak"/>
    <w:basedOn w:val="Domylnaczcionkaakapitu"/>
    <w:link w:val="Tekstprzypisukocowego"/>
    <w:uiPriority w:val="99"/>
    <w:semiHidden/>
    <w:rsid w:val="007C2E48"/>
    <w:rPr>
      <w:rFonts w:ascii="Times New Roman" w:eastAsia="Arial" w:hAnsi="Times New Roman" w:cs="Arial"/>
      <w:sz w:val="20"/>
      <w:szCs w:val="24"/>
      <w:lang w:eastAsia="nl-NL"/>
      <w14:ligatures w14:val="none"/>
    </w:rPr>
  </w:style>
  <w:style w:type="paragraph" w:customStyle="1" w:styleId="ETHFliesstext">
    <w:name w:val="ETH_Fliesstext"/>
    <w:rsid w:val="007C2E48"/>
    <w:pPr>
      <w:spacing w:before="60" w:after="270" w:line="270" w:lineRule="exact"/>
      <w:jc w:val="both"/>
    </w:pPr>
    <w:rPr>
      <w:rFonts w:ascii="ETH Light" w:eastAsia="Arial" w:hAnsi="ETH Light" w:cs="Arial"/>
      <w:lang w:val="de-CH" w:eastAsia="de-DE"/>
      <w14:ligatures w14:val="none"/>
    </w:rPr>
  </w:style>
  <w:style w:type="character" w:styleId="Numerstrony">
    <w:name w:val="page number"/>
    <w:basedOn w:val="Domylnaczcionkaakapitu"/>
    <w:rsid w:val="007C2E48"/>
  </w:style>
  <w:style w:type="character" w:styleId="Uwydatnienie">
    <w:name w:val="Emphasis"/>
    <w:basedOn w:val="Domylnaczcionkaakapitu"/>
    <w:uiPriority w:val="20"/>
    <w:qFormat/>
    <w:rsid w:val="007C2E48"/>
    <w:rPr>
      <w:i/>
      <w:iCs/>
    </w:rPr>
  </w:style>
  <w:style w:type="character" w:customStyle="1" w:styleId="Nierozpoznanawzmianka1">
    <w:name w:val="Nierozpoznana wzmianka1"/>
    <w:basedOn w:val="Domylnaczcionkaakapitu"/>
    <w:uiPriority w:val="99"/>
    <w:semiHidden/>
    <w:unhideWhenUsed/>
    <w:rsid w:val="007C2E48"/>
    <w:rPr>
      <w:color w:val="605E5C"/>
      <w:shd w:val="clear" w:color="auto" w:fill="E1DFDD"/>
    </w:rPr>
  </w:style>
  <w:style w:type="character" w:styleId="Odwoaniedokomentarza">
    <w:name w:val="annotation reference"/>
    <w:basedOn w:val="Domylnaczcionkaakapitu"/>
    <w:uiPriority w:val="99"/>
    <w:semiHidden/>
    <w:unhideWhenUsed/>
    <w:rsid w:val="007C2E48"/>
    <w:rPr>
      <w:sz w:val="16"/>
      <w:szCs w:val="16"/>
    </w:rPr>
  </w:style>
  <w:style w:type="paragraph" w:styleId="Tekstkomentarza">
    <w:name w:val="annotation text"/>
    <w:basedOn w:val="Normalny"/>
    <w:link w:val="TekstkomentarzaZnak"/>
    <w:uiPriority w:val="99"/>
    <w:unhideWhenUsed/>
    <w:rsid w:val="007C2E48"/>
    <w:pPr>
      <w:spacing w:before="0" w:after="0" w:line="240" w:lineRule="auto"/>
      <w:ind w:firstLine="709"/>
      <w:contextualSpacing/>
    </w:pPr>
    <w:rPr>
      <w:rFonts w:ascii="Times New Roman" w:eastAsia="Calibri" w:hAnsi="Times New Roman" w:cs="Times New Roman"/>
      <w:sz w:val="20"/>
      <w:szCs w:val="20"/>
      <w:lang w:eastAsia="en-US"/>
    </w:rPr>
  </w:style>
  <w:style w:type="character" w:customStyle="1" w:styleId="TekstkomentarzaZnak">
    <w:name w:val="Tekst komentarza Znak"/>
    <w:basedOn w:val="Domylnaczcionkaakapitu"/>
    <w:link w:val="Tekstkomentarza"/>
    <w:uiPriority w:val="99"/>
    <w:rsid w:val="007C2E48"/>
    <w:rPr>
      <w:rFonts w:ascii="Times New Roman" w:eastAsia="Calibri" w:hAnsi="Times New Roman" w:cs="Times New Roman"/>
      <w:sz w:val="20"/>
      <w:szCs w:val="20"/>
      <w14:ligatures w14:val="none"/>
    </w:rPr>
  </w:style>
  <w:style w:type="table" w:customStyle="1" w:styleId="Tabelalisty41">
    <w:name w:val="Tabela listy 41"/>
    <w:basedOn w:val="Standardowy"/>
    <w:next w:val="Tabelalisty4"/>
    <w:uiPriority w:val="49"/>
    <w:rsid w:val="007C2E48"/>
    <w:pPr>
      <w:spacing w:after="0" w:line="240" w:lineRule="auto"/>
    </w:pPr>
    <w:rPr>
      <w:rFonts w:ascii="Calibri" w:eastAsia="Calibri" w:hAnsi="Calibri" w:cs="Times New Roman"/>
      <w:kern w:val="2"/>
      <w:lang w:val="pl-PL"/>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elalisty4">
    <w:name w:val="List Table 4"/>
    <w:basedOn w:val="Standardowy"/>
    <w:uiPriority w:val="49"/>
    <w:rsid w:val="007C2E48"/>
    <w:pPr>
      <w:spacing w:before="60" w:after="0" w:line="240" w:lineRule="auto"/>
      <w:jc w:val="both"/>
    </w:pPr>
    <w:rPr>
      <w:rFonts w:ascii="Arial" w:eastAsia="Arial" w:hAnsi="Arial" w:cs="Arial"/>
      <w:lang w:val="en-US"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listy42">
    <w:name w:val="Tabela listy 42"/>
    <w:basedOn w:val="Standardowy"/>
    <w:next w:val="Tabelalisty4"/>
    <w:uiPriority w:val="49"/>
    <w:rsid w:val="007C2E48"/>
    <w:pPr>
      <w:spacing w:after="0" w:line="240" w:lineRule="auto"/>
    </w:pPr>
    <w:rPr>
      <w:rFonts w:ascii="Calibri" w:eastAsia="Calibri" w:hAnsi="Calibri" w:cs="Times New Roman"/>
      <w:kern w:val="2"/>
      <w:lang w:val="pl-PL"/>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Bibliografia">
    <w:name w:val="Bibliography"/>
    <w:basedOn w:val="Normalny"/>
    <w:next w:val="Normalny"/>
    <w:uiPriority w:val="37"/>
    <w:unhideWhenUsed/>
    <w:rsid w:val="007C2E48"/>
    <w:pPr>
      <w:spacing w:after="240" w:line="240" w:lineRule="auto"/>
      <w:ind w:left="720" w:hanging="720"/>
    </w:pPr>
  </w:style>
  <w:style w:type="table" w:styleId="Tabelalisty1jasna">
    <w:name w:val="List Table 1 Light"/>
    <w:basedOn w:val="Standardowy"/>
    <w:uiPriority w:val="46"/>
    <w:rsid w:val="007C2E48"/>
    <w:pPr>
      <w:spacing w:after="0" w:line="240" w:lineRule="auto"/>
    </w:pPr>
    <w:rPr>
      <w:lang w:val="pl-PL"/>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Siatka">
    <w:name w:val="Table Grid"/>
    <w:basedOn w:val="Standardowy"/>
    <w:uiPriority w:val="39"/>
    <w:rsid w:val="007C2E48"/>
    <w:pPr>
      <w:spacing w:after="0" w:line="240" w:lineRule="auto"/>
    </w:pPr>
    <w:rPr>
      <w:kern w:val="2"/>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wstpniesformatowany">
    <w:name w:val="HTML Preformatted"/>
    <w:basedOn w:val="Normalny"/>
    <w:link w:val="HTML-wstpniesformatowanyZnak"/>
    <w:uiPriority w:val="99"/>
    <w:unhideWhenUsed/>
    <w:rsid w:val="007C2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urier New" w:eastAsia="Times New Roman" w:hAnsi="Courier New" w:cs="Courier New"/>
      <w:sz w:val="20"/>
      <w:szCs w:val="20"/>
      <w:lang w:val="pl-PL" w:eastAsia="pl-PL"/>
    </w:rPr>
  </w:style>
  <w:style w:type="character" w:customStyle="1" w:styleId="HTML-wstpniesformatowanyZnak">
    <w:name w:val="HTML - wstępnie sformatowany Znak"/>
    <w:basedOn w:val="Domylnaczcionkaakapitu"/>
    <w:link w:val="HTML-wstpniesformatowany"/>
    <w:uiPriority w:val="99"/>
    <w:rsid w:val="007C2E48"/>
    <w:rPr>
      <w:rFonts w:ascii="Courier New" w:eastAsia="Times New Roman" w:hAnsi="Courier New" w:cs="Courier New"/>
      <w:sz w:val="20"/>
      <w:szCs w:val="20"/>
      <w:lang w:val="pl-PL" w:eastAsia="pl-PL"/>
      <w14:ligatures w14:val="none"/>
    </w:rPr>
  </w:style>
  <w:style w:type="paragraph" w:styleId="Tematkomentarza">
    <w:name w:val="annotation subject"/>
    <w:basedOn w:val="Tekstkomentarza"/>
    <w:next w:val="Tekstkomentarza"/>
    <w:link w:val="TematkomentarzaZnak"/>
    <w:uiPriority w:val="99"/>
    <w:semiHidden/>
    <w:unhideWhenUsed/>
    <w:rsid w:val="007C2E48"/>
    <w:pPr>
      <w:spacing w:before="60" w:after="60"/>
      <w:ind w:firstLine="0"/>
      <w:contextualSpacing w:val="0"/>
    </w:pPr>
    <w:rPr>
      <w:rFonts w:ascii="Arial" w:eastAsia="Arial" w:hAnsi="Arial" w:cs="Arial"/>
      <w:b/>
      <w:bCs/>
      <w:lang w:val="de-DE" w:eastAsia="de-DE"/>
    </w:rPr>
  </w:style>
  <w:style w:type="character" w:customStyle="1" w:styleId="TematkomentarzaZnak">
    <w:name w:val="Temat komentarza Znak"/>
    <w:basedOn w:val="TekstkomentarzaZnak"/>
    <w:link w:val="Tematkomentarza"/>
    <w:uiPriority w:val="99"/>
    <w:semiHidden/>
    <w:rsid w:val="007C2E48"/>
    <w:rPr>
      <w:rFonts w:ascii="Arial" w:eastAsia="Arial" w:hAnsi="Arial" w:cs="Arial"/>
      <w:b/>
      <w:bCs/>
      <w:sz w:val="20"/>
      <w:szCs w:val="20"/>
      <w:lang w:val="de-DE" w:eastAsia="de-DE"/>
      <w14:ligatures w14:val="none"/>
    </w:rPr>
  </w:style>
  <w:style w:type="paragraph" w:customStyle="1" w:styleId="Default">
    <w:name w:val="Default"/>
    <w:rsid w:val="007C2E48"/>
    <w:pPr>
      <w:autoSpaceDE w:val="0"/>
      <w:autoSpaceDN w:val="0"/>
      <w:adjustRightInd w:val="0"/>
      <w:spacing w:after="0" w:line="240" w:lineRule="auto"/>
    </w:pPr>
    <w:rPr>
      <w:rFonts w:ascii="Calibri" w:eastAsia="Calibri" w:hAnsi="Calibri" w:cs="Calibri"/>
      <w:color w:val="000000"/>
      <w:sz w:val="24"/>
      <w:szCs w:val="24"/>
      <w:lang w:eastAsia="en-GB"/>
      <w14:ligatures w14:val="none"/>
    </w:rPr>
  </w:style>
  <w:style w:type="paragraph" w:styleId="Poprawka">
    <w:name w:val="Revision"/>
    <w:hidden/>
    <w:uiPriority w:val="99"/>
    <w:semiHidden/>
    <w:rsid w:val="007C2E48"/>
    <w:pPr>
      <w:spacing w:after="0" w:line="240" w:lineRule="auto"/>
    </w:pPr>
    <w:rPr>
      <w:rFonts w:ascii="Arial" w:eastAsia="Arial" w:hAnsi="Arial" w:cs="Arial"/>
      <w:lang w:val="de-DE" w:eastAsia="de-DE"/>
      <w14:ligatures w14:val="none"/>
    </w:rPr>
  </w:style>
  <w:style w:type="character" w:customStyle="1" w:styleId="cf01">
    <w:name w:val="cf01"/>
    <w:basedOn w:val="Domylnaczcionkaakapitu"/>
    <w:rsid w:val="007C2E48"/>
    <w:rPr>
      <w:rFonts w:ascii="Segoe UI" w:hAnsi="Segoe UI" w:cs="Segoe UI" w:hint="default"/>
      <w:sz w:val="18"/>
      <w:szCs w:val="18"/>
    </w:rPr>
  </w:style>
  <w:style w:type="paragraph" w:styleId="NormalnyWeb">
    <w:name w:val="Normal (Web)"/>
    <w:basedOn w:val="Normalny"/>
    <w:uiPriority w:val="99"/>
    <w:unhideWhenUsed/>
    <w:rsid w:val="007C2E48"/>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customStyle="1" w:styleId="il">
    <w:name w:val="il"/>
    <w:basedOn w:val="Domylnaczcionkaakapitu"/>
    <w:rsid w:val="007C2E48"/>
  </w:style>
  <w:style w:type="table" w:styleId="Tabelasiatki2">
    <w:name w:val="Grid Table 2"/>
    <w:basedOn w:val="Standardowy"/>
    <w:uiPriority w:val="47"/>
    <w:rsid w:val="007C2E48"/>
    <w:pPr>
      <w:spacing w:after="0" w:line="240" w:lineRule="auto"/>
    </w:pPr>
    <w:rPr>
      <w:lang w:val="pl-PL"/>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d1">
    <w:name w:val="med1"/>
    <w:basedOn w:val="Domylnaczcionkaakapitu"/>
    <w:rsid w:val="007C2E48"/>
  </w:style>
  <w:style w:type="table" w:styleId="Tabelasiatki1jasna">
    <w:name w:val="Grid Table 1 Light"/>
    <w:basedOn w:val="Standardowy"/>
    <w:uiPriority w:val="46"/>
    <w:rsid w:val="007C2E48"/>
    <w:pPr>
      <w:spacing w:after="0" w:line="240" w:lineRule="auto"/>
    </w:pPr>
    <w:rPr>
      <w:kern w:val="2"/>
      <w:lang w:val="pl-P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asiatki4">
    <w:name w:val="Grid Table 4"/>
    <w:basedOn w:val="Standardowy"/>
    <w:uiPriority w:val="49"/>
    <w:rsid w:val="007C2E48"/>
    <w:pPr>
      <w:spacing w:after="0" w:line="240" w:lineRule="auto"/>
    </w:pPr>
    <w:rPr>
      <w:kern w:val="2"/>
      <w:lang w:val="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Zwykatabela2">
    <w:name w:val="Plain Table 2"/>
    <w:basedOn w:val="Standardowy"/>
    <w:uiPriority w:val="42"/>
    <w:rsid w:val="007C2E48"/>
    <w:pPr>
      <w:spacing w:after="0" w:line="240" w:lineRule="auto"/>
    </w:pPr>
    <w:rPr>
      <w:kern w:val="2"/>
      <w:lang w:val="pl-P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gnd-iwgdh3b">
    <w:name w:val="gnd-iwgdh3b"/>
    <w:basedOn w:val="Domylnaczcionkaakapitu"/>
    <w:rsid w:val="007C2E48"/>
  </w:style>
  <w:style w:type="table" w:styleId="Tabelalisty3">
    <w:name w:val="List Table 3"/>
    <w:basedOn w:val="Standardowy"/>
    <w:uiPriority w:val="48"/>
    <w:rsid w:val="007C2E48"/>
    <w:pPr>
      <w:spacing w:after="0" w:line="240" w:lineRule="auto"/>
    </w:pPr>
    <w:rPr>
      <w:kern w:val="2"/>
      <w:lang w:val="pl-PL"/>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elasiatki6kolorowa">
    <w:name w:val="Grid Table 6 Colorful"/>
    <w:basedOn w:val="Standardowy"/>
    <w:uiPriority w:val="51"/>
    <w:rsid w:val="007C2E48"/>
    <w:pPr>
      <w:spacing w:after="0" w:line="240" w:lineRule="auto"/>
    </w:pPr>
    <w:rPr>
      <w:color w:val="000000" w:themeColor="text1"/>
      <w:kern w:val="2"/>
      <w:lang w:val="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ykmvie">
    <w:name w:val="ykmvie"/>
    <w:basedOn w:val="Domylnaczcionkaakapitu"/>
    <w:rsid w:val="007C2E48"/>
  </w:style>
  <w:style w:type="table" w:styleId="Tabelalisty2">
    <w:name w:val="List Table 2"/>
    <w:basedOn w:val="Standardowy"/>
    <w:uiPriority w:val="47"/>
    <w:rsid w:val="007C2E48"/>
    <w:pPr>
      <w:spacing w:after="0" w:line="240" w:lineRule="auto"/>
    </w:pPr>
    <w:rPr>
      <w:kern w:val="2"/>
      <w:lang w:val="pl-PL"/>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Nierozpoznanawzmianka">
    <w:name w:val="Unresolved Mention"/>
    <w:basedOn w:val="Domylnaczcionkaakapitu"/>
    <w:uiPriority w:val="99"/>
    <w:semiHidden/>
    <w:unhideWhenUsed/>
    <w:rsid w:val="007C2E48"/>
    <w:rPr>
      <w:color w:val="605E5C"/>
      <w:shd w:val="clear" w:color="auto" w:fill="E1DFDD"/>
    </w:rPr>
  </w:style>
  <w:style w:type="numbering" w:customStyle="1" w:styleId="Bezlisty1">
    <w:name w:val="Bez listy1"/>
    <w:next w:val="Bezlisty"/>
    <w:uiPriority w:val="99"/>
    <w:semiHidden/>
    <w:unhideWhenUsed/>
    <w:rsid w:val="007C2E48"/>
  </w:style>
  <w:style w:type="table" w:customStyle="1" w:styleId="Tabelalisty43">
    <w:name w:val="Tabela listy 43"/>
    <w:basedOn w:val="Standardowy"/>
    <w:next w:val="Tabelalisty4"/>
    <w:uiPriority w:val="49"/>
    <w:rsid w:val="007C2E48"/>
    <w:pPr>
      <w:spacing w:after="0" w:line="240" w:lineRule="auto"/>
    </w:pPr>
    <w:rPr>
      <w:rFonts w:ascii="Calibri" w:eastAsia="Calibri" w:hAnsi="Calibri" w:cs="Times New Roman"/>
      <w:kern w:val="2"/>
      <w:lang w:val="pl-PL"/>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7910/DVN/YMUVN2"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18</Pages>
  <Words>7986</Words>
  <Characters>45524</Characters>
  <Application>Microsoft Office Word</Application>
  <DocSecurity>0</DocSecurity>
  <Lines>379</Lines>
  <Paragraphs>106</Paragraphs>
  <ScaleCrop>false</ScaleCrop>
  <Company/>
  <LinksUpToDate>false</LinksUpToDate>
  <CharactersWithSpaces>53404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Gędek</dc:creator>
  <cp:keywords/>
  <dc:description/>
  <cp:lastModifiedBy>Wojciech Gędek</cp:lastModifiedBy>
  <cp:revision>61</cp:revision>
  <dcterms:created xsi:type="dcterms:W3CDTF">2026-01-22T19:04:00Z</dcterms:created>
  <dcterms:modified xsi:type="dcterms:W3CDTF">2026-03-02T08:15:00Z</dcterms:modified>
</cp:coreProperties>
</file>