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AB97" w14:textId="77777777" w:rsidR="00E97E7E" w:rsidRPr="001072D0" w:rsidRDefault="00E97E7E" w:rsidP="00967341">
      <w:pPr>
        <w:ind w:left="720" w:hanging="720"/>
        <w:rPr>
          <w:rFonts w:ascii="Calibri" w:hAnsi="Calibri" w:cs="Calibri"/>
          <w:lang w:val="en-GB"/>
        </w:rPr>
      </w:pPr>
    </w:p>
    <w:p w14:paraId="16198E84" w14:textId="77777777" w:rsidR="00E97E7E" w:rsidRPr="001072D0" w:rsidRDefault="00E97E7E" w:rsidP="00967341">
      <w:pPr>
        <w:ind w:left="720" w:hanging="720"/>
        <w:rPr>
          <w:rFonts w:ascii="Calibri" w:hAnsi="Calibri" w:cs="Calibri"/>
          <w:lang w:val="en-GB"/>
        </w:rPr>
      </w:pPr>
    </w:p>
    <w:p w14:paraId="73E9E56C" w14:textId="77777777" w:rsidR="00E97E7E" w:rsidRPr="001072D0" w:rsidRDefault="00E97E7E" w:rsidP="00967341">
      <w:pPr>
        <w:ind w:left="720" w:hanging="720"/>
        <w:rPr>
          <w:rFonts w:ascii="Calibri" w:hAnsi="Calibri" w:cs="Calibri"/>
          <w:lang w:val="en-GB"/>
        </w:rPr>
      </w:pPr>
    </w:p>
    <w:p w14:paraId="51C9E414" w14:textId="77777777" w:rsidR="00E97E7E" w:rsidRPr="001072D0" w:rsidRDefault="00E97E7E" w:rsidP="00967341">
      <w:pPr>
        <w:ind w:left="720" w:hanging="720"/>
        <w:rPr>
          <w:rFonts w:ascii="Calibri" w:hAnsi="Calibri" w:cs="Calibri"/>
          <w:lang w:val="en-GB"/>
        </w:rPr>
      </w:pPr>
    </w:p>
    <w:p w14:paraId="1DDFF6B2" w14:textId="77777777" w:rsidR="00E97E7E" w:rsidRPr="001072D0" w:rsidRDefault="00E97E7E" w:rsidP="00967341">
      <w:pPr>
        <w:ind w:left="720" w:hanging="720"/>
        <w:rPr>
          <w:rFonts w:ascii="Calibri" w:hAnsi="Calibri" w:cs="Calibri"/>
          <w:lang w:val="en-GB"/>
        </w:rPr>
      </w:pPr>
    </w:p>
    <w:p w14:paraId="2BFE8FBF" w14:textId="77777777" w:rsidR="00E97E7E" w:rsidRPr="001072D0" w:rsidRDefault="00E97E7E" w:rsidP="00967341">
      <w:pPr>
        <w:ind w:left="720" w:hanging="720"/>
        <w:rPr>
          <w:rFonts w:ascii="Calibri" w:hAnsi="Calibri" w:cs="Calibri"/>
          <w:lang w:val="en-GB"/>
        </w:rPr>
      </w:pPr>
    </w:p>
    <w:p w14:paraId="29820643" w14:textId="77777777" w:rsidR="00E97E7E" w:rsidRPr="001072D0" w:rsidRDefault="00E97E7E" w:rsidP="00967341">
      <w:pPr>
        <w:ind w:left="720" w:hanging="720"/>
        <w:rPr>
          <w:rFonts w:ascii="Calibri" w:hAnsi="Calibri" w:cs="Calibri"/>
          <w:lang w:val="en-GB"/>
        </w:rPr>
      </w:pPr>
    </w:p>
    <w:p w14:paraId="628B7C63" w14:textId="77777777" w:rsidR="00E97E7E" w:rsidRPr="001072D0" w:rsidRDefault="00E97E7E" w:rsidP="00967341">
      <w:pPr>
        <w:ind w:left="720" w:hanging="720"/>
        <w:rPr>
          <w:rFonts w:ascii="Calibri" w:hAnsi="Calibri" w:cs="Calibri"/>
          <w:lang w:val="en-GB"/>
        </w:rPr>
      </w:pPr>
    </w:p>
    <w:p w14:paraId="730D286A" w14:textId="77777777" w:rsidR="00E97E7E" w:rsidRPr="001072D0" w:rsidRDefault="00E97E7E" w:rsidP="00E97E7E">
      <w:pPr>
        <w:rPr>
          <w:rFonts w:ascii="Calibri" w:hAnsi="Calibri" w:cs="Calibri"/>
          <w:lang w:val="en-GB"/>
        </w:rPr>
      </w:pPr>
    </w:p>
    <w:p w14:paraId="4A4918DE" w14:textId="77777777" w:rsidR="00E97E7E" w:rsidRPr="001072D0" w:rsidRDefault="00E97E7E" w:rsidP="00E97E7E">
      <w:pPr>
        <w:rPr>
          <w:rFonts w:ascii="Calibri" w:hAnsi="Calibri" w:cs="Calibri"/>
          <w:lang w:val="en-GB"/>
        </w:rPr>
      </w:pPr>
    </w:p>
    <w:p w14:paraId="03A45FC7" w14:textId="77777777" w:rsidR="00E97E7E" w:rsidRPr="001072D0" w:rsidRDefault="00E97E7E" w:rsidP="00E97E7E">
      <w:pPr>
        <w:rPr>
          <w:rFonts w:ascii="Calibri" w:hAnsi="Calibri" w:cs="Calibri"/>
          <w:lang w:val="en-GB"/>
        </w:rPr>
      </w:pPr>
    </w:p>
    <w:p w14:paraId="1D9C4D14" w14:textId="77777777" w:rsidR="00E97E7E" w:rsidRPr="001072D0" w:rsidRDefault="00E97E7E" w:rsidP="00967341">
      <w:pPr>
        <w:ind w:left="720" w:hanging="720"/>
        <w:rPr>
          <w:rFonts w:ascii="Calibri" w:hAnsi="Calibri" w:cs="Calibri"/>
          <w:lang w:val="en-GB"/>
        </w:rPr>
      </w:pPr>
    </w:p>
    <w:p w14:paraId="18FCBEF5" w14:textId="34C6A31A" w:rsidR="00E97E7E" w:rsidRPr="001072D0" w:rsidRDefault="00E97E7E" w:rsidP="00E97E7E">
      <w:pPr>
        <w:spacing w:line="260" w:lineRule="exact"/>
        <w:jc w:val="center"/>
        <w:rPr>
          <w:rFonts w:ascii="Calibri" w:hAnsi="Calibri" w:cs="Calibri"/>
          <w:b/>
        </w:rPr>
      </w:pPr>
      <w:r w:rsidRPr="001072D0">
        <w:rPr>
          <w:rFonts w:ascii="Calibri" w:hAnsi="Calibri" w:cs="Calibri"/>
          <w:b/>
        </w:rPr>
        <w:t>Online Appendix B</w:t>
      </w:r>
    </w:p>
    <w:p w14:paraId="5FEDDAC0" w14:textId="77777777" w:rsidR="00E97E7E" w:rsidRPr="001072D0" w:rsidRDefault="00E97E7E" w:rsidP="00967341">
      <w:pPr>
        <w:ind w:left="720" w:hanging="720"/>
        <w:rPr>
          <w:rFonts w:ascii="Calibri" w:hAnsi="Calibri" w:cs="Calibri"/>
          <w:lang w:val="en-GB"/>
        </w:rPr>
      </w:pPr>
    </w:p>
    <w:p w14:paraId="3885BFEB" w14:textId="77777777" w:rsidR="00E97E7E" w:rsidRPr="001072D0" w:rsidRDefault="00E97E7E" w:rsidP="00967341">
      <w:pPr>
        <w:ind w:left="720" w:hanging="720"/>
        <w:rPr>
          <w:rFonts w:ascii="Calibri" w:hAnsi="Calibri" w:cs="Calibri"/>
          <w:lang w:val="en-GB"/>
        </w:rPr>
      </w:pPr>
    </w:p>
    <w:p w14:paraId="3A205AF1" w14:textId="77777777" w:rsidR="00E97E7E" w:rsidRPr="001072D0" w:rsidRDefault="00E97E7E" w:rsidP="00967341">
      <w:pPr>
        <w:ind w:left="720" w:hanging="720"/>
        <w:rPr>
          <w:rFonts w:ascii="Calibri" w:hAnsi="Calibri" w:cs="Calibri"/>
          <w:lang w:val="en-GB"/>
        </w:rPr>
      </w:pPr>
    </w:p>
    <w:p w14:paraId="6BE3F8F2" w14:textId="77777777" w:rsidR="00E97E7E" w:rsidRPr="001072D0" w:rsidRDefault="00E97E7E" w:rsidP="00967341">
      <w:pPr>
        <w:ind w:left="720" w:hanging="720"/>
        <w:rPr>
          <w:rFonts w:ascii="Calibri" w:hAnsi="Calibri" w:cs="Calibri"/>
          <w:lang w:val="en-GB"/>
        </w:rPr>
      </w:pPr>
    </w:p>
    <w:p w14:paraId="57BD414D" w14:textId="77777777" w:rsidR="00E97E7E" w:rsidRPr="001072D0" w:rsidRDefault="00E97E7E" w:rsidP="00967341">
      <w:pPr>
        <w:ind w:left="720" w:hanging="720"/>
        <w:rPr>
          <w:rFonts w:ascii="Calibri" w:hAnsi="Calibri" w:cs="Calibri"/>
          <w:lang w:val="en-GB"/>
        </w:rPr>
      </w:pPr>
    </w:p>
    <w:p w14:paraId="2D859AC7" w14:textId="77777777" w:rsidR="00E97E7E" w:rsidRPr="001072D0" w:rsidRDefault="00E97E7E" w:rsidP="00967341">
      <w:pPr>
        <w:ind w:left="720" w:hanging="720"/>
        <w:rPr>
          <w:rFonts w:ascii="Calibri" w:hAnsi="Calibri" w:cs="Calibri"/>
          <w:lang w:val="en-GB"/>
        </w:rPr>
      </w:pPr>
    </w:p>
    <w:p w14:paraId="1564B385" w14:textId="77777777" w:rsidR="00E97E7E" w:rsidRPr="001072D0" w:rsidRDefault="00E97E7E" w:rsidP="00967341">
      <w:pPr>
        <w:ind w:left="720" w:hanging="720"/>
        <w:rPr>
          <w:rFonts w:ascii="Calibri" w:hAnsi="Calibri" w:cs="Calibri"/>
          <w:lang w:val="en-GB"/>
        </w:rPr>
      </w:pPr>
    </w:p>
    <w:p w14:paraId="7E824CA8" w14:textId="77777777" w:rsidR="00E97E7E" w:rsidRPr="001072D0" w:rsidRDefault="00E97E7E" w:rsidP="00967341">
      <w:pPr>
        <w:ind w:left="720" w:hanging="720"/>
        <w:rPr>
          <w:rFonts w:ascii="Calibri" w:hAnsi="Calibri" w:cs="Calibri"/>
          <w:lang w:val="en-GB"/>
        </w:rPr>
      </w:pPr>
    </w:p>
    <w:p w14:paraId="5D119449" w14:textId="77777777" w:rsidR="00E97E7E" w:rsidRPr="001072D0" w:rsidRDefault="00E97E7E" w:rsidP="00967341">
      <w:pPr>
        <w:ind w:left="720" w:hanging="720"/>
        <w:rPr>
          <w:rFonts w:ascii="Calibri" w:hAnsi="Calibri" w:cs="Calibri"/>
          <w:lang w:val="en-GB"/>
        </w:rPr>
      </w:pPr>
    </w:p>
    <w:p w14:paraId="738A1411" w14:textId="77777777" w:rsidR="00E97E7E" w:rsidRPr="001072D0" w:rsidRDefault="00E97E7E" w:rsidP="00967341">
      <w:pPr>
        <w:ind w:left="720" w:hanging="720"/>
        <w:rPr>
          <w:rFonts w:ascii="Calibri" w:hAnsi="Calibri" w:cs="Calibri"/>
          <w:lang w:val="en-GB"/>
        </w:rPr>
      </w:pPr>
    </w:p>
    <w:p w14:paraId="4F9AAEBC" w14:textId="77777777" w:rsidR="00E97E7E" w:rsidRPr="001072D0" w:rsidRDefault="00E97E7E" w:rsidP="00967341">
      <w:pPr>
        <w:ind w:left="720" w:hanging="720"/>
        <w:rPr>
          <w:rFonts w:ascii="Calibri" w:hAnsi="Calibri" w:cs="Calibri"/>
          <w:lang w:val="en-GB"/>
        </w:rPr>
      </w:pPr>
    </w:p>
    <w:p w14:paraId="134D4D55" w14:textId="77777777" w:rsidR="00E97E7E" w:rsidRPr="001072D0" w:rsidRDefault="00E97E7E" w:rsidP="00967341">
      <w:pPr>
        <w:ind w:left="720" w:hanging="720"/>
        <w:rPr>
          <w:rFonts w:ascii="Calibri" w:hAnsi="Calibri" w:cs="Calibri"/>
          <w:lang w:val="en-GB"/>
        </w:rPr>
      </w:pPr>
    </w:p>
    <w:p w14:paraId="66DE9597" w14:textId="77777777" w:rsidR="00E97E7E" w:rsidRPr="001072D0" w:rsidRDefault="00E97E7E" w:rsidP="00967341">
      <w:pPr>
        <w:ind w:left="720" w:hanging="720"/>
        <w:rPr>
          <w:rFonts w:ascii="Calibri" w:hAnsi="Calibri" w:cs="Calibri"/>
          <w:lang w:val="en-GB"/>
        </w:rPr>
      </w:pPr>
    </w:p>
    <w:p w14:paraId="021568DF" w14:textId="77777777" w:rsidR="00E97E7E" w:rsidRPr="001072D0" w:rsidRDefault="00E97E7E" w:rsidP="00967341">
      <w:pPr>
        <w:ind w:left="720" w:hanging="720"/>
        <w:rPr>
          <w:rFonts w:ascii="Calibri" w:hAnsi="Calibri" w:cs="Calibri"/>
          <w:lang w:val="en-GB"/>
        </w:rPr>
      </w:pPr>
    </w:p>
    <w:p w14:paraId="5A2AAF42" w14:textId="77777777" w:rsidR="00E97E7E" w:rsidRPr="001072D0" w:rsidRDefault="00E97E7E" w:rsidP="00967341">
      <w:pPr>
        <w:ind w:left="720" w:hanging="720"/>
        <w:rPr>
          <w:rFonts w:ascii="Calibri" w:hAnsi="Calibri" w:cs="Calibri"/>
          <w:lang w:val="en-GB"/>
        </w:rPr>
      </w:pPr>
    </w:p>
    <w:p w14:paraId="342FA0B2" w14:textId="77777777" w:rsidR="00E97E7E" w:rsidRPr="001072D0" w:rsidRDefault="00E97E7E" w:rsidP="00967341">
      <w:pPr>
        <w:ind w:left="720" w:hanging="720"/>
        <w:rPr>
          <w:rFonts w:ascii="Calibri" w:hAnsi="Calibri" w:cs="Calibri"/>
          <w:lang w:val="en-GB"/>
        </w:rPr>
      </w:pPr>
    </w:p>
    <w:p w14:paraId="586E99D6" w14:textId="77777777" w:rsidR="00E97E7E" w:rsidRPr="001072D0" w:rsidRDefault="00E97E7E" w:rsidP="00967341">
      <w:pPr>
        <w:ind w:left="720" w:hanging="720"/>
        <w:rPr>
          <w:rFonts w:ascii="Calibri" w:hAnsi="Calibri" w:cs="Calibri"/>
          <w:lang w:val="en-GB"/>
        </w:rPr>
      </w:pPr>
    </w:p>
    <w:p w14:paraId="41BB5C03" w14:textId="028E236A" w:rsidR="008C6358" w:rsidRPr="001072D0" w:rsidRDefault="00F5580D" w:rsidP="00E97E7E">
      <w:pPr>
        <w:rPr>
          <w:rFonts w:ascii="Calibri" w:hAnsi="Calibri" w:cs="Calibri"/>
          <w:lang w:val="en-GB"/>
        </w:rPr>
      </w:pPr>
      <w:r w:rsidRPr="001072D0">
        <w:rPr>
          <w:rFonts w:ascii="Calibri" w:hAnsi="Calibri" w:cs="Calibri"/>
          <w:lang w:val="en-GB"/>
        </w:rPr>
        <w:lastRenderedPageBreak/>
        <w:t xml:space="preserve">Table </w:t>
      </w:r>
      <w:r w:rsidR="00E51408" w:rsidRPr="001072D0">
        <w:rPr>
          <w:rFonts w:ascii="Calibri" w:hAnsi="Calibri" w:cs="Calibri"/>
          <w:lang w:val="en-GB"/>
        </w:rPr>
        <w:t>B1</w:t>
      </w:r>
      <w:r w:rsidR="00967341" w:rsidRPr="001072D0">
        <w:rPr>
          <w:rFonts w:ascii="Calibri" w:hAnsi="Calibri" w:cs="Calibri"/>
          <w:lang w:val="en-GB"/>
        </w:rPr>
        <w:t>.</w:t>
      </w:r>
      <w:r w:rsidRPr="001072D0">
        <w:rPr>
          <w:rFonts w:ascii="Calibri" w:hAnsi="Calibri" w:cs="Calibri"/>
          <w:lang w:val="en-GB"/>
        </w:rPr>
        <w:t xml:space="preserve"> </w:t>
      </w:r>
      <w:r w:rsidR="00E51408" w:rsidRPr="001072D0">
        <w:rPr>
          <w:rFonts w:ascii="Calibri" w:hAnsi="Calibri" w:cs="Calibri"/>
          <w:lang w:val="en-GB"/>
        </w:rPr>
        <w:t>Content</w:t>
      </w:r>
      <w:r w:rsidRPr="001072D0">
        <w:rPr>
          <w:rFonts w:ascii="Calibri" w:hAnsi="Calibri" w:cs="Calibri"/>
          <w:lang w:val="en-GB"/>
        </w:rPr>
        <w:t xml:space="preserve"> analysis of Portuguese National Reform Programmes (2005-2019)</w:t>
      </w:r>
      <w:r w:rsidR="00967341" w:rsidRPr="001072D0">
        <w:rPr>
          <w:rFonts w:ascii="Calibri" w:hAnsi="Calibri" w:cs="Calibri"/>
          <w:lang w:val="en-GB"/>
        </w:rPr>
        <w:t>. Detailed version.</w:t>
      </w:r>
    </w:p>
    <w:tbl>
      <w:tblPr>
        <w:tblStyle w:val="TableGrid"/>
        <w:tblW w:w="13967" w:type="dxa"/>
        <w:tblLook w:val="04A0" w:firstRow="1" w:lastRow="0" w:firstColumn="1" w:lastColumn="0" w:noHBand="0" w:noVBand="1"/>
      </w:tblPr>
      <w:tblGrid>
        <w:gridCol w:w="1047"/>
        <w:gridCol w:w="3370"/>
        <w:gridCol w:w="5011"/>
        <w:gridCol w:w="4539"/>
      </w:tblGrid>
      <w:tr w:rsidR="00AB0D05" w:rsidRPr="001072D0" w14:paraId="1A2B1AFB" w14:textId="77777777" w:rsidTr="0008724B">
        <w:trPr>
          <w:trHeight w:val="1020"/>
        </w:trPr>
        <w:tc>
          <w:tcPr>
            <w:tcW w:w="846" w:type="dxa"/>
          </w:tcPr>
          <w:p w14:paraId="6F0A0DA0" w14:textId="2365C12E" w:rsidR="00211956" w:rsidRPr="001072D0" w:rsidRDefault="00E51408">
            <w:pPr>
              <w:rPr>
                <w:rFonts w:ascii="Calibri" w:hAnsi="Calibri" w:cs="Calibri"/>
                <w:b/>
                <w:bCs/>
                <w:sz w:val="20"/>
                <w:szCs w:val="20"/>
                <w:lang w:val="en-GB"/>
              </w:rPr>
            </w:pPr>
            <w:r w:rsidRPr="001072D0">
              <w:rPr>
                <w:rFonts w:ascii="Calibri" w:hAnsi="Calibri" w:cs="Calibri"/>
                <w:b/>
                <w:bCs/>
                <w:sz w:val="20"/>
                <w:szCs w:val="20"/>
                <w:lang w:val="en-GB"/>
              </w:rPr>
              <w:t>Reference period</w:t>
            </w:r>
          </w:p>
        </w:tc>
        <w:tc>
          <w:tcPr>
            <w:tcW w:w="3402" w:type="dxa"/>
          </w:tcPr>
          <w:p w14:paraId="6FB9A264" w14:textId="0B3F704E" w:rsidR="00211956" w:rsidRPr="001072D0" w:rsidRDefault="00E51408">
            <w:pPr>
              <w:rPr>
                <w:rFonts w:ascii="Calibri" w:hAnsi="Calibri" w:cs="Calibri"/>
                <w:b/>
                <w:bCs/>
                <w:sz w:val="20"/>
                <w:szCs w:val="20"/>
                <w:lang w:val="en-GB"/>
              </w:rPr>
            </w:pPr>
            <w:r w:rsidRPr="001072D0">
              <w:rPr>
                <w:rFonts w:ascii="Calibri" w:hAnsi="Calibri" w:cs="Calibri"/>
                <w:b/>
                <w:bCs/>
                <w:color w:val="000000"/>
                <w:sz w:val="20"/>
                <w:szCs w:val="20"/>
                <w:lang w:val="en-PT"/>
              </w:rPr>
              <w:t>Emphasis on Internships</w:t>
            </w:r>
          </w:p>
        </w:tc>
        <w:tc>
          <w:tcPr>
            <w:tcW w:w="5103" w:type="dxa"/>
          </w:tcPr>
          <w:p w14:paraId="3F97CC7E" w14:textId="6A5D590B" w:rsidR="00211956" w:rsidRPr="001072D0" w:rsidRDefault="00E51408">
            <w:pPr>
              <w:rPr>
                <w:rFonts w:ascii="Calibri" w:hAnsi="Calibri" w:cs="Calibri"/>
                <w:b/>
                <w:bCs/>
                <w:sz w:val="20"/>
                <w:szCs w:val="20"/>
                <w:lang w:val="en-GB"/>
              </w:rPr>
            </w:pPr>
            <w:r w:rsidRPr="001072D0">
              <w:rPr>
                <w:rFonts w:ascii="Calibri" w:hAnsi="Calibri" w:cs="Calibri"/>
                <w:b/>
                <w:bCs/>
                <w:color w:val="000000"/>
                <w:sz w:val="20"/>
                <w:szCs w:val="20"/>
                <w:lang w:val="en-PT"/>
              </w:rPr>
              <w:t>Linkage between Graduate Internships and Innovation/Education</w:t>
            </w:r>
          </w:p>
        </w:tc>
        <w:tc>
          <w:tcPr>
            <w:tcW w:w="4616" w:type="dxa"/>
          </w:tcPr>
          <w:p w14:paraId="3D8CC27C" w14:textId="522A6C07" w:rsidR="00211956" w:rsidRPr="001072D0" w:rsidRDefault="00E51408">
            <w:pPr>
              <w:rPr>
                <w:rFonts w:ascii="Calibri" w:hAnsi="Calibri" w:cs="Calibri"/>
                <w:b/>
                <w:bCs/>
                <w:sz w:val="20"/>
                <w:szCs w:val="20"/>
                <w:lang w:val="en-GB"/>
              </w:rPr>
            </w:pPr>
            <w:r w:rsidRPr="001072D0">
              <w:rPr>
                <w:rFonts w:ascii="Calibri" w:hAnsi="Calibri" w:cs="Calibri"/>
                <w:b/>
                <w:bCs/>
                <w:color w:val="000000"/>
                <w:sz w:val="20"/>
                <w:szCs w:val="20"/>
                <w:lang w:val="en-PT"/>
              </w:rPr>
              <w:t>Priority Given to Innovation and Education</w:t>
            </w:r>
          </w:p>
        </w:tc>
      </w:tr>
      <w:tr w:rsidR="00AB0D05" w:rsidRPr="001072D0" w14:paraId="5592A979" w14:textId="77777777" w:rsidTr="009D5148">
        <w:trPr>
          <w:trHeight w:val="2438"/>
        </w:trPr>
        <w:tc>
          <w:tcPr>
            <w:tcW w:w="846" w:type="dxa"/>
          </w:tcPr>
          <w:p w14:paraId="5758FFAB" w14:textId="3DC717AB"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2005-2008</w:t>
            </w:r>
          </w:p>
        </w:tc>
        <w:tc>
          <w:tcPr>
            <w:tcW w:w="3402" w:type="dxa"/>
          </w:tcPr>
          <w:p w14:paraId="5F061556" w14:textId="77777777" w:rsidR="008F65AE" w:rsidRPr="001072D0" w:rsidRDefault="008F65AE" w:rsidP="008F65AE">
            <w:pPr>
              <w:rPr>
                <w:rFonts w:ascii="Calibri" w:hAnsi="Calibri" w:cs="Calibri"/>
                <w:sz w:val="20"/>
                <w:szCs w:val="20"/>
                <w:lang w:val="en-PT"/>
              </w:rPr>
            </w:pPr>
            <w:r w:rsidRPr="001072D0">
              <w:rPr>
                <w:rFonts w:ascii="Calibri" w:hAnsi="Calibri" w:cs="Calibri"/>
                <w:b/>
                <w:bCs/>
                <w:sz w:val="20"/>
                <w:szCs w:val="20"/>
                <w:lang w:val="en-PT"/>
              </w:rPr>
              <w:t xml:space="preserve">Yes. </w:t>
            </w:r>
            <w:r w:rsidRPr="001072D0">
              <w:rPr>
                <w:rFonts w:ascii="Calibri" w:hAnsi="Calibri" w:cs="Calibri"/>
                <w:sz w:val="20"/>
                <w:szCs w:val="20"/>
                <w:lang w:val="en-PT"/>
              </w:rPr>
              <w:t>Internships are presented as a key initiative for improving competitiveness and entrepreneurship, accompanied by ambitious targets. For instance, the aim was to include 25 000 qualified young individuals in internships each year by 2009 (p. 37).</w:t>
            </w:r>
          </w:p>
          <w:p w14:paraId="0C553072" w14:textId="52D191D2" w:rsidR="00211956" w:rsidRPr="001072D0" w:rsidRDefault="00211956" w:rsidP="00446759">
            <w:pPr>
              <w:rPr>
                <w:rFonts w:ascii="Calibri" w:hAnsi="Calibri" w:cs="Calibri"/>
                <w:sz w:val="20"/>
                <w:szCs w:val="20"/>
                <w:lang w:val="en-GB"/>
              </w:rPr>
            </w:pPr>
          </w:p>
        </w:tc>
        <w:tc>
          <w:tcPr>
            <w:tcW w:w="5103" w:type="dxa"/>
          </w:tcPr>
          <w:p w14:paraId="6F7BA0BA" w14:textId="77777777" w:rsidR="008F65AE" w:rsidRPr="001072D0" w:rsidRDefault="008F65AE" w:rsidP="008F65AE">
            <w:pPr>
              <w:rPr>
                <w:rFonts w:ascii="Calibri" w:hAnsi="Calibri" w:cs="Calibri"/>
                <w:sz w:val="20"/>
                <w:szCs w:val="20"/>
                <w:lang w:val="en-PT"/>
              </w:rPr>
            </w:pPr>
            <w:r w:rsidRPr="001072D0">
              <w:rPr>
                <w:rFonts w:ascii="Calibri" w:hAnsi="Calibri" w:cs="Calibri"/>
                <w:b/>
                <w:bCs/>
                <w:sz w:val="20"/>
                <w:szCs w:val="20"/>
                <w:lang w:val="en-PT"/>
              </w:rPr>
              <w:t>Yes.</w:t>
            </w:r>
            <w:r w:rsidRPr="001072D0">
              <w:rPr>
                <w:rFonts w:ascii="Calibri" w:hAnsi="Calibri" w:cs="Calibri"/>
                <w:sz w:val="20"/>
                <w:szCs w:val="20"/>
                <w:lang w:val="en-PT"/>
              </w:rPr>
              <w:t xml:space="preserve"> INOVJOVEM is a programme specifically designed to place qualified young people in strategically important innovation areas within small and medium-sized enterprises, thereby strengthening the nexus between education and industry. For example, the document states:</w:t>
            </w:r>
          </w:p>
          <w:p w14:paraId="74D1ED30" w14:textId="16223FD2" w:rsidR="008F65AE" w:rsidRPr="001072D0" w:rsidRDefault="008F65AE" w:rsidP="00215DB2">
            <w:pPr>
              <w:pStyle w:val="ListParagraph"/>
              <w:numPr>
                <w:ilvl w:val="0"/>
                <w:numId w:val="20"/>
              </w:numPr>
              <w:rPr>
                <w:rFonts w:ascii="Calibri" w:hAnsi="Calibri" w:cs="Calibri"/>
                <w:i/>
                <w:iCs/>
                <w:sz w:val="20"/>
                <w:szCs w:val="20"/>
                <w:lang w:val="en-PT"/>
              </w:rPr>
            </w:pPr>
            <w:r w:rsidRPr="001072D0">
              <w:rPr>
                <w:rFonts w:ascii="Calibri" w:hAnsi="Calibri" w:cs="Calibri"/>
                <w:i/>
                <w:iCs/>
                <w:sz w:val="20"/>
                <w:szCs w:val="20"/>
                <w:lang w:val="en-PT"/>
              </w:rPr>
              <w:t>“INOVJOVEM aims to stimulate innovative processes and business development processes with job creation for young people through internships in companies. It also aims to facilitate the placement of young managers in strategic areas for the competitive development of SMEs” (p. 18).</w:t>
            </w:r>
          </w:p>
          <w:p w14:paraId="3B30396A" w14:textId="3003684C" w:rsidR="00211956" w:rsidRPr="001072D0" w:rsidRDefault="00211956" w:rsidP="00FD38C0">
            <w:pPr>
              <w:rPr>
                <w:rFonts w:ascii="Calibri" w:hAnsi="Calibri" w:cs="Calibri"/>
                <w:sz w:val="20"/>
                <w:szCs w:val="20"/>
                <w:lang w:val="en-GB"/>
              </w:rPr>
            </w:pPr>
          </w:p>
        </w:tc>
        <w:tc>
          <w:tcPr>
            <w:tcW w:w="4616" w:type="dxa"/>
          </w:tcPr>
          <w:p w14:paraId="02DC6BBA" w14:textId="77777777" w:rsidR="00215DB2" w:rsidRPr="001072D0" w:rsidRDefault="008F65AE" w:rsidP="008F65AE">
            <w:pPr>
              <w:rPr>
                <w:rFonts w:ascii="Calibri" w:hAnsi="Calibri" w:cs="Calibri"/>
                <w:sz w:val="20"/>
                <w:szCs w:val="20"/>
                <w:lang w:val="en-PT"/>
              </w:rPr>
            </w:pPr>
            <w:r w:rsidRPr="001072D0">
              <w:rPr>
                <w:rFonts w:ascii="Calibri" w:hAnsi="Calibri" w:cs="Calibri"/>
                <w:b/>
                <w:bCs/>
                <w:sz w:val="20"/>
                <w:szCs w:val="20"/>
                <w:lang w:val="en-PT"/>
              </w:rPr>
              <w:t>Yes.</w:t>
            </w:r>
            <w:r w:rsidRPr="001072D0">
              <w:rPr>
                <w:rFonts w:ascii="Calibri" w:hAnsi="Calibri" w:cs="Calibri"/>
                <w:sz w:val="20"/>
                <w:szCs w:val="20"/>
                <w:lang w:val="en-PT"/>
              </w:rPr>
              <w:t xml:space="preserve"> Innovation and education policies are strategically pivotal to meeting key objectives of enhancing competitiveness and fostering employment and social cohesion. For example, the text states: </w:t>
            </w:r>
          </w:p>
          <w:p w14:paraId="00101A42" w14:textId="556AF240" w:rsidR="008F65AE" w:rsidRPr="001072D0" w:rsidRDefault="008F65AE" w:rsidP="00215DB2">
            <w:pPr>
              <w:pStyle w:val="ListParagraph"/>
              <w:numPr>
                <w:ilvl w:val="0"/>
                <w:numId w:val="19"/>
              </w:numPr>
              <w:rPr>
                <w:rFonts w:ascii="Calibri" w:hAnsi="Calibri" w:cs="Calibri"/>
                <w:sz w:val="20"/>
                <w:szCs w:val="20"/>
                <w:lang w:val="en-PT"/>
              </w:rPr>
            </w:pPr>
            <w:r w:rsidRPr="001072D0">
              <w:rPr>
                <w:rFonts w:ascii="Calibri" w:hAnsi="Calibri" w:cs="Calibri"/>
                <w:sz w:val="20"/>
                <w:szCs w:val="20"/>
                <w:lang w:val="en-PT"/>
              </w:rPr>
              <w:t>“</w:t>
            </w:r>
            <w:r w:rsidRPr="001072D0">
              <w:rPr>
                <w:rFonts w:ascii="Calibri" w:hAnsi="Calibri" w:cs="Calibri"/>
                <w:i/>
                <w:iCs/>
                <w:sz w:val="20"/>
                <w:szCs w:val="20"/>
                <w:lang w:val="en-PT"/>
              </w:rPr>
              <w:t>the central objective of science and technology policy is to accelerate scientific and technological development and innovation, with the intention of doubling the country’s scientific and technological capacity, strengthening the competitiveness of the economy and the cohesion and development of Portuguese society</w:t>
            </w:r>
            <w:r w:rsidRPr="001072D0">
              <w:rPr>
                <w:rFonts w:ascii="Calibri" w:hAnsi="Calibri" w:cs="Calibri"/>
                <w:sz w:val="20"/>
                <w:szCs w:val="20"/>
                <w:lang w:val="en-PT"/>
              </w:rPr>
              <w:t>” (p. 20).</w:t>
            </w:r>
          </w:p>
          <w:p w14:paraId="44177398" w14:textId="441B929A" w:rsidR="00211956" w:rsidRPr="001072D0" w:rsidRDefault="00211956" w:rsidP="00850186">
            <w:pPr>
              <w:rPr>
                <w:rFonts w:ascii="Calibri" w:hAnsi="Calibri" w:cs="Calibri"/>
                <w:sz w:val="20"/>
                <w:szCs w:val="20"/>
                <w:lang w:val="en-GB"/>
              </w:rPr>
            </w:pPr>
          </w:p>
        </w:tc>
      </w:tr>
      <w:tr w:rsidR="00AB0D05" w:rsidRPr="001072D0" w14:paraId="5A416F59" w14:textId="77777777" w:rsidTr="009D5148">
        <w:trPr>
          <w:trHeight w:val="3414"/>
        </w:trPr>
        <w:tc>
          <w:tcPr>
            <w:tcW w:w="846" w:type="dxa"/>
          </w:tcPr>
          <w:p w14:paraId="02B6C07E" w14:textId="4C804BD3"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2008-2010</w:t>
            </w:r>
          </w:p>
        </w:tc>
        <w:tc>
          <w:tcPr>
            <w:tcW w:w="3402" w:type="dxa"/>
          </w:tcPr>
          <w:p w14:paraId="61D5F6EA" w14:textId="77777777" w:rsidR="00215DB2" w:rsidRPr="001072D0" w:rsidRDefault="00215DB2" w:rsidP="00215DB2">
            <w:pPr>
              <w:pStyle w:val="NormalWeb"/>
              <w:spacing w:before="0" w:beforeAutospacing="0" w:after="0" w:afterAutospacing="0"/>
              <w:rPr>
                <w:rFonts w:ascii="Calibri" w:hAnsi="Calibri" w:cs="Calibri"/>
                <w:color w:val="000000"/>
                <w:sz w:val="20"/>
                <w:szCs w:val="20"/>
              </w:rPr>
            </w:pPr>
            <w:r w:rsidRPr="001072D0">
              <w:rPr>
                <w:rFonts w:ascii="Calibri" w:hAnsi="Calibri" w:cs="Calibri"/>
                <w:b/>
                <w:bCs/>
                <w:color w:val="000000"/>
                <w:sz w:val="20"/>
                <w:szCs w:val="20"/>
              </w:rPr>
              <w:t xml:space="preserve">Yes. </w:t>
            </w:r>
            <w:r w:rsidRPr="001072D0">
              <w:rPr>
                <w:rFonts w:ascii="Calibri" w:hAnsi="Calibri" w:cs="Calibri"/>
                <w:color w:val="000000"/>
                <w:sz w:val="20"/>
                <w:szCs w:val="20"/>
              </w:rPr>
              <w:t xml:space="preserve">Internships are described as mechanisms for creating favourable conditions for businesses, fostering innovation and research and development, and promoting mobility, with ambitious targets attached. For example, the document states: </w:t>
            </w:r>
          </w:p>
          <w:p w14:paraId="740FDE8F" w14:textId="0A971A3B" w:rsidR="00215DB2" w:rsidRPr="001072D0" w:rsidRDefault="00215DB2" w:rsidP="00215DB2">
            <w:pPr>
              <w:pStyle w:val="NormalWeb"/>
              <w:numPr>
                <w:ilvl w:val="0"/>
                <w:numId w:val="19"/>
              </w:numPr>
              <w:spacing w:before="0" w:beforeAutospacing="0" w:after="0" w:afterAutospacing="0"/>
              <w:rPr>
                <w:rFonts w:ascii="Calibri" w:hAnsi="Calibri" w:cs="Calibri"/>
                <w:color w:val="000000"/>
                <w:sz w:val="20"/>
                <w:szCs w:val="20"/>
              </w:rPr>
            </w:pPr>
            <w:r w:rsidRPr="001072D0">
              <w:rPr>
                <w:rFonts w:ascii="Calibri" w:hAnsi="Calibri" w:cs="Calibri"/>
                <w:i/>
                <w:iCs/>
                <w:color w:val="000000"/>
                <w:sz w:val="20"/>
                <w:szCs w:val="20"/>
              </w:rPr>
              <w:t>“the main targets set for 2010 are the creation of 11,600 jobs and the integration of 35,000 trainees into organisations after completing their internship” (p. 100).</w:t>
            </w:r>
          </w:p>
          <w:p w14:paraId="380342D1" w14:textId="4ADEA924" w:rsidR="00211956" w:rsidRPr="001072D0" w:rsidRDefault="00211956" w:rsidP="0053779F">
            <w:pPr>
              <w:rPr>
                <w:rFonts w:ascii="Calibri" w:hAnsi="Calibri" w:cs="Calibri"/>
                <w:sz w:val="20"/>
                <w:szCs w:val="20"/>
                <w:lang w:val="en-GB"/>
              </w:rPr>
            </w:pPr>
          </w:p>
        </w:tc>
        <w:tc>
          <w:tcPr>
            <w:tcW w:w="5103" w:type="dxa"/>
          </w:tcPr>
          <w:p w14:paraId="21DAC18E" w14:textId="77777777" w:rsidR="00215DB2" w:rsidRPr="001072D0" w:rsidRDefault="00215DB2" w:rsidP="00215DB2">
            <w:pPr>
              <w:rPr>
                <w:rFonts w:ascii="Calibri" w:hAnsi="Calibri" w:cs="Calibri"/>
                <w:sz w:val="20"/>
                <w:szCs w:val="20"/>
                <w:lang w:val="en-PT"/>
              </w:rPr>
            </w:pPr>
            <w:r w:rsidRPr="001072D0">
              <w:rPr>
                <w:rFonts w:ascii="Calibri" w:hAnsi="Calibri" w:cs="Calibri"/>
                <w:b/>
                <w:bCs/>
                <w:sz w:val="20"/>
                <w:szCs w:val="20"/>
                <w:lang w:val="en-PT"/>
              </w:rPr>
              <w:t>Yes.</w:t>
            </w:r>
            <w:r w:rsidRPr="001072D0">
              <w:rPr>
                <w:rFonts w:ascii="Calibri" w:hAnsi="Calibri" w:cs="Calibri"/>
                <w:sz w:val="20"/>
                <w:szCs w:val="20"/>
                <w:lang w:val="en-PT"/>
              </w:rPr>
              <w:t xml:space="preserve"> Internships are cited as part of an entrepreneurship support initiative aimed at enhancing mobility. For example:</w:t>
            </w:r>
          </w:p>
          <w:p w14:paraId="3919C1BE" w14:textId="5672996D" w:rsidR="00215DB2" w:rsidRPr="001072D0" w:rsidRDefault="00215DB2" w:rsidP="00215DB2">
            <w:pPr>
              <w:pStyle w:val="ListParagraph"/>
              <w:numPr>
                <w:ilvl w:val="0"/>
                <w:numId w:val="19"/>
              </w:numPr>
              <w:rPr>
                <w:rFonts w:ascii="Calibri" w:hAnsi="Calibri" w:cs="Calibri"/>
                <w:i/>
                <w:iCs/>
                <w:sz w:val="20"/>
                <w:szCs w:val="20"/>
                <w:lang w:val="en-PT"/>
              </w:rPr>
            </w:pPr>
            <w:r w:rsidRPr="001072D0">
              <w:rPr>
                <w:rFonts w:ascii="Calibri" w:hAnsi="Calibri" w:cs="Calibri"/>
                <w:i/>
                <w:iCs/>
                <w:sz w:val="20"/>
                <w:szCs w:val="20"/>
                <w:lang w:val="en-PT"/>
              </w:rPr>
              <w:t>“this support seeks to promote job quality and mobility by: [...] (iii) supporting young people’s transition to working life, namely by investing in internships, constituting a fundamental resource for a sustained development policy that simultaneously considers competitiveness objectives and social and territorial cohesion” (p. 99).</w:t>
            </w:r>
          </w:p>
          <w:p w14:paraId="702729BC" w14:textId="20063B2D" w:rsidR="00322029" w:rsidRPr="001072D0" w:rsidRDefault="00322029" w:rsidP="007C60A9">
            <w:pPr>
              <w:rPr>
                <w:rFonts w:ascii="Calibri" w:hAnsi="Calibri" w:cs="Calibri"/>
                <w:sz w:val="20"/>
                <w:szCs w:val="20"/>
                <w:lang w:val="en-GB"/>
              </w:rPr>
            </w:pPr>
          </w:p>
        </w:tc>
        <w:tc>
          <w:tcPr>
            <w:tcW w:w="4616" w:type="dxa"/>
          </w:tcPr>
          <w:p w14:paraId="0EBB80E1" w14:textId="77777777" w:rsidR="00215DB2" w:rsidRPr="001072D0" w:rsidRDefault="00215DB2" w:rsidP="00215DB2">
            <w:pPr>
              <w:rPr>
                <w:rFonts w:ascii="Calibri" w:hAnsi="Calibri" w:cs="Calibri"/>
                <w:sz w:val="20"/>
                <w:szCs w:val="20"/>
                <w:lang w:val="en-PT"/>
              </w:rPr>
            </w:pPr>
            <w:r w:rsidRPr="001072D0">
              <w:rPr>
                <w:rFonts w:ascii="Calibri" w:hAnsi="Calibri" w:cs="Calibri"/>
                <w:b/>
                <w:bCs/>
                <w:sz w:val="20"/>
                <w:szCs w:val="20"/>
                <w:lang w:val="en-PT"/>
              </w:rPr>
              <w:t>Yes.</w:t>
            </w:r>
            <w:r w:rsidRPr="001072D0">
              <w:rPr>
                <w:rFonts w:ascii="Calibri" w:hAnsi="Calibri" w:cs="Calibri"/>
                <w:sz w:val="20"/>
                <w:szCs w:val="20"/>
                <w:lang w:val="en-PT"/>
              </w:rPr>
              <w:t xml:space="preserve"> Innovation and R&amp;D form one of the programme’s six principal objectives, alongside enhancing mobility through qualifications, employment and social cohesion. For example, the document states:</w:t>
            </w:r>
          </w:p>
          <w:p w14:paraId="4A4BE2BF" w14:textId="1865D71A" w:rsidR="00215DB2" w:rsidRPr="001072D0" w:rsidRDefault="00215DB2" w:rsidP="00215DB2">
            <w:pPr>
              <w:pStyle w:val="ListParagraph"/>
              <w:numPr>
                <w:ilvl w:val="0"/>
                <w:numId w:val="19"/>
              </w:numPr>
              <w:rPr>
                <w:rFonts w:ascii="Calibri" w:hAnsi="Calibri" w:cs="Calibri"/>
                <w:sz w:val="20"/>
                <w:szCs w:val="20"/>
                <w:lang w:val="en-PT"/>
              </w:rPr>
            </w:pPr>
            <w:r w:rsidRPr="001072D0">
              <w:rPr>
                <w:rFonts w:ascii="Calibri" w:hAnsi="Calibri" w:cs="Calibri"/>
                <w:sz w:val="20"/>
                <w:szCs w:val="20"/>
                <w:lang w:val="en-PT"/>
              </w:rPr>
              <w:t>“In theNRP – New Cycle 2008–2010, Portugal takes on board the four areas defined by the European Council as Priorities of the Lisbon Strategy, namely Intensifying Research, Development and Innovation; Boosting the Environment for Business, particularly for SMEs; Investing in People – Qualifications, Labour Market and Social Protection; and Reconciling the Economic and the Ecological – Energy and Climate Change” (p. 39).</w:t>
            </w:r>
          </w:p>
          <w:p w14:paraId="29791207" w14:textId="516B5823" w:rsidR="00211956" w:rsidRPr="001072D0" w:rsidRDefault="00211956">
            <w:pPr>
              <w:rPr>
                <w:rFonts w:ascii="Calibri" w:hAnsi="Calibri" w:cs="Calibri"/>
                <w:sz w:val="20"/>
                <w:szCs w:val="20"/>
                <w:lang w:val="en-GB"/>
              </w:rPr>
            </w:pPr>
          </w:p>
        </w:tc>
      </w:tr>
      <w:tr w:rsidR="00AB0D05" w:rsidRPr="001072D0" w14:paraId="001C685C" w14:textId="77777777" w:rsidTr="009D5148">
        <w:trPr>
          <w:trHeight w:val="1218"/>
        </w:trPr>
        <w:tc>
          <w:tcPr>
            <w:tcW w:w="846" w:type="dxa"/>
          </w:tcPr>
          <w:p w14:paraId="1B59984E" w14:textId="754F9C4D"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lastRenderedPageBreak/>
              <w:t>2011</w:t>
            </w:r>
          </w:p>
        </w:tc>
        <w:tc>
          <w:tcPr>
            <w:tcW w:w="3402" w:type="dxa"/>
          </w:tcPr>
          <w:p w14:paraId="37B7210C" w14:textId="2CB232E4" w:rsidR="002B3CBC" w:rsidRPr="001072D0" w:rsidRDefault="002B3CBC" w:rsidP="002B3CBC">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Internships underpin inclusive-growth goals, with targets averaging 30,000 placements per year:</w:t>
            </w:r>
          </w:p>
          <w:p w14:paraId="57349C2F" w14:textId="612ABD72" w:rsidR="00AC1EBB" w:rsidRPr="001072D0" w:rsidRDefault="002B3CBC" w:rsidP="002B3CBC">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extensive</w:t>
            </w:r>
            <w:proofErr w:type="gramEnd"/>
            <w:r w:rsidRPr="001072D0">
              <w:rPr>
                <w:rFonts w:ascii="Calibri" w:hAnsi="Calibri" w:cs="Calibri"/>
                <w:i/>
                <w:iCs/>
                <w:sz w:val="20"/>
                <w:szCs w:val="20"/>
                <w:lang w:val="en-GB"/>
              </w:rPr>
              <w:t xml:space="preserve"> professional internship programme (average of 30,000/year for a higher education output of 40,000/year)” (p. 90).</w:t>
            </w:r>
          </w:p>
        </w:tc>
        <w:tc>
          <w:tcPr>
            <w:tcW w:w="5103" w:type="dxa"/>
          </w:tcPr>
          <w:p w14:paraId="37D5045D" w14:textId="77777777" w:rsidR="002B3CBC" w:rsidRPr="001072D0" w:rsidRDefault="002B3CBC" w:rsidP="002B3CBC">
            <w:pPr>
              <w:rPr>
                <w:rFonts w:ascii="Calibri" w:hAnsi="Calibri" w:cs="Calibri"/>
                <w:sz w:val="20"/>
                <w:szCs w:val="20"/>
                <w:lang w:val="en-GB"/>
              </w:rPr>
            </w:pPr>
            <w:r w:rsidRPr="001072D0">
              <w:rPr>
                <w:rFonts w:ascii="Calibri" w:hAnsi="Calibri" w:cs="Calibri"/>
                <w:b/>
                <w:bCs/>
                <w:sz w:val="20"/>
                <w:szCs w:val="20"/>
                <w:lang w:val="en-GB"/>
              </w:rPr>
              <w:t>Partly.</w:t>
            </w:r>
            <w:r w:rsidRPr="001072D0">
              <w:rPr>
                <w:rFonts w:ascii="Calibri" w:hAnsi="Calibri" w:cs="Calibri"/>
                <w:sz w:val="20"/>
                <w:szCs w:val="20"/>
                <w:lang w:val="en-GB"/>
              </w:rPr>
              <w:t xml:space="preserve"> Internships are embedded within education policies via the Permanent Forum for the Employability of Young Graduates, encouraging employer involvement in curriculum design:</w:t>
            </w:r>
          </w:p>
          <w:p w14:paraId="1858AB97" w14:textId="47E41A93" w:rsidR="008F218B" w:rsidRPr="001072D0" w:rsidRDefault="002B3CBC" w:rsidP="002B3CBC">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encourages</w:t>
            </w:r>
            <w:proofErr w:type="gramEnd"/>
            <w:r w:rsidRPr="001072D0">
              <w:rPr>
                <w:rFonts w:ascii="Calibri" w:hAnsi="Calibri" w:cs="Calibri"/>
                <w:i/>
                <w:iCs/>
                <w:sz w:val="20"/>
                <w:szCs w:val="20"/>
                <w:lang w:val="en-GB"/>
              </w:rPr>
              <w:t xml:space="preserve"> employers to actively participate in the planning of training programmes by higher education institutions” (p. 45).</w:t>
            </w:r>
          </w:p>
        </w:tc>
        <w:tc>
          <w:tcPr>
            <w:tcW w:w="4616" w:type="dxa"/>
          </w:tcPr>
          <w:p w14:paraId="2E3D7DA1" w14:textId="77777777" w:rsidR="002B3CBC" w:rsidRPr="001072D0" w:rsidRDefault="002B3CBC" w:rsidP="002B3CBC">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Intelligent growth through innovation and R&amp;D is emphasised:</w:t>
            </w:r>
          </w:p>
          <w:p w14:paraId="1CBB84A4" w14:textId="367E7770" w:rsidR="00211956" w:rsidRPr="001072D0" w:rsidRDefault="002B3CBC" w:rsidP="002B3CBC">
            <w:pPr>
              <w:pStyle w:val="ListParagraph"/>
              <w:numPr>
                <w:ilvl w:val="0"/>
                <w:numId w:val="19"/>
              </w:numPr>
              <w:rPr>
                <w:rFonts w:ascii="Calibri" w:hAnsi="Calibri" w:cs="Calibri"/>
                <w:sz w:val="20"/>
                <w:szCs w:val="20"/>
                <w:lang w:val="en-GB"/>
              </w:rPr>
            </w:pPr>
            <w:r w:rsidRPr="001072D0">
              <w:rPr>
                <w:rFonts w:ascii="Calibri" w:hAnsi="Calibri" w:cs="Calibri"/>
                <w:sz w:val="20"/>
                <w:szCs w:val="20"/>
                <w:lang w:val="en-GB"/>
              </w:rPr>
              <w:t>“</w:t>
            </w:r>
            <w:proofErr w:type="gramStart"/>
            <w:r w:rsidRPr="001072D0">
              <w:rPr>
                <w:rFonts w:ascii="Calibri" w:hAnsi="Calibri" w:cs="Calibri"/>
                <w:sz w:val="20"/>
                <w:szCs w:val="20"/>
                <w:lang w:val="en-GB"/>
              </w:rPr>
              <w:t>increasing</w:t>
            </w:r>
            <w:proofErr w:type="gramEnd"/>
            <w:r w:rsidRPr="001072D0">
              <w:rPr>
                <w:rFonts w:ascii="Calibri" w:hAnsi="Calibri" w:cs="Calibri"/>
                <w:sz w:val="20"/>
                <w:szCs w:val="20"/>
                <w:lang w:val="en-GB"/>
              </w:rPr>
              <w:t xml:space="preserve"> R&amp;D intensity should continue to contribute to increasing productivity and changing the structure of Portuguese </w:t>
            </w:r>
            <w:proofErr w:type="gramStart"/>
            <w:r w:rsidRPr="001072D0">
              <w:rPr>
                <w:rFonts w:ascii="Calibri" w:hAnsi="Calibri" w:cs="Calibri"/>
                <w:sz w:val="20"/>
                <w:szCs w:val="20"/>
                <w:lang w:val="en-GB"/>
              </w:rPr>
              <w:t>exports, and</w:t>
            </w:r>
            <w:proofErr w:type="gramEnd"/>
            <w:r w:rsidRPr="001072D0">
              <w:rPr>
                <w:rFonts w:ascii="Calibri" w:hAnsi="Calibri" w:cs="Calibri"/>
                <w:sz w:val="20"/>
                <w:szCs w:val="20"/>
                <w:lang w:val="en-GB"/>
              </w:rPr>
              <w:t xml:space="preserve"> already represents valuable capital for the modernisation of our economy” (p. 25).</w:t>
            </w:r>
          </w:p>
        </w:tc>
      </w:tr>
      <w:tr w:rsidR="00AB0D05" w:rsidRPr="001072D0" w14:paraId="01DA871E" w14:textId="77777777" w:rsidTr="009D5148">
        <w:trPr>
          <w:trHeight w:val="144"/>
        </w:trPr>
        <w:tc>
          <w:tcPr>
            <w:tcW w:w="846" w:type="dxa"/>
          </w:tcPr>
          <w:p w14:paraId="5CDC4319" w14:textId="151361EA"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2012-2014</w:t>
            </w:r>
            <w:r w:rsidR="008C6358" w:rsidRPr="001072D0">
              <w:rPr>
                <w:rFonts w:ascii="Calibri" w:hAnsi="Calibri" w:cs="Calibri"/>
                <w:b/>
                <w:bCs/>
                <w:sz w:val="20"/>
                <w:szCs w:val="20"/>
                <w:lang w:val="en-GB"/>
              </w:rPr>
              <w:t>*</w:t>
            </w:r>
          </w:p>
        </w:tc>
        <w:tc>
          <w:tcPr>
            <w:tcW w:w="3402" w:type="dxa"/>
          </w:tcPr>
          <w:p w14:paraId="09070056" w14:textId="42C476A0" w:rsidR="005E70DF" w:rsidRPr="001072D0" w:rsidRDefault="006C6A97" w:rsidP="0064420F">
            <w:pPr>
              <w:rPr>
                <w:rFonts w:ascii="Calibri" w:hAnsi="Calibri" w:cs="Calibri"/>
                <w:b/>
                <w:bCs/>
                <w:sz w:val="20"/>
                <w:szCs w:val="20"/>
                <w:lang w:val="en-GB"/>
              </w:rPr>
            </w:pPr>
            <w:r w:rsidRPr="001072D0">
              <w:rPr>
                <w:rFonts w:ascii="Calibri" w:hAnsi="Calibri" w:cs="Calibri"/>
                <w:b/>
                <w:bCs/>
                <w:sz w:val="20"/>
                <w:szCs w:val="20"/>
                <w:lang w:val="en-GB"/>
              </w:rPr>
              <w:t>No.</w:t>
            </w:r>
            <w:r w:rsidR="002B3CBC" w:rsidRPr="001072D0">
              <w:rPr>
                <w:rFonts w:ascii="Calibri" w:hAnsi="Calibri" w:cs="Calibri"/>
                <w:b/>
                <w:bCs/>
                <w:sz w:val="20"/>
                <w:szCs w:val="20"/>
                <w:lang w:val="en-GB"/>
              </w:rPr>
              <w:t xml:space="preserve"> </w:t>
            </w:r>
            <w:r w:rsidR="002B3CBC" w:rsidRPr="001072D0">
              <w:rPr>
                <w:rFonts w:ascii="Calibri" w:hAnsi="Calibri" w:cs="Calibri"/>
                <w:sz w:val="20"/>
                <w:szCs w:val="20"/>
                <w:lang w:val="en-GB"/>
              </w:rPr>
              <w:t>Internships are not mentioned.</w:t>
            </w:r>
          </w:p>
        </w:tc>
        <w:tc>
          <w:tcPr>
            <w:tcW w:w="5103" w:type="dxa"/>
          </w:tcPr>
          <w:p w14:paraId="6CA49478" w14:textId="76256B4A" w:rsidR="00211956" w:rsidRPr="001072D0" w:rsidRDefault="00DB41DB">
            <w:pPr>
              <w:rPr>
                <w:rFonts w:ascii="Calibri" w:hAnsi="Calibri" w:cs="Calibri"/>
                <w:b/>
                <w:bCs/>
                <w:sz w:val="20"/>
                <w:szCs w:val="20"/>
                <w:lang w:val="en-GB"/>
              </w:rPr>
            </w:pPr>
            <w:r w:rsidRPr="001072D0">
              <w:rPr>
                <w:rFonts w:ascii="Calibri" w:hAnsi="Calibri" w:cs="Calibri"/>
                <w:b/>
                <w:bCs/>
                <w:sz w:val="20"/>
                <w:szCs w:val="20"/>
                <w:lang w:val="en-GB"/>
              </w:rPr>
              <w:t>No.</w:t>
            </w:r>
            <w:r w:rsidR="002B3CBC" w:rsidRPr="001072D0">
              <w:rPr>
                <w:rFonts w:ascii="Calibri" w:hAnsi="Calibri" w:cs="Calibri"/>
                <w:b/>
                <w:bCs/>
                <w:sz w:val="20"/>
                <w:szCs w:val="20"/>
                <w:lang w:val="en-GB"/>
              </w:rPr>
              <w:t xml:space="preserve"> </w:t>
            </w:r>
            <w:r w:rsidR="002B3CBC" w:rsidRPr="001072D0">
              <w:rPr>
                <w:rFonts w:ascii="Calibri" w:hAnsi="Calibri" w:cs="Calibri"/>
                <w:sz w:val="20"/>
                <w:szCs w:val="20"/>
                <w:lang w:val="en-GB"/>
              </w:rPr>
              <w:t>There is no explicit connection between internships and innovation or education policies.</w:t>
            </w:r>
          </w:p>
        </w:tc>
        <w:tc>
          <w:tcPr>
            <w:tcW w:w="4616" w:type="dxa"/>
          </w:tcPr>
          <w:p w14:paraId="69A1408C" w14:textId="77777777" w:rsidR="002B3CBC" w:rsidRPr="001072D0" w:rsidRDefault="002B3CBC" w:rsidP="002B3CBC">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The focus shifts to combating low schooling and early school leaving:</w:t>
            </w:r>
          </w:p>
          <w:p w14:paraId="00E0A666" w14:textId="15ABE827" w:rsidR="00211956" w:rsidRPr="001072D0" w:rsidRDefault="002B3CBC" w:rsidP="00AB0D05">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the</w:t>
            </w:r>
            <w:proofErr w:type="gramEnd"/>
            <w:r w:rsidRPr="001072D0">
              <w:rPr>
                <w:rFonts w:ascii="Calibri" w:hAnsi="Calibri" w:cs="Calibri"/>
                <w:i/>
                <w:iCs/>
                <w:sz w:val="20"/>
                <w:szCs w:val="20"/>
                <w:lang w:val="en-GB"/>
              </w:rPr>
              <w:t xml:space="preserve"> government will continue its action to combat low schooling and early school leaving and to improve the quality of secondary education and vocational education and training, with a view to increasing efficiency in the education sector, increasing the quality of human capital and facilitating adaptation to the labour market” (p. 24)</w:t>
            </w:r>
            <w:r w:rsidR="00AB0D05" w:rsidRPr="001072D0">
              <w:rPr>
                <w:rFonts w:ascii="Calibri" w:hAnsi="Calibri" w:cs="Calibri"/>
                <w:i/>
                <w:iCs/>
                <w:sz w:val="20"/>
                <w:szCs w:val="20"/>
                <w:lang w:val="en-GB"/>
              </w:rPr>
              <w:t>.</w:t>
            </w:r>
            <w:r w:rsidR="0072405D" w:rsidRPr="001072D0">
              <w:rPr>
                <w:rFonts w:ascii="Calibri" w:hAnsi="Calibri" w:cs="Calibri"/>
                <w:i/>
                <w:iCs/>
                <w:sz w:val="20"/>
                <w:szCs w:val="20"/>
                <w:lang w:val="en-GB"/>
              </w:rPr>
              <w:t xml:space="preserve"> </w:t>
            </w:r>
          </w:p>
        </w:tc>
      </w:tr>
      <w:tr w:rsidR="00AB0D05" w:rsidRPr="001072D0" w14:paraId="640AAAF4" w14:textId="77777777" w:rsidTr="009D5148">
        <w:trPr>
          <w:trHeight w:val="144"/>
        </w:trPr>
        <w:tc>
          <w:tcPr>
            <w:tcW w:w="846" w:type="dxa"/>
          </w:tcPr>
          <w:p w14:paraId="377E3150" w14:textId="2AC430D7"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2015</w:t>
            </w:r>
          </w:p>
        </w:tc>
        <w:tc>
          <w:tcPr>
            <w:tcW w:w="3402" w:type="dxa"/>
          </w:tcPr>
          <w:p w14:paraId="56072EB6" w14:textId="4FA296AE" w:rsidR="00AB0D05" w:rsidRPr="001072D0" w:rsidRDefault="00AB0D05" w:rsidP="00AB0D05">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Internships reappear within social, employment and education policies:</w:t>
            </w:r>
          </w:p>
          <w:p w14:paraId="7F36925E" w14:textId="4CA139FF" w:rsidR="00211956" w:rsidRPr="001072D0" w:rsidRDefault="00AB0D05" w:rsidP="00AB0D05">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promoting</w:t>
            </w:r>
            <w:proofErr w:type="gramEnd"/>
            <w:r w:rsidRPr="001072D0">
              <w:rPr>
                <w:rFonts w:ascii="Calibri" w:hAnsi="Calibri" w:cs="Calibri"/>
                <w:i/>
                <w:iCs/>
                <w:sz w:val="20"/>
                <w:szCs w:val="20"/>
                <w:lang w:val="en-GB"/>
              </w:rPr>
              <w:t xml:space="preserve"> employability and the integration of young people into the labour market, namely through specific education and training offers, including professional internships and measures to support employment and entrepreneurship” (p. 33).</w:t>
            </w:r>
          </w:p>
        </w:tc>
        <w:tc>
          <w:tcPr>
            <w:tcW w:w="5103" w:type="dxa"/>
          </w:tcPr>
          <w:p w14:paraId="6B9A1BDA" w14:textId="2874F2FF" w:rsidR="00211956" w:rsidRPr="001072D0" w:rsidRDefault="00EE0CC5">
            <w:pPr>
              <w:rPr>
                <w:rFonts w:ascii="Calibri" w:hAnsi="Calibri" w:cs="Calibri"/>
                <w:sz w:val="20"/>
                <w:szCs w:val="20"/>
                <w:lang w:val="en-GB"/>
              </w:rPr>
            </w:pPr>
            <w:r w:rsidRPr="001072D0">
              <w:rPr>
                <w:rFonts w:ascii="Calibri" w:hAnsi="Calibri" w:cs="Calibri"/>
                <w:b/>
                <w:bCs/>
                <w:sz w:val="20"/>
                <w:szCs w:val="20"/>
                <w:lang w:val="en-GB"/>
              </w:rPr>
              <w:t>No.</w:t>
            </w:r>
            <w:r w:rsidR="00AB0D05" w:rsidRPr="001072D0">
              <w:rPr>
                <w:rFonts w:ascii="Calibri" w:hAnsi="Calibri" w:cs="Calibri"/>
                <w:sz w:val="20"/>
                <w:szCs w:val="20"/>
                <w:lang w:val="en-GB"/>
              </w:rPr>
              <w:t xml:space="preserve"> Internships are incorporated into education and vocational training policies, emphasising quality and employer engagement in internships (p. 44).</w:t>
            </w:r>
          </w:p>
        </w:tc>
        <w:tc>
          <w:tcPr>
            <w:tcW w:w="4616" w:type="dxa"/>
          </w:tcPr>
          <w:p w14:paraId="3AE36768" w14:textId="39E3F4A7" w:rsidR="00AB0D05" w:rsidRPr="001072D0" w:rsidRDefault="0055117D" w:rsidP="00AB0D05">
            <w:pPr>
              <w:rPr>
                <w:rFonts w:ascii="Calibri" w:hAnsi="Calibri" w:cs="Calibri"/>
                <w:sz w:val="20"/>
                <w:szCs w:val="20"/>
                <w:lang w:val="en-GB"/>
              </w:rPr>
            </w:pPr>
            <w:r w:rsidRPr="001072D0">
              <w:rPr>
                <w:rFonts w:ascii="Calibri" w:hAnsi="Calibri" w:cs="Calibri"/>
                <w:b/>
                <w:bCs/>
                <w:sz w:val="20"/>
                <w:szCs w:val="20"/>
                <w:lang w:val="en-GB"/>
              </w:rPr>
              <w:t>Yes.</w:t>
            </w:r>
            <w:r w:rsidR="006261BC" w:rsidRPr="001072D0">
              <w:rPr>
                <w:rFonts w:ascii="Calibri" w:hAnsi="Calibri" w:cs="Calibri"/>
                <w:sz w:val="20"/>
                <w:szCs w:val="20"/>
                <w:lang w:val="en-GB"/>
              </w:rPr>
              <w:t xml:space="preserve"> </w:t>
            </w:r>
            <w:r w:rsidR="00AB0D05" w:rsidRPr="001072D0">
              <w:rPr>
                <w:rFonts w:ascii="Calibri" w:hAnsi="Calibri" w:cs="Calibri"/>
                <w:sz w:val="20"/>
                <w:szCs w:val="20"/>
                <w:lang w:val="en-GB"/>
              </w:rPr>
              <w:t xml:space="preserve">Innovation and education regain prominence via measures such as the National Innovation Strategy and Digital Portugal Agenda. For example: </w:t>
            </w:r>
          </w:p>
          <w:p w14:paraId="122B7634" w14:textId="6505F0E2" w:rsidR="00211956" w:rsidRPr="001072D0" w:rsidRDefault="00AB0D05" w:rsidP="00AB0D05">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in</w:t>
            </w:r>
            <w:proofErr w:type="gramEnd"/>
            <w:r w:rsidRPr="001072D0">
              <w:rPr>
                <w:rFonts w:ascii="Calibri" w:hAnsi="Calibri" w:cs="Calibri"/>
                <w:i/>
                <w:iCs/>
                <w:sz w:val="20"/>
                <w:szCs w:val="20"/>
                <w:lang w:val="en-GB"/>
              </w:rPr>
              <w:t xml:space="preserve"> order to strengthen cooperation between research and business, as well as leverage the transfer of knowledge, the government has focused its efforts on four main measures: National Innovation Agency […], Clustering Policy […], Digital Portugal Agenda […], and National Research and Innovation Strategy for Intelligent Specialization” (pp. 45–47)</w:t>
            </w:r>
            <w:r w:rsidRPr="001072D0">
              <w:rPr>
                <w:rFonts w:ascii="Calibri" w:hAnsi="Calibri" w:cs="Calibri"/>
                <w:sz w:val="20"/>
                <w:szCs w:val="20"/>
                <w:lang w:val="en-GB"/>
              </w:rPr>
              <w:t>.</w:t>
            </w:r>
          </w:p>
        </w:tc>
      </w:tr>
      <w:tr w:rsidR="00AB0D05" w:rsidRPr="001072D0" w14:paraId="68DC36D1" w14:textId="77777777" w:rsidTr="009D5148">
        <w:trPr>
          <w:trHeight w:val="144"/>
        </w:trPr>
        <w:tc>
          <w:tcPr>
            <w:tcW w:w="846" w:type="dxa"/>
          </w:tcPr>
          <w:p w14:paraId="084D2E22" w14:textId="5ACAD2D6"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2016</w:t>
            </w:r>
          </w:p>
        </w:tc>
        <w:tc>
          <w:tcPr>
            <w:tcW w:w="3402" w:type="dxa"/>
          </w:tcPr>
          <w:p w14:paraId="585BD034" w14:textId="77777777" w:rsidR="00AB0D05" w:rsidRPr="001072D0" w:rsidRDefault="00E029C8">
            <w:pPr>
              <w:rPr>
                <w:rFonts w:ascii="Calibri" w:hAnsi="Calibri" w:cs="Calibri"/>
                <w:sz w:val="20"/>
                <w:szCs w:val="20"/>
                <w:lang w:val="en-GB"/>
              </w:rPr>
            </w:pPr>
            <w:r w:rsidRPr="001072D0">
              <w:rPr>
                <w:rFonts w:ascii="Calibri" w:hAnsi="Calibri" w:cs="Calibri"/>
                <w:b/>
                <w:bCs/>
                <w:sz w:val="20"/>
                <w:szCs w:val="20"/>
                <w:lang w:val="en-GB"/>
              </w:rPr>
              <w:t xml:space="preserve">Partly. </w:t>
            </w:r>
            <w:r w:rsidR="00AB0D05" w:rsidRPr="001072D0">
              <w:rPr>
                <w:rFonts w:ascii="Calibri" w:hAnsi="Calibri" w:cs="Calibri"/>
                <w:sz w:val="20"/>
                <w:szCs w:val="20"/>
                <w:lang w:val="en-GB"/>
              </w:rPr>
              <w:t xml:space="preserve">Internships are briefly cited as one tool among training, qualification or hiring supports to integrate </w:t>
            </w:r>
            <w:r w:rsidR="00AB0D05" w:rsidRPr="001072D0">
              <w:rPr>
                <w:rFonts w:ascii="Calibri" w:hAnsi="Calibri" w:cs="Calibri"/>
                <w:sz w:val="20"/>
                <w:szCs w:val="20"/>
                <w:lang w:val="en-GB"/>
              </w:rPr>
              <w:lastRenderedPageBreak/>
              <w:t>marginalised youths (p. 15).</w:t>
            </w:r>
            <w:r w:rsidR="003B436A" w:rsidRPr="001072D0">
              <w:rPr>
                <w:rFonts w:ascii="Calibri" w:hAnsi="Calibri" w:cs="Calibri"/>
                <w:sz w:val="20"/>
                <w:szCs w:val="20"/>
                <w:lang w:val="en-GB"/>
              </w:rPr>
              <w:t xml:space="preserve"> </w:t>
            </w:r>
            <w:r w:rsidR="00EA59CF" w:rsidRPr="001072D0">
              <w:rPr>
                <w:rFonts w:ascii="Calibri" w:hAnsi="Calibri" w:cs="Calibri"/>
                <w:sz w:val="20"/>
                <w:szCs w:val="20"/>
                <w:lang w:val="en-GB"/>
              </w:rPr>
              <w:t xml:space="preserve"> For example, it is referred that </w:t>
            </w:r>
          </w:p>
          <w:p w14:paraId="13EF7983" w14:textId="097E529D" w:rsidR="00211956" w:rsidRPr="001072D0" w:rsidRDefault="00814349" w:rsidP="00AB0D05">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it</w:t>
            </w:r>
            <w:proofErr w:type="gramEnd"/>
            <w:r w:rsidRPr="001072D0">
              <w:rPr>
                <w:rFonts w:ascii="Calibri" w:hAnsi="Calibri" w:cs="Calibri"/>
                <w:i/>
                <w:iCs/>
                <w:sz w:val="20"/>
                <w:szCs w:val="20"/>
                <w:lang w:val="en-GB"/>
              </w:rPr>
              <w:t xml:space="preserve"> is important to guarantee the existence of training, qualification or employment opportunities (through internships or support for hiring) that will enable these young people to integrate into the labour market in the future” (p. </w:t>
            </w:r>
            <w:r w:rsidR="00D871E5" w:rsidRPr="001072D0">
              <w:rPr>
                <w:rFonts w:ascii="Calibri" w:hAnsi="Calibri" w:cs="Calibri"/>
                <w:i/>
                <w:iCs/>
                <w:sz w:val="20"/>
                <w:szCs w:val="20"/>
                <w:lang w:val="en-GB"/>
              </w:rPr>
              <w:t>15)</w:t>
            </w:r>
            <w:r w:rsidR="00AB0D05" w:rsidRPr="001072D0">
              <w:rPr>
                <w:rFonts w:ascii="Calibri" w:hAnsi="Calibri" w:cs="Calibri"/>
                <w:i/>
                <w:iCs/>
                <w:sz w:val="20"/>
                <w:szCs w:val="20"/>
                <w:lang w:val="en-GB"/>
              </w:rPr>
              <w:t>.</w:t>
            </w:r>
          </w:p>
        </w:tc>
        <w:tc>
          <w:tcPr>
            <w:tcW w:w="5103" w:type="dxa"/>
          </w:tcPr>
          <w:p w14:paraId="6515620A" w14:textId="2A40114A" w:rsidR="00211956" w:rsidRPr="001072D0" w:rsidRDefault="00D871E5">
            <w:pPr>
              <w:rPr>
                <w:rFonts w:ascii="Calibri" w:hAnsi="Calibri" w:cs="Calibri"/>
                <w:b/>
                <w:bCs/>
                <w:sz w:val="20"/>
                <w:szCs w:val="20"/>
                <w:lang w:val="en-GB"/>
              </w:rPr>
            </w:pPr>
            <w:r w:rsidRPr="001072D0">
              <w:rPr>
                <w:rFonts w:ascii="Calibri" w:hAnsi="Calibri" w:cs="Calibri"/>
                <w:b/>
                <w:bCs/>
                <w:sz w:val="20"/>
                <w:szCs w:val="20"/>
                <w:lang w:val="en-GB"/>
              </w:rPr>
              <w:lastRenderedPageBreak/>
              <w:t>No.</w:t>
            </w:r>
            <w:r w:rsidR="00AB0D05" w:rsidRPr="001072D0">
              <w:rPr>
                <w:rFonts w:ascii="Calibri" w:hAnsi="Calibri" w:cs="Calibri"/>
                <w:sz w:val="20"/>
                <w:szCs w:val="20"/>
                <w:lang w:val="en-GB"/>
              </w:rPr>
              <w:t xml:space="preserve"> No explicit linkage to innovation or education is mentioned.</w:t>
            </w:r>
          </w:p>
        </w:tc>
        <w:tc>
          <w:tcPr>
            <w:tcW w:w="4616" w:type="dxa"/>
          </w:tcPr>
          <w:p w14:paraId="4B75564A" w14:textId="77777777" w:rsidR="00AB0D05" w:rsidRPr="001072D0" w:rsidRDefault="000D159D" w:rsidP="00AB0D05">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AB0D05" w:rsidRPr="001072D0">
              <w:rPr>
                <w:rFonts w:ascii="Calibri" w:hAnsi="Calibri" w:cs="Calibri"/>
                <w:sz w:val="20"/>
                <w:szCs w:val="20"/>
                <w:lang w:val="en-GB"/>
              </w:rPr>
              <w:t>Programme objectives emphasise both education and R&amp;D investment:</w:t>
            </w:r>
          </w:p>
          <w:p w14:paraId="005F1678" w14:textId="6F7C20C8" w:rsidR="000E3987" w:rsidRPr="001072D0" w:rsidRDefault="00AB0D05" w:rsidP="00AB0D05">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it</w:t>
            </w:r>
            <w:proofErr w:type="gramEnd"/>
            <w:r w:rsidRPr="001072D0">
              <w:rPr>
                <w:rFonts w:ascii="Calibri" w:hAnsi="Calibri" w:cs="Calibri"/>
                <w:i/>
                <w:iCs/>
                <w:sz w:val="20"/>
                <w:szCs w:val="20"/>
                <w:lang w:val="en-GB"/>
              </w:rPr>
              <w:t xml:space="preserve"> is necessary to respond, as a priority among young people, to the high levels of </w:t>
            </w:r>
            <w:r w:rsidRPr="001072D0">
              <w:rPr>
                <w:rFonts w:ascii="Calibri" w:hAnsi="Calibri" w:cs="Calibri"/>
                <w:i/>
                <w:iCs/>
                <w:sz w:val="20"/>
                <w:szCs w:val="20"/>
                <w:lang w:val="en-GB"/>
              </w:rPr>
              <w:lastRenderedPageBreak/>
              <w:t>school failure (…) justifying a new impetus from public policies” &amp; “the recovery and reinforcement of investment in R&amp;D and innovation is a critical priority in the strategy to grow the potential output of the Portuguese economy.” (pp. 8, 21)</w:t>
            </w:r>
          </w:p>
        </w:tc>
      </w:tr>
      <w:tr w:rsidR="00AB0D05" w:rsidRPr="001072D0" w14:paraId="516A5D25" w14:textId="77777777" w:rsidTr="009D5148">
        <w:trPr>
          <w:trHeight w:val="144"/>
        </w:trPr>
        <w:tc>
          <w:tcPr>
            <w:tcW w:w="846" w:type="dxa"/>
          </w:tcPr>
          <w:p w14:paraId="632FE20A" w14:textId="571BA29B"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lastRenderedPageBreak/>
              <w:t>2017</w:t>
            </w:r>
          </w:p>
        </w:tc>
        <w:tc>
          <w:tcPr>
            <w:tcW w:w="3402" w:type="dxa"/>
          </w:tcPr>
          <w:p w14:paraId="3EFF8BF9" w14:textId="57330C12" w:rsidR="00211956" w:rsidRPr="001072D0" w:rsidRDefault="00D15042" w:rsidP="00BD0E04">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AB0D05" w:rsidRPr="001072D0">
              <w:rPr>
                <w:rFonts w:ascii="Calibri" w:hAnsi="Calibri" w:cs="Calibri"/>
                <w:sz w:val="20"/>
                <w:szCs w:val="20"/>
                <w:lang w:val="en-GB"/>
              </w:rPr>
              <w:t xml:space="preserve">Internships are referenced in the context of combating labour-market duality via transition incentives (e.g. </w:t>
            </w:r>
            <w:proofErr w:type="spellStart"/>
            <w:r w:rsidR="00AB0D05" w:rsidRPr="001072D0">
              <w:rPr>
                <w:rFonts w:ascii="Calibri" w:hAnsi="Calibri" w:cs="Calibri"/>
                <w:sz w:val="20"/>
                <w:szCs w:val="20"/>
                <w:lang w:val="en-GB"/>
              </w:rPr>
              <w:t>Prémio-Emprego</w:t>
            </w:r>
            <w:proofErr w:type="spellEnd"/>
            <w:r w:rsidR="00AB0D05" w:rsidRPr="001072D0">
              <w:rPr>
                <w:rFonts w:ascii="Calibri" w:hAnsi="Calibri" w:cs="Calibri"/>
                <w:sz w:val="20"/>
                <w:szCs w:val="20"/>
                <w:lang w:val="en-GB"/>
              </w:rPr>
              <w:t>, p. 17).</w:t>
            </w:r>
          </w:p>
        </w:tc>
        <w:tc>
          <w:tcPr>
            <w:tcW w:w="5103" w:type="dxa"/>
          </w:tcPr>
          <w:p w14:paraId="6CA9B056" w14:textId="767285D9" w:rsidR="00211956" w:rsidRPr="001072D0" w:rsidRDefault="00EA59CF">
            <w:pPr>
              <w:rPr>
                <w:rFonts w:ascii="Calibri" w:hAnsi="Calibri" w:cs="Calibri"/>
                <w:sz w:val="20"/>
                <w:szCs w:val="20"/>
                <w:lang w:val="en-GB"/>
              </w:rPr>
            </w:pPr>
            <w:r w:rsidRPr="001072D0">
              <w:rPr>
                <w:rFonts w:ascii="Calibri" w:hAnsi="Calibri" w:cs="Calibri"/>
                <w:b/>
                <w:bCs/>
                <w:sz w:val="20"/>
                <w:szCs w:val="20"/>
                <w:lang w:val="en-GB"/>
              </w:rPr>
              <w:t>No</w:t>
            </w:r>
            <w:r w:rsidR="00AB0D05" w:rsidRPr="001072D0">
              <w:rPr>
                <w:rFonts w:ascii="Calibri" w:hAnsi="Calibri" w:cs="Calibri"/>
                <w:sz w:val="20"/>
                <w:szCs w:val="20"/>
                <w:lang w:val="en-GB"/>
              </w:rPr>
              <w:t xml:space="preserve"> linkage to innovation is indicated.</w:t>
            </w:r>
          </w:p>
        </w:tc>
        <w:tc>
          <w:tcPr>
            <w:tcW w:w="4616" w:type="dxa"/>
          </w:tcPr>
          <w:p w14:paraId="01B7B7E8" w14:textId="280B4108" w:rsidR="005A1EF9" w:rsidRPr="001072D0" w:rsidRDefault="005A1EF9" w:rsidP="005A1EF9">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Innovation and education remain central:</w:t>
            </w:r>
          </w:p>
          <w:p w14:paraId="44DECE20" w14:textId="0016E2CD" w:rsidR="00211956" w:rsidRPr="001072D0" w:rsidRDefault="005A1EF9" w:rsidP="005A1EF9">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the</w:t>
            </w:r>
            <w:proofErr w:type="gramEnd"/>
            <w:r w:rsidRPr="001072D0">
              <w:rPr>
                <w:rFonts w:ascii="Calibri" w:hAnsi="Calibri" w:cs="Calibri"/>
                <w:i/>
                <w:iCs/>
                <w:sz w:val="20"/>
                <w:szCs w:val="20"/>
                <w:lang w:val="en-GB"/>
              </w:rPr>
              <w:t xml:space="preserve"> medium-term strategy for the country’s development is materialised in increasing the qualifications of the population, improving the specialisation profile of companies and increasing innovation.” (p. 6)</w:t>
            </w:r>
          </w:p>
        </w:tc>
      </w:tr>
      <w:tr w:rsidR="00AB0D05" w:rsidRPr="001072D0" w14:paraId="52E6ABC5" w14:textId="77777777" w:rsidTr="009D5148">
        <w:trPr>
          <w:trHeight w:val="144"/>
        </w:trPr>
        <w:tc>
          <w:tcPr>
            <w:tcW w:w="846" w:type="dxa"/>
          </w:tcPr>
          <w:p w14:paraId="78842E6D" w14:textId="38FEC654"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t>2018</w:t>
            </w:r>
          </w:p>
        </w:tc>
        <w:tc>
          <w:tcPr>
            <w:tcW w:w="3402" w:type="dxa"/>
          </w:tcPr>
          <w:p w14:paraId="01F61193" w14:textId="115AE1E2" w:rsidR="00211956" w:rsidRPr="001072D0" w:rsidRDefault="00E11D23">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5A1EF9" w:rsidRPr="001072D0">
              <w:rPr>
                <w:rFonts w:ascii="Calibri" w:hAnsi="Calibri" w:cs="Calibri"/>
                <w:sz w:val="20"/>
                <w:szCs w:val="20"/>
                <w:lang w:val="en-GB"/>
              </w:rPr>
              <w:t>Targets are reinforced, with 24,000 traineeships supported through €144 million, converting over 2,200 placements into open-ended contracts (p. 26).</w:t>
            </w:r>
          </w:p>
        </w:tc>
        <w:tc>
          <w:tcPr>
            <w:tcW w:w="5103" w:type="dxa"/>
          </w:tcPr>
          <w:p w14:paraId="2553EF4E" w14:textId="77777777" w:rsidR="005A1EF9" w:rsidRPr="001072D0" w:rsidRDefault="00F5580D" w:rsidP="00447932">
            <w:pPr>
              <w:rPr>
                <w:rFonts w:ascii="Calibri" w:hAnsi="Calibri" w:cs="Calibri"/>
                <w:sz w:val="20"/>
                <w:szCs w:val="20"/>
                <w:lang w:val="en-GB"/>
              </w:rPr>
            </w:pPr>
            <w:r w:rsidRPr="001072D0">
              <w:rPr>
                <w:rFonts w:ascii="Calibri" w:hAnsi="Calibri" w:cs="Calibri"/>
                <w:b/>
                <w:bCs/>
                <w:sz w:val="20"/>
                <w:szCs w:val="20"/>
                <w:lang w:val="en-GB"/>
              </w:rPr>
              <w:t>No</w:t>
            </w:r>
            <w:r w:rsidR="00066C21" w:rsidRPr="001072D0">
              <w:rPr>
                <w:rFonts w:ascii="Calibri" w:hAnsi="Calibri" w:cs="Calibri"/>
                <w:b/>
                <w:bCs/>
                <w:sz w:val="20"/>
                <w:szCs w:val="20"/>
                <w:lang w:val="en-GB"/>
              </w:rPr>
              <w:t>.</w:t>
            </w:r>
            <w:r w:rsidR="00066C21" w:rsidRPr="001072D0">
              <w:rPr>
                <w:rFonts w:ascii="Calibri" w:hAnsi="Calibri" w:cs="Calibri"/>
                <w:sz w:val="20"/>
                <w:szCs w:val="20"/>
                <w:lang w:val="en-GB"/>
              </w:rPr>
              <w:t xml:space="preserve"> </w:t>
            </w:r>
            <w:r w:rsidR="005A1EF9" w:rsidRPr="001072D0">
              <w:rPr>
                <w:rFonts w:ascii="Calibri" w:hAnsi="Calibri" w:cs="Calibri"/>
                <w:sz w:val="20"/>
                <w:szCs w:val="20"/>
                <w:lang w:val="en-GB"/>
              </w:rPr>
              <w:t>Internships are not focused solely on graduates and form part of digital-skills training under INCoDe.2030 (p. 32)</w:t>
            </w:r>
            <w:r w:rsidR="00155E00" w:rsidRPr="001072D0">
              <w:rPr>
                <w:rFonts w:ascii="Calibri" w:hAnsi="Calibri" w:cs="Calibri"/>
                <w:sz w:val="20"/>
                <w:szCs w:val="20"/>
                <w:lang w:val="en-GB"/>
              </w:rPr>
              <w:t xml:space="preserve">. </w:t>
            </w:r>
          </w:p>
          <w:p w14:paraId="580CDF2F" w14:textId="2E4E9C9A" w:rsidR="00211956" w:rsidRPr="001072D0" w:rsidRDefault="00155E00" w:rsidP="005A1EF9">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For instance, it is mentioned that</w:t>
            </w:r>
            <w:r w:rsidR="00DB6C53" w:rsidRPr="001072D0">
              <w:rPr>
                <w:rFonts w:ascii="Calibri" w:hAnsi="Calibri" w:cs="Calibri"/>
                <w:i/>
                <w:iCs/>
                <w:sz w:val="20"/>
                <w:szCs w:val="20"/>
                <w:lang w:val="en-GB"/>
              </w:rPr>
              <w:t xml:space="preserve"> </w:t>
            </w:r>
            <w:r w:rsidR="00EA50A4" w:rsidRPr="001072D0">
              <w:rPr>
                <w:rFonts w:ascii="Calibri" w:hAnsi="Calibri" w:cs="Calibri"/>
                <w:i/>
                <w:iCs/>
                <w:sz w:val="20"/>
                <w:szCs w:val="20"/>
                <w:lang w:val="en-GB"/>
              </w:rPr>
              <w:t>“</w:t>
            </w:r>
            <w:r w:rsidRPr="001072D0">
              <w:rPr>
                <w:rFonts w:ascii="Calibri" w:hAnsi="Calibri" w:cs="Calibri"/>
                <w:i/>
                <w:iCs/>
                <w:sz w:val="20"/>
                <w:szCs w:val="20"/>
                <w:lang w:val="en-GB"/>
              </w:rPr>
              <w:t>i</w:t>
            </w:r>
            <w:r w:rsidR="00EA50A4" w:rsidRPr="001072D0">
              <w:rPr>
                <w:rFonts w:ascii="Calibri" w:hAnsi="Calibri" w:cs="Calibri"/>
                <w:i/>
                <w:iCs/>
                <w:sz w:val="20"/>
                <w:szCs w:val="20"/>
                <w:lang w:val="en-GB"/>
              </w:rPr>
              <w:t>n terms of vocational training, the development of measures geared towards training the working population in digital skills, with a view to better integration into the current labour market and ensuring an increased capacity to update and renew skills to keep up with technological and digital developments. To this end, certified training and professional reorientation actions in digital skills areas will be reinforced, along with the training of intermediate technicians in specific economic sectors, creating a network of digital academies and laboratories and guaranteeing the generalised offer of internships in ICT areas</w:t>
            </w:r>
            <w:r w:rsidR="001E7BE9" w:rsidRPr="001072D0">
              <w:rPr>
                <w:rFonts w:ascii="Calibri" w:hAnsi="Calibri" w:cs="Calibri"/>
                <w:i/>
                <w:iCs/>
                <w:sz w:val="20"/>
                <w:szCs w:val="20"/>
                <w:lang w:val="en-GB"/>
              </w:rPr>
              <w:t>” (p. 32)</w:t>
            </w:r>
            <w:r w:rsidRPr="001072D0">
              <w:rPr>
                <w:rFonts w:ascii="Calibri" w:hAnsi="Calibri" w:cs="Calibri"/>
                <w:i/>
                <w:iCs/>
                <w:sz w:val="20"/>
                <w:szCs w:val="20"/>
                <w:lang w:val="en-GB"/>
              </w:rPr>
              <w:t>.</w:t>
            </w:r>
          </w:p>
        </w:tc>
        <w:tc>
          <w:tcPr>
            <w:tcW w:w="4616" w:type="dxa"/>
          </w:tcPr>
          <w:p w14:paraId="37082FF4" w14:textId="77777777" w:rsidR="005A1EF9" w:rsidRPr="001072D0" w:rsidRDefault="00C91594" w:rsidP="005A1EF9">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5A1EF9" w:rsidRPr="001072D0">
              <w:rPr>
                <w:rFonts w:ascii="Calibri" w:hAnsi="Calibri" w:cs="Calibri"/>
                <w:sz w:val="20"/>
                <w:szCs w:val="20"/>
                <w:lang w:val="en-GB"/>
              </w:rPr>
              <w:t>Innovation and education remain pivotal:</w:t>
            </w:r>
          </w:p>
          <w:p w14:paraId="00DB036B" w14:textId="08A96810" w:rsidR="00211956" w:rsidRPr="001072D0" w:rsidRDefault="005A1EF9" w:rsidP="005A1EF9">
            <w:pPr>
              <w:pStyle w:val="ListParagraph"/>
              <w:numPr>
                <w:ilvl w:val="0"/>
                <w:numId w:val="19"/>
              </w:numPr>
              <w:rPr>
                <w:rFonts w:ascii="Calibri" w:hAnsi="Calibri" w:cs="Calibri"/>
                <w:sz w:val="20"/>
                <w:szCs w:val="20"/>
                <w:lang w:val="en-GB"/>
              </w:rPr>
            </w:pPr>
            <w:r w:rsidRPr="001072D0">
              <w:rPr>
                <w:rFonts w:ascii="Calibri" w:hAnsi="Calibri" w:cs="Calibri"/>
                <w:sz w:val="20"/>
                <w:szCs w:val="20"/>
                <w:lang w:val="en-GB"/>
              </w:rPr>
              <w:t>“</w:t>
            </w:r>
            <w:proofErr w:type="gramStart"/>
            <w:r w:rsidRPr="001072D0">
              <w:rPr>
                <w:rFonts w:ascii="Calibri" w:hAnsi="Calibri" w:cs="Calibri"/>
                <w:sz w:val="20"/>
                <w:szCs w:val="20"/>
                <w:lang w:val="en-GB"/>
              </w:rPr>
              <w:t>the</w:t>
            </w:r>
            <w:proofErr w:type="gramEnd"/>
            <w:r w:rsidRPr="001072D0">
              <w:rPr>
                <w:rFonts w:ascii="Calibri" w:hAnsi="Calibri" w:cs="Calibri"/>
                <w:sz w:val="20"/>
                <w:szCs w:val="20"/>
                <w:lang w:val="en-GB"/>
              </w:rPr>
              <w:t xml:space="preserve"> second proposed priority places innovation and qualifications as the engine of development, with the essential link to the business and scientific world, the promotion of the Knowledge Society and the qualification of people and institutions” (p. 6).</w:t>
            </w:r>
          </w:p>
        </w:tc>
      </w:tr>
      <w:tr w:rsidR="00AB0D05" w:rsidRPr="001072D0" w14:paraId="68A82006" w14:textId="77777777" w:rsidTr="009D5148">
        <w:trPr>
          <w:trHeight w:val="299"/>
        </w:trPr>
        <w:tc>
          <w:tcPr>
            <w:tcW w:w="846" w:type="dxa"/>
          </w:tcPr>
          <w:p w14:paraId="765895A1" w14:textId="607C3434" w:rsidR="00211956" w:rsidRPr="001072D0" w:rsidRDefault="00211956">
            <w:pPr>
              <w:rPr>
                <w:rFonts w:ascii="Calibri" w:hAnsi="Calibri" w:cs="Calibri"/>
                <w:b/>
                <w:bCs/>
                <w:sz w:val="20"/>
                <w:szCs w:val="20"/>
                <w:lang w:val="en-GB"/>
              </w:rPr>
            </w:pPr>
            <w:r w:rsidRPr="001072D0">
              <w:rPr>
                <w:rFonts w:ascii="Calibri" w:hAnsi="Calibri" w:cs="Calibri"/>
                <w:b/>
                <w:bCs/>
                <w:sz w:val="20"/>
                <w:szCs w:val="20"/>
                <w:lang w:val="en-GB"/>
              </w:rPr>
              <w:lastRenderedPageBreak/>
              <w:t>2019</w:t>
            </w:r>
          </w:p>
        </w:tc>
        <w:tc>
          <w:tcPr>
            <w:tcW w:w="3402" w:type="dxa"/>
          </w:tcPr>
          <w:p w14:paraId="360E7E69" w14:textId="6E6071AD" w:rsidR="005A1EF9" w:rsidRPr="001072D0" w:rsidRDefault="00B3178D" w:rsidP="005A1EF9">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5A1EF9" w:rsidRPr="001072D0">
              <w:rPr>
                <w:rFonts w:ascii="Calibri" w:hAnsi="Calibri" w:cs="Calibri"/>
                <w:sz w:val="20"/>
                <w:szCs w:val="20"/>
                <w:lang w:val="en-GB"/>
              </w:rPr>
              <w:t>Ambitious targets of 22,500 traineeships with a €120 million allocation are set (p. 13).</w:t>
            </w:r>
          </w:p>
          <w:p w14:paraId="3F71455D" w14:textId="1D620E07" w:rsidR="00211956" w:rsidRPr="001072D0" w:rsidRDefault="00155E00" w:rsidP="00B3178D">
            <w:pPr>
              <w:rPr>
                <w:rFonts w:ascii="Calibri" w:hAnsi="Calibri" w:cs="Calibri"/>
                <w:sz w:val="20"/>
                <w:szCs w:val="20"/>
                <w:lang w:val="en-GB"/>
              </w:rPr>
            </w:pPr>
            <w:r w:rsidRPr="001072D0">
              <w:rPr>
                <w:rFonts w:ascii="Calibri" w:hAnsi="Calibri" w:cs="Calibri"/>
                <w:sz w:val="20"/>
                <w:szCs w:val="20"/>
                <w:lang w:val="en-GB"/>
              </w:rPr>
              <w:t xml:space="preserve"> </w:t>
            </w:r>
          </w:p>
        </w:tc>
        <w:tc>
          <w:tcPr>
            <w:tcW w:w="5103" w:type="dxa"/>
          </w:tcPr>
          <w:p w14:paraId="777ECEA2" w14:textId="5D0E63F2" w:rsidR="00211956" w:rsidRPr="001072D0" w:rsidRDefault="00155E00">
            <w:pPr>
              <w:rPr>
                <w:rFonts w:ascii="Calibri" w:hAnsi="Calibri" w:cs="Calibri"/>
                <w:sz w:val="20"/>
                <w:szCs w:val="20"/>
                <w:lang w:val="en-GB"/>
              </w:rPr>
            </w:pPr>
            <w:r w:rsidRPr="001072D0">
              <w:rPr>
                <w:rFonts w:ascii="Calibri" w:hAnsi="Calibri" w:cs="Calibri"/>
                <w:b/>
                <w:bCs/>
                <w:sz w:val="20"/>
                <w:szCs w:val="20"/>
                <w:lang w:val="en-GB"/>
              </w:rPr>
              <w:t>No</w:t>
            </w:r>
            <w:r w:rsidR="009919E4" w:rsidRPr="001072D0">
              <w:rPr>
                <w:rFonts w:ascii="Calibri" w:hAnsi="Calibri" w:cs="Calibri"/>
                <w:b/>
                <w:bCs/>
                <w:sz w:val="20"/>
                <w:szCs w:val="20"/>
                <w:lang w:val="en-GB"/>
              </w:rPr>
              <w:t>.</w:t>
            </w:r>
            <w:r w:rsidR="009919E4" w:rsidRPr="001072D0">
              <w:rPr>
                <w:rFonts w:ascii="Calibri" w:hAnsi="Calibri" w:cs="Calibri"/>
                <w:sz w:val="20"/>
                <w:szCs w:val="20"/>
                <w:lang w:val="en-GB"/>
              </w:rPr>
              <w:t xml:space="preserve"> </w:t>
            </w:r>
            <w:r w:rsidR="005A1EF9" w:rsidRPr="001072D0">
              <w:rPr>
                <w:rFonts w:ascii="Calibri" w:hAnsi="Calibri" w:cs="Calibri"/>
                <w:sz w:val="20"/>
                <w:szCs w:val="20"/>
                <w:lang w:val="en-GB"/>
              </w:rPr>
              <w:t>Internships focus on vocational training students in Technology Interface Centres (p. 48).</w:t>
            </w:r>
          </w:p>
        </w:tc>
        <w:tc>
          <w:tcPr>
            <w:tcW w:w="4616" w:type="dxa"/>
          </w:tcPr>
          <w:p w14:paraId="18D0DE31" w14:textId="77777777" w:rsidR="005A1EF9" w:rsidRPr="001072D0" w:rsidRDefault="00B1431B" w:rsidP="005A1EF9">
            <w:pPr>
              <w:rPr>
                <w:rFonts w:ascii="Calibri" w:hAnsi="Calibri" w:cs="Calibri"/>
                <w:sz w:val="20"/>
                <w:szCs w:val="20"/>
                <w:lang w:val="en-GB"/>
              </w:rPr>
            </w:pPr>
            <w:r w:rsidRPr="001072D0">
              <w:rPr>
                <w:rFonts w:ascii="Calibri" w:hAnsi="Calibri" w:cs="Calibri"/>
                <w:b/>
                <w:bCs/>
                <w:sz w:val="20"/>
                <w:szCs w:val="20"/>
                <w:lang w:val="en-GB"/>
              </w:rPr>
              <w:t xml:space="preserve">Yes. </w:t>
            </w:r>
            <w:r w:rsidR="005A1EF9" w:rsidRPr="001072D0">
              <w:rPr>
                <w:rFonts w:ascii="Calibri" w:hAnsi="Calibri" w:cs="Calibri"/>
                <w:sz w:val="20"/>
                <w:szCs w:val="20"/>
                <w:lang w:val="en-GB"/>
              </w:rPr>
              <w:t>Innovation and qualification continue to drive development:</w:t>
            </w:r>
          </w:p>
          <w:p w14:paraId="56CA127D" w14:textId="1FE8C848" w:rsidR="00211956" w:rsidRPr="001072D0" w:rsidRDefault="005A1EF9" w:rsidP="005A1EF9">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 xml:space="preserve">“The second thematic agenda </w:t>
            </w:r>
            <w:proofErr w:type="gramStart"/>
            <w:r w:rsidRPr="001072D0">
              <w:rPr>
                <w:rFonts w:ascii="Calibri" w:hAnsi="Calibri" w:cs="Calibri"/>
                <w:i/>
                <w:iCs/>
                <w:sz w:val="20"/>
                <w:szCs w:val="20"/>
                <w:lang w:val="en-GB"/>
              </w:rPr>
              <w:t>focuses</w:t>
            </w:r>
            <w:proofErr w:type="gramEnd"/>
            <w:r w:rsidRPr="001072D0">
              <w:rPr>
                <w:rFonts w:ascii="Calibri" w:hAnsi="Calibri" w:cs="Calibri"/>
                <w:i/>
                <w:iCs/>
                <w:sz w:val="20"/>
                <w:szCs w:val="20"/>
                <w:lang w:val="en-GB"/>
              </w:rPr>
              <w:t xml:space="preserve"> on innovation and qualification as drivers of development. This includes the triple qualification of companies, human resources, and institutions, as well as the promotion of the knowledge society.” (p. 13)</w:t>
            </w:r>
          </w:p>
        </w:tc>
      </w:tr>
    </w:tbl>
    <w:p w14:paraId="636C4D91" w14:textId="77777777" w:rsidR="00FE1D90" w:rsidRPr="001072D0" w:rsidRDefault="00FE1D90" w:rsidP="00FE1D90">
      <w:pPr>
        <w:spacing w:line="276" w:lineRule="auto"/>
        <w:rPr>
          <w:rFonts w:ascii="Calibri" w:hAnsi="Calibri" w:cs="Calibri"/>
          <w:sz w:val="20"/>
          <w:szCs w:val="20"/>
          <w:lang w:val="en-PT"/>
        </w:rPr>
      </w:pPr>
      <w:r w:rsidRPr="001072D0">
        <w:rPr>
          <w:rFonts w:ascii="Calibri" w:hAnsi="Calibri" w:cs="Calibri"/>
          <w:b/>
          <w:bCs/>
          <w:sz w:val="20"/>
          <w:szCs w:val="20"/>
          <w:lang w:val="en-PT"/>
        </w:rPr>
        <w:t>Source:</w:t>
      </w:r>
      <w:r w:rsidRPr="001072D0">
        <w:rPr>
          <w:rFonts w:ascii="Calibri" w:hAnsi="Calibri" w:cs="Calibri"/>
          <w:sz w:val="20"/>
          <w:szCs w:val="20"/>
          <w:lang w:val="en-PT"/>
        </w:rPr>
        <w:t> Portuguese Government (2005, 2008, 2011, 2015–2019).</w:t>
      </w:r>
    </w:p>
    <w:p w14:paraId="4CE89B4D" w14:textId="77777777" w:rsidR="00FE1D90" w:rsidRPr="001072D0" w:rsidRDefault="00FE1D90" w:rsidP="00FE1D90">
      <w:pPr>
        <w:spacing w:line="276" w:lineRule="auto"/>
        <w:rPr>
          <w:rFonts w:ascii="Calibri" w:hAnsi="Calibri" w:cs="Calibri"/>
          <w:sz w:val="20"/>
          <w:szCs w:val="20"/>
          <w:lang w:val="en-PT"/>
        </w:rPr>
      </w:pPr>
      <w:r w:rsidRPr="001072D0">
        <w:rPr>
          <w:rFonts w:ascii="Calibri" w:hAnsi="Calibri" w:cs="Calibri"/>
          <w:b/>
          <w:bCs/>
          <w:sz w:val="20"/>
          <w:szCs w:val="20"/>
          <w:lang w:val="en-PT"/>
        </w:rPr>
        <w:t>Notes:</w:t>
      </w:r>
      <w:r w:rsidRPr="001072D0">
        <w:rPr>
          <w:rFonts w:ascii="Calibri" w:hAnsi="Calibri" w:cs="Calibri"/>
          <w:sz w:val="20"/>
          <w:szCs w:val="20"/>
          <w:lang w:val="en-PT"/>
        </w:rPr>
        <w:t> From 2012 to 2014, Portugal was exempt from submitting a National Reform Programme under EU requirements due to its external intervention following the 2011 financial bailout. During this interval, the Memorandum of Understanding between the Portuguese Government, the European Commission, the European Central Bank and the International Monetary Fund effectively replaced the National Reform Programme. Consequently, we used that Memorandum as the basis for our content analysis for the 2012–2014 period.</w:t>
      </w:r>
    </w:p>
    <w:p w14:paraId="401C5311" w14:textId="6DBC1486" w:rsidR="00B032F5" w:rsidRPr="001072D0" w:rsidRDefault="00B032F5">
      <w:pPr>
        <w:rPr>
          <w:rFonts w:ascii="Calibri" w:hAnsi="Calibri" w:cs="Calibri"/>
          <w:lang w:val="en-PT"/>
        </w:rPr>
      </w:pPr>
    </w:p>
    <w:p w14:paraId="6AEE3C35" w14:textId="77777777" w:rsidR="008C6358" w:rsidRPr="001072D0" w:rsidRDefault="008C6358">
      <w:pPr>
        <w:rPr>
          <w:rFonts w:ascii="Calibri" w:hAnsi="Calibri" w:cs="Calibri"/>
          <w:lang w:val="en-GB"/>
        </w:rPr>
      </w:pPr>
    </w:p>
    <w:p w14:paraId="3F06C86A" w14:textId="77777777" w:rsidR="00F5580D" w:rsidRPr="001072D0" w:rsidRDefault="00F5580D">
      <w:pPr>
        <w:rPr>
          <w:rFonts w:ascii="Calibri" w:hAnsi="Calibri" w:cs="Calibri"/>
          <w:lang w:val="en-GB"/>
        </w:rPr>
      </w:pPr>
    </w:p>
    <w:p w14:paraId="62D7FD40" w14:textId="77777777" w:rsidR="001408A9" w:rsidRPr="001072D0" w:rsidRDefault="001408A9">
      <w:pPr>
        <w:rPr>
          <w:rFonts w:ascii="Calibri" w:hAnsi="Calibri" w:cs="Calibri"/>
          <w:lang w:val="en-GB"/>
        </w:rPr>
      </w:pPr>
    </w:p>
    <w:p w14:paraId="209D3981" w14:textId="77777777" w:rsidR="001408A9" w:rsidRPr="001072D0" w:rsidRDefault="001408A9">
      <w:pPr>
        <w:rPr>
          <w:rFonts w:ascii="Calibri" w:hAnsi="Calibri" w:cs="Calibri"/>
          <w:lang w:val="en-GB"/>
        </w:rPr>
      </w:pPr>
    </w:p>
    <w:p w14:paraId="708F94F1" w14:textId="77777777" w:rsidR="001408A9" w:rsidRPr="001072D0" w:rsidRDefault="001408A9">
      <w:pPr>
        <w:rPr>
          <w:rFonts w:ascii="Calibri" w:hAnsi="Calibri" w:cs="Calibri"/>
          <w:lang w:val="en-GB"/>
        </w:rPr>
      </w:pPr>
    </w:p>
    <w:p w14:paraId="116B9097" w14:textId="77777777" w:rsidR="001408A9" w:rsidRPr="001072D0" w:rsidRDefault="001408A9">
      <w:pPr>
        <w:rPr>
          <w:rFonts w:ascii="Calibri" w:hAnsi="Calibri" w:cs="Calibri"/>
          <w:lang w:val="en-GB"/>
        </w:rPr>
      </w:pPr>
    </w:p>
    <w:p w14:paraId="564373EE" w14:textId="77777777" w:rsidR="008F65AE" w:rsidRPr="001072D0" w:rsidRDefault="008F65AE">
      <w:pPr>
        <w:rPr>
          <w:rFonts w:ascii="Calibri" w:hAnsi="Calibri" w:cs="Calibri"/>
          <w:lang w:val="en-GB"/>
        </w:rPr>
      </w:pPr>
    </w:p>
    <w:p w14:paraId="043ACE7E" w14:textId="77777777" w:rsidR="008F65AE" w:rsidRPr="001072D0" w:rsidRDefault="008F65AE">
      <w:pPr>
        <w:rPr>
          <w:rFonts w:ascii="Calibri" w:hAnsi="Calibri" w:cs="Calibri"/>
          <w:lang w:val="en-GB"/>
        </w:rPr>
      </w:pPr>
    </w:p>
    <w:p w14:paraId="134E4F2B" w14:textId="77777777" w:rsidR="008F65AE" w:rsidRPr="001072D0" w:rsidRDefault="008F65AE">
      <w:pPr>
        <w:rPr>
          <w:rFonts w:ascii="Calibri" w:hAnsi="Calibri" w:cs="Calibri"/>
          <w:lang w:val="en-GB"/>
        </w:rPr>
      </w:pPr>
    </w:p>
    <w:p w14:paraId="3257C87F" w14:textId="77777777" w:rsidR="008F65AE" w:rsidRPr="001072D0" w:rsidRDefault="008F65AE">
      <w:pPr>
        <w:rPr>
          <w:rFonts w:ascii="Calibri" w:hAnsi="Calibri" w:cs="Calibri"/>
          <w:lang w:val="en-GB"/>
        </w:rPr>
      </w:pPr>
    </w:p>
    <w:p w14:paraId="3D739C7F" w14:textId="77777777" w:rsidR="008F65AE" w:rsidRPr="001072D0" w:rsidRDefault="008F65AE">
      <w:pPr>
        <w:rPr>
          <w:rFonts w:ascii="Calibri" w:hAnsi="Calibri" w:cs="Calibri"/>
          <w:lang w:val="en-GB"/>
        </w:rPr>
      </w:pPr>
    </w:p>
    <w:p w14:paraId="2BF9A5B4" w14:textId="77777777" w:rsidR="008F65AE" w:rsidRPr="001072D0" w:rsidRDefault="008F65AE">
      <w:pPr>
        <w:rPr>
          <w:rFonts w:ascii="Calibri" w:hAnsi="Calibri" w:cs="Calibri"/>
          <w:lang w:val="en-GB"/>
        </w:rPr>
      </w:pPr>
    </w:p>
    <w:p w14:paraId="531498B5" w14:textId="77777777" w:rsidR="008F65AE" w:rsidRPr="001072D0" w:rsidRDefault="008F65AE">
      <w:pPr>
        <w:rPr>
          <w:rFonts w:ascii="Calibri" w:hAnsi="Calibri" w:cs="Calibri"/>
          <w:lang w:val="en-GB"/>
        </w:rPr>
      </w:pPr>
    </w:p>
    <w:p w14:paraId="40F0CFA6" w14:textId="77777777" w:rsidR="008F65AE" w:rsidRPr="001072D0" w:rsidRDefault="008F65AE">
      <w:pPr>
        <w:rPr>
          <w:rFonts w:ascii="Calibri" w:hAnsi="Calibri" w:cs="Calibri"/>
          <w:lang w:val="en-GB"/>
        </w:rPr>
      </w:pPr>
    </w:p>
    <w:p w14:paraId="4579D672" w14:textId="77777777" w:rsidR="008F65AE" w:rsidRPr="001072D0" w:rsidRDefault="008F65AE">
      <w:pPr>
        <w:rPr>
          <w:rFonts w:ascii="Calibri" w:hAnsi="Calibri" w:cs="Calibri"/>
          <w:lang w:val="en-GB"/>
        </w:rPr>
      </w:pPr>
    </w:p>
    <w:p w14:paraId="0F3172A2" w14:textId="77777777" w:rsidR="008F65AE" w:rsidRPr="001072D0" w:rsidRDefault="008F65AE">
      <w:pPr>
        <w:rPr>
          <w:rFonts w:ascii="Calibri" w:hAnsi="Calibri" w:cs="Calibri"/>
          <w:lang w:val="en-GB"/>
        </w:rPr>
      </w:pPr>
    </w:p>
    <w:p w14:paraId="708F9E7F" w14:textId="77777777" w:rsidR="008601FB" w:rsidRPr="001072D0" w:rsidRDefault="008601FB">
      <w:pPr>
        <w:rPr>
          <w:rFonts w:ascii="Calibri" w:hAnsi="Calibri" w:cs="Calibri"/>
          <w:lang w:val="en-GB"/>
        </w:rPr>
      </w:pPr>
    </w:p>
    <w:p w14:paraId="007E3AFB" w14:textId="77777777" w:rsidR="008601FB" w:rsidRPr="001072D0" w:rsidRDefault="008601FB">
      <w:pPr>
        <w:rPr>
          <w:rFonts w:ascii="Calibri" w:hAnsi="Calibri" w:cs="Calibri"/>
          <w:lang w:val="en-GB"/>
        </w:rPr>
      </w:pPr>
    </w:p>
    <w:p w14:paraId="2560CB4A" w14:textId="35698412" w:rsidR="008C6358" w:rsidRPr="001072D0" w:rsidRDefault="001408A9">
      <w:pPr>
        <w:rPr>
          <w:rFonts w:ascii="Calibri" w:hAnsi="Calibri" w:cs="Calibri"/>
          <w:lang w:val="en-GB"/>
        </w:rPr>
      </w:pPr>
      <w:r w:rsidRPr="001072D0">
        <w:rPr>
          <w:rFonts w:ascii="Calibri" w:hAnsi="Calibri" w:cs="Calibri"/>
          <w:lang w:val="en-GB"/>
        </w:rPr>
        <w:lastRenderedPageBreak/>
        <w:t xml:space="preserve">Table </w:t>
      </w:r>
      <w:r w:rsidR="00E51408" w:rsidRPr="001072D0">
        <w:rPr>
          <w:rFonts w:ascii="Calibri" w:hAnsi="Calibri" w:cs="Calibri"/>
          <w:lang w:val="en-GB"/>
        </w:rPr>
        <w:t>B2.</w:t>
      </w:r>
      <w:r w:rsidRPr="001072D0">
        <w:rPr>
          <w:rFonts w:ascii="Calibri" w:hAnsi="Calibri" w:cs="Calibri"/>
          <w:lang w:val="en-GB"/>
        </w:rPr>
        <w:t xml:space="preserve"> </w:t>
      </w:r>
      <w:r w:rsidR="00E51408" w:rsidRPr="001072D0">
        <w:rPr>
          <w:rFonts w:ascii="Calibri" w:hAnsi="Calibri" w:cs="Calibri"/>
          <w:lang w:val="en-GB"/>
        </w:rPr>
        <w:t>C</w:t>
      </w:r>
      <w:r w:rsidRPr="001072D0">
        <w:rPr>
          <w:rFonts w:ascii="Calibri" w:hAnsi="Calibri" w:cs="Calibri"/>
          <w:lang w:val="en-GB"/>
        </w:rPr>
        <w:t xml:space="preserve">ontent analysis of </w:t>
      </w:r>
      <w:r w:rsidR="006967CB" w:rsidRPr="001072D0">
        <w:rPr>
          <w:rFonts w:ascii="Calibri" w:hAnsi="Calibri" w:cs="Calibri"/>
          <w:lang w:val="en-GB"/>
        </w:rPr>
        <w:t>Spanish</w:t>
      </w:r>
      <w:r w:rsidRPr="001072D0">
        <w:rPr>
          <w:rFonts w:ascii="Calibri" w:hAnsi="Calibri" w:cs="Calibri"/>
          <w:lang w:val="en-GB"/>
        </w:rPr>
        <w:t xml:space="preserve"> National Reform Programmes (2005-2019)</w:t>
      </w:r>
      <w:r w:rsidR="00967341" w:rsidRPr="001072D0">
        <w:rPr>
          <w:rFonts w:ascii="Calibri" w:hAnsi="Calibri" w:cs="Calibri"/>
          <w:lang w:val="en-GB"/>
        </w:rPr>
        <w:t>. Detailed version.</w:t>
      </w:r>
      <w:r w:rsidRPr="001072D0">
        <w:rPr>
          <w:rFonts w:ascii="Calibri" w:hAnsi="Calibri" w:cs="Calibri"/>
          <w:lang w:val="en-GB"/>
        </w:rPr>
        <w:t xml:space="preserve"> </w:t>
      </w:r>
    </w:p>
    <w:tbl>
      <w:tblPr>
        <w:tblStyle w:val="TableGrid"/>
        <w:tblW w:w="0" w:type="auto"/>
        <w:tblLook w:val="04A0" w:firstRow="1" w:lastRow="0" w:firstColumn="1" w:lastColumn="0" w:noHBand="0" w:noVBand="1"/>
      </w:tblPr>
      <w:tblGrid>
        <w:gridCol w:w="1047"/>
        <w:gridCol w:w="3229"/>
        <w:gridCol w:w="3233"/>
        <w:gridCol w:w="3203"/>
        <w:gridCol w:w="3236"/>
      </w:tblGrid>
      <w:tr w:rsidR="00FD71E3" w:rsidRPr="001072D0" w14:paraId="1E380C80" w14:textId="77777777" w:rsidTr="2BEB05FE">
        <w:tc>
          <w:tcPr>
            <w:tcW w:w="846" w:type="dxa"/>
          </w:tcPr>
          <w:p w14:paraId="406DF74C" w14:textId="3588F3E6" w:rsidR="00211956" w:rsidRPr="001072D0" w:rsidRDefault="00FE1D90" w:rsidP="00710500">
            <w:pPr>
              <w:rPr>
                <w:rFonts w:ascii="Calibri" w:hAnsi="Calibri" w:cs="Calibri"/>
                <w:b/>
                <w:bCs/>
                <w:sz w:val="20"/>
                <w:szCs w:val="20"/>
                <w:lang w:val="en-GB"/>
              </w:rPr>
            </w:pPr>
            <w:r w:rsidRPr="001072D0">
              <w:rPr>
                <w:rFonts w:ascii="Calibri" w:hAnsi="Calibri" w:cs="Calibri"/>
                <w:b/>
                <w:bCs/>
                <w:sz w:val="20"/>
                <w:szCs w:val="20"/>
                <w:lang w:val="en-GB"/>
              </w:rPr>
              <w:t>Reference period</w:t>
            </w:r>
          </w:p>
        </w:tc>
        <w:tc>
          <w:tcPr>
            <w:tcW w:w="3275" w:type="dxa"/>
          </w:tcPr>
          <w:p w14:paraId="55B4F32A" w14:textId="7DF18C7F" w:rsidR="00211956" w:rsidRPr="001072D0" w:rsidRDefault="00FE1D90" w:rsidP="00710500">
            <w:pPr>
              <w:rPr>
                <w:rFonts w:ascii="Calibri" w:hAnsi="Calibri" w:cs="Calibri"/>
                <w:b/>
                <w:bCs/>
                <w:sz w:val="20"/>
                <w:szCs w:val="20"/>
                <w:lang w:val="en-GB"/>
              </w:rPr>
            </w:pPr>
            <w:r w:rsidRPr="001072D0">
              <w:rPr>
                <w:rFonts w:ascii="Calibri" w:hAnsi="Calibri" w:cs="Calibri"/>
                <w:b/>
                <w:bCs/>
                <w:color w:val="000000"/>
                <w:sz w:val="20"/>
                <w:szCs w:val="20"/>
                <w:lang w:val="en-PT"/>
              </w:rPr>
              <w:t>Apprenticeship Contract Emphasised?</w:t>
            </w:r>
          </w:p>
        </w:tc>
        <w:tc>
          <w:tcPr>
            <w:tcW w:w="3276" w:type="dxa"/>
          </w:tcPr>
          <w:p w14:paraId="19E17E9B" w14:textId="41959E48" w:rsidR="00211956" w:rsidRPr="001072D0" w:rsidRDefault="00FE1D90" w:rsidP="00710500">
            <w:pPr>
              <w:rPr>
                <w:rFonts w:ascii="Calibri" w:hAnsi="Calibri" w:cs="Calibri"/>
                <w:b/>
                <w:bCs/>
                <w:sz w:val="20"/>
                <w:szCs w:val="20"/>
                <w:lang w:val="en-GB"/>
              </w:rPr>
            </w:pPr>
            <w:r w:rsidRPr="001072D0">
              <w:rPr>
                <w:rFonts w:ascii="Calibri" w:hAnsi="Calibri" w:cs="Calibri"/>
                <w:b/>
                <w:bCs/>
                <w:color w:val="000000"/>
                <w:sz w:val="20"/>
                <w:szCs w:val="20"/>
                <w:lang w:val="en-PT"/>
              </w:rPr>
              <w:t>Link to Youth Unemployment</w:t>
            </w:r>
          </w:p>
        </w:tc>
        <w:tc>
          <w:tcPr>
            <w:tcW w:w="3275" w:type="dxa"/>
          </w:tcPr>
          <w:p w14:paraId="07CDA7BC" w14:textId="49097B79" w:rsidR="00211956" w:rsidRPr="001072D0" w:rsidRDefault="00FE1D90" w:rsidP="00710500">
            <w:pPr>
              <w:rPr>
                <w:rFonts w:ascii="Calibri" w:hAnsi="Calibri" w:cs="Calibri"/>
                <w:b/>
                <w:bCs/>
                <w:sz w:val="20"/>
                <w:szCs w:val="20"/>
                <w:lang w:val="en-GB"/>
              </w:rPr>
            </w:pPr>
            <w:r w:rsidRPr="001072D0">
              <w:rPr>
                <w:rFonts w:ascii="Calibri" w:hAnsi="Calibri" w:cs="Calibri"/>
                <w:b/>
                <w:bCs/>
                <w:color w:val="000000"/>
                <w:sz w:val="20"/>
                <w:szCs w:val="20"/>
                <w:lang w:val="en-PT"/>
              </w:rPr>
              <w:t>Link to Manufacturing Investment</w:t>
            </w:r>
          </w:p>
        </w:tc>
        <w:tc>
          <w:tcPr>
            <w:tcW w:w="3276" w:type="dxa"/>
          </w:tcPr>
          <w:p w14:paraId="7AC2CCCF" w14:textId="04DDF267" w:rsidR="00211956" w:rsidRPr="001072D0" w:rsidRDefault="00FE1D90" w:rsidP="00710500">
            <w:pPr>
              <w:rPr>
                <w:rFonts w:ascii="Calibri" w:hAnsi="Calibri" w:cs="Calibri"/>
                <w:b/>
                <w:bCs/>
                <w:sz w:val="20"/>
                <w:szCs w:val="20"/>
                <w:lang w:val="en-GB"/>
              </w:rPr>
            </w:pPr>
            <w:r w:rsidRPr="001072D0">
              <w:rPr>
                <w:rFonts w:ascii="Calibri" w:hAnsi="Calibri" w:cs="Calibri"/>
                <w:b/>
                <w:bCs/>
                <w:color w:val="000000"/>
                <w:sz w:val="20"/>
                <w:szCs w:val="20"/>
                <w:lang w:val="en-PT"/>
              </w:rPr>
              <w:t>Strategic Manufacturing Investment?</w:t>
            </w:r>
          </w:p>
        </w:tc>
      </w:tr>
      <w:tr w:rsidR="00FD71E3" w:rsidRPr="001072D0" w14:paraId="03699A78" w14:textId="77777777" w:rsidTr="2BEB05FE">
        <w:tc>
          <w:tcPr>
            <w:tcW w:w="846" w:type="dxa"/>
          </w:tcPr>
          <w:p w14:paraId="6744422B" w14:textId="0C9515B2"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2005-200</w:t>
            </w:r>
            <w:r w:rsidR="008D4D85" w:rsidRPr="001072D0">
              <w:rPr>
                <w:rFonts w:ascii="Calibri" w:hAnsi="Calibri" w:cs="Calibri"/>
                <w:b/>
                <w:bCs/>
                <w:sz w:val="20"/>
                <w:szCs w:val="20"/>
                <w:lang w:val="en-GB"/>
              </w:rPr>
              <w:t>9</w:t>
            </w:r>
          </w:p>
        </w:tc>
        <w:tc>
          <w:tcPr>
            <w:tcW w:w="3275" w:type="dxa"/>
          </w:tcPr>
          <w:p w14:paraId="40AB6A40" w14:textId="51538D28" w:rsidR="0089300F" w:rsidRPr="001072D0" w:rsidRDefault="000D5498"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w:t>
            </w:r>
            <w:r w:rsidR="00FD71E3" w:rsidRPr="001072D0">
              <w:rPr>
                <w:rFonts w:ascii="Calibri" w:hAnsi="Calibri" w:cs="Calibri"/>
                <w:sz w:val="20"/>
                <w:szCs w:val="20"/>
                <w:lang w:val="en-GB"/>
              </w:rPr>
              <w:t>Apprenticeships promote continuous education and labour-market integration, combining theoretical and practical training (p. 81).</w:t>
            </w:r>
          </w:p>
        </w:tc>
        <w:tc>
          <w:tcPr>
            <w:tcW w:w="3276" w:type="dxa"/>
          </w:tcPr>
          <w:p w14:paraId="0B17F20B" w14:textId="7F4ACF93"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Framed as a key measure to reduce youth unemployment through structured training contracts.</w:t>
            </w:r>
          </w:p>
        </w:tc>
        <w:tc>
          <w:tcPr>
            <w:tcW w:w="3275" w:type="dxa"/>
          </w:tcPr>
          <w:p w14:paraId="18DAB45A" w14:textId="396D231E" w:rsidR="0089300F" w:rsidRPr="001072D0" w:rsidRDefault="00D13FD8" w:rsidP="0089300F">
            <w:pPr>
              <w:rPr>
                <w:rFonts w:ascii="Calibri" w:hAnsi="Calibri" w:cs="Calibri"/>
                <w:b/>
                <w:bCs/>
                <w:sz w:val="20"/>
                <w:szCs w:val="20"/>
                <w:lang w:val="en-GB"/>
              </w:rPr>
            </w:pPr>
            <w:r w:rsidRPr="001072D0">
              <w:rPr>
                <w:rFonts w:ascii="Calibri" w:hAnsi="Calibri" w:cs="Calibri"/>
                <w:b/>
                <w:bCs/>
                <w:sz w:val="20"/>
                <w:szCs w:val="20"/>
                <w:lang w:val="en-GB"/>
              </w:rPr>
              <w:t>No.</w:t>
            </w:r>
            <w:r w:rsidR="00FD71E3" w:rsidRPr="001072D0">
              <w:rPr>
                <w:rFonts w:ascii="Calibri" w:hAnsi="Calibri" w:cs="Calibri"/>
                <w:b/>
                <w:bCs/>
                <w:sz w:val="20"/>
                <w:szCs w:val="20"/>
                <w:lang w:val="en-GB"/>
              </w:rPr>
              <w:t xml:space="preserve"> </w:t>
            </w:r>
            <w:r w:rsidR="00FD71E3" w:rsidRPr="001072D0">
              <w:rPr>
                <w:rFonts w:ascii="Calibri" w:hAnsi="Calibri" w:cs="Calibri"/>
                <w:sz w:val="20"/>
                <w:szCs w:val="20"/>
                <w:lang w:val="en-GB"/>
              </w:rPr>
              <w:t>There is no connection to manufacturing investment in this period.</w:t>
            </w:r>
          </w:p>
        </w:tc>
        <w:tc>
          <w:tcPr>
            <w:tcW w:w="3276" w:type="dxa"/>
          </w:tcPr>
          <w:p w14:paraId="30AD4CD7" w14:textId="678B7B59"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strategic manufacturing investment is indicated.</w:t>
            </w:r>
          </w:p>
        </w:tc>
      </w:tr>
      <w:tr w:rsidR="00FD71E3" w:rsidRPr="001072D0" w14:paraId="468FC25E" w14:textId="77777777" w:rsidTr="2BEB05FE">
        <w:tc>
          <w:tcPr>
            <w:tcW w:w="846" w:type="dxa"/>
          </w:tcPr>
          <w:p w14:paraId="05579037" w14:textId="10B02690"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2010</w:t>
            </w:r>
          </w:p>
        </w:tc>
        <w:tc>
          <w:tcPr>
            <w:tcW w:w="3275" w:type="dxa"/>
          </w:tcPr>
          <w:p w14:paraId="16C46251" w14:textId="77777777" w:rsidR="00FD71E3"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Training-contract regulations were amended to fully subsidise social contributions and improve wages while preserving unemployment benefits (p. 7).</w:t>
            </w:r>
            <w:r w:rsidR="001E3B34" w:rsidRPr="001072D0">
              <w:rPr>
                <w:rFonts w:ascii="Calibri" w:hAnsi="Calibri" w:cs="Calibri"/>
                <w:sz w:val="20"/>
                <w:szCs w:val="20"/>
                <w:lang w:val="en-GB"/>
              </w:rPr>
              <w:t xml:space="preserve"> For example</w:t>
            </w:r>
            <w:r w:rsidRPr="001072D0">
              <w:rPr>
                <w:rFonts w:ascii="Calibri" w:hAnsi="Calibri" w:cs="Calibri"/>
                <w:sz w:val="20"/>
                <w:szCs w:val="20"/>
                <w:lang w:val="en-GB"/>
              </w:rPr>
              <w:t>:</w:t>
            </w:r>
            <w:r w:rsidR="001E3B34" w:rsidRPr="001072D0">
              <w:rPr>
                <w:rFonts w:ascii="Calibri" w:hAnsi="Calibri" w:cs="Calibri"/>
                <w:sz w:val="20"/>
                <w:szCs w:val="20"/>
                <w:lang w:val="en-GB"/>
              </w:rPr>
              <w:t xml:space="preserve"> </w:t>
            </w:r>
          </w:p>
          <w:p w14:paraId="0B443E50" w14:textId="02EBEB01" w:rsidR="0089300F" w:rsidRPr="001072D0" w:rsidRDefault="00A61D8F" w:rsidP="00FD71E3">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001E3B34" w:rsidRPr="001072D0">
              <w:rPr>
                <w:rFonts w:ascii="Calibri" w:hAnsi="Calibri" w:cs="Calibri"/>
                <w:i/>
                <w:iCs/>
                <w:sz w:val="20"/>
                <w:szCs w:val="20"/>
                <w:lang w:val="en-GB"/>
              </w:rPr>
              <w:t>t</w:t>
            </w:r>
            <w:r w:rsidRPr="001072D0">
              <w:rPr>
                <w:rFonts w:ascii="Calibri" w:hAnsi="Calibri" w:cs="Calibri"/>
                <w:i/>
                <w:iCs/>
                <w:sz w:val="20"/>
                <w:szCs w:val="20"/>
                <w:lang w:val="en-GB"/>
              </w:rPr>
              <w:t>he</w:t>
            </w:r>
            <w:proofErr w:type="gramEnd"/>
            <w:r w:rsidRPr="001072D0">
              <w:rPr>
                <w:rFonts w:ascii="Calibri" w:hAnsi="Calibri" w:cs="Calibri"/>
                <w:i/>
                <w:iCs/>
                <w:sz w:val="20"/>
                <w:szCs w:val="20"/>
                <w:lang w:val="en-GB"/>
              </w:rPr>
              <w:t xml:space="preserve"> regulation of training contracts is modified, subsidising the totality of social contributions, while improving the salary and recognising the unemployment benefit at the end of the contract” (p. 7)</w:t>
            </w:r>
            <w:r w:rsidR="001E3B34" w:rsidRPr="001072D0">
              <w:rPr>
                <w:rFonts w:ascii="Calibri" w:hAnsi="Calibri" w:cs="Calibri"/>
                <w:i/>
                <w:iCs/>
                <w:sz w:val="20"/>
                <w:szCs w:val="20"/>
                <w:lang w:val="en-GB"/>
              </w:rPr>
              <w:t>.</w:t>
            </w:r>
          </w:p>
        </w:tc>
        <w:tc>
          <w:tcPr>
            <w:tcW w:w="3276" w:type="dxa"/>
          </w:tcPr>
          <w:p w14:paraId="54173C9B" w14:textId="07CAB363"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Employed to expand opportunities for unemployed youth via tailored training schemes.</w:t>
            </w:r>
          </w:p>
        </w:tc>
        <w:tc>
          <w:tcPr>
            <w:tcW w:w="3275" w:type="dxa"/>
          </w:tcPr>
          <w:p w14:paraId="2106C2FB" w14:textId="534743DE"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Apprenticeships are not linked to manufacturing investment.</w:t>
            </w:r>
          </w:p>
        </w:tc>
        <w:tc>
          <w:tcPr>
            <w:tcW w:w="3276" w:type="dxa"/>
          </w:tcPr>
          <w:p w14:paraId="1A7CF355" w14:textId="4A4CE8A0"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strategic manufacturing investment is outlined, despite identification of priority sectors.</w:t>
            </w:r>
          </w:p>
        </w:tc>
      </w:tr>
      <w:tr w:rsidR="00FD71E3" w:rsidRPr="001072D0" w14:paraId="08A1F380" w14:textId="77777777" w:rsidTr="2BEB05FE">
        <w:tc>
          <w:tcPr>
            <w:tcW w:w="846" w:type="dxa"/>
          </w:tcPr>
          <w:p w14:paraId="14207CB9"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2011</w:t>
            </w:r>
          </w:p>
        </w:tc>
        <w:tc>
          <w:tcPr>
            <w:tcW w:w="3275" w:type="dxa"/>
          </w:tcPr>
          <w:p w14:paraId="3D5D8040" w14:textId="56D94413"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Continued emphasis on apprenticeships, as in 2010.</w:t>
            </w:r>
          </w:p>
        </w:tc>
        <w:tc>
          <w:tcPr>
            <w:tcW w:w="3276" w:type="dxa"/>
          </w:tcPr>
          <w:p w14:paraId="470DF62F" w14:textId="3357C1D5"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Maintained as a core youth-employment promotion tool.</w:t>
            </w:r>
          </w:p>
        </w:tc>
        <w:tc>
          <w:tcPr>
            <w:tcW w:w="3275" w:type="dxa"/>
          </w:tcPr>
          <w:p w14:paraId="20EEE360" w14:textId="6EBD5C36" w:rsidR="0089300F" w:rsidRPr="001072D0" w:rsidRDefault="00FD71E3" w:rsidP="0089300F">
            <w:pPr>
              <w:rPr>
                <w:rFonts w:ascii="Calibri" w:hAnsi="Calibri" w:cs="Calibri"/>
                <w:sz w:val="20"/>
                <w:szCs w:val="20"/>
                <w:lang w:val="en-GB"/>
              </w:rPr>
            </w:pPr>
            <w:r w:rsidRPr="001072D0">
              <w:rPr>
                <w:rFonts w:ascii="Calibri" w:hAnsi="Calibri" w:cs="Calibri"/>
                <w:sz w:val="20"/>
                <w:szCs w:val="20"/>
                <w:lang w:val="en-GB"/>
              </w:rPr>
              <w:t xml:space="preserve">There is </w:t>
            </w:r>
            <w:r w:rsidRPr="001072D0">
              <w:rPr>
                <w:rFonts w:ascii="Calibri" w:hAnsi="Calibri" w:cs="Calibri"/>
                <w:b/>
                <w:bCs/>
                <w:sz w:val="20"/>
                <w:szCs w:val="20"/>
                <w:lang w:val="en-GB"/>
              </w:rPr>
              <w:t>no</w:t>
            </w:r>
            <w:r w:rsidRPr="001072D0">
              <w:rPr>
                <w:rFonts w:ascii="Calibri" w:hAnsi="Calibri" w:cs="Calibri"/>
                <w:sz w:val="20"/>
                <w:szCs w:val="20"/>
                <w:lang w:val="en-GB"/>
              </w:rPr>
              <w:t xml:space="preserve"> linkage to manufacturing investment.</w:t>
            </w:r>
          </w:p>
        </w:tc>
        <w:tc>
          <w:tcPr>
            <w:tcW w:w="3276" w:type="dxa"/>
          </w:tcPr>
          <w:p w14:paraId="7DAA483B" w14:textId="024E0B81"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 xml:space="preserve">No </w:t>
            </w:r>
            <w:r w:rsidRPr="001072D0">
              <w:rPr>
                <w:rFonts w:ascii="Calibri" w:hAnsi="Calibri" w:cs="Calibri"/>
                <w:sz w:val="20"/>
                <w:szCs w:val="20"/>
                <w:lang w:val="en-GB"/>
              </w:rPr>
              <w:t>strategic manufacturing investment is noted.</w:t>
            </w:r>
          </w:p>
        </w:tc>
      </w:tr>
      <w:tr w:rsidR="00FD71E3" w:rsidRPr="001072D0" w14:paraId="2CC5D36F" w14:textId="77777777" w:rsidTr="2BEB05FE">
        <w:tc>
          <w:tcPr>
            <w:tcW w:w="846" w:type="dxa"/>
          </w:tcPr>
          <w:p w14:paraId="480736EA" w14:textId="4568E1C1"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2012</w:t>
            </w:r>
          </w:p>
        </w:tc>
        <w:tc>
          <w:tcPr>
            <w:tcW w:w="3275" w:type="dxa"/>
          </w:tcPr>
          <w:p w14:paraId="57D27870" w14:textId="3E21FDD2" w:rsidR="0089300F"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New training-and-apprenticeship contracts alternate paid work with VET-system training (p. 190).</w:t>
            </w:r>
          </w:p>
        </w:tc>
        <w:tc>
          <w:tcPr>
            <w:tcW w:w="3276" w:type="dxa"/>
          </w:tcPr>
          <w:p w14:paraId="6E6867BE" w14:textId="77777777" w:rsidR="00FD71E3"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Positioned as a core measure within broader youth-employment programmes (p. 172). </w:t>
            </w:r>
            <w:r w:rsidR="00244596" w:rsidRPr="001072D0">
              <w:rPr>
                <w:rFonts w:ascii="Calibri" w:hAnsi="Calibri" w:cs="Calibri"/>
                <w:sz w:val="20"/>
                <w:szCs w:val="20"/>
                <w:lang w:val="en-GB"/>
              </w:rPr>
              <w:t>For instance, it is mentioned that</w:t>
            </w:r>
            <w:r w:rsidRPr="001072D0">
              <w:rPr>
                <w:rFonts w:ascii="Calibri" w:hAnsi="Calibri" w:cs="Calibri"/>
                <w:sz w:val="20"/>
                <w:szCs w:val="20"/>
                <w:lang w:val="en-GB"/>
              </w:rPr>
              <w:t>:</w:t>
            </w:r>
            <w:r w:rsidR="00EA1CFD" w:rsidRPr="001072D0">
              <w:rPr>
                <w:rFonts w:ascii="Calibri" w:hAnsi="Calibri" w:cs="Calibri"/>
                <w:sz w:val="20"/>
                <w:szCs w:val="20"/>
                <w:lang w:val="en-GB"/>
              </w:rPr>
              <w:t xml:space="preserve"> </w:t>
            </w:r>
          </w:p>
          <w:p w14:paraId="40633AD4" w14:textId="0C4E6B21" w:rsidR="0089300F" w:rsidRPr="001072D0" w:rsidRDefault="000C3FBB" w:rsidP="00FD71E3">
            <w:pPr>
              <w:pStyle w:val="ListParagraph"/>
              <w:numPr>
                <w:ilvl w:val="0"/>
                <w:numId w:val="19"/>
              </w:numPr>
              <w:rPr>
                <w:rFonts w:ascii="Calibri" w:hAnsi="Calibri" w:cs="Calibri"/>
                <w:i/>
                <w:iCs/>
                <w:sz w:val="20"/>
                <w:szCs w:val="20"/>
                <w:lang w:val="en-GB"/>
              </w:rPr>
            </w:pPr>
            <w:r w:rsidRPr="001072D0">
              <w:rPr>
                <w:rFonts w:ascii="Calibri" w:hAnsi="Calibri" w:cs="Calibri"/>
                <w:i/>
                <w:iCs/>
                <w:sz w:val="20"/>
                <w:szCs w:val="20"/>
                <w:lang w:val="en-GB"/>
              </w:rPr>
              <w:t>“</w:t>
            </w:r>
            <w:proofErr w:type="gramStart"/>
            <w:r w:rsidRPr="001072D0">
              <w:rPr>
                <w:rFonts w:ascii="Calibri" w:hAnsi="Calibri" w:cs="Calibri"/>
                <w:i/>
                <w:iCs/>
                <w:sz w:val="20"/>
                <w:szCs w:val="20"/>
                <w:lang w:val="en-GB"/>
              </w:rPr>
              <w:t>employment</w:t>
            </w:r>
            <w:proofErr w:type="gramEnd"/>
            <w:r w:rsidRPr="001072D0">
              <w:rPr>
                <w:rFonts w:ascii="Calibri" w:hAnsi="Calibri" w:cs="Calibri"/>
                <w:i/>
                <w:iCs/>
                <w:sz w:val="20"/>
                <w:szCs w:val="20"/>
                <w:lang w:val="en-GB"/>
              </w:rPr>
              <w:t xml:space="preserve"> promotion programmes should be enriched with other specific measures to promote youth employment (...). Such measures will include those aimed at developing and </w:t>
            </w:r>
            <w:r w:rsidRPr="001072D0">
              <w:rPr>
                <w:rFonts w:ascii="Calibri" w:hAnsi="Calibri" w:cs="Calibri"/>
                <w:i/>
                <w:iCs/>
                <w:sz w:val="20"/>
                <w:szCs w:val="20"/>
                <w:lang w:val="en-GB"/>
              </w:rPr>
              <w:lastRenderedPageBreak/>
              <w:t>strengthening the new employment contract for training and apprenticeship</w:t>
            </w:r>
            <w:r w:rsidR="00C479C0" w:rsidRPr="001072D0">
              <w:rPr>
                <w:rFonts w:ascii="Calibri" w:hAnsi="Calibri" w:cs="Calibri"/>
                <w:i/>
                <w:iCs/>
                <w:sz w:val="20"/>
                <w:szCs w:val="20"/>
                <w:lang w:val="en-GB"/>
              </w:rPr>
              <w:t>” (p.172)</w:t>
            </w:r>
          </w:p>
        </w:tc>
        <w:tc>
          <w:tcPr>
            <w:tcW w:w="3275" w:type="dxa"/>
          </w:tcPr>
          <w:p w14:paraId="1150B0DE" w14:textId="325D77E4" w:rsidR="001D5EA5" w:rsidRPr="001072D0" w:rsidRDefault="00FD71E3" w:rsidP="00244596">
            <w:pPr>
              <w:rPr>
                <w:rFonts w:ascii="Calibri" w:hAnsi="Calibri" w:cs="Calibri"/>
                <w:sz w:val="20"/>
                <w:szCs w:val="20"/>
                <w:lang w:val="en-GB"/>
              </w:rPr>
            </w:pPr>
            <w:r w:rsidRPr="001072D0">
              <w:rPr>
                <w:rFonts w:ascii="Calibri" w:hAnsi="Calibri" w:cs="Calibri"/>
                <w:b/>
                <w:bCs/>
                <w:sz w:val="20"/>
                <w:szCs w:val="20"/>
                <w:lang w:val="en-GB"/>
              </w:rPr>
              <w:lastRenderedPageBreak/>
              <w:t>No.</w:t>
            </w:r>
            <w:r w:rsidRPr="001072D0">
              <w:rPr>
                <w:rFonts w:ascii="Calibri" w:hAnsi="Calibri" w:cs="Calibri"/>
                <w:sz w:val="20"/>
                <w:szCs w:val="20"/>
                <w:lang w:val="en-GB"/>
              </w:rPr>
              <w:t xml:space="preserve"> Apprenticeships remain unconnected to manufacturing investment.</w:t>
            </w:r>
          </w:p>
        </w:tc>
        <w:tc>
          <w:tcPr>
            <w:tcW w:w="3276" w:type="dxa"/>
          </w:tcPr>
          <w:p w14:paraId="4402A923" w14:textId="0DC1284F" w:rsidR="00FD71E3" w:rsidRPr="001072D0" w:rsidRDefault="00D63BE8" w:rsidP="0089300F">
            <w:pPr>
              <w:rPr>
                <w:rFonts w:ascii="Calibri" w:hAnsi="Calibri" w:cs="Calibri"/>
                <w:sz w:val="20"/>
                <w:szCs w:val="20"/>
                <w:lang w:val="en-GB"/>
              </w:rPr>
            </w:pPr>
            <w:r w:rsidRPr="001072D0">
              <w:rPr>
                <w:rFonts w:ascii="Calibri" w:hAnsi="Calibri" w:cs="Calibri"/>
                <w:b/>
                <w:bCs/>
                <w:sz w:val="20"/>
                <w:szCs w:val="20"/>
                <w:lang w:val="en-GB"/>
              </w:rPr>
              <w:t>To some extent</w:t>
            </w:r>
            <w:r w:rsidR="00FD71E3" w:rsidRPr="001072D0">
              <w:rPr>
                <w:rFonts w:ascii="Calibri" w:hAnsi="Calibri" w:cs="Calibri"/>
                <w:b/>
                <w:bCs/>
                <w:sz w:val="20"/>
                <w:szCs w:val="20"/>
                <w:lang w:val="en-GB"/>
              </w:rPr>
              <w:t xml:space="preserve">. </w:t>
            </w:r>
            <w:r w:rsidR="00FD71E3" w:rsidRPr="001072D0">
              <w:rPr>
                <w:rFonts w:ascii="Calibri" w:hAnsi="Calibri" w:cs="Calibri"/>
                <w:sz w:val="20"/>
                <w:szCs w:val="20"/>
                <w:lang w:val="en-GB"/>
              </w:rPr>
              <w:t>The modernisation of strategic manufacturing sectors is mentioned.</w:t>
            </w:r>
            <w:r w:rsidR="00FD71E3" w:rsidRPr="001072D0">
              <w:rPr>
                <w:rFonts w:ascii="Calibri" w:hAnsi="Calibri" w:cs="Calibri"/>
                <w:b/>
                <w:bCs/>
                <w:sz w:val="20"/>
                <w:szCs w:val="20"/>
                <w:lang w:val="en-GB"/>
              </w:rPr>
              <w:t xml:space="preserve"> </w:t>
            </w:r>
            <w:r w:rsidR="00244596" w:rsidRPr="001072D0">
              <w:rPr>
                <w:rFonts w:ascii="Calibri" w:hAnsi="Calibri" w:cs="Calibri"/>
                <w:sz w:val="20"/>
                <w:szCs w:val="20"/>
                <w:lang w:val="en-GB"/>
              </w:rPr>
              <w:t>For instance, it is mentioned that</w:t>
            </w:r>
            <w:r w:rsidR="00FD71E3" w:rsidRPr="001072D0">
              <w:rPr>
                <w:rFonts w:ascii="Calibri" w:hAnsi="Calibri" w:cs="Calibri"/>
                <w:sz w:val="20"/>
                <w:szCs w:val="20"/>
                <w:lang w:val="en-GB"/>
              </w:rPr>
              <w:t>:</w:t>
            </w:r>
            <w:r w:rsidR="00244596" w:rsidRPr="001072D0">
              <w:rPr>
                <w:rFonts w:ascii="Calibri" w:hAnsi="Calibri" w:cs="Calibri"/>
                <w:sz w:val="20"/>
                <w:szCs w:val="20"/>
                <w:lang w:val="en-GB"/>
              </w:rPr>
              <w:t xml:space="preserve"> </w:t>
            </w:r>
          </w:p>
          <w:p w14:paraId="39D49E33" w14:textId="6AADC1D3" w:rsidR="0089300F" w:rsidRPr="001072D0" w:rsidRDefault="0024328D" w:rsidP="00FD71E3">
            <w:pPr>
              <w:pStyle w:val="ListParagraph"/>
              <w:numPr>
                <w:ilvl w:val="0"/>
                <w:numId w:val="19"/>
              </w:numPr>
              <w:rPr>
                <w:rFonts w:ascii="Calibri" w:hAnsi="Calibri" w:cs="Calibri"/>
                <w:sz w:val="20"/>
                <w:szCs w:val="20"/>
                <w:lang w:val="en-GB"/>
              </w:rPr>
            </w:pPr>
            <w:r w:rsidRPr="001072D0">
              <w:rPr>
                <w:rFonts w:ascii="Calibri" w:hAnsi="Calibri" w:cs="Calibri"/>
                <w:sz w:val="20"/>
                <w:szCs w:val="20"/>
                <w:lang w:val="en-GB"/>
              </w:rPr>
              <w:t>“</w:t>
            </w:r>
            <w:proofErr w:type="gramStart"/>
            <w:r w:rsidR="00244596" w:rsidRPr="001072D0">
              <w:rPr>
                <w:rFonts w:ascii="Calibri" w:hAnsi="Calibri" w:cs="Calibri"/>
                <w:sz w:val="20"/>
                <w:szCs w:val="20"/>
                <w:lang w:val="en-GB"/>
              </w:rPr>
              <w:t>w</w:t>
            </w:r>
            <w:r w:rsidRPr="001072D0">
              <w:rPr>
                <w:rFonts w:ascii="Calibri" w:hAnsi="Calibri" w:cs="Calibri"/>
                <w:sz w:val="20"/>
                <w:szCs w:val="20"/>
                <w:lang w:val="en-GB"/>
              </w:rPr>
              <w:t>ith</w:t>
            </w:r>
            <w:proofErr w:type="gramEnd"/>
            <w:r w:rsidRPr="001072D0">
              <w:rPr>
                <w:rFonts w:ascii="Calibri" w:hAnsi="Calibri" w:cs="Calibri"/>
                <w:sz w:val="20"/>
                <w:szCs w:val="20"/>
                <w:lang w:val="en-GB"/>
              </w:rPr>
              <w:t xml:space="preserve"> the aim of modernising </w:t>
            </w:r>
            <w:r w:rsidR="00244596" w:rsidRPr="001072D0">
              <w:rPr>
                <w:rFonts w:ascii="Calibri" w:hAnsi="Calibri" w:cs="Calibri"/>
                <w:sz w:val="20"/>
                <w:szCs w:val="20"/>
                <w:lang w:val="en-GB"/>
              </w:rPr>
              <w:t xml:space="preserve">the </w:t>
            </w:r>
            <w:r w:rsidRPr="001072D0">
              <w:rPr>
                <w:rFonts w:ascii="Calibri" w:hAnsi="Calibri" w:cs="Calibri"/>
                <w:sz w:val="20"/>
                <w:szCs w:val="20"/>
                <w:lang w:val="en-GB"/>
              </w:rPr>
              <w:t xml:space="preserve">Spanish industry, the Programme for the Promotion of Competitiveness of Strategic Sectors has been revised, opening it up to all </w:t>
            </w:r>
            <w:r w:rsidRPr="001072D0">
              <w:rPr>
                <w:rFonts w:ascii="Calibri" w:hAnsi="Calibri" w:cs="Calibri"/>
                <w:sz w:val="20"/>
                <w:szCs w:val="20"/>
                <w:lang w:val="en-GB"/>
              </w:rPr>
              <w:lastRenderedPageBreak/>
              <w:t>Spanish manufacturing industry”</w:t>
            </w:r>
            <w:r w:rsidR="00FD71E3" w:rsidRPr="001072D0">
              <w:rPr>
                <w:rFonts w:ascii="Calibri" w:hAnsi="Calibri" w:cs="Calibri"/>
                <w:sz w:val="20"/>
                <w:szCs w:val="20"/>
                <w:lang w:val="en-GB"/>
              </w:rPr>
              <w:t xml:space="preserve"> (p.172)</w:t>
            </w:r>
            <w:r w:rsidR="00FE1D90" w:rsidRPr="001072D0">
              <w:rPr>
                <w:rFonts w:ascii="Calibri" w:hAnsi="Calibri" w:cs="Calibri"/>
                <w:sz w:val="20"/>
                <w:szCs w:val="20"/>
                <w:lang w:val="en-GB"/>
              </w:rPr>
              <w:t>.</w:t>
            </w:r>
          </w:p>
        </w:tc>
      </w:tr>
      <w:tr w:rsidR="00FD71E3" w:rsidRPr="001072D0" w14:paraId="40833FD3" w14:textId="77777777" w:rsidTr="2BEB05FE">
        <w:tc>
          <w:tcPr>
            <w:tcW w:w="846" w:type="dxa"/>
          </w:tcPr>
          <w:p w14:paraId="2256F3B0" w14:textId="61AC4065" w:rsidR="00BF018C" w:rsidRPr="001072D0" w:rsidRDefault="00BF018C" w:rsidP="0089300F">
            <w:pPr>
              <w:rPr>
                <w:rFonts w:ascii="Calibri" w:hAnsi="Calibri" w:cs="Calibri"/>
                <w:b/>
                <w:bCs/>
                <w:sz w:val="20"/>
                <w:szCs w:val="20"/>
                <w:lang w:val="en-GB"/>
              </w:rPr>
            </w:pPr>
            <w:r w:rsidRPr="001072D0">
              <w:rPr>
                <w:rFonts w:ascii="Calibri" w:hAnsi="Calibri" w:cs="Calibri"/>
                <w:b/>
                <w:bCs/>
                <w:sz w:val="20"/>
                <w:szCs w:val="20"/>
                <w:lang w:val="en-GB"/>
              </w:rPr>
              <w:lastRenderedPageBreak/>
              <w:t>2013</w:t>
            </w:r>
          </w:p>
        </w:tc>
        <w:tc>
          <w:tcPr>
            <w:tcW w:w="3275" w:type="dxa"/>
          </w:tcPr>
          <w:p w14:paraId="7CCF62E0" w14:textId="4D4B1DAD" w:rsidR="00827536" w:rsidRPr="001072D0" w:rsidRDefault="00FD71E3" w:rsidP="00256DEC">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Presented as an education and labour-market policy primarily aimed at young people (p. 70).</w:t>
            </w:r>
          </w:p>
        </w:tc>
        <w:tc>
          <w:tcPr>
            <w:tcW w:w="3276" w:type="dxa"/>
          </w:tcPr>
          <w:p w14:paraId="3B113791" w14:textId="6EF632FE" w:rsidR="00BF018C"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Explicitly linked to enhancing youth labour-market insertion via training (p. 134).</w:t>
            </w:r>
          </w:p>
        </w:tc>
        <w:tc>
          <w:tcPr>
            <w:tcW w:w="3275" w:type="dxa"/>
          </w:tcPr>
          <w:p w14:paraId="1E8D89D3" w14:textId="7FF99459" w:rsidR="00BF018C"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link to manufacturing investment is specified.</w:t>
            </w:r>
          </w:p>
        </w:tc>
        <w:tc>
          <w:tcPr>
            <w:tcW w:w="3276" w:type="dxa"/>
          </w:tcPr>
          <w:p w14:paraId="36ED1674" w14:textId="7F71B819" w:rsidR="00BF018C"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To some extent.</w:t>
            </w:r>
            <w:r w:rsidRPr="001072D0">
              <w:rPr>
                <w:rFonts w:ascii="Calibri" w:hAnsi="Calibri" w:cs="Calibri"/>
                <w:sz w:val="20"/>
                <w:szCs w:val="20"/>
                <w:lang w:val="en-GB"/>
              </w:rPr>
              <w:t xml:space="preserve"> Textiles and paper manufacturing are highlighted as SME growth opportunities (p. 66).</w:t>
            </w:r>
          </w:p>
        </w:tc>
      </w:tr>
      <w:tr w:rsidR="00FD71E3" w:rsidRPr="001072D0" w14:paraId="609E28B8" w14:textId="77777777" w:rsidTr="2BEB05FE">
        <w:tc>
          <w:tcPr>
            <w:tcW w:w="846" w:type="dxa"/>
          </w:tcPr>
          <w:p w14:paraId="1FA19DA4" w14:textId="330F0783" w:rsidR="00BF018C" w:rsidRPr="001072D0" w:rsidRDefault="00BF018C" w:rsidP="0089300F">
            <w:pPr>
              <w:rPr>
                <w:rFonts w:ascii="Calibri" w:hAnsi="Calibri" w:cs="Calibri"/>
                <w:b/>
                <w:bCs/>
                <w:sz w:val="20"/>
                <w:szCs w:val="20"/>
                <w:lang w:val="en-GB"/>
              </w:rPr>
            </w:pPr>
            <w:r w:rsidRPr="001072D0">
              <w:rPr>
                <w:rFonts w:ascii="Calibri" w:hAnsi="Calibri" w:cs="Calibri"/>
                <w:b/>
                <w:bCs/>
                <w:sz w:val="20"/>
                <w:szCs w:val="20"/>
                <w:lang w:val="en-GB"/>
              </w:rPr>
              <w:t>2014</w:t>
            </w:r>
          </w:p>
        </w:tc>
        <w:tc>
          <w:tcPr>
            <w:tcW w:w="3275" w:type="dxa"/>
          </w:tcPr>
          <w:p w14:paraId="1629664F" w14:textId="1B2EF249" w:rsidR="00BF018C" w:rsidRPr="001072D0" w:rsidRDefault="00FD71E3" w:rsidP="0089300F">
            <w:pPr>
              <w:rPr>
                <w:rFonts w:ascii="Calibri" w:hAnsi="Calibri" w:cs="Calibri"/>
                <w:sz w:val="20"/>
                <w:szCs w:val="20"/>
                <w:lang w:val="en-GB"/>
              </w:rPr>
            </w:pPr>
            <w:r w:rsidRPr="001072D0">
              <w:rPr>
                <w:rFonts w:ascii="Calibri" w:hAnsi="Calibri" w:cs="Calibri"/>
                <w:b/>
                <w:bCs/>
                <w:sz w:val="20"/>
                <w:szCs w:val="20"/>
                <w:lang w:val="en-GB"/>
              </w:rPr>
              <w:t>To some extent</w:t>
            </w:r>
            <w:r w:rsidR="00F974AF" w:rsidRPr="001072D0">
              <w:rPr>
                <w:rFonts w:ascii="Calibri" w:hAnsi="Calibri" w:cs="Calibri"/>
                <w:b/>
                <w:bCs/>
                <w:sz w:val="20"/>
                <w:szCs w:val="20"/>
                <w:lang w:val="en-GB"/>
              </w:rPr>
              <w:t>.</w:t>
            </w:r>
            <w:r w:rsidR="00F974AF" w:rsidRPr="001072D0">
              <w:rPr>
                <w:rFonts w:ascii="Calibri" w:hAnsi="Calibri" w:cs="Calibri"/>
                <w:sz w:val="20"/>
                <w:szCs w:val="20"/>
                <w:lang w:val="en-GB"/>
              </w:rPr>
              <w:t xml:space="preserve"> </w:t>
            </w:r>
            <w:r w:rsidRPr="001072D0">
              <w:rPr>
                <w:rFonts w:ascii="Calibri" w:hAnsi="Calibri" w:cs="Calibri"/>
                <w:sz w:val="20"/>
                <w:szCs w:val="20"/>
                <w:lang w:val="en-GB"/>
              </w:rPr>
              <w:t>Only mentioned in policy evaluations, not in new reforms.</w:t>
            </w:r>
          </w:p>
        </w:tc>
        <w:tc>
          <w:tcPr>
            <w:tcW w:w="3276" w:type="dxa"/>
          </w:tcPr>
          <w:p w14:paraId="4D46B459" w14:textId="11AF4016" w:rsidR="00BF018C"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Listed as a dual-training measure to combat unemployment and social exclusion (p. 149).</w:t>
            </w:r>
          </w:p>
        </w:tc>
        <w:tc>
          <w:tcPr>
            <w:tcW w:w="3275" w:type="dxa"/>
          </w:tcPr>
          <w:p w14:paraId="2C819765" w14:textId="467BBA21" w:rsidR="00BF018C"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Apprenticeships are </w:t>
            </w:r>
            <w:r w:rsidRPr="001072D0">
              <w:rPr>
                <w:rFonts w:ascii="Calibri" w:hAnsi="Calibri" w:cs="Calibri"/>
                <w:b/>
                <w:bCs/>
                <w:sz w:val="20"/>
                <w:szCs w:val="20"/>
                <w:lang w:val="en-GB"/>
              </w:rPr>
              <w:t>not</w:t>
            </w:r>
            <w:r w:rsidRPr="001072D0">
              <w:rPr>
                <w:rFonts w:ascii="Calibri" w:hAnsi="Calibri" w:cs="Calibri"/>
                <w:sz w:val="20"/>
                <w:szCs w:val="20"/>
                <w:lang w:val="en-GB"/>
              </w:rPr>
              <w:t xml:space="preserve"> connected to manufacturing investment.</w:t>
            </w:r>
          </w:p>
        </w:tc>
        <w:tc>
          <w:tcPr>
            <w:tcW w:w="3276" w:type="dxa"/>
          </w:tcPr>
          <w:p w14:paraId="0299C819" w14:textId="0686A013" w:rsidR="00BF018C"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To some extent.</w:t>
            </w:r>
            <w:r w:rsidRPr="001072D0">
              <w:rPr>
                <w:rFonts w:ascii="Calibri" w:hAnsi="Calibri" w:cs="Calibri"/>
                <w:sz w:val="20"/>
                <w:szCs w:val="20"/>
                <w:lang w:val="en-GB"/>
              </w:rPr>
              <w:t xml:space="preserve"> Post-crisis industrial recovery and SME support are emphasised (pp. 75–76).</w:t>
            </w:r>
          </w:p>
        </w:tc>
      </w:tr>
      <w:tr w:rsidR="00FD71E3" w:rsidRPr="001072D0" w14:paraId="4FE816EA" w14:textId="77777777" w:rsidTr="2BEB05FE">
        <w:tc>
          <w:tcPr>
            <w:tcW w:w="846" w:type="dxa"/>
          </w:tcPr>
          <w:p w14:paraId="3C4D190C"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2015</w:t>
            </w:r>
          </w:p>
        </w:tc>
        <w:tc>
          <w:tcPr>
            <w:tcW w:w="3275" w:type="dxa"/>
          </w:tcPr>
          <w:p w14:paraId="74C6C563" w14:textId="236928D1"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To some extent</w:t>
            </w:r>
            <w:r w:rsidR="00F974AF" w:rsidRPr="001072D0">
              <w:rPr>
                <w:rFonts w:ascii="Calibri" w:hAnsi="Calibri" w:cs="Calibri"/>
                <w:b/>
                <w:bCs/>
                <w:sz w:val="20"/>
                <w:szCs w:val="20"/>
                <w:lang w:val="en-GB"/>
              </w:rPr>
              <w:t>.</w:t>
            </w:r>
            <w:r w:rsidR="00F974AF" w:rsidRPr="001072D0">
              <w:rPr>
                <w:rFonts w:ascii="Calibri" w:hAnsi="Calibri" w:cs="Calibri"/>
                <w:sz w:val="20"/>
                <w:szCs w:val="20"/>
                <w:lang w:val="en-GB"/>
              </w:rPr>
              <w:t xml:space="preserve"> </w:t>
            </w:r>
            <w:r w:rsidRPr="001072D0">
              <w:rPr>
                <w:rFonts w:ascii="Calibri" w:hAnsi="Calibri" w:cs="Calibri"/>
                <w:sz w:val="20"/>
                <w:szCs w:val="20"/>
                <w:lang w:val="en-GB"/>
              </w:rPr>
              <w:t>Only mentioned in evaluations, not introduced as a policy.</w:t>
            </w:r>
          </w:p>
        </w:tc>
        <w:tc>
          <w:tcPr>
            <w:tcW w:w="3276" w:type="dxa"/>
          </w:tcPr>
          <w:p w14:paraId="088F539D" w14:textId="1E92D8B9"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Reinforcing apprenticeships aligns with broader employment, anti-poverty and qualification objectives (p. 171).</w:t>
            </w:r>
          </w:p>
        </w:tc>
        <w:tc>
          <w:tcPr>
            <w:tcW w:w="3275" w:type="dxa"/>
          </w:tcPr>
          <w:p w14:paraId="4993D1A4" w14:textId="00DDB40A" w:rsidR="0089300F"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There is </w:t>
            </w:r>
            <w:r w:rsidRPr="001072D0">
              <w:rPr>
                <w:rFonts w:ascii="Calibri" w:hAnsi="Calibri" w:cs="Calibri"/>
                <w:b/>
                <w:bCs/>
                <w:sz w:val="20"/>
                <w:szCs w:val="20"/>
                <w:lang w:val="en-GB"/>
              </w:rPr>
              <w:t>no</w:t>
            </w:r>
            <w:r w:rsidRPr="001072D0">
              <w:rPr>
                <w:rFonts w:ascii="Calibri" w:hAnsi="Calibri" w:cs="Calibri"/>
                <w:sz w:val="20"/>
                <w:szCs w:val="20"/>
                <w:lang w:val="en-GB"/>
              </w:rPr>
              <w:t xml:space="preserve"> link to manufacturing investment.</w:t>
            </w:r>
          </w:p>
        </w:tc>
        <w:tc>
          <w:tcPr>
            <w:tcW w:w="3276" w:type="dxa"/>
          </w:tcPr>
          <w:p w14:paraId="7D877032" w14:textId="27FC1F53" w:rsidR="00E132DE" w:rsidRPr="001072D0" w:rsidRDefault="004203BE" w:rsidP="004203BE">
            <w:pPr>
              <w:rPr>
                <w:rFonts w:ascii="Calibri" w:hAnsi="Calibri" w:cs="Calibri"/>
                <w:sz w:val="20"/>
                <w:szCs w:val="20"/>
                <w:lang w:val="en-GB"/>
              </w:rPr>
            </w:pPr>
            <w:r w:rsidRPr="001072D0">
              <w:rPr>
                <w:rFonts w:ascii="Calibri" w:hAnsi="Calibri" w:cs="Calibri"/>
                <w:b/>
                <w:bCs/>
                <w:sz w:val="20"/>
                <w:szCs w:val="20"/>
                <w:lang w:val="en-GB"/>
              </w:rPr>
              <w:t>To some extent.</w:t>
            </w:r>
            <w:r w:rsidRPr="001072D0">
              <w:rPr>
                <w:rFonts w:ascii="Calibri" w:hAnsi="Calibri" w:cs="Calibri"/>
                <w:sz w:val="20"/>
                <w:szCs w:val="20"/>
                <w:lang w:val="en-GB"/>
              </w:rPr>
              <w:t xml:space="preserve"> The Agenda for Strengthening the Industrial Sector (2014) is referenced.</w:t>
            </w:r>
          </w:p>
        </w:tc>
      </w:tr>
      <w:tr w:rsidR="00FD71E3" w:rsidRPr="001072D0" w14:paraId="4379CB0D" w14:textId="77777777" w:rsidTr="2BEB05FE">
        <w:tc>
          <w:tcPr>
            <w:tcW w:w="846" w:type="dxa"/>
          </w:tcPr>
          <w:p w14:paraId="15C3E674"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2016</w:t>
            </w:r>
          </w:p>
        </w:tc>
        <w:tc>
          <w:tcPr>
            <w:tcW w:w="3275" w:type="dxa"/>
          </w:tcPr>
          <w:p w14:paraId="176CA2A5" w14:textId="228FE495"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apprenticeships are mentioned.</w:t>
            </w:r>
          </w:p>
        </w:tc>
        <w:tc>
          <w:tcPr>
            <w:tcW w:w="3276" w:type="dxa"/>
          </w:tcPr>
          <w:p w14:paraId="3DA857C1" w14:textId="4D0CE567" w:rsidR="0089300F"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There is </w:t>
            </w:r>
            <w:r w:rsidRPr="001072D0">
              <w:rPr>
                <w:rFonts w:ascii="Calibri" w:hAnsi="Calibri" w:cs="Calibri"/>
                <w:b/>
                <w:bCs/>
                <w:sz w:val="20"/>
                <w:szCs w:val="20"/>
                <w:lang w:val="en-GB"/>
              </w:rPr>
              <w:t>no</w:t>
            </w:r>
            <w:r w:rsidRPr="001072D0">
              <w:rPr>
                <w:rFonts w:ascii="Calibri" w:hAnsi="Calibri" w:cs="Calibri"/>
                <w:sz w:val="20"/>
                <w:szCs w:val="20"/>
                <w:lang w:val="en-GB"/>
              </w:rPr>
              <w:t xml:space="preserve"> linkage to youth unemployment.</w:t>
            </w:r>
          </w:p>
        </w:tc>
        <w:tc>
          <w:tcPr>
            <w:tcW w:w="3275" w:type="dxa"/>
          </w:tcPr>
          <w:p w14:paraId="594B630B" w14:textId="5E320248" w:rsidR="0089300F"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Apprenticeships are </w:t>
            </w:r>
            <w:r w:rsidRPr="001072D0">
              <w:rPr>
                <w:rFonts w:ascii="Calibri" w:hAnsi="Calibri" w:cs="Calibri"/>
                <w:b/>
                <w:bCs/>
                <w:sz w:val="20"/>
                <w:szCs w:val="20"/>
                <w:lang w:val="en-GB"/>
              </w:rPr>
              <w:t>not</w:t>
            </w:r>
            <w:r w:rsidRPr="001072D0">
              <w:rPr>
                <w:rFonts w:ascii="Calibri" w:hAnsi="Calibri" w:cs="Calibri"/>
                <w:sz w:val="20"/>
                <w:szCs w:val="20"/>
                <w:lang w:val="en-GB"/>
              </w:rPr>
              <w:t xml:space="preserve"> linked to manufacturing investment.</w:t>
            </w:r>
          </w:p>
        </w:tc>
        <w:tc>
          <w:tcPr>
            <w:tcW w:w="3276" w:type="dxa"/>
          </w:tcPr>
          <w:p w14:paraId="7E3B4959" w14:textId="40F0EB5E" w:rsidR="0089300F" w:rsidRPr="001072D0" w:rsidRDefault="004203BE" w:rsidP="00857526">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Emphasises strengthening the industrial sector via integrated competitiveness policies (p. 50).</w:t>
            </w:r>
          </w:p>
        </w:tc>
      </w:tr>
      <w:tr w:rsidR="00FD71E3" w:rsidRPr="001072D0" w14:paraId="214506A9" w14:textId="77777777" w:rsidTr="2BEB05FE">
        <w:tc>
          <w:tcPr>
            <w:tcW w:w="846" w:type="dxa"/>
          </w:tcPr>
          <w:p w14:paraId="326F84F8"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2017</w:t>
            </w:r>
          </w:p>
        </w:tc>
        <w:tc>
          <w:tcPr>
            <w:tcW w:w="3275" w:type="dxa"/>
          </w:tcPr>
          <w:p w14:paraId="7B4CF05D" w14:textId="48D99079" w:rsidR="0089300F"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Apprenticeships are </w:t>
            </w:r>
            <w:r w:rsidRPr="001072D0">
              <w:rPr>
                <w:rFonts w:ascii="Calibri" w:hAnsi="Calibri" w:cs="Calibri"/>
                <w:b/>
                <w:bCs/>
                <w:sz w:val="20"/>
                <w:szCs w:val="20"/>
                <w:lang w:val="en-GB"/>
              </w:rPr>
              <w:t>not</w:t>
            </w:r>
            <w:r w:rsidRPr="001072D0">
              <w:rPr>
                <w:rFonts w:ascii="Calibri" w:hAnsi="Calibri" w:cs="Calibri"/>
                <w:sz w:val="20"/>
                <w:szCs w:val="20"/>
                <w:lang w:val="en-GB"/>
              </w:rPr>
              <w:t xml:space="preserve"> mentioned.</w:t>
            </w:r>
          </w:p>
        </w:tc>
        <w:tc>
          <w:tcPr>
            <w:tcW w:w="3276" w:type="dxa"/>
          </w:tcPr>
          <w:p w14:paraId="51AE0A8F" w14:textId="6D5A5177"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linkage to youth unemployment is indicated.</w:t>
            </w:r>
          </w:p>
        </w:tc>
        <w:tc>
          <w:tcPr>
            <w:tcW w:w="3275" w:type="dxa"/>
          </w:tcPr>
          <w:p w14:paraId="3B7B1469" w14:textId="2EA85F11"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connection to manufacturing investment is present.</w:t>
            </w:r>
          </w:p>
        </w:tc>
        <w:tc>
          <w:tcPr>
            <w:tcW w:w="3276" w:type="dxa"/>
          </w:tcPr>
          <w:p w14:paraId="1CD7E3A6" w14:textId="3B6871AD"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Endorses CEOE proposals for a manufacturing-centred industrial policy targeting 20 per cent of GDP by 2020 (p. 84).</w:t>
            </w:r>
          </w:p>
        </w:tc>
      </w:tr>
      <w:tr w:rsidR="00FD71E3" w:rsidRPr="001072D0" w14:paraId="48B6443D" w14:textId="77777777" w:rsidTr="2BEB05FE">
        <w:tc>
          <w:tcPr>
            <w:tcW w:w="846" w:type="dxa"/>
          </w:tcPr>
          <w:p w14:paraId="701D5370"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2018</w:t>
            </w:r>
          </w:p>
        </w:tc>
        <w:tc>
          <w:tcPr>
            <w:tcW w:w="3275" w:type="dxa"/>
          </w:tcPr>
          <w:p w14:paraId="3016EBEB" w14:textId="30C9D018" w:rsidR="0089300F" w:rsidRPr="001072D0" w:rsidRDefault="004203BE" w:rsidP="2BEB05FE">
            <w:pPr>
              <w:rPr>
                <w:rFonts w:ascii="Calibri" w:hAnsi="Calibri" w:cs="Calibri"/>
                <w:sz w:val="20"/>
                <w:szCs w:val="20"/>
              </w:rPr>
            </w:pPr>
            <w:r w:rsidRPr="001072D0">
              <w:rPr>
                <w:rFonts w:ascii="Calibri" w:hAnsi="Calibri" w:cs="Calibri"/>
                <w:b/>
                <w:bCs/>
                <w:sz w:val="20"/>
                <w:szCs w:val="20"/>
              </w:rPr>
              <w:t>Yes.</w:t>
            </w:r>
            <w:r w:rsidRPr="001072D0">
              <w:rPr>
                <w:rFonts w:ascii="Calibri" w:hAnsi="Calibri" w:cs="Calibri"/>
                <w:sz w:val="20"/>
                <w:szCs w:val="20"/>
              </w:rPr>
              <w:t xml:space="preserve"> Apprenticeships are reinforced to increase youth employment (p. 73).</w:t>
            </w:r>
          </w:p>
        </w:tc>
        <w:tc>
          <w:tcPr>
            <w:tcW w:w="3276" w:type="dxa"/>
          </w:tcPr>
          <w:p w14:paraId="7A657680" w14:textId="6535002B"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Viewed as a qualification pathway to boost youth employment.</w:t>
            </w:r>
          </w:p>
        </w:tc>
        <w:tc>
          <w:tcPr>
            <w:tcW w:w="3275" w:type="dxa"/>
          </w:tcPr>
          <w:p w14:paraId="40C7F710" w14:textId="3F8F3654" w:rsidR="003E5328" w:rsidRPr="001072D0" w:rsidRDefault="004203BE" w:rsidP="003E5328">
            <w:pPr>
              <w:rPr>
                <w:rFonts w:ascii="Calibri" w:hAnsi="Calibri" w:cs="Calibri"/>
                <w:sz w:val="20"/>
                <w:szCs w:val="20"/>
                <w:lang w:val="en-GB"/>
              </w:rPr>
            </w:pPr>
            <w:r w:rsidRPr="001072D0">
              <w:rPr>
                <w:rFonts w:ascii="Calibri" w:hAnsi="Calibri" w:cs="Calibri"/>
                <w:sz w:val="20"/>
                <w:szCs w:val="20"/>
                <w:lang w:val="en-GB"/>
              </w:rPr>
              <w:t xml:space="preserve">Apprenticeships are </w:t>
            </w:r>
            <w:r w:rsidRPr="001072D0">
              <w:rPr>
                <w:rFonts w:ascii="Calibri" w:hAnsi="Calibri" w:cs="Calibri"/>
                <w:b/>
                <w:bCs/>
                <w:sz w:val="20"/>
                <w:szCs w:val="20"/>
                <w:lang w:val="en-GB"/>
              </w:rPr>
              <w:t>not</w:t>
            </w:r>
            <w:r w:rsidRPr="001072D0">
              <w:rPr>
                <w:rFonts w:ascii="Calibri" w:hAnsi="Calibri" w:cs="Calibri"/>
                <w:sz w:val="20"/>
                <w:szCs w:val="20"/>
                <w:lang w:val="en-GB"/>
              </w:rPr>
              <w:t xml:space="preserve"> linked to manufacturing investment.</w:t>
            </w:r>
          </w:p>
          <w:p w14:paraId="2DD4C458" w14:textId="70D96FCC" w:rsidR="0089300F" w:rsidRPr="001072D0" w:rsidRDefault="0089300F" w:rsidP="0089300F">
            <w:pPr>
              <w:rPr>
                <w:rFonts w:ascii="Calibri" w:hAnsi="Calibri" w:cs="Calibri"/>
                <w:sz w:val="20"/>
                <w:szCs w:val="20"/>
                <w:lang w:val="en-GB"/>
              </w:rPr>
            </w:pPr>
          </w:p>
        </w:tc>
        <w:tc>
          <w:tcPr>
            <w:tcW w:w="3276" w:type="dxa"/>
          </w:tcPr>
          <w:p w14:paraId="7391E5F9" w14:textId="0BBFD016" w:rsidR="004F121C"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Introduces sectoral agendas for key manufacturing industries to foster sustainable growth (p. 139).</w:t>
            </w:r>
          </w:p>
          <w:p w14:paraId="21800E6E" w14:textId="4F2FC919" w:rsidR="0089300F" w:rsidRPr="001072D0" w:rsidRDefault="0089300F" w:rsidP="0089300F">
            <w:pPr>
              <w:rPr>
                <w:rFonts w:ascii="Calibri" w:hAnsi="Calibri" w:cs="Calibri"/>
                <w:sz w:val="20"/>
                <w:szCs w:val="20"/>
                <w:lang w:val="en-GB"/>
              </w:rPr>
            </w:pPr>
          </w:p>
        </w:tc>
      </w:tr>
      <w:tr w:rsidR="00FD71E3" w:rsidRPr="001072D0" w14:paraId="24D44F44" w14:textId="77777777" w:rsidTr="2BEB05FE">
        <w:tc>
          <w:tcPr>
            <w:tcW w:w="846" w:type="dxa"/>
          </w:tcPr>
          <w:p w14:paraId="1364AD6E" w14:textId="77777777" w:rsidR="0089300F" w:rsidRPr="001072D0" w:rsidRDefault="0089300F" w:rsidP="0089300F">
            <w:pPr>
              <w:rPr>
                <w:rFonts w:ascii="Calibri" w:hAnsi="Calibri" w:cs="Calibri"/>
                <w:b/>
                <w:bCs/>
                <w:sz w:val="20"/>
                <w:szCs w:val="20"/>
                <w:lang w:val="en-GB"/>
              </w:rPr>
            </w:pPr>
            <w:r w:rsidRPr="001072D0">
              <w:rPr>
                <w:rFonts w:ascii="Calibri" w:hAnsi="Calibri" w:cs="Calibri"/>
                <w:b/>
                <w:bCs/>
                <w:sz w:val="20"/>
                <w:szCs w:val="20"/>
                <w:lang w:val="en-GB"/>
              </w:rPr>
              <w:t>2019</w:t>
            </w:r>
          </w:p>
        </w:tc>
        <w:tc>
          <w:tcPr>
            <w:tcW w:w="3275" w:type="dxa"/>
          </w:tcPr>
          <w:p w14:paraId="185E2390" w14:textId="7CC8B152" w:rsidR="0089300F" w:rsidRPr="001072D0" w:rsidRDefault="004203BE" w:rsidP="00EE633B">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Apprenticeships facilitate cooperation between education and enterprises.</w:t>
            </w:r>
          </w:p>
        </w:tc>
        <w:tc>
          <w:tcPr>
            <w:tcW w:w="3276" w:type="dxa"/>
          </w:tcPr>
          <w:p w14:paraId="6E87138A" w14:textId="71D86B00" w:rsidR="0089300F" w:rsidRPr="001072D0" w:rsidRDefault="004203BE" w:rsidP="0089300F">
            <w:pPr>
              <w:rPr>
                <w:rFonts w:ascii="Calibri" w:hAnsi="Calibri" w:cs="Calibri"/>
                <w:sz w:val="20"/>
                <w:szCs w:val="20"/>
                <w:lang w:val="en-GB"/>
              </w:rPr>
            </w:pPr>
            <w:r w:rsidRPr="001072D0">
              <w:rPr>
                <w:rFonts w:ascii="Calibri" w:hAnsi="Calibri" w:cs="Calibri"/>
                <w:b/>
                <w:bCs/>
                <w:sz w:val="20"/>
                <w:szCs w:val="20"/>
                <w:lang w:val="en-GB"/>
              </w:rPr>
              <w:t>No</w:t>
            </w:r>
            <w:r w:rsidRPr="001072D0">
              <w:rPr>
                <w:rFonts w:ascii="Calibri" w:hAnsi="Calibri" w:cs="Calibri"/>
                <w:sz w:val="20"/>
                <w:szCs w:val="20"/>
                <w:lang w:val="en-GB"/>
              </w:rPr>
              <w:t xml:space="preserve"> connection to youth unemployment is specified.</w:t>
            </w:r>
          </w:p>
        </w:tc>
        <w:tc>
          <w:tcPr>
            <w:tcW w:w="3275" w:type="dxa"/>
          </w:tcPr>
          <w:p w14:paraId="1BED1491" w14:textId="4504E1E9" w:rsidR="0089300F" w:rsidRPr="001072D0" w:rsidRDefault="004203BE" w:rsidP="0089300F">
            <w:pPr>
              <w:rPr>
                <w:rFonts w:ascii="Calibri" w:hAnsi="Calibri" w:cs="Calibri"/>
                <w:sz w:val="20"/>
                <w:szCs w:val="20"/>
                <w:lang w:val="en-GB"/>
              </w:rPr>
            </w:pPr>
            <w:r w:rsidRPr="001072D0">
              <w:rPr>
                <w:rFonts w:ascii="Calibri" w:hAnsi="Calibri" w:cs="Calibri"/>
                <w:sz w:val="20"/>
                <w:szCs w:val="20"/>
                <w:lang w:val="en-GB"/>
              </w:rPr>
              <w:t xml:space="preserve">There is </w:t>
            </w:r>
            <w:r w:rsidRPr="001072D0">
              <w:rPr>
                <w:rFonts w:ascii="Calibri" w:hAnsi="Calibri" w:cs="Calibri"/>
                <w:b/>
                <w:bCs/>
                <w:sz w:val="20"/>
                <w:szCs w:val="20"/>
                <w:lang w:val="en-GB"/>
              </w:rPr>
              <w:t>no</w:t>
            </w:r>
            <w:r w:rsidRPr="001072D0">
              <w:rPr>
                <w:rFonts w:ascii="Calibri" w:hAnsi="Calibri" w:cs="Calibri"/>
                <w:sz w:val="20"/>
                <w:szCs w:val="20"/>
                <w:lang w:val="en-GB"/>
              </w:rPr>
              <w:t xml:space="preserve"> linkage to manufacturing investment.</w:t>
            </w:r>
          </w:p>
        </w:tc>
        <w:tc>
          <w:tcPr>
            <w:tcW w:w="3276" w:type="dxa"/>
          </w:tcPr>
          <w:p w14:paraId="4F05993B" w14:textId="67A363B3" w:rsidR="00EE218F" w:rsidRPr="001072D0" w:rsidRDefault="004203BE" w:rsidP="00C26669">
            <w:pPr>
              <w:rPr>
                <w:rFonts w:ascii="Calibri" w:hAnsi="Calibri" w:cs="Calibri"/>
                <w:sz w:val="20"/>
                <w:szCs w:val="20"/>
                <w:lang w:val="en-GB"/>
              </w:rPr>
            </w:pPr>
            <w:r w:rsidRPr="001072D0">
              <w:rPr>
                <w:rFonts w:ascii="Calibri" w:hAnsi="Calibri" w:cs="Calibri"/>
                <w:b/>
                <w:bCs/>
                <w:sz w:val="20"/>
                <w:szCs w:val="20"/>
                <w:lang w:val="en-GB"/>
              </w:rPr>
              <w:t>Yes.</w:t>
            </w:r>
            <w:r w:rsidRPr="001072D0">
              <w:rPr>
                <w:rFonts w:ascii="Calibri" w:hAnsi="Calibri" w:cs="Calibri"/>
                <w:sz w:val="20"/>
                <w:szCs w:val="20"/>
                <w:lang w:val="en-GB"/>
              </w:rPr>
              <w:t xml:space="preserve"> Aligns with the New Spanish Industrial Policy 2030 and the Strategic Plan for Comprehensive Support to the Automotive Sector 2019–2025 (p. 29).</w:t>
            </w:r>
          </w:p>
        </w:tc>
      </w:tr>
    </w:tbl>
    <w:p w14:paraId="7794333F" w14:textId="0B7EED01" w:rsidR="00D63BE8" w:rsidRPr="001072D0" w:rsidRDefault="008F65AE" w:rsidP="00D63BE8">
      <w:pPr>
        <w:contextualSpacing/>
        <w:rPr>
          <w:rFonts w:ascii="Calibri" w:hAnsi="Calibri" w:cs="Calibri"/>
          <w:sz w:val="20"/>
          <w:szCs w:val="20"/>
          <w:lang w:val="en-PT"/>
        </w:rPr>
      </w:pPr>
      <w:r w:rsidRPr="001072D0">
        <w:rPr>
          <w:rFonts w:ascii="Calibri" w:hAnsi="Calibri" w:cs="Calibri"/>
          <w:b/>
          <w:bCs/>
          <w:sz w:val="20"/>
          <w:szCs w:val="20"/>
          <w:lang w:val="en-PT"/>
        </w:rPr>
        <w:t>Source:</w:t>
      </w:r>
      <w:r w:rsidRPr="001072D0">
        <w:rPr>
          <w:rFonts w:ascii="Calibri" w:hAnsi="Calibri" w:cs="Calibri"/>
          <w:sz w:val="20"/>
          <w:szCs w:val="20"/>
          <w:lang w:val="en-PT"/>
        </w:rPr>
        <w:t> Spanish Government (2005, 2010–2019).</w:t>
      </w:r>
    </w:p>
    <w:sectPr w:rsidR="00D63BE8" w:rsidRPr="001072D0" w:rsidSect="00685B52">
      <w:footerReference w:type="even"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845F" w14:textId="77777777" w:rsidR="00F36BA4" w:rsidRDefault="00F36BA4" w:rsidP="00E51408">
      <w:r>
        <w:separator/>
      </w:r>
    </w:p>
  </w:endnote>
  <w:endnote w:type="continuationSeparator" w:id="0">
    <w:p w14:paraId="6C6418B7" w14:textId="77777777" w:rsidR="00F36BA4" w:rsidRDefault="00F36BA4" w:rsidP="00E5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098173"/>
      <w:docPartObj>
        <w:docPartGallery w:val="Page Numbers (Bottom of Page)"/>
        <w:docPartUnique/>
      </w:docPartObj>
    </w:sdtPr>
    <w:sdtContent>
      <w:p w14:paraId="7EC0FC94" w14:textId="307610A8" w:rsidR="008F65AE" w:rsidRDefault="008F65AE" w:rsidP="00E31C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F55F2" w14:textId="77777777" w:rsidR="008F65AE" w:rsidRDefault="008F65AE" w:rsidP="008F6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8108951"/>
      <w:docPartObj>
        <w:docPartGallery w:val="Page Numbers (Bottom of Page)"/>
        <w:docPartUnique/>
      </w:docPartObj>
    </w:sdtPr>
    <w:sdtContent>
      <w:p w14:paraId="7733AAB4" w14:textId="437A1763" w:rsidR="008F65AE" w:rsidRDefault="008F65AE" w:rsidP="00E31C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134F1F8" w14:textId="77777777" w:rsidR="008F65AE" w:rsidRDefault="008F65AE" w:rsidP="008F65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5F48" w14:textId="77777777" w:rsidR="00F36BA4" w:rsidRDefault="00F36BA4" w:rsidP="00E51408">
      <w:r>
        <w:separator/>
      </w:r>
    </w:p>
  </w:footnote>
  <w:footnote w:type="continuationSeparator" w:id="0">
    <w:p w14:paraId="325D4D84" w14:textId="77777777" w:rsidR="00F36BA4" w:rsidRDefault="00F36BA4" w:rsidP="00E51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25489D"/>
    <w:multiLevelType w:val="hybridMultilevel"/>
    <w:tmpl w:val="C63A4E3C"/>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CC70E4"/>
    <w:multiLevelType w:val="hybridMultilevel"/>
    <w:tmpl w:val="3B5EF52E"/>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4534B"/>
    <w:multiLevelType w:val="hybridMultilevel"/>
    <w:tmpl w:val="F1CA91F2"/>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A4847"/>
    <w:multiLevelType w:val="hybridMultilevel"/>
    <w:tmpl w:val="54DCE048"/>
    <w:lvl w:ilvl="0" w:tplc="DBF03C28">
      <w:start w:val="12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0109A"/>
    <w:multiLevelType w:val="hybridMultilevel"/>
    <w:tmpl w:val="431E466C"/>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ED1E8A"/>
    <w:multiLevelType w:val="hybridMultilevel"/>
    <w:tmpl w:val="86E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936F0"/>
    <w:multiLevelType w:val="hybridMultilevel"/>
    <w:tmpl w:val="E40AD6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2D5A47"/>
    <w:multiLevelType w:val="hybridMultilevel"/>
    <w:tmpl w:val="4DA0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E5744"/>
    <w:multiLevelType w:val="hybridMultilevel"/>
    <w:tmpl w:val="3C2A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95C0C"/>
    <w:multiLevelType w:val="hybridMultilevel"/>
    <w:tmpl w:val="E9F6397C"/>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9461DB"/>
    <w:multiLevelType w:val="hybridMultilevel"/>
    <w:tmpl w:val="FE0A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46B9D"/>
    <w:multiLevelType w:val="hybridMultilevel"/>
    <w:tmpl w:val="CC543CCA"/>
    <w:lvl w:ilvl="0" w:tplc="DBF03C28">
      <w:start w:val="12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71D30"/>
    <w:multiLevelType w:val="hybridMultilevel"/>
    <w:tmpl w:val="C2FE0E8C"/>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B25924"/>
    <w:multiLevelType w:val="hybridMultilevel"/>
    <w:tmpl w:val="5A0A8D78"/>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9D05E9"/>
    <w:multiLevelType w:val="hybridMultilevel"/>
    <w:tmpl w:val="B9489192"/>
    <w:lvl w:ilvl="0" w:tplc="DBF03C28">
      <w:start w:val="12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914689">
    <w:abstractNumId w:val="8"/>
  </w:num>
  <w:num w:numId="2" w16cid:durableId="171143750">
    <w:abstractNumId w:val="0"/>
  </w:num>
  <w:num w:numId="3" w16cid:durableId="643461882">
    <w:abstractNumId w:val="1"/>
  </w:num>
  <w:num w:numId="4" w16cid:durableId="624195046">
    <w:abstractNumId w:val="2"/>
  </w:num>
  <w:num w:numId="5" w16cid:durableId="1029452475">
    <w:abstractNumId w:val="3"/>
  </w:num>
  <w:num w:numId="6" w16cid:durableId="1021782121">
    <w:abstractNumId w:val="5"/>
  </w:num>
  <w:num w:numId="7" w16cid:durableId="551842073">
    <w:abstractNumId w:val="9"/>
  </w:num>
  <w:num w:numId="8" w16cid:durableId="1672249181">
    <w:abstractNumId w:val="17"/>
  </w:num>
  <w:num w:numId="9" w16cid:durableId="330060057">
    <w:abstractNumId w:val="19"/>
  </w:num>
  <w:num w:numId="10" w16cid:durableId="24213356">
    <w:abstractNumId w:val="4"/>
  </w:num>
  <w:num w:numId="11" w16cid:durableId="2030256501">
    <w:abstractNumId w:val="14"/>
  </w:num>
  <w:num w:numId="12" w16cid:durableId="1718894432">
    <w:abstractNumId w:val="6"/>
  </w:num>
  <w:num w:numId="13" w16cid:durableId="607662816">
    <w:abstractNumId w:val="18"/>
  </w:num>
  <w:num w:numId="14" w16cid:durableId="1013607888">
    <w:abstractNumId w:val="7"/>
  </w:num>
  <w:num w:numId="15" w16cid:durableId="238251691">
    <w:abstractNumId w:val="11"/>
  </w:num>
  <w:num w:numId="16" w16cid:durableId="298464585">
    <w:abstractNumId w:val="16"/>
  </w:num>
  <w:num w:numId="17" w16cid:durableId="1244409703">
    <w:abstractNumId w:val="10"/>
  </w:num>
  <w:num w:numId="18" w16cid:durableId="1393307419">
    <w:abstractNumId w:val="12"/>
  </w:num>
  <w:num w:numId="19" w16cid:durableId="134572218">
    <w:abstractNumId w:val="15"/>
  </w:num>
  <w:num w:numId="20" w16cid:durableId="1203439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52"/>
    <w:rsid w:val="00003133"/>
    <w:rsid w:val="000110F2"/>
    <w:rsid w:val="00022F18"/>
    <w:rsid w:val="00033756"/>
    <w:rsid w:val="0003763D"/>
    <w:rsid w:val="00050423"/>
    <w:rsid w:val="00066C21"/>
    <w:rsid w:val="0008701F"/>
    <w:rsid w:val="0008724B"/>
    <w:rsid w:val="00095DFF"/>
    <w:rsid w:val="00097359"/>
    <w:rsid w:val="000A3F8D"/>
    <w:rsid w:val="000A6508"/>
    <w:rsid w:val="000A66B4"/>
    <w:rsid w:val="000B0040"/>
    <w:rsid w:val="000C026C"/>
    <w:rsid w:val="000C3D83"/>
    <w:rsid w:val="000C3F3E"/>
    <w:rsid w:val="000C3FBB"/>
    <w:rsid w:val="000C7DE0"/>
    <w:rsid w:val="000D159D"/>
    <w:rsid w:val="000D5498"/>
    <w:rsid w:val="000D58F0"/>
    <w:rsid w:val="000D77AE"/>
    <w:rsid w:val="000E1DA5"/>
    <w:rsid w:val="000E3987"/>
    <w:rsid w:val="000E5C01"/>
    <w:rsid w:val="000E7FCC"/>
    <w:rsid w:val="000F31F2"/>
    <w:rsid w:val="0010050A"/>
    <w:rsid w:val="001072D0"/>
    <w:rsid w:val="001107AF"/>
    <w:rsid w:val="0011150E"/>
    <w:rsid w:val="0011584C"/>
    <w:rsid w:val="001214B2"/>
    <w:rsid w:val="001249C4"/>
    <w:rsid w:val="001249C6"/>
    <w:rsid w:val="00130F2C"/>
    <w:rsid w:val="00140182"/>
    <w:rsid w:val="001408A9"/>
    <w:rsid w:val="001553E7"/>
    <w:rsid w:val="00155B8B"/>
    <w:rsid w:val="00155E00"/>
    <w:rsid w:val="00156440"/>
    <w:rsid w:val="00160981"/>
    <w:rsid w:val="00164DE6"/>
    <w:rsid w:val="0017157D"/>
    <w:rsid w:val="00171A00"/>
    <w:rsid w:val="00175AC4"/>
    <w:rsid w:val="0018483F"/>
    <w:rsid w:val="0019200C"/>
    <w:rsid w:val="001A0533"/>
    <w:rsid w:val="001B2969"/>
    <w:rsid w:val="001B2B3E"/>
    <w:rsid w:val="001B60B1"/>
    <w:rsid w:val="001C4955"/>
    <w:rsid w:val="001D5EA5"/>
    <w:rsid w:val="001E26B8"/>
    <w:rsid w:val="001E3B34"/>
    <w:rsid w:val="001E61A2"/>
    <w:rsid w:val="001E7BE9"/>
    <w:rsid w:val="001F6E65"/>
    <w:rsid w:val="00201C5E"/>
    <w:rsid w:val="00201E9F"/>
    <w:rsid w:val="002108A9"/>
    <w:rsid w:val="00211956"/>
    <w:rsid w:val="00215928"/>
    <w:rsid w:val="00215DB2"/>
    <w:rsid w:val="00223EA7"/>
    <w:rsid w:val="00223ED5"/>
    <w:rsid w:val="00225E43"/>
    <w:rsid w:val="00231DAF"/>
    <w:rsid w:val="00232BB2"/>
    <w:rsid w:val="00234FFB"/>
    <w:rsid w:val="0024328D"/>
    <w:rsid w:val="00244596"/>
    <w:rsid w:val="00247090"/>
    <w:rsid w:val="00247E8D"/>
    <w:rsid w:val="00256DEC"/>
    <w:rsid w:val="00257586"/>
    <w:rsid w:val="002575D8"/>
    <w:rsid w:val="00266D16"/>
    <w:rsid w:val="00267AE2"/>
    <w:rsid w:val="00286524"/>
    <w:rsid w:val="00294617"/>
    <w:rsid w:val="002961B1"/>
    <w:rsid w:val="002A1B9E"/>
    <w:rsid w:val="002A2BC1"/>
    <w:rsid w:val="002A7E64"/>
    <w:rsid w:val="002B100E"/>
    <w:rsid w:val="002B3CBC"/>
    <w:rsid w:val="002B6676"/>
    <w:rsid w:val="002C059D"/>
    <w:rsid w:val="002C20E0"/>
    <w:rsid w:val="002C3E88"/>
    <w:rsid w:val="002C53C2"/>
    <w:rsid w:val="002C7934"/>
    <w:rsid w:val="002D23E7"/>
    <w:rsid w:val="002E2A70"/>
    <w:rsid w:val="00303B23"/>
    <w:rsid w:val="00315480"/>
    <w:rsid w:val="00316C22"/>
    <w:rsid w:val="003219C4"/>
    <w:rsid w:val="00321F5C"/>
    <w:rsid w:val="00322029"/>
    <w:rsid w:val="003258B0"/>
    <w:rsid w:val="00334336"/>
    <w:rsid w:val="00335C83"/>
    <w:rsid w:val="00336813"/>
    <w:rsid w:val="00337274"/>
    <w:rsid w:val="00340039"/>
    <w:rsid w:val="00340598"/>
    <w:rsid w:val="00341B15"/>
    <w:rsid w:val="003505D9"/>
    <w:rsid w:val="00351A4C"/>
    <w:rsid w:val="00361AE9"/>
    <w:rsid w:val="00365E02"/>
    <w:rsid w:val="00380697"/>
    <w:rsid w:val="003846B4"/>
    <w:rsid w:val="00387AC4"/>
    <w:rsid w:val="00395BF6"/>
    <w:rsid w:val="00396BA7"/>
    <w:rsid w:val="003A5B20"/>
    <w:rsid w:val="003A6444"/>
    <w:rsid w:val="003B1685"/>
    <w:rsid w:val="003B436A"/>
    <w:rsid w:val="003C7C6E"/>
    <w:rsid w:val="003D1A20"/>
    <w:rsid w:val="003D7C03"/>
    <w:rsid w:val="003E16BE"/>
    <w:rsid w:val="003E5328"/>
    <w:rsid w:val="003E5DF3"/>
    <w:rsid w:val="003E6540"/>
    <w:rsid w:val="003F3BB5"/>
    <w:rsid w:val="003F5992"/>
    <w:rsid w:val="00400F7A"/>
    <w:rsid w:val="004033CD"/>
    <w:rsid w:val="00405F08"/>
    <w:rsid w:val="004122AD"/>
    <w:rsid w:val="004158AA"/>
    <w:rsid w:val="004203BE"/>
    <w:rsid w:val="00430FAD"/>
    <w:rsid w:val="00432077"/>
    <w:rsid w:val="00442503"/>
    <w:rsid w:val="00445230"/>
    <w:rsid w:val="00446759"/>
    <w:rsid w:val="004474E7"/>
    <w:rsid w:val="00447932"/>
    <w:rsid w:val="00461796"/>
    <w:rsid w:val="00461B01"/>
    <w:rsid w:val="00491F16"/>
    <w:rsid w:val="00492A66"/>
    <w:rsid w:val="004961A3"/>
    <w:rsid w:val="004B0D81"/>
    <w:rsid w:val="004B55B5"/>
    <w:rsid w:val="004C50FB"/>
    <w:rsid w:val="004D5FFB"/>
    <w:rsid w:val="004F121C"/>
    <w:rsid w:val="00502018"/>
    <w:rsid w:val="00502E9C"/>
    <w:rsid w:val="005121BC"/>
    <w:rsid w:val="00514AF5"/>
    <w:rsid w:val="005250B2"/>
    <w:rsid w:val="00531539"/>
    <w:rsid w:val="0053779F"/>
    <w:rsid w:val="00541504"/>
    <w:rsid w:val="0054569E"/>
    <w:rsid w:val="005478B1"/>
    <w:rsid w:val="0055117D"/>
    <w:rsid w:val="00551507"/>
    <w:rsid w:val="0056377D"/>
    <w:rsid w:val="00563DDC"/>
    <w:rsid w:val="00564D20"/>
    <w:rsid w:val="0056708D"/>
    <w:rsid w:val="00570F15"/>
    <w:rsid w:val="00571594"/>
    <w:rsid w:val="005922D5"/>
    <w:rsid w:val="005A1EF9"/>
    <w:rsid w:val="005A6FB6"/>
    <w:rsid w:val="005B2A95"/>
    <w:rsid w:val="005B75DB"/>
    <w:rsid w:val="005C4C53"/>
    <w:rsid w:val="005D2228"/>
    <w:rsid w:val="005E5470"/>
    <w:rsid w:val="005E70DF"/>
    <w:rsid w:val="005F1A38"/>
    <w:rsid w:val="005F232D"/>
    <w:rsid w:val="005F644D"/>
    <w:rsid w:val="0061072E"/>
    <w:rsid w:val="00612FCA"/>
    <w:rsid w:val="006143BF"/>
    <w:rsid w:val="0062149E"/>
    <w:rsid w:val="006261BC"/>
    <w:rsid w:val="00626313"/>
    <w:rsid w:val="00631207"/>
    <w:rsid w:val="00632263"/>
    <w:rsid w:val="00636DBA"/>
    <w:rsid w:val="00642374"/>
    <w:rsid w:val="0064291D"/>
    <w:rsid w:val="0064420F"/>
    <w:rsid w:val="00645FFE"/>
    <w:rsid w:val="006506E0"/>
    <w:rsid w:val="00654200"/>
    <w:rsid w:val="006656BA"/>
    <w:rsid w:val="006671A4"/>
    <w:rsid w:val="00673EA4"/>
    <w:rsid w:val="00675FD1"/>
    <w:rsid w:val="0067612D"/>
    <w:rsid w:val="00677EF4"/>
    <w:rsid w:val="00685B52"/>
    <w:rsid w:val="00692879"/>
    <w:rsid w:val="006967CB"/>
    <w:rsid w:val="006C6A97"/>
    <w:rsid w:val="006D57F5"/>
    <w:rsid w:val="006D5DBC"/>
    <w:rsid w:val="006E1F42"/>
    <w:rsid w:val="006E2101"/>
    <w:rsid w:val="006E418F"/>
    <w:rsid w:val="006E7DEA"/>
    <w:rsid w:val="006F35FD"/>
    <w:rsid w:val="0070085B"/>
    <w:rsid w:val="00700D0B"/>
    <w:rsid w:val="00702C8E"/>
    <w:rsid w:val="00703F90"/>
    <w:rsid w:val="00710500"/>
    <w:rsid w:val="0071367E"/>
    <w:rsid w:val="0072405D"/>
    <w:rsid w:val="00724D5D"/>
    <w:rsid w:val="00731548"/>
    <w:rsid w:val="00747DF1"/>
    <w:rsid w:val="0075643A"/>
    <w:rsid w:val="00757DBF"/>
    <w:rsid w:val="00760393"/>
    <w:rsid w:val="007613F9"/>
    <w:rsid w:val="0077012B"/>
    <w:rsid w:val="00770ED0"/>
    <w:rsid w:val="00771E2E"/>
    <w:rsid w:val="007760C1"/>
    <w:rsid w:val="007916AE"/>
    <w:rsid w:val="00792DC1"/>
    <w:rsid w:val="007A0BEF"/>
    <w:rsid w:val="007A71DA"/>
    <w:rsid w:val="007B4012"/>
    <w:rsid w:val="007C136E"/>
    <w:rsid w:val="007C3F92"/>
    <w:rsid w:val="007C60A9"/>
    <w:rsid w:val="007D25F3"/>
    <w:rsid w:val="007D2640"/>
    <w:rsid w:val="007D3C64"/>
    <w:rsid w:val="007D4202"/>
    <w:rsid w:val="007E05D0"/>
    <w:rsid w:val="007E496B"/>
    <w:rsid w:val="008016B2"/>
    <w:rsid w:val="008018BD"/>
    <w:rsid w:val="00804CB6"/>
    <w:rsid w:val="00807EC0"/>
    <w:rsid w:val="00814349"/>
    <w:rsid w:val="00826E4A"/>
    <w:rsid w:val="00826FFC"/>
    <w:rsid w:val="00827536"/>
    <w:rsid w:val="00827BD9"/>
    <w:rsid w:val="00843899"/>
    <w:rsid w:val="0084685A"/>
    <w:rsid w:val="0084704D"/>
    <w:rsid w:val="0084745A"/>
    <w:rsid w:val="00850186"/>
    <w:rsid w:val="0085324B"/>
    <w:rsid w:val="00854FA0"/>
    <w:rsid w:val="00857526"/>
    <w:rsid w:val="008601FB"/>
    <w:rsid w:val="0086045F"/>
    <w:rsid w:val="008802A6"/>
    <w:rsid w:val="00883944"/>
    <w:rsid w:val="00884B2B"/>
    <w:rsid w:val="00887485"/>
    <w:rsid w:val="00891AB8"/>
    <w:rsid w:val="0089300F"/>
    <w:rsid w:val="008948CC"/>
    <w:rsid w:val="00896618"/>
    <w:rsid w:val="008B51B3"/>
    <w:rsid w:val="008C3B3F"/>
    <w:rsid w:val="008C4162"/>
    <w:rsid w:val="008C6358"/>
    <w:rsid w:val="008C7436"/>
    <w:rsid w:val="008D00DA"/>
    <w:rsid w:val="008D33C7"/>
    <w:rsid w:val="008D4D85"/>
    <w:rsid w:val="008E4140"/>
    <w:rsid w:val="008E5B58"/>
    <w:rsid w:val="008F218B"/>
    <w:rsid w:val="008F232E"/>
    <w:rsid w:val="008F28AB"/>
    <w:rsid w:val="008F4B1B"/>
    <w:rsid w:val="008F65AE"/>
    <w:rsid w:val="00910990"/>
    <w:rsid w:val="009123D7"/>
    <w:rsid w:val="00913799"/>
    <w:rsid w:val="0094280C"/>
    <w:rsid w:val="009567DC"/>
    <w:rsid w:val="00961521"/>
    <w:rsid w:val="00962A13"/>
    <w:rsid w:val="00967341"/>
    <w:rsid w:val="009714BF"/>
    <w:rsid w:val="00972547"/>
    <w:rsid w:val="0097556B"/>
    <w:rsid w:val="00980627"/>
    <w:rsid w:val="0098112D"/>
    <w:rsid w:val="00984E55"/>
    <w:rsid w:val="009919E4"/>
    <w:rsid w:val="009A13CC"/>
    <w:rsid w:val="009A6432"/>
    <w:rsid w:val="009B0B46"/>
    <w:rsid w:val="009D4CD3"/>
    <w:rsid w:val="009D5148"/>
    <w:rsid w:val="009E2923"/>
    <w:rsid w:val="009E3B54"/>
    <w:rsid w:val="009E438C"/>
    <w:rsid w:val="009E63CC"/>
    <w:rsid w:val="009F4F4C"/>
    <w:rsid w:val="00A01857"/>
    <w:rsid w:val="00A12B1F"/>
    <w:rsid w:val="00A14A02"/>
    <w:rsid w:val="00A14BB1"/>
    <w:rsid w:val="00A16252"/>
    <w:rsid w:val="00A41356"/>
    <w:rsid w:val="00A45B14"/>
    <w:rsid w:val="00A53E6E"/>
    <w:rsid w:val="00A57803"/>
    <w:rsid w:val="00A60F8F"/>
    <w:rsid w:val="00A615A7"/>
    <w:rsid w:val="00A61CC4"/>
    <w:rsid w:val="00A61D8F"/>
    <w:rsid w:val="00A77283"/>
    <w:rsid w:val="00A80327"/>
    <w:rsid w:val="00A841C4"/>
    <w:rsid w:val="00A8470C"/>
    <w:rsid w:val="00A87C71"/>
    <w:rsid w:val="00AA235D"/>
    <w:rsid w:val="00AA302D"/>
    <w:rsid w:val="00AB0D05"/>
    <w:rsid w:val="00AB3117"/>
    <w:rsid w:val="00AB4FDE"/>
    <w:rsid w:val="00AB6A66"/>
    <w:rsid w:val="00AC0692"/>
    <w:rsid w:val="00AC1EBB"/>
    <w:rsid w:val="00AC1F45"/>
    <w:rsid w:val="00AC729F"/>
    <w:rsid w:val="00AD1EB4"/>
    <w:rsid w:val="00AD567E"/>
    <w:rsid w:val="00AE0819"/>
    <w:rsid w:val="00AF3B45"/>
    <w:rsid w:val="00AF6B06"/>
    <w:rsid w:val="00B032F5"/>
    <w:rsid w:val="00B04329"/>
    <w:rsid w:val="00B1431B"/>
    <w:rsid w:val="00B14CB7"/>
    <w:rsid w:val="00B16B8D"/>
    <w:rsid w:val="00B213AE"/>
    <w:rsid w:val="00B2298F"/>
    <w:rsid w:val="00B230B1"/>
    <w:rsid w:val="00B3178D"/>
    <w:rsid w:val="00B33D5C"/>
    <w:rsid w:val="00B5637F"/>
    <w:rsid w:val="00B6622C"/>
    <w:rsid w:val="00B70EB9"/>
    <w:rsid w:val="00B83A92"/>
    <w:rsid w:val="00B8541E"/>
    <w:rsid w:val="00B879E3"/>
    <w:rsid w:val="00B904F1"/>
    <w:rsid w:val="00B95CA1"/>
    <w:rsid w:val="00BA3893"/>
    <w:rsid w:val="00BA7773"/>
    <w:rsid w:val="00BB0849"/>
    <w:rsid w:val="00BB2259"/>
    <w:rsid w:val="00BB3848"/>
    <w:rsid w:val="00BD0E04"/>
    <w:rsid w:val="00BE0C4E"/>
    <w:rsid w:val="00BF018C"/>
    <w:rsid w:val="00BF021F"/>
    <w:rsid w:val="00BF2A00"/>
    <w:rsid w:val="00C00219"/>
    <w:rsid w:val="00C10944"/>
    <w:rsid w:val="00C109C3"/>
    <w:rsid w:val="00C11ADA"/>
    <w:rsid w:val="00C12C03"/>
    <w:rsid w:val="00C1442B"/>
    <w:rsid w:val="00C17E99"/>
    <w:rsid w:val="00C21FCF"/>
    <w:rsid w:val="00C23298"/>
    <w:rsid w:val="00C26669"/>
    <w:rsid w:val="00C3143C"/>
    <w:rsid w:val="00C35FB5"/>
    <w:rsid w:val="00C407F3"/>
    <w:rsid w:val="00C45CEC"/>
    <w:rsid w:val="00C479C0"/>
    <w:rsid w:val="00C52681"/>
    <w:rsid w:val="00C53E63"/>
    <w:rsid w:val="00C558D1"/>
    <w:rsid w:val="00C56E84"/>
    <w:rsid w:val="00C60860"/>
    <w:rsid w:val="00C645B9"/>
    <w:rsid w:val="00C66287"/>
    <w:rsid w:val="00C67820"/>
    <w:rsid w:val="00C67E6F"/>
    <w:rsid w:val="00C7399A"/>
    <w:rsid w:val="00C76CF2"/>
    <w:rsid w:val="00C800B0"/>
    <w:rsid w:val="00C91594"/>
    <w:rsid w:val="00C917FD"/>
    <w:rsid w:val="00C92F2D"/>
    <w:rsid w:val="00CB5E8D"/>
    <w:rsid w:val="00CB6949"/>
    <w:rsid w:val="00CC3F38"/>
    <w:rsid w:val="00CC4CCF"/>
    <w:rsid w:val="00CC7B18"/>
    <w:rsid w:val="00CD06C1"/>
    <w:rsid w:val="00CD52E7"/>
    <w:rsid w:val="00CE51C8"/>
    <w:rsid w:val="00CE5D9A"/>
    <w:rsid w:val="00CF3CBF"/>
    <w:rsid w:val="00CF7B66"/>
    <w:rsid w:val="00D021A0"/>
    <w:rsid w:val="00D03E78"/>
    <w:rsid w:val="00D05AD6"/>
    <w:rsid w:val="00D11C70"/>
    <w:rsid w:val="00D11E23"/>
    <w:rsid w:val="00D12DED"/>
    <w:rsid w:val="00D13FD8"/>
    <w:rsid w:val="00D15042"/>
    <w:rsid w:val="00D1545B"/>
    <w:rsid w:val="00D252E1"/>
    <w:rsid w:val="00D34E44"/>
    <w:rsid w:val="00D54238"/>
    <w:rsid w:val="00D56D4C"/>
    <w:rsid w:val="00D63BE8"/>
    <w:rsid w:val="00D6690C"/>
    <w:rsid w:val="00D67FD7"/>
    <w:rsid w:val="00D7272C"/>
    <w:rsid w:val="00D800A9"/>
    <w:rsid w:val="00D8618C"/>
    <w:rsid w:val="00D871E5"/>
    <w:rsid w:val="00D90D72"/>
    <w:rsid w:val="00D934A5"/>
    <w:rsid w:val="00D938DE"/>
    <w:rsid w:val="00DA17E8"/>
    <w:rsid w:val="00DA478B"/>
    <w:rsid w:val="00DA67D2"/>
    <w:rsid w:val="00DA73F1"/>
    <w:rsid w:val="00DB0E0E"/>
    <w:rsid w:val="00DB41DB"/>
    <w:rsid w:val="00DB6850"/>
    <w:rsid w:val="00DB6C53"/>
    <w:rsid w:val="00DB6C6A"/>
    <w:rsid w:val="00DC43D6"/>
    <w:rsid w:val="00DD2305"/>
    <w:rsid w:val="00DD45E7"/>
    <w:rsid w:val="00DD4675"/>
    <w:rsid w:val="00DE1DFA"/>
    <w:rsid w:val="00DE52FB"/>
    <w:rsid w:val="00DE79E5"/>
    <w:rsid w:val="00DF6087"/>
    <w:rsid w:val="00E029C8"/>
    <w:rsid w:val="00E10F42"/>
    <w:rsid w:val="00E11D23"/>
    <w:rsid w:val="00E12353"/>
    <w:rsid w:val="00E132DE"/>
    <w:rsid w:val="00E14BCC"/>
    <w:rsid w:val="00E2094E"/>
    <w:rsid w:val="00E2412C"/>
    <w:rsid w:val="00E35D5B"/>
    <w:rsid w:val="00E44E5D"/>
    <w:rsid w:val="00E50C4C"/>
    <w:rsid w:val="00E51408"/>
    <w:rsid w:val="00E560F2"/>
    <w:rsid w:val="00E57BAE"/>
    <w:rsid w:val="00E615D2"/>
    <w:rsid w:val="00E731B0"/>
    <w:rsid w:val="00E85E3E"/>
    <w:rsid w:val="00E8648E"/>
    <w:rsid w:val="00E97E7E"/>
    <w:rsid w:val="00EA1700"/>
    <w:rsid w:val="00EA1CFD"/>
    <w:rsid w:val="00EA50A4"/>
    <w:rsid w:val="00EA59CF"/>
    <w:rsid w:val="00EB14F9"/>
    <w:rsid w:val="00EB467E"/>
    <w:rsid w:val="00EB4DA3"/>
    <w:rsid w:val="00EB768C"/>
    <w:rsid w:val="00EC5B3E"/>
    <w:rsid w:val="00EC6986"/>
    <w:rsid w:val="00ED296B"/>
    <w:rsid w:val="00ED6A06"/>
    <w:rsid w:val="00ED7AE3"/>
    <w:rsid w:val="00EE0CC5"/>
    <w:rsid w:val="00EE218F"/>
    <w:rsid w:val="00EE633B"/>
    <w:rsid w:val="00EF222D"/>
    <w:rsid w:val="00EF45BB"/>
    <w:rsid w:val="00EF7CE0"/>
    <w:rsid w:val="00F01294"/>
    <w:rsid w:val="00F02BFA"/>
    <w:rsid w:val="00F268B4"/>
    <w:rsid w:val="00F31437"/>
    <w:rsid w:val="00F32FE9"/>
    <w:rsid w:val="00F36BA4"/>
    <w:rsid w:val="00F449CF"/>
    <w:rsid w:val="00F50031"/>
    <w:rsid w:val="00F51B2D"/>
    <w:rsid w:val="00F5580D"/>
    <w:rsid w:val="00F65FE4"/>
    <w:rsid w:val="00F706E1"/>
    <w:rsid w:val="00F7273A"/>
    <w:rsid w:val="00F82D1A"/>
    <w:rsid w:val="00F90D2A"/>
    <w:rsid w:val="00F9433B"/>
    <w:rsid w:val="00F94E38"/>
    <w:rsid w:val="00F94F2E"/>
    <w:rsid w:val="00F962FD"/>
    <w:rsid w:val="00F974AF"/>
    <w:rsid w:val="00FA0A51"/>
    <w:rsid w:val="00FB3D79"/>
    <w:rsid w:val="00FD0B02"/>
    <w:rsid w:val="00FD38C0"/>
    <w:rsid w:val="00FD55FF"/>
    <w:rsid w:val="00FD609F"/>
    <w:rsid w:val="00FD71E3"/>
    <w:rsid w:val="00FE1D90"/>
    <w:rsid w:val="00FE39F5"/>
    <w:rsid w:val="00FE42FD"/>
    <w:rsid w:val="00FF22F5"/>
    <w:rsid w:val="00FF498B"/>
    <w:rsid w:val="00FF53A8"/>
    <w:rsid w:val="00FF78AF"/>
    <w:rsid w:val="2BEB05FE"/>
    <w:rsid w:val="4F683374"/>
    <w:rsid w:val="7F7EF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98F7"/>
  <w15:chartTrackingRefBased/>
  <w15:docId w15:val="{02D146FA-ABE0-4FB4-B234-C3A115A2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A9"/>
    <w:rPr>
      <w:rFonts w:eastAsiaTheme="minorEastAsia"/>
    </w:rPr>
  </w:style>
  <w:style w:type="paragraph" w:styleId="Heading1">
    <w:name w:val="heading 1"/>
    <w:basedOn w:val="Normal"/>
    <w:next w:val="Normal"/>
    <w:link w:val="Heading1Char"/>
    <w:uiPriority w:val="9"/>
    <w:qFormat/>
    <w:rsid w:val="00685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B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52"/>
    <w:rPr>
      <w:rFonts w:eastAsiaTheme="majorEastAsia" w:cstheme="majorBidi"/>
      <w:color w:val="272727" w:themeColor="text1" w:themeTint="D8"/>
    </w:rPr>
  </w:style>
  <w:style w:type="paragraph" w:styleId="Title">
    <w:name w:val="Title"/>
    <w:basedOn w:val="Normal"/>
    <w:next w:val="Normal"/>
    <w:link w:val="TitleChar"/>
    <w:uiPriority w:val="10"/>
    <w:qFormat/>
    <w:rsid w:val="00685B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5B52"/>
    <w:rPr>
      <w:i/>
      <w:iCs/>
      <w:color w:val="404040" w:themeColor="text1" w:themeTint="BF"/>
    </w:rPr>
  </w:style>
  <w:style w:type="paragraph" w:styleId="ListParagraph">
    <w:name w:val="List Paragraph"/>
    <w:basedOn w:val="Normal"/>
    <w:uiPriority w:val="34"/>
    <w:qFormat/>
    <w:rsid w:val="00685B52"/>
    <w:pPr>
      <w:ind w:left="720"/>
      <w:contextualSpacing/>
    </w:pPr>
  </w:style>
  <w:style w:type="character" w:styleId="IntenseEmphasis">
    <w:name w:val="Intense Emphasis"/>
    <w:basedOn w:val="DefaultParagraphFont"/>
    <w:uiPriority w:val="21"/>
    <w:qFormat/>
    <w:rsid w:val="00685B52"/>
    <w:rPr>
      <w:i/>
      <w:iCs/>
      <w:color w:val="0F4761" w:themeColor="accent1" w:themeShade="BF"/>
    </w:rPr>
  </w:style>
  <w:style w:type="paragraph" w:styleId="IntenseQuote">
    <w:name w:val="Intense Quote"/>
    <w:basedOn w:val="Normal"/>
    <w:next w:val="Normal"/>
    <w:link w:val="IntenseQuoteChar"/>
    <w:uiPriority w:val="30"/>
    <w:qFormat/>
    <w:rsid w:val="00685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B52"/>
    <w:rPr>
      <w:i/>
      <w:iCs/>
      <w:color w:val="0F4761" w:themeColor="accent1" w:themeShade="BF"/>
    </w:rPr>
  </w:style>
  <w:style w:type="character" w:styleId="IntenseReference">
    <w:name w:val="Intense Reference"/>
    <w:basedOn w:val="DefaultParagraphFont"/>
    <w:uiPriority w:val="32"/>
    <w:qFormat/>
    <w:rsid w:val="00685B52"/>
    <w:rPr>
      <w:b/>
      <w:bCs/>
      <w:smallCaps/>
      <w:color w:val="0F4761" w:themeColor="accent1" w:themeShade="BF"/>
      <w:spacing w:val="5"/>
    </w:rPr>
  </w:style>
  <w:style w:type="table" w:styleId="TableGrid">
    <w:name w:val="Table Grid"/>
    <w:basedOn w:val="TableNormal"/>
    <w:uiPriority w:val="39"/>
    <w:rsid w:val="00211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408"/>
    <w:pPr>
      <w:tabs>
        <w:tab w:val="center" w:pos="4513"/>
        <w:tab w:val="right" w:pos="9026"/>
      </w:tabs>
    </w:pPr>
  </w:style>
  <w:style w:type="character" w:customStyle="1" w:styleId="HeaderChar">
    <w:name w:val="Header Char"/>
    <w:basedOn w:val="DefaultParagraphFont"/>
    <w:link w:val="Header"/>
    <w:uiPriority w:val="99"/>
    <w:rsid w:val="00E51408"/>
    <w:rPr>
      <w:rFonts w:eastAsiaTheme="minorEastAsia"/>
    </w:rPr>
  </w:style>
  <w:style w:type="paragraph" w:styleId="Footer">
    <w:name w:val="footer"/>
    <w:basedOn w:val="Normal"/>
    <w:link w:val="FooterChar"/>
    <w:uiPriority w:val="99"/>
    <w:unhideWhenUsed/>
    <w:rsid w:val="00E51408"/>
    <w:pPr>
      <w:tabs>
        <w:tab w:val="center" w:pos="4513"/>
        <w:tab w:val="right" w:pos="9026"/>
      </w:tabs>
    </w:pPr>
  </w:style>
  <w:style w:type="character" w:customStyle="1" w:styleId="FooterChar">
    <w:name w:val="Footer Char"/>
    <w:basedOn w:val="DefaultParagraphFont"/>
    <w:link w:val="Footer"/>
    <w:uiPriority w:val="99"/>
    <w:rsid w:val="00E51408"/>
    <w:rPr>
      <w:rFonts w:eastAsiaTheme="minorEastAsia"/>
    </w:rPr>
  </w:style>
  <w:style w:type="character" w:styleId="PageNumber">
    <w:name w:val="page number"/>
    <w:basedOn w:val="DefaultParagraphFont"/>
    <w:uiPriority w:val="99"/>
    <w:semiHidden/>
    <w:unhideWhenUsed/>
    <w:rsid w:val="008F65AE"/>
  </w:style>
  <w:style w:type="paragraph" w:styleId="NormalWeb">
    <w:name w:val="Normal (Web)"/>
    <w:basedOn w:val="Normal"/>
    <w:uiPriority w:val="99"/>
    <w:semiHidden/>
    <w:unhideWhenUsed/>
    <w:rsid w:val="00215DB2"/>
    <w:pPr>
      <w:spacing w:before="100" w:beforeAutospacing="1" w:after="100" w:afterAutospacing="1"/>
    </w:pPr>
    <w:rPr>
      <w:rFonts w:ascii="Times New Roman" w:eastAsia="Times New Roman" w:hAnsi="Times New Roman" w:cs="Times New Roman"/>
      <w:kern w:val="0"/>
      <w:lang w:val="en-P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5738">
      <w:bodyDiv w:val="1"/>
      <w:marLeft w:val="0"/>
      <w:marRight w:val="0"/>
      <w:marTop w:val="0"/>
      <w:marBottom w:val="0"/>
      <w:divBdr>
        <w:top w:val="none" w:sz="0" w:space="0" w:color="auto"/>
        <w:left w:val="none" w:sz="0" w:space="0" w:color="auto"/>
        <w:bottom w:val="none" w:sz="0" w:space="0" w:color="auto"/>
        <w:right w:val="none" w:sz="0" w:space="0" w:color="auto"/>
      </w:divBdr>
      <w:divsChild>
        <w:div w:id="48517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362579">
      <w:bodyDiv w:val="1"/>
      <w:marLeft w:val="0"/>
      <w:marRight w:val="0"/>
      <w:marTop w:val="0"/>
      <w:marBottom w:val="0"/>
      <w:divBdr>
        <w:top w:val="none" w:sz="0" w:space="0" w:color="auto"/>
        <w:left w:val="none" w:sz="0" w:space="0" w:color="auto"/>
        <w:bottom w:val="none" w:sz="0" w:space="0" w:color="auto"/>
        <w:right w:val="none" w:sz="0" w:space="0" w:color="auto"/>
      </w:divBdr>
      <w:divsChild>
        <w:div w:id="11025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264295">
      <w:bodyDiv w:val="1"/>
      <w:marLeft w:val="0"/>
      <w:marRight w:val="0"/>
      <w:marTop w:val="0"/>
      <w:marBottom w:val="0"/>
      <w:divBdr>
        <w:top w:val="none" w:sz="0" w:space="0" w:color="auto"/>
        <w:left w:val="none" w:sz="0" w:space="0" w:color="auto"/>
        <w:bottom w:val="none" w:sz="0" w:space="0" w:color="auto"/>
        <w:right w:val="none" w:sz="0" w:space="0" w:color="auto"/>
      </w:divBdr>
      <w:divsChild>
        <w:div w:id="979922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490203">
      <w:bodyDiv w:val="1"/>
      <w:marLeft w:val="0"/>
      <w:marRight w:val="0"/>
      <w:marTop w:val="0"/>
      <w:marBottom w:val="0"/>
      <w:divBdr>
        <w:top w:val="none" w:sz="0" w:space="0" w:color="auto"/>
        <w:left w:val="none" w:sz="0" w:space="0" w:color="auto"/>
        <w:bottom w:val="none" w:sz="0" w:space="0" w:color="auto"/>
        <w:right w:val="none" w:sz="0" w:space="0" w:color="auto"/>
      </w:divBdr>
    </w:div>
    <w:div w:id="863976307">
      <w:bodyDiv w:val="1"/>
      <w:marLeft w:val="0"/>
      <w:marRight w:val="0"/>
      <w:marTop w:val="0"/>
      <w:marBottom w:val="0"/>
      <w:divBdr>
        <w:top w:val="none" w:sz="0" w:space="0" w:color="auto"/>
        <w:left w:val="none" w:sz="0" w:space="0" w:color="auto"/>
        <w:bottom w:val="none" w:sz="0" w:space="0" w:color="auto"/>
        <w:right w:val="none" w:sz="0" w:space="0" w:color="auto"/>
      </w:divBdr>
      <w:divsChild>
        <w:div w:id="65322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996113">
      <w:bodyDiv w:val="1"/>
      <w:marLeft w:val="0"/>
      <w:marRight w:val="0"/>
      <w:marTop w:val="0"/>
      <w:marBottom w:val="0"/>
      <w:divBdr>
        <w:top w:val="none" w:sz="0" w:space="0" w:color="auto"/>
        <w:left w:val="none" w:sz="0" w:space="0" w:color="auto"/>
        <w:bottom w:val="none" w:sz="0" w:space="0" w:color="auto"/>
        <w:right w:val="none" w:sz="0" w:space="0" w:color="auto"/>
      </w:divBdr>
      <w:divsChild>
        <w:div w:id="10180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013702">
      <w:bodyDiv w:val="1"/>
      <w:marLeft w:val="0"/>
      <w:marRight w:val="0"/>
      <w:marTop w:val="0"/>
      <w:marBottom w:val="0"/>
      <w:divBdr>
        <w:top w:val="none" w:sz="0" w:space="0" w:color="auto"/>
        <w:left w:val="none" w:sz="0" w:space="0" w:color="auto"/>
        <w:bottom w:val="none" w:sz="0" w:space="0" w:color="auto"/>
        <w:right w:val="none" w:sz="0" w:space="0" w:color="auto"/>
      </w:divBdr>
      <w:divsChild>
        <w:div w:id="15303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065054">
      <w:bodyDiv w:val="1"/>
      <w:marLeft w:val="0"/>
      <w:marRight w:val="0"/>
      <w:marTop w:val="0"/>
      <w:marBottom w:val="0"/>
      <w:divBdr>
        <w:top w:val="none" w:sz="0" w:space="0" w:color="auto"/>
        <w:left w:val="none" w:sz="0" w:space="0" w:color="auto"/>
        <w:bottom w:val="none" w:sz="0" w:space="0" w:color="auto"/>
        <w:right w:val="none" w:sz="0" w:space="0" w:color="auto"/>
      </w:divBdr>
      <w:divsChild>
        <w:div w:id="58919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992960">
      <w:bodyDiv w:val="1"/>
      <w:marLeft w:val="0"/>
      <w:marRight w:val="0"/>
      <w:marTop w:val="0"/>
      <w:marBottom w:val="0"/>
      <w:divBdr>
        <w:top w:val="none" w:sz="0" w:space="0" w:color="auto"/>
        <w:left w:val="none" w:sz="0" w:space="0" w:color="auto"/>
        <w:bottom w:val="none" w:sz="0" w:space="0" w:color="auto"/>
        <w:right w:val="none" w:sz="0" w:space="0" w:color="auto"/>
      </w:divBdr>
      <w:divsChild>
        <w:div w:id="123215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72508">
      <w:bodyDiv w:val="1"/>
      <w:marLeft w:val="0"/>
      <w:marRight w:val="0"/>
      <w:marTop w:val="0"/>
      <w:marBottom w:val="0"/>
      <w:divBdr>
        <w:top w:val="none" w:sz="0" w:space="0" w:color="auto"/>
        <w:left w:val="none" w:sz="0" w:space="0" w:color="auto"/>
        <w:bottom w:val="none" w:sz="0" w:space="0" w:color="auto"/>
        <w:right w:val="none" w:sz="0" w:space="0" w:color="auto"/>
      </w:divBdr>
      <w:divsChild>
        <w:div w:id="212947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424265">
      <w:bodyDiv w:val="1"/>
      <w:marLeft w:val="0"/>
      <w:marRight w:val="0"/>
      <w:marTop w:val="0"/>
      <w:marBottom w:val="0"/>
      <w:divBdr>
        <w:top w:val="none" w:sz="0" w:space="0" w:color="auto"/>
        <w:left w:val="none" w:sz="0" w:space="0" w:color="auto"/>
        <w:bottom w:val="none" w:sz="0" w:space="0" w:color="auto"/>
        <w:right w:val="none" w:sz="0" w:space="0" w:color="auto"/>
      </w:divBdr>
      <w:divsChild>
        <w:div w:id="153114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59600">
      <w:bodyDiv w:val="1"/>
      <w:marLeft w:val="0"/>
      <w:marRight w:val="0"/>
      <w:marTop w:val="0"/>
      <w:marBottom w:val="0"/>
      <w:divBdr>
        <w:top w:val="none" w:sz="0" w:space="0" w:color="auto"/>
        <w:left w:val="none" w:sz="0" w:space="0" w:color="auto"/>
        <w:bottom w:val="none" w:sz="0" w:space="0" w:color="auto"/>
        <w:right w:val="none" w:sz="0" w:space="0" w:color="auto"/>
      </w:divBdr>
      <w:divsChild>
        <w:div w:id="1587885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269829">
      <w:bodyDiv w:val="1"/>
      <w:marLeft w:val="0"/>
      <w:marRight w:val="0"/>
      <w:marTop w:val="0"/>
      <w:marBottom w:val="0"/>
      <w:divBdr>
        <w:top w:val="none" w:sz="0" w:space="0" w:color="auto"/>
        <w:left w:val="none" w:sz="0" w:space="0" w:color="auto"/>
        <w:bottom w:val="none" w:sz="0" w:space="0" w:color="auto"/>
        <w:right w:val="none" w:sz="0" w:space="0" w:color="auto"/>
      </w:divBdr>
      <w:divsChild>
        <w:div w:id="924416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626782">
      <w:bodyDiv w:val="1"/>
      <w:marLeft w:val="0"/>
      <w:marRight w:val="0"/>
      <w:marTop w:val="0"/>
      <w:marBottom w:val="0"/>
      <w:divBdr>
        <w:top w:val="none" w:sz="0" w:space="0" w:color="auto"/>
        <w:left w:val="none" w:sz="0" w:space="0" w:color="auto"/>
        <w:bottom w:val="none" w:sz="0" w:space="0" w:color="auto"/>
        <w:right w:val="none" w:sz="0" w:space="0" w:color="auto"/>
      </w:divBdr>
      <w:divsChild>
        <w:div w:id="1450124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247638">
      <w:bodyDiv w:val="1"/>
      <w:marLeft w:val="0"/>
      <w:marRight w:val="0"/>
      <w:marTop w:val="0"/>
      <w:marBottom w:val="0"/>
      <w:divBdr>
        <w:top w:val="none" w:sz="0" w:space="0" w:color="auto"/>
        <w:left w:val="none" w:sz="0" w:space="0" w:color="auto"/>
        <w:bottom w:val="none" w:sz="0" w:space="0" w:color="auto"/>
        <w:right w:val="none" w:sz="0" w:space="0" w:color="auto"/>
      </w:divBdr>
    </w:div>
    <w:div w:id="1830902400">
      <w:bodyDiv w:val="1"/>
      <w:marLeft w:val="0"/>
      <w:marRight w:val="0"/>
      <w:marTop w:val="0"/>
      <w:marBottom w:val="0"/>
      <w:divBdr>
        <w:top w:val="none" w:sz="0" w:space="0" w:color="auto"/>
        <w:left w:val="none" w:sz="0" w:space="0" w:color="auto"/>
        <w:bottom w:val="none" w:sz="0" w:space="0" w:color="auto"/>
        <w:right w:val="none" w:sz="0" w:space="0" w:color="auto"/>
      </w:divBdr>
      <w:divsChild>
        <w:div w:id="1742018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Marques</dc:creator>
  <cp:keywords/>
  <dc:description/>
  <cp:lastModifiedBy>Paulo Marques</cp:lastModifiedBy>
  <cp:revision>20</cp:revision>
  <dcterms:created xsi:type="dcterms:W3CDTF">2025-05-02T07:36:00Z</dcterms:created>
  <dcterms:modified xsi:type="dcterms:W3CDTF">2025-05-20T10:20:00Z</dcterms:modified>
</cp:coreProperties>
</file>