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10E6" w14:textId="42AF292D" w:rsidR="00C57B65" w:rsidRPr="009F06FB" w:rsidRDefault="00C57B65" w:rsidP="00F612BD">
      <w:pPr>
        <w:jc w:val="left"/>
      </w:pPr>
    </w:p>
    <w:p w14:paraId="045748EC" w14:textId="30545DF8" w:rsidR="00303EF0" w:rsidRDefault="00303EF0" w:rsidP="00303EF0">
      <w:pPr>
        <w:jc w:val="center"/>
        <w:rPr>
          <w:b/>
          <w:bCs/>
        </w:rPr>
      </w:pPr>
      <w:r w:rsidRPr="009F06FB">
        <w:rPr>
          <w:b/>
          <w:bCs/>
        </w:rPr>
        <w:t xml:space="preserve">Appendix </w:t>
      </w:r>
      <w:r>
        <w:rPr>
          <w:b/>
          <w:bCs/>
        </w:rPr>
        <w:t>1</w:t>
      </w:r>
      <w:r w:rsidRPr="009F06FB">
        <w:rPr>
          <w:b/>
          <w:bCs/>
        </w:rPr>
        <w:t xml:space="preserve">: </w:t>
      </w:r>
      <w:r>
        <w:rPr>
          <w:b/>
          <w:bCs/>
        </w:rPr>
        <w:t>Summary of Studies Included in Sakai and Moorman’s (2018) Meta-Analysis</w:t>
      </w:r>
    </w:p>
    <w:p w14:paraId="029D6D93" w14:textId="77777777" w:rsidR="00303EF0" w:rsidRDefault="00303EF0" w:rsidP="00303EF0">
      <w:pPr>
        <w:jc w:val="center"/>
        <w:rPr>
          <w:b/>
          <w:bCs/>
        </w:rPr>
      </w:pPr>
    </w:p>
    <w:p w14:paraId="2EF0355D" w14:textId="3A6C6B26" w:rsidR="00303EF0" w:rsidRDefault="00303EF0" w:rsidP="00F723DA">
      <w:pPr>
        <w:ind w:firstLine="840"/>
        <w:jc w:val="left"/>
      </w:pPr>
      <w:r w:rsidRPr="00303EF0">
        <w:t>As shown in the summary table</w:t>
      </w:r>
      <w:r w:rsidR="00F723DA">
        <w:t xml:space="preserve"> below</w:t>
      </w:r>
      <w:r w:rsidRPr="00303EF0">
        <w:t>, 9 out of 18 studies (50%)</w:t>
      </w:r>
      <w:r w:rsidR="00F723DA">
        <w:t xml:space="preserve"> </w:t>
      </w:r>
      <w:r w:rsidRPr="00303EF0">
        <w:t>included in Sakai and Moorman</w:t>
      </w:r>
      <w:r w:rsidR="00F723DA">
        <w:t>’s</w:t>
      </w:r>
      <w:r w:rsidRPr="00303EF0">
        <w:t xml:space="preserve"> (2018) </w:t>
      </w:r>
      <w:r w:rsidR="00F723DA">
        <w:t xml:space="preserve">meta-analysis </w:t>
      </w:r>
      <w:r w:rsidRPr="00303EF0">
        <w:t>were</w:t>
      </w:r>
      <w:r w:rsidR="00F723DA">
        <w:t xml:space="preserve"> also</w:t>
      </w:r>
      <w:r w:rsidRPr="00303EF0">
        <w:t xml:space="preserve"> included in the current meta-analysis. This means that 9 out of 31 studies (about 30%) came from Sakai and Moorman (2018). A notable improvement on the previous meta-analysis is related to the issue of “apples and oranges.” One ubiquitous problem with meta-analysis is that combining effect sizes from studies whose characteristics are substantially different makes it challenging to interpret the results. To respond to this issue, our focus was exclusively on HVPT studies which implemented a controlled perception training procedure (i.e., identification training) involving three important components of HVPT according to Thomson (2018, 2022): (1) multiple talkers, (2) multiple contexts, and (3) trial-by-trial feedback. Following this strict selection criteria, we ensured the consistency of the studies included in the current meta-analysis and needed to exclude </w:t>
      </w:r>
      <w:r w:rsidR="00DF1735">
        <w:t>9</w:t>
      </w:r>
      <w:r w:rsidRPr="00303EF0">
        <w:t xml:space="preserve"> studies included in Sakai and Moorman (2018): three studies involved only a single talker; four studies adopted training procedures that substantially deviated from a commonly adopted perception procedure (e.g., listening to a text containing target sounds, listening to a recorded speech of other students &amp; evaluating them for nativelikeness).</w:t>
      </w:r>
    </w:p>
    <w:p w14:paraId="29F1F37D" w14:textId="77777777" w:rsidR="00303EF0" w:rsidRDefault="00303EF0" w:rsidP="00303EF0">
      <w:pPr>
        <w:jc w:val="left"/>
      </w:pPr>
    </w:p>
    <w:p w14:paraId="4216D14F" w14:textId="77777777" w:rsidR="00303EF0" w:rsidRDefault="00303EF0" w:rsidP="00303EF0">
      <w:pPr>
        <w:jc w:val="left"/>
        <w:sectPr w:rsidR="00303EF0" w:rsidSect="00FD604E">
          <w:pgSz w:w="11906" w:h="16838"/>
          <w:pgMar w:top="1440" w:right="1080" w:bottom="1440" w:left="1080" w:header="851" w:footer="992" w:gutter="0"/>
          <w:cols w:space="425"/>
          <w:docGrid w:type="lines" w:linePitch="360"/>
        </w:sectPr>
      </w:pPr>
    </w:p>
    <w:p w14:paraId="3003C885" w14:textId="1E254DFC" w:rsidR="00F723DA" w:rsidRDefault="00F723DA" w:rsidP="00303EF0">
      <w:pPr>
        <w:jc w:val="left"/>
      </w:pPr>
    </w:p>
    <w:p w14:paraId="5E1386D0" w14:textId="6FFD4552" w:rsidR="00303EF0" w:rsidRPr="00F723DA" w:rsidRDefault="00F723DA" w:rsidP="00303EF0">
      <w:pPr>
        <w:jc w:val="left"/>
        <w:rPr>
          <w:b/>
          <w:bCs/>
        </w:rPr>
      </w:pPr>
      <w:r w:rsidRPr="00F723DA">
        <w:rPr>
          <w:b/>
          <w:bCs/>
        </w:rPr>
        <w:t>Summary Table of 18 Studies Included in Sakai and Moorman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410"/>
        <w:gridCol w:w="1526"/>
        <w:gridCol w:w="2209"/>
        <w:gridCol w:w="2234"/>
        <w:gridCol w:w="1160"/>
        <w:gridCol w:w="3783"/>
      </w:tblGrid>
      <w:tr w:rsidR="00303EF0" w:rsidRPr="00303EF0" w14:paraId="1463672E" w14:textId="77777777" w:rsidTr="00F723DA">
        <w:trPr>
          <w:trHeight w:val="285"/>
        </w:trPr>
        <w:tc>
          <w:tcPr>
            <w:tcW w:w="224" w:type="pct"/>
            <w:shd w:val="clear" w:color="auto" w:fill="auto"/>
            <w:noWrap/>
            <w:vAlign w:val="bottom"/>
            <w:hideMark/>
          </w:tcPr>
          <w:p w14:paraId="24EC3226" w14:textId="60275A12"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r w:rsidR="00F723DA">
              <w:rPr>
                <w:rFonts w:eastAsia="Times New Roman"/>
                <w:color w:val="000000"/>
                <w:kern w:val="0"/>
                <w:sz w:val="22"/>
                <w:szCs w:val="22"/>
              </w:rPr>
              <w:t>No</w:t>
            </w:r>
          </w:p>
        </w:tc>
        <w:tc>
          <w:tcPr>
            <w:tcW w:w="864" w:type="pct"/>
            <w:shd w:val="clear" w:color="auto" w:fill="auto"/>
            <w:noWrap/>
            <w:vAlign w:val="bottom"/>
            <w:hideMark/>
          </w:tcPr>
          <w:p w14:paraId="144C9F3E" w14:textId="77777777" w:rsidR="00303EF0" w:rsidRPr="00303EF0" w:rsidRDefault="00303EF0" w:rsidP="00303EF0">
            <w:pPr>
              <w:widowControl/>
              <w:jc w:val="center"/>
              <w:rPr>
                <w:rFonts w:eastAsia="Times New Roman"/>
                <w:color w:val="000000"/>
                <w:kern w:val="0"/>
                <w:sz w:val="22"/>
                <w:szCs w:val="22"/>
              </w:rPr>
            </w:pPr>
            <w:r w:rsidRPr="00303EF0">
              <w:rPr>
                <w:rFonts w:eastAsia="Times New Roman"/>
                <w:color w:val="000000"/>
                <w:kern w:val="0"/>
                <w:sz w:val="22"/>
                <w:szCs w:val="22"/>
              </w:rPr>
              <w:t>Study</w:t>
            </w:r>
          </w:p>
        </w:tc>
        <w:tc>
          <w:tcPr>
            <w:tcW w:w="547" w:type="pct"/>
            <w:shd w:val="clear" w:color="auto" w:fill="auto"/>
            <w:noWrap/>
            <w:vAlign w:val="bottom"/>
            <w:hideMark/>
          </w:tcPr>
          <w:p w14:paraId="5A85D348" w14:textId="77777777" w:rsidR="00303EF0" w:rsidRPr="00303EF0" w:rsidRDefault="00303EF0" w:rsidP="00303EF0">
            <w:pPr>
              <w:widowControl/>
              <w:jc w:val="center"/>
              <w:rPr>
                <w:rFonts w:eastAsia="Times New Roman"/>
                <w:color w:val="000000"/>
                <w:kern w:val="0"/>
                <w:sz w:val="22"/>
                <w:szCs w:val="22"/>
              </w:rPr>
            </w:pPr>
            <w:r w:rsidRPr="00303EF0">
              <w:rPr>
                <w:rFonts w:eastAsia="Times New Roman"/>
                <w:color w:val="000000"/>
                <w:kern w:val="0"/>
                <w:sz w:val="22"/>
                <w:szCs w:val="22"/>
              </w:rPr>
              <w:t>Type of publication</w:t>
            </w:r>
          </w:p>
        </w:tc>
        <w:tc>
          <w:tcPr>
            <w:tcW w:w="792" w:type="pct"/>
            <w:shd w:val="clear" w:color="auto" w:fill="auto"/>
            <w:noWrap/>
            <w:vAlign w:val="bottom"/>
            <w:hideMark/>
          </w:tcPr>
          <w:p w14:paraId="5B074F1D" w14:textId="77777777" w:rsidR="00303EF0" w:rsidRPr="00303EF0" w:rsidRDefault="00303EF0" w:rsidP="00303EF0">
            <w:pPr>
              <w:widowControl/>
              <w:jc w:val="center"/>
              <w:rPr>
                <w:rFonts w:eastAsia="Times New Roman"/>
                <w:color w:val="000000"/>
                <w:kern w:val="0"/>
                <w:sz w:val="22"/>
                <w:szCs w:val="22"/>
              </w:rPr>
            </w:pPr>
            <w:r w:rsidRPr="00303EF0">
              <w:rPr>
                <w:rFonts w:eastAsia="Times New Roman"/>
                <w:color w:val="000000"/>
                <w:kern w:val="0"/>
                <w:sz w:val="22"/>
                <w:szCs w:val="22"/>
              </w:rPr>
              <w:t>Included in the current meta-analysis</w:t>
            </w:r>
          </w:p>
        </w:tc>
        <w:tc>
          <w:tcPr>
            <w:tcW w:w="801" w:type="pct"/>
            <w:shd w:val="clear" w:color="auto" w:fill="auto"/>
            <w:noWrap/>
            <w:vAlign w:val="bottom"/>
            <w:hideMark/>
          </w:tcPr>
          <w:p w14:paraId="42730332" w14:textId="2028AC0C" w:rsidR="00303EF0" w:rsidRPr="00303EF0" w:rsidRDefault="00303EF0" w:rsidP="00303EF0">
            <w:pPr>
              <w:widowControl/>
              <w:jc w:val="center"/>
              <w:rPr>
                <w:rFonts w:eastAsia="Times New Roman"/>
                <w:color w:val="000000"/>
                <w:kern w:val="0"/>
                <w:sz w:val="22"/>
                <w:szCs w:val="22"/>
              </w:rPr>
            </w:pPr>
            <w:r w:rsidRPr="00303EF0">
              <w:rPr>
                <w:rFonts w:eastAsia="Times New Roman"/>
                <w:color w:val="000000"/>
                <w:kern w:val="0"/>
                <w:sz w:val="22"/>
                <w:szCs w:val="22"/>
              </w:rPr>
              <w:t>Why excluded?</w:t>
            </w:r>
          </w:p>
        </w:tc>
        <w:tc>
          <w:tcPr>
            <w:tcW w:w="416" w:type="pct"/>
            <w:shd w:val="clear" w:color="auto" w:fill="auto"/>
            <w:noWrap/>
            <w:vAlign w:val="bottom"/>
            <w:hideMark/>
          </w:tcPr>
          <w:p w14:paraId="514E7213" w14:textId="77777777" w:rsidR="00303EF0" w:rsidRPr="00303EF0" w:rsidRDefault="00303EF0" w:rsidP="00303EF0">
            <w:pPr>
              <w:widowControl/>
              <w:jc w:val="center"/>
              <w:rPr>
                <w:rFonts w:eastAsia="Times New Roman"/>
                <w:color w:val="000000"/>
                <w:kern w:val="0"/>
                <w:sz w:val="22"/>
                <w:szCs w:val="22"/>
              </w:rPr>
            </w:pPr>
            <w:r w:rsidRPr="00303EF0">
              <w:rPr>
                <w:rFonts w:eastAsia="Times New Roman"/>
                <w:color w:val="000000"/>
                <w:kern w:val="0"/>
                <w:sz w:val="22"/>
                <w:szCs w:val="22"/>
              </w:rPr>
              <w:t>Different talkers?</w:t>
            </w:r>
          </w:p>
        </w:tc>
        <w:tc>
          <w:tcPr>
            <w:tcW w:w="1357" w:type="pct"/>
            <w:shd w:val="clear" w:color="auto" w:fill="auto"/>
            <w:noWrap/>
            <w:vAlign w:val="bottom"/>
            <w:hideMark/>
          </w:tcPr>
          <w:p w14:paraId="497B25BC" w14:textId="77777777" w:rsidR="00303EF0" w:rsidRPr="00303EF0" w:rsidRDefault="00303EF0" w:rsidP="00303EF0">
            <w:pPr>
              <w:widowControl/>
              <w:jc w:val="center"/>
              <w:rPr>
                <w:rFonts w:eastAsia="Times New Roman"/>
                <w:color w:val="000000"/>
                <w:kern w:val="0"/>
                <w:sz w:val="22"/>
                <w:szCs w:val="22"/>
              </w:rPr>
            </w:pPr>
            <w:r w:rsidRPr="00303EF0">
              <w:rPr>
                <w:rFonts w:eastAsia="Times New Roman"/>
                <w:color w:val="000000"/>
                <w:kern w:val="0"/>
                <w:sz w:val="22"/>
                <w:szCs w:val="22"/>
              </w:rPr>
              <w:t>Description of training/treatment</w:t>
            </w:r>
          </w:p>
        </w:tc>
      </w:tr>
      <w:tr w:rsidR="00303EF0" w:rsidRPr="00303EF0" w14:paraId="0FFE0680" w14:textId="77777777" w:rsidTr="00F723DA">
        <w:trPr>
          <w:trHeight w:val="285"/>
        </w:trPr>
        <w:tc>
          <w:tcPr>
            <w:tcW w:w="224" w:type="pct"/>
            <w:shd w:val="clear" w:color="auto" w:fill="auto"/>
            <w:noWrap/>
            <w:vAlign w:val="bottom"/>
            <w:hideMark/>
          </w:tcPr>
          <w:p w14:paraId="447A06EF"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w:t>
            </w:r>
          </w:p>
        </w:tc>
        <w:tc>
          <w:tcPr>
            <w:tcW w:w="864" w:type="pct"/>
            <w:shd w:val="clear" w:color="auto" w:fill="auto"/>
            <w:noWrap/>
            <w:vAlign w:val="bottom"/>
            <w:hideMark/>
          </w:tcPr>
          <w:p w14:paraId="1868D3A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Anderson (2011)</w:t>
            </w:r>
          </w:p>
        </w:tc>
        <w:tc>
          <w:tcPr>
            <w:tcW w:w="547" w:type="pct"/>
            <w:shd w:val="clear" w:color="auto" w:fill="auto"/>
            <w:noWrap/>
            <w:vAlign w:val="bottom"/>
            <w:hideMark/>
          </w:tcPr>
          <w:p w14:paraId="088C2C19"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048475AE"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68A3495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 sufficient statistical information</w:t>
            </w:r>
          </w:p>
        </w:tc>
        <w:tc>
          <w:tcPr>
            <w:tcW w:w="416" w:type="pct"/>
            <w:shd w:val="clear" w:color="auto" w:fill="auto"/>
            <w:noWrap/>
            <w:vAlign w:val="bottom"/>
            <w:hideMark/>
          </w:tcPr>
          <w:p w14:paraId="5B4139C3"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7051DFA7" w14:textId="5F1D7F3B"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1275169E" w14:textId="77777777" w:rsidTr="00F723DA">
        <w:trPr>
          <w:trHeight w:val="285"/>
        </w:trPr>
        <w:tc>
          <w:tcPr>
            <w:tcW w:w="224" w:type="pct"/>
            <w:shd w:val="clear" w:color="auto" w:fill="auto"/>
            <w:noWrap/>
            <w:vAlign w:val="bottom"/>
            <w:hideMark/>
          </w:tcPr>
          <w:p w14:paraId="1F4C27A8"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2</w:t>
            </w:r>
          </w:p>
        </w:tc>
        <w:tc>
          <w:tcPr>
            <w:tcW w:w="864" w:type="pct"/>
            <w:shd w:val="clear" w:color="auto" w:fill="auto"/>
            <w:noWrap/>
            <w:vAlign w:val="bottom"/>
            <w:hideMark/>
          </w:tcPr>
          <w:p w14:paraId="479A12A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Bradlow et al. (1997)</w:t>
            </w:r>
          </w:p>
        </w:tc>
        <w:tc>
          <w:tcPr>
            <w:tcW w:w="547" w:type="pct"/>
            <w:shd w:val="clear" w:color="auto" w:fill="auto"/>
            <w:noWrap/>
            <w:vAlign w:val="bottom"/>
            <w:hideMark/>
          </w:tcPr>
          <w:p w14:paraId="7CC95F9C"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Journal Article</w:t>
            </w:r>
          </w:p>
        </w:tc>
        <w:tc>
          <w:tcPr>
            <w:tcW w:w="792" w:type="pct"/>
            <w:shd w:val="clear" w:color="auto" w:fill="auto"/>
            <w:noWrap/>
            <w:vAlign w:val="bottom"/>
            <w:hideMark/>
          </w:tcPr>
          <w:p w14:paraId="5465DB8E"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801" w:type="pct"/>
            <w:shd w:val="clear" w:color="BFBFBF" w:fill="BFBFBF"/>
            <w:noWrap/>
            <w:vAlign w:val="bottom"/>
            <w:hideMark/>
          </w:tcPr>
          <w:p w14:paraId="62A4C866"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66A8EDE2"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79BAE877" w14:textId="09A6EEA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5E193FA1" w14:textId="77777777" w:rsidTr="00F723DA">
        <w:trPr>
          <w:trHeight w:val="285"/>
        </w:trPr>
        <w:tc>
          <w:tcPr>
            <w:tcW w:w="224" w:type="pct"/>
            <w:shd w:val="clear" w:color="auto" w:fill="auto"/>
            <w:noWrap/>
            <w:vAlign w:val="bottom"/>
            <w:hideMark/>
          </w:tcPr>
          <w:p w14:paraId="30F168C4"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3</w:t>
            </w:r>
          </w:p>
        </w:tc>
        <w:tc>
          <w:tcPr>
            <w:tcW w:w="864" w:type="pct"/>
            <w:shd w:val="clear" w:color="auto" w:fill="auto"/>
            <w:noWrap/>
            <w:vAlign w:val="bottom"/>
            <w:hideMark/>
          </w:tcPr>
          <w:p w14:paraId="384CF7FA"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Counselman (2010)</w:t>
            </w:r>
          </w:p>
        </w:tc>
        <w:tc>
          <w:tcPr>
            <w:tcW w:w="547" w:type="pct"/>
            <w:shd w:val="clear" w:color="auto" w:fill="auto"/>
            <w:noWrap/>
            <w:vAlign w:val="bottom"/>
            <w:hideMark/>
          </w:tcPr>
          <w:p w14:paraId="7BD2045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42FC70BE"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697DF04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Not HVPT task</w:t>
            </w:r>
          </w:p>
        </w:tc>
        <w:tc>
          <w:tcPr>
            <w:tcW w:w="416" w:type="pct"/>
            <w:shd w:val="clear" w:color="auto" w:fill="auto"/>
            <w:noWrap/>
            <w:vAlign w:val="bottom"/>
            <w:hideMark/>
          </w:tcPr>
          <w:p w14:paraId="1F77CA08"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xml:space="preserve">Yes </w:t>
            </w:r>
          </w:p>
        </w:tc>
        <w:tc>
          <w:tcPr>
            <w:tcW w:w="1357" w:type="pct"/>
            <w:shd w:val="clear" w:color="auto" w:fill="auto"/>
            <w:noWrap/>
            <w:vAlign w:val="bottom"/>
            <w:hideMark/>
          </w:tcPr>
          <w:p w14:paraId="518E6082"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Listening to &amp; evaluating other students' productions</w:t>
            </w:r>
          </w:p>
        </w:tc>
      </w:tr>
      <w:tr w:rsidR="00303EF0" w:rsidRPr="00303EF0" w14:paraId="5617B131" w14:textId="77777777" w:rsidTr="00F723DA">
        <w:trPr>
          <w:trHeight w:val="285"/>
        </w:trPr>
        <w:tc>
          <w:tcPr>
            <w:tcW w:w="224" w:type="pct"/>
            <w:shd w:val="clear" w:color="auto" w:fill="auto"/>
            <w:noWrap/>
            <w:vAlign w:val="bottom"/>
            <w:hideMark/>
          </w:tcPr>
          <w:p w14:paraId="09AAEC9E"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4</w:t>
            </w:r>
          </w:p>
        </w:tc>
        <w:tc>
          <w:tcPr>
            <w:tcW w:w="864" w:type="pct"/>
            <w:shd w:val="clear" w:color="auto" w:fill="auto"/>
            <w:noWrap/>
            <w:vAlign w:val="bottom"/>
            <w:hideMark/>
          </w:tcPr>
          <w:p w14:paraId="7D4416CD"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xml:space="preserve">Gomez </w:t>
            </w:r>
            <w:proofErr w:type="spellStart"/>
            <w:r w:rsidRPr="00303EF0">
              <w:rPr>
                <w:rFonts w:eastAsia="Times New Roman"/>
                <w:color w:val="000000"/>
                <w:kern w:val="0"/>
                <w:sz w:val="22"/>
                <w:szCs w:val="22"/>
              </w:rPr>
              <w:t>Lacabex</w:t>
            </w:r>
            <w:proofErr w:type="spellEnd"/>
            <w:r w:rsidRPr="00303EF0">
              <w:rPr>
                <w:rFonts w:eastAsia="Times New Roman"/>
                <w:color w:val="000000"/>
                <w:kern w:val="0"/>
                <w:sz w:val="22"/>
                <w:szCs w:val="22"/>
              </w:rPr>
              <w:t xml:space="preserve"> &amp; Garcia Lecumberri (2010)</w:t>
            </w:r>
          </w:p>
        </w:tc>
        <w:tc>
          <w:tcPr>
            <w:tcW w:w="547" w:type="pct"/>
            <w:shd w:val="clear" w:color="auto" w:fill="auto"/>
            <w:noWrap/>
            <w:vAlign w:val="bottom"/>
            <w:hideMark/>
          </w:tcPr>
          <w:p w14:paraId="382BB986" w14:textId="7A25E9CE"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Conference Proceed</w:t>
            </w:r>
            <w:r w:rsidR="00F723DA">
              <w:rPr>
                <w:rFonts w:eastAsia="Times New Roman"/>
                <w:color w:val="000000"/>
                <w:kern w:val="0"/>
                <w:sz w:val="22"/>
                <w:szCs w:val="22"/>
              </w:rPr>
              <w:t>ings</w:t>
            </w:r>
          </w:p>
        </w:tc>
        <w:tc>
          <w:tcPr>
            <w:tcW w:w="792" w:type="pct"/>
            <w:shd w:val="clear" w:color="auto" w:fill="auto"/>
            <w:noWrap/>
            <w:vAlign w:val="bottom"/>
            <w:hideMark/>
          </w:tcPr>
          <w:p w14:paraId="007917A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408E4B6C"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Single talker; Not HVPT task</w:t>
            </w:r>
          </w:p>
        </w:tc>
        <w:tc>
          <w:tcPr>
            <w:tcW w:w="416" w:type="pct"/>
            <w:shd w:val="clear" w:color="auto" w:fill="auto"/>
            <w:noWrap/>
            <w:vAlign w:val="bottom"/>
            <w:hideMark/>
          </w:tcPr>
          <w:p w14:paraId="2DF0469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1357" w:type="pct"/>
            <w:shd w:val="clear" w:color="auto" w:fill="auto"/>
            <w:noWrap/>
            <w:vAlign w:val="bottom"/>
            <w:hideMark/>
          </w:tcPr>
          <w:p w14:paraId="75D0609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Asked to induce rules after listening</w:t>
            </w:r>
          </w:p>
        </w:tc>
      </w:tr>
      <w:tr w:rsidR="00303EF0" w:rsidRPr="00303EF0" w14:paraId="1D5C7E2B" w14:textId="77777777" w:rsidTr="00F723DA">
        <w:trPr>
          <w:trHeight w:val="285"/>
        </w:trPr>
        <w:tc>
          <w:tcPr>
            <w:tcW w:w="224" w:type="pct"/>
            <w:shd w:val="clear" w:color="auto" w:fill="auto"/>
            <w:noWrap/>
            <w:vAlign w:val="bottom"/>
            <w:hideMark/>
          </w:tcPr>
          <w:p w14:paraId="65F58156"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5</w:t>
            </w:r>
          </w:p>
        </w:tc>
        <w:tc>
          <w:tcPr>
            <w:tcW w:w="864" w:type="pct"/>
            <w:shd w:val="clear" w:color="auto" w:fill="auto"/>
            <w:noWrap/>
            <w:vAlign w:val="bottom"/>
            <w:hideMark/>
          </w:tcPr>
          <w:p w14:paraId="166FA699"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Han (2002)</w:t>
            </w:r>
          </w:p>
        </w:tc>
        <w:tc>
          <w:tcPr>
            <w:tcW w:w="547" w:type="pct"/>
            <w:shd w:val="clear" w:color="auto" w:fill="auto"/>
            <w:noWrap/>
            <w:vAlign w:val="bottom"/>
            <w:hideMark/>
          </w:tcPr>
          <w:p w14:paraId="5456F3B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Journal Article</w:t>
            </w:r>
          </w:p>
        </w:tc>
        <w:tc>
          <w:tcPr>
            <w:tcW w:w="792" w:type="pct"/>
            <w:shd w:val="clear" w:color="auto" w:fill="auto"/>
            <w:noWrap/>
            <w:vAlign w:val="bottom"/>
            <w:hideMark/>
          </w:tcPr>
          <w:p w14:paraId="26D01C1B"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18D2F7E0" w14:textId="77A3C5E2"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Not HVPT task</w:t>
            </w:r>
          </w:p>
        </w:tc>
        <w:tc>
          <w:tcPr>
            <w:tcW w:w="416" w:type="pct"/>
            <w:shd w:val="clear" w:color="auto" w:fill="auto"/>
            <w:noWrap/>
            <w:vAlign w:val="bottom"/>
            <w:hideMark/>
          </w:tcPr>
          <w:p w14:paraId="707C0B76"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61D0ABD2" w14:textId="77777777" w:rsidR="00303EF0" w:rsidRPr="00303EF0" w:rsidRDefault="00303EF0" w:rsidP="00303EF0">
            <w:pPr>
              <w:widowControl/>
              <w:jc w:val="left"/>
              <w:rPr>
                <w:rFonts w:eastAsia="Times New Roman"/>
                <w:color w:val="000000"/>
                <w:kern w:val="0"/>
                <w:sz w:val="22"/>
                <w:szCs w:val="22"/>
              </w:rPr>
            </w:pPr>
            <w:proofErr w:type="spellStart"/>
            <w:r w:rsidRPr="00303EF0">
              <w:rPr>
                <w:rFonts w:eastAsia="Times New Roman"/>
                <w:color w:val="000000"/>
                <w:kern w:val="0"/>
                <w:sz w:val="22"/>
                <w:szCs w:val="22"/>
              </w:rPr>
              <w:t>Instruction+Perception</w:t>
            </w:r>
            <w:proofErr w:type="spellEnd"/>
            <w:r w:rsidRPr="00303EF0">
              <w:rPr>
                <w:rFonts w:eastAsia="Times New Roman"/>
                <w:color w:val="000000"/>
                <w:kern w:val="0"/>
                <w:sz w:val="22"/>
                <w:szCs w:val="22"/>
              </w:rPr>
              <w:t xml:space="preserve"> practice</w:t>
            </w:r>
          </w:p>
        </w:tc>
      </w:tr>
      <w:tr w:rsidR="00303EF0" w:rsidRPr="00303EF0" w14:paraId="3FE359B8" w14:textId="77777777" w:rsidTr="00F723DA">
        <w:trPr>
          <w:trHeight w:val="285"/>
        </w:trPr>
        <w:tc>
          <w:tcPr>
            <w:tcW w:w="224" w:type="pct"/>
            <w:shd w:val="clear" w:color="auto" w:fill="auto"/>
            <w:noWrap/>
            <w:vAlign w:val="bottom"/>
            <w:hideMark/>
          </w:tcPr>
          <w:p w14:paraId="0060FA29"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6</w:t>
            </w:r>
          </w:p>
        </w:tc>
        <w:tc>
          <w:tcPr>
            <w:tcW w:w="864" w:type="pct"/>
            <w:shd w:val="clear" w:color="auto" w:fill="auto"/>
            <w:noWrap/>
            <w:vAlign w:val="bottom"/>
            <w:hideMark/>
          </w:tcPr>
          <w:p w14:paraId="2369B5C3"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Hazan et al. (2005)</w:t>
            </w:r>
          </w:p>
        </w:tc>
        <w:tc>
          <w:tcPr>
            <w:tcW w:w="547" w:type="pct"/>
            <w:shd w:val="clear" w:color="auto" w:fill="auto"/>
            <w:noWrap/>
            <w:vAlign w:val="bottom"/>
            <w:hideMark/>
          </w:tcPr>
          <w:p w14:paraId="296EBC8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Journal Article</w:t>
            </w:r>
          </w:p>
        </w:tc>
        <w:tc>
          <w:tcPr>
            <w:tcW w:w="792" w:type="pct"/>
            <w:shd w:val="clear" w:color="auto" w:fill="auto"/>
            <w:noWrap/>
            <w:vAlign w:val="bottom"/>
            <w:hideMark/>
          </w:tcPr>
          <w:p w14:paraId="1843623C"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801" w:type="pct"/>
            <w:shd w:val="clear" w:color="B7B7B7" w:fill="B7B7B7"/>
            <w:noWrap/>
            <w:vAlign w:val="bottom"/>
            <w:hideMark/>
          </w:tcPr>
          <w:p w14:paraId="6C1C4D71"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14D3EA5B"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20D253BE" w14:textId="641E2594"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5814C925" w14:textId="77777777" w:rsidTr="00F723DA">
        <w:trPr>
          <w:trHeight w:val="285"/>
        </w:trPr>
        <w:tc>
          <w:tcPr>
            <w:tcW w:w="224" w:type="pct"/>
            <w:shd w:val="clear" w:color="auto" w:fill="auto"/>
            <w:noWrap/>
            <w:vAlign w:val="bottom"/>
            <w:hideMark/>
          </w:tcPr>
          <w:p w14:paraId="0FF5BC71"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7</w:t>
            </w:r>
          </w:p>
        </w:tc>
        <w:tc>
          <w:tcPr>
            <w:tcW w:w="864" w:type="pct"/>
            <w:shd w:val="clear" w:color="auto" w:fill="auto"/>
            <w:noWrap/>
            <w:vAlign w:val="bottom"/>
            <w:hideMark/>
          </w:tcPr>
          <w:p w14:paraId="614AF14C"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Herd et al. (2013)</w:t>
            </w:r>
          </w:p>
        </w:tc>
        <w:tc>
          <w:tcPr>
            <w:tcW w:w="547" w:type="pct"/>
            <w:shd w:val="clear" w:color="auto" w:fill="auto"/>
            <w:noWrap/>
            <w:vAlign w:val="bottom"/>
            <w:hideMark/>
          </w:tcPr>
          <w:p w14:paraId="1317DDE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Journal Article</w:t>
            </w:r>
          </w:p>
        </w:tc>
        <w:tc>
          <w:tcPr>
            <w:tcW w:w="792" w:type="pct"/>
            <w:shd w:val="clear" w:color="auto" w:fill="auto"/>
            <w:noWrap/>
            <w:vAlign w:val="bottom"/>
            <w:hideMark/>
          </w:tcPr>
          <w:p w14:paraId="15A9CDD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801" w:type="pct"/>
            <w:shd w:val="clear" w:color="B7B7B7" w:fill="B7B7B7"/>
            <w:noWrap/>
            <w:vAlign w:val="bottom"/>
            <w:hideMark/>
          </w:tcPr>
          <w:p w14:paraId="2E49F3BE"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66187C9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546F9786" w14:textId="73947F58"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0D923C28" w14:textId="77777777" w:rsidTr="00F723DA">
        <w:trPr>
          <w:trHeight w:val="285"/>
        </w:trPr>
        <w:tc>
          <w:tcPr>
            <w:tcW w:w="224" w:type="pct"/>
            <w:shd w:val="clear" w:color="auto" w:fill="auto"/>
            <w:noWrap/>
            <w:vAlign w:val="bottom"/>
            <w:hideMark/>
          </w:tcPr>
          <w:p w14:paraId="307565A3"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8</w:t>
            </w:r>
          </w:p>
        </w:tc>
        <w:tc>
          <w:tcPr>
            <w:tcW w:w="864" w:type="pct"/>
            <w:shd w:val="clear" w:color="auto" w:fill="auto"/>
            <w:noWrap/>
            <w:vAlign w:val="bottom"/>
            <w:hideMark/>
          </w:tcPr>
          <w:p w14:paraId="22C8E5D9" w14:textId="77777777" w:rsidR="00303EF0" w:rsidRPr="00303EF0" w:rsidRDefault="00303EF0" w:rsidP="00303EF0">
            <w:pPr>
              <w:widowControl/>
              <w:jc w:val="left"/>
              <w:rPr>
                <w:rFonts w:eastAsia="Times New Roman"/>
                <w:color w:val="000000"/>
                <w:kern w:val="0"/>
                <w:sz w:val="22"/>
                <w:szCs w:val="22"/>
              </w:rPr>
            </w:pPr>
            <w:proofErr w:type="spellStart"/>
            <w:r w:rsidRPr="00303EF0">
              <w:rPr>
                <w:rFonts w:eastAsia="Times New Roman"/>
                <w:color w:val="000000"/>
                <w:kern w:val="0"/>
                <w:sz w:val="22"/>
                <w:szCs w:val="22"/>
              </w:rPr>
              <w:t>Huensch</w:t>
            </w:r>
            <w:proofErr w:type="spellEnd"/>
            <w:r w:rsidRPr="00303EF0">
              <w:rPr>
                <w:rFonts w:eastAsia="Times New Roman"/>
                <w:color w:val="000000"/>
                <w:kern w:val="0"/>
                <w:sz w:val="22"/>
                <w:szCs w:val="22"/>
              </w:rPr>
              <w:t xml:space="preserve"> (2013)</w:t>
            </w:r>
          </w:p>
        </w:tc>
        <w:tc>
          <w:tcPr>
            <w:tcW w:w="547" w:type="pct"/>
            <w:shd w:val="clear" w:color="auto" w:fill="auto"/>
            <w:noWrap/>
            <w:vAlign w:val="bottom"/>
            <w:hideMark/>
          </w:tcPr>
          <w:p w14:paraId="1026823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305D227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 (</w:t>
            </w:r>
            <w:proofErr w:type="spellStart"/>
            <w:r w:rsidRPr="00303EF0">
              <w:rPr>
                <w:rFonts w:eastAsia="Times New Roman"/>
                <w:color w:val="000000"/>
                <w:kern w:val="0"/>
                <w:sz w:val="22"/>
                <w:szCs w:val="22"/>
              </w:rPr>
              <w:t>Huensch</w:t>
            </w:r>
            <w:proofErr w:type="spellEnd"/>
            <w:r w:rsidRPr="00303EF0">
              <w:rPr>
                <w:rFonts w:eastAsia="Times New Roman"/>
                <w:color w:val="000000"/>
                <w:kern w:val="0"/>
                <w:sz w:val="22"/>
                <w:szCs w:val="22"/>
              </w:rPr>
              <w:t xml:space="preserve"> &amp; Tremblay, 2015)</w:t>
            </w:r>
          </w:p>
        </w:tc>
        <w:tc>
          <w:tcPr>
            <w:tcW w:w="801" w:type="pct"/>
            <w:shd w:val="clear" w:color="B7B7B7" w:fill="B7B7B7"/>
            <w:noWrap/>
            <w:vAlign w:val="bottom"/>
            <w:hideMark/>
          </w:tcPr>
          <w:p w14:paraId="7FFEE299"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7048057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16065FB4" w14:textId="7384D806" w:rsidR="00303EF0" w:rsidRPr="00303EF0" w:rsidRDefault="00F723DA" w:rsidP="00303EF0">
            <w:pPr>
              <w:widowControl/>
              <w:jc w:val="left"/>
              <w:rPr>
                <w:rFonts w:eastAsia="Times New Roman"/>
                <w:color w:val="000000"/>
                <w:kern w:val="0"/>
                <w:sz w:val="22"/>
                <w:szCs w:val="22"/>
              </w:rPr>
            </w:pPr>
            <w:r>
              <w:rPr>
                <w:rFonts w:eastAsia="Times New Roman"/>
                <w:color w:val="000000"/>
                <w:kern w:val="0"/>
                <w:sz w:val="22"/>
                <w:szCs w:val="22"/>
              </w:rPr>
              <w:t>Identification t</w:t>
            </w:r>
            <w:r w:rsidR="00303EF0" w:rsidRPr="00303EF0">
              <w:rPr>
                <w:rFonts w:eastAsia="Times New Roman"/>
                <w:color w:val="000000"/>
                <w:kern w:val="0"/>
                <w:sz w:val="22"/>
                <w:szCs w:val="22"/>
              </w:rPr>
              <w:t>raining</w:t>
            </w:r>
          </w:p>
        </w:tc>
      </w:tr>
      <w:tr w:rsidR="00303EF0" w:rsidRPr="00303EF0" w14:paraId="4D9C39AB" w14:textId="77777777" w:rsidTr="00F723DA">
        <w:trPr>
          <w:trHeight w:val="285"/>
        </w:trPr>
        <w:tc>
          <w:tcPr>
            <w:tcW w:w="224" w:type="pct"/>
            <w:shd w:val="clear" w:color="auto" w:fill="auto"/>
            <w:noWrap/>
            <w:vAlign w:val="bottom"/>
            <w:hideMark/>
          </w:tcPr>
          <w:p w14:paraId="3E1A941C"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9</w:t>
            </w:r>
          </w:p>
        </w:tc>
        <w:tc>
          <w:tcPr>
            <w:tcW w:w="864" w:type="pct"/>
            <w:shd w:val="clear" w:color="auto" w:fill="auto"/>
            <w:noWrap/>
            <w:vAlign w:val="bottom"/>
            <w:hideMark/>
          </w:tcPr>
          <w:p w14:paraId="1CB0DE4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Lambacher et al. (2005)</w:t>
            </w:r>
          </w:p>
        </w:tc>
        <w:tc>
          <w:tcPr>
            <w:tcW w:w="547" w:type="pct"/>
            <w:shd w:val="clear" w:color="auto" w:fill="auto"/>
            <w:noWrap/>
            <w:vAlign w:val="bottom"/>
            <w:hideMark/>
          </w:tcPr>
          <w:p w14:paraId="484AFC31"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Journal Article</w:t>
            </w:r>
          </w:p>
        </w:tc>
        <w:tc>
          <w:tcPr>
            <w:tcW w:w="792" w:type="pct"/>
            <w:shd w:val="clear" w:color="auto" w:fill="auto"/>
            <w:noWrap/>
            <w:vAlign w:val="bottom"/>
            <w:hideMark/>
          </w:tcPr>
          <w:p w14:paraId="7FB9AD7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801" w:type="pct"/>
            <w:shd w:val="clear" w:color="B7B7B7" w:fill="B7B7B7"/>
            <w:noWrap/>
            <w:vAlign w:val="bottom"/>
            <w:hideMark/>
          </w:tcPr>
          <w:p w14:paraId="11402A3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659F2E6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26C423C0" w14:textId="4A605FE1"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20324DB9" w14:textId="77777777" w:rsidTr="00F723DA">
        <w:trPr>
          <w:trHeight w:val="285"/>
        </w:trPr>
        <w:tc>
          <w:tcPr>
            <w:tcW w:w="224" w:type="pct"/>
            <w:shd w:val="clear" w:color="auto" w:fill="auto"/>
            <w:noWrap/>
            <w:vAlign w:val="bottom"/>
            <w:hideMark/>
          </w:tcPr>
          <w:p w14:paraId="7D5D2272"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10</w:t>
            </w:r>
          </w:p>
        </w:tc>
        <w:tc>
          <w:tcPr>
            <w:tcW w:w="864" w:type="pct"/>
            <w:shd w:val="clear" w:color="auto" w:fill="auto"/>
            <w:noWrap/>
            <w:vAlign w:val="bottom"/>
            <w:hideMark/>
          </w:tcPr>
          <w:p w14:paraId="78FF5AA2" w14:textId="77777777" w:rsidR="00303EF0" w:rsidRPr="00303EF0" w:rsidRDefault="00303EF0" w:rsidP="00303EF0">
            <w:pPr>
              <w:widowControl/>
              <w:jc w:val="left"/>
              <w:rPr>
                <w:rFonts w:eastAsia="Times New Roman"/>
                <w:color w:val="000000"/>
                <w:kern w:val="0"/>
                <w:sz w:val="22"/>
                <w:szCs w:val="22"/>
              </w:rPr>
            </w:pPr>
            <w:proofErr w:type="spellStart"/>
            <w:r w:rsidRPr="00303EF0">
              <w:rPr>
                <w:rFonts w:eastAsia="Times New Roman"/>
                <w:color w:val="000000"/>
                <w:kern w:val="0"/>
                <w:sz w:val="22"/>
                <w:szCs w:val="22"/>
              </w:rPr>
              <w:t>Lengeris</w:t>
            </w:r>
            <w:proofErr w:type="spellEnd"/>
            <w:r w:rsidRPr="00303EF0">
              <w:rPr>
                <w:rFonts w:eastAsia="Times New Roman"/>
                <w:color w:val="000000"/>
                <w:kern w:val="0"/>
                <w:sz w:val="22"/>
                <w:szCs w:val="22"/>
              </w:rPr>
              <w:t xml:space="preserve"> (2009)</w:t>
            </w:r>
          </w:p>
        </w:tc>
        <w:tc>
          <w:tcPr>
            <w:tcW w:w="547" w:type="pct"/>
            <w:shd w:val="clear" w:color="auto" w:fill="auto"/>
            <w:noWrap/>
            <w:vAlign w:val="bottom"/>
            <w:hideMark/>
          </w:tcPr>
          <w:p w14:paraId="7744F65A"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2BABE47D"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 (</w:t>
            </w:r>
            <w:proofErr w:type="spellStart"/>
            <w:r w:rsidRPr="00303EF0">
              <w:rPr>
                <w:rFonts w:eastAsia="Times New Roman"/>
                <w:color w:val="000000"/>
                <w:kern w:val="0"/>
                <w:sz w:val="22"/>
                <w:szCs w:val="22"/>
              </w:rPr>
              <w:t>Lengeris</w:t>
            </w:r>
            <w:proofErr w:type="spellEnd"/>
            <w:r w:rsidRPr="00303EF0">
              <w:rPr>
                <w:rFonts w:eastAsia="Times New Roman"/>
                <w:color w:val="000000"/>
                <w:kern w:val="0"/>
                <w:sz w:val="22"/>
                <w:szCs w:val="22"/>
              </w:rPr>
              <w:t xml:space="preserve"> &amp; Hazan, 2010)</w:t>
            </w:r>
          </w:p>
        </w:tc>
        <w:tc>
          <w:tcPr>
            <w:tcW w:w="801" w:type="pct"/>
            <w:shd w:val="clear" w:color="B7B7B7" w:fill="B7B7B7"/>
            <w:noWrap/>
            <w:vAlign w:val="bottom"/>
            <w:hideMark/>
          </w:tcPr>
          <w:p w14:paraId="7C696AB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73310B5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3B8CB616" w14:textId="6E4B24C2"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06D6A2B3" w14:textId="77777777" w:rsidTr="00F723DA">
        <w:trPr>
          <w:trHeight w:val="285"/>
        </w:trPr>
        <w:tc>
          <w:tcPr>
            <w:tcW w:w="224" w:type="pct"/>
            <w:shd w:val="clear" w:color="auto" w:fill="auto"/>
            <w:noWrap/>
            <w:vAlign w:val="bottom"/>
            <w:hideMark/>
          </w:tcPr>
          <w:p w14:paraId="44DC82FB"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lastRenderedPageBreak/>
              <w:t>11</w:t>
            </w:r>
          </w:p>
        </w:tc>
        <w:tc>
          <w:tcPr>
            <w:tcW w:w="864" w:type="pct"/>
            <w:shd w:val="clear" w:color="auto" w:fill="auto"/>
            <w:noWrap/>
            <w:vAlign w:val="bottom"/>
            <w:hideMark/>
          </w:tcPr>
          <w:p w14:paraId="5A99A9AE"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Motohashi (2007)</w:t>
            </w:r>
          </w:p>
        </w:tc>
        <w:tc>
          <w:tcPr>
            <w:tcW w:w="547" w:type="pct"/>
            <w:shd w:val="clear" w:color="auto" w:fill="auto"/>
            <w:noWrap/>
            <w:vAlign w:val="bottom"/>
            <w:hideMark/>
          </w:tcPr>
          <w:p w14:paraId="540F5186"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6AB76F4C"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1A35ACD9"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Single talker</w:t>
            </w:r>
          </w:p>
        </w:tc>
        <w:tc>
          <w:tcPr>
            <w:tcW w:w="416" w:type="pct"/>
            <w:shd w:val="clear" w:color="auto" w:fill="auto"/>
            <w:noWrap/>
            <w:vAlign w:val="bottom"/>
            <w:hideMark/>
          </w:tcPr>
          <w:p w14:paraId="1834CC7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1357" w:type="pct"/>
            <w:shd w:val="clear" w:color="auto" w:fill="auto"/>
            <w:noWrap/>
            <w:vAlign w:val="bottom"/>
            <w:hideMark/>
          </w:tcPr>
          <w:p w14:paraId="3C93A2BB"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 with audiovisual or auditory input</w:t>
            </w:r>
          </w:p>
        </w:tc>
      </w:tr>
      <w:tr w:rsidR="00303EF0" w:rsidRPr="00303EF0" w14:paraId="704C731F" w14:textId="77777777" w:rsidTr="00F723DA">
        <w:trPr>
          <w:trHeight w:val="285"/>
        </w:trPr>
        <w:tc>
          <w:tcPr>
            <w:tcW w:w="224" w:type="pct"/>
            <w:shd w:val="clear" w:color="auto" w:fill="auto"/>
            <w:noWrap/>
            <w:vAlign w:val="bottom"/>
            <w:hideMark/>
          </w:tcPr>
          <w:p w14:paraId="732C5A6E"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12</w:t>
            </w:r>
          </w:p>
        </w:tc>
        <w:tc>
          <w:tcPr>
            <w:tcW w:w="864" w:type="pct"/>
            <w:shd w:val="clear" w:color="auto" w:fill="auto"/>
            <w:noWrap/>
            <w:vAlign w:val="bottom"/>
            <w:hideMark/>
          </w:tcPr>
          <w:p w14:paraId="0796310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Nobre-Oliveira (2007)</w:t>
            </w:r>
          </w:p>
        </w:tc>
        <w:tc>
          <w:tcPr>
            <w:tcW w:w="547" w:type="pct"/>
            <w:shd w:val="clear" w:color="auto" w:fill="auto"/>
            <w:noWrap/>
            <w:vAlign w:val="bottom"/>
            <w:hideMark/>
          </w:tcPr>
          <w:p w14:paraId="27E30E18"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Conference Proceedings</w:t>
            </w:r>
          </w:p>
        </w:tc>
        <w:tc>
          <w:tcPr>
            <w:tcW w:w="792" w:type="pct"/>
            <w:shd w:val="clear" w:color="auto" w:fill="auto"/>
            <w:noWrap/>
            <w:vAlign w:val="bottom"/>
            <w:hideMark/>
          </w:tcPr>
          <w:p w14:paraId="4CA06591"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4065440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 sufficient statistical information</w:t>
            </w:r>
          </w:p>
        </w:tc>
        <w:tc>
          <w:tcPr>
            <w:tcW w:w="416" w:type="pct"/>
            <w:shd w:val="clear" w:color="auto" w:fill="auto"/>
            <w:noWrap/>
            <w:vAlign w:val="bottom"/>
            <w:hideMark/>
          </w:tcPr>
          <w:p w14:paraId="07EF2D3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7DA64FB3"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xml:space="preserve">Identification training </w:t>
            </w:r>
          </w:p>
        </w:tc>
      </w:tr>
      <w:tr w:rsidR="00303EF0" w:rsidRPr="00303EF0" w14:paraId="3609D02E" w14:textId="77777777" w:rsidTr="00F723DA">
        <w:trPr>
          <w:trHeight w:val="285"/>
        </w:trPr>
        <w:tc>
          <w:tcPr>
            <w:tcW w:w="224" w:type="pct"/>
            <w:shd w:val="clear" w:color="auto" w:fill="auto"/>
            <w:noWrap/>
            <w:vAlign w:val="bottom"/>
            <w:hideMark/>
          </w:tcPr>
          <w:p w14:paraId="3FE95815"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13</w:t>
            </w:r>
          </w:p>
        </w:tc>
        <w:tc>
          <w:tcPr>
            <w:tcW w:w="864" w:type="pct"/>
            <w:shd w:val="clear" w:color="auto" w:fill="auto"/>
            <w:noWrap/>
            <w:vAlign w:val="bottom"/>
            <w:hideMark/>
          </w:tcPr>
          <w:p w14:paraId="75E5062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Reis &amp; Nobre-Oliveria (2007)</w:t>
            </w:r>
          </w:p>
        </w:tc>
        <w:tc>
          <w:tcPr>
            <w:tcW w:w="547" w:type="pct"/>
            <w:shd w:val="clear" w:color="auto" w:fill="auto"/>
            <w:noWrap/>
            <w:vAlign w:val="bottom"/>
            <w:hideMark/>
          </w:tcPr>
          <w:p w14:paraId="6E29EEEA"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Conference Proceedings</w:t>
            </w:r>
          </w:p>
        </w:tc>
        <w:tc>
          <w:tcPr>
            <w:tcW w:w="792" w:type="pct"/>
            <w:shd w:val="clear" w:color="FFFFFF" w:fill="FFFFFF"/>
            <w:noWrap/>
            <w:vAlign w:val="bottom"/>
            <w:hideMark/>
          </w:tcPr>
          <w:p w14:paraId="59BF84D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FFFFFF" w:fill="FFFFFF"/>
            <w:noWrap/>
            <w:vAlign w:val="bottom"/>
            <w:hideMark/>
          </w:tcPr>
          <w:p w14:paraId="2356F881" w14:textId="3C9EFA4B"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Old-New stimul</w:t>
            </w:r>
            <w:r w:rsidR="00F723DA">
              <w:rPr>
                <w:rFonts w:eastAsia="Times New Roman"/>
                <w:color w:val="000000"/>
                <w:kern w:val="0"/>
                <w:sz w:val="22"/>
                <w:szCs w:val="22"/>
              </w:rPr>
              <w:t xml:space="preserve">us </w:t>
            </w:r>
            <w:r w:rsidRPr="00303EF0">
              <w:rPr>
                <w:rFonts w:eastAsia="Times New Roman"/>
                <w:color w:val="000000"/>
                <w:kern w:val="0"/>
                <w:sz w:val="22"/>
                <w:szCs w:val="22"/>
              </w:rPr>
              <w:t>status was not clear</w:t>
            </w:r>
          </w:p>
        </w:tc>
        <w:tc>
          <w:tcPr>
            <w:tcW w:w="416" w:type="pct"/>
            <w:shd w:val="clear" w:color="auto" w:fill="auto"/>
            <w:noWrap/>
            <w:vAlign w:val="bottom"/>
            <w:hideMark/>
          </w:tcPr>
          <w:p w14:paraId="5A8837A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36CB730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and Discrimination training</w:t>
            </w:r>
          </w:p>
        </w:tc>
      </w:tr>
      <w:tr w:rsidR="00303EF0" w:rsidRPr="00303EF0" w14:paraId="3934446E" w14:textId="77777777" w:rsidTr="00F723DA">
        <w:trPr>
          <w:trHeight w:val="285"/>
        </w:trPr>
        <w:tc>
          <w:tcPr>
            <w:tcW w:w="224" w:type="pct"/>
            <w:shd w:val="clear" w:color="auto" w:fill="auto"/>
            <w:noWrap/>
            <w:vAlign w:val="bottom"/>
            <w:hideMark/>
          </w:tcPr>
          <w:p w14:paraId="3184445C"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14</w:t>
            </w:r>
          </w:p>
        </w:tc>
        <w:tc>
          <w:tcPr>
            <w:tcW w:w="864" w:type="pct"/>
            <w:shd w:val="clear" w:color="auto" w:fill="auto"/>
            <w:noWrap/>
            <w:vAlign w:val="bottom"/>
            <w:hideMark/>
          </w:tcPr>
          <w:p w14:paraId="3A3F5A7C"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Soler-Urzua (2011)</w:t>
            </w:r>
          </w:p>
        </w:tc>
        <w:tc>
          <w:tcPr>
            <w:tcW w:w="547" w:type="pct"/>
            <w:shd w:val="clear" w:color="auto" w:fill="auto"/>
            <w:noWrap/>
            <w:vAlign w:val="bottom"/>
            <w:hideMark/>
          </w:tcPr>
          <w:p w14:paraId="2B7F117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Master thesis</w:t>
            </w:r>
          </w:p>
        </w:tc>
        <w:tc>
          <w:tcPr>
            <w:tcW w:w="792" w:type="pct"/>
            <w:shd w:val="clear" w:color="auto" w:fill="auto"/>
            <w:noWrap/>
            <w:vAlign w:val="bottom"/>
            <w:hideMark/>
          </w:tcPr>
          <w:p w14:paraId="44CD50C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13A0C0A1"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Not HVPT task</w:t>
            </w:r>
          </w:p>
        </w:tc>
        <w:tc>
          <w:tcPr>
            <w:tcW w:w="416" w:type="pct"/>
            <w:shd w:val="clear" w:color="auto" w:fill="auto"/>
            <w:noWrap/>
            <w:vAlign w:val="bottom"/>
            <w:hideMark/>
          </w:tcPr>
          <w:p w14:paraId="190AAE44"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49CC2F02" w14:textId="572424C2"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xml:space="preserve">Listening to stories read by </w:t>
            </w:r>
            <w:r w:rsidR="002E7852">
              <w:rPr>
                <w:rFonts w:eastAsia="Times New Roman"/>
                <w:color w:val="000000"/>
                <w:kern w:val="0"/>
                <w:sz w:val="22"/>
                <w:szCs w:val="22"/>
              </w:rPr>
              <w:t>a</w:t>
            </w:r>
            <w:r w:rsidRPr="00303EF0">
              <w:rPr>
                <w:rFonts w:eastAsia="Times New Roman"/>
                <w:color w:val="000000"/>
                <w:kern w:val="0"/>
                <w:sz w:val="22"/>
                <w:szCs w:val="22"/>
              </w:rPr>
              <w:t xml:space="preserve"> machine</w:t>
            </w:r>
          </w:p>
        </w:tc>
      </w:tr>
      <w:tr w:rsidR="00303EF0" w:rsidRPr="00303EF0" w14:paraId="577C794D" w14:textId="77777777" w:rsidTr="00F723DA">
        <w:trPr>
          <w:trHeight w:val="285"/>
        </w:trPr>
        <w:tc>
          <w:tcPr>
            <w:tcW w:w="224" w:type="pct"/>
            <w:shd w:val="clear" w:color="auto" w:fill="auto"/>
            <w:noWrap/>
            <w:vAlign w:val="bottom"/>
            <w:hideMark/>
          </w:tcPr>
          <w:p w14:paraId="25320E99"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15</w:t>
            </w:r>
          </w:p>
        </w:tc>
        <w:tc>
          <w:tcPr>
            <w:tcW w:w="864" w:type="pct"/>
            <w:shd w:val="clear" w:color="auto" w:fill="auto"/>
            <w:noWrap/>
            <w:vAlign w:val="bottom"/>
            <w:hideMark/>
          </w:tcPr>
          <w:p w14:paraId="0C66C6D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Thomson (2007)</w:t>
            </w:r>
          </w:p>
        </w:tc>
        <w:tc>
          <w:tcPr>
            <w:tcW w:w="547" w:type="pct"/>
            <w:shd w:val="clear" w:color="auto" w:fill="auto"/>
            <w:noWrap/>
            <w:vAlign w:val="bottom"/>
            <w:hideMark/>
          </w:tcPr>
          <w:p w14:paraId="5DE810D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2ADAA19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 (Thomson, 2011)</w:t>
            </w:r>
          </w:p>
        </w:tc>
        <w:tc>
          <w:tcPr>
            <w:tcW w:w="801" w:type="pct"/>
            <w:shd w:val="clear" w:color="B7B7B7" w:fill="B7B7B7"/>
            <w:noWrap/>
            <w:vAlign w:val="bottom"/>
            <w:hideMark/>
          </w:tcPr>
          <w:p w14:paraId="2075A1AE"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5BC84DCD"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xml:space="preserve">Yes  </w:t>
            </w:r>
          </w:p>
        </w:tc>
        <w:tc>
          <w:tcPr>
            <w:tcW w:w="1357" w:type="pct"/>
            <w:shd w:val="clear" w:color="auto" w:fill="auto"/>
            <w:noWrap/>
            <w:vAlign w:val="bottom"/>
            <w:hideMark/>
          </w:tcPr>
          <w:p w14:paraId="2E5D972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4D3BE539" w14:textId="77777777" w:rsidTr="00F723DA">
        <w:trPr>
          <w:trHeight w:val="285"/>
        </w:trPr>
        <w:tc>
          <w:tcPr>
            <w:tcW w:w="224" w:type="pct"/>
            <w:shd w:val="clear" w:color="auto" w:fill="auto"/>
            <w:noWrap/>
            <w:vAlign w:val="bottom"/>
            <w:hideMark/>
          </w:tcPr>
          <w:p w14:paraId="5D465969"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16</w:t>
            </w:r>
          </w:p>
        </w:tc>
        <w:tc>
          <w:tcPr>
            <w:tcW w:w="864" w:type="pct"/>
            <w:shd w:val="clear" w:color="auto" w:fill="auto"/>
            <w:noWrap/>
            <w:vAlign w:val="bottom"/>
            <w:hideMark/>
          </w:tcPr>
          <w:p w14:paraId="6EE0F432" w14:textId="77777777" w:rsidR="00303EF0" w:rsidRPr="00303EF0" w:rsidRDefault="00303EF0" w:rsidP="00303EF0">
            <w:pPr>
              <w:widowControl/>
              <w:jc w:val="left"/>
              <w:rPr>
                <w:rFonts w:eastAsia="Times New Roman"/>
                <w:color w:val="000000"/>
                <w:kern w:val="0"/>
                <w:sz w:val="22"/>
                <w:szCs w:val="22"/>
              </w:rPr>
            </w:pPr>
            <w:proofErr w:type="spellStart"/>
            <w:r w:rsidRPr="00303EF0">
              <w:rPr>
                <w:rFonts w:eastAsia="Times New Roman"/>
                <w:color w:val="000000"/>
                <w:kern w:val="0"/>
                <w:sz w:val="22"/>
                <w:szCs w:val="22"/>
              </w:rPr>
              <w:t>Underbakke</w:t>
            </w:r>
            <w:proofErr w:type="spellEnd"/>
            <w:r w:rsidRPr="00303EF0">
              <w:rPr>
                <w:rFonts w:eastAsia="Times New Roman"/>
                <w:color w:val="000000"/>
                <w:kern w:val="0"/>
                <w:sz w:val="22"/>
                <w:szCs w:val="22"/>
              </w:rPr>
              <w:t xml:space="preserve"> (1993)</w:t>
            </w:r>
          </w:p>
        </w:tc>
        <w:tc>
          <w:tcPr>
            <w:tcW w:w="547" w:type="pct"/>
            <w:shd w:val="clear" w:color="auto" w:fill="auto"/>
            <w:noWrap/>
            <w:vAlign w:val="bottom"/>
            <w:hideMark/>
          </w:tcPr>
          <w:p w14:paraId="47052750"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Journal Article</w:t>
            </w:r>
          </w:p>
        </w:tc>
        <w:tc>
          <w:tcPr>
            <w:tcW w:w="792" w:type="pct"/>
            <w:shd w:val="clear" w:color="auto" w:fill="auto"/>
            <w:noWrap/>
            <w:vAlign w:val="bottom"/>
            <w:hideMark/>
          </w:tcPr>
          <w:p w14:paraId="2BC1F95C"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801" w:type="pct"/>
            <w:shd w:val="clear" w:color="auto" w:fill="auto"/>
            <w:noWrap/>
            <w:vAlign w:val="bottom"/>
            <w:hideMark/>
          </w:tcPr>
          <w:p w14:paraId="4B881B5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Single talker</w:t>
            </w:r>
          </w:p>
        </w:tc>
        <w:tc>
          <w:tcPr>
            <w:tcW w:w="416" w:type="pct"/>
            <w:shd w:val="clear" w:color="auto" w:fill="auto"/>
            <w:noWrap/>
            <w:vAlign w:val="bottom"/>
            <w:hideMark/>
          </w:tcPr>
          <w:p w14:paraId="3F8D6EB6"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No</w:t>
            </w:r>
          </w:p>
        </w:tc>
        <w:tc>
          <w:tcPr>
            <w:tcW w:w="1357" w:type="pct"/>
            <w:shd w:val="clear" w:color="auto" w:fill="auto"/>
            <w:noWrap/>
            <w:vAlign w:val="bottom"/>
            <w:hideMark/>
          </w:tcPr>
          <w:p w14:paraId="2FDD05FF" w14:textId="20A313F3" w:rsidR="00303EF0" w:rsidRPr="00303EF0" w:rsidRDefault="002E7852" w:rsidP="00303EF0">
            <w:pPr>
              <w:widowControl/>
              <w:jc w:val="left"/>
              <w:rPr>
                <w:rFonts w:eastAsia="Times New Roman"/>
                <w:color w:val="000000"/>
                <w:kern w:val="0"/>
                <w:sz w:val="22"/>
                <w:szCs w:val="22"/>
              </w:rPr>
            </w:pPr>
            <w:r>
              <w:rPr>
                <w:rFonts w:eastAsia="Times New Roman"/>
                <w:color w:val="000000"/>
                <w:kern w:val="0"/>
                <w:sz w:val="22"/>
                <w:szCs w:val="22"/>
              </w:rPr>
              <w:t>I</w:t>
            </w:r>
            <w:r w:rsidR="00303EF0" w:rsidRPr="00303EF0">
              <w:rPr>
                <w:rFonts w:eastAsia="Times New Roman"/>
                <w:color w:val="000000"/>
                <w:kern w:val="0"/>
                <w:sz w:val="22"/>
                <w:szCs w:val="22"/>
              </w:rPr>
              <w:t>dentification and discrimination training with &amp; without feedback</w:t>
            </w:r>
          </w:p>
        </w:tc>
      </w:tr>
      <w:tr w:rsidR="00303EF0" w:rsidRPr="00303EF0" w14:paraId="7281640A" w14:textId="77777777" w:rsidTr="00F723DA">
        <w:trPr>
          <w:trHeight w:val="285"/>
        </w:trPr>
        <w:tc>
          <w:tcPr>
            <w:tcW w:w="224" w:type="pct"/>
            <w:shd w:val="clear" w:color="auto" w:fill="auto"/>
            <w:noWrap/>
            <w:vAlign w:val="bottom"/>
            <w:hideMark/>
          </w:tcPr>
          <w:p w14:paraId="0DD59087"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17</w:t>
            </w:r>
          </w:p>
        </w:tc>
        <w:tc>
          <w:tcPr>
            <w:tcW w:w="864" w:type="pct"/>
            <w:shd w:val="clear" w:color="auto" w:fill="auto"/>
            <w:noWrap/>
            <w:vAlign w:val="bottom"/>
            <w:hideMark/>
          </w:tcPr>
          <w:p w14:paraId="55165632"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Wang (2002)</w:t>
            </w:r>
          </w:p>
        </w:tc>
        <w:tc>
          <w:tcPr>
            <w:tcW w:w="547" w:type="pct"/>
            <w:shd w:val="clear" w:color="auto" w:fill="auto"/>
            <w:noWrap/>
            <w:vAlign w:val="bottom"/>
            <w:hideMark/>
          </w:tcPr>
          <w:p w14:paraId="54F59D1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6D9989B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 (Wang &amp; Munro, 2004)</w:t>
            </w:r>
          </w:p>
        </w:tc>
        <w:tc>
          <w:tcPr>
            <w:tcW w:w="801" w:type="pct"/>
            <w:shd w:val="clear" w:color="B7B7B7" w:fill="B7B7B7"/>
            <w:noWrap/>
            <w:vAlign w:val="bottom"/>
            <w:hideMark/>
          </w:tcPr>
          <w:p w14:paraId="36465C46"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444EB4E2"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1A7E1892" w14:textId="53CE2781"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r w:rsidR="00303EF0" w:rsidRPr="00303EF0" w14:paraId="01C11FF6" w14:textId="77777777" w:rsidTr="00F723DA">
        <w:trPr>
          <w:trHeight w:val="285"/>
        </w:trPr>
        <w:tc>
          <w:tcPr>
            <w:tcW w:w="224" w:type="pct"/>
            <w:shd w:val="clear" w:color="auto" w:fill="auto"/>
            <w:noWrap/>
            <w:vAlign w:val="bottom"/>
            <w:hideMark/>
          </w:tcPr>
          <w:p w14:paraId="68E7CD04" w14:textId="77777777" w:rsidR="00303EF0" w:rsidRPr="00303EF0" w:rsidRDefault="00303EF0" w:rsidP="00303EF0">
            <w:pPr>
              <w:widowControl/>
              <w:jc w:val="right"/>
              <w:rPr>
                <w:rFonts w:eastAsia="Times New Roman"/>
                <w:color w:val="000000"/>
                <w:kern w:val="0"/>
                <w:sz w:val="22"/>
                <w:szCs w:val="22"/>
              </w:rPr>
            </w:pPr>
            <w:r w:rsidRPr="00303EF0">
              <w:rPr>
                <w:rFonts w:eastAsia="Times New Roman"/>
                <w:color w:val="000000"/>
                <w:kern w:val="0"/>
                <w:sz w:val="22"/>
                <w:szCs w:val="22"/>
              </w:rPr>
              <w:t>18</w:t>
            </w:r>
          </w:p>
        </w:tc>
        <w:tc>
          <w:tcPr>
            <w:tcW w:w="864" w:type="pct"/>
            <w:shd w:val="clear" w:color="auto" w:fill="auto"/>
            <w:noWrap/>
            <w:vAlign w:val="bottom"/>
            <w:hideMark/>
          </w:tcPr>
          <w:p w14:paraId="1FB0F62F"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Yeon (2004)</w:t>
            </w:r>
          </w:p>
        </w:tc>
        <w:tc>
          <w:tcPr>
            <w:tcW w:w="547" w:type="pct"/>
            <w:shd w:val="clear" w:color="auto" w:fill="auto"/>
            <w:noWrap/>
            <w:vAlign w:val="bottom"/>
            <w:hideMark/>
          </w:tcPr>
          <w:p w14:paraId="62E139D8"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PhD thesis</w:t>
            </w:r>
          </w:p>
        </w:tc>
        <w:tc>
          <w:tcPr>
            <w:tcW w:w="792" w:type="pct"/>
            <w:shd w:val="clear" w:color="auto" w:fill="auto"/>
            <w:noWrap/>
            <w:vAlign w:val="bottom"/>
            <w:hideMark/>
          </w:tcPr>
          <w:p w14:paraId="75750C53"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801" w:type="pct"/>
            <w:shd w:val="clear" w:color="B7B7B7" w:fill="B7B7B7"/>
            <w:noWrap/>
            <w:vAlign w:val="bottom"/>
            <w:hideMark/>
          </w:tcPr>
          <w:p w14:paraId="2666CBD5"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 </w:t>
            </w:r>
          </w:p>
        </w:tc>
        <w:tc>
          <w:tcPr>
            <w:tcW w:w="416" w:type="pct"/>
            <w:shd w:val="clear" w:color="auto" w:fill="auto"/>
            <w:noWrap/>
            <w:vAlign w:val="bottom"/>
            <w:hideMark/>
          </w:tcPr>
          <w:p w14:paraId="50A671A3"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Yes</w:t>
            </w:r>
          </w:p>
        </w:tc>
        <w:tc>
          <w:tcPr>
            <w:tcW w:w="1357" w:type="pct"/>
            <w:shd w:val="clear" w:color="auto" w:fill="auto"/>
            <w:noWrap/>
            <w:vAlign w:val="bottom"/>
            <w:hideMark/>
          </w:tcPr>
          <w:p w14:paraId="1C624A17" w14:textId="77777777" w:rsidR="00303EF0" w:rsidRPr="00303EF0" w:rsidRDefault="00303EF0" w:rsidP="00303EF0">
            <w:pPr>
              <w:widowControl/>
              <w:jc w:val="left"/>
              <w:rPr>
                <w:rFonts w:eastAsia="Times New Roman"/>
                <w:color w:val="000000"/>
                <w:kern w:val="0"/>
                <w:sz w:val="22"/>
                <w:szCs w:val="22"/>
              </w:rPr>
            </w:pPr>
            <w:r w:rsidRPr="00303EF0">
              <w:rPr>
                <w:rFonts w:eastAsia="Times New Roman"/>
                <w:color w:val="000000"/>
                <w:kern w:val="0"/>
                <w:sz w:val="22"/>
                <w:szCs w:val="22"/>
              </w:rPr>
              <w:t>Identification training</w:t>
            </w:r>
          </w:p>
        </w:tc>
      </w:tr>
    </w:tbl>
    <w:p w14:paraId="247A9637" w14:textId="77777777" w:rsidR="00303EF0" w:rsidRDefault="00303EF0" w:rsidP="00303EF0">
      <w:pPr>
        <w:jc w:val="left"/>
      </w:pPr>
    </w:p>
    <w:p w14:paraId="2E27CC8B" w14:textId="77777777" w:rsidR="00303EF0" w:rsidRDefault="00303EF0" w:rsidP="00303EF0">
      <w:pPr>
        <w:jc w:val="left"/>
        <w:sectPr w:rsidR="00303EF0" w:rsidSect="00FD604E">
          <w:pgSz w:w="16838" w:h="11906" w:orient="landscape"/>
          <w:pgMar w:top="1080" w:right="1440" w:bottom="1080" w:left="1440" w:header="851" w:footer="992" w:gutter="0"/>
          <w:cols w:space="425"/>
          <w:docGrid w:type="lines" w:linePitch="360"/>
        </w:sectPr>
      </w:pPr>
    </w:p>
    <w:p w14:paraId="254FFB4F" w14:textId="233C5EF4" w:rsidR="00303EF0" w:rsidRPr="00303EF0" w:rsidRDefault="00303EF0" w:rsidP="00303EF0">
      <w:pPr>
        <w:jc w:val="left"/>
      </w:pPr>
      <w:r w:rsidRPr="00303EF0">
        <w:lastRenderedPageBreak/>
        <w:t xml:space="preserve"> </w:t>
      </w:r>
    </w:p>
    <w:p w14:paraId="41C51149" w14:textId="55BEC171" w:rsidR="00AB4DC1" w:rsidRPr="009F06FB" w:rsidRDefault="00F317E8" w:rsidP="00F317E8">
      <w:pPr>
        <w:jc w:val="center"/>
        <w:rPr>
          <w:b/>
          <w:bCs/>
        </w:rPr>
      </w:pPr>
      <w:r w:rsidRPr="009F06FB">
        <w:rPr>
          <w:b/>
          <w:bCs/>
        </w:rPr>
        <w:t xml:space="preserve">Appendix </w:t>
      </w:r>
      <w:r w:rsidR="00303EF0">
        <w:rPr>
          <w:b/>
          <w:bCs/>
        </w:rPr>
        <w:t>2</w:t>
      </w:r>
      <w:r w:rsidRPr="009F06FB">
        <w:rPr>
          <w:b/>
          <w:bCs/>
        </w:rPr>
        <w:t xml:space="preserve">: </w:t>
      </w:r>
      <w:r w:rsidR="00B14F49">
        <w:rPr>
          <w:b/>
          <w:bCs/>
        </w:rPr>
        <w:t xml:space="preserve">Detailed Procedures and </w:t>
      </w:r>
      <w:r w:rsidRPr="009F06FB">
        <w:rPr>
          <w:b/>
          <w:bCs/>
        </w:rPr>
        <w:t xml:space="preserve">Equations for Calculating </w:t>
      </w:r>
      <w:r w:rsidR="008872B4">
        <w:rPr>
          <w:b/>
          <w:bCs/>
        </w:rPr>
        <w:t xml:space="preserve">Within-Participant and Between-Participant </w:t>
      </w:r>
      <w:r w:rsidRPr="009F06FB">
        <w:rPr>
          <w:b/>
          <w:bCs/>
        </w:rPr>
        <w:t>Effect Sizes</w:t>
      </w:r>
    </w:p>
    <w:p w14:paraId="292E6F3D" w14:textId="756E381F" w:rsidR="00EF2DC6" w:rsidRPr="00B14F49" w:rsidRDefault="00EF2DC6" w:rsidP="00F317E8">
      <w:pPr>
        <w:jc w:val="center"/>
      </w:pPr>
    </w:p>
    <w:p w14:paraId="1613F305" w14:textId="77777777" w:rsidR="00B14F49" w:rsidRDefault="00B14F49" w:rsidP="00B14F49">
      <w:pPr>
        <w:jc w:val="left"/>
      </w:pPr>
      <w:r w:rsidRPr="00B14F49">
        <w:t>To compute the weighted mean effect size and conduct moderator analysis, we employed the Comprehensive Meta-Analysis (Version 3.3). We relied on Hedges’ g as the basic unit of analysis, the transformed version of Cohen’s d corrected for bias in small samples. To answer RQ1 regarding the overall effectiveness of HVPT for production improvement, we conducted two separate analyses according to different study designs: within-participant effect sizes (i.e., the mean difference between pretest and posttest scores) and between-participant effect sizes (i.e., the mean difference in gain scores between HVPT treatment and control groups).</w:t>
      </w:r>
    </w:p>
    <w:p w14:paraId="6F8C31C5" w14:textId="6F41ADB1" w:rsidR="00B14F49" w:rsidRPr="00B14F49" w:rsidRDefault="00B14F49" w:rsidP="00B14F49">
      <w:pPr>
        <w:ind w:firstLine="840"/>
        <w:jc w:val="left"/>
      </w:pPr>
      <w:r w:rsidRPr="00B14F49">
        <w:t xml:space="preserve">Regarding the calculation of the effect size for the within-participant data, studies reporting sample means and standard deviations for pretest and posttest performance were extracted from a pool of descriptive data. The gain score was calculated by subtracting pretest from posttest score, and the standard deviation for the gain score was computed using </w:t>
      </w:r>
      <w:r w:rsidRPr="008872B4">
        <w:rPr>
          <w:b/>
          <w:bCs/>
        </w:rPr>
        <w:t>Equation 1</w:t>
      </w:r>
      <w:r w:rsidRPr="00B14F49">
        <w:t>. Because the pretest-posttest correlation was needed to compute the standard deviation for the gain score, we imputed the pretest-posttest correlation for perception data (r = .60) calculated previously in Authors (XXXX) to estimate the standard deviation. For studies not reporting sample means and standard deviations for pretest and posttest performance, t values or sample mean differences and standard deviations for the differences were used to calculate the effect sizes.</w:t>
      </w:r>
    </w:p>
    <w:p w14:paraId="705E47AD" w14:textId="45B20F97" w:rsidR="00B14F49" w:rsidRPr="00B14F49" w:rsidRDefault="00B14F49" w:rsidP="00B14F49">
      <w:pPr>
        <w:ind w:firstLine="840"/>
        <w:jc w:val="left"/>
      </w:pPr>
      <w:r w:rsidRPr="00B14F49">
        <w:t xml:space="preserve">Several studies reported multiple descriptive data from the same participants (the use of multiple elicitation tasks such as word reading and sentence reading, outcome measures such as identification and transcription, prompt modality, target phones, and test item types). Thus, such multiple scores except outcome measures were averaged to yield a single score to avoid violating the requirement of independence of observations. To take account of the nested structure of multiple data and to avoid losing information by averaging effect sizes, we averaged the observed effect sizes and aggregated the sampling variances for the effect sizes employing the procedure suggested by Borenstein et al. (2009) using </w:t>
      </w:r>
      <w:r w:rsidRPr="008872B4">
        <w:rPr>
          <w:b/>
          <w:bCs/>
        </w:rPr>
        <w:t>Equation 2</w:t>
      </w:r>
      <w:r w:rsidRPr="00B14F49">
        <w:t>. Since this equation requires the correlation between the multiple effect sizes, we followed a previous meta-analysis of HVPT studies (Zhang et al., 2021) and imputed a correlation of .50 for aggregating dependent measures.</w:t>
      </w:r>
      <w:r>
        <w:t xml:space="preserve"> As for </w:t>
      </w:r>
      <w:r w:rsidRPr="00B14F49">
        <w:t xml:space="preserve">multiple outcome measures, we followed Sakai and Moorman (2018) to select the elicited production with native speaker identifications as the representative task. Lastly, as suggested by </w:t>
      </w:r>
      <w:proofErr w:type="spellStart"/>
      <w:r w:rsidRPr="00B14F49">
        <w:t>Boreinstein</w:t>
      </w:r>
      <w:proofErr w:type="spellEnd"/>
      <w:r w:rsidRPr="00B14F49">
        <w:t xml:space="preserve"> et al. (2009), we used </w:t>
      </w:r>
      <w:r w:rsidRPr="008872B4">
        <w:rPr>
          <w:b/>
          <w:bCs/>
        </w:rPr>
        <w:t>Equation 3</w:t>
      </w:r>
      <w:r w:rsidRPr="00B14F49">
        <w:t xml:space="preserve"> to adjust the standard deviations for the gain scores using the pretest-posttest correlation (Borenstein et al., 2009). The resulting standard deviations within groups were used to compute the standardized mean difference for independent groups, later converted to Hedges’ g (see </w:t>
      </w:r>
      <w:r w:rsidRPr="008872B4">
        <w:rPr>
          <w:b/>
          <w:bCs/>
        </w:rPr>
        <w:t>Equation 4</w:t>
      </w:r>
      <w:r>
        <w:t>)</w:t>
      </w:r>
      <w:r w:rsidRPr="00B14F49">
        <w:t>.</w:t>
      </w:r>
      <w:r>
        <w:t xml:space="preserve"> </w:t>
      </w:r>
      <w:r w:rsidRPr="00B14F49">
        <w:t>A total of 43 independent effect sizes were available for this analysis.</w:t>
      </w:r>
    </w:p>
    <w:p w14:paraId="0538291C" w14:textId="011DCE61" w:rsidR="00B14F49" w:rsidRPr="008872B4" w:rsidRDefault="00B14F49" w:rsidP="008872B4">
      <w:pPr>
        <w:ind w:firstLine="840"/>
        <w:jc w:val="left"/>
      </w:pPr>
      <w:r w:rsidRPr="00B14F49">
        <w:t xml:space="preserve">Regarding the calculation of the effect size for the between-participant data, we extracted studies reporting the sample means and standard deviations for both treatment and control groups. </w:t>
      </w:r>
      <w:r w:rsidRPr="00B14F49">
        <w:lastRenderedPageBreak/>
        <w:t xml:space="preserve">The group mean difference was calculated by subtracting the control-gain scores from the treatment-gain scores. The pooled standard deviation across the two groups was calculated using </w:t>
      </w:r>
      <w:r w:rsidRPr="008872B4">
        <w:rPr>
          <w:b/>
          <w:bCs/>
        </w:rPr>
        <w:t>Equation 5</w:t>
      </w:r>
      <w:r>
        <w:t xml:space="preserve"> </w:t>
      </w:r>
      <w:r w:rsidRPr="00B14F49">
        <w:t>based on the standard deviations for the gain scores from each group calculated using</w:t>
      </w:r>
      <w:r w:rsidRPr="008872B4">
        <w:rPr>
          <w:b/>
          <w:bCs/>
        </w:rPr>
        <w:t xml:space="preserve"> Equation 1</w:t>
      </w:r>
      <w:r w:rsidRPr="00B14F49">
        <w:t xml:space="preserve">. When two or more standard deviations were available from multiple independent treatment groups, the pooled standard deviation across groups was calculated using </w:t>
      </w:r>
      <w:r w:rsidRPr="008872B4">
        <w:rPr>
          <w:b/>
          <w:bCs/>
        </w:rPr>
        <w:t>Equation 5</w:t>
      </w:r>
      <w:r w:rsidRPr="00B14F49">
        <w:t xml:space="preserve">. The group mean difference of gain scores was standardized using the pooled standard deviations for the two groups. The resulting standardized mean difference was converted to Hedges’ g (see </w:t>
      </w:r>
      <w:r w:rsidRPr="008872B4">
        <w:rPr>
          <w:b/>
          <w:bCs/>
        </w:rPr>
        <w:t>Equation 6</w:t>
      </w:r>
      <w:r w:rsidRPr="00B14F49">
        <w:t>). As a result, 17 independent effect sizes were available for this analysis.</w:t>
      </w:r>
    </w:p>
    <w:p w14:paraId="17A15F9E" w14:textId="77777777" w:rsidR="00B14F49" w:rsidRDefault="00B14F49" w:rsidP="00EF2DC6">
      <w:pPr>
        <w:jc w:val="left"/>
        <w:rPr>
          <w:b/>
          <w:bCs/>
        </w:rPr>
      </w:pPr>
    </w:p>
    <w:p w14:paraId="1D082E1D" w14:textId="568DC3E7" w:rsidR="00EF2DC6" w:rsidRDefault="00EF2DC6" w:rsidP="00EF2DC6">
      <w:pPr>
        <w:jc w:val="left"/>
        <w:rPr>
          <w:b/>
          <w:bCs/>
        </w:rPr>
      </w:pPr>
      <w:r w:rsidRPr="009F06FB">
        <w:rPr>
          <w:b/>
          <w:bCs/>
        </w:rPr>
        <w:t>Equation 1</w:t>
      </w:r>
    </w:p>
    <w:p w14:paraId="6B1751EC" w14:textId="77777777" w:rsidR="00BE6856" w:rsidRPr="00BE6856" w:rsidRDefault="00BE6856" w:rsidP="00EF2DC6">
      <w:pPr>
        <w:jc w:val="left"/>
        <w:rPr>
          <w:b/>
          <w:bCs/>
        </w:rPr>
      </w:pPr>
    </w:p>
    <w:p w14:paraId="2212001D" w14:textId="65898064" w:rsidR="00EF2DC6" w:rsidRPr="00992DAD" w:rsidRDefault="00000000" w:rsidP="00992DAD">
      <w:pPr>
        <w:ind w:firstLineChars="50" w:firstLine="120"/>
        <w:jc w:val="left"/>
        <w:rPr>
          <w:i/>
        </w:rPr>
      </w:pPr>
      <m:oMathPara>
        <m:oMathParaPr>
          <m:jc m:val="left"/>
        </m:oMathParaPr>
        <m:oMath>
          <m:sSub>
            <m:sSubPr>
              <m:ctrlPr>
                <w:rPr>
                  <w:rFonts w:ascii="Cambria Math" w:hAnsi="Cambria Math"/>
                  <w:i/>
                </w:rPr>
              </m:ctrlPr>
            </m:sSubPr>
            <m:e>
              <m:r>
                <m:rPr>
                  <m:nor/>
                </m:rPr>
                <w:rPr>
                  <w:rFonts w:ascii="Cambria Math" w:hAnsi="Cambria Math"/>
                </w:rPr>
                <m:t xml:space="preserve"> </m:t>
              </m:r>
              <m:r>
                <w:rPr>
                  <w:rFonts w:ascii="Cambria Math" w:hAnsi="Cambria Math"/>
                </w:rPr>
                <m:t>S</m:t>
              </m:r>
            </m:e>
            <m:sub>
              <m:r>
                <m:rPr>
                  <m:nor/>
                </m:rPr>
                <w:rPr>
                  <w:rFonts w:ascii="Cambria Math" w:hAnsi="Cambria Math"/>
                  <w:i/>
                  <w:iCs/>
                </w:rPr>
                <m:t>diff</m:t>
              </m:r>
            </m:sub>
          </m:sSub>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SD</m:t>
                  </m:r>
                </m:e>
                <m:sub>
                  <m:r>
                    <w:rPr>
                      <w:rFonts w:ascii="Cambria Math" w:hAnsi="Cambria Math"/>
                    </w:rPr>
                    <m:t>pre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SD</m:t>
                  </m:r>
                </m:e>
                <m:sub>
                  <m:r>
                    <w:rPr>
                      <w:rFonts w:ascii="Cambria Math" w:hAnsi="Cambria Math"/>
                    </w:rPr>
                    <m:t>post</m:t>
                  </m:r>
                </m:sub>
                <m:sup>
                  <m:r>
                    <w:rPr>
                      <w:rFonts w:ascii="Cambria Math" w:hAnsi="Cambria Math"/>
                    </w:rPr>
                    <m:t>2</m:t>
                  </m:r>
                </m:sup>
              </m:sSubSup>
              <m:r>
                <w:rPr>
                  <w:rFonts w:ascii="Cambria Math" w:hAnsi="Cambria Math"/>
                </w:rPr>
                <m:t>-2×r×</m:t>
              </m:r>
              <m:sSub>
                <m:sSubPr>
                  <m:ctrlPr>
                    <w:rPr>
                      <w:rFonts w:ascii="Cambria Math" w:hAnsi="Cambria Math"/>
                      <w:i/>
                    </w:rPr>
                  </m:ctrlPr>
                </m:sSubPr>
                <m:e>
                  <m:r>
                    <w:rPr>
                      <w:rFonts w:ascii="Cambria Math" w:hAnsi="Cambria Math"/>
                    </w:rPr>
                    <m:t>SD</m:t>
                  </m:r>
                </m:e>
                <m:sub>
                  <m:r>
                    <w:rPr>
                      <w:rFonts w:ascii="Cambria Math" w:hAnsi="Cambria Math"/>
                    </w:rPr>
                    <m:t>pre</m:t>
                  </m:r>
                </m:sub>
              </m:sSub>
              <m:r>
                <w:rPr>
                  <w:rFonts w:ascii="Cambria Math" w:hAnsi="Cambria Math"/>
                </w:rPr>
                <m:t>×</m:t>
              </m:r>
              <m:sSub>
                <m:sSubPr>
                  <m:ctrlPr>
                    <w:rPr>
                      <w:rFonts w:ascii="Cambria Math" w:hAnsi="Cambria Math"/>
                      <w:i/>
                    </w:rPr>
                  </m:ctrlPr>
                </m:sSubPr>
                <m:e>
                  <m:r>
                    <w:rPr>
                      <w:rFonts w:ascii="Cambria Math" w:hAnsi="Cambria Math"/>
                    </w:rPr>
                    <m:t>SD</m:t>
                  </m:r>
                </m:e>
                <m:sub>
                  <m:r>
                    <w:rPr>
                      <w:rFonts w:ascii="Cambria Math" w:hAnsi="Cambria Math"/>
                    </w:rPr>
                    <m:t>post</m:t>
                  </m:r>
                </m:sub>
              </m:sSub>
            </m:e>
          </m:rad>
        </m:oMath>
      </m:oMathPara>
    </w:p>
    <w:p w14:paraId="32EF8CFE" w14:textId="77777777" w:rsidR="00992DAD" w:rsidRDefault="00992DAD" w:rsidP="00992DAD">
      <w:pPr>
        <w:jc w:val="left"/>
      </w:pPr>
    </w:p>
    <w:p w14:paraId="4B08E968" w14:textId="35DFAA41" w:rsidR="00992DAD" w:rsidRPr="009F06FB" w:rsidRDefault="00992DAD" w:rsidP="00992DAD">
      <w:pPr>
        <w:jc w:val="left"/>
      </w:pPr>
      <w:r w:rsidRPr="009F06FB">
        <w:t>This equation was used to calculate the standard deviation of the gain scores (</w:t>
      </w:r>
      <w:proofErr w:type="spellStart"/>
      <w:r w:rsidRPr="00F348A1">
        <w:rPr>
          <w:i/>
          <w:iCs/>
        </w:rPr>
        <w:t>S</w:t>
      </w:r>
      <w:r w:rsidRPr="00F348A1">
        <w:rPr>
          <w:i/>
          <w:iCs/>
          <w:vertAlign w:val="subscript"/>
        </w:rPr>
        <w:t>diff</w:t>
      </w:r>
      <w:proofErr w:type="spellEnd"/>
      <w:r w:rsidRPr="009F06FB">
        <w:t>) from the standard deviations of pretest and posttest scores and their correlation.</w:t>
      </w:r>
    </w:p>
    <w:p w14:paraId="68C170CE" w14:textId="2FEF2734" w:rsidR="00EF2DC6" w:rsidRDefault="00EF2DC6" w:rsidP="00EF2DC6">
      <w:pPr>
        <w:jc w:val="left"/>
      </w:pPr>
    </w:p>
    <w:p w14:paraId="04BFC95D" w14:textId="41125F6D" w:rsidR="00992DAD" w:rsidRPr="008B3E9B" w:rsidRDefault="00BE6856" w:rsidP="00EF2DC6">
      <w:pPr>
        <w:jc w:val="left"/>
        <w:rPr>
          <w:b/>
          <w:bCs/>
        </w:rPr>
      </w:pPr>
      <w:r w:rsidRPr="008B3E9B">
        <w:rPr>
          <w:rFonts w:hint="eastAsia"/>
          <w:b/>
          <w:bCs/>
        </w:rPr>
        <w:t>E</w:t>
      </w:r>
      <w:r w:rsidRPr="008B3E9B">
        <w:rPr>
          <w:b/>
          <w:bCs/>
        </w:rPr>
        <w:t>quation 2</w:t>
      </w:r>
    </w:p>
    <w:p w14:paraId="78E3AEA6" w14:textId="77777777" w:rsidR="00B17330" w:rsidRDefault="00B17330" w:rsidP="00EF2DC6">
      <w:pPr>
        <w:jc w:val="left"/>
      </w:pPr>
    </w:p>
    <w:p w14:paraId="413117FC" w14:textId="30F86094" w:rsidR="00BE6856" w:rsidRPr="008B3E9B" w:rsidRDefault="00000000" w:rsidP="00EF2DC6">
      <w:pPr>
        <w:jc w:val="left"/>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mean</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m</m:t>
                      </m:r>
                    </m:den>
                  </m:f>
                </m:e>
              </m:d>
            </m:e>
            <m:sup>
              <m:r>
                <w:rPr>
                  <w:rFonts w:ascii="Cambria Math" w:hAnsi="Cambria Math"/>
                </w:rPr>
                <m:t>2</m:t>
              </m:r>
            </m:sup>
          </m:sSup>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V</m:t>
                      </m:r>
                    </m:e>
                    <m:sub>
                      <m:r>
                        <w:rPr>
                          <w:rFonts w:ascii="Cambria Math" w:hAnsi="Cambria Math"/>
                        </w:rPr>
                        <m:t>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i≠j</m:t>
                  </m:r>
                </m:sub>
                <m:sup/>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ij</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i</m:t>
                              </m:r>
                            </m:sub>
                          </m:sSub>
                        </m:e>
                      </m:rad>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j</m:t>
                              </m:r>
                            </m:sub>
                          </m:sSub>
                        </m:e>
                      </m:rad>
                    </m:e>
                  </m:d>
                </m:e>
              </m:nary>
            </m:e>
          </m:d>
        </m:oMath>
      </m:oMathPara>
    </w:p>
    <w:p w14:paraId="3E9FB9B1" w14:textId="563DDD05" w:rsidR="008B3E9B" w:rsidRDefault="008B3E9B" w:rsidP="00EF2DC6">
      <w:pPr>
        <w:jc w:val="left"/>
      </w:pPr>
    </w:p>
    <w:p w14:paraId="1E54DDB6" w14:textId="5F24CF98" w:rsidR="008B3E9B" w:rsidRDefault="008B3E9B" w:rsidP="00EF2DC6">
      <w:pPr>
        <w:jc w:val="left"/>
      </w:pPr>
      <w:r>
        <w:t xml:space="preserve">This equation was used to calculate the variance of the mean of </w:t>
      </w:r>
      <w:r w:rsidR="009444B3">
        <w:t>two or more</w:t>
      </w:r>
      <w:r>
        <w:t xml:space="preserve"> correlated variables</w:t>
      </w:r>
      <w:r w:rsidR="00F348A1">
        <w:t xml:space="preserve"> (</w:t>
      </w:r>
      <w:proofErr w:type="spellStart"/>
      <w:r w:rsidR="00F348A1" w:rsidRPr="00F348A1">
        <w:rPr>
          <w:i/>
          <w:iCs/>
        </w:rPr>
        <w:t>V</w:t>
      </w:r>
      <w:r w:rsidR="009444B3">
        <w:rPr>
          <w:i/>
          <w:iCs/>
          <w:vertAlign w:val="subscript"/>
        </w:rPr>
        <w:t>mean</w:t>
      </w:r>
      <w:proofErr w:type="spellEnd"/>
      <w:r w:rsidR="00F348A1">
        <w:t xml:space="preserve">) with </w:t>
      </w:r>
      <w:r w:rsidR="00F348A1" w:rsidRPr="00F348A1">
        <w:rPr>
          <w:i/>
          <w:iCs/>
        </w:rPr>
        <w:t>m</w:t>
      </w:r>
      <w:r w:rsidR="00F348A1">
        <w:t xml:space="preserve"> as the number of variances (</w:t>
      </w:r>
      <w:r w:rsidR="00F348A1" w:rsidRPr="00F348A1">
        <w:rPr>
          <w:i/>
          <w:iCs/>
        </w:rPr>
        <w:t>V</w:t>
      </w:r>
      <w:r w:rsidR="00F348A1">
        <w:t>)</w:t>
      </w:r>
      <w:r>
        <w:t xml:space="preserve"> </w:t>
      </w:r>
      <w:r w:rsidR="000C134D">
        <w:t>(see Borenstein et al., 2009, p. 228).</w:t>
      </w:r>
    </w:p>
    <w:p w14:paraId="4437EF85" w14:textId="30ECA6EC" w:rsidR="000C134D" w:rsidRDefault="000C134D" w:rsidP="00EF2DC6">
      <w:pPr>
        <w:jc w:val="left"/>
      </w:pPr>
    </w:p>
    <w:p w14:paraId="01CC6AE7" w14:textId="45A51F2B" w:rsidR="000C134D" w:rsidRPr="0013637D" w:rsidRDefault="006C2669" w:rsidP="00EF2DC6">
      <w:pPr>
        <w:jc w:val="left"/>
        <w:rPr>
          <w:b/>
          <w:bCs/>
        </w:rPr>
      </w:pPr>
      <w:r w:rsidRPr="0013637D">
        <w:rPr>
          <w:rFonts w:hint="eastAsia"/>
          <w:b/>
          <w:bCs/>
        </w:rPr>
        <w:t>E</w:t>
      </w:r>
      <w:r w:rsidRPr="0013637D">
        <w:rPr>
          <w:b/>
          <w:bCs/>
        </w:rPr>
        <w:t>quation 3</w:t>
      </w:r>
    </w:p>
    <w:p w14:paraId="071FD87C" w14:textId="3A41BEF0" w:rsidR="00FB6A0B" w:rsidRDefault="00FB6A0B" w:rsidP="00EF2DC6">
      <w:pPr>
        <w:jc w:val="left"/>
      </w:pPr>
    </w:p>
    <w:p w14:paraId="0746CB0B" w14:textId="3927240F" w:rsidR="00D96E32" w:rsidRPr="00464D65" w:rsidRDefault="00000000" w:rsidP="00EF2DC6">
      <w:pPr>
        <w:jc w:val="left"/>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within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m:rPr>
                      <m:nor/>
                    </m:rPr>
                    <w:rPr>
                      <w:rFonts w:ascii="Cambria Math" w:hAnsi="Cambria Math"/>
                      <w:i/>
                      <w:iCs/>
                    </w:rPr>
                    <m:t>diff</m:t>
                  </m:r>
                </m:sub>
              </m:sSub>
            </m:num>
            <m:den>
              <m:r>
                <w:rPr>
                  <w:rFonts w:ascii="Cambria Math" w:hAnsi="Cambria Math"/>
                </w:rPr>
                <m:t>2</m:t>
              </m:r>
              <m:rad>
                <m:radPr>
                  <m:degHide m:val="1"/>
                  <m:ctrlPr>
                    <w:rPr>
                      <w:rFonts w:ascii="Cambria Math" w:hAnsi="Cambria Math"/>
                      <w:i/>
                    </w:rPr>
                  </m:ctrlPr>
                </m:radPr>
                <m:deg/>
                <m:e>
                  <m:r>
                    <w:rPr>
                      <w:rFonts w:ascii="Cambria Math" w:hAnsi="Cambria Math"/>
                    </w:rPr>
                    <m:t>1-r</m:t>
                  </m:r>
                </m:e>
              </m:rad>
            </m:den>
          </m:f>
        </m:oMath>
      </m:oMathPara>
    </w:p>
    <w:p w14:paraId="2D9F2187" w14:textId="4CD5F5DC" w:rsidR="00464D65" w:rsidRDefault="00464D65" w:rsidP="00EF2DC6">
      <w:pPr>
        <w:jc w:val="left"/>
      </w:pPr>
    </w:p>
    <w:p w14:paraId="4745CD24" w14:textId="210F2F14" w:rsidR="00464D65" w:rsidRDefault="00464D65" w:rsidP="00EF2DC6">
      <w:pPr>
        <w:jc w:val="left"/>
      </w:pPr>
      <w:r>
        <w:rPr>
          <w:rFonts w:hint="eastAsia"/>
        </w:rPr>
        <w:t>T</w:t>
      </w:r>
      <w:r>
        <w:t>his equation was used to calculate the standard deviation for independent groups (</w:t>
      </w:r>
      <w:r w:rsidRPr="00E557F1">
        <w:rPr>
          <w:i/>
          <w:iCs/>
        </w:rPr>
        <w:t>S</w:t>
      </w:r>
      <w:r w:rsidRPr="00E557F1">
        <w:rPr>
          <w:i/>
          <w:iCs/>
          <w:vertAlign w:val="subscript"/>
        </w:rPr>
        <w:t>within</w:t>
      </w:r>
      <w:r>
        <w:t>) with the standard deviation for th</w:t>
      </w:r>
      <w:r w:rsidR="00E557F1">
        <w:t>e gain scores</w:t>
      </w:r>
      <w:r>
        <w:t xml:space="preserve"> (</w:t>
      </w:r>
      <w:proofErr w:type="spellStart"/>
      <w:r w:rsidRPr="00E557F1">
        <w:rPr>
          <w:i/>
          <w:iCs/>
        </w:rPr>
        <w:t>S</w:t>
      </w:r>
      <w:r w:rsidRPr="00E557F1">
        <w:rPr>
          <w:i/>
          <w:iCs/>
          <w:vertAlign w:val="subscript"/>
        </w:rPr>
        <w:t>diff</w:t>
      </w:r>
      <w:proofErr w:type="spellEnd"/>
      <w:r>
        <w:t xml:space="preserve">) and the pretest-posttest correlation </w:t>
      </w:r>
      <w:r w:rsidR="00E557F1">
        <w:t>(</w:t>
      </w:r>
      <w:r w:rsidR="00E557F1" w:rsidRPr="00E557F1">
        <w:rPr>
          <w:i/>
          <w:iCs/>
        </w:rPr>
        <w:t>r</w:t>
      </w:r>
      <w:r w:rsidR="00E557F1">
        <w:rPr>
          <w:i/>
          <w:iCs/>
        </w:rPr>
        <w:t xml:space="preserve"> </w:t>
      </w:r>
      <w:r w:rsidR="00E557F1">
        <w:t>= 0.6).</w:t>
      </w:r>
    </w:p>
    <w:p w14:paraId="181CF92F" w14:textId="20290FDB" w:rsidR="00464D65" w:rsidRDefault="00464D65" w:rsidP="00EF2DC6">
      <w:pPr>
        <w:jc w:val="left"/>
      </w:pPr>
    </w:p>
    <w:p w14:paraId="62520AC4" w14:textId="54A037E8" w:rsidR="00E557F1" w:rsidRPr="00091F3D" w:rsidRDefault="00E557F1" w:rsidP="00EF2DC6">
      <w:pPr>
        <w:jc w:val="left"/>
        <w:rPr>
          <w:b/>
          <w:bCs/>
        </w:rPr>
      </w:pPr>
      <w:r w:rsidRPr="00091F3D">
        <w:rPr>
          <w:rFonts w:hint="eastAsia"/>
          <w:b/>
          <w:bCs/>
        </w:rPr>
        <w:t>E</w:t>
      </w:r>
      <w:r w:rsidRPr="00091F3D">
        <w:rPr>
          <w:b/>
          <w:bCs/>
        </w:rPr>
        <w:t>quation 4</w:t>
      </w:r>
    </w:p>
    <w:p w14:paraId="218DAA5B" w14:textId="52CD2E30" w:rsidR="00E557F1" w:rsidRDefault="00E557F1" w:rsidP="00EF2DC6">
      <w:pPr>
        <w:jc w:val="left"/>
      </w:pPr>
    </w:p>
    <w:p w14:paraId="53997CF7" w14:textId="66A350D3" w:rsidR="00E557F1" w:rsidRPr="00B1215E" w:rsidRDefault="00E557F1" w:rsidP="00E557F1">
      <w:pPr>
        <w:jc w:val="left"/>
      </w:pPr>
      <m:oMathPara>
        <m:oMathParaPr>
          <m:jc m:val="left"/>
        </m:oMathParaPr>
        <m:oMath>
          <m:r>
            <w:rPr>
              <w:rFonts w:ascii="Cambria Math" w:hAnsi="Cambria Math"/>
            </w:rPr>
            <m:t>Cohe</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s </m:t>
          </m:r>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Cambria Math" w:hAnsi="Cambria Math"/>
                      <w:i/>
                      <w:iCs/>
                    </w:rPr>
                    <m:t>diff</m:t>
                  </m:r>
                </m:sub>
              </m:sSub>
            </m:num>
            <m:den>
              <m:sSub>
                <m:sSubPr>
                  <m:ctrlPr>
                    <w:rPr>
                      <w:rFonts w:ascii="Cambria Math" w:hAnsi="Cambria Math"/>
                      <w:i/>
                    </w:rPr>
                  </m:ctrlPr>
                </m:sSubPr>
                <m:e>
                  <m:r>
                    <w:rPr>
                      <w:rFonts w:ascii="Cambria Math" w:hAnsi="Cambria Math"/>
                    </w:rPr>
                    <m:t>S</m:t>
                  </m:r>
                </m:e>
                <m:sub>
                  <m:r>
                    <w:rPr>
                      <w:rFonts w:ascii="Cambria Math" w:hAnsi="Cambria Math"/>
                    </w:rPr>
                    <m:t>within</m:t>
                  </m:r>
                </m:sub>
              </m:sSub>
            </m:den>
          </m:f>
        </m:oMath>
      </m:oMathPara>
    </w:p>
    <w:p w14:paraId="7AD48211" w14:textId="5E8DC7C3" w:rsidR="00E557F1" w:rsidRDefault="00E557F1" w:rsidP="00EF2DC6">
      <w:pPr>
        <w:jc w:val="left"/>
      </w:pPr>
    </w:p>
    <w:p w14:paraId="00357835" w14:textId="37C0CF1E" w:rsidR="00E557F1" w:rsidRPr="00D96E32" w:rsidRDefault="00E557F1" w:rsidP="00EF2DC6">
      <w:pPr>
        <w:jc w:val="left"/>
      </w:pPr>
      <w:r>
        <w:rPr>
          <w:rFonts w:hint="eastAsia"/>
        </w:rPr>
        <w:t>T</w:t>
      </w:r>
      <w:r>
        <w:t>his equation was used to calculat</w:t>
      </w:r>
      <w:r w:rsidR="00091F3D">
        <w:t>e the standardized mean difference between pretest and posttest scores adjusted for the pretest-posttest correlation (</w:t>
      </w:r>
      <w:r w:rsidR="00091F3D" w:rsidRPr="00091F3D">
        <w:rPr>
          <w:i/>
          <w:iCs/>
        </w:rPr>
        <w:t>d</w:t>
      </w:r>
      <w:r w:rsidR="00091F3D" w:rsidRPr="00091F3D">
        <w:rPr>
          <w:i/>
          <w:iCs/>
          <w:vertAlign w:val="subscript"/>
        </w:rPr>
        <w:t>s</w:t>
      </w:r>
      <w:r w:rsidR="00091F3D">
        <w:t xml:space="preserve">). Cohen’s </w:t>
      </w:r>
      <w:r w:rsidR="00091F3D" w:rsidRPr="00B1215E">
        <w:rPr>
          <w:i/>
          <w:iCs/>
        </w:rPr>
        <w:t>d</w:t>
      </w:r>
      <w:r w:rsidR="00091F3D">
        <w:rPr>
          <w:i/>
          <w:iCs/>
          <w:vertAlign w:val="subscript"/>
        </w:rPr>
        <w:t>s</w:t>
      </w:r>
      <w:r w:rsidR="00091F3D">
        <w:t xml:space="preserve"> </w:t>
      </w:r>
      <w:proofErr w:type="gramStart"/>
      <w:r w:rsidR="00091F3D">
        <w:t>was</w:t>
      </w:r>
      <w:proofErr w:type="gramEnd"/>
      <w:r w:rsidR="00091F3D">
        <w:t xml:space="preserve"> converted to Hedges’ </w:t>
      </w:r>
      <w:r w:rsidR="00091F3D" w:rsidRPr="00B1215E">
        <w:rPr>
          <w:i/>
          <w:iCs/>
        </w:rPr>
        <w:t>g</w:t>
      </w:r>
      <w:r w:rsidR="00091F3D">
        <w:t xml:space="preserve"> using a correction factor, called </w:t>
      </w:r>
      <w:r w:rsidR="00091F3D" w:rsidRPr="00B1215E">
        <w:rPr>
          <w:i/>
          <w:iCs/>
        </w:rPr>
        <w:t>J</w:t>
      </w:r>
      <w:r w:rsidR="00091F3D">
        <w:t xml:space="preserve"> with the degrees of freedom (</w:t>
      </w:r>
      <w:proofErr w:type="spellStart"/>
      <w:r w:rsidR="00091F3D" w:rsidRPr="00B1215E">
        <w:rPr>
          <w:i/>
          <w:iCs/>
        </w:rPr>
        <w:t>df</w:t>
      </w:r>
      <w:proofErr w:type="spellEnd"/>
      <w:r w:rsidR="00091F3D">
        <w:t xml:space="preserve"> = </w:t>
      </w:r>
      <w:r w:rsidR="00091F3D" w:rsidRPr="00B1215E">
        <w:rPr>
          <w:i/>
          <w:iCs/>
        </w:rPr>
        <w:t>n</w:t>
      </w:r>
      <w:r w:rsidR="00091F3D">
        <w:t xml:space="preserve"> </w:t>
      </w:r>
      <w:r w:rsidR="00091F3D" w:rsidRPr="003961BB">
        <w:t>–</w:t>
      </w:r>
      <w:r w:rsidR="00091F3D">
        <w:t xml:space="preserve"> 1):</w:t>
      </w:r>
    </w:p>
    <w:p w14:paraId="5AB27CDA" w14:textId="57711563" w:rsidR="00FB6A0B" w:rsidRPr="00FB6A0B" w:rsidRDefault="00FB6A0B" w:rsidP="00EF2DC6">
      <w:pPr>
        <w:jc w:val="left"/>
      </w:pPr>
      <m:oMathPara>
        <m:oMathParaPr>
          <m:jc m:val="left"/>
        </m:oMathParaPr>
        <m:oMath>
          <m:r>
            <w:rPr>
              <w:rFonts w:ascii="Cambria Math" w:hAnsi="Cambria Math"/>
            </w:rPr>
            <m:t>J=1 -</m:t>
          </m:r>
          <m:f>
            <m:fPr>
              <m:ctrlPr>
                <w:rPr>
                  <w:rFonts w:ascii="Cambria Math" w:hAnsi="Cambria Math"/>
                  <w:i/>
                </w:rPr>
              </m:ctrlPr>
            </m:fPr>
            <m:num>
              <m:r>
                <w:rPr>
                  <w:rFonts w:ascii="Cambria Math" w:hAnsi="Cambria Math"/>
                </w:rPr>
                <m:t>3</m:t>
              </m:r>
            </m:num>
            <m:den>
              <m:r>
                <w:rPr>
                  <w:rFonts w:ascii="Cambria Math" w:hAnsi="Cambria Math"/>
                </w:rPr>
                <m:t>4</m:t>
              </m:r>
              <m:r>
                <m:rPr>
                  <m:nor/>
                </m:rPr>
                <w:rPr>
                  <w:rFonts w:ascii="Cambria Math" w:hAnsi="Cambria Math"/>
                  <w:i/>
                  <w:iCs/>
                </w:rPr>
                <m:t>df</m:t>
              </m:r>
              <m:r>
                <w:rPr>
                  <w:rFonts w:ascii="Cambria Math" w:hAnsi="Cambria Math"/>
                </w:rPr>
                <m:t>-1</m:t>
              </m:r>
            </m:den>
          </m:f>
        </m:oMath>
      </m:oMathPara>
    </w:p>
    <w:p w14:paraId="284E5214" w14:textId="77777777" w:rsidR="00FB6A0B" w:rsidRPr="00FB6A0B" w:rsidRDefault="00FB6A0B" w:rsidP="00EF2DC6">
      <w:pPr>
        <w:jc w:val="left"/>
      </w:pPr>
    </w:p>
    <w:p w14:paraId="7B8A9367" w14:textId="6E084F3A" w:rsidR="00FB6A0B" w:rsidRPr="00FB6A0B" w:rsidRDefault="00FB6A0B" w:rsidP="00EF2DC6">
      <w:pPr>
        <w:jc w:val="left"/>
      </w:pPr>
      <m:oMathPara>
        <m:oMathParaPr>
          <m:jc m:val="left"/>
        </m:oMathParaPr>
        <m:oMath>
          <m:r>
            <w:rPr>
              <w:rFonts w:ascii="Cambria Math" w:hAnsi="Cambria Math"/>
            </w:rPr>
            <m:t>Hedge</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g=</m:t>
          </m:r>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×J</m:t>
          </m:r>
        </m:oMath>
      </m:oMathPara>
    </w:p>
    <w:p w14:paraId="65E683AA" w14:textId="77777777" w:rsidR="0013637D" w:rsidRDefault="0013637D" w:rsidP="00EF2DC6">
      <w:pPr>
        <w:jc w:val="left"/>
      </w:pPr>
    </w:p>
    <w:p w14:paraId="6D2455D8" w14:textId="0A52DDE6" w:rsidR="006C2669" w:rsidRPr="00B1215E" w:rsidRDefault="006C2669" w:rsidP="00EF2DC6">
      <w:pPr>
        <w:jc w:val="left"/>
        <w:rPr>
          <w:b/>
          <w:bCs/>
        </w:rPr>
      </w:pPr>
      <w:r w:rsidRPr="00B1215E">
        <w:rPr>
          <w:rFonts w:hint="eastAsia"/>
          <w:b/>
          <w:bCs/>
        </w:rPr>
        <w:t>E</w:t>
      </w:r>
      <w:r w:rsidRPr="00B1215E">
        <w:rPr>
          <w:b/>
          <w:bCs/>
        </w:rPr>
        <w:t xml:space="preserve">quation </w:t>
      </w:r>
      <w:r w:rsidR="00DB6C11">
        <w:rPr>
          <w:b/>
          <w:bCs/>
        </w:rPr>
        <w:t>5</w:t>
      </w:r>
    </w:p>
    <w:p w14:paraId="52D93BAB" w14:textId="68A74683" w:rsidR="006C2669" w:rsidRDefault="006C2669" w:rsidP="00EF2DC6">
      <w:pPr>
        <w:jc w:val="left"/>
      </w:pPr>
    </w:p>
    <w:p w14:paraId="7448EF1F" w14:textId="27749D17" w:rsidR="00577EC0" w:rsidRPr="00577EC0" w:rsidRDefault="00000000" w:rsidP="00EF2DC6">
      <w:pPr>
        <w:jc w:val="left"/>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pooled</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e>
                  </m:d>
                  <m:sSubSup>
                    <m:sSubSupPr>
                      <m:ctrlPr>
                        <w:rPr>
                          <w:rFonts w:ascii="Cambria Math" w:hAnsi="Cambria Math"/>
                          <w:i/>
                        </w:rPr>
                      </m:ctrlPr>
                    </m:sSubSupPr>
                    <m:e>
                      <m:r>
                        <w:rPr>
                          <w:rFonts w:ascii="Cambria Math" w:hAnsi="Cambria Math"/>
                        </w:rPr>
                        <m:t>SD</m:t>
                      </m:r>
                    </m:e>
                    <m:sub>
                      <m:r>
                        <w:rPr>
                          <w:rFonts w:ascii="Cambria Math" w:hAnsi="Cambria Math"/>
                        </w:rPr>
                        <m:t>1</m:t>
                      </m:r>
                    </m:sub>
                    <m:sup>
                      <m:r>
                        <w:rPr>
                          <w:rFonts w:ascii="Cambria Math" w:hAnsi="Cambria Math"/>
                        </w:rPr>
                        <m:t>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e>
                  </m:d>
                  <m:sSubSup>
                    <m:sSubSupPr>
                      <m:ctrlPr>
                        <w:rPr>
                          <w:rFonts w:ascii="Cambria Math" w:hAnsi="Cambria Math"/>
                          <w:i/>
                        </w:rPr>
                      </m:ctrlPr>
                    </m:sSubSupPr>
                    <m:e>
                      <m:r>
                        <w:rPr>
                          <w:rFonts w:ascii="Cambria Math" w:hAnsi="Cambria Math"/>
                        </w:rPr>
                        <m:t>SD</m:t>
                      </m:r>
                    </m:e>
                    <m:sub>
                      <m:r>
                        <w:rPr>
                          <w:rFonts w:ascii="Cambria Math" w:hAnsi="Cambria Math"/>
                        </w:rPr>
                        <m:t>2</m:t>
                      </m:r>
                    </m:sub>
                    <m:sup>
                      <m:r>
                        <w:rPr>
                          <w:rFonts w:ascii="Cambria Math" w:hAnsi="Cambria Math"/>
                        </w:rPr>
                        <m:t>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-1</m:t>
                      </m:r>
                    </m:e>
                  </m:d>
                  <m:sSubSup>
                    <m:sSubSupPr>
                      <m:ctrlPr>
                        <w:rPr>
                          <w:rFonts w:ascii="Cambria Math" w:hAnsi="Cambria Math"/>
                          <w:i/>
                        </w:rPr>
                      </m:ctrlPr>
                    </m:sSubSupPr>
                    <m:e>
                      <m:r>
                        <w:rPr>
                          <w:rFonts w:ascii="Cambria Math" w:hAnsi="Cambria Math"/>
                        </w:rPr>
                        <m:t>SD</m:t>
                      </m:r>
                    </m:e>
                    <m:sub>
                      <m:r>
                        <w:rPr>
                          <w:rFonts w:ascii="Cambria Math" w:hAnsi="Cambria Math"/>
                        </w:rPr>
                        <m:t>k</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-k</m:t>
                  </m:r>
                </m:den>
              </m:f>
            </m:e>
          </m:rad>
        </m:oMath>
      </m:oMathPara>
    </w:p>
    <w:p w14:paraId="09E38011" w14:textId="6F7CCBDC" w:rsidR="00047ACC" w:rsidRDefault="00047ACC" w:rsidP="00EF2DC6">
      <w:pPr>
        <w:jc w:val="left"/>
      </w:pPr>
    </w:p>
    <w:p w14:paraId="51FFD62C" w14:textId="77777777" w:rsidR="00DB6C11" w:rsidRDefault="00FA699B" w:rsidP="00EF2DC6">
      <w:pPr>
        <w:jc w:val="left"/>
      </w:pPr>
      <w:r>
        <w:rPr>
          <w:rFonts w:hint="eastAsia"/>
        </w:rPr>
        <w:t>T</w:t>
      </w:r>
      <w:r>
        <w:t>his equation was used to calculate the pooled standard deviation (</w:t>
      </w:r>
      <w:r w:rsidRPr="009B01C7">
        <w:rPr>
          <w:i/>
          <w:iCs/>
        </w:rPr>
        <w:t>S</w:t>
      </w:r>
      <w:r w:rsidRPr="009B01C7">
        <w:rPr>
          <w:i/>
          <w:iCs/>
          <w:vertAlign w:val="subscript"/>
        </w:rPr>
        <w:t>pooled</w:t>
      </w:r>
      <w:r>
        <w:t xml:space="preserve">) for multiple independent groups. </w:t>
      </w:r>
    </w:p>
    <w:p w14:paraId="4121A05A" w14:textId="77777777" w:rsidR="00DB6C11" w:rsidRDefault="00DB6C11" w:rsidP="00EF2DC6">
      <w:pPr>
        <w:jc w:val="left"/>
      </w:pPr>
    </w:p>
    <w:p w14:paraId="30373763" w14:textId="31DA6339" w:rsidR="00DB6C11" w:rsidRPr="00DB6C11" w:rsidRDefault="00DB6C11" w:rsidP="00EF2DC6">
      <w:pPr>
        <w:jc w:val="left"/>
        <w:rPr>
          <w:b/>
          <w:bCs/>
        </w:rPr>
      </w:pPr>
      <w:r w:rsidRPr="00DB6C11">
        <w:rPr>
          <w:rFonts w:hint="eastAsia"/>
          <w:b/>
          <w:bCs/>
        </w:rPr>
        <w:t>E</w:t>
      </w:r>
      <w:r w:rsidRPr="00DB6C11">
        <w:rPr>
          <w:b/>
          <w:bCs/>
        </w:rPr>
        <w:t>quation 6</w:t>
      </w:r>
    </w:p>
    <w:p w14:paraId="1DA3AFED" w14:textId="2BA0C8B4" w:rsidR="00B1215E" w:rsidRDefault="00B1215E" w:rsidP="00EF2DC6">
      <w:pPr>
        <w:jc w:val="left"/>
      </w:pPr>
    </w:p>
    <w:p w14:paraId="52405E4E" w14:textId="5BC4AC4E" w:rsidR="00B1215E" w:rsidRPr="00B1215E" w:rsidRDefault="00B1215E" w:rsidP="00EF2DC6">
      <w:pPr>
        <w:jc w:val="left"/>
      </w:pPr>
      <m:oMathPara>
        <m:oMathParaPr>
          <m:jc m:val="left"/>
        </m:oMathParaPr>
        <m:oMath>
          <m:r>
            <w:rPr>
              <w:rFonts w:ascii="Cambria Math" w:hAnsi="Cambria Math"/>
            </w:rPr>
            <m:t>Cohe</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s </m:t>
          </m:r>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Cambria Math" w:hAnsi="Cambria Math"/>
                      <w:i/>
                      <w:iCs/>
                    </w:rPr>
                    <m:t>diff</m:t>
                  </m:r>
                </m:sub>
              </m:sSub>
            </m:num>
            <m:den>
              <m:sSub>
                <m:sSubPr>
                  <m:ctrlPr>
                    <w:rPr>
                      <w:rFonts w:ascii="Cambria Math" w:hAnsi="Cambria Math"/>
                      <w:i/>
                    </w:rPr>
                  </m:ctrlPr>
                </m:sSubPr>
                <m:e>
                  <m:r>
                    <w:rPr>
                      <w:rFonts w:ascii="Cambria Math" w:hAnsi="Cambria Math"/>
                    </w:rPr>
                    <m:t>S</m:t>
                  </m:r>
                </m:e>
                <m:sub>
                  <m:r>
                    <w:rPr>
                      <w:rFonts w:ascii="Cambria Math" w:hAnsi="Cambria Math"/>
                    </w:rPr>
                    <m:t>pooled</m:t>
                  </m:r>
                </m:sub>
              </m:sSub>
            </m:den>
          </m:f>
        </m:oMath>
      </m:oMathPara>
    </w:p>
    <w:p w14:paraId="0DE844AC" w14:textId="027CFBDF" w:rsidR="00FA699B" w:rsidRDefault="00FA699B" w:rsidP="00EF2DC6">
      <w:pPr>
        <w:jc w:val="left"/>
      </w:pPr>
    </w:p>
    <w:p w14:paraId="5345B4C1" w14:textId="4A4BB1B3" w:rsidR="00DB6C11" w:rsidRDefault="00DB6C11" w:rsidP="00DB6C11">
      <w:pPr>
        <w:jc w:val="left"/>
      </w:pPr>
      <w:r>
        <w:t>The group mean difference of gain scores (</w:t>
      </w:r>
      <w:proofErr w:type="spellStart"/>
      <w:r w:rsidRPr="009B01C7">
        <w:rPr>
          <w:i/>
          <w:iCs/>
        </w:rPr>
        <w:t>M</w:t>
      </w:r>
      <w:r w:rsidRPr="009B01C7">
        <w:rPr>
          <w:i/>
          <w:iCs/>
          <w:vertAlign w:val="subscript"/>
        </w:rPr>
        <w:t>diff</w:t>
      </w:r>
      <w:proofErr w:type="spellEnd"/>
      <w:r>
        <w:t xml:space="preserve">) was standardized using </w:t>
      </w:r>
      <w:r w:rsidRPr="009B01C7">
        <w:rPr>
          <w:i/>
          <w:iCs/>
        </w:rPr>
        <w:t>S</w:t>
      </w:r>
      <w:r w:rsidRPr="009B01C7">
        <w:rPr>
          <w:i/>
          <w:iCs/>
          <w:vertAlign w:val="subscript"/>
        </w:rPr>
        <w:t>pooled</w:t>
      </w:r>
      <w:r>
        <w:t xml:space="preserve"> to calculate Cohen’s </w:t>
      </w:r>
      <w:r w:rsidRPr="009B01C7">
        <w:rPr>
          <w:i/>
          <w:iCs/>
        </w:rPr>
        <w:t>d</w:t>
      </w:r>
      <w:r w:rsidRPr="009B01C7">
        <w:rPr>
          <w:i/>
          <w:iCs/>
          <w:vertAlign w:val="subscript"/>
        </w:rPr>
        <w:t>s</w:t>
      </w:r>
      <w:r w:rsidRPr="009B01C7">
        <w:rPr>
          <w:i/>
          <w:iCs/>
        </w:rPr>
        <w:t xml:space="preserve"> </w:t>
      </w:r>
      <w:r>
        <w:t>and it was converted to Hedges’</w:t>
      </w:r>
      <w:r w:rsidRPr="009B01C7">
        <w:rPr>
          <w:i/>
          <w:iCs/>
        </w:rPr>
        <w:t xml:space="preserve"> g</w:t>
      </w:r>
      <w:r>
        <w:t xml:space="preserve"> using a correction factor </w:t>
      </w:r>
      <w:r w:rsidR="002C181B">
        <w:t>(</w:t>
      </w:r>
      <w:r w:rsidR="002C181B" w:rsidRPr="002C181B">
        <w:rPr>
          <w:i/>
          <w:iCs/>
        </w:rPr>
        <w:t>J</w:t>
      </w:r>
      <w:r w:rsidR="002C181B">
        <w:t xml:space="preserve">) </w:t>
      </w:r>
      <w:r>
        <w:t>with the degrees of freedom (</w:t>
      </w:r>
      <w:proofErr w:type="spellStart"/>
      <w:r w:rsidRPr="009B01C7">
        <w:rPr>
          <w:i/>
          <w:iCs/>
        </w:rPr>
        <w:t>df</w:t>
      </w:r>
      <w:proofErr w:type="spellEnd"/>
      <w:r w:rsidRPr="009B01C7">
        <w:rPr>
          <w:i/>
          <w:iCs/>
        </w:rPr>
        <w:t xml:space="preserve"> </w:t>
      </w:r>
      <w:r>
        <w:t xml:space="preserve">= </w:t>
      </w:r>
      <w:r w:rsidRPr="009B01C7">
        <w:rPr>
          <w:i/>
          <w:iCs/>
        </w:rPr>
        <w:t>n</w:t>
      </w:r>
      <w:r w:rsidRPr="009B01C7">
        <w:rPr>
          <w:i/>
          <w:iCs/>
          <w:vertAlign w:val="subscript"/>
        </w:rPr>
        <w:t>1</w:t>
      </w:r>
      <w:r>
        <w:t xml:space="preserve"> + </w:t>
      </w:r>
      <w:r w:rsidRPr="009B01C7">
        <w:rPr>
          <w:i/>
          <w:iCs/>
        </w:rPr>
        <w:t>n</w:t>
      </w:r>
      <w:r w:rsidRPr="009B01C7">
        <w:rPr>
          <w:i/>
          <w:iCs/>
          <w:vertAlign w:val="subscript"/>
        </w:rPr>
        <w:t>2</w:t>
      </w:r>
      <w:r>
        <w:t xml:space="preserve"> </w:t>
      </w:r>
      <w:r w:rsidRPr="003961BB">
        <w:t>–</w:t>
      </w:r>
      <w:r>
        <w:t xml:space="preserve"> 1):</w:t>
      </w:r>
    </w:p>
    <w:p w14:paraId="0FD75788" w14:textId="77777777" w:rsidR="00DB6C11" w:rsidRPr="00DB6C11" w:rsidRDefault="00DB6C11" w:rsidP="00EF2DC6">
      <w:pPr>
        <w:jc w:val="left"/>
      </w:pPr>
    </w:p>
    <w:p w14:paraId="6C212D20" w14:textId="77777777" w:rsidR="00B1215E" w:rsidRPr="00FB6A0B" w:rsidRDefault="00B1215E" w:rsidP="00B1215E">
      <w:pPr>
        <w:jc w:val="left"/>
      </w:pPr>
      <m:oMathPara>
        <m:oMathParaPr>
          <m:jc m:val="left"/>
        </m:oMathParaPr>
        <m:oMath>
          <m:r>
            <w:rPr>
              <w:rFonts w:ascii="Cambria Math" w:hAnsi="Cambria Math"/>
            </w:rPr>
            <m:t>J=1 -</m:t>
          </m:r>
          <m:f>
            <m:fPr>
              <m:ctrlPr>
                <w:rPr>
                  <w:rFonts w:ascii="Cambria Math" w:hAnsi="Cambria Math"/>
                  <w:i/>
                </w:rPr>
              </m:ctrlPr>
            </m:fPr>
            <m:num>
              <m:r>
                <w:rPr>
                  <w:rFonts w:ascii="Cambria Math" w:hAnsi="Cambria Math"/>
                </w:rPr>
                <m:t>3</m:t>
              </m:r>
            </m:num>
            <m:den>
              <m:r>
                <w:rPr>
                  <w:rFonts w:ascii="Cambria Math" w:hAnsi="Cambria Math"/>
                </w:rPr>
                <m:t>4</m:t>
              </m:r>
              <m:r>
                <m:rPr>
                  <m:nor/>
                </m:rPr>
                <w:rPr>
                  <w:rFonts w:ascii="Cambria Math" w:hAnsi="Cambria Math"/>
                  <w:i/>
                  <w:iCs/>
                </w:rPr>
                <m:t>df</m:t>
              </m:r>
              <m:r>
                <w:rPr>
                  <w:rFonts w:ascii="Cambria Math" w:hAnsi="Cambria Math"/>
                </w:rPr>
                <m:t>-1</m:t>
              </m:r>
            </m:den>
          </m:f>
        </m:oMath>
      </m:oMathPara>
    </w:p>
    <w:p w14:paraId="4E826758" w14:textId="7BC38510" w:rsidR="00B1215E" w:rsidRDefault="00B1215E" w:rsidP="00EF2DC6">
      <w:pPr>
        <w:jc w:val="left"/>
      </w:pPr>
    </w:p>
    <w:p w14:paraId="0A921BA2" w14:textId="50D27670" w:rsidR="00B1215E" w:rsidRPr="00FB6A0B" w:rsidRDefault="00B1215E" w:rsidP="00B1215E">
      <w:pPr>
        <w:jc w:val="left"/>
      </w:pPr>
      <m:oMathPara>
        <m:oMathParaPr>
          <m:jc m:val="left"/>
        </m:oMathParaPr>
        <m:oMath>
          <m:r>
            <w:rPr>
              <w:rFonts w:ascii="Cambria Math" w:hAnsi="Cambria Math"/>
            </w:rPr>
            <m:t>Hedge</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g=</m:t>
          </m:r>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×J</m:t>
          </m:r>
        </m:oMath>
      </m:oMathPara>
    </w:p>
    <w:p w14:paraId="16D4BECF" w14:textId="77D51A9B" w:rsidR="00B1215E" w:rsidRDefault="00B1215E" w:rsidP="00EF2DC6">
      <w:pPr>
        <w:jc w:val="left"/>
      </w:pPr>
    </w:p>
    <w:p w14:paraId="456AB6ED" w14:textId="6059B4DD" w:rsidR="00D96E32" w:rsidRPr="008872B4" w:rsidRDefault="008872B4" w:rsidP="008872B4">
      <w:pPr>
        <w:jc w:val="center"/>
        <w:rPr>
          <w:b/>
          <w:bCs/>
        </w:rPr>
      </w:pPr>
      <w:r w:rsidRPr="008872B4">
        <w:rPr>
          <w:rFonts w:hint="eastAsia"/>
          <w:b/>
          <w:bCs/>
        </w:rPr>
        <w:t>R</w:t>
      </w:r>
      <w:r w:rsidRPr="008872B4">
        <w:rPr>
          <w:b/>
          <w:bCs/>
        </w:rPr>
        <w:t>eferences</w:t>
      </w:r>
    </w:p>
    <w:p w14:paraId="5634A2D6" w14:textId="64BE2CCA" w:rsidR="008872B4" w:rsidRPr="008872B4" w:rsidRDefault="008872B4" w:rsidP="008872B4">
      <w:pPr>
        <w:ind w:left="991" w:hangingChars="413" w:hanging="991"/>
        <w:jc w:val="left"/>
      </w:pPr>
      <w:bookmarkStart w:id="0" w:name="_Hlk117245707"/>
      <w:r w:rsidRPr="008872B4">
        <w:t xml:space="preserve">Borenstein, M., Hedges, L. V., Higgins, J. P. T., &amp; Rothstein, H. R. (2009). </w:t>
      </w:r>
      <w:r w:rsidRPr="008872B4">
        <w:rPr>
          <w:i/>
          <w:iCs/>
        </w:rPr>
        <w:t>Introduction to meta-analysis</w:t>
      </w:r>
      <w:r w:rsidRPr="008872B4">
        <w:t>. Wiley.</w:t>
      </w:r>
      <w:bookmarkEnd w:id="0"/>
    </w:p>
    <w:p w14:paraId="7439076F" w14:textId="5A2B9D0B" w:rsidR="008872B4" w:rsidRDefault="008872B4" w:rsidP="008872B4">
      <w:pPr>
        <w:ind w:left="991" w:hangingChars="413" w:hanging="991"/>
        <w:jc w:val="left"/>
      </w:pPr>
      <w:r w:rsidRPr="008872B4">
        <w:t xml:space="preserve">Sakai, M., &amp; Moorman, C. (2018). Can perception training improve the production of second language phonemes? A meta-analytic review of 25 years of perception training research. </w:t>
      </w:r>
      <w:r w:rsidRPr="008872B4">
        <w:rPr>
          <w:i/>
          <w:iCs/>
        </w:rPr>
        <w:t>Applied Psycholinguistics</w:t>
      </w:r>
      <w:r w:rsidRPr="008872B4">
        <w:t xml:space="preserve">, </w:t>
      </w:r>
      <w:r w:rsidRPr="008872B4">
        <w:rPr>
          <w:i/>
          <w:iCs/>
        </w:rPr>
        <w:t>39</w:t>
      </w:r>
      <w:r w:rsidRPr="008872B4">
        <w:t>(1), 187–224. https://doi.org/10.1017/S0142716417000418</w:t>
      </w:r>
    </w:p>
    <w:p w14:paraId="7C8C167D" w14:textId="209E4E92" w:rsidR="008872B4" w:rsidRPr="008872B4" w:rsidRDefault="008872B4" w:rsidP="008872B4">
      <w:pPr>
        <w:ind w:left="991" w:hangingChars="413" w:hanging="991"/>
        <w:jc w:val="left"/>
      </w:pPr>
      <w:r w:rsidRPr="008872B4">
        <w:lastRenderedPageBreak/>
        <w:t xml:space="preserve">Zhang, X., Cheng, B., &amp; Zhang, Y. (2021). The role of talker variability in nonnative phonetic learning: A systematic review and meta-Analysis. </w:t>
      </w:r>
      <w:r w:rsidRPr="008872B4">
        <w:rPr>
          <w:i/>
          <w:iCs/>
        </w:rPr>
        <w:t>Journal of Speech, Language, and Hearing Research</w:t>
      </w:r>
      <w:r w:rsidRPr="008872B4">
        <w:t xml:space="preserve">, </w:t>
      </w:r>
      <w:r w:rsidRPr="008872B4">
        <w:rPr>
          <w:i/>
          <w:iCs/>
        </w:rPr>
        <w:t>64</w:t>
      </w:r>
      <w:r w:rsidRPr="008872B4">
        <w:t>(12), 4802–4825. https://doi.org/10.1044/2021_JSLHR-21-00181</w:t>
      </w:r>
    </w:p>
    <w:p w14:paraId="6C7C603E" w14:textId="77777777" w:rsidR="008872B4" w:rsidRPr="008872B4" w:rsidRDefault="008872B4" w:rsidP="008872B4">
      <w:pPr>
        <w:ind w:left="991" w:hangingChars="413" w:hanging="991"/>
        <w:jc w:val="left"/>
      </w:pPr>
    </w:p>
    <w:p w14:paraId="3CF0F546" w14:textId="02FE5221" w:rsidR="00D96E32" w:rsidRDefault="00D96E32" w:rsidP="008872B4">
      <w:pPr>
        <w:ind w:left="991" w:hangingChars="413" w:hanging="991"/>
        <w:jc w:val="left"/>
      </w:pPr>
    </w:p>
    <w:p w14:paraId="589FE104" w14:textId="2B7313FC" w:rsidR="00D96E32" w:rsidRDefault="00D96E32" w:rsidP="008872B4">
      <w:pPr>
        <w:ind w:left="991" w:hangingChars="413" w:hanging="991"/>
        <w:jc w:val="left"/>
      </w:pPr>
    </w:p>
    <w:p w14:paraId="78D27758" w14:textId="3D397224" w:rsidR="00D96E32" w:rsidRDefault="00D96E32" w:rsidP="008872B4">
      <w:pPr>
        <w:ind w:left="991" w:hangingChars="413" w:hanging="991"/>
        <w:jc w:val="left"/>
      </w:pPr>
    </w:p>
    <w:p w14:paraId="5FDC9CA1" w14:textId="2D71A641" w:rsidR="00D96E32" w:rsidRDefault="00D96E32" w:rsidP="008872B4">
      <w:pPr>
        <w:ind w:left="991" w:hangingChars="413" w:hanging="991"/>
        <w:jc w:val="left"/>
      </w:pPr>
    </w:p>
    <w:p w14:paraId="7C03D650" w14:textId="77777777" w:rsidR="00D96E32" w:rsidRDefault="00D96E32" w:rsidP="008872B4">
      <w:pPr>
        <w:ind w:left="991" w:hangingChars="413" w:hanging="991"/>
        <w:jc w:val="left"/>
      </w:pPr>
    </w:p>
    <w:p w14:paraId="71A16B57" w14:textId="77777777" w:rsidR="00D96E32" w:rsidRPr="00D96E32" w:rsidRDefault="00D96E32" w:rsidP="00EF2DC6">
      <w:pPr>
        <w:jc w:val="left"/>
      </w:pPr>
    </w:p>
    <w:p w14:paraId="5FD54FD0" w14:textId="77777777" w:rsidR="009B01C7" w:rsidRDefault="009B01C7" w:rsidP="00EF2DC6">
      <w:pPr>
        <w:jc w:val="left"/>
        <w:sectPr w:rsidR="009B01C7" w:rsidSect="00FD604E">
          <w:pgSz w:w="11906" w:h="16838"/>
          <w:pgMar w:top="1440" w:right="1080" w:bottom="1440" w:left="1080" w:header="851" w:footer="992" w:gutter="0"/>
          <w:cols w:space="425"/>
          <w:docGrid w:type="lines" w:linePitch="360"/>
        </w:sectPr>
      </w:pPr>
    </w:p>
    <w:p w14:paraId="4ED3B63B" w14:textId="085A7D57" w:rsidR="006C2669" w:rsidRPr="006E3D99" w:rsidRDefault="009B01C7" w:rsidP="009B01C7">
      <w:pPr>
        <w:jc w:val="center"/>
        <w:rPr>
          <w:b/>
          <w:bCs/>
        </w:rPr>
      </w:pPr>
      <w:r w:rsidRPr="006E3D99">
        <w:rPr>
          <w:b/>
          <w:bCs/>
        </w:rPr>
        <w:lastRenderedPageBreak/>
        <w:t xml:space="preserve">Appendix </w:t>
      </w:r>
      <w:r w:rsidR="00303EF0">
        <w:rPr>
          <w:b/>
          <w:bCs/>
        </w:rPr>
        <w:t>3</w:t>
      </w:r>
      <w:r w:rsidRPr="006E3D99">
        <w:rPr>
          <w:b/>
          <w:bCs/>
        </w:rPr>
        <w:t xml:space="preserve">: Full References for </w:t>
      </w:r>
      <w:r w:rsidR="00396C92">
        <w:rPr>
          <w:b/>
          <w:bCs/>
        </w:rPr>
        <w:t>31</w:t>
      </w:r>
      <w:r w:rsidRPr="006E3D99">
        <w:rPr>
          <w:b/>
          <w:bCs/>
        </w:rPr>
        <w:t xml:space="preserve"> Studies in Meta-Analysis</w:t>
      </w:r>
    </w:p>
    <w:p w14:paraId="636ADF41" w14:textId="1603BC19" w:rsidR="009B01C7" w:rsidRPr="00452B6B" w:rsidRDefault="009B01C7" w:rsidP="009B01C7">
      <w:pPr>
        <w:jc w:val="center"/>
      </w:pPr>
    </w:p>
    <w:p w14:paraId="65FA64C2" w14:textId="77777777" w:rsidR="00536112" w:rsidRPr="00452B6B" w:rsidRDefault="00536112" w:rsidP="00536112">
      <w:pPr>
        <w:pStyle w:val="Bibliography"/>
        <w:spacing w:line="240" w:lineRule="auto"/>
        <w:jc w:val="left"/>
      </w:pPr>
      <w:r w:rsidRPr="00452B6B">
        <w:t xml:space="preserve">Aliaga-Garcia, C. (2017). </w:t>
      </w:r>
      <w:r w:rsidRPr="00452B6B">
        <w:rPr>
          <w:i/>
          <w:iCs/>
        </w:rPr>
        <w:t>The effect of auditory and articulatory phonetic training on the perception and production of L2 vowels by Catalan-Spanish learners of English</w:t>
      </w:r>
      <w:r w:rsidRPr="00452B6B">
        <w:t xml:space="preserve"> [Unpublished doctoral dissertation]. </w:t>
      </w:r>
      <w:proofErr w:type="spellStart"/>
      <w:r w:rsidRPr="00452B6B">
        <w:t>Universitat</w:t>
      </w:r>
      <w:proofErr w:type="spellEnd"/>
      <w:r w:rsidRPr="00452B6B">
        <w:t xml:space="preserve"> de Barcelona.</w:t>
      </w:r>
    </w:p>
    <w:p w14:paraId="2853CBBF" w14:textId="6DA20F30" w:rsidR="009B01C7" w:rsidRPr="00452B6B" w:rsidRDefault="009B01C7" w:rsidP="009B01C7">
      <w:pPr>
        <w:jc w:val="left"/>
      </w:pPr>
    </w:p>
    <w:p w14:paraId="0B194B5D" w14:textId="2BE8A3E8" w:rsidR="00FA01CC" w:rsidRPr="00452B6B" w:rsidRDefault="00536112" w:rsidP="003E2416">
      <w:pPr>
        <w:ind w:left="839" w:hanging="839"/>
        <w:jc w:val="left"/>
      </w:pPr>
      <w:r w:rsidRPr="00452B6B">
        <w:t>Alves, U.K., &amp; Luchini, P.L.</w:t>
      </w:r>
      <w:r w:rsidR="00FA01CC" w:rsidRPr="00452B6B">
        <w:t xml:space="preserve"> (2017). Effects of perceptual training on the identification and production of word-initial voiceless stops by Argentinean learners of English. </w:t>
      </w:r>
      <w:r w:rsidR="00FA01CC" w:rsidRPr="00452B6B">
        <w:rPr>
          <w:i/>
          <w:iCs/>
        </w:rPr>
        <w:t xml:space="preserve">Ilha Do </w:t>
      </w:r>
      <w:proofErr w:type="spellStart"/>
      <w:r w:rsidR="00FA01CC" w:rsidRPr="00452B6B">
        <w:rPr>
          <w:i/>
          <w:iCs/>
        </w:rPr>
        <w:t>Desterro</w:t>
      </w:r>
      <w:proofErr w:type="spellEnd"/>
      <w:r w:rsidR="00FA01CC" w:rsidRPr="00452B6B">
        <w:t xml:space="preserve">, 70(3), 15 – 32. https://doi.org/10.5007/2175-8026.2017v70n3p15 </w:t>
      </w:r>
    </w:p>
    <w:p w14:paraId="516BB416" w14:textId="0D66A3AC" w:rsidR="005523AD" w:rsidRPr="00452B6B" w:rsidRDefault="005523AD" w:rsidP="009B01C7">
      <w:pPr>
        <w:jc w:val="left"/>
      </w:pPr>
    </w:p>
    <w:p w14:paraId="35F29467" w14:textId="77777777" w:rsidR="005523AD" w:rsidRPr="00452B6B" w:rsidRDefault="005523AD" w:rsidP="005523AD">
      <w:pPr>
        <w:pStyle w:val="Bibliography"/>
        <w:spacing w:line="240" w:lineRule="auto"/>
        <w:jc w:val="left"/>
      </w:pPr>
      <w:r w:rsidRPr="00452B6B">
        <w:t xml:space="preserve">Bradlow, A. R., </w:t>
      </w:r>
      <w:proofErr w:type="spellStart"/>
      <w:r w:rsidRPr="00452B6B">
        <w:t>Akahane</w:t>
      </w:r>
      <w:proofErr w:type="spellEnd"/>
      <w:r w:rsidRPr="00452B6B">
        <w:t xml:space="preserve">-Yamada, R., Pisoni, D. B., &amp; </w:t>
      </w:r>
      <w:proofErr w:type="spellStart"/>
      <w:r w:rsidRPr="00452B6B">
        <w:t>Tohkura</w:t>
      </w:r>
      <w:proofErr w:type="spellEnd"/>
      <w:r w:rsidRPr="00452B6B">
        <w:t xml:space="preserve">, Y. (1999). Training Japanese listeners to identify English /r/and /l/: Long-term retention of learning in perception and production. </w:t>
      </w:r>
      <w:r w:rsidRPr="00452B6B">
        <w:rPr>
          <w:i/>
          <w:iCs/>
        </w:rPr>
        <w:t>Perception &amp; Psychophysics</w:t>
      </w:r>
      <w:r w:rsidRPr="00452B6B">
        <w:t xml:space="preserve">, </w:t>
      </w:r>
      <w:r w:rsidRPr="00452B6B">
        <w:rPr>
          <w:i/>
          <w:iCs/>
        </w:rPr>
        <w:t>61</w:t>
      </w:r>
      <w:r w:rsidRPr="00452B6B">
        <w:t>(5), 977–985. https://doi.org/10.3758/BF03206911</w:t>
      </w:r>
    </w:p>
    <w:p w14:paraId="18DC5D01" w14:textId="4C033565" w:rsidR="00E64986" w:rsidRPr="00452B6B" w:rsidRDefault="00E64986" w:rsidP="009B01C7">
      <w:pPr>
        <w:jc w:val="left"/>
      </w:pPr>
    </w:p>
    <w:p w14:paraId="2493F2C3" w14:textId="77777777" w:rsidR="003E2416" w:rsidRPr="00452B6B" w:rsidRDefault="003E2416" w:rsidP="003E2416">
      <w:pPr>
        <w:pStyle w:val="Bibliography"/>
        <w:spacing w:line="240" w:lineRule="auto"/>
        <w:jc w:val="left"/>
      </w:pPr>
      <w:r w:rsidRPr="00452B6B">
        <w:t xml:space="preserve">Carlet, A. (2017). </w:t>
      </w:r>
      <w:r w:rsidRPr="00452B6B">
        <w:rPr>
          <w:i/>
          <w:iCs/>
        </w:rPr>
        <w:t>L2 perception and production of English consonants and vowels by Catalan speakers: The effects of attention and training task in a cross-training study</w:t>
      </w:r>
      <w:r w:rsidRPr="00452B6B">
        <w:t xml:space="preserve"> [Unpublished doctoral dissertation]. </w:t>
      </w:r>
      <w:proofErr w:type="spellStart"/>
      <w:r w:rsidRPr="00452B6B">
        <w:t>Universitat</w:t>
      </w:r>
      <w:proofErr w:type="spellEnd"/>
      <w:r w:rsidRPr="00452B6B">
        <w:t xml:space="preserve"> </w:t>
      </w:r>
      <w:proofErr w:type="spellStart"/>
      <w:r w:rsidRPr="00452B6B">
        <w:t>Autònoma</w:t>
      </w:r>
      <w:proofErr w:type="spellEnd"/>
      <w:r w:rsidRPr="00452B6B">
        <w:t xml:space="preserve"> de Barcelona.</w:t>
      </w:r>
    </w:p>
    <w:p w14:paraId="4A52F417" w14:textId="189BC39C" w:rsidR="00ED40BD" w:rsidRPr="00452B6B" w:rsidRDefault="00ED40BD" w:rsidP="00FF54D2">
      <w:pPr>
        <w:jc w:val="left"/>
      </w:pPr>
    </w:p>
    <w:p w14:paraId="24FE6838" w14:textId="77777777" w:rsidR="00ED40BD" w:rsidRPr="00452B6B" w:rsidRDefault="00ED40BD" w:rsidP="00ED40BD">
      <w:pPr>
        <w:pStyle w:val="Bibliography"/>
        <w:spacing w:line="240" w:lineRule="auto"/>
        <w:jc w:val="left"/>
      </w:pPr>
      <w:r w:rsidRPr="00452B6B">
        <w:t xml:space="preserve">Dong, H., </w:t>
      </w:r>
      <w:proofErr w:type="spellStart"/>
      <w:r w:rsidRPr="00452B6B">
        <w:t>Clayards</w:t>
      </w:r>
      <w:proofErr w:type="spellEnd"/>
      <w:r w:rsidRPr="00452B6B">
        <w:t xml:space="preserve">, M., Brown, H., &amp; Wonnacott, E. (2019). The effects of high versus low talker variability and individual aptitude on phonetic training of Mandarin lexical tones. </w:t>
      </w:r>
      <w:proofErr w:type="spellStart"/>
      <w:r w:rsidRPr="00452B6B">
        <w:rPr>
          <w:i/>
          <w:iCs/>
        </w:rPr>
        <w:t>PeerJ</w:t>
      </w:r>
      <w:proofErr w:type="spellEnd"/>
      <w:r w:rsidRPr="00452B6B">
        <w:t xml:space="preserve">, </w:t>
      </w:r>
      <w:r w:rsidRPr="00452B6B">
        <w:rPr>
          <w:i/>
          <w:iCs/>
        </w:rPr>
        <w:t>7</w:t>
      </w:r>
      <w:r w:rsidRPr="00452B6B">
        <w:t>, e7191. https://doi.org/10.7717/peerj.7191</w:t>
      </w:r>
    </w:p>
    <w:p w14:paraId="50DEA786" w14:textId="52F31E44" w:rsidR="00E7290C" w:rsidRPr="00452B6B" w:rsidRDefault="00E7290C" w:rsidP="00BC20F4">
      <w:pPr>
        <w:jc w:val="left"/>
      </w:pPr>
    </w:p>
    <w:p w14:paraId="18505F03" w14:textId="682EE688" w:rsidR="00211240" w:rsidRPr="00452B6B" w:rsidRDefault="00211240" w:rsidP="00211240">
      <w:pPr>
        <w:ind w:left="839" w:hanging="839"/>
        <w:jc w:val="left"/>
      </w:pPr>
      <w:r w:rsidRPr="00211240">
        <w:t xml:space="preserve">Hardison, D. M. (2003). Acquisition of second-language speech: Effects of visual cues, context, and talker variability. </w:t>
      </w:r>
      <w:r w:rsidRPr="00211240">
        <w:rPr>
          <w:i/>
          <w:iCs/>
        </w:rPr>
        <w:t>Applied Psycholinguistics</w:t>
      </w:r>
      <w:r w:rsidRPr="00211240">
        <w:t xml:space="preserve">, </w:t>
      </w:r>
      <w:r w:rsidRPr="00211240">
        <w:rPr>
          <w:i/>
          <w:iCs/>
        </w:rPr>
        <w:t>24</w:t>
      </w:r>
      <w:r w:rsidRPr="00211240">
        <w:t xml:space="preserve">(4), 495–522. </w:t>
      </w:r>
      <w:hyperlink r:id="rId6" w:history="1">
        <w:r w:rsidRPr="00211240">
          <w:rPr>
            <w:rStyle w:val="Hyperlink"/>
          </w:rPr>
          <w:t>https://doi.org/10.1017/S0142716403000250</w:t>
        </w:r>
      </w:hyperlink>
    </w:p>
    <w:p w14:paraId="53DCF051" w14:textId="77777777" w:rsidR="00211240" w:rsidRPr="00452B6B" w:rsidRDefault="00211240" w:rsidP="007C7D99">
      <w:pPr>
        <w:ind w:left="839" w:hanging="839"/>
        <w:jc w:val="left"/>
      </w:pPr>
    </w:p>
    <w:p w14:paraId="4C4D4726" w14:textId="1114DF56" w:rsidR="00A339E6" w:rsidRPr="00452B6B" w:rsidRDefault="004A718B" w:rsidP="00A339E6">
      <w:pPr>
        <w:ind w:left="839" w:hanging="839"/>
        <w:jc w:val="left"/>
      </w:pPr>
      <w:r w:rsidRPr="00452B6B">
        <w:t xml:space="preserve">Hazan, V., </w:t>
      </w:r>
      <w:proofErr w:type="spellStart"/>
      <w:r w:rsidRPr="00452B6B">
        <w:t>Sennema</w:t>
      </w:r>
      <w:proofErr w:type="spellEnd"/>
      <w:r w:rsidRPr="00452B6B">
        <w:t xml:space="preserve">, A., Iba, M., &amp; Faulkner, A. (2005). Effect of audiovisual perceptual training on the perception and production of consonants by Japanese learners of English. </w:t>
      </w:r>
      <w:r w:rsidRPr="00452B6B">
        <w:rPr>
          <w:i/>
          <w:iCs/>
        </w:rPr>
        <w:t>Speech Communication</w:t>
      </w:r>
      <w:r w:rsidRPr="00452B6B">
        <w:t xml:space="preserve">, 47(3), 360 – 378. </w:t>
      </w:r>
      <w:hyperlink r:id="rId7" w:history="1">
        <w:r w:rsidRPr="00452B6B">
          <w:rPr>
            <w:rStyle w:val="Hyperlink"/>
          </w:rPr>
          <w:t>https://doi.org/10.1016/j.specom.2005.04.007</w:t>
        </w:r>
      </w:hyperlink>
      <w:r w:rsidRPr="00452B6B">
        <w:t xml:space="preserve"> </w:t>
      </w:r>
    </w:p>
    <w:p w14:paraId="14432025" w14:textId="681FBD9D" w:rsidR="00EF032A" w:rsidRPr="00452B6B" w:rsidRDefault="00EF032A" w:rsidP="00675903">
      <w:pPr>
        <w:jc w:val="left"/>
      </w:pPr>
    </w:p>
    <w:p w14:paraId="64410863" w14:textId="10B60B06" w:rsidR="00452B6B" w:rsidRPr="00452B6B" w:rsidRDefault="00452B6B" w:rsidP="00452B6B">
      <w:pPr>
        <w:pStyle w:val="Bibliography"/>
        <w:spacing w:line="240" w:lineRule="auto"/>
        <w:jc w:val="left"/>
      </w:pPr>
      <w:r w:rsidRPr="00452B6B">
        <w:t xml:space="preserve">Herd, W., </w:t>
      </w:r>
      <w:proofErr w:type="spellStart"/>
      <w:r w:rsidRPr="00452B6B">
        <w:t>Jongman</w:t>
      </w:r>
      <w:proofErr w:type="spellEnd"/>
      <w:r w:rsidRPr="00452B6B">
        <w:t xml:space="preserve">, A., &amp; Sereno, J. (2013). Perceptual and production training of intervocalic /d, ɾ, r/ in American English learners of Spanish. </w:t>
      </w:r>
      <w:r w:rsidRPr="00452B6B">
        <w:rPr>
          <w:i/>
          <w:iCs/>
        </w:rPr>
        <w:t>The Journal of the Acoustical Society of America</w:t>
      </w:r>
      <w:r w:rsidRPr="00452B6B">
        <w:t xml:space="preserve">, </w:t>
      </w:r>
      <w:r w:rsidRPr="00452B6B">
        <w:rPr>
          <w:i/>
          <w:iCs/>
        </w:rPr>
        <w:t>133</w:t>
      </w:r>
      <w:r w:rsidRPr="00452B6B">
        <w:t xml:space="preserve">(6), 4247–4255. </w:t>
      </w:r>
      <w:hyperlink r:id="rId8" w:history="1">
        <w:r w:rsidRPr="00452B6B">
          <w:rPr>
            <w:rStyle w:val="Hyperlink"/>
          </w:rPr>
          <w:t>https://doi.org/10.1121/1.4802902</w:t>
        </w:r>
      </w:hyperlink>
    </w:p>
    <w:p w14:paraId="64A627AD" w14:textId="28FE2EE4" w:rsidR="00452B6B" w:rsidRDefault="00452B6B" w:rsidP="00452B6B"/>
    <w:p w14:paraId="01E84227" w14:textId="3CAC2541" w:rsidR="00C4709D" w:rsidRDefault="00D920EC" w:rsidP="00A339E6">
      <w:pPr>
        <w:ind w:left="839" w:hanging="839"/>
        <w:jc w:val="left"/>
      </w:pPr>
      <w:proofErr w:type="spellStart"/>
      <w:r>
        <w:t>Huensch</w:t>
      </w:r>
      <w:proofErr w:type="spellEnd"/>
      <w:r>
        <w:t>, A (2013)</w:t>
      </w:r>
      <w:r w:rsidR="00C74A67">
        <w:t xml:space="preserve">. </w:t>
      </w:r>
      <w:r w:rsidR="00C74A67" w:rsidRPr="00C74A67">
        <w:rPr>
          <w:i/>
          <w:iCs/>
        </w:rPr>
        <w:t>The perception and production of palatal codas by Korean L2 learners of English</w:t>
      </w:r>
      <w:r w:rsidR="00C74A67">
        <w:t xml:space="preserve"> (Unpublished doctoral dissertation). University of Illinois at Urbana-Champaign. </w:t>
      </w:r>
    </w:p>
    <w:p w14:paraId="0E59ED17" w14:textId="2AE9316C" w:rsidR="00D920EC" w:rsidRDefault="00D920EC" w:rsidP="00A339E6">
      <w:pPr>
        <w:ind w:left="839" w:hanging="839"/>
        <w:jc w:val="left"/>
      </w:pPr>
    </w:p>
    <w:p w14:paraId="6657EB19" w14:textId="735C6D6E" w:rsidR="00C4709D" w:rsidRDefault="00D920EC" w:rsidP="00D920EC">
      <w:pPr>
        <w:ind w:left="839" w:hanging="839"/>
        <w:jc w:val="left"/>
      </w:pPr>
      <w:r>
        <w:lastRenderedPageBreak/>
        <w:t xml:space="preserve"> </w:t>
      </w:r>
      <w:r w:rsidR="00C83B68" w:rsidRPr="00C83B68">
        <w:t xml:space="preserve">Hwang, H., &amp; Lee, H.-Y. (2015). The effect of high variability phonetic training on the production of English vowels and consonants. In the Scottish Consortium for </w:t>
      </w:r>
      <w:proofErr w:type="spellStart"/>
      <w:r w:rsidR="00C83B68" w:rsidRPr="00C83B68">
        <w:t>ICPhS</w:t>
      </w:r>
      <w:proofErr w:type="spellEnd"/>
      <w:r w:rsidR="00C83B68" w:rsidRPr="00C83B68">
        <w:t xml:space="preserve"> (Ed.), </w:t>
      </w:r>
      <w:r w:rsidR="00C83B68" w:rsidRPr="00C83B68">
        <w:rPr>
          <w:i/>
          <w:iCs/>
        </w:rPr>
        <w:t>Proceedings of the 18th international Congress of Phonetic Sciences</w:t>
      </w:r>
      <w:r w:rsidR="00C83B68" w:rsidRPr="00C83B68">
        <w:t xml:space="preserve">. Paper number 486. Glasgow, UK: Glasgow University.  </w:t>
      </w:r>
    </w:p>
    <w:p w14:paraId="45FCBB24" w14:textId="77777777" w:rsidR="00D920EC" w:rsidRDefault="00D920EC" w:rsidP="00D920EC">
      <w:pPr>
        <w:ind w:left="839" w:hanging="839"/>
        <w:jc w:val="left"/>
      </w:pPr>
    </w:p>
    <w:p w14:paraId="0E1A8055" w14:textId="497919B2" w:rsidR="00C4709D" w:rsidRDefault="00DE29DB" w:rsidP="00DE29DB">
      <w:pPr>
        <w:ind w:left="839" w:hanging="839"/>
        <w:jc w:val="left"/>
      </w:pPr>
      <w:r>
        <w:t xml:space="preserve">Iino, A., &amp; Thomson, R.I. (2018). Effects of web-based HVPT on EFL learners’ recognition and production of L2 sounds. In P. </w:t>
      </w:r>
      <w:proofErr w:type="spellStart"/>
      <w:r>
        <w:t>Taalas</w:t>
      </w:r>
      <w:proofErr w:type="spellEnd"/>
      <w:r>
        <w:t xml:space="preserve">, J. Jalkanen, L. Bradley &amp; S. </w:t>
      </w:r>
      <w:proofErr w:type="spellStart"/>
      <w:r>
        <w:t>Thouesny</w:t>
      </w:r>
      <w:proofErr w:type="spellEnd"/>
      <w:r>
        <w:t xml:space="preserve"> (Eds.), </w:t>
      </w:r>
      <w:r w:rsidRPr="00DE29DB">
        <w:rPr>
          <w:i/>
          <w:iCs/>
        </w:rPr>
        <w:t xml:space="preserve">Future-proof CALL: Language learning as exploration and encounters – short papers from EUROCALL 2018 </w:t>
      </w:r>
      <w:r>
        <w:t xml:space="preserve">(pp. 106 – 111). </w:t>
      </w:r>
      <w:hyperlink r:id="rId9" w:history="1">
        <w:r w:rsidRPr="00FD3D10">
          <w:rPr>
            <w:rStyle w:val="Hyperlink"/>
          </w:rPr>
          <w:t>https://research-publishing.net/book?10.14705/rpnet.2018.26.9782490057221</w:t>
        </w:r>
      </w:hyperlink>
      <w:r>
        <w:t xml:space="preserve"> </w:t>
      </w:r>
    </w:p>
    <w:p w14:paraId="07B8840C" w14:textId="77777777" w:rsidR="00C41CA2" w:rsidRPr="00C41CA2" w:rsidRDefault="00C41CA2" w:rsidP="00C41CA2"/>
    <w:p w14:paraId="3DEA9495" w14:textId="176DEC79" w:rsidR="00C41CA2" w:rsidRDefault="00C41CA2" w:rsidP="00C41CA2">
      <w:pPr>
        <w:pStyle w:val="Bibliography"/>
        <w:spacing w:line="240" w:lineRule="auto"/>
        <w:jc w:val="left"/>
      </w:pPr>
      <w:r w:rsidRPr="00AC0CC4">
        <w:t xml:space="preserve">Iverson, P., Pinet, M., &amp; Evans, B. G. (2012). Auditory training for experienced and inexperienced second-language learners: Native French speakers learning English vowels. </w:t>
      </w:r>
      <w:r w:rsidRPr="00046321">
        <w:rPr>
          <w:i/>
          <w:iCs/>
        </w:rPr>
        <w:t>Applied Psycholinguistics</w:t>
      </w:r>
      <w:r w:rsidRPr="00AC0CC4">
        <w:t xml:space="preserve">, </w:t>
      </w:r>
      <w:r w:rsidRPr="00046321">
        <w:rPr>
          <w:i/>
          <w:iCs/>
        </w:rPr>
        <w:t>33</w:t>
      </w:r>
      <w:r w:rsidRPr="00AC0CC4">
        <w:t xml:space="preserve">(1), 145–160. </w:t>
      </w:r>
      <w:hyperlink r:id="rId10" w:history="1">
        <w:r w:rsidR="004C6219" w:rsidRPr="00FD3D10">
          <w:rPr>
            <w:rStyle w:val="Hyperlink"/>
          </w:rPr>
          <w:t>https://doi.org/10.1017/S0142716411000300</w:t>
        </w:r>
      </w:hyperlink>
    </w:p>
    <w:p w14:paraId="1B8A0226" w14:textId="436D1903" w:rsidR="004C6219" w:rsidRPr="00170EA1" w:rsidRDefault="004C6219" w:rsidP="004C6219"/>
    <w:p w14:paraId="4D34A4AE" w14:textId="701E5DA9" w:rsidR="0087520F" w:rsidRDefault="0087520F" w:rsidP="00170EA1">
      <w:pPr>
        <w:pStyle w:val="Bibliography"/>
        <w:spacing w:line="240" w:lineRule="auto"/>
        <w:jc w:val="left"/>
      </w:pPr>
      <w:r>
        <w:t>Kangatharan</w:t>
      </w:r>
      <w:r w:rsidR="00C83B68">
        <w:t>, J., Giannakopoulou, A., &amp; Uther, M.</w:t>
      </w:r>
      <w:r>
        <w:t xml:space="preserve"> (2021)</w:t>
      </w:r>
      <w:r w:rsidR="00C83B68">
        <w:t xml:space="preserve"> The effect of HVP training in vowel perception on bilingual speech production. </w:t>
      </w:r>
      <w:r w:rsidR="00C83B68" w:rsidRPr="00C83B68">
        <w:rPr>
          <w:i/>
          <w:iCs/>
        </w:rPr>
        <w:t>Research in English Language Teaching</w:t>
      </w:r>
      <w:r w:rsidR="00C83B68">
        <w:t xml:space="preserve">, 2(1), 15 – 32. </w:t>
      </w:r>
      <w:proofErr w:type="spellStart"/>
      <w:r w:rsidR="00C83B68">
        <w:t>doi</w:t>
      </w:r>
      <w:proofErr w:type="spellEnd"/>
      <w:r w:rsidR="00C83B68" w:rsidRPr="00C83B68">
        <w:t>: 10.18488/journal.179.2021.21.15.32</w:t>
      </w:r>
      <w:r>
        <w:t xml:space="preserve"> </w:t>
      </w:r>
    </w:p>
    <w:p w14:paraId="1188169A" w14:textId="77777777" w:rsidR="00170EA1" w:rsidRPr="00170EA1" w:rsidRDefault="00170EA1" w:rsidP="00170EA1"/>
    <w:p w14:paraId="2A153400" w14:textId="77777777" w:rsidR="00170EA1" w:rsidRPr="00AC0CC4" w:rsidRDefault="00170EA1" w:rsidP="00170EA1">
      <w:pPr>
        <w:pStyle w:val="Bibliography"/>
        <w:spacing w:line="240" w:lineRule="auto"/>
        <w:jc w:val="left"/>
      </w:pPr>
      <w:r w:rsidRPr="00AC0CC4">
        <w:t xml:space="preserve">Lambacher, S. G., Martens, W. L., </w:t>
      </w:r>
      <w:proofErr w:type="spellStart"/>
      <w:r w:rsidRPr="00AC0CC4">
        <w:t>Kakehi</w:t>
      </w:r>
      <w:proofErr w:type="spellEnd"/>
      <w:r w:rsidRPr="00AC0CC4">
        <w:t xml:space="preserve">, K., Marasinghe, C. A., &amp; </w:t>
      </w:r>
      <w:proofErr w:type="spellStart"/>
      <w:r w:rsidRPr="00AC0CC4">
        <w:t>Molholt</w:t>
      </w:r>
      <w:proofErr w:type="spellEnd"/>
      <w:r w:rsidRPr="00AC0CC4">
        <w:t xml:space="preserve">, G. (2005). The effects of identification training on the identification and production of American English vowels by native speakers of Japanese. </w:t>
      </w:r>
      <w:r w:rsidRPr="00046321">
        <w:rPr>
          <w:i/>
          <w:iCs/>
        </w:rPr>
        <w:t>Applied Psycholinguistics</w:t>
      </w:r>
      <w:r w:rsidRPr="00AC0CC4">
        <w:t xml:space="preserve">, </w:t>
      </w:r>
      <w:r w:rsidRPr="00046321">
        <w:rPr>
          <w:i/>
          <w:iCs/>
        </w:rPr>
        <w:t>26</w:t>
      </w:r>
      <w:r w:rsidRPr="00AC0CC4">
        <w:t>(2), 227–247. https://doi.org/10.1017/S0142716405050150</w:t>
      </w:r>
    </w:p>
    <w:p w14:paraId="4B655F3B" w14:textId="77777777" w:rsidR="004C6219" w:rsidRPr="00170EA1" w:rsidRDefault="004C6219" w:rsidP="004C6219"/>
    <w:p w14:paraId="784DFC0B" w14:textId="531F44E2" w:rsidR="00F37359" w:rsidRPr="00AC0CC4" w:rsidRDefault="0087520F" w:rsidP="0087520F">
      <w:pPr>
        <w:ind w:left="839" w:hanging="839"/>
        <w:jc w:val="left"/>
      </w:pPr>
      <w:r>
        <w:t>Lee</w:t>
      </w:r>
      <w:r w:rsidR="00C83B68">
        <w:t xml:space="preserve">, A., &amp; Lyster, R. (2017). Can corrective feedback on second language speech perception errors affect production accuracy? </w:t>
      </w:r>
      <w:r w:rsidR="00C83B68" w:rsidRPr="00C83B68">
        <w:rPr>
          <w:i/>
          <w:iCs/>
        </w:rPr>
        <w:t>Applied Psycholinguistics</w:t>
      </w:r>
      <w:r w:rsidR="00C83B68">
        <w:t xml:space="preserve">, 38, 371 – 393. </w:t>
      </w:r>
      <w:r w:rsidR="00C83B68" w:rsidRPr="00C83B68">
        <w:t>https://doi.org/10.1017/S0142716416000254</w:t>
      </w:r>
    </w:p>
    <w:p w14:paraId="2C4D31C4" w14:textId="59BEE245" w:rsidR="00EA559B" w:rsidRDefault="00EA559B" w:rsidP="00DE29DB">
      <w:pPr>
        <w:ind w:left="839" w:hanging="839"/>
        <w:jc w:val="left"/>
      </w:pPr>
    </w:p>
    <w:p w14:paraId="0AFB4A03" w14:textId="60B93DB9" w:rsidR="00F37359" w:rsidRDefault="00F37359" w:rsidP="00DE29DB">
      <w:pPr>
        <w:ind w:left="839" w:hanging="839"/>
        <w:jc w:val="left"/>
      </w:pPr>
      <w:proofErr w:type="spellStart"/>
      <w:r>
        <w:t>Lengeris</w:t>
      </w:r>
      <w:proofErr w:type="spellEnd"/>
      <w:r>
        <w:t xml:space="preserve">, A., &amp; Hazan, V. (2010). The effect of native vowel processing ability and frequency discrimination acuity on the phonetic training of English vowels for native speakers of Greek. </w:t>
      </w:r>
      <w:r w:rsidRPr="001C1AF5">
        <w:rPr>
          <w:i/>
          <w:iCs/>
        </w:rPr>
        <w:t>The Journal of the Acoustical Society of America</w:t>
      </w:r>
      <w:r>
        <w:t xml:space="preserve">, 128, </w:t>
      </w:r>
      <w:r w:rsidR="00B62FE5">
        <w:t xml:space="preserve">3757 – 3768. </w:t>
      </w:r>
      <w:hyperlink r:id="rId11" w:history="1">
        <w:r w:rsidR="00B62FE5" w:rsidRPr="00FD3D10">
          <w:rPr>
            <w:rStyle w:val="Hyperlink"/>
          </w:rPr>
          <w:t>https://doi.org/10.1121/1.3506351</w:t>
        </w:r>
      </w:hyperlink>
      <w:r w:rsidR="00B62FE5">
        <w:t xml:space="preserve"> </w:t>
      </w:r>
    </w:p>
    <w:p w14:paraId="2ABF3CA7" w14:textId="0586A9AA" w:rsidR="000B783B" w:rsidRDefault="000B783B" w:rsidP="0087520F">
      <w:pPr>
        <w:jc w:val="left"/>
      </w:pPr>
    </w:p>
    <w:p w14:paraId="40C3D14A" w14:textId="77777777" w:rsidR="000E64EC" w:rsidRPr="00AC0CC4" w:rsidRDefault="000E64EC" w:rsidP="000E64EC">
      <w:pPr>
        <w:pStyle w:val="Bibliography"/>
        <w:spacing w:line="240" w:lineRule="auto"/>
        <w:jc w:val="left"/>
      </w:pPr>
      <w:r w:rsidRPr="00AC0CC4">
        <w:t xml:space="preserve">Li, Y. (2015). </w:t>
      </w:r>
      <w:r w:rsidRPr="009C7659">
        <w:rPr>
          <w:i/>
          <w:iCs/>
        </w:rPr>
        <w:t>Audio-visual training effect on L2 perception and production of English /θ/-/s/ and /ð/-/z/ by Mandarin speakers</w:t>
      </w:r>
      <w:r w:rsidRPr="00AC0CC4">
        <w:t xml:space="preserve"> [Unpublished doctoral dissertation]. Newcastle University.</w:t>
      </w:r>
    </w:p>
    <w:p w14:paraId="5FC8E1E0" w14:textId="388E363A" w:rsidR="007A28E1" w:rsidRDefault="007A28E1" w:rsidP="007A28E1"/>
    <w:p w14:paraId="42C31F78" w14:textId="255FAF24" w:rsidR="007A28E1" w:rsidRDefault="001C1AF5" w:rsidP="001C1AF5">
      <w:pPr>
        <w:ind w:left="839" w:hanging="839"/>
        <w:jc w:val="left"/>
      </w:pPr>
      <w:r>
        <w:t xml:space="preserve">Lopez-Soto, T., &amp; Kewley-Port, D., (2009). Relation of perception training to production of codas in English as a second language. </w:t>
      </w:r>
      <w:r w:rsidRPr="001C1AF5">
        <w:rPr>
          <w:i/>
          <w:iCs/>
        </w:rPr>
        <w:t>Proceedings of Meetings on Acoustics</w:t>
      </w:r>
      <w:r>
        <w:t xml:space="preserve">, 6, 1 – 15. </w:t>
      </w:r>
      <w:hyperlink r:id="rId12" w:history="1">
        <w:r w:rsidRPr="00FD3D10">
          <w:rPr>
            <w:rStyle w:val="Hyperlink"/>
          </w:rPr>
          <w:t>https://doi.org/10.1121/1.3262006</w:t>
        </w:r>
      </w:hyperlink>
      <w:r>
        <w:t xml:space="preserve"> </w:t>
      </w:r>
    </w:p>
    <w:p w14:paraId="62CEC69A" w14:textId="31A5E993" w:rsidR="001C1AF5" w:rsidRDefault="001C1AF5" w:rsidP="001C1AF5">
      <w:pPr>
        <w:ind w:left="839" w:hanging="839"/>
        <w:jc w:val="left"/>
      </w:pPr>
    </w:p>
    <w:p w14:paraId="44FE67E5" w14:textId="6CC4F151" w:rsidR="001C1AF5" w:rsidRDefault="0064166D" w:rsidP="001C1AF5">
      <w:pPr>
        <w:ind w:left="839" w:hanging="839"/>
        <w:jc w:val="left"/>
      </w:pPr>
      <w:r>
        <w:t xml:space="preserve">Macdonald, R.M.M. (2012). </w:t>
      </w:r>
      <w:r w:rsidRPr="0064166D">
        <w:rPr>
          <w:i/>
          <w:iCs/>
        </w:rPr>
        <w:t xml:space="preserve">Counteracting </w:t>
      </w:r>
      <w:proofErr w:type="gramStart"/>
      <w:r w:rsidRPr="0064166D">
        <w:rPr>
          <w:i/>
          <w:iCs/>
        </w:rPr>
        <w:t>age related</w:t>
      </w:r>
      <w:proofErr w:type="gramEnd"/>
      <w:r w:rsidRPr="0064166D">
        <w:rPr>
          <w:i/>
          <w:iCs/>
        </w:rPr>
        <w:t xml:space="preserve"> effects in L2 acquisition: Training to distinguish between French vowels</w:t>
      </w:r>
      <w:r>
        <w:t xml:space="preserve"> (Unpublished doctoral dissertation). The University of Edinburgh. </w:t>
      </w:r>
    </w:p>
    <w:p w14:paraId="69537B3E" w14:textId="6AFDF655" w:rsidR="006F3763" w:rsidRDefault="006F3763" w:rsidP="006F3763"/>
    <w:p w14:paraId="2BE0091A" w14:textId="272462EB" w:rsidR="00B96181" w:rsidRDefault="00B96181" w:rsidP="00B96181">
      <w:pPr>
        <w:ind w:left="839" w:hanging="839"/>
      </w:pPr>
      <w:proofErr w:type="spellStart"/>
      <w:r>
        <w:t>Mokari</w:t>
      </w:r>
      <w:proofErr w:type="spellEnd"/>
      <w:r>
        <w:t xml:space="preserve">, P.G., &amp; Werner, S. (2017). Perceptual training of second-language vowels: Does musical ability play a role? </w:t>
      </w:r>
      <w:r w:rsidRPr="00B96181">
        <w:rPr>
          <w:i/>
          <w:iCs/>
        </w:rPr>
        <w:t>Journal of Psycholinguistic Research</w:t>
      </w:r>
      <w:r>
        <w:t>, 47, 95 – 112.</w:t>
      </w:r>
      <w:r w:rsidRPr="00B96181">
        <w:rPr>
          <w:rFonts w:ascii="Segoe UI" w:hAnsi="Segoe UI" w:cs="Segoe UI"/>
          <w:color w:val="333333"/>
          <w:shd w:val="clear" w:color="auto" w:fill="FCFCFC"/>
        </w:rPr>
        <w:t xml:space="preserve"> </w:t>
      </w:r>
      <w:hyperlink r:id="rId13" w:history="1">
        <w:r w:rsidRPr="00FD3D10">
          <w:rPr>
            <w:rStyle w:val="Hyperlink"/>
          </w:rPr>
          <w:t>https://doi.org/10.1007/s10936-017-9517-8</w:t>
        </w:r>
      </w:hyperlink>
      <w:r>
        <w:t xml:space="preserve"> </w:t>
      </w:r>
    </w:p>
    <w:p w14:paraId="3BAC52F0" w14:textId="77777777" w:rsidR="00B96181" w:rsidRDefault="00B96181" w:rsidP="00D15879"/>
    <w:p w14:paraId="79BC01A2" w14:textId="6FCD0DE3" w:rsidR="006F3763" w:rsidRDefault="00B3323A" w:rsidP="00B96181">
      <w:pPr>
        <w:ind w:left="839" w:hanging="839"/>
      </w:pPr>
      <w:r>
        <w:t xml:space="preserve">Okuno, T., &amp; Hardison, D.M. (2016). Perception-production link in L2 Japanese vowel duration: Training with technology. </w:t>
      </w:r>
      <w:r w:rsidRPr="00B3323A">
        <w:rPr>
          <w:i/>
          <w:iCs/>
        </w:rPr>
        <w:t>Language Learning &amp; Technology</w:t>
      </w:r>
      <w:r>
        <w:t xml:space="preserve">, 20(2), 61 – 80. </w:t>
      </w:r>
      <w:r w:rsidRPr="00B3323A">
        <w:t xml:space="preserve">Retrieved from </w:t>
      </w:r>
      <w:hyperlink r:id="rId14" w:history="1">
        <w:r w:rsidRPr="00FD3D10">
          <w:rPr>
            <w:rStyle w:val="Hyperlink"/>
          </w:rPr>
          <w:t>http://llt.msu.edu/issues/june2016/okunohardison.pdf</w:t>
        </w:r>
      </w:hyperlink>
    </w:p>
    <w:p w14:paraId="5C69A8B5" w14:textId="725DC5C1" w:rsidR="00B3323A" w:rsidRDefault="00B3323A" w:rsidP="00B96181">
      <w:pPr>
        <w:ind w:left="839" w:hanging="839"/>
      </w:pPr>
    </w:p>
    <w:p w14:paraId="216F513A" w14:textId="1315FEA2" w:rsidR="00402D91" w:rsidRDefault="004A1F3F" w:rsidP="00DE29DB">
      <w:pPr>
        <w:ind w:left="839" w:hanging="839"/>
        <w:jc w:val="left"/>
      </w:pPr>
      <w:r>
        <w:t xml:space="preserve">Reyes, Y.P., &amp; Hazan, V., (2021). English vowel perception by non-native speakers: Impact of audio and visual training modalities. </w:t>
      </w:r>
      <w:proofErr w:type="spellStart"/>
      <w:r w:rsidR="00EB07B5">
        <w:t>Onomazein</w:t>
      </w:r>
      <w:proofErr w:type="spellEnd"/>
      <w:r w:rsidR="00EB07B5">
        <w:t xml:space="preserve">: Journal of Linguistics, Philology and Translation, 51, 111 – 136. </w:t>
      </w:r>
      <w:hyperlink r:id="rId15" w:history="1">
        <w:r w:rsidR="00EB07B5" w:rsidRPr="00FD3D10">
          <w:rPr>
            <w:rStyle w:val="Hyperlink"/>
          </w:rPr>
          <w:t>https://doi.org/10.7764/onomazein.51.04</w:t>
        </w:r>
      </w:hyperlink>
      <w:r w:rsidR="00EB07B5">
        <w:t xml:space="preserve"> </w:t>
      </w:r>
    </w:p>
    <w:p w14:paraId="4DD63E4E" w14:textId="2F210BAE" w:rsidR="00EB07B5" w:rsidRDefault="00EB07B5" w:rsidP="00DE29DB">
      <w:pPr>
        <w:ind w:left="839" w:hanging="839"/>
        <w:jc w:val="left"/>
      </w:pPr>
    </w:p>
    <w:p w14:paraId="6D565C53" w14:textId="000D50A3" w:rsidR="00E236DE" w:rsidRDefault="00D15879" w:rsidP="006C0B93">
      <w:pPr>
        <w:ind w:left="720" w:hanging="720"/>
        <w:jc w:val="left"/>
      </w:pPr>
      <w:r>
        <w:t>Thomson</w:t>
      </w:r>
      <w:r w:rsidR="00C01614">
        <w:t xml:space="preserve">, R.I. (2007). </w:t>
      </w:r>
      <w:r w:rsidR="00C01614" w:rsidRPr="00C01614">
        <w:rPr>
          <w:i/>
          <w:iCs/>
        </w:rPr>
        <w:t>Modeling L1/L2 interactions in the perception and production of English vowels by Mandarin L1 speakers: A training study</w:t>
      </w:r>
      <w:r w:rsidR="00C01614">
        <w:t xml:space="preserve"> (Unpublished doctoral dissertation). University of Alberta. </w:t>
      </w:r>
      <w:r>
        <w:t xml:space="preserve"> </w:t>
      </w:r>
    </w:p>
    <w:p w14:paraId="0A91ECCE" w14:textId="77777777" w:rsidR="00C01614" w:rsidRDefault="00C01614" w:rsidP="006C0B93">
      <w:pPr>
        <w:ind w:left="720" w:hanging="720"/>
        <w:jc w:val="left"/>
      </w:pPr>
    </w:p>
    <w:p w14:paraId="000C2DA6" w14:textId="7CC8E322" w:rsidR="00D15879" w:rsidRDefault="00D15879" w:rsidP="006C0B93">
      <w:pPr>
        <w:ind w:left="720" w:hanging="720"/>
        <w:jc w:val="left"/>
      </w:pPr>
      <w:r>
        <w:t>Thomson</w:t>
      </w:r>
      <w:r w:rsidR="00C01614">
        <w:t>, R.I., &amp;</w:t>
      </w:r>
      <w:r>
        <w:t xml:space="preserve"> </w:t>
      </w:r>
      <w:proofErr w:type="spellStart"/>
      <w:r>
        <w:t>Derwing</w:t>
      </w:r>
      <w:proofErr w:type="spellEnd"/>
      <w:r w:rsidR="00C01614">
        <w:t>, T.</w:t>
      </w:r>
      <w:r>
        <w:t xml:space="preserve"> (2016)</w:t>
      </w:r>
      <w:r w:rsidR="00C01614">
        <w:t xml:space="preserve">. Is phonemic training using nonsense or real words more effective? In J. Levis, H. Le, E. Simpson, &amp; S. Vo (Eds.) </w:t>
      </w:r>
      <w:r w:rsidR="00C01614" w:rsidRPr="00C01614">
        <w:rPr>
          <w:i/>
          <w:iCs/>
        </w:rPr>
        <w:t>Proceedings of the 7</w:t>
      </w:r>
      <w:r w:rsidR="00C01614" w:rsidRPr="00C01614">
        <w:rPr>
          <w:i/>
          <w:iCs/>
          <w:vertAlign w:val="superscript"/>
        </w:rPr>
        <w:t>th</w:t>
      </w:r>
      <w:r w:rsidR="00C01614" w:rsidRPr="00C01614">
        <w:rPr>
          <w:i/>
          <w:iCs/>
        </w:rPr>
        <w:t xml:space="preserve"> Pronunciation in Second Language Learning and Teaching Conference </w:t>
      </w:r>
      <w:r w:rsidR="00C01614">
        <w:t xml:space="preserve">(pp. 88 – 97). Ames, IA: Iowa State University. </w:t>
      </w:r>
      <w:r>
        <w:t xml:space="preserve"> </w:t>
      </w:r>
    </w:p>
    <w:p w14:paraId="74349488" w14:textId="24703951" w:rsidR="00E236DE" w:rsidRDefault="00E236DE" w:rsidP="002361B2">
      <w:pPr>
        <w:jc w:val="left"/>
      </w:pPr>
    </w:p>
    <w:p w14:paraId="2E1B9BAC" w14:textId="3A7950F7" w:rsidR="00E236DE" w:rsidRDefault="00635DCD" w:rsidP="006C0B93">
      <w:pPr>
        <w:ind w:left="720" w:hanging="720"/>
        <w:jc w:val="left"/>
      </w:pPr>
      <w:proofErr w:type="spellStart"/>
      <w:r>
        <w:t>Trakantalerngsak</w:t>
      </w:r>
      <w:proofErr w:type="spellEnd"/>
      <w:r>
        <w:t xml:space="preserve">, T. (2016). </w:t>
      </w:r>
      <w:r w:rsidRPr="00635DCD">
        <w:rPr>
          <w:i/>
          <w:iCs/>
        </w:rPr>
        <w:t>The effect of perceptual training on the learning of Japanese fricative and affricate contrasts by native Thai learners of Japanese</w:t>
      </w:r>
      <w:r>
        <w:t xml:space="preserve"> (Unpublished doctoral dissertation). Osaka University. </w:t>
      </w:r>
    </w:p>
    <w:p w14:paraId="5B23ECD2" w14:textId="0C410D02" w:rsidR="00635DCD" w:rsidRDefault="00635DCD" w:rsidP="006C0B93">
      <w:pPr>
        <w:ind w:left="720" w:hanging="720"/>
        <w:jc w:val="left"/>
      </w:pPr>
    </w:p>
    <w:p w14:paraId="5799D651" w14:textId="77777777" w:rsidR="00523965" w:rsidRPr="00523965" w:rsidRDefault="00523965" w:rsidP="00523965">
      <w:pPr>
        <w:ind w:left="720" w:hanging="720"/>
        <w:jc w:val="left"/>
      </w:pPr>
      <w:r w:rsidRPr="00523965">
        <w:t xml:space="preserve">Ueda, R., &amp; Hashimoto, K. (2019). Perceptual training in a classroom setting: Phonemic category formation by Japanese EFL learners. In J. Levis, C. Nagle, &amp; E. </w:t>
      </w:r>
      <w:proofErr w:type="spellStart"/>
      <w:r w:rsidRPr="00523965">
        <w:t>Todey</w:t>
      </w:r>
      <w:proofErr w:type="spellEnd"/>
      <w:r w:rsidRPr="00523965">
        <w:t xml:space="preserve"> (Eds.), </w:t>
      </w:r>
      <w:r w:rsidRPr="00523965">
        <w:rPr>
          <w:i/>
          <w:iCs/>
        </w:rPr>
        <w:t>Proceedings of the 10th Pronunciation in Second Language Learning and Teaching Conference</w:t>
      </w:r>
      <w:r w:rsidRPr="00523965">
        <w:t xml:space="preserve"> (pp. 237–249). Iowa State University.</w:t>
      </w:r>
    </w:p>
    <w:p w14:paraId="369CBB9A" w14:textId="4AE189C2" w:rsidR="00635DCD" w:rsidRDefault="00635DCD" w:rsidP="006C0B93">
      <w:pPr>
        <w:ind w:left="720" w:hanging="720"/>
        <w:jc w:val="left"/>
      </w:pPr>
    </w:p>
    <w:p w14:paraId="496EC4DF" w14:textId="6BEF2EF4" w:rsidR="002361B2" w:rsidRDefault="002361B2" w:rsidP="006C0B93">
      <w:pPr>
        <w:ind w:left="720" w:hanging="720"/>
        <w:jc w:val="left"/>
      </w:pPr>
      <w:r>
        <w:t>Wang, X. (2002)</w:t>
      </w:r>
      <w:r w:rsidR="00C01614">
        <w:t xml:space="preserve">. </w:t>
      </w:r>
      <w:r w:rsidR="00C01614" w:rsidRPr="00C01614">
        <w:rPr>
          <w:i/>
          <w:iCs/>
        </w:rPr>
        <w:t>Training Mandarin and Cantonese speakers to identify English vowel contrasts: Long-term retention and effects on production</w:t>
      </w:r>
      <w:r w:rsidR="00C01614">
        <w:t xml:space="preserve"> (Unpublished doctoral dissertation). Simon </w:t>
      </w:r>
      <w:r w:rsidR="00C01614">
        <w:lastRenderedPageBreak/>
        <w:t xml:space="preserve">Fraser University. </w:t>
      </w:r>
      <w:r>
        <w:t xml:space="preserve"> </w:t>
      </w:r>
    </w:p>
    <w:p w14:paraId="6FC2AB60" w14:textId="77777777" w:rsidR="002361B2" w:rsidRDefault="002361B2" w:rsidP="006C0B93">
      <w:pPr>
        <w:ind w:left="720" w:hanging="720"/>
        <w:jc w:val="left"/>
      </w:pPr>
    </w:p>
    <w:p w14:paraId="61C3F0C4" w14:textId="41CBAE57" w:rsidR="00FB33C6" w:rsidRDefault="002361B2" w:rsidP="006C0B93">
      <w:pPr>
        <w:ind w:left="720" w:hanging="720"/>
        <w:jc w:val="left"/>
      </w:pPr>
      <w:r>
        <w:t>Wang, Y.</w:t>
      </w:r>
      <w:r w:rsidR="00C01614">
        <w:t xml:space="preserve">, </w:t>
      </w:r>
      <w:proofErr w:type="spellStart"/>
      <w:r w:rsidR="00C01614">
        <w:t>Jongman</w:t>
      </w:r>
      <w:proofErr w:type="spellEnd"/>
      <w:r w:rsidR="00C01614">
        <w:t xml:space="preserve">, A., &amp; Serano, A. (2003). Acoustic and perceptual evaluation of Mandarin tone production before and after perceptual training. </w:t>
      </w:r>
      <w:r w:rsidR="00C01614" w:rsidRPr="00C01614">
        <w:rPr>
          <w:i/>
          <w:iCs/>
        </w:rPr>
        <w:t>The Journal of the Acoustical Society of America</w:t>
      </w:r>
      <w:r w:rsidR="00C01614">
        <w:t xml:space="preserve">, 113, 1033 – 1043. </w:t>
      </w:r>
      <w:r w:rsidR="00C01614" w:rsidRPr="00C01614">
        <w:t>https://doi.org/10.1121/1.1531176</w:t>
      </w:r>
    </w:p>
    <w:p w14:paraId="68920214" w14:textId="77777777" w:rsidR="002361B2" w:rsidRDefault="002361B2" w:rsidP="006C0B93">
      <w:pPr>
        <w:ind w:left="720" w:hanging="720"/>
        <w:jc w:val="left"/>
      </w:pPr>
    </w:p>
    <w:p w14:paraId="1A189E89" w14:textId="52AE5003" w:rsidR="002361B2" w:rsidRDefault="002361B2" w:rsidP="006C0B93">
      <w:pPr>
        <w:ind w:left="720" w:hanging="720"/>
        <w:jc w:val="left"/>
      </w:pPr>
      <w:r>
        <w:t>Wong,</w:t>
      </w:r>
      <w:r w:rsidR="003F1859">
        <w:t xml:space="preserve"> W.S.</w:t>
      </w:r>
      <w:r>
        <w:t xml:space="preserve"> </w:t>
      </w:r>
      <w:r w:rsidR="003F1859">
        <w:t>(</w:t>
      </w:r>
      <w:r>
        <w:t>2013</w:t>
      </w:r>
      <w:r w:rsidR="003F1859">
        <w:t xml:space="preserve">). </w:t>
      </w:r>
      <w:r w:rsidR="003F1859" w:rsidRPr="003F1859">
        <w:rPr>
          <w:i/>
          <w:iCs/>
        </w:rPr>
        <w:t>Training the perception and production of English vowels</w:t>
      </w:r>
      <w:r w:rsidR="003F1859" w:rsidRPr="003F1859">
        <w:rPr>
          <w:rFonts w:ascii="Arial" w:hAnsi="Arial" w:cs="Arial"/>
          <w:i/>
          <w:iCs/>
          <w:color w:val="222222"/>
          <w:sz w:val="20"/>
          <w:szCs w:val="20"/>
          <w:shd w:val="clear" w:color="auto" w:fill="FFFFFF"/>
        </w:rPr>
        <w:t xml:space="preserve"> </w:t>
      </w:r>
      <w:r w:rsidR="003F1859">
        <w:rPr>
          <w:rFonts w:ascii="Arial" w:hAnsi="Arial" w:cs="Arial"/>
          <w:i/>
          <w:iCs/>
          <w:color w:val="222222"/>
          <w:sz w:val="20"/>
          <w:szCs w:val="20"/>
          <w:shd w:val="clear" w:color="auto" w:fill="FFFFFF"/>
        </w:rPr>
        <w:t>/</w:t>
      </w:r>
      <w:r w:rsidR="003F1859" w:rsidRPr="003F1859">
        <w:rPr>
          <w:i/>
          <w:iCs/>
        </w:rPr>
        <w:t>I/-/</w:t>
      </w:r>
      <w:proofErr w:type="spellStart"/>
      <w:r w:rsidR="003F1859" w:rsidRPr="003F1859">
        <w:rPr>
          <w:i/>
          <w:iCs/>
        </w:rPr>
        <w:t>i</w:t>
      </w:r>
      <w:proofErr w:type="spellEnd"/>
      <w:r w:rsidR="003F1859" w:rsidRPr="003F1859">
        <w:rPr>
          <w:i/>
          <w:iCs/>
        </w:rPr>
        <w:t>:/</w:t>
      </w:r>
      <w:r w:rsidR="003F1859">
        <w:rPr>
          <w:i/>
          <w:iCs/>
        </w:rPr>
        <w:t>, /</w:t>
      </w:r>
      <w:r w:rsidR="003F1859" w:rsidRPr="003F1859">
        <w:rPr>
          <w:i/>
          <w:iCs/>
        </w:rPr>
        <w:t>e/-/æ/</w:t>
      </w:r>
      <w:r w:rsidR="003F1859">
        <w:rPr>
          <w:i/>
          <w:iCs/>
        </w:rPr>
        <w:t xml:space="preserve"> </w:t>
      </w:r>
      <w:r w:rsidR="003F1859" w:rsidRPr="003F1859">
        <w:rPr>
          <w:i/>
          <w:iCs/>
        </w:rPr>
        <w:t>and</w:t>
      </w:r>
      <w:r w:rsidR="003F1859">
        <w:rPr>
          <w:i/>
          <w:iCs/>
        </w:rPr>
        <w:t xml:space="preserve"> /</w:t>
      </w:r>
      <w:r w:rsidR="003F1859" w:rsidRPr="003F1859">
        <w:rPr>
          <w:i/>
          <w:iCs/>
        </w:rPr>
        <w:t>ʊ</w:t>
      </w:r>
      <w:r w:rsidR="003F1859">
        <w:rPr>
          <w:i/>
          <w:iCs/>
        </w:rPr>
        <w:t>/</w:t>
      </w:r>
      <w:r w:rsidR="003F1859" w:rsidRPr="003F1859">
        <w:rPr>
          <w:i/>
          <w:iCs/>
        </w:rPr>
        <w:t xml:space="preserve"> -/u:/by Cantonese ESL Learners in Hong Kong</w:t>
      </w:r>
      <w:r w:rsidR="003F1859">
        <w:rPr>
          <w:i/>
          <w:iCs/>
        </w:rPr>
        <w:t xml:space="preserve"> </w:t>
      </w:r>
      <w:r w:rsidR="003F1859">
        <w:t xml:space="preserve">(Unpublished doctoral dissertation). Chinese University of Hong Kong.  </w:t>
      </w:r>
    </w:p>
    <w:p w14:paraId="0CB13EB3" w14:textId="77777777" w:rsidR="002361B2" w:rsidRDefault="002361B2" w:rsidP="006C0B93">
      <w:pPr>
        <w:ind w:left="720" w:hanging="720"/>
        <w:jc w:val="left"/>
      </w:pPr>
    </w:p>
    <w:p w14:paraId="3F46CE6C" w14:textId="77777777" w:rsidR="00913340" w:rsidRPr="00913340" w:rsidRDefault="00913340" w:rsidP="00913340">
      <w:pPr>
        <w:ind w:left="720" w:hanging="720"/>
        <w:jc w:val="left"/>
      </w:pPr>
      <w:r w:rsidRPr="00913340">
        <w:t xml:space="preserve">Yang, R., Nanjo, H., &amp; </w:t>
      </w:r>
      <w:proofErr w:type="spellStart"/>
      <w:r w:rsidRPr="00913340">
        <w:t>Dantsuji</w:t>
      </w:r>
      <w:proofErr w:type="spellEnd"/>
      <w:r w:rsidRPr="00913340">
        <w:t xml:space="preserve">, M. (2021). </w:t>
      </w:r>
      <w:proofErr w:type="spellStart"/>
      <w:r w:rsidRPr="00913340">
        <w:t>Self adaptive</w:t>
      </w:r>
      <w:proofErr w:type="spellEnd"/>
      <w:r w:rsidRPr="00913340">
        <w:t xml:space="preserve"> phonetic training for Mandarin nasal codas. </w:t>
      </w:r>
      <w:r w:rsidRPr="00913340">
        <w:rPr>
          <w:i/>
          <w:iCs/>
        </w:rPr>
        <w:t>Computer-Assisted Language Learning Electronic Journal</w:t>
      </w:r>
      <w:r w:rsidRPr="00913340">
        <w:t xml:space="preserve">, </w:t>
      </w:r>
      <w:r w:rsidRPr="00913340">
        <w:rPr>
          <w:i/>
          <w:iCs/>
        </w:rPr>
        <w:t>22</w:t>
      </w:r>
      <w:r w:rsidRPr="00913340">
        <w:t>(1), 391–413.</w:t>
      </w:r>
    </w:p>
    <w:p w14:paraId="24DCA230" w14:textId="3F93FF75" w:rsidR="00913340" w:rsidRDefault="00913340" w:rsidP="006C0B93">
      <w:pPr>
        <w:ind w:left="720" w:hanging="720"/>
        <w:jc w:val="left"/>
      </w:pPr>
    </w:p>
    <w:p w14:paraId="63FB371C" w14:textId="77777777" w:rsidR="006855DC" w:rsidRPr="006855DC" w:rsidRDefault="006855DC" w:rsidP="006855DC">
      <w:pPr>
        <w:ind w:left="720" w:hanging="720"/>
        <w:jc w:val="left"/>
      </w:pPr>
      <w:r w:rsidRPr="006855DC">
        <w:t xml:space="preserve">Yeon, S.-H. (2004). </w:t>
      </w:r>
      <w:r w:rsidRPr="006855DC">
        <w:rPr>
          <w:i/>
          <w:iCs/>
        </w:rPr>
        <w:t xml:space="preserve">Teaching English word-final </w:t>
      </w:r>
      <w:proofErr w:type="spellStart"/>
      <w:r w:rsidRPr="006855DC">
        <w:rPr>
          <w:i/>
          <w:iCs/>
        </w:rPr>
        <w:t>alveolopalatals</w:t>
      </w:r>
      <w:proofErr w:type="spellEnd"/>
      <w:r w:rsidRPr="006855DC">
        <w:rPr>
          <w:i/>
          <w:iCs/>
        </w:rPr>
        <w:t xml:space="preserve"> to native speakers of Korean</w:t>
      </w:r>
      <w:r w:rsidRPr="006855DC">
        <w:t xml:space="preserve"> [Unpublished doctoral dissertation]. University of Florida.</w:t>
      </w:r>
    </w:p>
    <w:p w14:paraId="2BBBF037" w14:textId="44CDD57C" w:rsidR="006855DC" w:rsidRDefault="006855DC" w:rsidP="006C0B93">
      <w:pPr>
        <w:ind w:left="720" w:hanging="720"/>
        <w:jc w:val="left"/>
      </w:pPr>
    </w:p>
    <w:p w14:paraId="0CAD89B1" w14:textId="77777777" w:rsidR="006C0B93" w:rsidRDefault="006C0B93" w:rsidP="00DE29DB">
      <w:pPr>
        <w:ind w:left="839" w:hanging="839"/>
        <w:jc w:val="left"/>
      </w:pPr>
    </w:p>
    <w:p w14:paraId="106A6E45" w14:textId="77777777" w:rsidR="00413A76" w:rsidRPr="00170EA1" w:rsidRDefault="00413A76" w:rsidP="00DE29DB">
      <w:pPr>
        <w:ind w:left="839" w:hanging="839"/>
        <w:jc w:val="left"/>
      </w:pPr>
    </w:p>
    <w:sectPr w:rsidR="00413A76" w:rsidRPr="00170EA1" w:rsidSect="00FD60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5CC7" w14:textId="77777777" w:rsidR="00FD604E" w:rsidRDefault="00FD604E" w:rsidP="00303EF0">
      <w:r>
        <w:separator/>
      </w:r>
    </w:p>
  </w:endnote>
  <w:endnote w:type="continuationSeparator" w:id="0">
    <w:p w14:paraId="256D374B" w14:textId="77777777" w:rsidR="00FD604E" w:rsidRDefault="00FD604E" w:rsidP="0030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C253" w14:textId="77777777" w:rsidR="00FD604E" w:rsidRDefault="00FD604E" w:rsidP="00303EF0">
      <w:r>
        <w:separator/>
      </w:r>
    </w:p>
  </w:footnote>
  <w:footnote w:type="continuationSeparator" w:id="0">
    <w:p w14:paraId="4391BC1B" w14:textId="77777777" w:rsidR="00FD604E" w:rsidRDefault="00FD604E" w:rsidP="00303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C0"/>
    <w:rsid w:val="000319BF"/>
    <w:rsid w:val="00047ACC"/>
    <w:rsid w:val="00062A83"/>
    <w:rsid w:val="00077A1D"/>
    <w:rsid w:val="00091F3D"/>
    <w:rsid w:val="000962EC"/>
    <w:rsid w:val="000B783B"/>
    <w:rsid w:val="000C134D"/>
    <w:rsid w:val="000E64EC"/>
    <w:rsid w:val="001062A4"/>
    <w:rsid w:val="0013637D"/>
    <w:rsid w:val="00151E39"/>
    <w:rsid w:val="00170EA1"/>
    <w:rsid w:val="001A04EE"/>
    <w:rsid w:val="001A2476"/>
    <w:rsid w:val="001C1AF5"/>
    <w:rsid w:val="001E3B18"/>
    <w:rsid w:val="001E4D6C"/>
    <w:rsid w:val="001F1963"/>
    <w:rsid w:val="00201876"/>
    <w:rsid w:val="00206F70"/>
    <w:rsid w:val="00211240"/>
    <w:rsid w:val="002361B2"/>
    <w:rsid w:val="00246BFD"/>
    <w:rsid w:val="002514FF"/>
    <w:rsid w:val="002709F3"/>
    <w:rsid w:val="002A6BAB"/>
    <w:rsid w:val="002C181B"/>
    <w:rsid w:val="002C53C2"/>
    <w:rsid w:val="002C6840"/>
    <w:rsid w:val="002D2A66"/>
    <w:rsid w:val="002D6EF4"/>
    <w:rsid w:val="002E7852"/>
    <w:rsid w:val="002F1EF8"/>
    <w:rsid w:val="00303EF0"/>
    <w:rsid w:val="003220C0"/>
    <w:rsid w:val="00322FD4"/>
    <w:rsid w:val="003230C5"/>
    <w:rsid w:val="00335C38"/>
    <w:rsid w:val="003545D8"/>
    <w:rsid w:val="00396C92"/>
    <w:rsid w:val="003D2A09"/>
    <w:rsid w:val="003E2416"/>
    <w:rsid w:val="003F0DCD"/>
    <w:rsid w:val="003F1859"/>
    <w:rsid w:val="00402D91"/>
    <w:rsid w:val="00413635"/>
    <w:rsid w:val="00413A76"/>
    <w:rsid w:val="00452B6B"/>
    <w:rsid w:val="00464D65"/>
    <w:rsid w:val="00490449"/>
    <w:rsid w:val="004A1F3F"/>
    <w:rsid w:val="004A718B"/>
    <w:rsid w:val="004C3541"/>
    <w:rsid w:val="004C6219"/>
    <w:rsid w:val="004E0F63"/>
    <w:rsid w:val="004F391C"/>
    <w:rsid w:val="004F4CBB"/>
    <w:rsid w:val="00523965"/>
    <w:rsid w:val="005256AB"/>
    <w:rsid w:val="00536112"/>
    <w:rsid w:val="00541DC1"/>
    <w:rsid w:val="005523AD"/>
    <w:rsid w:val="00577EC0"/>
    <w:rsid w:val="00594558"/>
    <w:rsid w:val="005C6928"/>
    <w:rsid w:val="005D0375"/>
    <w:rsid w:val="005F3525"/>
    <w:rsid w:val="005F3DD4"/>
    <w:rsid w:val="00603FA7"/>
    <w:rsid w:val="00635DCD"/>
    <w:rsid w:val="00636230"/>
    <w:rsid w:val="0064166D"/>
    <w:rsid w:val="006426C2"/>
    <w:rsid w:val="0065386B"/>
    <w:rsid w:val="0066180D"/>
    <w:rsid w:val="00675903"/>
    <w:rsid w:val="006855DC"/>
    <w:rsid w:val="006C0B93"/>
    <w:rsid w:val="006C2669"/>
    <w:rsid w:val="006E3D99"/>
    <w:rsid w:val="006E4D93"/>
    <w:rsid w:val="006F3763"/>
    <w:rsid w:val="00715901"/>
    <w:rsid w:val="00735F87"/>
    <w:rsid w:val="00745D1B"/>
    <w:rsid w:val="007753D6"/>
    <w:rsid w:val="007772C2"/>
    <w:rsid w:val="007A033A"/>
    <w:rsid w:val="007A28E1"/>
    <w:rsid w:val="007C7D99"/>
    <w:rsid w:val="007E52C1"/>
    <w:rsid w:val="008105A2"/>
    <w:rsid w:val="00810DBD"/>
    <w:rsid w:val="0081757E"/>
    <w:rsid w:val="008350A7"/>
    <w:rsid w:val="0087520F"/>
    <w:rsid w:val="008806E2"/>
    <w:rsid w:val="008872B4"/>
    <w:rsid w:val="008972B5"/>
    <w:rsid w:val="008B3E9B"/>
    <w:rsid w:val="008E5CA1"/>
    <w:rsid w:val="00907555"/>
    <w:rsid w:val="00913340"/>
    <w:rsid w:val="009444B3"/>
    <w:rsid w:val="0095494E"/>
    <w:rsid w:val="00965634"/>
    <w:rsid w:val="009673F9"/>
    <w:rsid w:val="00990496"/>
    <w:rsid w:val="00991C87"/>
    <w:rsid w:val="00992DAD"/>
    <w:rsid w:val="009B01C7"/>
    <w:rsid w:val="009D183A"/>
    <w:rsid w:val="009D454A"/>
    <w:rsid w:val="009E7EE1"/>
    <w:rsid w:val="009F06FB"/>
    <w:rsid w:val="00A12D11"/>
    <w:rsid w:val="00A339E6"/>
    <w:rsid w:val="00A626CA"/>
    <w:rsid w:val="00A64B18"/>
    <w:rsid w:val="00A674F4"/>
    <w:rsid w:val="00A75A7E"/>
    <w:rsid w:val="00AA4D25"/>
    <w:rsid w:val="00AB4DC1"/>
    <w:rsid w:val="00AB7A55"/>
    <w:rsid w:val="00AC286E"/>
    <w:rsid w:val="00AD28C3"/>
    <w:rsid w:val="00AF0937"/>
    <w:rsid w:val="00AF579F"/>
    <w:rsid w:val="00B1215E"/>
    <w:rsid w:val="00B14F49"/>
    <w:rsid w:val="00B17330"/>
    <w:rsid w:val="00B202D9"/>
    <w:rsid w:val="00B27507"/>
    <w:rsid w:val="00B3323A"/>
    <w:rsid w:val="00B33693"/>
    <w:rsid w:val="00B47293"/>
    <w:rsid w:val="00B62FE5"/>
    <w:rsid w:val="00B74638"/>
    <w:rsid w:val="00B96181"/>
    <w:rsid w:val="00BB2C21"/>
    <w:rsid w:val="00BC20F4"/>
    <w:rsid w:val="00BE6856"/>
    <w:rsid w:val="00BE7057"/>
    <w:rsid w:val="00C01614"/>
    <w:rsid w:val="00C41CA2"/>
    <w:rsid w:val="00C45BB9"/>
    <w:rsid w:val="00C46943"/>
    <w:rsid w:val="00C4709D"/>
    <w:rsid w:val="00C47EE5"/>
    <w:rsid w:val="00C57B65"/>
    <w:rsid w:val="00C708B3"/>
    <w:rsid w:val="00C74A67"/>
    <w:rsid w:val="00C7652F"/>
    <w:rsid w:val="00C812B6"/>
    <w:rsid w:val="00C83B68"/>
    <w:rsid w:val="00C84B4B"/>
    <w:rsid w:val="00C92AC7"/>
    <w:rsid w:val="00CF09E9"/>
    <w:rsid w:val="00CF4589"/>
    <w:rsid w:val="00D15879"/>
    <w:rsid w:val="00D25F9C"/>
    <w:rsid w:val="00D81142"/>
    <w:rsid w:val="00D86BE2"/>
    <w:rsid w:val="00D920EC"/>
    <w:rsid w:val="00D96E32"/>
    <w:rsid w:val="00DA560F"/>
    <w:rsid w:val="00DB6C11"/>
    <w:rsid w:val="00DE29DB"/>
    <w:rsid w:val="00DF1735"/>
    <w:rsid w:val="00E068A3"/>
    <w:rsid w:val="00E07F62"/>
    <w:rsid w:val="00E17133"/>
    <w:rsid w:val="00E2051F"/>
    <w:rsid w:val="00E236DE"/>
    <w:rsid w:val="00E35CFC"/>
    <w:rsid w:val="00E42681"/>
    <w:rsid w:val="00E557F1"/>
    <w:rsid w:val="00E64986"/>
    <w:rsid w:val="00E651A7"/>
    <w:rsid w:val="00E65B1E"/>
    <w:rsid w:val="00E7290C"/>
    <w:rsid w:val="00E81418"/>
    <w:rsid w:val="00E93835"/>
    <w:rsid w:val="00E94970"/>
    <w:rsid w:val="00EA559B"/>
    <w:rsid w:val="00EB07B5"/>
    <w:rsid w:val="00ED40BD"/>
    <w:rsid w:val="00EF032A"/>
    <w:rsid w:val="00EF2DC6"/>
    <w:rsid w:val="00EF42FA"/>
    <w:rsid w:val="00F000D7"/>
    <w:rsid w:val="00F317E8"/>
    <w:rsid w:val="00F348A1"/>
    <w:rsid w:val="00F37359"/>
    <w:rsid w:val="00F612BD"/>
    <w:rsid w:val="00F61C56"/>
    <w:rsid w:val="00F706C8"/>
    <w:rsid w:val="00F723DA"/>
    <w:rsid w:val="00FA01CC"/>
    <w:rsid w:val="00FA699B"/>
    <w:rsid w:val="00FB33C6"/>
    <w:rsid w:val="00FB6A0B"/>
    <w:rsid w:val="00FD604E"/>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684"/>
  <w15:chartTrackingRefBased/>
  <w15:docId w15:val="{967A82CE-B814-4DE4-8124-A8B19E06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B4DC1"/>
    <w:pPr>
      <w:spacing w:line="480" w:lineRule="auto"/>
      <w:ind w:left="720" w:hanging="720"/>
    </w:pPr>
  </w:style>
  <w:style w:type="character" w:styleId="PlaceholderText">
    <w:name w:val="Placeholder Text"/>
    <w:basedOn w:val="DefaultParagraphFont"/>
    <w:uiPriority w:val="99"/>
    <w:semiHidden/>
    <w:rsid w:val="003545D8"/>
    <w:rPr>
      <w:color w:val="808080"/>
    </w:rPr>
  </w:style>
  <w:style w:type="character" w:styleId="CommentReference">
    <w:name w:val="annotation reference"/>
    <w:basedOn w:val="DefaultParagraphFont"/>
    <w:uiPriority w:val="99"/>
    <w:semiHidden/>
    <w:unhideWhenUsed/>
    <w:rsid w:val="009B01C7"/>
    <w:rPr>
      <w:sz w:val="18"/>
      <w:szCs w:val="18"/>
    </w:rPr>
  </w:style>
  <w:style w:type="paragraph" w:styleId="CommentText">
    <w:name w:val="annotation text"/>
    <w:basedOn w:val="Normal"/>
    <w:link w:val="CommentTextChar"/>
    <w:uiPriority w:val="99"/>
    <w:unhideWhenUsed/>
    <w:rsid w:val="009B01C7"/>
    <w:pPr>
      <w:jc w:val="left"/>
    </w:pPr>
  </w:style>
  <w:style w:type="character" w:customStyle="1" w:styleId="CommentTextChar">
    <w:name w:val="Comment Text Char"/>
    <w:basedOn w:val="DefaultParagraphFont"/>
    <w:link w:val="CommentText"/>
    <w:uiPriority w:val="99"/>
    <w:rsid w:val="009B01C7"/>
  </w:style>
  <w:style w:type="paragraph" w:styleId="CommentSubject">
    <w:name w:val="annotation subject"/>
    <w:basedOn w:val="CommentText"/>
    <w:next w:val="CommentText"/>
    <w:link w:val="CommentSubjectChar"/>
    <w:uiPriority w:val="99"/>
    <w:semiHidden/>
    <w:unhideWhenUsed/>
    <w:rsid w:val="009B01C7"/>
    <w:rPr>
      <w:b/>
      <w:bCs/>
    </w:rPr>
  </w:style>
  <w:style w:type="character" w:customStyle="1" w:styleId="CommentSubjectChar">
    <w:name w:val="Comment Subject Char"/>
    <w:basedOn w:val="CommentTextChar"/>
    <w:link w:val="CommentSubject"/>
    <w:uiPriority w:val="99"/>
    <w:semiHidden/>
    <w:rsid w:val="009B01C7"/>
    <w:rPr>
      <w:b/>
      <w:bCs/>
    </w:rPr>
  </w:style>
  <w:style w:type="character" w:styleId="Hyperlink">
    <w:name w:val="Hyperlink"/>
    <w:basedOn w:val="DefaultParagraphFont"/>
    <w:uiPriority w:val="99"/>
    <w:unhideWhenUsed/>
    <w:rsid w:val="003D2A09"/>
    <w:rPr>
      <w:color w:val="0563C1" w:themeColor="hyperlink"/>
      <w:u w:val="single"/>
    </w:rPr>
  </w:style>
  <w:style w:type="character" w:styleId="UnresolvedMention">
    <w:name w:val="Unresolved Mention"/>
    <w:basedOn w:val="DefaultParagraphFont"/>
    <w:uiPriority w:val="99"/>
    <w:semiHidden/>
    <w:unhideWhenUsed/>
    <w:rsid w:val="003D2A09"/>
    <w:rPr>
      <w:color w:val="605E5C"/>
      <w:shd w:val="clear" w:color="auto" w:fill="E1DFDD"/>
    </w:rPr>
  </w:style>
  <w:style w:type="paragraph" w:styleId="Revision">
    <w:name w:val="Revision"/>
    <w:hidden/>
    <w:uiPriority w:val="99"/>
    <w:semiHidden/>
    <w:rsid w:val="003F0DCD"/>
  </w:style>
  <w:style w:type="table" w:styleId="TableGrid">
    <w:name w:val="Table Grid"/>
    <w:basedOn w:val="TableNormal"/>
    <w:uiPriority w:val="39"/>
    <w:rsid w:val="00FA0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3EF0"/>
    <w:pPr>
      <w:tabs>
        <w:tab w:val="center" w:pos="4419"/>
        <w:tab w:val="right" w:pos="8838"/>
      </w:tabs>
    </w:pPr>
  </w:style>
  <w:style w:type="character" w:customStyle="1" w:styleId="HeaderChar">
    <w:name w:val="Header Char"/>
    <w:basedOn w:val="DefaultParagraphFont"/>
    <w:link w:val="Header"/>
    <w:uiPriority w:val="99"/>
    <w:rsid w:val="00303EF0"/>
  </w:style>
  <w:style w:type="paragraph" w:styleId="Footer">
    <w:name w:val="footer"/>
    <w:basedOn w:val="Normal"/>
    <w:link w:val="FooterChar"/>
    <w:uiPriority w:val="99"/>
    <w:unhideWhenUsed/>
    <w:rsid w:val="00303EF0"/>
    <w:pPr>
      <w:tabs>
        <w:tab w:val="center" w:pos="4419"/>
        <w:tab w:val="right" w:pos="8838"/>
      </w:tabs>
    </w:pPr>
  </w:style>
  <w:style w:type="character" w:customStyle="1" w:styleId="FooterChar">
    <w:name w:val="Footer Char"/>
    <w:basedOn w:val="DefaultParagraphFont"/>
    <w:link w:val="Footer"/>
    <w:uiPriority w:val="99"/>
    <w:rsid w:val="0030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7784">
      <w:bodyDiv w:val="1"/>
      <w:marLeft w:val="0"/>
      <w:marRight w:val="0"/>
      <w:marTop w:val="0"/>
      <w:marBottom w:val="0"/>
      <w:divBdr>
        <w:top w:val="none" w:sz="0" w:space="0" w:color="auto"/>
        <w:left w:val="none" w:sz="0" w:space="0" w:color="auto"/>
        <w:bottom w:val="none" w:sz="0" w:space="0" w:color="auto"/>
        <w:right w:val="none" w:sz="0" w:space="0" w:color="auto"/>
      </w:divBdr>
    </w:div>
    <w:div w:id="731124524">
      <w:bodyDiv w:val="1"/>
      <w:marLeft w:val="0"/>
      <w:marRight w:val="0"/>
      <w:marTop w:val="0"/>
      <w:marBottom w:val="0"/>
      <w:divBdr>
        <w:top w:val="none" w:sz="0" w:space="0" w:color="auto"/>
        <w:left w:val="none" w:sz="0" w:space="0" w:color="auto"/>
        <w:bottom w:val="none" w:sz="0" w:space="0" w:color="auto"/>
        <w:right w:val="none" w:sz="0" w:space="0" w:color="auto"/>
      </w:divBdr>
    </w:div>
    <w:div w:id="805202105">
      <w:bodyDiv w:val="1"/>
      <w:marLeft w:val="0"/>
      <w:marRight w:val="0"/>
      <w:marTop w:val="0"/>
      <w:marBottom w:val="0"/>
      <w:divBdr>
        <w:top w:val="none" w:sz="0" w:space="0" w:color="auto"/>
        <w:left w:val="none" w:sz="0" w:space="0" w:color="auto"/>
        <w:bottom w:val="none" w:sz="0" w:space="0" w:color="auto"/>
        <w:right w:val="none" w:sz="0" w:space="0" w:color="auto"/>
      </w:divBdr>
    </w:div>
    <w:div w:id="1091968589">
      <w:bodyDiv w:val="1"/>
      <w:marLeft w:val="0"/>
      <w:marRight w:val="0"/>
      <w:marTop w:val="0"/>
      <w:marBottom w:val="0"/>
      <w:divBdr>
        <w:top w:val="none" w:sz="0" w:space="0" w:color="auto"/>
        <w:left w:val="none" w:sz="0" w:space="0" w:color="auto"/>
        <w:bottom w:val="none" w:sz="0" w:space="0" w:color="auto"/>
        <w:right w:val="none" w:sz="0" w:space="0" w:color="auto"/>
      </w:divBdr>
    </w:div>
    <w:div w:id="1126193344">
      <w:bodyDiv w:val="1"/>
      <w:marLeft w:val="0"/>
      <w:marRight w:val="0"/>
      <w:marTop w:val="0"/>
      <w:marBottom w:val="0"/>
      <w:divBdr>
        <w:top w:val="none" w:sz="0" w:space="0" w:color="auto"/>
        <w:left w:val="none" w:sz="0" w:space="0" w:color="auto"/>
        <w:bottom w:val="none" w:sz="0" w:space="0" w:color="auto"/>
        <w:right w:val="none" w:sz="0" w:space="0" w:color="auto"/>
      </w:divBdr>
    </w:div>
    <w:div w:id="17679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1/1.4802902" TargetMode="External"/><Relationship Id="rId13" Type="http://schemas.openxmlformats.org/officeDocument/2006/relationships/hyperlink" Target="https://doi.org/10.1007/s10936-017-9517-8" TargetMode="External"/><Relationship Id="rId3" Type="http://schemas.openxmlformats.org/officeDocument/2006/relationships/webSettings" Target="webSettings.xml"/><Relationship Id="rId7" Type="http://schemas.openxmlformats.org/officeDocument/2006/relationships/hyperlink" Target="https://doi.org/10.1016/j.specom.2005.04.007" TargetMode="External"/><Relationship Id="rId12" Type="http://schemas.openxmlformats.org/officeDocument/2006/relationships/hyperlink" Target="https://doi.org/10.1121/1.32620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17/S0142716403000250" TargetMode="External"/><Relationship Id="rId11" Type="http://schemas.openxmlformats.org/officeDocument/2006/relationships/hyperlink" Target="https://doi.org/10.1121/1.3506351" TargetMode="External"/><Relationship Id="rId5" Type="http://schemas.openxmlformats.org/officeDocument/2006/relationships/endnotes" Target="endnotes.xml"/><Relationship Id="rId15" Type="http://schemas.openxmlformats.org/officeDocument/2006/relationships/hyperlink" Target="https://doi.org/10.7764/onomazein.51.04" TargetMode="External"/><Relationship Id="rId10" Type="http://schemas.openxmlformats.org/officeDocument/2006/relationships/hyperlink" Target="https://doi.org/10.1017/S0142716411000300" TargetMode="External"/><Relationship Id="rId4" Type="http://schemas.openxmlformats.org/officeDocument/2006/relationships/footnotes" Target="footnotes.xml"/><Relationship Id="rId9" Type="http://schemas.openxmlformats.org/officeDocument/2006/relationships/hyperlink" Target="https://research-publishing.net/book?10.14705/rpnet.2018.26.9782490057221" TargetMode="External"/><Relationship Id="rId14" Type="http://schemas.openxmlformats.org/officeDocument/2006/relationships/hyperlink" Target="http://llt.msu.edu/issues/june2016/okunohardi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Takumi Uchihara</cp:lastModifiedBy>
  <cp:revision>3</cp:revision>
  <dcterms:created xsi:type="dcterms:W3CDTF">2024-01-28T10:25:00Z</dcterms:created>
  <dcterms:modified xsi:type="dcterms:W3CDTF">2024-01-28T11:02:00Z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zotero-version="6.0.12"&gt;&lt;session id="66fRzQ6f"/&gt;&lt;style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