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73" w:rsidRPr="003E1D70" w:rsidRDefault="00102873" w:rsidP="001028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materials</w:t>
      </w:r>
    </w:p>
    <w:p w:rsidR="00102873" w:rsidRDefault="00102873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S1</w:t>
      </w:r>
      <w:r w:rsidR="006D401B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example of annotation of VS occurrences in the corpus</w:t>
      </w:r>
    </w:p>
    <w:tbl>
      <w:tblPr>
        <w:tblW w:w="15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531"/>
        <w:gridCol w:w="4192"/>
        <w:gridCol w:w="647"/>
        <w:gridCol w:w="1011"/>
        <w:gridCol w:w="1047"/>
        <w:gridCol w:w="1145"/>
        <w:gridCol w:w="1278"/>
        <w:gridCol w:w="1261"/>
        <w:gridCol w:w="959"/>
        <w:gridCol w:w="647"/>
        <w:gridCol w:w="800"/>
        <w:gridCol w:w="1163"/>
      </w:tblGrid>
      <w:tr w:rsidR="00102873" w:rsidRPr="006D401B" w:rsidTr="0063253E">
        <w:trPr>
          <w:trHeight w:val="3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Speaker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level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sentence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errors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clause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verb_type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configuration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verb_semantics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complexity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agentivity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IS_lex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IS_ref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6D401B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</w:pPr>
            <w:r w:rsidRPr="006D40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contrast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D40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SP009</w:t>
            </w: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è veramente bella la mia casa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copular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V_XP_S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My house is really beautiful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SP011A1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sì mi piacciono i colori chiari per l'estate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Piacere-</w:t>
            </w: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type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CLIT_V_S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DET_N_SPEC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given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generic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Yes I like light colours for the summer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SP017A1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 quello che fate voi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relative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transitive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given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Contrastive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Of what you do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SP029A1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uh mi piace Toky</w:t>
            </w: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Piacere-</w:t>
            </w: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type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CLIT_V_S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given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given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I like Tokyo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SP034B1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eeh mh che me lo ha regalato il mio nonno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relative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transitive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CLIT_V_S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That my granpa gave it to me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SP049B1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parlano tutti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unergative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given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Everybody speaks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SP093B2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 alto è collocato una grande parabola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transitive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XP_V_S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a big satellite dish has been collocated above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SP099B2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cucinaremo tutt'e due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complement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unergative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given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Both of us will cook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SP114C2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quando vengono i temporali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adverbial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unaccusative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generic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When the storms come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SP149C2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lo frequentano anche delle ragazze di diciotto diciannove anni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complement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transitive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CLIT_V_S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DET_N_SPEC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given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generic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eighteen or nineteen years-old girls, too, frequent it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SP152C2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eh quando arriva il compleanno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adverbial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unaccusative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When the birthday comes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SP166C2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gira un po' l'economia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unergative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V_XP_S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generic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The economy goes on a little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  <w:tr w:rsidR="00102873" w:rsidRPr="009862D6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SP169C2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che a marina militare è uscito un bando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complement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unaccusative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XP_V_S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[+dynamic]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DET_N_COMP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[-agentive]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non-contrastive</w:t>
            </w:r>
          </w:p>
        </w:tc>
      </w:tr>
      <w:tr w:rsidR="00102873" w:rsidRPr="006D401B" w:rsidTr="0063253E">
        <w:trPr>
          <w:trHeight w:val="28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</w:pPr>
            <w:r w:rsidRPr="00B147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That a competition notice has been issued in the navy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73" w:rsidRPr="009862D6" w:rsidRDefault="00102873" w:rsidP="0063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9862D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 </w:t>
            </w:r>
          </w:p>
        </w:tc>
      </w:tr>
    </w:tbl>
    <w:p w:rsidR="00102873" w:rsidRDefault="00102873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2873" w:rsidRPr="00E55B9D" w:rsidRDefault="00102873" w:rsidP="00102873">
      <w:pPr>
        <w:rPr>
          <w:rFonts w:ascii="Times New Roman" w:hAnsi="Times New Roman" w:cs="Times New Roman"/>
          <w:sz w:val="24"/>
          <w:szCs w:val="24"/>
          <w:lang w:val="en-GB"/>
        </w:rPr>
        <w:sectPr w:rsidR="00102873" w:rsidRPr="00E55B9D" w:rsidSect="00FD536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102873" w:rsidRDefault="006D401B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S2.</w:t>
      </w:r>
      <w:r w:rsidR="00102873">
        <w:rPr>
          <w:rFonts w:ascii="Times New Roman" w:hAnsi="Times New Roman" w:cs="Times New Roman"/>
          <w:sz w:val="24"/>
          <w:szCs w:val="24"/>
          <w:lang w:val="en-GB"/>
        </w:rPr>
        <w:t xml:space="preserve"> Full set of p</w:t>
      </w:r>
      <w:r w:rsidR="00102873" w:rsidRPr="0067296C">
        <w:rPr>
          <w:rFonts w:ascii="Times New Roman" w:hAnsi="Times New Roman" w:cs="Times New Roman"/>
          <w:sz w:val="24"/>
          <w:szCs w:val="24"/>
          <w:lang w:val="en-GB"/>
        </w:rPr>
        <w:t xml:space="preserve">arameters of the multinomial logistic </w:t>
      </w:r>
      <w:r w:rsidR="00102873">
        <w:rPr>
          <w:rFonts w:ascii="Times New Roman" w:hAnsi="Times New Roman" w:cs="Times New Roman"/>
          <w:sz w:val="24"/>
          <w:szCs w:val="24"/>
          <w:lang w:val="en-GB"/>
        </w:rPr>
        <w:t xml:space="preserve">regression </w:t>
      </w:r>
      <w:r w:rsidR="00102873" w:rsidRPr="0067296C">
        <w:rPr>
          <w:rFonts w:ascii="Times New Roman" w:hAnsi="Times New Roman" w:cs="Times New Roman"/>
          <w:sz w:val="24"/>
          <w:szCs w:val="24"/>
          <w:lang w:val="en-GB"/>
        </w:rPr>
        <w:t>analysis with the learners’ proficiency levels as outcome variable and the features associated with VS structures as predictors</w:t>
      </w:r>
      <w:r w:rsidR="0010287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F68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3F0">
        <w:rPr>
          <w:rFonts w:ascii="Times New Roman" w:hAnsi="Times New Roman" w:cs="Times New Roman"/>
          <w:sz w:val="24"/>
          <w:szCs w:val="24"/>
          <w:lang w:val="en-GB"/>
        </w:rPr>
        <w:t>With the exception of verb dynamicity, the results of this analysis are comparable to the ones of the cumulative link mixed model reported in the paper.</w:t>
      </w:r>
    </w:p>
    <w:tbl>
      <w:tblPr>
        <w:tblStyle w:val="Grigliatabella"/>
        <w:tblW w:w="6562" w:type="dxa"/>
        <w:tblLook w:val="04A0" w:firstRow="1" w:lastRow="0" w:firstColumn="1" w:lastColumn="0" w:noHBand="0" w:noVBand="1"/>
      </w:tblPr>
      <w:tblGrid>
        <w:gridCol w:w="3225"/>
        <w:gridCol w:w="699"/>
        <w:gridCol w:w="1233"/>
        <w:gridCol w:w="803"/>
        <w:gridCol w:w="602"/>
      </w:tblGrid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Predictors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Coefficient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SE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Intercept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E80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it-IT"/>
              </w:rPr>
              <w:t>1.41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.54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.51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.58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.39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-.003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.59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Verb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_class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</w:t>
            </w:r>
            <w:r w:rsidRPr="00D6448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piacere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-type]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-1.10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.05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-1.29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-.94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.59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Verb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_class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[unaccusative]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.17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.57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Verb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_class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[unergative]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-1.03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.13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.63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.29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.65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Verb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_class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[transitive]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.69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.69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1.74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Verb_semantics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[+ dynamic]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.94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.44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.03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.62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S_lexical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[lex_given]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-.42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.32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-.17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.69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-.004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.44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.99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S_lexical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[lex_new]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-.45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.46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.33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-.85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.49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-.44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S_referential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[ref_given]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-.81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.03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-.81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S_referential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[ref_new]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-.30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.35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-.23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-.07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.85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Contrast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ivity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[contrastive]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.23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.82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.31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.40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.31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Agreement_errors [1]</w:t>
            </w:r>
          </w:p>
        </w:tc>
        <w:tc>
          <w:tcPr>
            <w:tcW w:w="699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-.85</w:t>
            </w:r>
          </w:p>
        </w:tc>
        <w:tc>
          <w:tcPr>
            <w:tcW w:w="80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.47</w:t>
            </w:r>
          </w:p>
        </w:tc>
        <w:tc>
          <w:tcPr>
            <w:tcW w:w="602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.07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-1.04</w:t>
            </w:r>
          </w:p>
        </w:tc>
        <w:tc>
          <w:tcPr>
            <w:tcW w:w="80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.51</w:t>
            </w:r>
          </w:p>
        </w:tc>
        <w:tc>
          <w:tcPr>
            <w:tcW w:w="602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-.96</w:t>
            </w:r>
          </w:p>
        </w:tc>
        <w:tc>
          <w:tcPr>
            <w:tcW w:w="80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.49</w:t>
            </w:r>
          </w:p>
        </w:tc>
        <w:tc>
          <w:tcPr>
            <w:tcW w:w="602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4AE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Agentivity [+ agentive]</w:t>
            </w:r>
          </w:p>
        </w:tc>
        <w:tc>
          <w:tcPr>
            <w:tcW w:w="699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-.14</w:t>
            </w:r>
          </w:p>
        </w:tc>
        <w:tc>
          <w:tcPr>
            <w:tcW w:w="80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.50</w:t>
            </w:r>
          </w:p>
        </w:tc>
        <w:tc>
          <w:tcPr>
            <w:tcW w:w="602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-.14</w:t>
            </w:r>
          </w:p>
        </w:tc>
        <w:tc>
          <w:tcPr>
            <w:tcW w:w="80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.49</w:t>
            </w:r>
          </w:p>
        </w:tc>
        <w:tc>
          <w:tcPr>
            <w:tcW w:w="602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-1.02</w:t>
            </w:r>
          </w:p>
        </w:tc>
        <w:tc>
          <w:tcPr>
            <w:tcW w:w="803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.51</w:t>
            </w:r>
          </w:p>
        </w:tc>
        <w:tc>
          <w:tcPr>
            <w:tcW w:w="602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.047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Syntactic_configuration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[CLIT_V_S]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-.25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.62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.51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.56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Syntactic_configuration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[XP_V_S]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.09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.44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-.55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.44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Syntactic_configuration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[V_XP_S]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1.18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1.15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.30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Style w:val="ggboefpdpvb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2.37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.03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Clause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_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type [complement]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2.03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.66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.002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2.10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Clause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_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type [adverbial]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-1.07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.36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.62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.23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F44AE3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.37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.56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Clause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_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type [relative]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-.43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.53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.42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-.65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.43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.40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Subject_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complexity [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DET_N_SPEC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pStyle w:val="PreformattatoHTML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A70">
              <w:rPr>
                <w:rStyle w:val="ggboefpdpvb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-.49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.35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.19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.71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.24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.52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Subject_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complexity [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DET_N_COMP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-.92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.31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.003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-.38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.33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.24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-.28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.32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.38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Subject_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complexity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[DET_N_SPEC_COMP</w:t>
            </w: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.98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.89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.27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C1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1.16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.25</w:t>
            </w:r>
          </w:p>
        </w:tc>
      </w:tr>
      <w:tr w:rsidR="00102873" w:rsidRPr="00E80A70" w:rsidTr="0063253E">
        <w:tc>
          <w:tcPr>
            <w:tcW w:w="3225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99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C2</w:t>
            </w:r>
          </w:p>
        </w:tc>
        <w:tc>
          <w:tcPr>
            <w:tcW w:w="123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1.86</w:t>
            </w:r>
          </w:p>
        </w:tc>
        <w:tc>
          <w:tcPr>
            <w:tcW w:w="803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.90</w:t>
            </w:r>
          </w:p>
        </w:tc>
        <w:tc>
          <w:tcPr>
            <w:tcW w:w="602" w:type="dxa"/>
            <w:shd w:val="clear" w:color="auto" w:fill="auto"/>
          </w:tcPr>
          <w:p w:rsidR="00102873" w:rsidRPr="00E80A70" w:rsidRDefault="00102873" w:rsidP="0063253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80A7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.04</w:t>
            </w:r>
          </w:p>
        </w:tc>
      </w:tr>
    </w:tbl>
    <w:p w:rsidR="003F63F0" w:rsidRDefault="003F63F0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02873" w:rsidRDefault="00102873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S3</w:t>
      </w:r>
      <w:r w:rsidR="006D401B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Distribution of piacere-type verbs across proficiency levels. The percentages are calculated based on the total amount of VSs with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-type verbs in each proficiency level. The analysis aims to distinguish the use of </w:t>
      </w:r>
      <w:r w:rsidRPr="00450FF2">
        <w:rPr>
          <w:rFonts w:ascii="Times New Roman" w:hAnsi="Times New Roman" w:cs="Times New Roman"/>
          <w:i/>
          <w:sz w:val="24"/>
          <w:szCs w:val="24"/>
          <w:lang w:val="en-GB"/>
        </w:rPr>
        <w:t>mi piace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(as mostly occurring in the corpus) from the productive use of </w:t>
      </w:r>
      <w:r w:rsidRPr="00450FF2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-type verbs, with clitic forms, lemmas and inflectional variants of </w:t>
      </w:r>
      <w:r w:rsidRPr="00450FF2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different from the first person dative clitic </w:t>
      </w:r>
      <w:r w:rsidRPr="00450F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(‘to me’), the lemma </w:t>
      </w:r>
      <w:r w:rsidRPr="00450FF2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the present form of the third person singular </w:t>
      </w:r>
      <w:r w:rsidRPr="00450FF2">
        <w:rPr>
          <w:rFonts w:ascii="Times New Roman" w:hAnsi="Times New Roman" w:cs="Times New Roman"/>
          <w:i/>
          <w:sz w:val="24"/>
          <w:szCs w:val="24"/>
          <w:lang w:val="en-GB"/>
        </w:rPr>
        <w:t>piace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respectively. In particular, we distinguished the following five levels: </w:t>
      </w:r>
    </w:p>
    <w:p w:rsidR="00102873" w:rsidRDefault="00102873" w:rsidP="00102873">
      <w:pPr>
        <w:pStyle w:val="Paragrafoelenco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 PIACE: use of the expression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mi piace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 like); </w:t>
      </w:r>
    </w:p>
    <w:p w:rsidR="00102873" w:rsidRDefault="00102873" w:rsidP="00102873">
      <w:pPr>
        <w:pStyle w:val="Paragrafoelenco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 PIACE-type verbs with variation in verb inflection: use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of the first person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dative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clitic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mi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(‘to me’) followed by a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-verb whose inflection is different from the present form of the third person singular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piace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(e.g., </w:t>
      </w:r>
      <w:r w:rsidRPr="000B5D38">
        <w:rPr>
          <w:rFonts w:ascii="Times New Roman" w:hAnsi="Times New Roman" w:cs="Times New Roman"/>
          <w:i/>
          <w:sz w:val="24"/>
          <w:szCs w:val="24"/>
          <w:lang w:val="en-GB"/>
        </w:rPr>
        <w:t>mi piaceva</w:t>
      </w:r>
      <w:r w:rsidRPr="00CF1B77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.</w:t>
      </w:r>
      <w:r w:rsidR="00CF1B77" w:rsidRPr="00CF1B7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PST.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E7271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PF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V</w:t>
      </w:r>
      <w:r w:rsidRPr="00E7271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.3SG.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‘I liked’). </w:t>
      </w:r>
    </w:p>
    <w:p w:rsidR="00102873" w:rsidRDefault="00102873" w:rsidP="00102873">
      <w:pPr>
        <w:pStyle w:val="Paragrafoelenco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 PIACE-type verbs with variation in the lemma: use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of the first person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dative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clitic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mi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(‘to me’) followed by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psychological verb exhibiting the same syntactic behaviour as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(see Section 1.2) – e.g.,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mi basta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PRS</w:t>
      </w:r>
      <w:r w:rsidRPr="00BA2B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.3SG.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(‘it is enough for me’); </w:t>
      </w:r>
    </w:p>
    <w:p w:rsidR="00102873" w:rsidRDefault="00102873" w:rsidP="00102873">
      <w:pPr>
        <w:pStyle w:val="Paragrafoelenco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 PIACE-type verbs with variation in clitic form and verb inflection: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use of a clitic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different from the first person dative clitic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mi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followed by an inflectional variant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of the verb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(e.g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. gli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E7271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IT</w:t>
      </w:r>
      <w:r w:rsidRPr="00E7271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.DAT.3SG.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piace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va</w:t>
      </w:r>
      <w:r w:rsidRPr="00CF1B7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</w:t>
      </w:r>
      <w:r w:rsidR="00CF1B77" w:rsidRPr="00CF1B7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PST.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BA2B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PF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V</w:t>
      </w:r>
      <w:r w:rsidRPr="00BA2B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.3SG.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‘he like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’); </w:t>
      </w:r>
    </w:p>
    <w:p w:rsidR="00102873" w:rsidRPr="000E1C24" w:rsidRDefault="00102873" w:rsidP="00102873">
      <w:pPr>
        <w:pStyle w:val="Paragrafoelenco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 PIACE-type verbs with variation in clitic form, the lemma and verb inflection: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use of a clitic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different from the first person dative clitic </w:t>
      </w:r>
      <w:r w:rsidRPr="00911C47">
        <w:rPr>
          <w:rFonts w:ascii="Times New Roman" w:hAnsi="Times New Roman" w:cs="Times New Roman"/>
          <w:i/>
          <w:sz w:val="24"/>
          <w:szCs w:val="24"/>
          <w:lang w:val="en-GB"/>
        </w:rPr>
        <w:t>mi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followed by a psychological verb exhibiting the same syntactic behaviour as </w:t>
      </w:r>
      <w:r w:rsidRPr="00911C47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an inflection different from the present form of the third person singular 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(e.g.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gli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BA2B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IT</w:t>
      </w:r>
      <w:r w:rsidRPr="00BA2B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.DAT.3SG.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53B43">
        <w:rPr>
          <w:rFonts w:ascii="Times New Roman" w:hAnsi="Times New Roman" w:cs="Times New Roman"/>
          <w:i/>
          <w:sz w:val="24"/>
          <w:szCs w:val="24"/>
          <w:lang w:val="en-GB"/>
        </w:rPr>
        <w:t>serviva</w:t>
      </w:r>
      <w:r w:rsidRPr="0036206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.PST.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I</w:t>
      </w:r>
      <w:r w:rsidRPr="00BA2B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PF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V</w:t>
      </w:r>
      <w:r w:rsidRPr="00BA2B53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.3SG.</w:t>
      </w:r>
      <w:r w:rsidRPr="00253B43">
        <w:rPr>
          <w:rFonts w:ascii="Times New Roman" w:hAnsi="Times New Roman" w:cs="Times New Roman"/>
          <w:sz w:val="24"/>
          <w:szCs w:val="24"/>
          <w:lang w:val="en-GB"/>
        </w:rPr>
        <w:t xml:space="preserve"> ‘he needed it’)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02873" w:rsidRPr="00450FF2" w:rsidRDefault="00102873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Overall, the levels 2 to 5 suggest a productive use of </w:t>
      </w:r>
      <w:r w:rsidRPr="00450FF2">
        <w:rPr>
          <w:rFonts w:ascii="Times New Roman" w:hAnsi="Times New Roman" w:cs="Times New Roman"/>
          <w:i/>
          <w:sz w:val="24"/>
          <w:szCs w:val="24"/>
          <w:lang w:val="en-GB"/>
        </w:rPr>
        <w:t>piacere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-type verbs. </w:t>
      </w:r>
    </w:p>
    <w:p w:rsidR="00102873" w:rsidRDefault="00102873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gliatabella"/>
        <w:tblW w:w="9741" w:type="dxa"/>
        <w:tblLook w:val="04A0" w:firstRow="1" w:lastRow="0" w:firstColumn="1" w:lastColumn="0" w:noHBand="0" w:noVBand="1"/>
      </w:tblPr>
      <w:tblGrid>
        <w:gridCol w:w="3045"/>
        <w:gridCol w:w="1116"/>
        <w:gridCol w:w="1116"/>
        <w:gridCol w:w="1116"/>
        <w:gridCol w:w="1116"/>
        <w:gridCol w:w="1116"/>
        <w:gridCol w:w="1116"/>
      </w:tblGrid>
      <w:tr w:rsidR="00102873" w:rsidRPr="00A32AEC" w:rsidTr="0063253E">
        <w:tc>
          <w:tcPr>
            <w:tcW w:w="3045" w:type="dxa"/>
          </w:tcPr>
          <w:p w:rsidR="00102873" w:rsidRPr="0060456A" w:rsidRDefault="00102873" w:rsidP="00632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6" w:type="dxa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A1</w:t>
            </w:r>
          </w:p>
        </w:tc>
        <w:tc>
          <w:tcPr>
            <w:tcW w:w="1116" w:type="dxa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A2</w:t>
            </w:r>
          </w:p>
        </w:tc>
        <w:tc>
          <w:tcPr>
            <w:tcW w:w="1116" w:type="dxa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B1</w:t>
            </w:r>
          </w:p>
        </w:tc>
        <w:tc>
          <w:tcPr>
            <w:tcW w:w="1116" w:type="dxa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B2</w:t>
            </w:r>
          </w:p>
        </w:tc>
        <w:tc>
          <w:tcPr>
            <w:tcW w:w="1116" w:type="dxa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</w:t>
            </w:r>
          </w:p>
        </w:tc>
        <w:tc>
          <w:tcPr>
            <w:tcW w:w="1116" w:type="dxa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</w:tr>
      <w:tr w:rsidR="00102873" w:rsidRPr="0060456A" w:rsidTr="0063253E">
        <w:tc>
          <w:tcPr>
            <w:tcW w:w="3045" w:type="dxa"/>
          </w:tcPr>
          <w:p w:rsidR="00102873" w:rsidRPr="00253B43" w:rsidRDefault="00102873" w:rsidP="00632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6C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 PIACE</w:t>
            </w:r>
            <w:r w:rsidRPr="008A6C24" w:rsidDel="008E781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7</w:t>
            </w:r>
          </w:p>
          <w:p w:rsidR="00102873" w:rsidRPr="008A6C24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58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33%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16</w:t>
            </w:r>
          </w:p>
          <w:p w:rsidR="00102873" w:rsidRPr="008A6C24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69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57%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41</w:t>
            </w:r>
          </w:p>
          <w:p w:rsidR="00102873" w:rsidRPr="008A6C24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95%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21</w:t>
            </w:r>
          </w:p>
          <w:p w:rsidR="00102873" w:rsidRPr="008A6C24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85%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5</w:t>
            </w:r>
          </w:p>
          <w:p w:rsidR="00102873" w:rsidRPr="008A6C24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(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  <w:r w:rsidRPr="008A6C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41%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2873" w:rsidRPr="0060456A" w:rsidTr="0063253E">
        <w:tc>
          <w:tcPr>
            <w:tcW w:w="3045" w:type="dxa"/>
          </w:tcPr>
          <w:p w:rsidR="00102873" w:rsidRPr="00253B43" w:rsidRDefault="00102873" w:rsidP="0063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 PIACE-type verbs with variation in verb inflection</w:t>
            </w:r>
            <w:r w:rsidRPr="00253B43" w:rsidDel="008E7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2873" w:rsidRPr="0060456A" w:rsidTr="0063253E">
        <w:tc>
          <w:tcPr>
            <w:tcW w:w="3045" w:type="dxa"/>
          </w:tcPr>
          <w:p w:rsidR="00102873" w:rsidRPr="00E72713" w:rsidRDefault="00102873" w:rsidP="0063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 PIACE-type verbs with variation in the lemma</w:t>
            </w:r>
            <w:r w:rsidRPr="00E72713" w:rsidDel="008E78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2873" w:rsidTr="0063253E">
        <w:tc>
          <w:tcPr>
            <w:tcW w:w="3045" w:type="dxa"/>
          </w:tcPr>
          <w:p w:rsidR="00102873" w:rsidRPr="00E72713" w:rsidRDefault="00102873" w:rsidP="00632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 PIACE-type verbs with variation in clitic form</w:t>
            </w:r>
            <w:r w:rsidRPr="00E72713" w:rsidDel="008E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verb inflection</w:t>
            </w:r>
          </w:p>
        </w:tc>
        <w:tc>
          <w:tcPr>
            <w:tcW w:w="1116" w:type="dxa"/>
            <w:vAlign w:val="bottom"/>
          </w:tcPr>
          <w:p w:rsidR="00102873" w:rsidRPr="000F2555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02873" w:rsidTr="0063253E">
        <w:tc>
          <w:tcPr>
            <w:tcW w:w="3045" w:type="dxa"/>
          </w:tcPr>
          <w:p w:rsidR="00102873" w:rsidRPr="0060456A" w:rsidRDefault="00102873" w:rsidP="006325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 PIACE-type verbs with variation in clitic form, the lemma</w:t>
            </w:r>
            <w:r w:rsidRPr="0060456A" w:rsidDel="008E7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verb inflection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102873" w:rsidRDefault="00102873" w:rsidP="006325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102873" w:rsidRPr="0060456A" w:rsidRDefault="00102873" w:rsidP="0063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045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02873" w:rsidRDefault="00102873" w:rsidP="0010287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81FC6" w:rsidRPr="00102873" w:rsidRDefault="00D81FC6" w:rsidP="00102873"/>
    <w:sectPr w:rsidR="00D81FC6" w:rsidRPr="00102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F3" w:rsidRDefault="008E67F3" w:rsidP="00422384">
      <w:pPr>
        <w:spacing w:after="0" w:line="240" w:lineRule="auto"/>
      </w:pPr>
      <w:r>
        <w:separator/>
      </w:r>
    </w:p>
  </w:endnote>
  <w:endnote w:type="continuationSeparator" w:id="0">
    <w:p w:rsidR="008E67F3" w:rsidRDefault="008E67F3" w:rsidP="0042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F3" w:rsidRDefault="008E67F3" w:rsidP="00422384">
      <w:pPr>
        <w:spacing w:after="0" w:line="240" w:lineRule="auto"/>
      </w:pPr>
      <w:r>
        <w:separator/>
      </w:r>
    </w:p>
  </w:footnote>
  <w:footnote w:type="continuationSeparator" w:id="0">
    <w:p w:rsidR="008E67F3" w:rsidRDefault="008E67F3" w:rsidP="0042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51A"/>
    <w:multiLevelType w:val="hybridMultilevel"/>
    <w:tmpl w:val="D4DEE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1AD"/>
    <w:multiLevelType w:val="hybridMultilevel"/>
    <w:tmpl w:val="11B6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5246"/>
    <w:multiLevelType w:val="hybridMultilevel"/>
    <w:tmpl w:val="29365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5BE1"/>
    <w:multiLevelType w:val="hybridMultilevel"/>
    <w:tmpl w:val="8B361AA4"/>
    <w:lvl w:ilvl="0" w:tplc="82905FC8">
      <w:numFmt w:val="bullet"/>
      <w:lvlText w:val="•"/>
      <w:lvlJc w:val="left"/>
      <w:pPr>
        <w:ind w:left="1068" w:hanging="708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3F28"/>
    <w:multiLevelType w:val="hybridMultilevel"/>
    <w:tmpl w:val="C298BA0A"/>
    <w:lvl w:ilvl="0" w:tplc="13DE993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A5920"/>
    <w:multiLevelType w:val="hybridMultilevel"/>
    <w:tmpl w:val="EE50F1FC"/>
    <w:lvl w:ilvl="0" w:tplc="82905FC8">
      <w:numFmt w:val="bullet"/>
      <w:lvlText w:val="•"/>
      <w:lvlJc w:val="left"/>
      <w:pPr>
        <w:ind w:left="1068" w:hanging="708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16D0D"/>
    <w:multiLevelType w:val="hybridMultilevel"/>
    <w:tmpl w:val="D876E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4"/>
    <w:rsid w:val="00102873"/>
    <w:rsid w:val="001D707B"/>
    <w:rsid w:val="00231768"/>
    <w:rsid w:val="00246CD4"/>
    <w:rsid w:val="00353B1D"/>
    <w:rsid w:val="003C6652"/>
    <w:rsid w:val="003F63F0"/>
    <w:rsid w:val="004028D1"/>
    <w:rsid w:val="00422384"/>
    <w:rsid w:val="004749D0"/>
    <w:rsid w:val="004B3563"/>
    <w:rsid w:val="005135A8"/>
    <w:rsid w:val="00517745"/>
    <w:rsid w:val="00537C00"/>
    <w:rsid w:val="0057460E"/>
    <w:rsid w:val="00580290"/>
    <w:rsid w:val="00595B6A"/>
    <w:rsid w:val="005F403B"/>
    <w:rsid w:val="006D401B"/>
    <w:rsid w:val="00736F19"/>
    <w:rsid w:val="00794F5E"/>
    <w:rsid w:val="008E67F3"/>
    <w:rsid w:val="00924BC3"/>
    <w:rsid w:val="009B3689"/>
    <w:rsid w:val="009E35A4"/>
    <w:rsid w:val="00A55FDB"/>
    <w:rsid w:val="00A96A21"/>
    <w:rsid w:val="00AF6BA0"/>
    <w:rsid w:val="00BF6863"/>
    <w:rsid w:val="00CA618E"/>
    <w:rsid w:val="00CF1B77"/>
    <w:rsid w:val="00D81FC6"/>
    <w:rsid w:val="00E00410"/>
    <w:rsid w:val="00E06FDC"/>
    <w:rsid w:val="00E7337C"/>
    <w:rsid w:val="00E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3744"/>
  <w15:chartTrackingRefBased/>
  <w15:docId w15:val="{0CC02D1E-B7DD-46D7-95A6-2484E40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87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2384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384"/>
  </w:style>
  <w:style w:type="paragraph" w:styleId="Pidipagina">
    <w:name w:val="footer"/>
    <w:basedOn w:val="Normale"/>
    <w:link w:val="PidipaginaCarattere"/>
    <w:uiPriority w:val="99"/>
    <w:unhideWhenUsed/>
    <w:rsid w:val="0042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384"/>
  </w:style>
  <w:style w:type="paragraph" w:styleId="Paragrafoelenco">
    <w:name w:val="List Paragraph"/>
    <w:basedOn w:val="Normale"/>
    <w:uiPriority w:val="34"/>
    <w:qFormat/>
    <w:rsid w:val="0057460E"/>
    <w:pPr>
      <w:ind w:left="720"/>
      <w:contextualSpacing/>
    </w:pPr>
    <w:rPr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4B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4B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4BC3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B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BC3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BC3"/>
    <w:rPr>
      <w:rFonts w:ascii="Segoe U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924BC3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4BC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4BC3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4BC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4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4BC3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ggboefpdpvb">
    <w:name w:val="ggboefpdpvb"/>
    <w:basedOn w:val="Carpredefinitoparagrafo"/>
    <w:rsid w:val="00924BC3"/>
  </w:style>
  <w:style w:type="character" w:customStyle="1" w:styleId="fontstyle01">
    <w:name w:val="fontstyle01"/>
    <w:basedOn w:val="Carpredefinitoparagrafo"/>
    <w:rsid w:val="00924B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924BC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4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torregrossa@lingua.uni-frankfurt.de</dc:creator>
  <cp:keywords/>
  <dc:description/>
  <cp:lastModifiedBy>Andrea Listanti</cp:lastModifiedBy>
  <cp:revision>15</cp:revision>
  <dcterms:created xsi:type="dcterms:W3CDTF">2021-05-24T12:41:00Z</dcterms:created>
  <dcterms:modified xsi:type="dcterms:W3CDTF">2024-01-12T16:41:00Z</dcterms:modified>
</cp:coreProperties>
</file>