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7D33B" w14:textId="77777777" w:rsidR="00B27DF6" w:rsidRPr="00B27DF6" w:rsidRDefault="00B27DF6" w:rsidP="00B27DF6">
      <w:pPr>
        <w:tabs>
          <w:tab w:val="left" w:pos="1170"/>
        </w:tabs>
        <w:spacing w:line="276" w:lineRule="auto"/>
        <w:rPr>
          <w:rFonts w:ascii="Times New Roman" w:hAnsi="Times New Roman" w:cs="Times New Roman"/>
          <w:b/>
          <w:bCs/>
          <w:sz w:val="24"/>
          <w:szCs w:val="24"/>
        </w:rPr>
      </w:pPr>
      <w:r w:rsidRPr="00B27DF6">
        <w:rPr>
          <w:rFonts w:ascii="Times New Roman" w:hAnsi="Times New Roman" w:cs="Times New Roman"/>
          <w:b/>
          <w:bCs/>
          <w:sz w:val="24"/>
          <w:szCs w:val="24"/>
        </w:rPr>
        <w:t xml:space="preserve">(Re)writing commentaries: Alexander on </w:t>
      </w:r>
      <w:r w:rsidRPr="00B27DF6">
        <w:rPr>
          <w:rFonts w:ascii="Times New Roman" w:hAnsi="Times New Roman" w:cs="Times New Roman"/>
          <w:b/>
          <w:bCs/>
          <w:i/>
          <w:iCs/>
          <w:sz w:val="24"/>
          <w:szCs w:val="24"/>
        </w:rPr>
        <w:t>Metaphysics</w:t>
      </w:r>
      <w:r w:rsidRPr="00B27DF6">
        <w:rPr>
          <w:rFonts w:ascii="Times New Roman" w:hAnsi="Times New Roman" w:cs="Times New Roman"/>
          <w:b/>
          <w:bCs/>
          <w:sz w:val="24"/>
          <w:szCs w:val="24"/>
        </w:rPr>
        <w:t xml:space="preserve"> V 2 and Simplicius on </w:t>
      </w:r>
      <w:r w:rsidRPr="00B27DF6">
        <w:rPr>
          <w:rFonts w:ascii="Times New Roman" w:hAnsi="Times New Roman" w:cs="Times New Roman"/>
          <w:b/>
          <w:bCs/>
          <w:i/>
          <w:iCs/>
          <w:sz w:val="24"/>
          <w:szCs w:val="24"/>
        </w:rPr>
        <w:t>Physics</w:t>
      </w:r>
      <w:r w:rsidRPr="00B27DF6">
        <w:rPr>
          <w:rFonts w:ascii="Times New Roman" w:hAnsi="Times New Roman" w:cs="Times New Roman"/>
          <w:b/>
          <w:bCs/>
          <w:sz w:val="24"/>
          <w:szCs w:val="24"/>
        </w:rPr>
        <w:t xml:space="preserve"> II 3</w:t>
      </w:r>
    </w:p>
    <w:p w14:paraId="010F0D25" w14:textId="5F6C8783" w:rsidR="00914D20" w:rsidRPr="00B27DF6" w:rsidRDefault="00914D20" w:rsidP="00914D20">
      <w:pPr>
        <w:rPr>
          <w:rFonts w:ascii="Times New Roman" w:hAnsi="Times New Roman" w:cs="Times New Roman"/>
          <w:b/>
          <w:bCs/>
          <w:sz w:val="24"/>
          <w:szCs w:val="24"/>
        </w:rPr>
      </w:pPr>
      <w:r w:rsidRPr="00B27DF6">
        <w:rPr>
          <w:rFonts w:ascii="Times New Roman" w:hAnsi="Times New Roman" w:cs="Times New Roman"/>
          <w:b/>
          <w:bCs/>
          <w:sz w:val="24"/>
          <w:szCs w:val="24"/>
        </w:rPr>
        <w:t>Appendix</w:t>
      </w:r>
    </w:p>
    <w:p w14:paraId="3977E4D0" w14:textId="18B23CE6" w:rsidR="00914D20" w:rsidRPr="00B27DF6" w:rsidRDefault="00B27DF6" w:rsidP="00B27DF6">
      <w:pPr>
        <w:rPr>
          <w:rFonts w:ascii="Times New Roman" w:hAnsi="Times New Roman" w:cs="Times New Roman"/>
          <w:b/>
          <w:bCs/>
          <w:sz w:val="24"/>
          <w:szCs w:val="24"/>
          <w:lang w:val="en-US"/>
        </w:rPr>
      </w:pPr>
      <w:r w:rsidRPr="00B27DF6">
        <w:rPr>
          <w:rFonts w:ascii="Times New Roman" w:hAnsi="Times New Roman" w:cs="Times New Roman"/>
          <w:b/>
          <w:bCs/>
          <w:sz w:val="24"/>
          <w:szCs w:val="24"/>
          <w:lang w:val="en-US"/>
        </w:rPr>
        <w:t xml:space="preserve">A. </w:t>
      </w:r>
      <w:proofErr w:type="spellStart"/>
      <w:r w:rsidR="00914D20" w:rsidRPr="00B27DF6">
        <w:rPr>
          <w:rFonts w:ascii="Times New Roman" w:hAnsi="Times New Roman" w:cs="Times New Roman"/>
          <w:b/>
          <w:bCs/>
          <w:sz w:val="24"/>
          <w:szCs w:val="24"/>
          <w:lang w:val="en-US"/>
        </w:rPr>
        <w:t>Simpl</w:t>
      </w:r>
      <w:proofErr w:type="spellEnd"/>
      <w:r w:rsidR="00914D20" w:rsidRPr="004472AB">
        <w:rPr>
          <w:rFonts w:ascii="Times New Roman" w:hAnsi="Times New Roman" w:cs="Times New Roman"/>
          <w:b/>
          <w:bCs/>
          <w:sz w:val="24"/>
          <w:szCs w:val="24"/>
          <w:lang w:val="en-US"/>
        </w:rPr>
        <w:t>.</w:t>
      </w:r>
      <w:r w:rsidR="00914D20" w:rsidRPr="00B27DF6">
        <w:rPr>
          <w:rFonts w:ascii="Times New Roman" w:hAnsi="Times New Roman" w:cs="Times New Roman"/>
          <w:b/>
          <w:bCs/>
          <w:sz w:val="24"/>
          <w:szCs w:val="24"/>
          <w:lang w:val="en-US"/>
        </w:rPr>
        <w:t xml:space="preserve"> </w:t>
      </w:r>
      <w:r w:rsidR="00264EC8" w:rsidRPr="00B27DF6">
        <w:rPr>
          <w:rFonts w:ascii="Times New Roman" w:hAnsi="Times New Roman" w:cs="Times New Roman"/>
          <w:b/>
          <w:bCs/>
          <w:i/>
          <w:iCs/>
          <w:sz w:val="24"/>
          <w:szCs w:val="24"/>
          <w:lang w:val="en-US"/>
        </w:rPr>
        <w:t xml:space="preserve">in </w:t>
      </w:r>
      <w:r w:rsidR="00914D20" w:rsidRPr="00B27DF6">
        <w:rPr>
          <w:rFonts w:ascii="Times New Roman" w:hAnsi="Times New Roman" w:cs="Times New Roman"/>
          <w:b/>
          <w:bCs/>
          <w:i/>
          <w:iCs/>
          <w:sz w:val="24"/>
          <w:szCs w:val="24"/>
          <w:lang w:val="en-US"/>
        </w:rPr>
        <w:t>Phys</w:t>
      </w:r>
      <w:r w:rsidR="00914D20" w:rsidRPr="00B27DF6">
        <w:rPr>
          <w:rFonts w:ascii="Times New Roman" w:hAnsi="Times New Roman" w:cs="Times New Roman"/>
          <w:b/>
          <w:bCs/>
          <w:sz w:val="24"/>
          <w:szCs w:val="24"/>
          <w:lang w:val="en-US"/>
        </w:rPr>
        <w:t>. 316.8</w:t>
      </w:r>
      <w:r w:rsidR="00264EC8" w:rsidRPr="004472AB">
        <w:rPr>
          <w:rFonts w:ascii="Times New Roman" w:hAnsi="Times New Roman" w:cs="Times New Roman"/>
          <w:b/>
          <w:bCs/>
          <w:sz w:val="24"/>
          <w:szCs w:val="24"/>
        </w:rPr>
        <w:t>–</w:t>
      </w:r>
      <w:r w:rsidR="00914D20" w:rsidRPr="00B27DF6">
        <w:rPr>
          <w:rFonts w:ascii="Times New Roman" w:hAnsi="Times New Roman" w:cs="Times New Roman"/>
          <w:b/>
          <w:bCs/>
          <w:sz w:val="24"/>
          <w:szCs w:val="24"/>
          <w:lang w:val="en-US"/>
        </w:rPr>
        <w:t xml:space="preserve">11 (commenting on </w:t>
      </w:r>
      <w:r w:rsidR="00914D20" w:rsidRPr="00B27DF6">
        <w:rPr>
          <w:rFonts w:ascii="Times New Roman" w:hAnsi="Times New Roman" w:cs="Times New Roman"/>
          <w:b/>
          <w:bCs/>
          <w:sz w:val="24"/>
          <w:szCs w:val="24"/>
        </w:rPr>
        <w:t>195a</w:t>
      </w:r>
      <w:r w:rsidR="00914D20" w:rsidRPr="00B27DF6">
        <w:rPr>
          <w:rFonts w:ascii="Times New Roman" w:hAnsi="Times New Roman" w:cs="Times New Roman"/>
          <w:b/>
          <w:bCs/>
          <w:sz w:val="24"/>
          <w:szCs w:val="24"/>
          <w:lang w:val="en-US"/>
        </w:rPr>
        <w:t>2</w:t>
      </w:r>
      <w:r w:rsidR="00264EC8" w:rsidRPr="00264EC8">
        <w:rPr>
          <w:rFonts w:ascii="Times New Roman" w:hAnsi="Times New Roman" w:cs="Times New Roman"/>
          <w:sz w:val="24"/>
          <w:szCs w:val="24"/>
        </w:rPr>
        <w:t>–</w:t>
      </w:r>
      <w:r w:rsidR="00914D20" w:rsidRPr="00B27DF6">
        <w:rPr>
          <w:rFonts w:ascii="Times New Roman" w:hAnsi="Times New Roman" w:cs="Times New Roman"/>
          <w:b/>
          <w:bCs/>
          <w:sz w:val="24"/>
          <w:szCs w:val="24"/>
          <w:lang w:val="en-US"/>
        </w:rPr>
        <w:t>3)</w:t>
      </w:r>
      <w:r w:rsidR="00264EC8">
        <w:rPr>
          <w:rFonts w:ascii="Times New Roman" w:hAnsi="Times New Roman" w:cs="Times New Roman"/>
          <w:b/>
          <w:bCs/>
          <w:sz w:val="24"/>
          <w:szCs w:val="24"/>
          <w:lang w:val="en-US"/>
        </w:rPr>
        <w:t>:</w:t>
      </w:r>
      <w:r w:rsidR="00914D20" w:rsidRPr="00B27DF6">
        <w:rPr>
          <w:rFonts w:ascii="Times New Roman" w:hAnsi="Times New Roman" w:cs="Times New Roman"/>
          <w:b/>
          <w:bCs/>
          <w:sz w:val="24"/>
          <w:szCs w:val="24"/>
          <w:lang w:val="en-US"/>
        </w:rPr>
        <w:t xml:space="preserve"> </w:t>
      </w:r>
    </w:p>
    <w:p w14:paraId="4791C506" w14:textId="77777777"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l-GR"/>
        </w:rPr>
        <w:t>αὐτὰ</w:t>
      </w:r>
      <w:r w:rsidRPr="00B27DF6">
        <w:rPr>
          <w:rFonts w:ascii="Times New Roman" w:hAnsi="Times New Roman" w:cs="Times New Roman"/>
          <w:sz w:val="24"/>
          <w:szCs w:val="24"/>
          <w:lang w:val="en-US"/>
        </w:rPr>
        <w:t xml:space="preserve"> [</w:t>
      </w:r>
      <w:r w:rsidRPr="004472AB">
        <w:rPr>
          <w:rFonts w:ascii="Times New Roman" w:hAnsi="Times New Roman" w:cs="Times New Roman"/>
          <w:i/>
          <w:iCs/>
          <w:sz w:val="24"/>
          <w:szCs w:val="24"/>
          <w:lang w:val="en-US"/>
        </w:rPr>
        <w:t>sc</w:t>
      </w:r>
      <w:r w:rsidRPr="00B27DF6">
        <w:rPr>
          <w:rFonts w:ascii="Times New Roman" w:hAnsi="Times New Roman" w:cs="Times New Roman"/>
          <w:sz w:val="24"/>
          <w:szCs w:val="24"/>
          <w:lang w:val="en-US"/>
        </w:rPr>
        <w:t xml:space="preserve">. </w:t>
      </w:r>
      <w:r w:rsidRPr="008914AC">
        <w:rPr>
          <w:rFonts w:ascii="Times New Roman" w:hAnsi="Times New Roman" w:cs="Times New Roman"/>
          <w:sz w:val="24"/>
          <w:szCs w:val="24"/>
          <w:lang w:val="el-GR"/>
        </w:rPr>
        <w:t>τὰ</w:t>
      </w:r>
      <w:r w:rsidRPr="008914AC">
        <w:rPr>
          <w:rFonts w:ascii="Times New Roman" w:hAnsi="Times New Roman" w:cs="Times New Roman"/>
          <w:sz w:val="24"/>
          <w:szCs w:val="24"/>
          <w:lang w:val="en-US"/>
        </w:rPr>
        <w:t xml:space="preserve"> </w:t>
      </w:r>
      <w:r w:rsidRPr="008914AC">
        <w:rPr>
          <w:rFonts w:ascii="Times New Roman" w:hAnsi="Times New Roman" w:cs="Times New Roman"/>
          <w:sz w:val="24"/>
          <w:szCs w:val="24"/>
          <w:lang w:val="el-GR"/>
        </w:rPr>
        <w:t>ὄργανα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δὲ</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τῆς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ὑγιείας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ὡς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μὲν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ὁ</w:t>
      </w:r>
      <w:r w:rsidRPr="00B27DF6">
        <w:rPr>
          <w:rFonts w:ascii="Times New Roman" w:hAnsi="Times New Roman" w:cs="Times New Roman"/>
          <w:sz w:val="24"/>
          <w:szCs w:val="24"/>
          <w:lang w:val="en-US"/>
        </w:rPr>
        <w:t xml:space="preserve"> </w:t>
      </w:r>
      <w:r w:rsidRPr="00B27DF6">
        <w:rPr>
          <w:rFonts w:ascii="Times New Roman" w:hAnsi="Times New Roman" w:cs="Times New Roman"/>
          <w:b/>
          <w:bCs/>
          <w:sz w:val="24"/>
          <w:szCs w:val="24"/>
          <w:lang w:val="el-GR"/>
        </w:rPr>
        <w:t>Ἀλέξανδρός</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φησι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αἴτια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μήποτε</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δὲ</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ὀργανικὰ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λέγειν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ἄμεινον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ταῦτα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γὰρ</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b/>
          <w:bCs/>
          <w:sz w:val="24"/>
          <w:szCs w:val="24"/>
          <w:lang w:val="el-GR"/>
        </w:rPr>
        <w:t>αὐτὸς</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ὁμολογεῖ</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μὴ</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πρῶτα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τῆς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κινήσεως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αἴτια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ὀργανικὰ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εἶναι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ἀλλ</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οὐχὶ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κυρίως</w:t>
      </w:r>
      <w:r w:rsidRPr="00B27DF6">
        <w:rPr>
          <w:rFonts w:ascii="Times New Roman" w:hAnsi="Times New Roman" w:cs="Times New Roman"/>
          <w:sz w:val="24"/>
          <w:szCs w:val="24"/>
          <w:lang w:val="en-US"/>
        </w:rPr>
        <w:t>.</w:t>
      </w:r>
    </w:p>
    <w:p w14:paraId="3E4044BB" w14:textId="61A591B7"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n-US"/>
        </w:rPr>
        <w:t xml:space="preserve">They are, as </w:t>
      </w:r>
      <w:r w:rsidRPr="008914AC">
        <w:rPr>
          <w:rFonts w:ascii="Times New Roman" w:hAnsi="Times New Roman" w:cs="Times New Roman"/>
          <w:b/>
          <w:bCs/>
          <w:sz w:val="24"/>
          <w:szCs w:val="24"/>
          <w:lang w:val="en-US"/>
        </w:rPr>
        <w:t>Alexander says</w:t>
      </w:r>
      <w:r w:rsidRPr="00B27DF6">
        <w:rPr>
          <w:rFonts w:ascii="Times New Roman" w:hAnsi="Times New Roman" w:cs="Times New Roman"/>
          <w:sz w:val="24"/>
          <w:szCs w:val="24"/>
          <w:lang w:val="en-US"/>
        </w:rPr>
        <w:t xml:space="preserve">, the </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productive causes</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 xml:space="preserve"> of health. However, perhaps it is more correct to call them </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instrumental</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 xml:space="preserve">. For </w:t>
      </w:r>
      <w:r w:rsidRPr="008914AC">
        <w:rPr>
          <w:rFonts w:ascii="Times New Roman" w:hAnsi="Times New Roman" w:cs="Times New Roman"/>
          <w:b/>
          <w:bCs/>
          <w:sz w:val="24"/>
          <w:szCs w:val="24"/>
          <w:lang w:val="en-US"/>
        </w:rPr>
        <w:t>he</w:t>
      </w:r>
      <w:r w:rsidRPr="004D11B0">
        <w:rPr>
          <w:rFonts w:ascii="Times New Roman" w:hAnsi="Times New Roman" w:cs="Times New Roman"/>
          <w:sz w:val="24"/>
          <w:szCs w:val="24"/>
          <w:lang w:val="en-US"/>
        </w:rPr>
        <w:t xml:space="preserve"> </w:t>
      </w:r>
      <w:r w:rsidRPr="00B27DF6">
        <w:rPr>
          <w:rFonts w:ascii="Times New Roman" w:hAnsi="Times New Roman" w:cs="Times New Roman"/>
          <w:sz w:val="24"/>
          <w:szCs w:val="24"/>
          <w:lang w:val="en-US"/>
        </w:rPr>
        <w:t xml:space="preserve">(Alexander) </w:t>
      </w:r>
      <w:r w:rsidRPr="008914AC">
        <w:rPr>
          <w:rFonts w:ascii="Times New Roman" w:hAnsi="Times New Roman" w:cs="Times New Roman"/>
          <w:b/>
          <w:bCs/>
          <w:sz w:val="24"/>
          <w:szCs w:val="24"/>
          <w:lang w:val="en-US"/>
        </w:rPr>
        <w:t>himself agrees</w:t>
      </w:r>
      <w:r w:rsidRPr="00B27DF6">
        <w:rPr>
          <w:rFonts w:ascii="Times New Roman" w:hAnsi="Times New Roman" w:cs="Times New Roman"/>
          <w:sz w:val="24"/>
          <w:szCs w:val="24"/>
          <w:lang w:val="en-US"/>
        </w:rPr>
        <w:t xml:space="preserve"> that those that are not the primary causes of the motion are </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instrumental</w:t>
      </w:r>
      <w:r w:rsidR="00264EC8">
        <w:rPr>
          <w:rFonts w:ascii="Times New Roman" w:hAnsi="Times New Roman" w:cs="Times New Roman"/>
          <w:sz w:val="24"/>
          <w:szCs w:val="24"/>
          <w:lang w:val="en-US"/>
        </w:rPr>
        <w:t>’</w:t>
      </w:r>
      <w:r w:rsidRPr="00B27DF6">
        <w:rPr>
          <w:rFonts w:ascii="Times New Roman" w:hAnsi="Times New Roman" w:cs="Times New Roman"/>
          <w:sz w:val="24"/>
          <w:szCs w:val="24"/>
          <w:lang w:val="en-US"/>
        </w:rPr>
        <w:t>, but not productive in the strict sense.</w:t>
      </w:r>
    </w:p>
    <w:p w14:paraId="18C404BC" w14:textId="7FD3439F" w:rsidR="00914D20" w:rsidRPr="00B27DF6" w:rsidRDefault="00914D20" w:rsidP="00914D20">
      <w:pPr>
        <w:rPr>
          <w:rFonts w:ascii="Times New Roman" w:hAnsi="Times New Roman" w:cs="Times New Roman"/>
          <w:sz w:val="24"/>
          <w:szCs w:val="24"/>
        </w:rPr>
      </w:pPr>
      <w:r w:rsidRPr="00B27DF6">
        <w:rPr>
          <w:rFonts w:ascii="Times New Roman" w:hAnsi="Times New Roman" w:cs="Times New Roman"/>
          <w:sz w:val="24"/>
          <w:szCs w:val="24"/>
        </w:rPr>
        <w:t>Alexander does not explicitly call the instruments of health ‘productive causes’ in his comments (350.9</w:t>
      </w:r>
      <w:r w:rsidR="00264EC8">
        <w:rPr>
          <w:rFonts w:ascii="Times New Roman" w:hAnsi="Times New Roman" w:cs="Times New Roman"/>
          <w:sz w:val="24"/>
          <w:szCs w:val="24"/>
        </w:rPr>
        <w:t>–</w:t>
      </w:r>
      <w:r w:rsidRPr="00B27DF6">
        <w:rPr>
          <w:rFonts w:ascii="Times New Roman" w:hAnsi="Times New Roman" w:cs="Times New Roman"/>
          <w:sz w:val="24"/>
          <w:szCs w:val="24"/>
        </w:rPr>
        <w:t>10),</w:t>
      </w:r>
      <w:r w:rsidRPr="00B27DF6">
        <w:rPr>
          <w:rFonts w:ascii="Times New Roman" w:hAnsi="Times New Roman" w:cs="Times New Roman"/>
          <w:sz w:val="24"/>
          <w:szCs w:val="24"/>
          <w:vertAlign w:val="superscript"/>
        </w:rPr>
        <w:footnoteReference w:id="1"/>
      </w:r>
      <w:r w:rsidRPr="00B27DF6">
        <w:rPr>
          <w:rFonts w:ascii="Times New Roman" w:hAnsi="Times New Roman" w:cs="Times New Roman"/>
          <w:sz w:val="24"/>
          <w:szCs w:val="24"/>
        </w:rPr>
        <w:t xml:space="preserve"> even though Simplicius ha</w:t>
      </w:r>
      <w:r w:rsidR="00284188">
        <w:rPr>
          <w:rFonts w:ascii="Times New Roman" w:hAnsi="Times New Roman" w:cs="Times New Roman"/>
          <w:sz w:val="24"/>
          <w:szCs w:val="24"/>
        </w:rPr>
        <w:t>s</w:t>
      </w:r>
      <w:r w:rsidRPr="00B27DF6">
        <w:rPr>
          <w:rFonts w:ascii="Times New Roman" w:hAnsi="Times New Roman" w:cs="Times New Roman"/>
          <w:sz w:val="24"/>
          <w:szCs w:val="24"/>
        </w:rPr>
        <w:t xml:space="preserve"> rephrased Alexander to that effect a few lines above (316.2</w:t>
      </w:r>
      <w:r w:rsidR="00264EC8">
        <w:rPr>
          <w:rFonts w:ascii="Times New Roman" w:hAnsi="Times New Roman" w:cs="Times New Roman"/>
          <w:sz w:val="24"/>
          <w:szCs w:val="24"/>
        </w:rPr>
        <w:t>–</w:t>
      </w:r>
      <w:r w:rsidRPr="00B27DF6">
        <w:rPr>
          <w:rFonts w:ascii="Times New Roman" w:hAnsi="Times New Roman" w:cs="Times New Roman"/>
          <w:sz w:val="24"/>
          <w:szCs w:val="24"/>
        </w:rPr>
        <w:t>3)</w:t>
      </w:r>
      <w:r w:rsidR="00264EC8">
        <w:rPr>
          <w:rFonts w:ascii="Times New Roman" w:hAnsi="Times New Roman" w:cs="Times New Roman"/>
          <w:sz w:val="24"/>
          <w:szCs w:val="24"/>
        </w:rPr>
        <w:t>.</w:t>
      </w:r>
      <w:r w:rsidRPr="00B27DF6">
        <w:rPr>
          <w:rFonts w:ascii="Times New Roman" w:hAnsi="Times New Roman" w:cs="Times New Roman"/>
          <w:sz w:val="24"/>
          <w:szCs w:val="24"/>
          <w:vertAlign w:val="superscript"/>
        </w:rPr>
        <w:footnoteReference w:id="2"/>
      </w:r>
      <w:r w:rsidRPr="00B27DF6">
        <w:rPr>
          <w:rFonts w:ascii="Times New Roman" w:hAnsi="Times New Roman" w:cs="Times New Roman"/>
          <w:sz w:val="24"/>
          <w:szCs w:val="24"/>
        </w:rPr>
        <w:t xml:space="preserve"> Simplicius likely felt justified </w:t>
      </w:r>
      <w:r w:rsidR="00284188">
        <w:rPr>
          <w:rFonts w:ascii="Times New Roman" w:hAnsi="Times New Roman" w:cs="Times New Roman"/>
          <w:sz w:val="24"/>
          <w:szCs w:val="24"/>
        </w:rPr>
        <w:t>in</w:t>
      </w:r>
      <w:r w:rsidR="00284188" w:rsidRPr="00B27DF6">
        <w:rPr>
          <w:rFonts w:ascii="Times New Roman" w:hAnsi="Times New Roman" w:cs="Times New Roman"/>
          <w:sz w:val="24"/>
          <w:szCs w:val="24"/>
        </w:rPr>
        <w:t xml:space="preserve"> </w:t>
      </w:r>
      <w:r w:rsidRPr="00B27DF6">
        <w:rPr>
          <w:rFonts w:ascii="Times New Roman" w:hAnsi="Times New Roman" w:cs="Times New Roman"/>
          <w:sz w:val="24"/>
          <w:szCs w:val="24"/>
        </w:rPr>
        <w:t>do</w:t>
      </w:r>
      <w:r w:rsidR="00284188">
        <w:rPr>
          <w:rFonts w:ascii="Times New Roman" w:hAnsi="Times New Roman" w:cs="Times New Roman"/>
          <w:sz w:val="24"/>
          <w:szCs w:val="24"/>
        </w:rPr>
        <w:t>ing</w:t>
      </w:r>
      <w:r w:rsidRPr="00B27DF6">
        <w:rPr>
          <w:rFonts w:ascii="Times New Roman" w:hAnsi="Times New Roman" w:cs="Times New Roman"/>
          <w:sz w:val="24"/>
          <w:szCs w:val="24"/>
        </w:rPr>
        <w:t xml:space="preserve"> so because Alexander </w:t>
      </w:r>
      <w:r w:rsidR="00284188">
        <w:rPr>
          <w:rFonts w:ascii="Times New Roman" w:hAnsi="Times New Roman" w:cs="Times New Roman"/>
          <w:sz w:val="24"/>
          <w:szCs w:val="24"/>
        </w:rPr>
        <w:t xml:space="preserve">had </w:t>
      </w:r>
      <w:r w:rsidRPr="00B27DF6">
        <w:rPr>
          <w:rFonts w:ascii="Times New Roman" w:hAnsi="Times New Roman" w:cs="Times New Roman"/>
          <w:sz w:val="24"/>
          <w:szCs w:val="24"/>
        </w:rPr>
        <w:t xml:space="preserve">mentioned instruments as an example of the productive cause in </w:t>
      </w:r>
      <w:r w:rsidR="00284188">
        <w:rPr>
          <w:rFonts w:ascii="Times New Roman" w:hAnsi="Times New Roman" w:cs="Times New Roman"/>
          <w:sz w:val="24"/>
          <w:szCs w:val="24"/>
        </w:rPr>
        <w:t>an earlier</w:t>
      </w:r>
      <w:r w:rsidR="00284188" w:rsidRPr="00B27DF6">
        <w:rPr>
          <w:rFonts w:ascii="Times New Roman" w:hAnsi="Times New Roman" w:cs="Times New Roman"/>
          <w:sz w:val="24"/>
          <w:szCs w:val="24"/>
        </w:rPr>
        <w:t xml:space="preserve"> </w:t>
      </w:r>
      <w:r w:rsidRPr="00B27DF6">
        <w:rPr>
          <w:rFonts w:ascii="Times New Roman" w:hAnsi="Times New Roman" w:cs="Times New Roman"/>
          <w:sz w:val="24"/>
          <w:szCs w:val="24"/>
        </w:rPr>
        <w:t>passage (349.35). When he now claims that Alexander ‘agrees’ (</w:t>
      </w:r>
      <w:r w:rsidR="00284188" w:rsidRPr="00B27DF6">
        <w:rPr>
          <w:rFonts w:ascii="Times New Roman" w:hAnsi="Times New Roman" w:cs="Times New Roman"/>
          <w:sz w:val="24"/>
          <w:szCs w:val="24"/>
        </w:rPr>
        <w:t>Simplicius</w:t>
      </w:r>
      <w:r w:rsidRPr="00B27DF6">
        <w:rPr>
          <w:rFonts w:ascii="Times New Roman" w:hAnsi="Times New Roman" w:cs="Times New Roman"/>
          <w:sz w:val="24"/>
          <w:szCs w:val="24"/>
        </w:rPr>
        <w:t xml:space="preserve"> again uses the </w:t>
      </w:r>
      <w:r w:rsidR="00284188">
        <w:rPr>
          <w:rFonts w:ascii="Times New Roman" w:hAnsi="Times New Roman" w:cs="Times New Roman"/>
          <w:sz w:val="24"/>
          <w:szCs w:val="24"/>
        </w:rPr>
        <w:t>term</w:t>
      </w:r>
      <w:r w:rsidR="00284188" w:rsidRPr="00B27DF6">
        <w:rPr>
          <w:rFonts w:ascii="Times New Roman" w:hAnsi="Times New Roman" w:cs="Times New Roman"/>
          <w:b/>
          <w:bCs/>
          <w:sz w:val="24"/>
          <w:szCs w:val="24"/>
        </w:rPr>
        <w:t xml:space="preserve"> </w:t>
      </w:r>
      <w:proofErr w:type="spellStart"/>
      <w:r w:rsidRPr="00B27DF6">
        <w:rPr>
          <w:rFonts w:ascii="Times New Roman" w:hAnsi="Times New Roman" w:cs="Times New Roman"/>
          <w:sz w:val="24"/>
          <w:szCs w:val="24"/>
        </w:rPr>
        <w:t>ὁμολογεῖ</w:t>
      </w:r>
      <w:proofErr w:type="spellEnd"/>
      <w:r w:rsidRPr="00B27DF6">
        <w:rPr>
          <w:rFonts w:ascii="Times New Roman" w:hAnsi="Times New Roman" w:cs="Times New Roman"/>
          <w:sz w:val="24"/>
          <w:szCs w:val="24"/>
        </w:rPr>
        <w:t xml:space="preserve">) that non-primary efficient causes are instrumental, </w:t>
      </w:r>
      <w:r w:rsidR="00284188">
        <w:rPr>
          <w:rFonts w:ascii="Times New Roman" w:hAnsi="Times New Roman" w:cs="Times New Roman"/>
          <w:sz w:val="24"/>
          <w:szCs w:val="24"/>
        </w:rPr>
        <w:t xml:space="preserve">he </w:t>
      </w:r>
      <w:r w:rsidRPr="00B27DF6">
        <w:rPr>
          <w:rFonts w:ascii="Times New Roman" w:hAnsi="Times New Roman" w:cs="Times New Roman"/>
          <w:sz w:val="24"/>
          <w:szCs w:val="24"/>
        </w:rPr>
        <w:t xml:space="preserve">most likely refers back to his own interpretation, as Alexander does not say anything </w:t>
      </w:r>
      <w:r w:rsidR="00284188">
        <w:rPr>
          <w:rFonts w:ascii="Times New Roman" w:hAnsi="Times New Roman" w:cs="Times New Roman"/>
          <w:sz w:val="24"/>
          <w:szCs w:val="24"/>
        </w:rPr>
        <w:t>on</w:t>
      </w:r>
      <w:r w:rsidR="00284188" w:rsidRPr="00B27DF6">
        <w:rPr>
          <w:rFonts w:ascii="Times New Roman" w:hAnsi="Times New Roman" w:cs="Times New Roman"/>
          <w:sz w:val="24"/>
          <w:szCs w:val="24"/>
        </w:rPr>
        <w:t xml:space="preserve"> </w:t>
      </w:r>
      <w:r w:rsidRPr="00B27DF6">
        <w:rPr>
          <w:rFonts w:ascii="Times New Roman" w:hAnsi="Times New Roman" w:cs="Times New Roman"/>
          <w:sz w:val="24"/>
          <w:szCs w:val="24"/>
        </w:rPr>
        <w:t>th</w:t>
      </w:r>
      <w:r w:rsidR="00284188">
        <w:rPr>
          <w:rFonts w:ascii="Times New Roman" w:hAnsi="Times New Roman" w:cs="Times New Roman"/>
          <w:sz w:val="24"/>
          <w:szCs w:val="24"/>
        </w:rPr>
        <w:t>is</w:t>
      </w:r>
      <w:r w:rsidRPr="00B27DF6">
        <w:rPr>
          <w:rFonts w:ascii="Times New Roman" w:hAnsi="Times New Roman" w:cs="Times New Roman"/>
          <w:sz w:val="24"/>
          <w:szCs w:val="24"/>
        </w:rPr>
        <w:t xml:space="preserve"> in his comments </w:t>
      </w:r>
      <w:r w:rsidRPr="00B27DF6">
        <w:rPr>
          <w:rFonts w:ascii="Times New Roman" w:hAnsi="Times New Roman" w:cs="Times New Roman"/>
          <w:i/>
          <w:iCs/>
          <w:sz w:val="24"/>
          <w:szCs w:val="24"/>
        </w:rPr>
        <w:t>ad loc</w:t>
      </w:r>
      <w:r w:rsidRPr="00B27DF6">
        <w:rPr>
          <w:rFonts w:ascii="Times New Roman" w:hAnsi="Times New Roman" w:cs="Times New Roman"/>
          <w:sz w:val="24"/>
          <w:szCs w:val="24"/>
        </w:rPr>
        <w:t xml:space="preserve">. </w:t>
      </w:r>
    </w:p>
    <w:p w14:paraId="32F65772" w14:textId="77777777" w:rsidR="00914D20" w:rsidRPr="00B27DF6" w:rsidRDefault="00914D20" w:rsidP="00914D20">
      <w:pPr>
        <w:rPr>
          <w:rFonts w:ascii="Times New Roman" w:hAnsi="Times New Roman" w:cs="Times New Roman"/>
          <w:sz w:val="24"/>
          <w:szCs w:val="24"/>
          <w:lang w:val="en-US"/>
        </w:rPr>
      </w:pPr>
    </w:p>
    <w:p w14:paraId="2F857E44" w14:textId="4A069215" w:rsidR="00914D20" w:rsidRPr="00B27DF6" w:rsidRDefault="00B27DF6" w:rsidP="00B27DF6">
      <w:pPr>
        <w:rPr>
          <w:rFonts w:ascii="Times New Roman" w:hAnsi="Times New Roman" w:cs="Times New Roman"/>
          <w:b/>
          <w:bCs/>
          <w:sz w:val="24"/>
          <w:szCs w:val="24"/>
          <w:lang w:val="en-US"/>
        </w:rPr>
      </w:pPr>
      <w:r w:rsidRPr="00B27DF6">
        <w:rPr>
          <w:rFonts w:ascii="Times New Roman" w:hAnsi="Times New Roman" w:cs="Times New Roman"/>
          <w:b/>
          <w:bCs/>
          <w:sz w:val="24"/>
          <w:szCs w:val="24"/>
          <w:lang w:val="en-US"/>
        </w:rPr>
        <w:t xml:space="preserve">B. </w:t>
      </w:r>
      <w:proofErr w:type="spellStart"/>
      <w:r w:rsidR="00914D20" w:rsidRPr="00B27DF6">
        <w:rPr>
          <w:rFonts w:ascii="Times New Roman" w:hAnsi="Times New Roman" w:cs="Times New Roman"/>
          <w:b/>
          <w:bCs/>
          <w:sz w:val="24"/>
          <w:szCs w:val="24"/>
          <w:lang w:val="en-US"/>
        </w:rPr>
        <w:t>Simpl</w:t>
      </w:r>
      <w:proofErr w:type="spellEnd"/>
      <w:r w:rsidR="00914D20" w:rsidRPr="00B27DF6">
        <w:rPr>
          <w:rFonts w:ascii="Times New Roman" w:hAnsi="Times New Roman" w:cs="Times New Roman"/>
          <w:b/>
          <w:bCs/>
          <w:sz w:val="24"/>
          <w:szCs w:val="24"/>
          <w:lang w:val="en-US"/>
        </w:rPr>
        <w:t xml:space="preserve">. </w:t>
      </w:r>
      <w:r w:rsidR="00264EC8" w:rsidRPr="00B27DF6">
        <w:rPr>
          <w:rFonts w:ascii="Times New Roman" w:hAnsi="Times New Roman" w:cs="Times New Roman"/>
          <w:b/>
          <w:bCs/>
          <w:i/>
          <w:iCs/>
          <w:sz w:val="24"/>
          <w:szCs w:val="24"/>
          <w:lang w:val="en-US"/>
        </w:rPr>
        <w:t xml:space="preserve">in </w:t>
      </w:r>
      <w:r w:rsidR="00914D20" w:rsidRPr="00B27DF6">
        <w:rPr>
          <w:rFonts w:ascii="Times New Roman" w:hAnsi="Times New Roman" w:cs="Times New Roman"/>
          <w:b/>
          <w:bCs/>
          <w:i/>
          <w:iCs/>
          <w:sz w:val="24"/>
          <w:szCs w:val="24"/>
          <w:lang w:val="en-US"/>
        </w:rPr>
        <w:t>Phys</w:t>
      </w:r>
      <w:r w:rsidR="00914D20" w:rsidRPr="00B27DF6">
        <w:rPr>
          <w:rFonts w:ascii="Times New Roman" w:hAnsi="Times New Roman" w:cs="Times New Roman"/>
          <w:b/>
          <w:bCs/>
          <w:sz w:val="24"/>
          <w:szCs w:val="24"/>
          <w:lang w:val="en-US"/>
        </w:rPr>
        <w:t>. 316.15</w:t>
      </w:r>
      <w:r w:rsidR="00264EC8">
        <w:rPr>
          <w:rFonts w:ascii="Times New Roman" w:hAnsi="Times New Roman" w:cs="Times New Roman"/>
          <w:b/>
          <w:bCs/>
          <w:sz w:val="24"/>
          <w:szCs w:val="24"/>
          <w:lang w:val="en-US"/>
        </w:rPr>
        <w:t>–</w:t>
      </w:r>
      <w:r w:rsidR="00914D20" w:rsidRPr="00B27DF6">
        <w:rPr>
          <w:rFonts w:ascii="Times New Roman" w:hAnsi="Times New Roman" w:cs="Times New Roman"/>
          <w:b/>
          <w:bCs/>
          <w:sz w:val="24"/>
          <w:szCs w:val="24"/>
          <w:lang w:val="en-US"/>
        </w:rPr>
        <w:t>17 (commenting on 195a2-3):</w:t>
      </w:r>
    </w:p>
    <w:p w14:paraId="2F49C5FB" w14:textId="59D1E815" w:rsidR="00914D20" w:rsidRPr="00B27DF6" w:rsidRDefault="00914D20" w:rsidP="00B27DF6">
      <w:pPr>
        <w:ind w:left="720"/>
        <w:rPr>
          <w:rFonts w:ascii="Times New Roman" w:hAnsi="Times New Roman" w:cs="Times New Roman"/>
          <w:sz w:val="24"/>
          <w:szCs w:val="24"/>
        </w:rPr>
      </w:pPr>
      <w:r w:rsidRPr="00B27DF6">
        <w:rPr>
          <w:rFonts w:ascii="Times New Roman" w:hAnsi="Times New Roman" w:cs="Times New Roman"/>
          <w:b/>
          <w:bCs/>
          <w:sz w:val="24"/>
          <w:szCs w:val="24"/>
          <w:lang w:val="el-GR"/>
        </w:rPr>
        <w:t>ὁ</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δὲ</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Ἀλέξανδρος</w:t>
      </w:r>
      <w:r w:rsidRPr="00B27DF6">
        <w:rPr>
          <w:rFonts w:ascii="Times New Roman" w:hAnsi="Times New Roman" w:cs="Times New Roman"/>
          <w:b/>
          <w:bCs/>
          <w:sz w:val="24"/>
          <w:szCs w:val="24"/>
          <w:lang w:val="en-US"/>
        </w:rPr>
        <w:t xml:space="preserve"> </w:t>
      </w:r>
      <w:r w:rsidRPr="008914AC">
        <w:rPr>
          <w:rFonts w:ascii="Times New Roman" w:hAnsi="Times New Roman" w:cs="Times New Roman"/>
          <w:sz w:val="24"/>
          <w:szCs w:val="24"/>
          <w:lang w:val="el-GR"/>
        </w:rPr>
        <w:t>οἶμαι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ποιητικὰ</w:t>
      </w:r>
      <w:r w:rsidRPr="00B27DF6">
        <w:rPr>
          <w:rFonts w:ascii="Times New Roman" w:hAnsi="Times New Roman" w:cs="Times New Roman"/>
          <w:sz w:val="24"/>
          <w:szCs w:val="24"/>
          <w:lang w:val="en-US"/>
        </w:rPr>
        <w:t xml:space="preserve"> </w:t>
      </w:r>
      <w:r w:rsidRPr="00B27DF6">
        <w:rPr>
          <w:rFonts w:ascii="Times New Roman" w:hAnsi="Times New Roman" w:cs="Times New Roman"/>
          <w:b/>
          <w:bCs/>
          <w:sz w:val="24"/>
          <w:szCs w:val="24"/>
          <w:lang w:val="el-GR"/>
        </w:rPr>
        <w:t>εἶπεν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εἰς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τὰ</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μετ</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ὀλίγον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ὑπὸ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Ἀριστοτέλους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λεγόμενα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ἀπιδών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οἷς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πονεῖν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ποιητικὸν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τῆς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εὐεξίας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φησί</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rPr>
        <w:t>[195a9</w:t>
      </w:r>
      <w:r w:rsidRPr="00B27DF6">
        <w:rPr>
          <w:rFonts w:ascii="Times New Roman" w:hAnsi="Times New Roman" w:cs="Times New Roman"/>
          <w:sz w:val="24"/>
          <w:szCs w:val="24"/>
          <w:lang w:val="en-US"/>
        </w:rPr>
        <w:t>-</w:t>
      </w:r>
      <w:r w:rsidRPr="00B27DF6">
        <w:rPr>
          <w:rFonts w:ascii="Times New Roman" w:hAnsi="Times New Roman" w:cs="Times New Roman"/>
          <w:sz w:val="24"/>
          <w:szCs w:val="24"/>
        </w:rPr>
        <w:t>10]</w:t>
      </w:r>
    </w:p>
    <w:p w14:paraId="3C3CE867" w14:textId="51C9E4E5" w:rsidR="00914D20" w:rsidRPr="00B27DF6" w:rsidRDefault="00914D20" w:rsidP="00B27DF6">
      <w:pPr>
        <w:ind w:left="720"/>
        <w:rPr>
          <w:rFonts w:ascii="Times New Roman" w:hAnsi="Times New Roman" w:cs="Times New Roman"/>
          <w:sz w:val="24"/>
          <w:szCs w:val="24"/>
          <w:lang w:val="en-US"/>
        </w:rPr>
      </w:pPr>
      <w:r w:rsidRPr="004472AB">
        <w:rPr>
          <w:rFonts w:ascii="Times New Roman" w:hAnsi="Times New Roman" w:cs="Times New Roman"/>
          <w:sz w:val="24"/>
          <w:szCs w:val="24"/>
          <w:lang w:val="en-US"/>
        </w:rPr>
        <w:t xml:space="preserve">‘I think that </w:t>
      </w:r>
      <w:r w:rsidRPr="008914AC">
        <w:rPr>
          <w:rFonts w:ascii="Times New Roman" w:hAnsi="Times New Roman" w:cs="Times New Roman"/>
          <w:b/>
          <w:bCs/>
          <w:sz w:val="24"/>
          <w:szCs w:val="24"/>
          <w:lang w:val="en-US"/>
        </w:rPr>
        <w:t>Alexander called</w:t>
      </w:r>
      <w:r w:rsidRPr="00B27DF6">
        <w:rPr>
          <w:rFonts w:ascii="Times New Roman" w:hAnsi="Times New Roman" w:cs="Times New Roman"/>
          <w:sz w:val="24"/>
          <w:szCs w:val="24"/>
          <w:lang w:val="en-US"/>
        </w:rPr>
        <w:t xml:space="preserve"> them “productive” with an eye to what Aristotle says a little later, where he says that working is the productive cause of well-being.’</w:t>
      </w:r>
    </w:p>
    <w:p w14:paraId="0313B9BB" w14:textId="4753B90E" w:rsidR="00914D20" w:rsidRPr="00B27DF6" w:rsidRDefault="00914D20" w:rsidP="00914D20">
      <w:pPr>
        <w:rPr>
          <w:rFonts w:ascii="Times New Roman" w:hAnsi="Times New Roman" w:cs="Times New Roman"/>
          <w:sz w:val="24"/>
          <w:szCs w:val="24"/>
        </w:rPr>
      </w:pPr>
      <w:r w:rsidRPr="00B27DF6">
        <w:rPr>
          <w:rFonts w:ascii="Times New Roman" w:hAnsi="Times New Roman" w:cs="Times New Roman"/>
          <w:sz w:val="24"/>
          <w:szCs w:val="24"/>
        </w:rPr>
        <w:t xml:space="preserve">A few lines later, and like an afterthought to passage A, Simplicius suggests that Alexander talked about </w:t>
      </w:r>
      <w:proofErr w:type="spellStart"/>
      <w:r w:rsidRPr="00B27DF6">
        <w:rPr>
          <w:rFonts w:ascii="Times New Roman" w:hAnsi="Times New Roman" w:cs="Times New Roman"/>
          <w:sz w:val="24"/>
          <w:szCs w:val="24"/>
        </w:rPr>
        <w:t>ὄργ</w:t>
      </w:r>
      <w:proofErr w:type="spellEnd"/>
      <w:r w:rsidRPr="00B27DF6">
        <w:rPr>
          <w:rFonts w:ascii="Times New Roman" w:hAnsi="Times New Roman" w:cs="Times New Roman"/>
          <w:sz w:val="24"/>
          <w:szCs w:val="24"/>
        </w:rPr>
        <w:t xml:space="preserve">ανα with a view to </w:t>
      </w:r>
      <w:r w:rsidRPr="00B27DF6">
        <w:rPr>
          <w:rFonts w:ascii="Times New Roman" w:hAnsi="Times New Roman" w:cs="Times New Roman"/>
          <w:i/>
          <w:iCs/>
          <w:sz w:val="24"/>
          <w:szCs w:val="24"/>
        </w:rPr>
        <w:t>Physics</w:t>
      </w:r>
      <w:r w:rsidRPr="00B27DF6">
        <w:rPr>
          <w:rFonts w:ascii="Times New Roman" w:hAnsi="Times New Roman" w:cs="Times New Roman"/>
          <w:sz w:val="24"/>
          <w:szCs w:val="24"/>
        </w:rPr>
        <w:t xml:space="preserve"> 195a9-10, where Aristotle speaks of exercising as the efficient cause of wellbeing (while wellbeing is the final cause of exercising). This explanation is somewhat far-fetched. That Simplicius adds this thought may indicate that he is looking for further justification for his own over-interpretation of Alexander. In any case, Simplicius is invested in having Alexander as authoritative voice for the concept of the instrumental cause.</w:t>
      </w:r>
    </w:p>
    <w:p w14:paraId="26C8DE27" w14:textId="77777777" w:rsidR="00914D20" w:rsidRPr="00B27DF6" w:rsidRDefault="00914D20" w:rsidP="00914D20">
      <w:pPr>
        <w:rPr>
          <w:rFonts w:ascii="Times New Roman" w:hAnsi="Times New Roman" w:cs="Times New Roman"/>
          <w:sz w:val="24"/>
          <w:szCs w:val="24"/>
          <w:lang w:val="en-US"/>
        </w:rPr>
      </w:pPr>
    </w:p>
    <w:p w14:paraId="02FF3FE3" w14:textId="7A7C25A4" w:rsidR="00914D20" w:rsidRPr="00B27DF6" w:rsidRDefault="00B27DF6" w:rsidP="00B27DF6">
      <w:pPr>
        <w:rPr>
          <w:rFonts w:ascii="Times New Roman" w:hAnsi="Times New Roman" w:cs="Times New Roman"/>
          <w:b/>
          <w:bCs/>
          <w:sz w:val="24"/>
          <w:szCs w:val="24"/>
          <w:lang w:val="en-US"/>
        </w:rPr>
      </w:pPr>
      <w:r w:rsidRPr="00B27DF6">
        <w:rPr>
          <w:rFonts w:ascii="Times New Roman" w:hAnsi="Times New Roman" w:cs="Times New Roman"/>
          <w:b/>
          <w:bCs/>
          <w:sz w:val="24"/>
          <w:szCs w:val="24"/>
          <w:lang w:val="en-US"/>
        </w:rPr>
        <w:t xml:space="preserve">C. </w:t>
      </w:r>
      <w:proofErr w:type="spellStart"/>
      <w:r w:rsidR="00914D20" w:rsidRPr="00B27DF6">
        <w:rPr>
          <w:rFonts w:ascii="Times New Roman" w:hAnsi="Times New Roman" w:cs="Times New Roman"/>
          <w:b/>
          <w:bCs/>
          <w:sz w:val="24"/>
          <w:szCs w:val="24"/>
          <w:lang w:val="en-US"/>
        </w:rPr>
        <w:t>Simpl</w:t>
      </w:r>
      <w:proofErr w:type="spellEnd"/>
      <w:r w:rsidR="00914D20" w:rsidRPr="00B27DF6">
        <w:rPr>
          <w:rFonts w:ascii="Times New Roman" w:hAnsi="Times New Roman" w:cs="Times New Roman"/>
          <w:b/>
          <w:bCs/>
          <w:sz w:val="24"/>
          <w:szCs w:val="24"/>
          <w:lang w:val="en-US"/>
        </w:rPr>
        <w:t xml:space="preserve">. </w:t>
      </w:r>
      <w:r w:rsidR="00264EC8" w:rsidRPr="00B27DF6">
        <w:rPr>
          <w:rFonts w:ascii="Times New Roman" w:hAnsi="Times New Roman" w:cs="Times New Roman"/>
          <w:b/>
          <w:bCs/>
          <w:i/>
          <w:iCs/>
          <w:sz w:val="24"/>
          <w:szCs w:val="24"/>
          <w:lang w:val="en-US"/>
        </w:rPr>
        <w:t xml:space="preserve">in </w:t>
      </w:r>
      <w:r w:rsidR="00914D20" w:rsidRPr="00B27DF6">
        <w:rPr>
          <w:rFonts w:ascii="Times New Roman" w:hAnsi="Times New Roman" w:cs="Times New Roman"/>
          <w:b/>
          <w:bCs/>
          <w:i/>
          <w:iCs/>
          <w:sz w:val="24"/>
          <w:szCs w:val="24"/>
          <w:lang w:val="en-US"/>
        </w:rPr>
        <w:t>Phys</w:t>
      </w:r>
      <w:r w:rsidR="00914D20" w:rsidRPr="00B27DF6">
        <w:rPr>
          <w:rFonts w:ascii="Times New Roman" w:hAnsi="Times New Roman" w:cs="Times New Roman"/>
          <w:b/>
          <w:bCs/>
          <w:sz w:val="24"/>
          <w:szCs w:val="24"/>
          <w:lang w:val="en-US"/>
        </w:rPr>
        <w:t>. 317.23- 28 (commenting on 195a3)</w:t>
      </w:r>
      <w:r w:rsidR="00914D20" w:rsidRPr="00B27DF6">
        <w:rPr>
          <w:rFonts w:ascii="Times New Roman" w:hAnsi="Times New Roman" w:cs="Times New Roman"/>
          <w:b/>
          <w:bCs/>
          <w:sz w:val="24"/>
          <w:szCs w:val="24"/>
          <w:vertAlign w:val="superscript"/>
          <w:lang w:val="en-US"/>
        </w:rPr>
        <w:footnoteReference w:id="3"/>
      </w:r>
      <w:r w:rsidR="00914D20" w:rsidRPr="00B27DF6">
        <w:rPr>
          <w:rFonts w:ascii="Times New Roman" w:hAnsi="Times New Roman" w:cs="Times New Roman"/>
          <w:b/>
          <w:bCs/>
          <w:sz w:val="24"/>
          <w:szCs w:val="24"/>
          <w:lang w:val="en-US"/>
        </w:rPr>
        <w:t>:</w:t>
      </w:r>
    </w:p>
    <w:p w14:paraId="1542970C" w14:textId="77777777"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οὕτως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ἡμῖν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ἀνεφάνη</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ὀργανικὸν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αἴτιον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ὅπερ</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ἐστὶ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κινούμενον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μὲν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ὑπ</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ἄλλου</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κινοῦν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δὲ</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ἕτερον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σαφῶς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ἐπὶ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τῆς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τεχνικῆς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ποιήσεως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ὁρᾶται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γὰρ</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σκέπαρνον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συναίτιόν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ἐστιν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διότι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κινούμενον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κινεῖ</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τοιαύτη</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δὲ</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ἡ</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φύσις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ἥ</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τε</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ὅλη</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ἡ</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μερική</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lastRenderedPageBreak/>
        <w:t>ὡς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b/>
          <w:bCs/>
          <w:sz w:val="24"/>
          <w:szCs w:val="24"/>
          <w:lang w:val="el-GR"/>
        </w:rPr>
        <w:t>Ἀλέξανδρος</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ὁμολογεῖ</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καλῶς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ἐπιστήσας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ὅτι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κυρίως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ποιητικὸν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αἴτιον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χωριστὸν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εἶναι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χρὴ</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ἐξῃρημένον</w:t>
      </w:r>
      <w:r w:rsidRPr="00B27DF6">
        <w:rPr>
          <w:rFonts w:ascii="Times New Roman" w:hAnsi="Times New Roman" w:cs="Times New Roman"/>
          <w:sz w:val="24"/>
          <w:szCs w:val="24"/>
          <w:lang w:val="en-US"/>
        </w:rPr>
        <w:t>.</w:t>
      </w:r>
    </w:p>
    <w:p w14:paraId="36A967F3" w14:textId="7D568E1D"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n-US"/>
        </w:rPr>
        <w:t xml:space="preserve">‘And so the instrumental cause became clear to us, which is both moved by another and moving something else. And it can be clearly seen in the production of artefacts. For, the axe is an auxiliary cause, because it moves while being moved. Such is also universal nature and particular nature, as also </w:t>
      </w:r>
      <w:r w:rsidRPr="008914AC">
        <w:rPr>
          <w:rFonts w:ascii="Times New Roman" w:hAnsi="Times New Roman" w:cs="Times New Roman"/>
          <w:b/>
          <w:bCs/>
          <w:sz w:val="24"/>
          <w:szCs w:val="24"/>
          <w:lang w:val="en-US"/>
        </w:rPr>
        <w:t>Alexander agrees</w:t>
      </w:r>
      <w:r w:rsidRPr="00B27DF6">
        <w:rPr>
          <w:rFonts w:ascii="Times New Roman" w:hAnsi="Times New Roman" w:cs="Times New Roman"/>
          <w:sz w:val="24"/>
          <w:szCs w:val="24"/>
          <w:lang w:val="en-US"/>
        </w:rPr>
        <w:t xml:space="preserve"> when he rightly adds that the productive cause in the strict sense is necessarily separate and transcendent.’</w:t>
      </w:r>
    </w:p>
    <w:p w14:paraId="221BB810" w14:textId="54CBACC1" w:rsidR="00914D20" w:rsidRPr="00B27DF6" w:rsidRDefault="00914D20" w:rsidP="00914D20">
      <w:pPr>
        <w:rPr>
          <w:rFonts w:ascii="Times New Roman" w:hAnsi="Times New Roman" w:cs="Times New Roman"/>
          <w:sz w:val="24"/>
          <w:szCs w:val="24"/>
        </w:rPr>
      </w:pPr>
      <w:r w:rsidRPr="00B27DF6">
        <w:rPr>
          <w:rFonts w:ascii="Times New Roman" w:hAnsi="Times New Roman" w:cs="Times New Roman"/>
          <w:sz w:val="24"/>
          <w:szCs w:val="24"/>
        </w:rPr>
        <w:t>This passage comes from Simplicius’ presentation of the Platonic theory of causes, and the instrumental cause is again justified with the help of Alexander. Simplicius repeats his (unacknowledged) rephrasing of Alexander that he had given in the initial passage, lines 315.10-11. Alexander did say that the primary cause is external to what comes into being (</w:t>
      </w:r>
      <w:proofErr w:type="spellStart"/>
      <w:r w:rsidRPr="00B27DF6">
        <w:rPr>
          <w:rFonts w:ascii="Times New Roman" w:hAnsi="Times New Roman" w:cs="Times New Roman"/>
          <w:sz w:val="24"/>
          <w:szCs w:val="24"/>
        </w:rPr>
        <w:t>τὸ</w:t>
      </w:r>
      <w:proofErr w:type="spellEnd"/>
      <w:r w:rsidRPr="00B27DF6">
        <w:rPr>
          <w:rFonts w:ascii="Times New Roman" w:hAnsi="Times New Roman" w:cs="Times New Roman"/>
          <w:sz w:val="24"/>
          <w:szCs w:val="24"/>
        </w:rPr>
        <w:t xml:space="preserve"> </w:t>
      </w:r>
      <w:proofErr w:type="spellStart"/>
      <w:r w:rsidRPr="00B27DF6">
        <w:rPr>
          <w:rFonts w:ascii="Times New Roman" w:hAnsi="Times New Roman" w:cs="Times New Roman"/>
          <w:sz w:val="24"/>
          <w:szCs w:val="24"/>
        </w:rPr>
        <w:t>δὲ</w:t>
      </w:r>
      <w:proofErr w:type="spellEnd"/>
      <w:r w:rsidRPr="00B27DF6">
        <w:rPr>
          <w:rFonts w:ascii="Times New Roman" w:hAnsi="Times New Roman" w:cs="Times New Roman"/>
          <w:sz w:val="24"/>
          <w:szCs w:val="24"/>
        </w:rPr>
        <w:t xml:space="preserve"> π</w:t>
      </w:r>
      <w:proofErr w:type="spellStart"/>
      <w:r w:rsidRPr="00B27DF6">
        <w:rPr>
          <w:rFonts w:ascii="Times New Roman" w:hAnsi="Times New Roman" w:cs="Times New Roman"/>
          <w:sz w:val="24"/>
          <w:szCs w:val="24"/>
        </w:rPr>
        <w:t>ρῶτον</w:t>
      </w:r>
      <w:proofErr w:type="spellEnd"/>
      <w:r w:rsidRPr="00B27DF6">
        <w:rPr>
          <w:rFonts w:ascii="Times New Roman" w:hAnsi="Times New Roman" w:cs="Times New Roman"/>
          <w:sz w:val="24"/>
          <w:szCs w:val="24"/>
        </w:rPr>
        <w:t xml:space="preserve"> … </w:t>
      </w:r>
      <w:proofErr w:type="spellStart"/>
      <w:r w:rsidRPr="00B27DF6">
        <w:rPr>
          <w:rFonts w:ascii="Times New Roman" w:hAnsi="Times New Roman" w:cs="Times New Roman"/>
          <w:sz w:val="24"/>
          <w:szCs w:val="24"/>
        </w:rPr>
        <w:t>ἐκτὸς</w:t>
      </w:r>
      <w:proofErr w:type="spellEnd"/>
      <w:r w:rsidRPr="00B27DF6">
        <w:rPr>
          <w:rFonts w:ascii="Times New Roman" w:hAnsi="Times New Roman" w:cs="Times New Roman"/>
          <w:sz w:val="24"/>
          <w:szCs w:val="24"/>
        </w:rPr>
        <w:t xml:space="preserve"> </w:t>
      </w:r>
      <w:proofErr w:type="spellStart"/>
      <w:r w:rsidRPr="00B27DF6">
        <w:rPr>
          <w:rFonts w:ascii="Times New Roman" w:hAnsi="Times New Roman" w:cs="Times New Roman"/>
          <w:sz w:val="24"/>
          <w:szCs w:val="24"/>
        </w:rPr>
        <w:t>τοῦ</w:t>
      </w:r>
      <w:proofErr w:type="spellEnd"/>
      <w:r w:rsidRPr="00B27DF6">
        <w:rPr>
          <w:rFonts w:ascii="Times New Roman" w:hAnsi="Times New Roman" w:cs="Times New Roman"/>
          <w:sz w:val="24"/>
          <w:szCs w:val="24"/>
        </w:rPr>
        <w:t xml:space="preserve"> </w:t>
      </w:r>
      <w:proofErr w:type="spellStart"/>
      <w:r w:rsidRPr="00B27DF6">
        <w:rPr>
          <w:rFonts w:ascii="Times New Roman" w:hAnsi="Times New Roman" w:cs="Times New Roman"/>
          <w:sz w:val="24"/>
          <w:szCs w:val="24"/>
        </w:rPr>
        <w:t>γινομένου</w:t>
      </w:r>
      <w:proofErr w:type="spellEnd"/>
      <w:r w:rsidRPr="00B27DF6">
        <w:rPr>
          <w:rFonts w:ascii="Times New Roman" w:hAnsi="Times New Roman" w:cs="Times New Roman"/>
          <w:sz w:val="24"/>
          <w:szCs w:val="24"/>
        </w:rPr>
        <w:t xml:space="preserve"> 349.36-37) but did not make that a necessary condition for something to be a productive cause. </w:t>
      </w:r>
    </w:p>
    <w:p w14:paraId="1C7101B3" w14:textId="77777777" w:rsidR="00914D20" w:rsidRPr="00B27DF6" w:rsidRDefault="00914D20" w:rsidP="00914D20">
      <w:pPr>
        <w:rPr>
          <w:rFonts w:ascii="Times New Roman" w:hAnsi="Times New Roman" w:cs="Times New Roman"/>
          <w:sz w:val="24"/>
          <w:szCs w:val="24"/>
        </w:rPr>
      </w:pPr>
    </w:p>
    <w:p w14:paraId="365AF93C" w14:textId="2AD89AA4" w:rsidR="00914D20" w:rsidRPr="00B27DF6" w:rsidRDefault="00B27DF6" w:rsidP="00B27DF6">
      <w:pPr>
        <w:rPr>
          <w:rFonts w:ascii="Times New Roman" w:hAnsi="Times New Roman" w:cs="Times New Roman"/>
          <w:b/>
          <w:bCs/>
          <w:sz w:val="24"/>
          <w:szCs w:val="24"/>
          <w:lang w:val="en-US"/>
        </w:rPr>
      </w:pPr>
      <w:r w:rsidRPr="00B27DF6">
        <w:rPr>
          <w:rFonts w:ascii="Times New Roman" w:hAnsi="Times New Roman" w:cs="Times New Roman"/>
          <w:b/>
          <w:bCs/>
          <w:sz w:val="24"/>
          <w:szCs w:val="24"/>
          <w:lang w:val="en-US"/>
        </w:rPr>
        <w:t xml:space="preserve">D. </w:t>
      </w:r>
      <w:proofErr w:type="spellStart"/>
      <w:r w:rsidR="00914D20" w:rsidRPr="00B27DF6">
        <w:rPr>
          <w:rFonts w:ascii="Times New Roman" w:hAnsi="Times New Roman" w:cs="Times New Roman"/>
          <w:b/>
          <w:bCs/>
          <w:sz w:val="24"/>
          <w:szCs w:val="24"/>
          <w:lang w:val="en-US"/>
        </w:rPr>
        <w:t>Simpl</w:t>
      </w:r>
      <w:proofErr w:type="spellEnd"/>
      <w:r w:rsidR="00914D20" w:rsidRPr="00B27DF6">
        <w:rPr>
          <w:rFonts w:ascii="Times New Roman" w:hAnsi="Times New Roman" w:cs="Times New Roman"/>
          <w:b/>
          <w:bCs/>
          <w:sz w:val="24"/>
          <w:szCs w:val="24"/>
          <w:lang w:val="en-US"/>
        </w:rPr>
        <w:t xml:space="preserve">. </w:t>
      </w:r>
      <w:r w:rsidR="001E6BAB" w:rsidRPr="00B27DF6">
        <w:rPr>
          <w:rFonts w:ascii="Times New Roman" w:hAnsi="Times New Roman" w:cs="Times New Roman"/>
          <w:b/>
          <w:bCs/>
          <w:i/>
          <w:iCs/>
          <w:sz w:val="24"/>
          <w:szCs w:val="24"/>
          <w:lang w:val="en-US"/>
        </w:rPr>
        <w:t xml:space="preserve">in </w:t>
      </w:r>
      <w:r w:rsidR="00914D20" w:rsidRPr="00B27DF6">
        <w:rPr>
          <w:rFonts w:ascii="Times New Roman" w:hAnsi="Times New Roman" w:cs="Times New Roman"/>
          <w:b/>
          <w:bCs/>
          <w:i/>
          <w:iCs/>
          <w:sz w:val="24"/>
          <w:szCs w:val="24"/>
          <w:lang w:val="en-US"/>
        </w:rPr>
        <w:t>Phys</w:t>
      </w:r>
      <w:r w:rsidR="00914D20" w:rsidRPr="00B27DF6">
        <w:rPr>
          <w:rFonts w:ascii="Times New Roman" w:hAnsi="Times New Roman" w:cs="Times New Roman"/>
          <w:b/>
          <w:bCs/>
          <w:sz w:val="24"/>
          <w:szCs w:val="24"/>
          <w:lang w:val="en-US"/>
        </w:rPr>
        <w:t>. 321.8-11 (commenting on 195a21-23):</w:t>
      </w:r>
    </w:p>
    <w:p w14:paraId="5B183807" w14:textId="77777777"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l-GR"/>
        </w:rPr>
        <w:t>τὸ</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δὲ</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σπέρμα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μέσον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τε</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ποιητικοῦ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ὑλικοῦ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ἐστιν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εἴπερ</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τῇ</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ἑαυτοῦ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μεταβολῇ</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γινόμενον</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ἅμα</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ποιεῖ</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κυρίως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ποιοῦντος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ὡς</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καὶ</w:t>
      </w:r>
      <w:r w:rsidRPr="00B27DF6">
        <w:rPr>
          <w:rFonts w:ascii="Times New Roman" w:hAnsi="Times New Roman" w:cs="Times New Roman"/>
          <w:sz w:val="24"/>
          <w:szCs w:val="24"/>
          <w:lang w:val="en-US"/>
        </w:rPr>
        <w:t xml:space="preserve"> </w:t>
      </w:r>
      <w:r w:rsidRPr="00B27DF6">
        <w:rPr>
          <w:rFonts w:ascii="Times New Roman" w:hAnsi="Times New Roman" w:cs="Times New Roman"/>
          <w:b/>
          <w:bCs/>
          <w:sz w:val="24"/>
          <w:szCs w:val="24"/>
          <w:lang w:val="el-GR"/>
        </w:rPr>
        <w:t>Ἀλέξανδρος</w:t>
      </w:r>
      <w:r w:rsidRPr="00B27DF6">
        <w:rPr>
          <w:rFonts w:ascii="Times New Roman" w:hAnsi="Times New Roman" w:cs="Times New Roman"/>
          <w:b/>
          <w:bCs/>
          <w:sz w:val="24"/>
          <w:szCs w:val="24"/>
          <w:lang w:val="en-US"/>
        </w:rPr>
        <w:t xml:space="preserve"> </w:t>
      </w:r>
      <w:r w:rsidRPr="00B27DF6">
        <w:rPr>
          <w:rFonts w:ascii="Times New Roman" w:hAnsi="Times New Roman" w:cs="Times New Roman"/>
          <w:b/>
          <w:bCs/>
          <w:sz w:val="24"/>
          <w:szCs w:val="24"/>
          <w:lang w:val="el-GR"/>
        </w:rPr>
        <w:t>ὁμολογεῖ</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ἐξῃρῆσθαι</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τοῦ</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γινομένου</w:t>
      </w:r>
      <w:r w:rsidRPr="00B27DF6">
        <w:rPr>
          <w:rFonts w:ascii="Times New Roman" w:hAnsi="Times New Roman" w:cs="Times New Roman"/>
          <w:sz w:val="24"/>
          <w:szCs w:val="24"/>
          <w:lang w:val="en-US"/>
        </w:rPr>
        <w:t xml:space="preserve"> </w:t>
      </w:r>
      <w:r w:rsidRPr="00B27DF6">
        <w:rPr>
          <w:rFonts w:ascii="Times New Roman" w:hAnsi="Times New Roman" w:cs="Times New Roman"/>
          <w:sz w:val="24"/>
          <w:szCs w:val="24"/>
          <w:lang w:val="el-GR"/>
        </w:rPr>
        <w:t>ὀφείλοντος</w:t>
      </w:r>
      <w:r w:rsidRPr="00B27DF6">
        <w:rPr>
          <w:rFonts w:ascii="Times New Roman" w:hAnsi="Times New Roman" w:cs="Times New Roman"/>
          <w:sz w:val="24"/>
          <w:szCs w:val="24"/>
          <w:lang w:val="en-US"/>
        </w:rPr>
        <w:t>.</w:t>
      </w:r>
    </w:p>
    <w:p w14:paraId="4B2A5E73" w14:textId="1C070B13" w:rsidR="00914D20" w:rsidRPr="00B27DF6" w:rsidRDefault="00914D20" w:rsidP="00B27DF6">
      <w:pPr>
        <w:ind w:left="720"/>
        <w:rPr>
          <w:rFonts w:ascii="Times New Roman" w:hAnsi="Times New Roman" w:cs="Times New Roman"/>
          <w:sz w:val="24"/>
          <w:szCs w:val="24"/>
          <w:lang w:val="en-US"/>
        </w:rPr>
      </w:pPr>
      <w:r w:rsidRPr="00B27DF6">
        <w:rPr>
          <w:rFonts w:ascii="Times New Roman" w:hAnsi="Times New Roman" w:cs="Times New Roman"/>
          <w:sz w:val="24"/>
          <w:szCs w:val="24"/>
          <w:lang w:val="en-US"/>
        </w:rPr>
        <w:t>But the seed is, in a way, intermediate between the productive and the material (</w:t>
      </w:r>
      <w:r w:rsidRPr="00B27DF6">
        <w:rPr>
          <w:rFonts w:ascii="Times New Roman" w:hAnsi="Times New Roman" w:cs="Times New Roman"/>
          <w:i/>
          <w:iCs/>
          <w:sz w:val="24"/>
          <w:szCs w:val="24"/>
          <w:lang w:val="en-US"/>
        </w:rPr>
        <w:t>sc.</w:t>
      </w:r>
      <w:r w:rsidRPr="00B27DF6">
        <w:rPr>
          <w:rFonts w:ascii="Times New Roman" w:hAnsi="Times New Roman" w:cs="Times New Roman"/>
          <w:sz w:val="24"/>
          <w:szCs w:val="24"/>
          <w:lang w:val="en-US"/>
        </w:rPr>
        <w:t xml:space="preserve"> cause), since through a change of itself it at the same time produces something</w:t>
      </w:r>
      <w:r w:rsidR="001E6BAB">
        <w:rPr>
          <w:rFonts w:ascii="Times New Roman" w:hAnsi="Times New Roman" w:cs="Times New Roman"/>
          <w:sz w:val="24"/>
          <w:szCs w:val="24"/>
          <w:lang w:val="en-US"/>
        </w:rPr>
        <w:t>;</w:t>
      </w:r>
      <w:r w:rsidRPr="00B27DF6">
        <w:rPr>
          <w:rFonts w:ascii="Times New Roman" w:hAnsi="Times New Roman" w:cs="Times New Roman"/>
          <w:sz w:val="24"/>
          <w:szCs w:val="24"/>
          <w:lang w:val="en-US"/>
        </w:rPr>
        <w:t xml:space="preserve"> the producer in the strict sense, as also </w:t>
      </w:r>
      <w:r w:rsidRPr="008914AC">
        <w:rPr>
          <w:rFonts w:ascii="Times New Roman" w:hAnsi="Times New Roman" w:cs="Times New Roman"/>
          <w:b/>
          <w:bCs/>
          <w:sz w:val="24"/>
          <w:szCs w:val="24"/>
          <w:lang w:val="en-US"/>
        </w:rPr>
        <w:t>Alexander agrees</w:t>
      </w:r>
      <w:r w:rsidRPr="00B27DF6">
        <w:rPr>
          <w:rFonts w:ascii="Times New Roman" w:hAnsi="Times New Roman" w:cs="Times New Roman"/>
          <w:sz w:val="24"/>
          <w:szCs w:val="24"/>
          <w:lang w:val="en-US"/>
        </w:rPr>
        <w:t xml:space="preserve">, must transcend the product. </w:t>
      </w:r>
    </w:p>
    <w:p w14:paraId="0ADACA51" w14:textId="0A693EB9" w:rsidR="00BC2E31" w:rsidRPr="00B27DF6" w:rsidRDefault="00914D20">
      <w:pPr>
        <w:rPr>
          <w:rFonts w:ascii="Times New Roman" w:hAnsi="Times New Roman" w:cs="Times New Roman"/>
          <w:sz w:val="24"/>
          <w:szCs w:val="24"/>
          <w:lang w:val="en-US"/>
        </w:rPr>
      </w:pPr>
      <w:r w:rsidRPr="00B27DF6">
        <w:rPr>
          <w:rFonts w:ascii="Times New Roman" w:hAnsi="Times New Roman" w:cs="Times New Roman"/>
          <w:sz w:val="24"/>
          <w:szCs w:val="24"/>
          <w:lang w:val="en-US"/>
        </w:rPr>
        <w:t>Once more, as in passage C, Simplicius ascribes to Alexander the thesis that the true productive cause must be separate from the product.</w:t>
      </w:r>
    </w:p>
    <w:sectPr w:rsidR="00BC2E31" w:rsidRPr="00B27D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12FE" w14:textId="77777777" w:rsidR="00D95C5C" w:rsidRDefault="00D95C5C" w:rsidP="00914D20">
      <w:pPr>
        <w:spacing w:after="0" w:line="240" w:lineRule="auto"/>
      </w:pPr>
      <w:r>
        <w:separator/>
      </w:r>
    </w:p>
  </w:endnote>
  <w:endnote w:type="continuationSeparator" w:id="0">
    <w:p w14:paraId="2C529EF7" w14:textId="77777777" w:rsidR="00D95C5C" w:rsidRDefault="00D95C5C" w:rsidP="0091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0EE9" w14:textId="77777777" w:rsidR="00D95C5C" w:rsidRDefault="00D95C5C" w:rsidP="00914D20">
      <w:pPr>
        <w:spacing w:after="0" w:line="240" w:lineRule="auto"/>
      </w:pPr>
      <w:r>
        <w:separator/>
      </w:r>
    </w:p>
  </w:footnote>
  <w:footnote w:type="continuationSeparator" w:id="0">
    <w:p w14:paraId="68B75FA5" w14:textId="77777777" w:rsidR="00D95C5C" w:rsidRDefault="00D95C5C" w:rsidP="00914D20">
      <w:pPr>
        <w:spacing w:after="0" w:line="240" w:lineRule="auto"/>
      </w:pPr>
      <w:r>
        <w:continuationSeparator/>
      </w:r>
    </w:p>
  </w:footnote>
  <w:footnote w:id="1">
    <w:p w14:paraId="55191A4C" w14:textId="4332ABC9" w:rsidR="00914D20" w:rsidRPr="004472AB" w:rsidRDefault="00914D20" w:rsidP="00914D20">
      <w:pPr>
        <w:pStyle w:val="FootnoteText"/>
        <w:rPr>
          <w:rFonts w:ascii="Times New Roman" w:hAnsi="Times New Roman" w:cs="Times New Roman"/>
          <w:lang w:val="el-GR"/>
        </w:rPr>
      </w:pPr>
      <w:r w:rsidRPr="00B624D4">
        <w:rPr>
          <w:rStyle w:val="FootnoteReference"/>
          <w:rFonts w:ascii="Times New Roman" w:hAnsi="Times New Roman" w:cs="Times New Roman"/>
        </w:rPr>
        <w:footnoteRef/>
      </w:r>
      <w:r w:rsidRPr="00B624D4">
        <w:rPr>
          <w:rFonts w:ascii="Times New Roman" w:hAnsi="Times New Roman" w:cs="Times New Roman"/>
        </w:rPr>
        <w:t xml:space="preserve"> Alex</w:t>
      </w:r>
      <w:r>
        <w:rPr>
          <w:rFonts w:ascii="Times New Roman" w:hAnsi="Times New Roman" w:cs="Times New Roman"/>
        </w:rPr>
        <w:t xml:space="preserve">. </w:t>
      </w:r>
      <w:proofErr w:type="spellStart"/>
      <w:r>
        <w:rPr>
          <w:rFonts w:ascii="Times New Roman" w:hAnsi="Times New Roman" w:cs="Times New Roman"/>
        </w:rPr>
        <w:t>Aphr</w:t>
      </w:r>
      <w:r w:rsidR="00264EC8">
        <w:rPr>
          <w:rFonts w:ascii="Times New Roman" w:hAnsi="Times New Roman" w:cs="Times New Roman"/>
        </w:rPr>
        <w:t>od</w:t>
      </w:r>
      <w:proofErr w:type="spellEnd"/>
      <w:r>
        <w:rPr>
          <w:rFonts w:ascii="Times New Roman" w:hAnsi="Times New Roman" w:cs="Times New Roman"/>
        </w:rPr>
        <w:t xml:space="preserve">. </w:t>
      </w:r>
      <w:r w:rsidR="00264EC8" w:rsidRPr="005D6F7A">
        <w:rPr>
          <w:rFonts w:ascii="Times New Roman" w:hAnsi="Times New Roman" w:cs="Times New Roman"/>
          <w:i/>
          <w:iCs/>
        </w:rPr>
        <w:t xml:space="preserve">in </w:t>
      </w:r>
      <w:r w:rsidRPr="005D6F7A">
        <w:rPr>
          <w:rFonts w:ascii="Times New Roman" w:hAnsi="Times New Roman" w:cs="Times New Roman"/>
          <w:i/>
          <w:iCs/>
        </w:rPr>
        <w:t>Metaph</w:t>
      </w:r>
      <w:r>
        <w:rPr>
          <w:rFonts w:ascii="Times New Roman" w:hAnsi="Times New Roman" w:cs="Times New Roman"/>
        </w:rPr>
        <w:t xml:space="preserve">. </w:t>
      </w:r>
      <w:r w:rsidRPr="004472AB">
        <w:rPr>
          <w:rFonts w:ascii="Times New Roman" w:hAnsi="Times New Roman" w:cs="Times New Roman"/>
          <w:lang w:val="el-GR"/>
        </w:rPr>
        <w:t>350.9</w:t>
      </w:r>
      <w:r w:rsidR="00264EC8" w:rsidRPr="004472AB">
        <w:rPr>
          <w:rFonts w:ascii="Times New Roman" w:hAnsi="Times New Roman" w:cs="Times New Roman"/>
          <w:lang w:val="el-GR"/>
        </w:rPr>
        <w:t>–</w:t>
      </w:r>
      <w:r w:rsidRPr="004472AB">
        <w:rPr>
          <w:rFonts w:ascii="Times New Roman" w:hAnsi="Times New Roman" w:cs="Times New Roman"/>
          <w:lang w:val="el-GR"/>
        </w:rPr>
        <w:t xml:space="preserve">10 καὶ πάντα ὅσα τοῦ τέλους χάριν μεταξὺ γίνεται ὑπὸ τοῦ ποιοῦντος τὸ τέλος τοῦ τέλους γίνεσθαι χάριν. </w:t>
      </w:r>
    </w:p>
  </w:footnote>
  <w:footnote w:id="2">
    <w:p w14:paraId="3F12BCA3" w14:textId="5C8F37EA" w:rsidR="00914D20" w:rsidRPr="004472AB" w:rsidRDefault="00914D20" w:rsidP="00914D20">
      <w:pPr>
        <w:pStyle w:val="FootnoteText"/>
        <w:rPr>
          <w:rFonts w:ascii="Times New Roman" w:hAnsi="Times New Roman" w:cs="Times New Roman"/>
          <w:lang w:val="el-GR"/>
        </w:rPr>
      </w:pPr>
      <w:r w:rsidRPr="00B624D4">
        <w:rPr>
          <w:rStyle w:val="FootnoteReference"/>
          <w:rFonts w:ascii="Times New Roman" w:hAnsi="Times New Roman" w:cs="Times New Roman"/>
        </w:rPr>
        <w:footnoteRef/>
      </w:r>
      <w:r w:rsidRPr="004472AB">
        <w:rPr>
          <w:rFonts w:ascii="Times New Roman" w:hAnsi="Times New Roman" w:cs="Times New Roman"/>
          <w:lang w:val="el-GR"/>
        </w:rPr>
        <w:t xml:space="preserve"> </w:t>
      </w:r>
      <w:proofErr w:type="spellStart"/>
      <w:r w:rsidRPr="00B624D4">
        <w:rPr>
          <w:rFonts w:ascii="Times New Roman" w:hAnsi="Times New Roman" w:cs="Times New Roman"/>
        </w:rPr>
        <w:t>Simpl</w:t>
      </w:r>
      <w:proofErr w:type="spellEnd"/>
      <w:r w:rsidRPr="004472AB">
        <w:rPr>
          <w:rFonts w:ascii="Times New Roman" w:hAnsi="Times New Roman" w:cs="Times New Roman"/>
          <w:lang w:val="el-GR"/>
        </w:rPr>
        <w:t xml:space="preserve">. </w:t>
      </w:r>
      <w:r w:rsidR="00264EC8" w:rsidRPr="002F1F27">
        <w:rPr>
          <w:rFonts w:ascii="Times New Roman" w:hAnsi="Times New Roman" w:cs="Times New Roman"/>
          <w:i/>
          <w:iCs/>
        </w:rPr>
        <w:t>in</w:t>
      </w:r>
      <w:r w:rsidR="00264EC8" w:rsidRPr="004472AB">
        <w:rPr>
          <w:rFonts w:ascii="Times New Roman" w:hAnsi="Times New Roman" w:cs="Times New Roman"/>
          <w:i/>
          <w:iCs/>
          <w:lang w:val="el-GR"/>
        </w:rPr>
        <w:t xml:space="preserve"> </w:t>
      </w:r>
      <w:r w:rsidRPr="002F1F27">
        <w:rPr>
          <w:rFonts w:ascii="Times New Roman" w:hAnsi="Times New Roman" w:cs="Times New Roman"/>
          <w:i/>
          <w:iCs/>
        </w:rPr>
        <w:t>Phys</w:t>
      </w:r>
      <w:r w:rsidRPr="004472AB">
        <w:rPr>
          <w:rFonts w:ascii="Times New Roman" w:hAnsi="Times New Roman" w:cs="Times New Roman"/>
          <w:lang w:val="el-GR"/>
        </w:rPr>
        <w:t xml:space="preserve">. </w:t>
      </w:r>
      <w:r w:rsidRPr="004472AB">
        <w:rPr>
          <w:rFonts w:ascii="Times New Roman" w:hAnsi="Times New Roman" w:cs="Times New Roman"/>
          <w:color w:val="000000" w:themeColor="text1"/>
          <w:lang w:val="el-GR"/>
        </w:rPr>
        <w:t>316.2</w:t>
      </w:r>
      <w:r w:rsidR="00264EC8" w:rsidRPr="004472AB">
        <w:rPr>
          <w:rFonts w:ascii="Times New Roman" w:hAnsi="Times New Roman" w:cs="Times New Roman"/>
          <w:lang w:val="el-GR"/>
        </w:rPr>
        <w:t>–</w:t>
      </w:r>
      <w:r w:rsidRPr="004472AB">
        <w:rPr>
          <w:rFonts w:ascii="Times New Roman" w:hAnsi="Times New Roman" w:cs="Times New Roman"/>
          <w:color w:val="000000" w:themeColor="text1"/>
          <w:lang w:val="el-GR"/>
        </w:rPr>
        <w:t xml:space="preserve">3 </w:t>
      </w:r>
      <w:r w:rsidRPr="004472AB">
        <w:rPr>
          <w:rFonts w:ascii="Times New Roman" w:hAnsi="Times New Roman" w:cs="Times New Roman"/>
          <w:lang w:val="el-GR"/>
        </w:rPr>
        <w:t xml:space="preserve">καὶ πάντα τὰ μεταξὺ τοῦ τε ποιητικοῦ αἰτίου καὶ τοῦ τέλους. </w:t>
      </w:r>
    </w:p>
  </w:footnote>
  <w:footnote w:id="3">
    <w:p w14:paraId="4CDB89B0" w14:textId="083FBC96" w:rsidR="00914D20" w:rsidRDefault="00914D20" w:rsidP="00914D20">
      <w:pPr>
        <w:pStyle w:val="FootnoteText"/>
      </w:pPr>
      <w:r w:rsidRPr="00B624D4">
        <w:rPr>
          <w:rStyle w:val="FootnoteReference"/>
          <w:rFonts w:ascii="Times New Roman" w:hAnsi="Times New Roman" w:cs="Times New Roman"/>
        </w:rPr>
        <w:footnoteRef/>
      </w:r>
      <w:r w:rsidRPr="00B624D4">
        <w:rPr>
          <w:rFonts w:ascii="Times New Roman" w:hAnsi="Times New Roman" w:cs="Times New Roman"/>
        </w:rPr>
        <w:t xml:space="preserve"> For the preceding text </w:t>
      </w:r>
      <w:r w:rsidRPr="005E4171">
        <w:rPr>
          <w:rFonts w:ascii="Times New Roman" w:hAnsi="Times New Roman" w:cs="Times New Roman"/>
        </w:rPr>
        <w:t xml:space="preserve">see </w:t>
      </w:r>
      <w:r w:rsidR="00B27DF6">
        <w:rPr>
          <w:rFonts w:ascii="Times New Roman" w:hAnsi="Times New Roman" w:cs="Times New Roman"/>
        </w:rPr>
        <w:t xml:space="preserve">section </w:t>
      </w:r>
      <w:r w:rsidRPr="005E4171">
        <w:rPr>
          <w:rFonts w:ascii="Times New Roman" w:hAnsi="Times New Roman" w:cs="Times New Roman"/>
        </w:rPr>
        <w:t>III.</w:t>
      </w:r>
      <w:r w:rsidRPr="00A23CF7">
        <w:rPr>
          <w:rFonts w:ascii="Times New Roman" w:hAnsi="Times New Roman" w:cs="Times New Roman"/>
        </w:rPr>
        <w:t>i</w:t>
      </w:r>
      <w:r w:rsidRPr="005E4171">
        <w:rPr>
          <w:rFonts w:ascii="Times New Roman" w:hAnsi="Times New Roman" w:cs="Times New Roman"/>
        </w:rPr>
        <w:t>.</w:t>
      </w:r>
      <w:r w:rsidRPr="00856261">
        <w:rPr>
          <w:rFonts w:ascii="Times New Roman" w:hAnsi="Times New Roman" w:cs="Times New Roman"/>
        </w:rPr>
        <w:t>2</w:t>
      </w:r>
      <w:r w:rsidRPr="005E417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C23AC"/>
    <w:multiLevelType w:val="hybridMultilevel"/>
    <w:tmpl w:val="F2CC395E"/>
    <w:lvl w:ilvl="0" w:tplc="10B68B5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4B6AC3"/>
    <w:multiLevelType w:val="hybridMultilevel"/>
    <w:tmpl w:val="AF667682"/>
    <w:lvl w:ilvl="0" w:tplc="166A3EB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40138">
    <w:abstractNumId w:val="0"/>
  </w:num>
  <w:num w:numId="2" w16cid:durableId="135033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20"/>
    <w:rsid w:val="00060AD9"/>
    <w:rsid w:val="000D5964"/>
    <w:rsid w:val="000E1046"/>
    <w:rsid w:val="0016050B"/>
    <w:rsid w:val="001E25A9"/>
    <w:rsid w:val="001E6BAB"/>
    <w:rsid w:val="0023624E"/>
    <w:rsid w:val="00264EC8"/>
    <w:rsid w:val="00284188"/>
    <w:rsid w:val="002935B1"/>
    <w:rsid w:val="00314EA1"/>
    <w:rsid w:val="004367AE"/>
    <w:rsid w:val="004472AB"/>
    <w:rsid w:val="00462A22"/>
    <w:rsid w:val="004D11B0"/>
    <w:rsid w:val="00580671"/>
    <w:rsid w:val="007E6BFF"/>
    <w:rsid w:val="00852922"/>
    <w:rsid w:val="008914AC"/>
    <w:rsid w:val="008F2A8D"/>
    <w:rsid w:val="00914D20"/>
    <w:rsid w:val="00972FC4"/>
    <w:rsid w:val="009A79F1"/>
    <w:rsid w:val="00A86F2C"/>
    <w:rsid w:val="00B1099B"/>
    <w:rsid w:val="00B27DF6"/>
    <w:rsid w:val="00B84564"/>
    <w:rsid w:val="00BC2E31"/>
    <w:rsid w:val="00BD7D96"/>
    <w:rsid w:val="00C05CAF"/>
    <w:rsid w:val="00D222BB"/>
    <w:rsid w:val="00D95C5C"/>
    <w:rsid w:val="00E75D8B"/>
    <w:rsid w:val="00F8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066E"/>
  <w15:chartTrackingRefBased/>
  <w15:docId w15:val="{FA8514B2-6ADB-437E-9621-2DAF8805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14D20"/>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914D20"/>
    <w:rPr>
      <w:kern w:val="0"/>
      <w:sz w:val="20"/>
      <w:szCs w:val="20"/>
      <w:lang w:val="en-US"/>
      <w14:ligatures w14:val="none"/>
    </w:rPr>
  </w:style>
  <w:style w:type="character" w:styleId="FootnoteReference">
    <w:name w:val="footnote reference"/>
    <w:basedOn w:val="DefaultParagraphFont"/>
    <w:semiHidden/>
    <w:unhideWhenUsed/>
    <w:rsid w:val="00914D20"/>
    <w:rPr>
      <w:vertAlign w:val="superscript"/>
    </w:rPr>
  </w:style>
  <w:style w:type="paragraph" w:styleId="ListParagraph">
    <w:name w:val="List Paragraph"/>
    <w:basedOn w:val="Normal"/>
    <w:uiPriority w:val="34"/>
    <w:qFormat/>
    <w:rsid w:val="00B27DF6"/>
    <w:pPr>
      <w:ind w:left="720"/>
      <w:contextualSpacing/>
    </w:pPr>
  </w:style>
  <w:style w:type="paragraph" w:styleId="Revision">
    <w:name w:val="Revision"/>
    <w:hidden/>
    <w:uiPriority w:val="99"/>
    <w:semiHidden/>
    <w:rsid w:val="004367AE"/>
    <w:pPr>
      <w:spacing w:after="0" w:line="240" w:lineRule="auto"/>
    </w:pPr>
  </w:style>
  <w:style w:type="character" w:styleId="CommentReference">
    <w:name w:val="annotation reference"/>
    <w:basedOn w:val="DefaultParagraphFont"/>
    <w:uiPriority w:val="99"/>
    <w:semiHidden/>
    <w:unhideWhenUsed/>
    <w:rsid w:val="001E6BAB"/>
    <w:rPr>
      <w:sz w:val="16"/>
      <w:szCs w:val="16"/>
    </w:rPr>
  </w:style>
  <w:style w:type="paragraph" w:styleId="CommentText">
    <w:name w:val="annotation text"/>
    <w:basedOn w:val="Normal"/>
    <w:link w:val="CommentTextChar"/>
    <w:uiPriority w:val="99"/>
    <w:unhideWhenUsed/>
    <w:rsid w:val="001E6BAB"/>
    <w:pPr>
      <w:spacing w:line="240" w:lineRule="auto"/>
    </w:pPr>
    <w:rPr>
      <w:sz w:val="20"/>
      <w:szCs w:val="20"/>
    </w:rPr>
  </w:style>
  <w:style w:type="character" w:customStyle="1" w:styleId="CommentTextChar">
    <w:name w:val="Comment Text Char"/>
    <w:basedOn w:val="DefaultParagraphFont"/>
    <w:link w:val="CommentText"/>
    <w:uiPriority w:val="99"/>
    <w:rsid w:val="001E6BAB"/>
    <w:rPr>
      <w:sz w:val="20"/>
      <w:szCs w:val="20"/>
    </w:rPr>
  </w:style>
  <w:style w:type="paragraph" w:styleId="CommentSubject">
    <w:name w:val="annotation subject"/>
    <w:basedOn w:val="CommentText"/>
    <w:next w:val="CommentText"/>
    <w:link w:val="CommentSubjectChar"/>
    <w:uiPriority w:val="99"/>
    <w:semiHidden/>
    <w:unhideWhenUsed/>
    <w:rsid w:val="001E6BAB"/>
    <w:rPr>
      <w:b/>
      <w:bCs/>
    </w:rPr>
  </w:style>
  <w:style w:type="character" w:customStyle="1" w:styleId="CommentSubjectChar">
    <w:name w:val="Comment Subject Char"/>
    <w:basedOn w:val="CommentTextChar"/>
    <w:link w:val="CommentSubject"/>
    <w:uiPriority w:val="99"/>
    <w:semiHidden/>
    <w:rsid w:val="001E6B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Foxhall</dc:creator>
  <cp:keywords/>
  <dc:description/>
  <cp:lastModifiedBy>Lin Foxhall</cp:lastModifiedBy>
  <cp:revision>2</cp:revision>
  <dcterms:created xsi:type="dcterms:W3CDTF">2024-07-16T15:18:00Z</dcterms:created>
  <dcterms:modified xsi:type="dcterms:W3CDTF">2024-07-16T15:18:00Z</dcterms:modified>
</cp:coreProperties>
</file>