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E45EF" w14:textId="6A0CBB93" w:rsidR="001810BA" w:rsidRDefault="00E823B7">
      <w:pPr>
        <w:spacing w:after="160" w:line="256" w:lineRule="auto"/>
        <w:jc w:val="both"/>
        <w:rPr>
          <w:sz w:val="24"/>
          <w:szCs w:val="24"/>
        </w:rPr>
      </w:pPr>
      <w:r>
        <w:rPr>
          <w:rFonts w:ascii="Calibri" w:eastAsia="Calibri" w:hAnsi="Calibri" w:cs="Calibri"/>
          <w:sz w:val="24"/>
          <w:szCs w:val="24"/>
          <w:lang w:bidi="ar"/>
        </w:rPr>
        <w:t>Supplementary materials</w:t>
      </w:r>
    </w:p>
    <w:p w14:paraId="7C314A88" w14:textId="77777777" w:rsidR="001810BA" w:rsidRDefault="001810BA">
      <w:pPr>
        <w:spacing w:after="160" w:line="256" w:lineRule="auto"/>
        <w:jc w:val="both"/>
        <w:rPr>
          <w:sz w:val="24"/>
          <w:szCs w:val="24"/>
        </w:rPr>
      </w:pPr>
    </w:p>
    <w:p w14:paraId="5351856E" w14:textId="77777777" w:rsidR="001810BA" w:rsidRDefault="00000000">
      <w:pPr>
        <w:spacing w:after="160" w:line="256" w:lineRule="auto"/>
        <w:jc w:val="both"/>
        <w:rPr>
          <w:sz w:val="24"/>
          <w:szCs w:val="24"/>
        </w:rPr>
      </w:pPr>
      <w:r>
        <w:rPr>
          <w:rFonts w:ascii="Calibri" w:eastAsia="Calibri" w:hAnsi="Calibri" w:cs="Calibri" w:hint="eastAsia"/>
          <w:sz w:val="24"/>
          <w:szCs w:val="24"/>
          <w:lang w:bidi="ar"/>
        </w:rPr>
        <w:t>The dependent variable here was operationalized as a dichotomous variable with a different value depending on the tested model. In Model 1, it has a value of one if the RCM obtained as first office within five years of the end of their mandate a role at the national/EU level. In Model 2, it has a value of 1 if the RCM obtained as first office within five years of the end of their mandate an office at the local level. Finally, in Model 3, it has a value of 1 if the RCM did not obtain any institutional role (neither at the local, regional, national, nor European level) within five years of the end of his/her term as an RCM.</w:t>
      </w:r>
    </w:p>
    <w:p w14:paraId="230ECE9C" w14:textId="77777777" w:rsidR="001810BA" w:rsidRDefault="00000000">
      <w:pPr>
        <w:keepNext/>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bidi="ar"/>
        </w:rPr>
        <w:t>Table A Results of the multivariate logistic regressions</w:t>
      </w:r>
    </w:p>
    <w:tbl>
      <w:tblPr>
        <w:tblStyle w:val="Style52"/>
        <w:tblW w:w="9630" w:type="dxa"/>
        <w:jc w:val="center"/>
        <w:tblInd w:w="0" w:type="dxa"/>
        <w:tblLayout w:type="fixed"/>
        <w:tblLook w:val="04A0" w:firstRow="1" w:lastRow="0" w:firstColumn="1" w:lastColumn="0" w:noHBand="0" w:noVBand="1"/>
      </w:tblPr>
      <w:tblGrid>
        <w:gridCol w:w="2984"/>
        <w:gridCol w:w="1361"/>
        <w:gridCol w:w="941"/>
        <w:gridCol w:w="1181"/>
        <w:gridCol w:w="921"/>
        <w:gridCol w:w="1181"/>
        <w:gridCol w:w="1061"/>
      </w:tblGrid>
      <w:tr w:rsidR="001810BA" w14:paraId="2B2B24CD" w14:textId="77777777">
        <w:trPr>
          <w:trHeight w:val="280"/>
          <w:jc w:val="center"/>
        </w:trPr>
        <w:tc>
          <w:tcPr>
            <w:tcW w:w="2980" w:type="dxa"/>
            <w:shd w:val="clear" w:color="auto" w:fill="auto"/>
            <w:vAlign w:val="center"/>
          </w:tcPr>
          <w:p w14:paraId="1C3D604A" w14:textId="77777777" w:rsidR="001810BA" w:rsidRDefault="001810BA">
            <w:pPr>
              <w:jc w:val="both"/>
              <w:rPr>
                <w:rFonts w:ascii="Times New Roman" w:eastAsia="Times New Roman" w:hAnsi="Times New Roman" w:cs="Times New Roman" w:hint="default"/>
                <w:sz w:val="24"/>
                <w:szCs w:val="24"/>
              </w:rPr>
            </w:pPr>
          </w:p>
        </w:tc>
        <w:tc>
          <w:tcPr>
            <w:tcW w:w="2300" w:type="dxa"/>
            <w:gridSpan w:val="2"/>
            <w:shd w:val="clear" w:color="auto" w:fill="auto"/>
            <w:vAlign w:val="center"/>
          </w:tcPr>
          <w:p w14:paraId="0B6D926D"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Model 1</w:t>
            </w:r>
          </w:p>
          <w:p w14:paraId="61A5754E"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(upward)</w:t>
            </w:r>
          </w:p>
        </w:tc>
        <w:tc>
          <w:tcPr>
            <w:tcW w:w="2100" w:type="dxa"/>
            <w:gridSpan w:val="2"/>
            <w:shd w:val="clear" w:color="auto" w:fill="auto"/>
            <w:vAlign w:val="center"/>
          </w:tcPr>
          <w:p w14:paraId="03D877A9"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Model 2 (downward)</w:t>
            </w:r>
          </w:p>
        </w:tc>
        <w:tc>
          <w:tcPr>
            <w:tcW w:w="2240" w:type="dxa"/>
            <w:gridSpan w:val="2"/>
            <w:shd w:val="clear" w:color="auto" w:fill="auto"/>
            <w:vAlign w:val="center"/>
          </w:tcPr>
          <w:p w14:paraId="3349C862"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 xml:space="preserve">Model 3 </w:t>
            </w:r>
          </w:p>
          <w:p w14:paraId="539A49D7"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(exit)</w:t>
            </w:r>
          </w:p>
        </w:tc>
      </w:tr>
      <w:tr w:rsidR="001810BA" w14:paraId="1D6D5220" w14:textId="77777777">
        <w:trPr>
          <w:trHeight w:val="280"/>
          <w:jc w:val="center"/>
        </w:trPr>
        <w:tc>
          <w:tcPr>
            <w:tcW w:w="2980" w:type="dxa"/>
            <w:tcBorders>
              <w:top w:val="nil"/>
              <w:left w:val="nil"/>
              <w:bottom w:val="single" w:sz="2" w:space="0" w:color="000000"/>
              <w:right w:val="nil"/>
            </w:tcBorders>
            <w:shd w:val="clear" w:color="auto" w:fill="auto"/>
            <w:vAlign w:val="center"/>
          </w:tcPr>
          <w:p w14:paraId="4788488E" w14:textId="77777777" w:rsidR="001810BA" w:rsidRDefault="001810BA">
            <w:pPr>
              <w:jc w:val="both"/>
              <w:rPr>
                <w:rFonts w:ascii="Times New Roman" w:eastAsia="Times New Roman" w:hAnsi="Times New Roman" w:cs="Times New Roman" w:hint="default"/>
                <w:sz w:val="24"/>
                <w:szCs w:val="24"/>
              </w:rPr>
            </w:pPr>
          </w:p>
        </w:tc>
        <w:tc>
          <w:tcPr>
            <w:tcW w:w="1360" w:type="dxa"/>
            <w:tcBorders>
              <w:top w:val="nil"/>
              <w:left w:val="nil"/>
              <w:bottom w:val="single" w:sz="2" w:space="0" w:color="000000"/>
              <w:right w:val="nil"/>
            </w:tcBorders>
            <w:shd w:val="clear" w:color="auto" w:fill="auto"/>
            <w:vAlign w:val="center"/>
          </w:tcPr>
          <w:p w14:paraId="01B97D96"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Coefficient</w:t>
            </w:r>
          </w:p>
        </w:tc>
        <w:tc>
          <w:tcPr>
            <w:tcW w:w="920" w:type="dxa"/>
            <w:tcBorders>
              <w:top w:val="nil"/>
              <w:left w:val="nil"/>
              <w:bottom w:val="single" w:sz="2" w:space="0" w:color="000000"/>
              <w:right w:val="nil"/>
            </w:tcBorders>
            <w:shd w:val="clear" w:color="auto" w:fill="auto"/>
            <w:vAlign w:val="center"/>
          </w:tcPr>
          <w:p w14:paraId="5EDCFED8" w14:textId="64718E2A" w:rsidR="001810BA" w:rsidRDefault="00D560B1">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RRR</w:t>
            </w:r>
          </w:p>
        </w:tc>
        <w:tc>
          <w:tcPr>
            <w:tcW w:w="1180" w:type="dxa"/>
            <w:tcBorders>
              <w:top w:val="nil"/>
              <w:left w:val="nil"/>
              <w:bottom w:val="single" w:sz="2" w:space="0" w:color="000000"/>
              <w:right w:val="nil"/>
            </w:tcBorders>
            <w:shd w:val="clear" w:color="auto" w:fill="auto"/>
            <w:vAlign w:val="center"/>
          </w:tcPr>
          <w:p w14:paraId="7C21E21A"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Coefficient</w:t>
            </w:r>
          </w:p>
        </w:tc>
        <w:tc>
          <w:tcPr>
            <w:tcW w:w="900" w:type="dxa"/>
            <w:tcBorders>
              <w:top w:val="nil"/>
              <w:left w:val="nil"/>
              <w:bottom w:val="single" w:sz="2" w:space="0" w:color="000000"/>
              <w:right w:val="nil"/>
            </w:tcBorders>
            <w:shd w:val="clear" w:color="auto" w:fill="auto"/>
            <w:vAlign w:val="center"/>
          </w:tcPr>
          <w:p w14:paraId="461F00B1" w14:textId="11658356" w:rsidR="001810BA" w:rsidRDefault="00D560B1">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RRR</w:t>
            </w:r>
          </w:p>
        </w:tc>
        <w:tc>
          <w:tcPr>
            <w:tcW w:w="1180" w:type="dxa"/>
            <w:tcBorders>
              <w:top w:val="nil"/>
              <w:left w:val="nil"/>
              <w:bottom w:val="single" w:sz="2" w:space="0" w:color="000000"/>
              <w:right w:val="nil"/>
            </w:tcBorders>
            <w:shd w:val="clear" w:color="auto" w:fill="auto"/>
            <w:vAlign w:val="center"/>
          </w:tcPr>
          <w:p w14:paraId="798BEB53"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Coefficient</w:t>
            </w:r>
          </w:p>
        </w:tc>
        <w:tc>
          <w:tcPr>
            <w:tcW w:w="1040" w:type="dxa"/>
            <w:tcBorders>
              <w:top w:val="nil"/>
              <w:left w:val="nil"/>
              <w:bottom w:val="single" w:sz="2" w:space="0" w:color="000000"/>
              <w:right w:val="nil"/>
            </w:tcBorders>
            <w:shd w:val="clear" w:color="auto" w:fill="auto"/>
            <w:vAlign w:val="center"/>
          </w:tcPr>
          <w:p w14:paraId="4055FE3E" w14:textId="179B7816" w:rsidR="001810BA" w:rsidRDefault="00D560B1">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RRR</w:t>
            </w:r>
          </w:p>
        </w:tc>
      </w:tr>
      <w:tr w:rsidR="001810BA" w14:paraId="60D220E1" w14:textId="77777777">
        <w:trPr>
          <w:trHeight w:val="280"/>
          <w:jc w:val="center"/>
        </w:trPr>
        <w:tc>
          <w:tcPr>
            <w:tcW w:w="2980" w:type="dxa"/>
            <w:shd w:val="clear" w:color="auto" w:fill="auto"/>
            <w:vAlign w:val="center"/>
          </w:tcPr>
          <w:p w14:paraId="6179B357"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Independent Variables</w:t>
            </w:r>
          </w:p>
        </w:tc>
        <w:tc>
          <w:tcPr>
            <w:tcW w:w="1360" w:type="dxa"/>
            <w:shd w:val="clear" w:color="auto" w:fill="auto"/>
            <w:vAlign w:val="center"/>
          </w:tcPr>
          <w:p w14:paraId="250997AD" w14:textId="77777777" w:rsidR="001810BA" w:rsidRDefault="001810BA">
            <w:pPr>
              <w:jc w:val="both"/>
              <w:rPr>
                <w:rFonts w:ascii="Times New Roman" w:eastAsia="Times New Roman" w:hAnsi="Times New Roman" w:cs="Times New Roman" w:hint="default"/>
                <w:sz w:val="24"/>
                <w:szCs w:val="24"/>
              </w:rPr>
            </w:pPr>
          </w:p>
        </w:tc>
        <w:tc>
          <w:tcPr>
            <w:tcW w:w="920" w:type="dxa"/>
            <w:shd w:val="clear" w:color="auto" w:fill="auto"/>
            <w:vAlign w:val="center"/>
          </w:tcPr>
          <w:p w14:paraId="60E3EFF1"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199224CF" w14:textId="77777777" w:rsidR="001810BA" w:rsidRDefault="001810BA">
            <w:pPr>
              <w:jc w:val="both"/>
              <w:rPr>
                <w:rFonts w:ascii="Times New Roman" w:eastAsia="Times New Roman" w:hAnsi="Times New Roman" w:cs="Times New Roman" w:hint="default"/>
                <w:sz w:val="24"/>
                <w:szCs w:val="24"/>
              </w:rPr>
            </w:pPr>
          </w:p>
        </w:tc>
        <w:tc>
          <w:tcPr>
            <w:tcW w:w="900" w:type="dxa"/>
            <w:shd w:val="clear" w:color="auto" w:fill="auto"/>
            <w:vAlign w:val="center"/>
          </w:tcPr>
          <w:p w14:paraId="4122AC01"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61288F70" w14:textId="77777777" w:rsidR="001810BA" w:rsidRDefault="001810BA">
            <w:pPr>
              <w:jc w:val="both"/>
              <w:rPr>
                <w:rFonts w:ascii="Times New Roman" w:eastAsia="Times New Roman" w:hAnsi="Times New Roman" w:cs="Times New Roman" w:hint="default"/>
                <w:sz w:val="24"/>
                <w:szCs w:val="24"/>
              </w:rPr>
            </w:pPr>
          </w:p>
        </w:tc>
        <w:tc>
          <w:tcPr>
            <w:tcW w:w="1040" w:type="dxa"/>
            <w:shd w:val="clear" w:color="auto" w:fill="auto"/>
            <w:vAlign w:val="center"/>
          </w:tcPr>
          <w:p w14:paraId="455D4786" w14:textId="77777777" w:rsidR="001810BA" w:rsidRDefault="001810BA">
            <w:pPr>
              <w:jc w:val="both"/>
              <w:rPr>
                <w:rFonts w:ascii="Times New Roman" w:eastAsia="Times New Roman" w:hAnsi="Times New Roman" w:cs="Times New Roman" w:hint="default"/>
                <w:sz w:val="24"/>
                <w:szCs w:val="24"/>
              </w:rPr>
            </w:pPr>
          </w:p>
        </w:tc>
      </w:tr>
      <w:tr w:rsidR="001810BA" w14:paraId="69E40573" w14:textId="77777777">
        <w:trPr>
          <w:trHeight w:val="280"/>
          <w:jc w:val="center"/>
        </w:trPr>
        <w:tc>
          <w:tcPr>
            <w:tcW w:w="2980" w:type="dxa"/>
            <w:shd w:val="clear" w:color="auto" w:fill="auto"/>
            <w:vAlign w:val="center"/>
          </w:tcPr>
          <w:p w14:paraId="2B3799DC"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Regional President</w:t>
            </w:r>
          </w:p>
        </w:tc>
        <w:tc>
          <w:tcPr>
            <w:tcW w:w="1360" w:type="dxa"/>
            <w:shd w:val="clear" w:color="auto" w:fill="auto"/>
            <w:vAlign w:val="center"/>
          </w:tcPr>
          <w:p w14:paraId="0BDD2ADF"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0.740</w:t>
            </w:r>
          </w:p>
        </w:tc>
        <w:tc>
          <w:tcPr>
            <w:tcW w:w="920" w:type="dxa"/>
            <w:shd w:val="clear" w:color="auto" w:fill="auto"/>
            <w:vAlign w:val="center"/>
          </w:tcPr>
          <w:p w14:paraId="67CF8BFB"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2.1</w:t>
            </w:r>
          </w:p>
        </w:tc>
        <w:tc>
          <w:tcPr>
            <w:tcW w:w="1180" w:type="dxa"/>
            <w:shd w:val="clear" w:color="auto" w:fill="auto"/>
            <w:vAlign w:val="center"/>
          </w:tcPr>
          <w:p w14:paraId="07E2256D"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-1.833</w:t>
            </w:r>
          </w:p>
        </w:tc>
        <w:tc>
          <w:tcPr>
            <w:tcW w:w="900" w:type="dxa"/>
            <w:shd w:val="clear" w:color="auto" w:fill="auto"/>
            <w:vAlign w:val="center"/>
          </w:tcPr>
          <w:p w14:paraId="4527ED9B"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0.16</w:t>
            </w:r>
          </w:p>
        </w:tc>
        <w:tc>
          <w:tcPr>
            <w:tcW w:w="1180" w:type="dxa"/>
            <w:shd w:val="clear" w:color="auto" w:fill="auto"/>
            <w:vAlign w:val="center"/>
          </w:tcPr>
          <w:p w14:paraId="54945C1E"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-0.491</w:t>
            </w:r>
          </w:p>
        </w:tc>
        <w:tc>
          <w:tcPr>
            <w:tcW w:w="1040" w:type="dxa"/>
            <w:shd w:val="clear" w:color="auto" w:fill="auto"/>
            <w:vAlign w:val="center"/>
          </w:tcPr>
          <w:p w14:paraId="6546F688"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0.61</w:t>
            </w:r>
          </w:p>
        </w:tc>
      </w:tr>
      <w:tr w:rsidR="001810BA" w14:paraId="7085158B" w14:textId="77777777">
        <w:trPr>
          <w:trHeight w:val="280"/>
          <w:jc w:val="center"/>
        </w:trPr>
        <w:tc>
          <w:tcPr>
            <w:tcW w:w="2980" w:type="dxa"/>
            <w:shd w:val="clear" w:color="auto" w:fill="auto"/>
            <w:vAlign w:val="center"/>
          </w:tcPr>
          <w:p w14:paraId="31A96330" w14:textId="77777777" w:rsidR="001810BA" w:rsidRDefault="001810BA">
            <w:pPr>
              <w:jc w:val="both"/>
              <w:rPr>
                <w:rFonts w:ascii="Times New Roman" w:eastAsia="Times New Roman" w:hAnsi="Times New Roman" w:cs="Times New Roman" w:hint="default"/>
                <w:sz w:val="24"/>
                <w:szCs w:val="24"/>
              </w:rPr>
            </w:pPr>
          </w:p>
        </w:tc>
        <w:tc>
          <w:tcPr>
            <w:tcW w:w="1360" w:type="dxa"/>
            <w:shd w:val="clear" w:color="auto" w:fill="auto"/>
            <w:vAlign w:val="center"/>
          </w:tcPr>
          <w:p w14:paraId="49AB590E"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(0.532)</w:t>
            </w:r>
          </w:p>
        </w:tc>
        <w:tc>
          <w:tcPr>
            <w:tcW w:w="920" w:type="dxa"/>
            <w:shd w:val="clear" w:color="auto" w:fill="auto"/>
            <w:vAlign w:val="center"/>
          </w:tcPr>
          <w:p w14:paraId="0990742B"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0E400326"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(0.939)</w:t>
            </w:r>
          </w:p>
        </w:tc>
        <w:tc>
          <w:tcPr>
            <w:tcW w:w="900" w:type="dxa"/>
            <w:shd w:val="clear" w:color="auto" w:fill="auto"/>
            <w:vAlign w:val="center"/>
          </w:tcPr>
          <w:p w14:paraId="066A3444"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0E18E40A"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(0.343)</w:t>
            </w:r>
          </w:p>
        </w:tc>
        <w:tc>
          <w:tcPr>
            <w:tcW w:w="1040" w:type="dxa"/>
            <w:shd w:val="clear" w:color="auto" w:fill="auto"/>
            <w:vAlign w:val="center"/>
          </w:tcPr>
          <w:p w14:paraId="129D3E64" w14:textId="77777777" w:rsidR="001810BA" w:rsidRDefault="001810BA">
            <w:pPr>
              <w:jc w:val="both"/>
              <w:rPr>
                <w:rFonts w:ascii="Times New Roman" w:eastAsia="Times New Roman" w:hAnsi="Times New Roman" w:cs="Times New Roman" w:hint="default"/>
                <w:sz w:val="24"/>
                <w:szCs w:val="24"/>
              </w:rPr>
            </w:pPr>
          </w:p>
        </w:tc>
      </w:tr>
      <w:tr w:rsidR="001810BA" w14:paraId="7FC3A1C7" w14:textId="77777777">
        <w:trPr>
          <w:trHeight w:val="160"/>
          <w:jc w:val="center"/>
        </w:trPr>
        <w:tc>
          <w:tcPr>
            <w:tcW w:w="2980" w:type="dxa"/>
            <w:shd w:val="clear" w:color="auto" w:fill="auto"/>
            <w:vAlign w:val="center"/>
          </w:tcPr>
          <w:p w14:paraId="65320E86"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Woman</w:t>
            </w:r>
          </w:p>
        </w:tc>
        <w:tc>
          <w:tcPr>
            <w:tcW w:w="1360" w:type="dxa"/>
            <w:shd w:val="clear" w:color="auto" w:fill="auto"/>
            <w:vAlign w:val="center"/>
          </w:tcPr>
          <w:p w14:paraId="3A264FBA"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-0.051</w:t>
            </w:r>
          </w:p>
        </w:tc>
        <w:tc>
          <w:tcPr>
            <w:tcW w:w="920" w:type="dxa"/>
            <w:shd w:val="clear" w:color="auto" w:fill="auto"/>
            <w:vAlign w:val="center"/>
          </w:tcPr>
          <w:p w14:paraId="06106A01"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0.95</w:t>
            </w:r>
          </w:p>
        </w:tc>
        <w:tc>
          <w:tcPr>
            <w:tcW w:w="1180" w:type="dxa"/>
            <w:shd w:val="clear" w:color="auto" w:fill="auto"/>
            <w:vAlign w:val="center"/>
          </w:tcPr>
          <w:p w14:paraId="1B4EF821"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-0.743</w:t>
            </w:r>
          </w:p>
        </w:tc>
        <w:tc>
          <w:tcPr>
            <w:tcW w:w="900" w:type="dxa"/>
            <w:shd w:val="clear" w:color="auto" w:fill="auto"/>
            <w:vAlign w:val="center"/>
          </w:tcPr>
          <w:p w14:paraId="3C28E1A4"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0.48</w:t>
            </w:r>
          </w:p>
        </w:tc>
        <w:tc>
          <w:tcPr>
            <w:tcW w:w="1180" w:type="dxa"/>
            <w:shd w:val="clear" w:color="auto" w:fill="auto"/>
            <w:vAlign w:val="center"/>
          </w:tcPr>
          <w:p w14:paraId="20AB81E6"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0.463</w:t>
            </w:r>
          </w:p>
        </w:tc>
        <w:tc>
          <w:tcPr>
            <w:tcW w:w="1040" w:type="dxa"/>
            <w:shd w:val="clear" w:color="auto" w:fill="auto"/>
            <w:vAlign w:val="center"/>
          </w:tcPr>
          <w:p w14:paraId="1B02AA5D"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1.59</w:t>
            </w:r>
          </w:p>
        </w:tc>
      </w:tr>
      <w:tr w:rsidR="001810BA" w14:paraId="6DB49D0C" w14:textId="77777777">
        <w:trPr>
          <w:trHeight w:val="280"/>
          <w:jc w:val="center"/>
        </w:trPr>
        <w:tc>
          <w:tcPr>
            <w:tcW w:w="2980" w:type="dxa"/>
            <w:shd w:val="clear" w:color="auto" w:fill="auto"/>
            <w:vAlign w:val="center"/>
          </w:tcPr>
          <w:p w14:paraId="18704AC1" w14:textId="77777777" w:rsidR="001810BA" w:rsidRDefault="001810BA">
            <w:pPr>
              <w:jc w:val="both"/>
              <w:rPr>
                <w:rFonts w:ascii="Times New Roman" w:eastAsia="Times New Roman" w:hAnsi="Times New Roman" w:cs="Times New Roman" w:hint="default"/>
                <w:sz w:val="24"/>
                <w:szCs w:val="24"/>
              </w:rPr>
            </w:pPr>
          </w:p>
        </w:tc>
        <w:tc>
          <w:tcPr>
            <w:tcW w:w="1360" w:type="dxa"/>
            <w:shd w:val="clear" w:color="auto" w:fill="auto"/>
            <w:vAlign w:val="center"/>
          </w:tcPr>
          <w:p w14:paraId="33D7B7E3"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(0.377)</w:t>
            </w:r>
          </w:p>
        </w:tc>
        <w:tc>
          <w:tcPr>
            <w:tcW w:w="920" w:type="dxa"/>
            <w:shd w:val="clear" w:color="auto" w:fill="auto"/>
            <w:vAlign w:val="center"/>
          </w:tcPr>
          <w:p w14:paraId="7421FFB6"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2F840437"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(0.540)</w:t>
            </w:r>
          </w:p>
        </w:tc>
        <w:tc>
          <w:tcPr>
            <w:tcW w:w="900" w:type="dxa"/>
            <w:shd w:val="clear" w:color="auto" w:fill="auto"/>
            <w:vAlign w:val="center"/>
          </w:tcPr>
          <w:p w14:paraId="37B48DB1"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03A8817C"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(0.301)</w:t>
            </w:r>
          </w:p>
        </w:tc>
        <w:tc>
          <w:tcPr>
            <w:tcW w:w="1040" w:type="dxa"/>
            <w:shd w:val="clear" w:color="auto" w:fill="auto"/>
            <w:vAlign w:val="center"/>
          </w:tcPr>
          <w:p w14:paraId="12E223D6" w14:textId="77777777" w:rsidR="001810BA" w:rsidRDefault="001810BA">
            <w:pPr>
              <w:jc w:val="both"/>
              <w:rPr>
                <w:rFonts w:ascii="Times New Roman" w:eastAsia="Times New Roman" w:hAnsi="Times New Roman" w:cs="Times New Roman" w:hint="default"/>
                <w:sz w:val="24"/>
                <w:szCs w:val="24"/>
              </w:rPr>
            </w:pPr>
          </w:p>
        </w:tc>
      </w:tr>
      <w:tr w:rsidR="001810BA" w14:paraId="137CCDB5" w14:textId="77777777">
        <w:trPr>
          <w:trHeight w:val="280"/>
          <w:jc w:val="center"/>
        </w:trPr>
        <w:tc>
          <w:tcPr>
            <w:tcW w:w="2980" w:type="dxa"/>
            <w:shd w:val="clear" w:color="auto" w:fill="auto"/>
            <w:vAlign w:val="center"/>
          </w:tcPr>
          <w:p w14:paraId="27018F7D"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Small Party</w:t>
            </w:r>
          </w:p>
        </w:tc>
        <w:tc>
          <w:tcPr>
            <w:tcW w:w="1360" w:type="dxa"/>
            <w:shd w:val="clear" w:color="auto" w:fill="auto"/>
            <w:vAlign w:val="center"/>
          </w:tcPr>
          <w:p w14:paraId="1ED736F1"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-0.595*</w:t>
            </w:r>
          </w:p>
        </w:tc>
        <w:tc>
          <w:tcPr>
            <w:tcW w:w="920" w:type="dxa"/>
            <w:shd w:val="clear" w:color="auto" w:fill="auto"/>
            <w:vAlign w:val="center"/>
          </w:tcPr>
          <w:p w14:paraId="144368B1"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0.55</w:t>
            </w:r>
          </w:p>
        </w:tc>
        <w:tc>
          <w:tcPr>
            <w:tcW w:w="1180" w:type="dxa"/>
            <w:shd w:val="clear" w:color="auto" w:fill="auto"/>
            <w:vAlign w:val="center"/>
          </w:tcPr>
          <w:p w14:paraId="69ED3C4C"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-0.182</w:t>
            </w:r>
          </w:p>
        </w:tc>
        <w:tc>
          <w:tcPr>
            <w:tcW w:w="900" w:type="dxa"/>
            <w:shd w:val="clear" w:color="auto" w:fill="auto"/>
            <w:vAlign w:val="center"/>
          </w:tcPr>
          <w:p w14:paraId="7355070D"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0.83</w:t>
            </w:r>
          </w:p>
        </w:tc>
        <w:tc>
          <w:tcPr>
            <w:tcW w:w="1180" w:type="dxa"/>
            <w:shd w:val="clear" w:color="auto" w:fill="auto"/>
            <w:vAlign w:val="center"/>
          </w:tcPr>
          <w:p w14:paraId="7D00BA94"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0.375**</w:t>
            </w:r>
          </w:p>
        </w:tc>
        <w:tc>
          <w:tcPr>
            <w:tcW w:w="1040" w:type="dxa"/>
            <w:shd w:val="clear" w:color="auto" w:fill="auto"/>
            <w:vAlign w:val="center"/>
          </w:tcPr>
          <w:p w14:paraId="1DE4F067"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1.45</w:t>
            </w:r>
          </w:p>
        </w:tc>
      </w:tr>
      <w:tr w:rsidR="001810BA" w14:paraId="521D3567" w14:textId="77777777">
        <w:trPr>
          <w:trHeight w:val="280"/>
          <w:jc w:val="center"/>
        </w:trPr>
        <w:tc>
          <w:tcPr>
            <w:tcW w:w="2980" w:type="dxa"/>
            <w:shd w:val="clear" w:color="auto" w:fill="auto"/>
            <w:vAlign w:val="center"/>
          </w:tcPr>
          <w:p w14:paraId="00D512E6" w14:textId="77777777" w:rsidR="001810BA" w:rsidRDefault="001810BA">
            <w:pPr>
              <w:jc w:val="both"/>
              <w:rPr>
                <w:rFonts w:ascii="Times New Roman" w:eastAsia="Times New Roman" w:hAnsi="Times New Roman" w:cs="Times New Roman" w:hint="default"/>
                <w:sz w:val="24"/>
                <w:szCs w:val="24"/>
              </w:rPr>
            </w:pPr>
          </w:p>
        </w:tc>
        <w:tc>
          <w:tcPr>
            <w:tcW w:w="1360" w:type="dxa"/>
            <w:shd w:val="clear" w:color="auto" w:fill="auto"/>
            <w:vAlign w:val="center"/>
          </w:tcPr>
          <w:p w14:paraId="1C82FAF0"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(0.286)</w:t>
            </w:r>
          </w:p>
        </w:tc>
        <w:tc>
          <w:tcPr>
            <w:tcW w:w="920" w:type="dxa"/>
            <w:shd w:val="clear" w:color="auto" w:fill="auto"/>
            <w:vAlign w:val="center"/>
          </w:tcPr>
          <w:p w14:paraId="0E53666F"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22C9D9EA"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(0.263)</w:t>
            </w:r>
          </w:p>
        </w:tc>
        <w:tc>
          <w:tcPr>
            <w:tcW w:w="900" w:type="dxa"/>
            <w:shd w:val="clear" w:color="auto" w:fill="auto"/>
            <w:vAlign w:val="center"/>
          </w:tcPr>
          <w:p w14:paraId="69215B42"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14158908"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(0.137)</w:t>
            </w:r>
          </w:p>
        </w:tc>
        <w:tc>
          <w:tcPr>
            <w:tcW w:w="1040" w:type="dxa"/>
            <w:shd w:val="clear" w:color="auto" w:fill="auto"/>
            <w:vAlign w:val="center"/>
          </w:tcPr>
          <w:p w14:paraId="015E3114" w14:textId="77777777" w:rsidR="001810BA" w:rsidRDefault="001810BA">
            <w:pPr>
              <w:jc w:val="both"/>
              <w:rPr>
                <w:rFonts w:ascii="Times New Roman" w:eastAsia="Times New Roman" w:hAnsi="Times New Roman" w:cs="Times New Roman" w:hint="default"/>
                <w:sz w:val="24"/>
                <w:szCs w:val="24"/>
              </w:rPr>
            </w:pPr>
          </w:p>
        </w:tc>
      </w:tr>
      <w:tr w:rsidR="001810BA" w14:paraId="6F759911" w14:textId="77777777">
        <w:trPr>
          <w:trHeight w:val="280"/>
          <w:jc w:val="center"/>
        </w:trPr>
        <w:tc>
          <w:tcPr>
            <w:tcW w:w="2980" w:type="dxa"/>
            <w:shd w:val="clear" w:color="auto" w:fill="auto"/>
            <w:vAlign w:val="center"/>
          </w:tcPr>
          <w:p w14:paraId="5767761D"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Non-Partisan</w:t>
            </w:r>
          </w:p>
        </w:tc>
        <w:tc>
          <w:tcPr>
            <w:tcW w:w="1360" w:type="dxa"/>
            <w:shd w:val="clear" w:color="auto" w:fill="auto"/>
            <w:vAlign w:val="center"/>
          </w:tcPr>
          <w:p w14:paraId="712F40B0"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0.217</w:t>
            </w:r>
          </w:p>
        </w:tc>
        <w:tc>
          <w:tcPr>
            <w:tcW w:w="920" w:type="dxa"/>
            <w:shd w:val="clear" w:color="auto" w:fill="auto"/>
            <w:vAlign w:val="center"/>
          </w:tcPr>
          <w:p w14:paraId="5964C6AE"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1.24</w:t>
            </w:r>
          </w:p>
        </w:tc>
        <w:tc>
          <w:tcPr>
            <w:tcW w:w="1180" w:type="dxa"/>
            <w:shd w:val="clear" w:color="auto" w:fill="auto"/>
            <w:vAlign w:val="center"/>
          </w:tcPr>
          <w:p w14:paraId="3F55E9C8"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-0.270</w:t>
            </w:r>
          </w:p>
        </w:tc>
        <w:tc>
          <w:tcPr>
            <w:tcW w:w="900" w:type="dxa"/>
            <w:shd w:val="clear" w:color="auto" w:fill="auto"/>
            <w:vAlign w:val="center"/>
          </w:tcPr>
          <w:p w14:paraId="1B951C30"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0.76</w:t>
            </w:r>
          </w:p>
        </w:tc>
        <w:tc>
          <w:tcPr>
            <w:tcW w:w="1180" w:type="dxa"/>
            <w:shd w:val="clear" w:color="auto" w:fill="auto"/>
            <w:vAlign w:val="center"/>
          </w:tcPr>
          <w:p w14:paraId="062E762D"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0.770***</w:t>
            </w:r>
          </w:p>
        </w:tc>
        <w:tc>
          <w:tcPr>
            <w:tcW w:w="1040" w:type="dxa"/>
            <w:shd w:val="clear" w:color="auto" w:fill="auto"/>
            <w:vAlign w:val="center"/>
          </w:tcPr>
          <w:p w14:paraId="6280615D"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2.16</w:t>
            </w:r>
          </w:p>
        </w:tc>
      </w:tr>
      <w:tr w:rsidR="001810BA" w14:paraId="24BCEF5C" w14:textId="77777777">
        <w:trPr>
          <w:trHeight w:val="280"/>
          <w:jc w:val="center"/>
        </w:trPr>
        <w:tc>
          <w:tcPr>
            <w:tcW w:w="2980" w:type="dxa"/>
            <w:shd w:val="clear" w:color="auto" w:fill="auto"/>
            <w:vAlign w:val="center"/>
          </w:tcPr>
          <w:p w14:paraId="3A3165DE" w14:textId="77777777" w:rsidR="001810BA" w:rsidRDefault="001810BA">
            <w:pPr>
              <w:jc w:val="both"/>
              <w:rPr>
                <w:rFonts w:ascii="Times New Roman" w:eastAsia="Times New Roman" w:hAnsi="Times New Roman" w:cs="Times New Roman" w:hint="default"/>
                <w:sz w:val="24"/>
                <w:szCs w:val="24"/>
              </w:rPr>
            </w:pPr>
          </w:p>
        </w:tc>
        <w:tc>
          <w:tcPr>
            <w:tcW w:w="1360" w:type="dxa"/>
            <w:shd w:val="clear" w:color="auto" w:fill="auto"/>
            <w:vAlign w:val="center"/>
          </w:tcPr>
          <w:p w14:paraId="37CB343A"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(0.312)</w:t>
            </w:r>
          </w:p>
        </w:tc>
        <w:tc>
          <w:tcPr>
            <w:tcW w:w="920" w:type="dxa"/>
            <w:shd w:val="clear" w:color="auto" w:fill="auto"/>
            <w:vAlign w:val="center"/>
          </w:tcPr>
          <w:p w14:paraId="35E16C85"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70E1E3E6"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(0.206)</w:t>
            </w:r>
          </w:p>
        </w:tc>
        <w:tc>
          <w:tcPr>
            <w:tcW w:w="900" w:type="dxa"/>
            <w:shd w:val="clear" w:color="auto" w:fill="auto"/>
            <w:vAlign w:val="center"/>
          </w:tcPr>
          <w:p w14:paraId="5D127141"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12D2EDBB"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(0.191)</w:t>
            </w:r>
          </w:p>
        </w:tc>
        <w:tc>
          <w:tcPr>
            <w:tcW w:w="1040" w:type="dxa"/>
            <w:shd w:val="clear" w:color="auto" w:fill="auto"/>
            <w:vAlign w:val="center"/>
          </w:tcPr>
          <w:p w14:paraId="527F958B" w14:textId="77777777" w:rsidR="001810BA" w:rsidRDefault="001810BA">
            <w:pPr>
              <w:jc w:val="both"/>
              <w:rPr>
                <w:rFonts w:ascii="Times New Roman" w:eastAsia="Times New Roman" w:hAnsi="Times New Roman" w:cs="Times New Roman" w:hint="default"/>
                <w:sz w:val="24"/>
                <w:szCs w:val="24"/>
              </w:rPr>
            </w:pPr>
          </w:p>
        </w:tc>
      </w:tr>
      <w:tr w:rsidR="001810BA" w14:paraId="14912239" w14:textId="77777777">
        <w:trPr>
          <w:trHeight w:val="280"/>
          <w:jc w:val="center"/>
        </w:trPr>
        <w:tc>
          <w:tcPr>
            <w:tcW w:w="2980" w:type="dxa"/>
            <w:shd w:val="clear" w:color="auto" w:fill="auto"/>
            <w:vAlign w:val="center"/>
          </w:tcPr>
          <w:p w14:paraId="233945CB"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Local Career</w:t>
            </w:r>
          </w:p>
        </w:tc>
        <w:tc>
          <w:tcPr>
            <w:tcW w:w="1360" w:type="dxa"/>
            <w:shd w:val="clear" w:color="auto" w:fill="auto"/>
            <w:vAlign w:val="center"/>
          </w:tcPr>
          <w:p w14:paraId="129A0516"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0.0324</w:t>
            </w:r>
          </w:p>
        </w:tc>
        <w:tc>
          <w:tcPr>
            <w:tcW w:w="920" w:type="dxa"/>
            <w:shd w:val="clear" w:color="auto" w:fill="auto"/>
            <w:vAlign w:val="center"/>
          </w:tcPr>
          <w:p w14:paraId="65859677"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1.03</w:t>
            </w:r>
          </w:p>
        </w:tc>
        <w:tc>
          <w:tcPr>
            <w:tcW w:w="1180" w:type="dxa"/>
            <w:shd w:val="clear" w:color="auto" w:fill="auto"/>
            <w:vAlign w:val="center"/>
          </w:tcPr>
          <w:p w14:paraId="530A40E9"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0.256**</w:t>
            </w:r>
          </w:p>
        </w:tc>
        <w:tc>
          <w:tcPr>
            <w:tcW w:w="900" w:type="dxa"/>
            <w:shd w:val="clear" w:color="auto" w:fill="auto"/>
            <w:vAlign w:val="center"/>
          </w:tcPr>
          <w:p w14:paraId="698A9D10"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1.29</w:t>
            </w:r>
          </w:p>
        </w:tc>
        <w:tc>
          <w:tcPr>
            <w:tcW w:w="1180" w:type="dxa"/>
            <w:shd w:val="clear" w:color="auto" w:fill="auto"/>
            <w:vAlign w:val="center"/>
          </w:tcPr>
          <w:p w14:paraId="594A604E"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-0.220</w:t>
            </w:r>
          </w:p>
        </w:tc>
        <w:tc>
          <w:tcPr>
            <w:tcW w:w="1040" w:type="dxa"/>
            <w:shd w:val="clear" w:color="auto" w:fill="auto"/>
            <w:vAlign w:val="center"/>
          </w:tcPr>
          <w:p w14:paraId="2D660F12"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0.80</w:t>
            </w:r>
          </w:p>
        </w:tc>
      </w:tr>
      <w:tr w:rsidR="001810BA" w14:paraId="36F1A30B" w14:textId="77777777">
        <w:trPr>
          <w:trHeight w:val="280"/>
          <w:jc w:val="center"/>
        </w:trPr>
        <w:tc>
          <w:tcPr>
            <w:tcW w:w="2980" w:type="dxa"/>
            <w:shd w:val="clear" w:color="auto" w:fill="auto"/>
            <w:vAlign w:val="center"/>
          </w:tcPr>
          <w:p w14:paraId="322832B1" w14:textId="77777777" w:rsidR="001810BA" w:rsidRDefault="001810BA">
            <w:pPr>
              <w:jc w:val="both"/>
              <w:rPr>
                <w:rFonts w:ascii="Times New Roman" w:eastAsia="Times New Roman" w:hAnsi="Times New Roman" w:cs="Times New Roman" w:hint="default"/>
                <w:sz w:val="24"/>
                <w:szCs w:val="24"/>
              </w:rPr>
            </w:pPr>
          </w:p>
        </w:tc>
        <w:tc>
          <w:tcPr>
            <w:tcW w:w="1360" w:type="dxa"/>
            <w:shd w:val="clear" w:color="auto" w:fill="auto"/>
            <w:vAlign w:val="center"/>
          </w:tcPr>
          <w:p w14:paraId="145A64C0"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(0.140)</w:t>
            </w:r>
          </w:p>
        </w:tc>
        <w:tc>
          <w:tcPr>
            <w:tcW w:w="920" w:type="dxa"/>
            <w:shd w:val="clear" w:color="auto" w:fill="auto"/>
            <w:vAlign w:val="center"/>
          </w:tcPr>
          <w:p w14:paraId="72404DED"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5F85CD5F"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(0.094)</w:t>
            </w:r>
          </w:p>
        </w:tc>
        <w:tc>
          <w:tcPr>
            <w:tcW w:w="900" w:type="dxa"/>
            <w:shd w:val="clear" w:color="auto" w:fill="auto"/>
            <w:vAlign w:val="center"/>
          </w:tcPr>
          <w:p w14:paraId="24165F04"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02A3CD3B"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(0.133)</w:t>
            </w:r>
          </w:p>
        </w:tc>
        <w:tc>
          <w:tcPr>
            <w:tcW w:w="1040" w:type="dxa"/>
            <w:shd w:val="clear" w:color="auto" w:fill="auto"/>
            <w:vAlign w:val="center"/>
          </w:tcPr>
          <w:p w14:paraId="0DA56E3A" w14:textId="77777777" w:rsidR="001810BA" w:rsidRDefault="001810BA">
            <w:pPr>
              <w:jc w:val="both"/>
              <w:rPr>
                <w:rFonts w:ascii="Times New Roman" w:eastAsia="Times New Roman" w:hAnsi="Times New Roman" w:cs="Times New Roman" w:hint="default"/>
                <w:sz w:val="24"/>
                <w:szCs w:val="24"/>
              </w:rPr>
            </w:pPr>
          </w:p>
        </w:tc>
      </w:tr>
      <w:tr w:rsidR="001810BA" w14:paraId="252130CB" w14:textId="77777777">
        <w:trPr>
          <w:trHeight w:val="280"/>
          <w:jc w:val="center"/>
        </w:trPr>
        <w:tc>
          <w:tcPr>
            <w:tcW w:w="2980" w:type="dxa"/>
            <w:shd w:val="clear" w:color="auto" w:fill="auto"/>
            <w:vAlign w:val="center"/>
          </w:tcPr>
          <w:p w14:paraId="021CB5D0"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Regional Career</w:t>
            </w:r>
          </w:p>
        </w:tc>
        <w:tc>
          <w:tcPr>
            <w:tcW w:w="1360" w:type="dxa"/>
            <w:shd w:val="clear" w:color="auto" w:fill="auto"/>
            <w:vAlign w:val="center"/>
          </w:tcPr>
          <w:p w14:paraId="08651AB3"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0.211</w:t>
            </w:r>
          </w:p>
        </w:tc>
        <w:tc>
          <w:tcPr>
            <w:tcW w:w="920" w:type="dxa"/>
            <w:shd w:val="clear" w:color="auto" w:fill="auto"/>
            <w:vAlign w:val="center"/>
          </w:tcPr>
          <w:p w14:paraId="2AACD6CE"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1.23</w:t>
            </w:r>
          </w:p>
        </w:tc>
        <w:tc>
          <w:tcPr>
            <w:tcW w:w="1180" w:type="dxa"/>
            <w:shd w:val="clear" w:color="auto" w:fill="auto"/>
            <w:vAlign w:val="center"/>
          </w:tcPr>
          <w:p w14:paraId="4F1CF008"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0.125</w:t>
            </w:r>
          </w:p>
        </w:tc>
        <w:tc>
          <w:tcPr>
            <w:tcW w:w="900" w:type="dxa"/>
            <w:shd w:val="clear" w:color="auto" w:fill="auto"/>
            <w:vAlign w:val="center"/>
          </w:tcPr>
          <w:p w14:paraId="03D932B2"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1.13</w:t>
            </w:r>
          </w:p>
        </w:tc>
        <w:tc>
          <w:tcPr>
            <w:tcW w:w="1180" w:type="dxa"/>
            <w:shd w:val="clear" w:color="auto" w:fill="auto"/>
            <w:vAlign w:val="center"/>
          </w:tcPr>
          <w:p w14:paraId="7700BEF4"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-0.021</w:t>
            </w:r>
          </w:p>
        </w:tc>
        <w:tc>
          <w:tcPr>
            <w:tcW w:w="1040" w:type="dxa"/>
            <w:shd w:val="clear" w:color="auto" w:fill="auto"/>
            <w:vAlign w:val="center"/>
          </w:tcPr>
          <w:p w14:paraId="04C83D18"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0.98</w:t>
            </w:r>
          </w:p>
        </w:tc>
      </w:tr>
      <w:tr w:rsidR="001810BA" w14:paraId="1844CD71" w14:textId="77777777">
        <w:trPr>
          <w:trHeight w:val="280"/>
          <w:jc w:val="center"/>
        </w:trPr>
        <w:tc>
          <w:tcPr>
            <w:tcW w:w="2980" w:type="dxa"/>
            <w:shd w:val="clear" w:color="auto" w:fill="auto"/>
            <w:vAlign w:val="center"/>
          </w:tcPr>
          <w:p w14:paraId="485DF83D" w14:textId="77777777" w:rsidR="001810BA" w:rsidRDefault="001810BA">
            <w:pPr>
              <w:jc w:val="both"/>
              <w:rPr>
                <w:rFonts w:ascii="Times New Roman" w:eastAsia="Times New Roman" w:hAnsi="Times New Roman" w:cs="Times New Roman" w:hint="default"/>
                <w:sz w:val="24"/>
                <w:szCs w:val="24"/>
              </w:rPr>
            </w:pPr>
          </w:p>
        </w:tc>
        <w:tc>
          <w:tcPr>
            <w:tcW w:w="1360" w:type="dxa"/>
            <w:shd w:val="clear" w:color="auto" w:fill="auto"/>
            <w:vAlign w:val="center"/>
          </w:tcPr>
          <w:p w14:paraId="1862FF34"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(0.171)</w:t>
            </w:r>
          </w:p>
        </w:tc>
        <w:tc>
          <w:tcPr>
            <w:tcW w:w="920" w:type="dxa"/>
            <w:shd w:val="clear" w:color="auto" w:fill="auto"/>
            <w:vAlign w:val="center"/>
          </w:tcPr>
          <w:p w14:paraId="7DA598C8"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48624C9B"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(0.111)</w:t>
            </w:r>
          </w:p>
        </w:tc>
        <w:tc>
          <w:tcPr>
            <w:tcW w:w="900" w:type="dxa"/>
            <w:shd w:val="clear" w:color="auto" w:fill="auto"/>
            <w:vAlign w:val="center"/>
          </w:tcPr>
          <w:p w14:paraId="35D76B88"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6436FD50"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(0.0829)</w:t>
            </w:r>
          </w:p>
        </w:tc>
        <w:tc>
          <w:tcPr>
            <w:tcW w:w="1040" w:type="dxa"/>
            <w:shd w:val="clear" w:color="auto" w:fill="auto"/>
            <w:vAlign w:val="center"/>
          </w:tcPr>
          <w:p w14:paraId="4D29CCFB" w14:textId="77777777" w:rsidR="001810BA" w:rsidRDefault="001810BA">
            <w:pPr>
              <w:jc w:val="both"/>
              <w:rPr>
                <w:rFonts w:ascii="Times New Roman" w:eastAsia="Times New Roman" w:hAnsi="Times New Roman" w:cs="Times New Roman" w:hint="default"/>
                <w:sz w:val="24"/>
                <w:szCs w:val="24"/>
              </w:rPr>
            </w:pPr>
          </w:p>
        </w:tc>
      </w:tr>
      <w:tr w:rsidR="001810BA" w14:paraId="630E2FCF" w14:textId="77777777">
        <w:trPr>
          <w:trHeight w:val="280"/>
          <w:jc w:val="center"/>
        </w:trPr>
        <w:tc>
          <w:tcPr>
            <w:tcW w:w="2980" w:type="dxa"/>
            <w:shd w:val="clear" w:color="auto" w:fill="auto"/>
            <w:vAlign w:val="center"/>
          </w:tcPr>
          <w:p w14:paraId="18610EF4"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National Career</w:t>
            </w:r>
          </w:p>
        </w:tc>
        <w:tc>
          <w:tcPr>
            <w:tcW w:w="1360" w:type="dxa"/>
            <w:shd w:val="clear" w:color="auto" w:fill="auto"/>
            <w:vAlign w:val="center"/>
          </w:tcPr>
          <w:p w14:paraId="685D9717"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0.210**</w:t>
            </w:r>
          </w:p>
        </w:tc>
        <w:tc>
          <w:tcPr>
            <w:tcW w:w="920" w:type="dxa"/>
            <w:shd w:val="clear" w:color="auto" w:fill="auto"/>
            <w:vAlign w:val="center"/>
          </w:tcPr>
          <w:p w14:paraId="253E4767"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1.23</w:t>
            </w:r>
          </w:p>
        </w:tc>
        <w:tc>
          <w:tcPr>
            <w:tcW w:w="1180" w:type="dxa"/>
            <w:shd w:val="clear" w:color="auto" w:fill="auto"/>
            <w:vAlign w:val="center"/>
          </w:tcPr>
          <w:p w14:paraId="12756B29"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-0.289</w:t>
            </w:r>
          </w:p>
        </w:tc>
        <w:tc>
          <w:tcPr>
            <w:tcW w:w="900" w:type="dxa"/>
            <w:shd w:val="clear" w:color="auto" w:fill="auto"/>
            <w:vAlign w:val="center"/>
          </w:tcPr>
          <w:p w14:paraId="076F2B8B"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0.75</w:t>
            </w:r>
          </w:p>
        </w:tc>
        <w:tc>
          <w:tcPr>
            <w:tcW w:w="1180" w:type="dxa"/>
            <w:shd w:val="clear" w:color="auto" w:fill="auto"/>
            <w:vAlign w:val="center"/>
          </w:tcPr>
          <w:p w14:paraId="615736F1"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0.0935</w:t>
            </w:r>
          </w:p>
        </w:tc>
        <w:tc>
          <w:tcPr>
            <w:tcW w:w="1040" w:type="dxa"/>
            <w:shd w:val="clear" w:color="auto" w:fill="auto"/>
            <w:vAlign w:val="center"/>
          </w:tcPr>
          <w:p w14:paraId="3BB1DB25"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1.1</w:t>
            </w:r>
          </w:p>
        </w:tc>
      </w:tr>
      <w:tr w:rsidR="001810BA" w14:paraId="392AC9A1" w14:textId="77777777">
        <w:trPr>
          <w:trHeight w:val="280"/>
          <w:jc w:val="center"/>
        </w:trPr>
        <w:tc>
          <w:tcPr>
            <w:tcW w:w="2980" w:type="dxa"/>
            <w:shd w:val="clear" w:color="auto" w:fill="auto"/>
            <w:vAlign w:val="center"/>
          </w:tcPr>
          <w:p w14:paraId="479C4EB6" w14:textId="77777777" w:rsidR="001810BA" w:rsidRDefault="001810BA">
            <w:pPr>
              <w:jc w:val="both"/>
              <w:rPr>
                <w:rFonts w:ascii="Times New Roman" w:eastAsia="Times New Roman" w:hAnsi="Times New Roman" w:cs="Times New Roman" w:hint="default"/>
                <w:sz w:val="24"/>
                <w:szCs w:val="24"/>
              </w:rPr>
            </w:pPr>
          </w:p>
        </w:tc>
        <w:tc>
          <w:tcPr>
            <w:tcW w:w="1360" w:type="dxa"/>
            <w:shd w:val="clear" w:color="auto" w:fill="auto"/>
            <w:vAlign w:val="center"/>
          </w:tcPr>
          <w:p w14:paraId="5DDF2E6E"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(0.074)</w:t>
            </w:r>
          </w:p>
        </w:tc>
        <w:tc>
          <w:tcPr>
            <w:tcW w:w="920" w:type="dxa"/>
            <w:shd w:val="clear" w:color="auto" w:fill="auto"/>
            <w:vAlign w:val="center"/>
          </w:tcPr>
          <w:p w14:paraId="65EC7863"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729BA2C2"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(0.251)</w:t>
            </w:r>
          </w:p>
        </w:tc>
        <w:tc>
          <w:tcPr>
            <w:tcW w:w="900" w:type="dxa"/>
            <w:shd w:val="clear" w:color="auto" w:fill="auto"/>
            <w:vAlign w:val="center"/>
          </w:tcPr>
          <w:p w14:paraId="461B4E99"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27A554EF"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(0.0872)</w:t>
            </w:r>
          </w:p>
        </w:tc>
        <w:tc>
          <w:tcPr>
            <w:tcW w:w="1040" w:type="dxa"/>
            <w:shd w:val="clear" w:color="auto" w:fill="auto"/>
            <w:vAlign w:val="center"/>
          </w:tcPr>
          <w:p w14:paraId="37D35ED0" w14:textId="77777777" w:rsidR="001810BA" w:rsidRDefault="001810BA">
            <w:pPr>
              <w:jc w:val="both"/>
              <w:rPr>
                <w:rFonts w:ascii="Times New Roman" w:eastAsia="Times New Roman" w:hAnsi="Times New Roman" w:cs="Times New Roman" w:hint="default"/>
                <w:sz w:val="24"/>
                <w:szCs w:val="24"/>
              </w:rPr>
            </w:pPr>
          </w:p>
        </w:tc>
      </w:tr>
      <w:tr w:rsidR="001810BA" w14:paraId="7D438794" w14:textId="77777777">
        <w:trPr>
          <w:trHeight w:val="280"/>
          <w:jc w:val="center"/>
        </w:trPr>
        <w:tc>
          <w:tcPr>
            <w:tcW w:w="2980" w:type="dxa"/>
            <w:shd w:val="clear" w:color="auto" w:fill="auto"/>
            <w:vAlign w:val="center"/>
          </w:tcPr>
          <w:p w14:paraId="73F69C0E" w14:textId="77777777" w:rsidR="001810BA" w:rsidRDefault="001810BA">
            <w:pPr>
              <w:jc w:val="both"/>
              <w:rPr>
                <w:rFonts w:ascii="Times New Roman" w:eastAsia="Times New Roman" w:hAnsi="Times New Roman" w:cs="Times New Roman" w:hint="default"/>
                <w:sz w:val="24"/>
                <w:szCs w:val="24"/>
              </w:rPr>
            </w:pPr>
          </w:p>
        </w:tc>
        <w:tc>
          <w:tcPr>
            <w:tcW w:w="1360" w:type="dxa"/>
            <w:shd w:val="clear" w:color="auto" w:fill="auto"/>
            <w:vAlign w:val="center"/>
          </w:tcPr>
          <w:p w14:paraId="0FD3813D" w14:textId="77777777" w:rsidR="001810BA" w:rsidRDefault="001810BA">
            <w:pPr>
              <w:jc w:val="both"/>
              <w:rPr>
                <w:rFonts w:ascii="Times New Roman" w:eastAsia="Times New Roman" w:hAnsi="Times New Roman" w:cs="Times New Roman" w:hint="default"/>
                <w:sz w:val="24"/>
                <w:szCs w:val="24"/>
              </w:rPr>
            </w:pPr>
          </w:p>
        </w:tc>
        <w:tc>
          <w:tcPr>
            <w:tcW w:w="920" w:type="dxa"/>
            <w:shd w:val="clear" w:color="auto" w:fill="auto"/>
            <w:vAlign w:val="center"/>
          </w:tcPr>
          <w:p w14:paraId="53C6745A"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52CFE94E" w14:textId="77777777" w:rsidR="001810BA" w:rsidRDefault="001810BA">
            <w:pPr>
              <w:jc w:val="both"/>
              <w:rPr>
                <w:rFonts w:ascii="Times New Roman" w:eastAsia="Times New Roman" w:hAnsi="Times New Roman" w:cs="Times New Roman" w:hint="default"/>
                <w:sz w:val="24"/>
                <w:szCs w:val="24"/>
              </w:rPr>
            </w:pPr>
          </w:p>
        </w:tc>
        <w:tc>
          <w:tcPr>
            <w:tcW w:w="900" w:type="dxa"/>
            <w:shd w:val="clear" w:color="auto" w:fill="auto"/>
            <w:vAlign w:val="center"/>
          </w:tcPr>
          <w:p w14:paraId="5C4791A1"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5BD5BA5A" w14:textId="77777777" w:rsidR="001810BA" w:rsidRDefault="001810BA">
            <w:pPr>
              <w:jc w:val="both"/>
              <w:rPr>
                <w:rFonts w:ascii="Times New Roman" w:eastAsia="Times New Roman" w:hAnsi="Times New Roman" w:cs="Times New Roman" w:hint="default"/>
                <w:sz w:val="24"/>
                <w:szCs w:val="24"/>
              </w:rPr>
            </w:pPr>
          </w:p>
        </w:tc>
        <w:tc>
          <w:tcPr>
            <w:tcW w:w="1040" w:type="dxa"/>
            <w:shd w:val="clear" w:color="auto" w:fill="auto"/>
            <w:vAlign w:val="center"/>
          </w:tcPr>
          <w:p w14:paraId="73F2AC9B" w14:textId="77777777" w:rsidR="001810BA" w:rsidRDefault="001810BA">
            <w:pPr>
              <w:jc w:val="both"/>
              <w:rPr>
                <w:rFonts w:ascii="Times New Roman" w:eastAsia="Times New Roman" w:hAnsi="Times New Roman" w:cs="Times New Roman" w:hint="default"/>
                <w:sz w:val="24"/>
                <w:szCs w:val="24"/>
              </w:rPr>
            </w:pPr>
          </w:p>
        </w:tc>
      </w:tr>
      <w:tr w:rsidR="001810BA" w14:paraId="53C4B2E9" w14:textId="77777777">
        <w:trPr>
          <w:trHeight w:val="280"/>
          <w:jc w:val="center"/>
        </w:trPr>
        <w:tc>
          <w:tcPr>
            <w:tcW w:w="2980" w:type="dxa"/>
            <w:shd w:val="clear" w:color="auto" w:fill="auto"/>
            <w:vAlign w:val="center"/>
          </w:tcPr>
          <w:p w14:paraId="3AB4FFA2"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Control Variables</w:t>
            </w:r>
          </w:p>
        </w:tc>
        <w:tc>
          <w:tcPr>
            <w:tcW w:w="1360" w:type="dxa"/>
            <w:shd w:val="clear" w:color="auto" w:fill="auto"/>
            <w:vAlign w:val="center"/>
          </w:tcPr>
          <w:p w14:paraId="4B591F3F" w14:textId="77777777" w:rsidR="001810BA" w:rsidRDefault="001810BA">
            <w:pPr>
              <w:jc w:val="both"/>
              <w:rPr>
                <w:rFonts w:ascii="Times New Roman" w:eastAsia="Times New Roman" w:hAnsi="Times New Roman" w:cs="Times New Roman" w:hint="default"/>
                <w:sz w:val="24"/>
                <w:szCs w:val="24"/>
              </w:rPr>
            </w:pPr>
          </w:p>
        </w:tc>
        <w:tc>
          <w:tcPr>
            <w:tcW w:w="920" w:type="dxa"/>
            <w:shd w:val="clear" w:color="auto" w:fill="auto"/>
            <w:vAlign w:val="center"/>
          </w:tcPr>
          <w:p w14:paraId="7D656E19"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312B94D4" w14:textId="77777777" w:rsidR="001810BA" w:rsidRDefault="001810BA">
            <w:pPr>
              <w:jc w:val="both"/>
              <w:rPr>
                <w:rFonts w:ascii="Times New Roman" w:eastAsia="Times New Roman" w:hAnsi="Times New Roman" w:cs="Times New Roman" w:hint="default"/>
                <w:sz w:val="24"/>
                <w:szCs w:val="24"/>
              </w:rPr>
            </w:pPr>
          </w:p>
        </w:tc>
        <w:tc>
          <w:tcPr>
            <w:tcW w:w="900" w:type="dxa"/>
            <w:shd w:val="clear" w:color="auto" w:fill="auto"/>
            <w:vAlign w:val="center"/>
          </w:tcPr>
          <w:p w14:paraId="4895A8C6"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2C01281F" w14:textId="77777777" w:rsidR="001810BA" w:rsidRDefault="001810BA">
            <w:pPr>
              <w:jc w:val="both"/>
              <w:rPr>
                <w:rFonts w:ascii="Times New Roman" w:eastAsia="Times New Roman" w:hAnsi="Times New Roman" w:cs="Times New Roman" w:hint="default"/>
                <w:sz w:val="24"/>
                <w:szCs w:val="24"/>
              </w:rPr>
            </w:pPr>
          </w:p>
        </w:tc>
        <w:tc>
          <w:tcPr>
            <w:tcW w:w="1040" w:type="dxa"/>
            <w:shd w:val="clear" w:color="auto" w:fill="auto"/>
            <w:vAlign w:val="center"/>
          </w:tcPr>
          <w:p w14:paraId="43620072" w14:textId="77777777" w:rsidR="001810BA" w:rsidRDefault="001810BA">
            <w:pPr>
              <w:jc w:val="both"/>
              <w:rPr>
                <w:rFonts w:ascii="Times New Roman" w:eastAsia="Times New Roman" w:hAnsi="Times New Roman" w:cs="Times New Roman" w:hint="default"/>
                <w:sz w:val="24"/>
                <w:szCs w:val="24"/>
              </w:rPr>
            </w:pPr>
          </w:p>
        </w:tc>
      </w:tr>
      <w:tr w:rsidR="001810BA" w14:paraId="21CB1E8A" w14:textId="77777777">
        <w:trPr>
          <w:trHeight w:val="280"/>
          <w:jc w:val="center"/>
        </w:trPr>
        <w:tc>
          <w:tcPr>
            <w:tcW w:w="2980" w:type="dxa"/>
            <w:shd w:val="clear" w:color="auto" w:fill="auto"/>
            <w:vAlign w:val="center"/>
          </w:tcPr>
          <w:p w14:paraId="6246F061"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Age: Reference category 39 or less years</w:t>
            </w:r>
          </w:p>
        </w:tc>
        <w:tc>
          <w:tcPr>
            <w:tcW w:w="1360" w:type="dxa"/>
            <w:shd w:val="clear" w:color="auto" w:fill="auto"/>
            <w:vAlign w:val="center"/>
          </w:tcPr>
          <w:p w14:paraId="25774E9F" w14:textId="77777777" w:rsidR="001810BA" w:rsidRDefault="001810BA">
            <w:pPr>
              <w:jc w:val="both"/>
              <w:rPr>
                <w:rFonts w:ascii="Times New Roman" w:eastAsia="Times New Roman" w:hAnsi="Times New Roman" w:cs="Times New Roman" w:hint="default"/>
                <w:sz w:val="24"/>
                <w:szCs w:val="24"/>
              </w:rPr>
            </w:pPr>
          </w:p>
        </w:tc>
        <w:tc>
          <w:tcPr>
            <w:tcW w:w="920" w:type="dxa"/>
            <w:shd w:val="clear" w:color="auto" w:fill="auto"/>
            <w:vAlign w:val="center"/>
          </w:tcPr>
          <w:p w14:paraId="76FA018C"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2D14983D" w14:textId="77777777" w:rsidR="001810BA" w:rsidRDefault="001810BA">
            <w:pPr>
              <w:jc w:val="both"/>
              <w:rPr>
                <w:rFonts w:ascii="Times New Roman" w:eastAsia="Times New Roman" w:hAnsi="Times New Roman" w:cs="Times New Roman" w:hint="default"/>
                <w:sz w:val="24"/>
                <w:szCs w:val="24"/>
              </w:rPr>
            </w:pPr>
          </w:p>
        </w:tc>
        <w:tc>
          <w:tcPr>
            <w:tcW w:w="900" w:type="dxa"/>
            <w:shd w:val="clear" w:color="auto" w:fill="auto"/>
            <w:vAlign w:val="center"/>
          </w:tcPr>
          <w:p w14:paraId="1C81FB27"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2A0EEF54" w14:textId="77777777" w:rsidR="001810BA" w:rsidRDefault="001810BA">
            <w:pPr>
              <w:jc w:val="both"/>
              <w:rPr>
                <w:rFonts w:ascii="Times New Roman" w:eastAsia="Times New Roman" w:hAnsi="Times New Roman" w:cs="Times New Roman" w:hint="default"/>
                <w:sz w:val="24"/>
                <w:szCs w:val="24"/>
              </w:rPr>
            </w:pPr>
          </w:p>
        </w:tc>
        <w:tc>
          <w:tcPr>
            <w:tcW w:w="1040" w:type="dxa"/>
            <w:shd w:val="clear" w:color="auto" w:fill="auto"/>
            <w:vAlign w:val="center"/>
          </w:tcPr>
          <w:p w14:paraId="7B045BAD" w14:textId="77777777" w:rsidR="001810BA" w:rsidRDefault="001810BA">
            <w:pPr>
              <w:jc w:val="both"/>
              <w:rPr>
                <w:rFonts w:ascii="Times New Roman" w:eastAsia="Times New Roman" w:hAnsi="Times New Roman" w:cs="Times New Roman" w:hint="default"/>
                <w:sz w:val="24"/>
                <w:szCs w:val="24"/>
              </w:rPr>
            </w:pPr>
          </w:p>
        </w:tc>
      </w:tr>
      <w:tr w:rsidR="001810BA" w14:paraId="318C2211" w14:textId="77777777">
        <w:trPr>
          <w:trHeight w:val="280"/>
          <w:jc w:val="center"/>
        </w:trPr>
        <w:tc>
          <w:tcPr>
            <w:tcW w:w="2980" w:type="dxa"/>
            <w:shd w:val="clear" w:color="auto" w:fill="auto"/>
            <w:vAlign w:val="center"/>
          </w:tcPr>
          <w:p w14:paraId="2E83242B"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40-49</w:t>
            </w:r>
          </w:p>
        </w:tc>
        <w:tc>
          <w:tcPr>
            <w:tcW w:w="1360" w:type="dxa"/>
            <w:shd w:val="clear" w:color="auto" w:fill="auto"/>
            <w:vAlign w:val="center"/>
          </w:tcPr>
          <w:p w14:paraId="57327D1D"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0.067</w:t>
            </w:r>
          </w:p>
        </w:tc>
        <w:tc>
          <w:tcPr>
            <w:tcW w:w="920" w:type="dxa"/>
            <w:shd w:val="clear" w:color="auto" w:fill="auto"/>
            <w:vAlign w:val="center"/>
          </w:tcPr>
          <w:p w14:paraId="3AAA4573"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1.07</w:t>
            </w:r>
          </w:p>
        </w:tc>
        <w:tc>
          <w:tcPr>
            <w:tcW w:w="1180" w:type="dxa"/>
            <w:shd w:val="clear" w:color="auto" w:fill="auto"/>
            <w:vAlign w:val="center"/>
          </w:tcPr>
          <w:p w14:paraId="6BAB706F"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-0.200</w:t>
            </w:r>
          </w:p>
        </w:tc>
        <w:tc>
          <w:tcPr>
            <w:tcW w:w="900" w:type="dxa"/>
            <w:shd w:val="clear" w:color="auto" w:fill="auto"/>
            <w:vAlign w:val="center"/>
          </w:tcPr>
          <w:p w14:paraId="29F7A2E1"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0.82</w:t>
            </w:r>
          </w:p>
        </w:tc>
        <w:tc>
          <w:tcPr>
            <w:tcW w:w="1180" w:type="dxa"/>
            <w:shd w:val="clear" w:color="auto" w:fill="auto"/>
            <w:vAlign w:val="center"/>
          </w:tcPr>
          <w:p w14:paraId="62BC19DA"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0.597*</w:t>
            </w:r>
          </w:p>
        </w:tc>
        <w:tc>
          <w:tcPr>
            <w:tcW w:w="1040" w:type="dxa"/>
            <w:shd w:val="clear" w:color="auto" w:fill="auto"/>
            <w:vAlign w:val="center"/>
          </w:tcPr>
          <w:p w14:paraId="58F9DF43"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1.82</w:t>
            </w:r>
          </w:p>
        </w:tc>
      </w:tr>
      <w:tr w:rsidR="001810BA" w14:paraId="461D4149" w14:textId="77777777">
        <w:trPr>
          <w:trHeight w:val="280"/>
          <w:jc w:val="center"/>
        </w:trPr>
        <w:tc>
          <w:tcPr>
            <w:tcW w:w="2980" w:type="dxa"/>
            <w:shd w:val="clear" w:color="auto" w:fill="auto"/>
            <w:vAlign w:val="center"/>
          </w:tcPr>
          <w:p w14:paraId="13A0123A" w14:textId="77777777" w:rsidR="001810BA" w:rsidRDefault="001810BA">
            <w:pPr>
              <w:jc w:val="both"/>
              <w:rPr>
                <w:rFonts w:ascii="Times New Roman" w:eastAsia="Times New Roman" w:hAnsi="Times New Roman" w:cs="Times New Roman" w:hint="default"/>
                <w:sz w:val="24"/>
                <w:szCs w:val="24"/>
              </w:rPr>
            </w:pPr>
          </w:p>
        </w:tc>
        <w:tc>
          <w:tcPr>
            <w:tcW w:w="1360" w:type="dxa"/>
            <w:shd w:val="clear" w:color="auto" w:fill="auto"/>
            <w:vAlign w:val="center"/>
          </w:tcPr>
          <w:p w14:paraId="166102BB"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(0.402)</w:t>
            </w:r>
          </w:p>
        </w:tc>
        <w:tc>
          <w:tcPr>
            <w:tcW w:w="920" w:type="dxa"/>
            <w:shd w:val="clear" w:color="auto" w:fill="auto"/>
            <w:vAlign w:val="center"/>
          </w:tcPr>
          <w:p w14:paraId="284A8467"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328D6BE0"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(0.491)</w:t>
            </w:r>
          </w:p>
        </w:tc>
        <w:tc>
          <w:tcPr>
            <w:tcW w:w="900" w:type="dxa"/>
            <w:shd w:val="clear" w:color="auto" w:fill="auto"/>
            <w:vAlign w:val="center"/>
          </w:tcPr>
          <w:p w14:paraId="25AC74B3"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51FDAC76"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(0.258)</w:t>
            </w:r>
          </w:p>
        </w:tc>
        <w:tc>
          <w:tcPr>
            <w:tcW w:w="1040" w:type="dxa"/>
            <w:shd w:val="clear" w:color="auto" w:fill="auto"/>
            <w:vAlign w:val="center"/>
          </w:tcPr>
          <w:p w14:paraId="7BF3C8B1" w14:textId="77777777" w:rsidR="001810BA" w:rsidRDefault="001810BA">
            <w:pPr>
              <w:jc w:val="both"/>
              <w:rPr>
                <w:rFonts w:ascii="Times New Roman" w:eastAsia="Times New Roman" w:hAnsi="Times New Roman" w:cs="Times New Roman" w:hint="default"/>
                <w:sz w:val="24"/>
                <w:szCs w:val="24"/>
              </w:rPr>
            </w:pPr>
          </w:p>
        </w:tc>
      </w:tr>
      <w:tr w:rsidR="001810BA" w14:paraId="36F7FEA4" w14:textId="77777777">
        <w:trPr>
          <w:trHeight w:val="280"/>
          <w:jc w:val="center"/>
        </w:trPr>
        <w:tc>
          <w:tcPr>
            <w:tcW w:w="2980" w:type="dxa"/>
            <w:shd w:val="clear" w:color="auto" w:fill="auto"/>
            <w:vAlign w:val="center"/>
          </w:tcPr>
          <w:p w14:paraId="5C1B4DBE"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50-59</w:t>
            </w:r>
          </w:p>
        </w:tc>
        <w:tc>
          <w:tcPr>
            <w:tcW w:w="1360" w:type="dxa"/>
            <w:shd w:val="clear" w:color="auto" w:fill="auto"/>
            <w:vAlign w:val="center"/>
          </w:tcPr>
          <w:p w14:paraId="54962E19"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-0.633**</w:t>
            </w:r>
          </w:p>
        </w:tc>
        <w:tc>
          <w:tcPr>
            <w:tcW w:w="920" w:type="dxa"/>
            <w:shd w:val="clear" w:color="auto" w:fill="auto"/>
            <w:vAlign w:val="center"/>
          </w:tcPr>
          <w:p w14:paraId="756DF19C"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0.53</w:t>
            </w:r>
          </w:p>
        </w:tc>
        <w:tc>
          <w:tcPr>
            <w:tcW w:w="1180" w:type="dxa"/>
            <w:shd w:val="clear" w:color="auto" w:fill="auto"/>
            <w:vAlign w:val="center"/>
          </w:tcPr>
          <w:p w14:paraId="503619C4"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-0.760</w:t>
            </w:r>
          </w:p>
        </w:tc>
        <w:tc>
          <w:tcPr>
            <w:tcW w:w="900" w:type="dxa"/>
            <w:shd w:val="clear" w:color="auto" w:fill="auto"/>
            <w:vAlign w:val="center"/>
          </w:tcPr>
          <w:p w14:paraId="5785DF7F"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0.48</w:t>
            </w:r>
          </w:p>
        </w:tc>
        <w:tc>
          <w:tcPr>
            <w:tcW w:w="1180" w:type="dxa"/>
            <w:shd w:val="clear" w:color="auto" w:fill="auto"/>
            <w:vAlign w:val="center"/>
          </w:tcPr>
          <w:p w14:paraId="0D7B9705"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1.179***</w:t>
            </w:r>
          </w:p>
        </w:tc>
        <w:tc>
          <w:tcPr>
            <w:tcW w:w="1040" w:type="dxa"/>
            <w:shd w:val="clear" w:color="auto" w:fill="auto"/>
            <w:vAlign w:val="center"/>
          </w:tcPr>
          <w:p w14:paraId="789EF3BF"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3.25</w:t>
            </w:r>
          </w:p>
        </w:tc>
      </w:tr>
      <w:tr w:rsidR="001810BA" w14:paraId="4337BC1B" w14:textId="77777777">
        <w:trPr>
          <w:trHeight w:val="280"/>
          <w:jc w:val="center"/>
        </w:trPr>
        <w:tc>
          <w:tcPr>
            <w:tcW w:w="2980" w:type="dxa"/>
            <w:shd w:val="clear" w:color="auto" w:fill="auto"/>
            <w:vAlign w:val="center"/>
          </w:tcPr>
          <w:p w14:paraId="4E37B7E6" w14:textId="77777777" w:rsidR="001810BA" w:rsidRDefault="001810BA">
            <w:pPr>
              <w:jc w:val="both"/>
              <w:rPr>
                <w:rFonts w:ascii="Times New Roman" w:eastAsia="Times New Roman" w:hAnsi="Times New Roman" w:cs="Times New Roman" w:hint="default"/>
                <w:sz w:val="24"/>
                <w:szCs w:val="24"/>
              </w:rPr>
            </w:pPr>
          </w:p>
        </w:tc>
        <w:tc>
          <w:tcPr>
            <w:tcW w:w="1360" w:type="dxa"/>
            <w:shd w:val="clear" w:color="auto" w:fill="auto"/>
            <w:vAlign w:val="center"/>
          </w:tcPr>
          <w:p w14:paraId="15B17695"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(0.224)</w:t>
            </w:r>
          </w:p>
        </w:tc>
        <w:tc>
          <w:tcPr>
            <w:tcW w:w="920" w:type="dxa"/>
            <w:shd w:val="clear" w:color="auto" w:fill="auto"/>
            <w:vAlign w:val="center"/>
          </w:tcPr>
          <w:p w14:paraId="0C03420D"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08D239A3"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(0.548)</w:t>
            </w:r>
          </w:p>
        </w:tc>
        <w:tc>
          <w:tcPr>
            <w:tcW w:w="900" w:type="dxa"/>
            <w:shd w:val="clear" w:color="auto" w:fill="auto"/>
            <w:vAlign w:val="center"/>
          </w:tcPr>
          <w:p w14:paraId="5EED9901"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5E181A9A"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(0.274)</w:t>
            </w:r>
          </w:p>
        </w:tc>
        <w:tc>
          <w:tcPr>
            <w:tcW w:w="1040" w:type="dxa"/>
            <w:shd w:val="clear" w:color="auto" w:fill="auto"/>
            <w:vAlign w:val="center"/>
          </w:tcPr>
          <w:p w14:paraId="15597632" w14:textId="77777777" w:rsidR="001810BA" w:rsidRDefault="001810BA">
            <w:pPr>
              <w:jc w:val="both"/>
              <w:rPr>
                <w:rFonts w:ascii="Times New Roman" w:eastAsia="Times New Roman" w:hAnsi="Times New Roman" w:cs="Times New Roman" w:hint="default"/>
                <w:sz w:val="24"/>
                <w:szCs w:val="24"/>
              </w:rPr>
            </w:pPr>
          </w:p>
        </w:tc>
      </w:tr>
      <w:tr w:rsidR="001810BA" w14:paraId="22504D6F" w14:textId="77777777">
        <w:trPr>
          <w:trHeight w:val="280"/>
          <w:jc w:val="center"/>
        </w:trPr>
        <w:tc>
          <w:tcPr>
            <w:tcW w:w="2980" w:type="dxa"/>
            <w:shd w:val="clear" w:color="auto" w:fill="auto"/>
            <w:vAlign w:val="center"/>
          </w:tcPr>
          <w:p w14:paraId="5D370F47"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60 or more</w:t>
            </w:r>
          </w:p>
        </w:tc>
        <w:tc>
          <w:tcPr>
            <w:tcW w:w="1360" w:type="dxa"/>
            <w:shd w:val="clear" w:color="auto" w:fill="auto"/>
            <w:vAlign w:val="center"/>
          </w:tcPr>
          <w:p w14:paraId="3B6C8FD9"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-1.603***</w:t>
            </w:r>
          </w:p>
        </w:tc>
        <w:tc>
          <w:tcPr>
            <w:tcW w:w="920" w:type="dxa"/>
            <w:shd w:val="clear" w:color="auto" w:fill="auto"/>
            <w:vAlign w:val="center"/>
          </w:tcPr>
          <w:p w14:paraId="3D81458D"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0.20</w:t>
            </w:r>
          </w:p>
        </w:tc>
        <w:tc>
          <w:tcPr>
            <w:tcW w:w="1180" w:type="dxa"/>
            <w:shd w:val="clear" w:color="auto" w:fill="auto"/>
            <w:vAlign w:val="center"/>
          </w:tcPr>
          <w:p w14:paraId="5FE68D5A"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-0.479</w:t>
            </w:r>
          </w:p>
        </w:tc>
        <w:tc>
          <w:tcPr>
            <w:tcW w:w="900" w:type="dxa"/>
            <w:shd w:val="clear" w:color="auto" w:fill="auto"/>
            <w:vAlign w:val="center"/>
          </w:tcPr>
          <w:p w14:paraId="6F5D1E13"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0.62</w:t>
            </w:r>
          </w:p>
        </w:tc>
        <w:tc>
          <w:tcPr>
            <w:tcW w:w="1180" w:type="dxa"/>
            <w:shd w:val="clear" w:color="auto" w:fill="auto"/>
            <w:vAlign w:val="center"/>
          </w:tcPr>
          <w:p w14:paraId="07764502"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1.730***</w:t>
            </w:r>
          </w:p>
        </w:tc>
        <w:tc>
          <w:tcPr>
            <w:tcW w:w="1040" w:type="dxa"/>
            <w:shd w:val="clear" w:color="auto" w:fill="auto"/>
            <w:vAlign w:val="center"/>
          </w:tcPr>
          <w:p w14:paraId="3D60B137"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5.64</w:t>
            </w:r>
          </w:p>
        </w:tc>
      </w:tr>
      <w:tr w:rsidR="001810BA" w14:paraId="0ED60B63" w14:textId="77777777">
        <w:trPr>
          <w:trHeight w:val="280"/>
          <w:jc w:val="center"/>
        </w:trPr>
        <w:tc>
          <w:tcPr>
            <w:tcW w:w="2980" w:type="dxa"/>
            <w:shd w:val="clear" w:color="auto" w:fill="auto"/>
            <w:vAlign w:val="center"/>
          </w:tcPr>
          <w:p w14:paraId="7F3BB080" w14:textId="77777777" w:rsidR="001810BA" w:rsidRDefault="001810BA">
            <w:pPr>
              <w:jc w:val="both"/>
              <w:rPr>
                <w:rFonts w:ascii="Times New Roman" w:eastAsia="Times New Roman" w:hAnsi="Times New Roman" w:cs="Times New Roman" w:hint="default"/>
                <w:sz w:val="24"/>
                <w:szCs w:val="24"/>
              </w:rPr>
            </w:pPr>
          </w:p>
        </w:tc>
        <w:tc>
          <w:tcPr>
            <w:tcW w:w="1360" w:type="dxa"/>
            <w:shd w:val="clear" w:color="auto" w:fill="auto"/>
            <w:vAlign w:val="center"/>
          </w:tcPr>
          <w:p w14:paraId="4B5ECEE0"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(0.403)</w:t>
            </w:r>
          </w:p>
        </w:tc>
        <w:tc>
          <w:tcPr>
            <w:tcW w:w="920" w:type="dxa"/>
            <w:shd w:val="clear" w:color="auto" w:fill="auto"/>
            <w:vAlign w:val="center"/>
          </w:tcPr>
          <w:p w14:paraId="32E33290"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0E7450A9"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(0.614)</w:t>
            </w:r>
          </w:p>
        </w:tc>
        <w:tc>
          <w:tcPr>
            <w:tcW w:w="900" w:type="dxa"/>
            <w:shd w:val="clear" w:color="auto" w:fill="auto"/>
            <w:vAlign w:val="center"/>
          </w:tcPr>
          <w:p w14:paraId="75E86BDF"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2356381F"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(0.321)</w:t>
            </w:r>
          </w:p>
        </w:tc>
        <w:tc>
          <w:tcPr>
            <w:tcW w:w="1040" w:type="dxa"/>
            <w:shd w:val="clear" w:color="auto" w:fill="auto"/>
            <w:vAlign w:val="center"/>
          </w:tcPr>
          <w:p w14:paraId="05783418" w14:textId="77777777" w:rsidR="001810BA" w:rsidRDefault="001810BA">
            <w:pPr>
              <w:jc w:val="both"/>
              <w:rPr>
                <w:rFonts w:ascii="Times New Roman" w:eastAsia="Times New Roman" w:hAnsi="Times New Roman" w:cs="Times New Roman" w:hint="default"/>
                <w:sz w:val="24"/>
                <w:szCs w:val="24"/>
              </w:rPr>
            </w:pPr>
          </w:p>
        </w:tc>
      </w:tr>
      <w:tr w:rsidR="001810BA" w14:paraId="738E3AA7" w14:textId="77777777">
        <w:trPr>
          <w:trHeight w:val="280"/>
          <w:jc w:val="center"/>
        </w:trPr>
        <w:tc>
          <w:tcPr>
            <w:tcW w:w="2980" w:type="dxa"/>
            <w:shd w:val="clear" w:color="auto" w:fill="auto"/>
            <w:vAlign w:val="center"/>
          </w:tcPr>
          <w:p w14:paraId="6173F6F0"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Early interruption</w:t>
            </w:r>
          </w:p>
        </w:tc>
        <w:tc>
          <w:tcPr>
            <w:tcW w:w="1360" w:type="dxa"/>
            <w:shd w:val="clear" w:color="auto" w:fill="auto"/>
            <w:vAlign w:val="center"/>
          </w:tcPr>
          <w:p w14:paraId="4B2070B5"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1.246***</w:t>
            </w:r>
          </w:p>
        </w:tc>
        <w:tc>
          <w:tcPr>
            <w:tcW w:w="920" w:type="dxa"/>
            <w:shd w:val="clear" w:color="auto" w:fill="auto"/>
            <w:vAlign w:val="center"/>
          </w:tcPr>
          <w:p w14:paraId="4E4987F7"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3.48</w:t>
            </w:r>
          </w:p>
        </w:tc>
        <w:tc>
          <w:tcPr>
            <w:tcW w:w="1180" w:type="dxa"/>
            <w:shd w:val="clear" w:color="auto" w:fill="auto"/>
            <w:vAlign w:val="center"/>
          </w:tcPr>
          <w:p w14:paraId="5E6F6E86"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0.061</w:t>
            </w:r>
          </w:p>
        </w:tc>
        <w:tc>
          <w:tcPr>
            <w:tcW w:w="900" w:type="dxa"/>
            <w:shd w:val="clear" w:color="auto" w:fill="auto"/>
            <w:vAlign w:val="center"/>
          </w:tcPr>
          <w:p w14:paraId="2B7DD879"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1.06</w:t>
            </w:r>
          </w:p>
        </w:tc>
        <w:tc>
          <w:tcPr>
            <w:tcW w:w="1180" w:type="dxa"/>
            <w:shd w:val="clear" w:color="auto" w:fill="auto"/>
            <w:vAlign w:val="center"/>
          </w:tcPr>
          <w:p w14:paraId="33B7BA89"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0.138</w:t>
            </w:r>
          </w:p>
        </w:tc>
        <w:tc>
          <w:tcPr>
            <w:tcW w:w="1040" w:type="dxa"/>
            <w:shd w:val="clear" w:color="auto" w:fill="auto"/>
            <w:vAlign w:val="center"/>
          </w:tcPr>
          <w:p w14:paraId="5E2E5744"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1.15</w:t>
            </w:r>
          </w:p>
        </w:tc>
      </w:tr>
      <w:tr w:rsidR="001810BA" w14:paraId="09E0E393" w14:textId="77777777">
        <w:trPr>
          <w:trHeight w:val="280"/>
          <w:jc w:val="center"/>
        </w:trPr>
        <w:tc>
          <w:tcPr>
            <w:tcW w:w="2980" w:type="dxa"/>
            <w:shd w:val="clear" w:color="auto" w:fill="auto"/>
            <w:vAlign w:val="center"/>
          </w:tcPr>
          <w:p w14:paraId="2B4ECF89" w14:textId="77777777" w:rsidR="001810BA" w:rsidRDefault="001810BA">
            <w:pPr>
              <w:jc w:val="both"/>
              <w:rPr>
                <w:rFonts w:ascii="Times New Roman" w:eastAsia="Times New Roman" w:hAnsi="Times New Roman" w:cs="Times New Roman" w:hint="default"/>
                <w:sz w:val="24"/>
                <w:szCs w:val="24"/>
              </w:rPr>
            </w:pPr>
          </w:p>
        </w:tc>
        <w:tc>
          <w:tcPr>
            <w:tcW w:w="1360" w:type="dxa"/>
            <w:shd w:val="clear" w:color="auto" w:fill="auto"/>
            <w:vAlign w:val="center"/>
          </w:tcPr>
          <w:p w14:paraId="4DD92B2A"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(0.313)</w:t>
            </w:r>
          </w:p>
        </w:tc>
        <w:tc>
          <w:tcPr>
            <w:tcW w:w="920" w:type="dxa"/>
            <w:shd w:val="clear" w:color="auto" w:fill="auto"/>
            <w:vAlign w:val="center"/>
          </w:tcPr>
          <w:p w14:paraId="3CC27D83"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0EAE1F0F"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(0.252)</w:t>
            </w:r>
          </w:p>
        </w:tc>
        <w:tc>
          <w:tcPr>
            <w:tcW w:w="900" w:type="dxa"/>
            <w:shd w:val="clear" w:color="auto" w:fill="auto"/>
            <w:vAlign w:val="center"/>
          </w:tcPr>
          <w:p w14:paraId="24C3142E"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489D9FC1"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(0.205)</w:t>
            </w:r>
          </w:p>
        </w:tc>
        <w:tc>
          <w:tcPr>
            <w:tcW w:w="1040" w:type="dxa"/>
            <w:shd w:val="clear" w:color="auto" w:fill="auto"/>
            <w:vAlign w:val="center"/>
          </w:tcPr>
          <w:p w14:paraId="34ACD433" w14:textId="77777777" w:rsidR="001810BA" w:rsidRDefault="001810BA">
            <w:pPr>
              <w:jc w:val="both"/>
              <w:rPr>
                <w:rFonts w:ascii="Times New Roman" w:eastAsia="Times New Roman" w:hAnsi="Times New Roman" w:cs="Times New Roman" w:hint="default"/>
                <w:sz w:val="24"/>
                <w:szCs w:val="24"/>
              </w:rPr>
            </w:pPr>
          </w:p>
        </w:tc>
      </w:tr>
      <w:tr w:rsidR="001810BA" w14:paraId="202B4FF9" w14:textId="77777777">
        <w:trPr>
          <w:trHeight w:val="860"/>
          <w:jc w:val="center"/>
        </w:trPr>
        <w:tc>
          <w:tcPr>
            <w:tcW w:w="2980" w:type="dxa"/>
            <w:shd w:val="clear" w:color="auto" w:fill="auto"/>
            <w:vAlign w:val="center"/>
          </w:tcPr>
          <w:p w14:paraId="25FFA8F0"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Geographical localisation.</w:t>
            </w:r>
            <w:r>
              <w:rPr>
                <w:rFonts w:ascii="Times New Roman" w:eastAsia="Times New Roman" w:hAnsi="Times New Roman" w:cs="Times New Roman" w:hint="default"/>
                <w:sz w:val="24"/>
                <w:szCs w:val="24"/>
                <w:lang w:bidi="ar"/>
              </w:rPr>
              <w:br/>
              <w:t>Reference category: Swing/competitive Region</w:t>
            </w:r>
          </w:p>
        </w:tc>
        <w:tc>
          <w:tcPr>
            <w:tcW w:w="1360" w:type="dxa"/>
            <w:shd w:val="clear" w:color="auto" w:fill="auto"/>
            <w:vAlign w:val="center"/>
          </w:tcPr>
          <w:p w14:paraId="200A6644" w14:textId="77777777" w:rsidR="001810BA" w:rsidRDefault="001810BA">
            <w:pPr>
              <w:jc w:val="both"/>
              <w:rPr>
                <w:rFonts w:ascii="Times New Roman" w:eastAsia="Times New Roman" w:hAnsi="Times New Roman" w:cs="Times New Roman" w:hint="default"/>
                <w:sz w:val="24"/>
                <w:szCs w:val="24"/>
              </w:rPr>
            </w:pPr>
          </w:p>
        </w:tc>
        <w:tc>
          <w:tcPr>
            <w:tcW w:w="920" w:type="dxa"/>
            <w:shd w:val="clear" w:color="auto" w:fill="auto"/>
            <w:vAlign w:val="center"/>
          </w:tcPr>
          <w:p w14:paraId="79CE8480"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46CDBC43" w14:textId="77777777" w:rsidR="001810BA" w:rsidRDefault="001810BA">
            <w:pPr>
              <w:jc w:val="both"/>
              <w:rPr>
                <w:rFonts w:ascii="Times New Roman" w:eastAsia="Times New Roman" w:hAnsi="Times New Roman" w:cs="Times New Roman" w:hint="default"/>
                <w:sz w:val="24"/>
                <w:szCs w:val="24"/>
              </w:rPr>
            </w:pPr>
          </w:p>
        </w:tc>
        <w:tc>
          <w:tcPr>
            <w:tcW w:w="900" w:type="dxa"/>
            <w:shd w:val="clear" w:color="auto" w:fill="auto"/>
            <w:vAlign w:val="center"/>
          </w:tcPr>
          <w:p w14:paraId="08EEA3D9"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51CD7CF9" w14:textId="77777777" w:rsidR="001810BA" w:rsidRDefault="001810BA">
            <w:pPr>
              <w:jc w:val="both"/>
              <w:rPr>
                <w:rFonts w:ascii="Times New Roman" w:eastAsia="Times New Roman" w:hAnsi="Times New Roman" w:cs="Times New Roman" w:hint="default"/>
                <w:sz w:val="24"/>
                <w:szCs w:val="24"/>
              </w:rPr>
            </w:pPr>
          </w:p>
        </w:tc>
        <w:tc>
          <w:tcPr>
            <w:tcW w:w="1040" w:type="dxa"/>
            <w:shd w:val="clear" w:color="auto" w:fill="auto"/>
            <w:vAlign w:val="center"/>
          </w:tcPr>
          <w:p w14:paraId="2AABB980" w14:textId="77777777" w:rsidR="001810BA" w:rsidRDefault="001810BA">
            <w:pPr>
              <w:jc w:val="both"/>
              <w:rPr>
                <w:rFonts w:ascii="Times New Roman" w:eastAsia="Times New Roman" w:hAnsi="Times New Roman" w:cs="Times New Roman" w:hint="default"/>
                <w:sz w:val="24"/>
                <w:szCs w:val="24"/>
              </w:rPr>
            </w:pPr>
          </w:p>
        </w:tc>
      </w:tr>
      <w:tr w:rsidR="001810BA" w14:paraId="043C63A6" w14:textId="77777777">
        <w:trPr>
          <w:trHeight w:val="280"/>
          <w:jc w:val="center"/>
        </w:trPr>
        <w:tc>
          <w:tcPr>
            <w:tcW w:w="2980" w:type="dxa"/>
            <w:shd w:val="clear" w:color="auto" w:fill="auto"/>
            <w:vAlign w:val="center"/>
          </w:tcPr>
          <w:p w14:paraId="0E39F35E"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C-R Stronghold</w:t>
            </w:r>
          </w:p>
        </w:tc>
        <w:tc>
          <w:tcPr>
            <w:tcW w:w="1360" w:type="dxa"/>
            <w:shd w:val="clear" w:color="auto" w:fill="auto"/>
            <w:vAlign w:val="center"/>
          </w:tcPr>
          <w:p w14:paraId="0F4D066A"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0.745**</w:t>
            </w:r>
          </w:p>
        </w:tc>
        <w:tc>
          <w:tcPr>
            <w:tcW w:w="920" w:type="dxa"/>
            <w:shd w:val="clear" w:color="auto" w:fill="auto"/>
            <w:vAlign w:val="center"/>
          </w:tcPr>
          <w:p w14:paraId="18B9ACC3"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2.11</w:t>
            </w:r>
          </w:p>
        </w:tc>
        <w:tc>
          <w:tcPr>
            <w:tcW w:w="1180" w:type="dxa"/>
            <w:shd w:val="clear" w:color="auto" w:fill="auto"/>
            <w:vAlign w:val="center"/>
          </w:tcPr>
          <w:p w14:paraId="11E10374"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-0.886</w:t>
            </w:r>
          </w:p>
        </w:tc>
        <w:tc>
          <w:tcPr>
            <w:tcW w:w="900" w:type="dxa"/>
            <w:shd w:val="clear" w:color="auto" w:fill="auto"/>
            <w:vAlign w:val="center"/>
          </w:tcPr>
          <w:p w14:paraId="53674E5A"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0.41</w:t>
            </w:r>
          </w:p>
        </w:tc>
        <w:tc>
          <w:tcPr>
            <w:tcW w:w="1180" w:type="dxa"/>
            <w:shd w:val="clear" w:color="auto" w:fill="auto"/>
            <w:vAlign w:val="center"/>
          </w:tcPr>
          <w:p w14:paraId="19C8A3E9"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-0.472</w:t>
            </w:r>
          </w:p>
        </w:tc>
        <w:tc>
          <w:tcPr>
            <w:tcW w:w="1040" w:type="dxa"/>
            <w:shd w:val="clear" w:color="auto" w:fill="auto"/>
            <w:vAlign w:val="center"/>
          </w:tcPr>
          <w:p w14:paraId="37D5CF94"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0.62</w:t>
            </w:r>
          </w:p>
        </w:tc>
      </w:tr>
      <w:tr w:rsidR="001810BA" w14:paraId="53B759AE" w14:textId="77777777">
        <w:trPr>
          <w:trHeight w:val="280"/>
          <w:jc w:val="center"/>
        </w:trPr>
        <w:tc>
          <w:tcPr>
            <w:tcW w:w="2980" w:type="dxa"/>
            <w:shd w:val="clear" w:color="auto" w:fill="auto"/>
            <w:vAlign w:val="center"/>
          </w:tcPr>
          <w:p w14:paraId="381597DE" w14:textId="77777777" w:rsidR="001810BA" w:rsidRDefault="001810BA">
            <w:pPr>
              <w:jc w:val="both"/>
              <w:rPr>
                <w:rFonts w:ascii="Times New Roman" w:eastAsia="Times New Roman" w:hAnsi="Times New Roman" w:cs="Times New Roman" w:hint="default"/>
                <w:sz w:val="24"/>
                <w:szCs w:val="24"/>
              </w:rPr>
            </w:pPr>
          </w:p>
        </w:tc>
        <w:tc>
          <w:tcPr>
            <w:tcW w:w="1360" w:type="dxa"/>
            <w:shd w:val="clear" w:color="auto" w:fill="auto"/>
            <w:vAlign w:val="center"/>
          </w:tcPr>
          <w:p w14:paraId="118B0899"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(0.256)</w:t>
            </w:r>
          </w:p>
        </w:tc>
        <w:tc>
          <w:tcPr>
            <w:tcW w:w="920" w:type="dxa"/>
            <w:shd w:val="clear" w:color="auto" w:fill="auto"/>
            <w:vAlign w:val="center"/>
          </w:tcPr>
          <w:p w14:paraId="4B46C197"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255C2412"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(0.547)</w:t>
            </w:r>
          </w:p>
        </w:tc>
        <w:tc>
          <w:tcPr>
            <w:tcW w:w="900" w:type="dxa"/>
            <w:shd w:val="clear" w:color="auto" w:fill="auto"/>
            <w:vAlign w:val="center"/>
          </w:tcPr>
          <w:p w14:paraId="56905770" w14:textId="77777777" w:rsidR="001810BA" w:rsidRDefault="001810BA">
            <w:pPr>
              <w:jc w:val="both"/>
              <w:rPr>
                <w:rFonts w:ascii="Times New Roman" w:eastAsia="Times New Roman" w:hAnsi="Times New Roman" w:cs="Times New Roman" w:hint="default"/>
                <w:sz w:val="24"/>
                <w:szCs w:val="24"/>
              </w:rPr>
            </w:pPr>
          </w:p>
        </w:tc>
        <w:tc>
          <w:tcPr>
            <w:tcW w:w="1180" w:type="dxa"/>
            <w:shd w:val="clear" w:color="auto" w:fill="auto"/>
            <w:vAlign w:val="center"/>
          </w:tcPr>
          <w:p w14:paraId="410D162B"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(0.440)</w:t>
            </w:r>
          </w:p>
        </w:tc>
        <w:tc>
          <w:tcPr>
            <w:tcW w:w="1040" w:type="dxa"/>
            <w:shd w:val="clear" w:color="auto" w:fill="auto"/>
            <w:vAlign w:val="center"/>
          </w:tcPr>
          <w:p w14:paraId="20231085" w14:textId="77777777" w:rsidR="001810BA" w:rsidRDefault="001810BA">
            <w:pPr>
              <w:jc w:val="both"/>
              <w:rPr>
                <w:rFonts w:ascii="Times New Roman" w:eastAsia="Times New Roman" w:hAnsi="Times New Roman" w:cs="Times New Roman" w:hint="default"/>
                <w:sz w:val="24"/>
                <w:szCs w:val="24"/>
              </w:rPr>
            </w:pPr>
          </w:p>
        </w:tc>
      </w:tr>
      <w:tr w:rsidR="001810BA" w14:paraId="006F3C0C" w14:textId="77777777">
        <w:trPr>
          <w:trHeight w:val="280"/>
          <w:jc w:val="center"/>
        </w:trPr>
        <w:tc>
          <w:tcPr>
            <w:tcW w:w="2980" w:type="dxa"/>
            <w:shd w:val="clear" w:color="auto" w:fill="auto"/>
            <w:vAlign w:val="center"/>
          </w:tcPr>
          <w:p w14:paraId="30A07DE1"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C-L Stronghold</w:t>
            </w:r>
          </w:p>
        </w:tc>
        <w:tc>
          <w:tcPr>
            <w:tcW w:w="1360" w:type="dxa"/>
            <w:shd w:val="clear" w:color="auto" w:fill="auto"/>
            <w:vAlign w:val="center"/>
          </w:tcPr>
          <w:p w14:paraId="1437995A"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-0.284</w:t>
            </w:r>
          </w:p>
        </w:tc>
        <w:tc>
          <w:tcPr>
            <w:tcW w:w="920" w:type="dxa"/>
            <w:shd w:val="clear" w:color="auto" w:fill="auto"/>
            <w:vAlign w:val="center"/>
          </w:tcPr>
          <w:p w14:paraId="655F0F7B"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0.75</w:t>
            </w:r>
          </w:p>
        </w:tc>
        <w:tc>
          <w:tcPr>
            <w:tcW w:w="1180" w:type="dxa"/>
            <w:shd w:val="clear" w:color="auto" w:fill="auto"/>
            <w:vAlign w:val="center"/>
          </w:tcPr>
          <w:p w14:paraId="6A029367"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-0.110</w:t>
            </w:r>
          </w:p>
        </w:tc>
        <w:tc>
          <w:tcPr>
            <w:tcW w:w="900" w:type="dxa"/>
            <w:shd w:val="clear" w:color="auto" w:fill="auto"/>
            <w:vAlign w:val="center"/>
          </w:tcPr>
          <w:p w14:paraId="4C057FEC"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0.90</w:t>
            </w:r>
          </w:p>
        </w:tc>
        <w:tc>
          <w:tcPr>
            <w:tcW w:w="1180" w:type="dxa"/>
            <w:shd w:val="clear" w:color="auto" w:fill="auto"/>
            <w:vAlign w:val="center"/>
          </w:tcPr>
          <w:p w14:paraId="3C611131"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0.297</w:t>
            </w:r>
          </w:p>
        </w:tc>
        <w:tc>
          <w:tcPr>
            <w:tcW w:w="1040" w:type="dxa"/>
            <w:shd w:val="clear" w:color="auto" w:fill="auto"/>
            <w:vAlign w:val="center"/>
          </w:tcPr>
          <w:p w14:paraId="2C97C82F"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1.34</w:t>
            </w:r>
          </w:p>
        </w:tc>
      </w:tr>
      <w:tr w:rsidR="001810BA" w14:paraId="1DF446C0" w14:textId="77777777">
        <w:trPr>
          <w:trHeight w:val="280"/>
          <w:jc w:val="center"/>
        </w:trPr>
        <w:tc>
          <w:tcPr>
            <w:tcW w:w="2980" w:type="dxa"/>
            <w:tcBorders>
              <w:top w:val="nil"/>
              <w:left w:val="nil"/>
              <w:bottom w:val="single" w:sz="2" w:space="0" w:color="000000"/>
              <w:right w:val="nil"/>
            </w:tcBorders>
            <w:shd w:val="clear" w:color="auto" w:fill="auto"/>
            <w:vAlign w:val="center"/>
          </w:tcPr>
          <w:p w14:paraId="0E9EC36E" w14:textId="77777777" w:rsidR="001810BA" w:rsidRDefault="001810BA">
            <w:pPr>
              <w:jc w:val="both"/>
              <w:rPr>
                <w:rFonts w:ascii="Times New Roman" w:eastAsia="Times New Roman" w:hAnsi="Times New Roman" w:cs="Times New Roman" w:hint="default"/>
                <w:sz w:val="24"/>
                <w:szCs w:val="24"/>
              </w:rPr>
            </w:pPr>
          </w:p>
        </w:tc>
        <w:tc>
          <w:tcPr>
            <w:tcW w:w="1360" w:type="dxa"/>
            <w:tcBorders>
              <w:top w:val="nil"/>
              <w:left w:val="nil"/>
              <w:bottom w:val="single" w:sz="2" w:space="0" w:color="000000"/>
              <w:right w:val="nil"/>
            </w:tcBorders>
            <w:shd w:val="clear" w:color="auto" w:fill="auto"/>
            <w:vAlign w:val="center"/>
          </w:tcPr>
          <w:p w14:paraId="32E35B41"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(0.529)</w:t>
            </w:r>
          </w:p>
        </w:tc>
        <w:tc>
          <w:tcPr>
            <w:tcW w:w="920" w:type="dxa"/>
            <w:tcBorders>
              <w:top w:val="nil"/>
              <w:left w:val="nil"/>
              <w:bottom w:val="single" w:sz="2" w:space="0" w:color="000000"/>
              <w:right w:val="nil"/>
            </w:tcBorders>
            <w:shd w:val="clear" w:color="auto" w:fill="auto"/>
            <w:vAlign w:val="center"/>
          </w:tcPr>
          <w:p w14:paraId="35D6C79C" w14:textId="77777777" w:rsidR="001810BA" w:rsidRDefault="001810BA">
            <w:pPr>
              <w:jc w:val="both"/>
              <w:rPr>
                <w:rFonts w:ascii="Times New Roman" w:eastAsia="Times New Roman" w:hAnsi="Times New Roman" w:cs="Times New Roman" w:hint="default"/>
                <w:sz w:val="24"/>
                <w:szCs w:val="24"/>
              </w:rPr>
            </w:pPr>
          </w:p>
        </w:tc>
        <w:tc>
          <w:tcPr>
            <w:tcW w:w="1180" w:type="dxa"/>
            <w:tcBorders>
              <w:top w:val="nil"/>
              <w:left w:val="nil"/>
              <w:bottom w:val="single" w:sz="2" w:space="0" w:color="000000"/>
              <w:right w:val="nil"/>
            </w:tcBorders>
            <w:shd w:val="clear" w:color="auto" w:fill="auto"/>
            <w:vAlign w:val="center"/>
          </w:tcPr>
          <w:p w14:paraId="770C98FD"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(0.548)</w:t>
            </w:r>
          </w:p>
        </w:tc>
        <w:tc>
          <w:tcPr>
            <w:tcW w:w="900" w:type="dxa"/>
            <w:tcBorders>
              <w:top w:val="nil"/>
              <w:left w:val="nil"/>
              <w:bottom w:val="single" w:sz="2" w:space="0" w:color="000000"/>
              <w:right w:val="nil"/>
            </w:tcBorders>
            <w:shd w:val="clear" w:color="auto" w:fill="auto"/>
            <w:vAlign w:val="center"/>
          </w:tcPr>
          <w:p w14:paraId="1F2816FA" w14:textId="77777777" w:rsidR="001810BA" w:rsidRDefault="001810BA">
            <w:pPr>
              <w:jc w:val="both"/>
              <w:rPr>
                <w:rFonts w:ascii="Times New Roman" w:eastAsia="Times New Roman" w:hAnsi="Times New Roman" w:cs="Times New Roman" w:hint="default"/>
                <w:sz w:val="24"/>
                <w:szCs w:val="24"/>
              </w:rPr>
            </w:pPr>
          </w:p>
        </w:tc>
        <w:tc>
          <w:tcPr>
            <w:tcW w:w="1180" w:type="dxa"/>
            <w:tcBorders>
              <w:top w:val="nil"/>
              <w:left w:val="nil"/>
              <w:bottom w:val="single" w:sz="2" w:space="0" w:color="000000"/>
              <w:right w:val="nil"/>
            </w:tcBorders>
            <w:shd w:val="clear" w:color="auto" w:fill="auto"/>
            <w:vAlign w:val="center"/>
          </w:tcPr>
          <w:p w14:paraId="76ABE053"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(0.288)</w:t>
            </w:r>
          </w:p>
        </w:tc>
        <w:tc>
          <w:tcPr>
            <w:tcW w:w="1040" w:type="dxa"/>
            <w:tcBorders>
              <w:top w:val="nil"/>
              <w:left w:val="nil"/>
              <w:bottom w:val="single" w:sz="2" w:space="0" w:color="000000"/>
              <w:right w:val="nil"/>
            </w:tcBorders>
            <w:shd w:val="clear" w:color="auto" w:fill="auto"/>
            <w:vAlign w:val="center"/>
          </w:tcPr>
          <w:p w14:paraId="3948F986" w14:textId="77777777" w:rsidR="001810BA" w:rsidRDefault="001810BA">
            <w:pPr>
              <w:jc w:val="both"/>
              <w:rPr>
                <w:rFonts w:ascii="Times New Roman" w:eastAsia="Times New Roman" w:hAnsi="Times New Roman" w:cs="Times New Roman" w:hint="default"/>
                <w:sz w:val="24"/>
                <w:szCs w:val="24"/>
              </w:rPr>
            </w:pPr>
          </w:p>
        </w:tc>
      </w:tr>
      <w:tr w:rsidR="001810BA" w14:paraId="02DA79A5" w14:textId="77777777">
        <w:trPr>
          <w:trHeight w:val="280"/>
          <w:jc w:val="center"/>
        </w:trPr>
        <w:tc>
          <w:tcPr>
            <w:tcW w:w="2980" w:type="dxa"/>
            <w:shd w:val="clear" w:color="auto" w:fill="auto"/>
            <w:vAlign w:val="center"/>
          </w:tcPr>
          <w:p w14:paraId="681FEF06"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N</w:t>
            </w:r>
          </w:p>
        </w:tc>
        <w:tc>
          <w:tcPr>
            <w:tcW w:w="2300" w:type="dxa"/>
            <w:gridSpan w:val="2"/>
            <w:vMerge w:val="restart"/>
            <w:tcBorders>
              <w:top w:val="single" w:sz="2" w:space="0" w:color="000000"/>
              <w:left w:val="nil"/>
              <w:bottom w:val="nil"/>
              <w:right w:val="nil"/>
            </w:tcBorders>
            <w:shd w:val="clear" w:color="auto" w:fill="auto"/>
            <w:vAlign w:val="center"/>
          </w:tcPr>
          <w:p w14:paraId="3A000EBF"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721</w:t>
            </w:r>
          </w:p>
          <w:p w14:paraId="3F7BF4FE"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0.129</w:t>
            </w:r>
          </w:p>
        </w:tc>
        <w:tc>
          <w:tcPr>
            <w:tcW w:w="2100" w:type="dxa"/>
            <w:gridSpan w:val="2"/>
            <w:vMerge w:val="restart"/>
            <w:shd w:val="clear" w:color="auto" w:fill="auto"/>
            <w:vAlign w:val="center"/>
          </w:tcPr>
          <w:p w14:paraId="7B2FA213"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721</w:t>
            </w:r>
          </w:p>
          <w:p w14:paraId="322317F5"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0.06</w:t>
            </w:r>
          </w:p>
        </w:tc>
        <w:tc>
          <w:tcPr>
            <w:tcW w:w="2240" w:type="dxa"/>
            <w:gridSpan w:val="2"/>
            <w:vMerge w:val="restart"/>
            <w:shd w:val="clear" w:color="auto" w:fill="auto"/>
            <w:vAlign w:val="center"/>
          </w:tcPr>
          <w:p w14:paraId="47EFB2F7"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721</w:t>
            </w:r>
          </w:p>
          <w:p w14:paraId="697DB47B"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0.11</w:t>
            </w:r>
          </w:p>
        </w:tc>
      </w:tr>
      <w:tr w:rsidR="001810BA" w14:paraId="5F4FE803" w14:textId="77777777">
        <w:trPr>
          <w:trHeight w:val="280"/>
          <w:jc w:val="center"/>
        </w:trPr>
        <w:tc>
          <w:tcPr>
            <w:tcW w:w="2980" w:type="dxa"/>
            <w:shd w:val="clear" w:color="auto" w:fill="auto"/>
            <w:vAlign w:val="center"/>
          </w:tcPr>
          <w:p w14:paraId="4F3C3BFE" w14:textId="77777777" w:rsidR="001810BA" w:rsidRDefault="00000000">
            <w:pPr>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lang w:bidi="ar"/>
              </w:rPr>
              <w:t>PR2</w:t>
            </w:r>
          </w:p>
        </w:tc>
        <w:tc>
          <w:tcPr>
            <w:tcW w:w="2300" w:type="dxa"/>
            <w:gridSpan w:val="2"/>
            <w:vMerge/>
            <w:tcBorders>
              <w:top w:val="single" w:sz="2" w:space="0" w:color="000000"/>
              <w:left w:val="nil"/>
              <w:bottom w:val="nil"/>
              <w:right w:val="nil"/>
            </w:tcBorders>
            <w:shd w:val="clear" w:color="auto" w:fill="auto"/>
            <w:vAlign w:val="center"/>
          </w:tcPr>
          <w:p w14:paraId="7699D5B9" w14:textId="77777777" w:rsidR="001810BA" w:rsidRDefault="001810BA">
            <w:pPr>
              <w:rPr>
                <w:rFonts w:ascii="Calibri" w:hAnsi="Calibri" w:cs="Calibri" w:hint="default"/>
              </w:rPr>
            </w:pPr>
          </w:p>
        </w:tc>
        <w:tc>
          <w:tcPr>
            <w:tcW w:w="2100" w:type="dxa"/>
            <w:gridSpan w:val="2"/>
            <w:vMerge/>
            <w:shd w:val="clear" w:color="auto" w:fill="auto"/>
            <w:vAlign w:val="center"/>
          </w:tcPr>
          <w:p w14:paraId="6D6B5E68" w14:textId="77777777" w:rsidR="001810BA" w:rsidRDefault="001810BA">
            <w:pPr>
              <w:rPr>
                <w:rFonts w:ascii="Calibri" w:hAnsi="Calibri" w:cs="Calibri" w:hint="default"/>
              </w:rPr>
            </w:pPr>
          </w:p>
        </w:tc>
        <w:tc>
          <w:tcPr>
            <w:tcW w:w="2240" w:type="dxa"/>
            <w:gridSpan w:val="2"/>
            <w:vMerge/>
            <w:shd w:val="clear" w:color="auto" w:fill="auto"/>
            <w:vAlign w:val="center"/>
          </w:tcPr>
          <w:p w14:paraId="418B63F3" w14:textId="77777777" w:rsidR="001810BA" w:rsidRDefault="001810BA">
            <w:pPr>
              <w:rPr>
                <w:rFonts w:ascii="Calibri" w:hAnsi="Calibri" w:cs="Calibri" w:hint="default"/>
              </w:rPr>
            </w:pPr>
          </w:p>
        </w:tc>
      </w:tr>
    </w:tbl>
    <w:p w14:paraId="74D11C79" w14:textId="77777777" w:rsidR="001810BA" w:rsidRDefault="00000000">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bidi="ar"/>
        </w:rPr>
        <w:t>Standard errors clustered at the regional level are reported; *p &lt; .05, **p &lt; .01, ***p &lt; .001.</w:t>
      </w:r>
    </w:p>
    <w:p w14:paraId="1297FD85" w14:textId="77777777" w:rsidR="001810BA" w:rsidRDefault="001810BA">
      <w:pPr>
        <w:spacing w:after="160" w:line="256" w:lineRule="auto"/>
        <w:jc w:val="both"/>
        <w:rPr>
          <w:sz w:val="24"/>
          <w:szCs w:val="24"/>
        </w:rPr>
      </w:pPr>
    </w:p>
    <w:p w14:paraId="1454C359" w14:textId="77777777" w:rsidR="001810BA" w:rsidRDefault="001810BA">
      <w:pPr>
        <w:spacing w:after="160" w:line="256" w:lineRule="auto"/>
        <w:jc w:val="both"/>
        <w:rPr>
          <w:rFonts w:ascii="Times New Roman" w:eastAsia="Times New Roman" w:hAnsi="Times New Roman" w:cs="Times New Roman"/>
          <w:sz w:val="24"/>
          <w:szCs w:val="24"/>
        </w:rPr>
      </w:pPr>
    </w:p>
    <w:p w14:paraId="26A1EE92" w14:textId="77777777" w:rsidR="001810BA" w:rsidRDefault="00000000">
      <w:pPr>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bidi="ar"/>
        </w:rPr>
        <w:t xml:space="preserve">Starting with Model 1, which explains which factors influence obtaining a national-level or EU position at the end of the career for RCMs, it is observed that among the independent variables, belonging to a small party and displaying a previous national career are the only statistically significant ones. RCMs from smaller parties seem to have more difficulty in making career progressions to the national or European level, with a probability that is essentially half (OR 0.55) compared to RCMs who belong to a larger party. Hence, the greater resources available to larger parties are confirmed as central in ensuring the possibility of a movement to the higher level of career for members of regional executives. </w:t>
      </w:r>
      <w:proofErr w:type="gramStart"/>
      <w:r>
        <w:rPr>
          <w:rFonts w:ascii="Times New Roman" w:eastAsia="Times New Roman" w:hAnsi="Times New Roman" w:cs="Times New Roman"/>
          <w:sz w:val="24"/>
          <w:szCs w:val="24"/>
          <w:lang w:bidi="ar"/>
        </w:rPr>
        <w:t>As a consequence</w:t>
      </w:r>
      <w:proofErr w:type="gramEnd"/>
      <w:r>
        <w:rPr>
          <w:rFonts w:ascii="Times New Roman" w:eastAsia="Times New Roman" w:hAnsi="Times New Roman" w:cs="Times New Roman"/>
          <w:sz w:val="24"/>
          <w:szCs w:val="24"/>
          <w:lang w:bidi="ar"/>
        </w:rPr>
        <w:t>, hypothesis 1 is confirmed.</w:t>
      </w:r>
    </w:p>
    <w:p w14:paraId="6689F3AB" w14:textId="77777777" w:rsidR="001810BA" w:rsidRDefault="00000000">
      <w:pPr>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bidi="ar"/>
        </w:rPr>
        <w:t>In addition, as the time of the previous career at the national level increases, so does the likelihood of returning to a role in the national or European arena after the conclusion of the regional executive experience (OR 1.23). In other words, for national politicians, executive positions at the regional level do not necessarily constitute a moment of career halt but rather an intermediate stage, awaiting a return to the national political arena. No other statistically significant effects of local and regional careers were found. Thus, hypothesis 5a is confirmed.</w:t>
      </w:r>
    </w:p>
    <w:p w14:paraId="1ABA4037" w14:textId="77777777" w:rsidR="001810BA" w:rsidRDefault="00000000">
      <w:pPr>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bidi="ar"/>
        </w:rPr>
        <w:t>Alternatively, there is no statistically significant effect of being an RP or being a female RCM in relation to an upward movement, even though the direction of the correlation goes in the expected direction in both cases. However, hypotheses H3 and H4a are not confirmed.</w:t>
      </w:r>
    </w:p>
    <w:p w14:paraId="3230D9E3" w14:textId="77777777" w:rsidR="001810BA" w:rsidRDefault="00000000">
      <w:pPr>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bidi="ar"/>
        </w:rPr>
        <w:t>Model 2 illustrates the factors that favour a move backwards to the local level. The previous career at the local level is the only statistically significant variable and is positively correlated. Essentially, RCMs with previous local experiences have a greater probability (OR 1.29) of holding a position at the local level within five years of the end of their mandate. Thus, hypothesis H5b is confirmed.</w:t>
      </w:r>
    </w:p>
    <w:p w14:paraId="53B7C1BC" w14:textId="77777777" w:rsidR="001810BA" w:rsidRDefault="00000000">
      <w:pPr>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bidi="ar"/>
        </w:rPr>
        <w:t>As for the factors influencing the probability of not holding a position in the next five years (Model 3), the analysis highlights a statistically significant and positive effect that favours the exit from politics in relation to belonging to a small party and non-partisanship.</w:t>
      </w:r>
    </w:p>
    <w:p w14:paraId="5A0FBAB5" w14:textId="77777777" w:rsidR="001810BA" w:rsidRDefault="00000000">
      <w:pPr>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bidi="ar"/>
        </w:rPr>
        <w:t xml:space="preserve">In particular, the analysis shows that RCMs who belong to small parties have about 40% higher odds (OR 1.45) of not holding any position compared to members of larger parties. The greater resources available to larger parties seem not only to influence the possibility of a leap to national politics for their RCMs but also to influence their chances of staying within the political arena, by stabilising their career within different territorial levels. </w:t>
      </w:r>
      <w:proofErr w:type="gramStart"/>
      <w:r>
        <w:rPr>
          <w:rFonts w:ascii="Times New Roman" w:eastAsia="Times New Roman" w:hAnsi="Times New Roman" w:cs="Times New Roman"/>
          <w:sz w:val="24"/>
          <w:szCs w:val="24"/>
          <w:lang w:bidi="ar"/>
        </w:rPr>
        <w:t>As a consequence</w:t>
      </w:r>
      <w:proofErr w:type="gramEnd"/>
      <w:r>
        <w:rPr>
          <w:rFonts w:ascii="Times New Roman" w:eastAsia="Times New Roman" w:hAnsi="Times New Roman" w:cs="Times New Roman"/>
          <w:sz w:val="24"/>
          <w:szCs w:val="24"/>
          <w:lang w:bidi="ar"/>
        </w:rPr>
        <w:t>, hypothesis H1b is therefore confirmed.</w:t>
      </w:r>
    </w:p>
    <w:p w14:paraId="3B9E0631" w14:textId="77777777" w:rsidR="001810BA" w:rsidRDefault="00000000">
      <w:pPr>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bidi="ar"/>
        </w:rPr>
        <w:t xml:space="preserve">Finally, the statistically strongest effect is represented by non-partisanship, with non-partisan members having more than twice the probability of not obtaining a position within five years of the end of their mandate as RCMs compared to those belonging to a party. This is a particularly relevant effect and consistent with the literature. It also highlights the substantial relevance that political parties play not only in recruiting the political class but also in defining their career paths. An independent or non-party member may be appointed, based on their background or personal relations with the </w:t>
      </w:r>
      <w:proofErr w:type="gramStart"/>
      <w:r>
        <w:rPr>
          <w:rFonts w:ascii="Times New Roman" w:eastAsia="Times New Roman" w:hAnsi="Times New Roman" w:cs="Times New Roman"/>
          <w:sz w:val="24"/>
          <w:szCs w:val="24"/>
          <w:lang w:bidi="ar"/>
        </w:rPr>
        <w:t>Regional</w:t>
      </w:r>
      <w:proofErr w:type="gramEnd"/>
      <w:r>
        <w:rPr>
          <w:rFonts w:ascii="Times New Roman" w:eastAsia="Times New Roman" w:hAnsi="Times New Roman" w:cs="Times New Roman"/>
          <w:sz w:val="24"/>
          <w:szCs w:val="24"/>
          <w:lang w:bidi="ar"/>
        </w:rPr>
        <w:t xml:space="preserve"> president, to the regional cabinet; however, party membership seems to be an </w:t>
      </w:r>
      <w:r>
        <w:rPr>
          <w:rFonts w:ascii="Times New Roman" w:eastAsia="Times New Roman" w:hAnsi="Times New Roman" w:cs="Times New Roman"/>
          <w:sz w:val="24"/>
          <w:szCs w:val="24"/>
          <w:lang w:bidi="ar"/>
        </w:rPr>
        <w:lastRenderedPageBreak/>
        <w:t>almost essential requirement to give continuity to their political career after finishing their mandate. Consequently, H2 is confirmed.</w:t>
      </w:r>
    </w:p>
    <w:p w14:paraId="086749CC" w14:textId="77777777" w:rsidR="001810BA" w:rsidRDefault="00000000">
      <w:pPr>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bidi="ar"/>
        </w:rPr>
        <w:t>Despite the positive coefficient, no statistically significant effect is detected in relation to gender with respect to exit from politics. Therefore, hypothesis H4b is not confirmed. In this regard, some additional considerations need to be made regarding the variables gender and regional president. They seem to exert an effect in the direction predicted by the literature but lack statistical significance. However, in both cases, the effect approaches the threshold of statistical significance. This could be attributed to the relatively small number of both RPs and female RMs in the Italian ordinary status regions. Further in-depth analyses will be required to confirm effects in this direction.</w:t>
      </w:r>
    </w:p>
    <w:p w14:paraId="241267FF" w14:textId="77777777" w:rsidR="001810BA" w:rsidRDefault="00000000">
      <w:pPr>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bidi="ar"/>
        </w:rPr>
        <w:t xml:space="preserve">As far as the control variables are concerned, age is significant as expected both in Model 1 with a negative effect and in Model 3 with a positive effect. This means that ageing both hinders the possibility to move upwards in political career and favours the exit from politics. Moreover, early term interruption is positively correlated with a movement upwards, meaning that it is likely that RCMs who (individually or collectively) interrupt their regional cabinet term before its natural end, are more likely to use such an occurrence to move upwards, namely, to reach national or European positions. </w:t>
      </w:r>
      <w:bookmarkStart w:id="0" w:name="_Hlk170501339"/>
      <w:r>
        <w:rPr>
          <w:rFonts w:ascii="Times New Roman" w:eastAsia="Times New Roman" w:hAnsi="Times New Roman" w:cs="Times New Roman"/>
          <w:sz w:val="24"/>
          <w:szCs w:val="24"/>
          <w:lang w:bidi="ar"/>
        </w:rPr>
        <w:t>Finally, being in a CR stronghold is positively associated with a movement upwards. However, we think this effect is especially due to a relatively large number of RCMs coming from Lombardy that is one of the regions with more regional executives in the time frame considered, also for the occurrence of several scandals that affected Formigoni cabinet IV which lead to the substitution of several regional ministers (from 2010 to 2011) and finally to the early termination of the entire cabinet in 2012.</w:t>
      </w:r>
    </w:p>
    <w:bookmarkEnd w:id="0"/>
    <w:p w14:paraId="392F525B" w14:textId="77777777" w:rsidR="002602F0" w:rsidRDefault="002602F0">
      <w:pPr>
        <w:spacing w:after="160" w:line="256" w:lineRule="auto"/>
        <w:jc w:val="both"/>
        <w:rPr>
          <w:rFonts w:ascii="Times New Roman" w:eastAsia="Times New Roman" w:hAnsi="Times New Roman" w:cs="Times New Roman"/>
          <w:sz w:val="24"/>
          <w:szCs w:val="24"/>
          <w:lang w:val="it"/>
        </w:rPr>
      </w:pPr>
    </w:p>
    <w:p w14:paraId="62D9DA67" w14:textId="77777777" w:rsidR="002602F0" w:rsidRDefault="002602F0">
      <w:pPr>
        <w:spacing w:after="160" w:line="256" w:lineRule="auto"/>
        <w:jc w:val="both"/>
        <w:rPr>
          <w:rFonts w:ascii="Times New Roman" w:eastAsia="Times New Roman" w:hAnsi="Times New Roman" w:cs="Times New Roman"/>
          <w:sz w:val="24"/>
          <w:szCs w:val="24"/>
          <w:lang w:val="it"/>
        </w:rPr>
      </w:pPr>
    </w:p>
    <w:p w14:paraId="416216F1" w14:textId="77777777" w:rsidR="002602F0" w:rsidRDefault="002602F0">
      <w:pPr>
        <w:spacing w:after="160" w:line="256" w:lineRule="auto"/>
        <w:jc w:val="both"/>
        <w:rPr>
          <w:rFonts w:ascii="Times New Roman" w:eastAsia="Times New Roman" w:hAnsi="Times New Roman" w:cs="Times New Roman"/>
          <w:sz w:val="24"/>
          <w:szCs w:val="24"/>
          <w:lang w:val="it"/>
        </w:rPr>
      </w:pPr>
    </w:p>
    <w:p w14:paraId="30E76E23" w14:textId="77777777" w:rsidR="002602F0" w:rsidRDefault="002602F0">
      <w:pPr>
        <w:spacing w:after="160" w:line="256" w:lineRule="auto"/>
        <w:jc w:val="both"/>
        <w:rPr>
          <w:rFonts w:ascii="Times New Roman" w:eastAsia="Times New Roman" w:hAnsi="Times New Roman" w:cs="Times New Roman"/>
          <w:sz w:val="24"/>
          <w:szCs w:val="24"/>
          <w:lang w:val="it"/>
        </w:rPr>
      </w:pPr>
    </w:p>
    <w:p w14:paraId="46C582FC" w14:textId="77777777" w:rsidR="001810BA" w:rsidRDefault="001810BA">
      <w:pPr>
        <w:spacing w:after="160" w:line="256" w:lineRule="auto"/>
        <w:jc w:val="both"/>
        <w:rPr>
          <w:sz w:val="24"/>
          <w:szCs w:val="24"/>
        </w:rPr>
      </w:pPr>
    </w:p>
    <w:p w14:paraId="100247F6" w14:textId="77777777" w:rsidR="001810BA" w:rsidRDefault="001810BA"/>
    <w:sectPr w:rsidR="001810BA">
      <w:pgSz w:w="11900" w:h="16820"/>
      <w:pgMar w:top="1400" w:right="1135" w:bottom="1135" w:left="1135" w:header="700" w:footer="70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defaultTabStop w:val="720"/>
  <w:hyphenationZone w:val="283"/>
  <w:drawingGridVerticalSpacing w:val="156"/>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BA"/>
    <w:rsid w:val="001810BA"/>
    <w:rsid w:val="002602F0"/>
    <w:rsid w:val="00424A31"/>
    <w:rsid w:val="00577E10"/>
    <w:rsid w:val="00970209"/>
    <w:rsid w:val="0097266A"/>
    <w:rsid w:val="00D560B1"/>
    <w:rsid w:val="00E823B7"/>
    <w:rsid w:val="00F800AB"/>
    <w:rsid w:val="78305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17E47"/>
  <w15:docId w15:val="{88D8F544-1132-4827-9CE4-395CBDA6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dipaginaCarattere">
    <w:name w:val="Piè di pagina Carattere"/>
    <w:rPr>
      <w:sz w:val="22"/>
      <w:szCs w:val="22"/>
      <w:lang w:val="zh-CN"/>
    </w:rPr>
  </w:style>
  <w:style w:type="table" w:customStyle="1" w:styleId="Tabellanormale">
    <w:name w:val="Tabella normale"/>
    <w:semiHidden/>
    <w:rPr>
      <w:rFonts w:hint="eastAsia"/>
    </w:rPr>
    <w:tblPr>
      <w:tblCellMar>
        <w:top w:w="0" w:type="dxa"/>
        <w:left w:w="100" w:type="dxa"/>
        <w:bottom w:w="0" w:type="dxa"/>
        <w:right w:w="100" w:type="dxa"/>
      </w:tblCellMar>
    </w:tblPr>
  </w:style>
  <w:style w:type="table" w:customStyle="1" w:styleId="Style52">
    <w:name w:val="_Style 52"/>
    <w:rPr>
      <w:rFonts w:hint="eastAsia"/>
    </w:rPr>
    <w:tblPr>
      <w:tblCellMar>
        <w:top w:w="0" w:type="dxa"/>
        <w:left w:w="60" w:type="dxa"/>
        <w:bottom w:w="0" w:type="dxa"/>
        <w:right w:w="60" w:type="dxa"/>
      </w:tblCellMar>
    </w:tblPr>
  </w:style>
  <w:style w:type="paragraph" w:styleId="NormalWeb">
    <w:name w:val="Normal (Web)"/>
    <w:basedOn w:val="Normal"/>
    <w:uiPriority w:val="99"/>
    <w:unhideWhenUsed/>
    <w:rsid w:val="002602F0"/>
    <w:pPr>
      <w:spacing w:before="100" w:beforeAutospacing="1" w:after="100" w:afterAutospacing="1"/>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350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831</TotalTime>
  <Pages>3</Pages>
  <Words>1139</Words>
  <Characters>6493</Characters>
  <Application>Microsoft Office Word</Application>
  <DocSecurity>0</DocSecurity>
  <Lines>54</Lines>
  <Paragraphs>15</Paragraphs>
  <ScaleCrop>false</ScaleCrop>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Author</cp:lastModifiedBy>
  <cp:revision>5</cp:revision>
  <dcterms:created xsi:type="dcterms:W3CDTF">2024-10-04T16:50:00Z</dcterms:created>
  <dcterms:modified xsi:type="dcterms:W3CDTF">2024-10-08T10:50:00Z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AB3B44F297E54B78A542101FB056AD3F_12</vt:lpwstr>
  </property>
</Properties>
</file>