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0205C" w14:textId="1B130D24" w:rsidR="00B73687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Supplementary online material</w:t>
      </w:r>
    </w:p>
    <w:p w14:paraId="69166580" w14:textId="77777777" w:rsidR="00B73687" w:rsidRDefault="00000000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New shades of conflict?</w:t>
      </w:r>
    </w:p>
    <w:p w14:paraId="1B40D7EA" w14:textId="360BACF1" w:rsidR="00B73687" w:rsidRDefault="00000000">
      <w:pPr>
        <w:jc w:val="center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Theori</w:t>
      </w:r>
      <w:r w:rsidR="002E682C">
        <w:rPr>
          <w:i/>
          <w:sz w:val="22"/>
          <w:szCs w:val="22"/>
        </w:rPr>
        <w:t>s</w:t>
      </w:r>
      <w:r>
        <w:rPr>
          <w:i/>
          <w:sz w:val="22"/>
          <w:szCs w:val="22"/>
        </w:rPr>
        <w:t>ing</w:t>
      </w:r>
      <w:proofErr w:type="spellEnd"/>
      <w:r>
        <w:rPr>
          <w:i/>
          <w:sz w:val="22"/>
          <w:szCs w:val="22"/>
        </w:rPr>
        <w:t xml:space="preserve"> the multi-dimensional politics of eco-social policies.</w:t>
      </w:r>
    </w:p>
    <w:p w14:paraId="315C2BE4" w14:textId="69585BA0" w:rsidR="00A041D6" w:rsidRDefault="00A041D6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Journal of Social Policy</w:t>
      </w:r>
    </w:p>
    <w:p w14:paraId="21A7DB84" w14:textId="36FD51D3" w:rsidR="00B73687" w:rsidRPr="00A041D6" w:rsidRDefault="00000000">
      <w:pPr>
        <w:jc w:val="center"/>
        <w:rPr>
          <w:i/>
          <w:sz w:val="22"/>
          <w:szCs w:val="22"/>
        </w:rPr>
      </w:pPr>
      <w:r w:rsidRPr="00A041D6">
        <w:rPr>
          <w:sz w:val="22"/>
          <w:szCs w:val="22"/>
        </w:rPr>
        <w:t xml:space="preserve">By </w:t>
      </w:r>
      <w:r w:rsidR="00A041D6" w:rsidRPr="00A041D6">
        <w:rPr>
          <w:i/>
          <w:sz w:val="22"/>
          <w:szCs w:val="22"/>
        </w:rPr>
        <w:t xml:space="preserve">Torben Fischer and Giovanni Amerigo Giuliani </w:t>
      </w:r>
    </w:p>
    <w:p w14:paraId="3F9D1093" w14:textId="77777777" w:rsidR="00B73687" w:rsidRPr="00A041D6" w:rsidRDefault="00B73687">
      <w:pPr>
        <w:jc w:val="center"/>
        <w:rPr>
          <w:i/>
        </w:rPr>
      </w:pPr>
    </w:p>
    <w:p w14:paraId="0791A508" w14:textId="77777777" w:rsidR="00B7368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Content Analysis of Party Manifestos</w:t>
      </w:r>
    </w:p>
    <w:p w14:paraId="7974DE46" w14:textId="77777777" w:rsidR="00B73687" w:rsidRDefault="00B73687">
      <w:pPr>
        <w:rPr>
          <w:sz w:val="22"/>
          <w:szCs w:val="22"/>
        </w:rPr>
      </w:pPr>
    </w:p>
    <w:p w14:paraId="13801061" w14:textId="2450F5B7" w:rsidR="00B73687" w:rsidRDefault="0018519D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</w:t>
      </w:r>
      <w:r w:rsidR="00000000">
        <w:rPr>
          <w:color w:val="000000"/>
          <w:sz w:val="22"/>
          <w:szCs w:val="22"/>
        </w:rPr>
        <w:t xml:space="preserve"> identify a party’s positions </w:t>
      </w:r>
      <w:r>
        <w:rPr>
          <w:color w:val="000000"/>
          <w:sz w:val="22"/>
          <w:szCs w:val="22"/>
        </w:rPr>
        <w:t>on</w:t>
      </w:r>
      <w:r w:rsidR="00000000">
        <w:rPr>
          <w:color w:val="000000"/>
          <w:sz w:val="22"/>
          <w:szCs w:val="22"/>
        </w:rPr>
        <w:t xml:space="preserve"> the two </w:t>
      </w:r>
      <w:r w:rsidR="00355FD5">
        <w:rPr>
          <w:color w:val="000000"/>
          <w:sz w:val="22"/>
          <w:szCs w:val="22"/>
        </w:rPr>
        <w:t>dimensions</w:t>
      </w:r>
      <w:r w:rsidR="00000000">
        <w:rPr>
          <w:color w:val="000000"/>
          <w:sz w:val="22"/>
          <w:szCs w:val="22"/>
        </w:rPr>
        <w:t xml:space="preserve"> of conflict concerning eco-social policy, we assumed t</w:t>
      </w:r>
      <w:r>
        <w:rPr>
          <w:color w:val="000000"/>
          <w:sz w:val="22"/>
          <w:szCs w:val="22"/>
        </w:rPr>
        <w:t>hat they were</w:t>
      </w:r>
      <w:r w:rsidR="00000000">
        <w:rPr>
          <w:color w:val="000000"/>
          <w:sz w:val="22"/>
          <w:szCs w:val="22"/>
        </w:rPr>
        <w:t xml:space="preserve"> expressed in national election manifestos.</w:t>
      </w:r>
      <w:r w:rsidR="0034413B" w:rsidRPr="0034413B">
        <w:t xml:space="preserve"> </w:t>
      </w:r>
      <w:r w:rsidR="0034413B" w:rsidRPr="0034413B">
        <w:rPr>
          <w:color w:val="000000"/>
          <w:sz w:val="22"/>
          <w:szCs w:val="22"/>
        </w:rPr>
        <w:t>We therefore conducted a content analysis of party manifestos for the 2021 German election</w:t>
      </w:r>
      <w:r w:rsidR="00000000">
        <w:rPr>
          <w:color w:val="000000"/>
          <w:sz w:val="22"/>
          <w:szCs w:val="22"/>
        </w:rPr>
        <w:t>.</w:t>
      </w:r>
      <w:r w:rsidR="00FE089F" w:rsidRPr="00FE089F">
        <w:t xml:space="preserve"> </w:t>
      </w:r>
      <w:bookmarkStart w:id="0" w:name="_Hlk184718724"/>
      <w:r w:rsidR="00FE089F" w:rsidRPr="00FE089F">
        <w:rPr>
          <w:color w:val="000000"/>
          <w:sz w:val="22"/>
          <w:szCs w:val="22"/>
        </w:rPr>
        <w:t xml:space="preserve">The content analysis strategy is </w:t>
      </w:r>
      <w:proofErr w:type="gramStart"/>
      <w:r w:rsidR="00FE089F" w:rsidRPr="00FE089F">
        <w:rPr>
          <w:color w:val="000000"/>
          <w:sz w:val="22"/>
          <w:szCs w:val="22"/>
        </w:rPr>
        <w:t>similar to</w:t>
      </w:r>
      <w:proofErr w:type="gramEnd"/>
      <w:r>
        <w:rPr>
          <w:color w:val="000000"/>
          <w:sz w:val="22"/>
          <w:szCs w:val="22"/>
        </w:rPr>
        <w:t xml:space="preserve"> that of</w:t>
      </w:r>
      <w:r w:rsidR="00FE089F" w:rsidRPr="00FE089F">
        <w:rPr>
          <w:color w:val="000000"/>
          <w:sz w:val="22"/>
          <w:szCs w:val="22"/>
        </w:rPr>
        <w:t xml:space="preserve"> </w:t>
      </w:r>
      <w:proofErr w:type="spellStart"/>
      <w:r w:rsidR="00FE089F" w:rsidRPr="00FE089F">
        <w:rPr>
          <w:color w:val="000000"/>
          <w:sz w:val="22"/>
          <w:szCs w:val="22"/>
        </w:rPr>
        <w:t>Enggist</w:t>
      </w:r>
      <w:proofErr w:type="spellEnd"/>
      <w:r w:rsidR="00FE089F" w:rsidRPr="00FE089F">
        <w:rPr>
          <w:color w:val="000000"/>
          <w:sz w:val="22"/>
          <w:szCs w:val="22"/>
        </w:rPr>
        <w:t xml:space="preserve"> and </w:t>
      </w:r>
      <w:proofErr w:type="spellStart"/>
      <w:r w:rsidR="00FE089F" w:rsidRPr="00FE089F">
        <w:rPr>
          <w:color w:val="000000"/>
          <w:sz w:val="22"/>
          <w:szCs w:val="22"/>
        </w:rPr>
        <w:t>Pin</w:t>
      </w:r>
      <w:r w:rsidR="001F3669">
        <w:rPr>
          <w:color w:val="000000"/>
          <w:sz w:val="22"/>
          <w:szCs w:val="22"/>
        </w:rPr>
        <w:t>g</w:t>
      </w:r>
      <w:r w:rsidR="00FE089F" w:rsidRPr="00FE089F">
        <w:rPr>
          <w:color w:val="000000"/>
          <w:sz w:val="22"/>
          <w:szCs w:val="22"/>
        </w:rPr>
        <w:t>gera</w:t>
      </w:r>
      <w:proofErr w:type="spellEnd"/>
      <w:r w:rsidR="00FE089F" w:rsidRPr="00FE089F">
        <w:rPr>
          <w:color w:val="000000"/>
          <w:sz w:val="22"/>
          <w:szCs w:val="22"/>
        </w:rPr>
        <w:t xml:space="preserve"> (202</w:t>
      </w:r>
      <w:r w:rsidR="002E7036">
        <w:rPr>
          <w:color w:val="000000"/>
          <w:sz w:val="22"/>
          <w:szCs w:val="22"/>
        </w:rPr>
        <w:t>2</w:t>
      </w:r>
      <w:r w:rsidR="00FE089F" w:rsidRPr="00FE089F">
        <w:rPr>
          <w:color w:val="000000"/>
          <w:sz w:val="22"/>
          <w:szCs w:val="22"/>
        </w:rPr>
        <w:t>) and Giuliani (2024)</w:t>
      </w:r>
      <w:r w:rsidR="00000000">
        <w:rPr>
          <w:color w:val="000000"/>
          <w:sz w:val="22"/>
          <w:szCs w:val="22"/>
        </w:rPr>
        <w:t>.</w:t>
      </w:r>
      <w:bookmarkEnd w:id="0"/>
      <w:r w:rsidR="00000000">
        <w:rPr>
          <w:color w:val="000000"/>
          <w:sz w:val="22"/>
          <w:szCs w:val="22"/>
        </w:rPr>
        <w:t xml:space="preserve"> To identify parties’ positions, we re</w:t>
      </w:r>
      <w:r>
        <w:rPr>
          <w:color w:val="000000"/>
          <w:sz w:val="22"/>
          <w:szCs w:val="22"/>
        </w:rPr>
        <w:t>-</w:t>
      </w:r>
      <w:r w:rsidR="00000000">
        <w:rPr>
          <w:color w:val="000000"/>
          <w:sz w:val="22"/>
          <w:szCs w:val="22"/>
        </w:rPr>
        <w:t>coded data as </w:t>
      </w:r>
      <w:r w:rsidR="00000000">
        <w:rPr>
          <w:i/>
          <w:color w:val="000000"/>
          <w:sz w:val="22"/>
          <w:szCs w:val="22"/>
        </w:rPr>
        <w:t>quasi-sentences</w:t>
      </w:r>
      <w:r w:rsidR="00000000">
        <w:rPr>
          <w:color w:val="000000"/>
          <w:sz w:val="22"/>
          <w:szCs w:val="22"/>
        </w:rPr>
        <w:t> from the Manifesto</w:t>
      </w:r>
      <w:r>
        <w:rPr>
          <w:color w:val="000000"/>
          <w:sz w:val="22"/>
          <w:szCs w:val="22"/>
        </w:rPr>
        <w:t xml:space="preserve"> Project</w:t>
      </w:r>
      <w:r w:rsidR="00000000">
        <w:rPr>
          <w:color w:val="000000"/>
          <w:sz w:val="22"/>
          <w:szCs w:val="22"/>
        </w:rPr>
        <w:t xml:space="preserve"> Data</w:t>
      </w:r>
      <w:r>
        <w:rPr>
          <w:color w:val="000000"/>
          <w:sz w:val="22"/>
          <w:szCs w:val="22"/>
        </w:rPr>
        <w:t>set</w:t>
      </w:r>
      <w:r w:rsidR="00D155E2">
        <w:rPr>
          <w:color w:val="000000"/>
          <w:sz w:val="22"/>
          <w:szCs w:val="22"/>
        </w:rPr>
        <w:t xml:space="preserve"> (Lehmann et al., 2024)</w:t>
      </w:r>
      <w:r w:rsidR="00000000">
        <w:rPr>
          <w:color w:val="000000"/>
          <w:sz w:val="22"/>
          <w:szCs w:val="22"/>
        </w:rPr>
        <w:t>. </w:t>
      </w:r>
      <w:r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>Manifesto Project Dataset</w:t>
      </w:r>
      <w:r>
        <w:rPr>
          <w:color w:val="000000"/>
          <w:sz w:val="22"/>
          <w:szCs w:val="22"/>
        </w:rPr>
        <w:t xml:space="preserve"> </w:t>
      </w:r>
      <w:r w:rsidR="00000000">
        <w:rPr>
          <w:color w:val="000000"/>
          <w:sz w:val="22"/>
          <w:szCs w:val="22"/>
        </w:rPr>
        <w:t xml:space="preserve">provides access to the parties’ election manifestos, split into quasi-sentences. These quasi-sentences are assigned to a broad policy category, such as “Welfare State Expansion” or “Education Expansion.” These categories are too broad to detect specific positions regarding the two lines of conflicts and the four sub-dimensions. For this reason, we </w:t>
      </w:r>
      <w:r>
        <w:rPr>
          <w:color w:val="000000"/>
          <w:sz w:val="22"/>
          <w:szCs w:val="22"/>
        </w:rPr>
        <w:t>have created</w:t>
      </w:r>
      <w:r w:rsidR="00000000">
        <w:rPr>
          <w:color w:val="000000"/>
          <w:sz w:val="22"/>
          <w:szCs w:val="22"/>
        </w:rPr>
        <w:t xml:space="preserve"> a new coding scheme. </w:t>
      </w:r>
    </w:p>
    <w:p w14:paraId="45D2A989" w14:textId="77777777" w:rsidR="004A4BCA" w:rsidRDefault="004A4BCA">
      <w:pPr>
        <w:jc w:val="both"/>
        <w:rPr>
          <w:color w:val="000000"/>
          <w:sz w:val="22"/>
          <w:szCs w:val="22"/>
        </w:rPr>
      </w:pPr>
    </w:p>
    <w:p w14:paraId="330110E9" w14:textId="52E41F52" w:rsidR="00B73687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First, we identified those categories within the Manifesto Project</w:t>
      </w:r>
      <w:r w:rsidR="0018519D">
        <w:rPr>
          <w:color w:val="000000"/>
          <w:sz w:val="22"/>
          <w:szCs w:val="22"/>
        </w:rPr>
        <w:t xml:space="preserve"> Dataset</w:t>
      </w:r>
      <w:r>
        <w:rPr>
          <w:color w:val="000000"/>
          <w:sz w:val="22"/>
          <w:szCs w:val="22"/>
        </w:rPr>
        <w:t>, which can theoretically include stances regarding eco-social policies. Such categories are the following:</w:t>
      </w:r>
    </w:p>
    <w:p w14:paraId="4AF292E9" w14:textId="77777777" w:rsidR="00B73687" w:rsidRDefault="00B73687">
      <w:pPr>
        <w:jc w:val="both"/>
        <w:rPr>
          <w:color w:val="000000"/>
          <w:sz w:val="22"/>
          <w:szCs w:val="22"/>
        </w:rPr>
      </w:pPr>
    </w:p>
    <w:p w14:paraId="56FACD6F" w14:textId="77777777" w:rsidR="00B73687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“per402 Incentives: Positive”;  “per403 Market Regulation”; “per404 Economic Planning”; “per405 Corporatism/Mixed Economy”; “per408 Economic Goals”; “per409 Keynesian Demand Management”; “per410 Economic Growth: Positive”; “per411 Technology and Infrastructure: Positive”; “per412 Controlled Economy”; “per416 Anti-Growth Economy: Positive”; “per501 Environmental Protection”; “per503 Equality: Positive”;  “per504 Welfare State Expansion”; “per505 Welfare State Limitation”; “per506 Education Expansion”; “per507 Education Limitation”; “per701 </w:t>
      </w:r>
      <w:proofErr w:type="spellStart"/>
      <w:r>
        <w:rPr>
          <w:color w:val="000000"/>
          <w:sz w:val="22"/>
          <w:szCs w:val="22"/>
        </w:rPr>
        <w:t>Labour</w:t>
      </w:r>
      <w:proofErr w:type="spellEnd"/>
      <w:r>
        <w:rPr>
          <w:color w:val="000000"/>
          <w:sz w:val="22"/>
          <w:szCs w:val="22"/>
        </w:rPr>
        <w:t xml:space="preserve"> Groups: Positive”; “per702 </w:t>
      </w:r>
      <w:proofErr w:type="spellStart"/>
      <w:r>
        <w:rPr>
          <w:color w:val="000000"/>
          <w:sz w:val="22"/>
          <w:szCs w:val="22"/>
        </w:rPr>
        <w:t>Labour</w:t>
      </w:r>
      <w:proofErr w:type="spellEnd"/>
      <w:r>
        <w:rPr>
          <w:color w:val="000000"/>
          <w:sz w:val="22"/>
          <w:szCs w:val="22"/>
        </w:rPr>
        <w:t xml:space="preserve"> Groups: Negative”; “per703 Agriculture and Farmers: Positive”; “per416_1 Anti-Growth Economy: Positive”; “per416_2 Sustainability: Positive”; “per703_1 Agriculture and Farmers: Positive”; “per703_2 Agriculture and Farmers: Negative”. </w:t>
      </w:r>
    </w:p>
    <w:p w14:paraId="6EA7FE87" w14:textId="77777777" w:rsidR="00B73687" w:rsidRDefault="00B73687">
      <w:pPr>
        <w:jc w:val="both"/>
        <w:rPr>
          <w:color w:val="000000"/>
          <w:sz w:val="22"/>
          <w:szCs w:val="22"/>
        </w:rPr>
      </w:pPr>
    </w:p>
    <w:p w14:paraId="3DDC6DC4" w14:textId="39287601" w:rsidR="00B73687" w:rsidRPr="00121854" w:rsidRDefault="00000000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We then identified in </w:t>
      </w:r>
      <w:proofErr w:type="gramStart"/>
      <w:r>
        <w:rPr>
          <w:color w:val="000000"/>
          <w:sz w:val="22"/>
          <w:szCs w:val="22"/>
        </w:rPr>
        <w:t>a first</w:t>
      </w:r>
      <w:proofErr w:type="gramEnd"/>
      <w:r>
        <w:rPr>
          <w:color w:val="000000"/>
          <w:sz w:val="22"/>
          <w:szCs w:val="22"/>
        </w:rPr>
        <w:t xml:space="preserve"> step all quasi-sentences which address eco-social risks</w:t>
      </w:r>
      <w:r w:rsidR="00121854">
        <w:rPr>
          <w:color w:val="000000"/>
          <w:sz w:val="22"/>
          <w:szCs w:val="22"/>
        </w:rPr>
        <w:t>, goals</w:t>
      </w:r>
      <w:r>
        <w:rPr>
          <w:color w:val="000000"/>
          <w:sz w:val="22"/>
          <w:szCs w:val="22"/>
        </w:rPr>
        <w:t xml:space="preserve"> </w:t>
      </w:r>
      <w:r w:rsidR="00121854">
        <w:rPr>
          <w:color w:val="000000"/>
          <w:sz w:val="22"/>
          <w:szCs w:val="22"/>
        </w:rPr>
        <w:t>and/</w:t>
      </w:r>
      <w:r>
        <w:rPr>
          <w:color w:val="000000"/>
          <w:sz w:val="22"/>
          <w:szCs w:val="22"/>
        </w:rPr>
        <w:t xml:space="preserve">or policies. For re-coding a quasi-sentence as eco-social, we </w:t>
      </w:r>
      <w:r w:rsidR="00121854">
        <w:rPr>
          <w:color w:val="000000"/>
          <w:sz w:val="22"/>
          <w:szCs w:val="22"/>
        </w:rPr>
        <w:t>referred to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Mandelli (2022:</w:t>
      </w:r>
      <w:r w:rsidR="00121854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="00121854">
        <w:rPr>
          <w:sz w:val="22"/>
          <w:szCs w:val="22"/>
        </w:rPr>
        <w:t>34) and focused on “</w:t>
      </w:r>
      <w:r w:rsidR="00121854" w:rsidRPr="00121854">
        <w:rPr>
          <w:sz w:val="22"/>
          <w:szCs w:val="22"/>
        </w:rPr>
        <w:t xml:space="preserve">the interconnection between the social and the environmental spheres and </w:t>
      </w:r>
      <w:r w:rsidR="00121854">
        <w:rPr>
          <w:sz w:val="22"/>
          <w:szCs w:val="22"/>
        </w:rPr>
        <w:t>[…]</w:t>
      </w:r>
      <w:r w:rsidR="00121854" w:rsidRPr="00121854">
        <w:rPr>
          <w:sz w:val="22"/>
          <w:szCs w:val="22"/>
        </w:rPr>
        <w:t xml:space="preserve"> how this can be addressed through eco-social policies</w:t>
      </w:r>
      <w:r w:rsidR="00121854">
        <w:rPr>
          <w:sz w:val="22"/>
          <w:szCs w:val="22"/>
        </w:rPr>
        <w:t>”</w:t>
      </w:r>
      <w:r w:rsidR="00121854" w:rsidRPr="00121854">
        <w:rPr>
          <w:sz w:val="22"/>
          <w:szCs w:val="22"/>
        </w:rPr>
        <w:t>.</w:t>
      </w:r>
      <w:r w:rsidR="00121854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If they were categorized as eco-social, we assigned them to one the two </w:t>
      </w:r>
      <w:r w:rsidR="00355FD5">
        <w:rPr>
          <w:color w:val="000000"/>
          <w:sz w:val="22"/>
          <w:szCs w:val="22"/>
        </w:rPr>
        <w:t>dimensions</w:t>
      </w:r>
      <w:r>
        <w:rPr>
          <w:color w:val="000000"/>
          <w:sz w:val="22"/>
          <w:szCs w:val="22"/>
        </w:rPr>
        <w:t xml:space="preserve"> of conflict. This was a two-step procedure: </w:t>
      </w:r>
    </w:p>
    <w:p w14:paraId="4C6BC142" w14:textId="051DC99B" w:rsidR="00B736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First, we assigned the quasi-sentences to the first </w:t>
      </w:r>
      <w:r w:rsidR="00355FD5">
        <w:rPr>
          <w:color w:val="000000"/>
          <w:sz w:val="22"/>
          <w:szCs w:val="22"/>
        </w:rPr>
        <w:t>dimension</w:t>
      </w:r>
      <w:r>
        <w:rPr>
          <w:color w:val="000000"/>
          <w:sz w:val="22"/>
          <w:szCs w:val="22"/>
        </w:rPr>
        <w:t xml:space="preserve"> of conflict – the </w:t>
      </w:r>
      <w:r w:rsidR="00B8216A">
        <w:rPr>
          <w:i/>
          <w:color w:val="000000"/>
          <w:sz w:val="22"/>
          <w:szCs w:val="22"/>
        </w:rPr>
        <w:t>ideational approach</w:t>
      </w:r>
      <w:r>
        <w:rPr>
          <w:i/>
          <w:color w:val="000000"/>
          <w:sz w:val="22"/>
          <w:szCs w:val="22"/>
        </w:rPr>
        <w:t xml:space="preserve"> </w:t>
      </w:r>
      <w:r w:rsidR="007A5A2D">
        <w:rPr>
          <w:color w:val="000000"/>
          <w:sz w:val="22"/>
          <w:szCs w:val="22"/>
        </w:rPr>
        <w:t>dimension</w:t>
      </w:r>
      <w:r>
        <w:rPr>
          <w:color w:val="000000"/>
          <w:sz w:val="22"/>
          <w:szCs w:val="22"/>
        </w:rPr>
        <w:t xml:space="preserve">. Once a quasi-sentence was included within this </w:t>
      </w:r>
      <w:r w:rsidR="00355FD5">
        <w:rPr>
          <w:color w:val="000000"/>
          <w:sz w:val="22"/>
          <w:szCs w:val="22"/>
        </w:rPr>
        <w:t>dimension</w:t>
      </w:r>
      <w:r>
        <w:rPr>
          <w:color w:val="000000"/>
          <w:sz w:val="22"/>
          <w:szCs w:val="22"/>
        </w:rPr>
        <w:t xml:space="preserve"> of conflict, we coded its “sentiment”, that is whether the party takes a pro</w:t>
      </w:r>
      <w:r w:rsidR="007A5A2D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trade-off or a pro-synergy stance. </w:t>
      </w:r>
    </w:p>
    <w:p w14:paraId="5CE1DEA3" w14:textId="0E17B1BC" w:rsidR="00B736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Second, we assigned the remaining quasi-sentences to the second </w:t>
      </w:r>
      <w:r w:rsidR="00355FD5">
        <w:rPr>
          <w:color w:val="000000"/>
          <w:sz w:val="22"/>
          <w:szCs w:val="22"/>
        </w:rPr>
        <w:t>dimension</w:t>
      </w:r>
      <w:r>
        <w:rPr>
          <w:color w:val="000000"/>
          <w:sz w:val="22"/>
          <w:szCs w:val="22"/>
        </w:rPr>
        <w:t xml:space="preserve"> of conflict – the </w:t>
      </w:r>
      <w:r w:rsidRPr="007A5A2D">
        <w:rPr>
          <w:i/>
          <w:iCs/>
          <w:color w:val="000000"/>
          <w:sz w:val="22"/>
          <w:szCs w:val="22"/>
        </w:rPr>
        <w:t>design</w:t>
      </w:r>
      <w:r>
        <w:rPr>
          <w:color w:val="000000"/>
          <w:sz w:val="22"/>
          <w:szCs w:val="22"/>
        </w:rPr>
        <w:t xml:space="preserve"> </w:t>
      </w:r>
      <w:r w:rsidR="007A5A2D">
        <w:rPr>
          <w:color w:val="000000"/>
          <w:sz w:val="22"/>
          <w:szCs w:val="22"/>
        </w:rPr>
        <w:t>dimension</w:t>
      </w:r>
      <w:r>
        <w:rPr>
          <w:color w:val="000000"/>
          <w:sz w:val="22"/>
          <w:szCs w:val="22"/>
        </w:rPr>
        <w:t xml:space="preserve">. Each of them was then assigned to one of the four subdimensions: I </w:t>
      </w:r>
      <w:r w:rsidR="00355FD5">
        <w:rPr>
          <w:color w:val="000000"/>
          <w:sz w:val="22"/>
          <w:szCs w:val="22"/>
        </w:rPr>
        <w:t>Sub-d</w:t>
      </w:r>
      <w:r>
        <w:rPr>
          <w:color w:val="000000"/>
          <w:sz w:val="22"/>
          <w:szCs w:val="22"/>
        </w:rPr>
        <w:t xml:space="preserve">imension: </w:t>
      </w:r>
      <w:r>
        <w:rPr>
          <w:i/>
          <w:sz w:val="22"/>
          <w:szCs w:val="22"/>
        </w:rPr>
        <w:t>Role of government</w:t>
      </w:r>
      <w:sdt>
        <w:sdtPr>
          <w:tag w:val="goog_rdk_0"/>
          <w:id w:val="362099785"/>
        </w:sdtPr>
        <w:sdtContent/>
      </w:sdt>
      <w:r>
        <w:rPr>
          <w:color w:val="000000"/>
          <w:sz w:val="22"/>
          <w:szCs w:val="22"/>
        </w:rPr>
        <w:t xml:space="preserve">; II </w:t>
      </w:r>
      <w:r w:rsidR="00355FD5">
        <w:rPr>
          <w:color w:val="000000"/>
          <w:sz w:val="22"/>
          <w:szCs w:val="22"/>
        </w:rPr>
        <w:t>Sub-d</w:t>
      </w:r>
      <w:r>
        <w:rPr>
          <w:color w:val="000000"/>
          <w:sz w:val="22"/>
          <w:szCs w:val="22"/>
        </w:rPr>
        <w:t>imension:</w:t>
      </w:r>
      <w:r w:rsidR="00355FD5">
        <w:rPr>
          <w:color w:val="000000"/>
          <w:sz w:val="22"/>
          <w:szCs w:val="22"/>
        </w:rPr>
        <w:t xml:space="preserve"> </w:t>
      </w:r>
      <w:r w:rsidRPr="00355FD5">
        <w:rPr>
          <w:i/>
          <w:iCs/>
          <w:sz w:val="22"/>
          <w:szCs w:val="22"/>
        </w:rPr>
        <w:t>Policy instruments</w:t>
      </w:r>
      <w:r>
        <w:rPr>
          <w:color w:val="000000"/>
          <w:sz w:val="22"/>
          <w:szCs w:val="22"/>
        </w:rPr>
        <w:t xml:space="preserve">; III </w:t>
      </w:r>
      <w:r w:rsidR="00355FD5">
        <w:rPr>
          <w:color w:val="000000"/>
          <w:sz w:val="22"/>
          <w:szCs w:val="22"/>
        </w:rPr>
        <w:t>Sub-</w:t>
      </w:r>
      <w:r>
        <w:rPr>
          <w:color w:val="000000"/>
          <w:sz w:val="22"/>
          <w:szCs w:val="22"/>
        </w:rPr>
        <w:t xml:space="preserve">Dimension: </w:t>
      </w:r>
      <w:r>
        <w:rPr>
          <w:i/>
          <w:sz w:val="22"/>
          <w:szCs w:val="22"/>
        </w:rPr>
        <w:t xml:space="preserve">Policy beneficiaries; </w:t>
      </w:r>
      <w:r>
        <w:rPr>
          <w:color w:val="000000"/>
          <w:sz w:val="22"/>
          <w:szCs w:val="22"/>
        </w:rPr>
        <w:t xml:space="preserve">IV Dimension: </w:t>
      </w:r>
      <w:r>
        <w:rPr>
          <w:i/>
          <w:color w:val="000000"/>
          <w:sz w:val="22"/>
          <w:szCs w:val="22"/>
        </w:rPr>
        <w:t>Growth</w:t>
      </w:r>
      <w:r>
        <w:rPr>
          <w:i/>
          <w:sz w:val="22"/>
          <w:szCs w:val="22"/>
        </w:rPr>
        <w:t xml:space="preserve"> strategy</w:t>
      </w:r>
      <w:r>
        <w:rPr>
          <w:i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Once a quasi-sentence was included in one of the four subdimensions, we coded its “sentiment”. </w:t>
      </w:r>
    </w:p>
    <w:p w14:paraId="6026EF00" w14:textId="77777777" w:rsidR="00B73687" w:rsidRDefault="00B73687">
      <w:pPr>
        <w:jc w:val="both"/>
        <w:rPr>
          <w:sz w:val="22"/>
          <w:szCs w:val="22"/>
        </w:rPr>
      </w:pPr>
    </w:p>
    <w:p w14:paraId="50ABC065" w14:textId="3C2BE96C" w:rsidR="00B7368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When the coding of single quasi-sentences </w:t>
      </w:r>
      <w:r w:rsidR="007A5A2D">
        <w:rPr>
          <w:sz w:val="22"/>
          <w:szCs w:val="22"/>
        </w:rPr>
        <w:t>proved</w:t>
      </w:r>
      <w:r>
        <w:rPr>
          <w:sz w:val="22"/>
          <w:szCs w:val="22"/>
        </w:rPr>
        <w:t xml:space="preserve"> problematic (mostly due to the vagueness</w:t>
      </w:r>
      <w:r w:rsidR="007A5A2D">
        <w:rPr>
          <w:sz w:val="22"/>
          <w:szCs w:val="22"/>
        </w:rPr>
        <w:t xml:space="preserve"> of the wording</w:t>
      </w:r>
      <w:r>
        <w:rPr>
          <w:sz w:val="22"/>
          <w:szCs w:val="22"/>
        </w:rPr>
        <w:t xml:space="preserve">), we decided to read all the manifestos – thus including quasi-sentences which do not belong to the codes previously indicated – </w:t>
      </w:r>
      <w:r w:rsidR="007A5A2D">
        <w:rPr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contextuali</w:t>
      </w:r>
      <w:r w:rsidR="007A5A2D">
        <w:rPr>
          <w:sz w:val="22"/>
          <w:szCs w:val="22"/>
        </w:rPr>
        <w:t>s</w:t>
      </w:r>
      <w:r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them. On several occasions, contextualization was crucial </w:t>
      </w:r>
      <w:r w:rsidR="007A5A2D">
        <w:rPr>
          <w:sz w:val="22"/>
          <w:szCs w:val="22"/>
        </w:rPr>
        <w:t>to</w:t>
      </w:r>
      <w:r>
        <w:rPr>
          <w:sz w:val="22"/>
          <w:szCs w:val="22"/>
        </w:rPr>
        <w:t xml:space="preserve"> properly code a vague quasi-sentence. Furthermore, the reading of the whole party manifestos has functioned as a sort of robustness check </w:t>
      </w:r>
      <w:r w:rsidR="007A5A2D">
        <w:rPr>
          <w:sz w:val="22"/>
          <w:szCs w:val="22"/>
        </w:rPr>
        <w:t>to</w:t>
      </w:r>
      <w:r>
        <w:rPr>
          <w:sz w:val="22"/>
          <w:szCs w:val="22"/>
        </w:rPr>
        <w:t xml:space="preserve"> be sure that no relevant quasi-sentences </w:t>
      </w:r>
      <w:r w:rsidR="00721263">
        <w:rPr>
          <w:sz w:val="22"/>
          <w:szCs w:val="22"/>
        </w:rPr>
        <w:t>were</w:t>
      </w:r>
      <w:r>
        <w:rPr>
          <w:sz w:val="22"/>
          <w:szCs w:val="22"/>
        </w:rPr>
        <w:t xml:space="preserve"> left out. In terms of coding reliability, each author </w:t>
      </w:r>
      <w:r w:rsidR="002729DE">
        <w:rPr>
          <w:sz w:val="22"/>
          <w:szCs w:val="22"/>
        </w:rPr>
        <w:t>coded one</w:t>
      </w:r>
      <w:r>
        <w:rPr>
          <w:sz w:val="22"/>
          <w:szCs w:val="22"/>
        </w:rPr>
        <w:t xml:space="preserve"> half of the party manifestos. We then performed a cross-correspondence check. The assignment of the ambiguous quasi-sentences was then rediscussed among the authors and then coded accordingly. </w:t>
      </w:r>
    </w:p>
    <w:p w14:paraId="6800C405" w14:textId="77777777" w:rsidR="00B73687" w:rsidRDefault="00B73687">
      <w:pPr>
        <w:jc w:val="both"/>
        <w:rPr>
          <w:sz w:val="22"/>
          <w:szCs w:val="22"/>
        </w:rPr>
      </w:pPr>
    </w:p>
    <w:p w14:paraId="006CF226" w14:textId="2A178DB9" w:rsidR="00B7368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The quantitative results of the content analysis were used to construct </w:t>
      </w:r>
      <w:sdt>
        <w:sdtPr>
          <w:tag w:val="goog_rdk_1"/>
          <w:id w:val="-938754308"/>
        </w:sdtPr>
        <w:sdtContent>
          <w:r>
            <w:rPr>
              <w:sz w:val="22"/>
              <w:szCs w:val="22"/>
            </w:rPr>
            <w:t>five</w:t>
          </w:r>
        </w:sdtContent>
      </w:sdt>
      <w:r w:rsidR="00161CD8">
        <w:t xml:space="preserve"> </w:t>
      </w:r>
      <w:r w:rsidR="00AF2FBE">
        <w:rPr>
          <w:sz w:val="22"/>
          <w:szCs w:val="22"/>
        </w:rPr>
        <w:t>e</w:t>
      </w:r>
      <w:r>
        <w:rPr>
          <w:sz w:val="22"/>
          <w:szCs w:val="22"/>
        </w:rPr>
        <w:t>co-</w:t>
      </w:r>
      <w:r w:rsidR="00AF2FBE">
        <w:rPr>
          <w:sz w:val="22"/>
          <w:szCs w:val="22"/>
        </w:rPr>
        <w:t>s</w:t>
      </w:r>
      <w:r>
        <w:rPr>
          <w:sz w:val="22"/>
          <w:szCs w:val="22"/>
        </w:rPr>
        <w:t xml:space="preserve">ocial </w:t>
      </w:r>
      <w:r w:rsidR="00AF2FBE">
        <w:rPr>
          <w:sz w:val="22"/>
          <w:szCs w:val="22"/>
        </w:rPr>
        <w:t>p</w:t>
      </w:r>
      <w:r>
        <w:rPr>
          <w:sz w:val="22"/>
          <w:szCs w:val="22"/>
        </w:rPr>
        <w:t>olicies ind</w:t>
      </w:r>
      <w:r w:rsidR="00AF2FBE">
        <w:rPr>
          <w:sz w:val="22"/>
          <w:szCs w:val="22"/>
        </w:rPr>
        <w:t>ices</w:t>
      </w:r>
      <w:r>
        <w:rPr>
          <w:sz w:val="22"/>
          <w:szCs w:val="22"/>
        </w:rPr>
        <w:t xml:space="preserve"> (one for the first</w:t>
      </w:r>
      <w:r w:rsidR="00355FD5">
        <w:rPr>
          <w:sz w:val="22"/>
          <w:szCs w:val="22"/>
        </w:rPr>
        <w:t xml:space="preserve"> dimension</w:t>
      </w:r>
      <w:r>
        <w:rPr>
          <w:sz w:val="22"/>
          <w:szCs w:val="22"/>
        </w:rPr>
        <w:t xml:space="preserve"> of conflict, four for the second </w:t>
      </w:r>
      <w:r w:rsidR="00355FD5">
        <w:rPr>
          <w:sz w:val="22"/>
          <w:szCs w:val="22"/>
        </w:rPr>
        <w:t>dimension</w:t>
      </w:r>
      <w:r>
        <w:rPr>
          <w:sz w:val="22"/>
          <w:szCs w:val="22"/>
        </w:rPr>
        <w:t xml:space="preserve">) which measure the specific position (its intensity) adopted by parties. Below </w:t>
      </w:r>
      <w:r w:rsidR="005A11E4">
        <w:rPr>
          <w:sz w:val="22"/>
          <w:szCs w:val="22"/>
        </w:rPr>
        <w:t>is the</w:t>
      </w:r>
      <w:r>
        <w:rPr>
          <w:sz w:val="22"/>
          <w:szCs w:val="22"/>
        </w:rPr>
        <w:t xml:space="preserve"> explanation of the indexes in </w:t>
      </w:r>
      <w:r w:rsidR="005A11E4">
        <w:rPr>
          <w:sz w:val="22"/>
          <w:szCs w:val="22"/>
        </w:rPr>
        <w:t>detail</w:t>
      </w:r>
      <w:r>
        <w:rPr>
          <w:sz w:val="22"/>
          <w:szCs w:val="22"/>
        </w:rPr>
        <w:t>. The ind</w:t>
      </w:r>
      <w:r w:rsidR="00AF2FBE">
        <w:rPr>
          <w:sz w:val="22"/>
          <w:szCs w:val="22"/>
        </w:rPr>
        <w:t>ices</w:t>
      </w:r>
      <w:r>
        <w:rPr>
          <w:sz w:val="22"/>
          <w:szCs w:val="22"/>
        </w:rPr>
        <w:t xml:space="preserve"> resemble the method used by the M</w:t>
      </w:r>
      <w:r w:rsidR="007A5A2D">
        <w:rPr>
          <w:sz w:val="22"/>
          <w:szCs w:val="22"/>
        </w:rPr>
        <w:t xml:space="preserve">anifesto </w:t>
      </w:r>
      <w:r>
        <w:rPr>
          <w:sz w:val="22"/>
          <w:szCs w:val="22"/>
        </w:rPr>
        <w:t>P</w:t>
      </w:r>
      <w:r w:rsidR="007A5A2D">
        <w:rPr>
          <w:sz w:val="22"/>
          <w:szCs w:val="22"/>
        </w:rPr>
        <w:t>roject Dataset</w:t>
      </w:r>
      <w:r>
        <w:rPr>
          <w:sz w:val="22"/>
          <w:szCs w:val="22"/>
        </w:rPr>
        <w:t xml:space="preserve"> to build the RILE scale. </w:t>
      </w:r>
    </w:p>
    <w:p w14:paraId="6E9258B8" w14:textId="77777777" w:rsidR="00B73687" w:rsidRDefault="00B73687">
      <w:pPr>
        <w:jc w:val="both"/>
        <w:rPr>
          <w:sz w:val="22"/>
          <w:szCs w:val="22"/>
        </w:rPr>
      </w:pPr>
    </w:p>
    <w:p w14:paraId="7F627E88" w14:textId="4E8CF72C" w:rsidR="00B73687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First </w:t>
      </w:r>
      <w:r w:rsidR="00355FD5">
        <w:rPr>
          <w:b/>
          <w:sz w:val="22"/>
          <w:szCs w:val="22"/>
        </w:rPr>
        <w:t>Dimension</w:t>
      </w:r>
      <w:r>
        <w:rPr>
          <w:b/>
          <w:sz w:val="22"/>
          <w:szCs w:val="22"/>
        </w:rPr>
        <w:t xml:space="preserve"> of conflict</w:t>
      </w:r>
      <w:r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>Synergy vs. Trade-off</w:t>
      </w:r>
    </w:p>
    <w:p w14:paraId="009D1E2C" w14:textId="77777777" w:rsidR="00B73687" w:rsidRDefault="00B73687">
      <w:pPr>
        <w:jc w:val="both"/>
        <w:rPr>
          <w:sz w:val="22"/>
          <w:szCs w:val="22"/>
        </w:rPr>
      </w:pPr>
    </w:p>
    <w:p w14:paraId="269B2DB7" w14:textId="68122AF8" w:rsidR="00B7368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r w:rsidR="00355FD5">
        <w:rPr>
          <w:sz w:val="22"/>
          <w:szCs w:val="22"/>
        </w:rPr>
        <w:t>f</w:t>
      </w:r>
      <w:r>
        <w:rPr>
          <w:sz w:val="22"/>
          <w:szCs w:val="22"/>
        </w:rPr>
        <w:t xml:space="preserve">irst </w:t>
      </w:r>
      <w:r w:rsidR="00355FD5">
        <w:rPr>
          <w:sz w:val="22"/>
          <w:szCs w:val="22"/>
        </w:rPr>
        <w:t>dimension-</w:t>
      </w:r>
      <w:r>
        <w:rPr>
          <w:sz w:val="22"/>
          <w:szCs w:val="22"/>
        </w:rPr>
        <w:t>of</w:t>
      </w:r>
      <w:r w:rsidR="00355FD5">
        <w:rPr>
          <w:sz w:val="22"/>
          <w:szCs w:val="22"/>
        </w:rPr>
        <w:t>-</w:t>
      </w:r>
      <w:r>
        <w:rPr>
          <w:sz w:val="22"/>
          <w:szCs w:val="22"/>
        </w:rPr>
        <w:t xml:space="preserve">conflict index, the number of (positive) quasi-sentences on trade-off was subtracted from the number of (positive) quasi-stances on synergies and taken as a share of all quasi-stances on the first line of conflict. The </w:t>
      </w:r>
      <w:proofErr w:type="gramStart"/>
      <w:r>
        <w:rPr>
          <w:sz w:val="22"/>
          <w:szCs w:val="22"/>
        </w:rPr>
        <w:t>value was</w:t>
      </w:r>
      <w:proofErr w:type="gramEnd"/>
      <w:r>
        <w:rPr>
          <w:sz w:val="22"/>
          <w:szCs w:val="22"/>
        </w:rPr>
        <w:t xml:space="preserve"> then multiplied by 100: </w:t>
      </w:r>
    </w:p>
    <w:p w14:paraId="2A359402" w14:textId="77777777" w:rsidR="00B73687" w:rsidRDefault="00B73687">
      <w:pPr>
        <w:jc w:val="both"/>
        <w:rPr>
          <w:sz w:val="22"/>
          <w:szCs w:val="22"/>
        </w:rPr>
      </w:pPr>
    </w:p>
    <w:p w14:paraId="647BDD7D" w14:textId="5B7502CF" w:rsidR="00B73687" w:rsidRDefault="00000000">
      <w:pPr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355FD5">
        <w:rPr>
          <w:sz w:val="22"/>
          <w:szCs w:val="22"/>
        </w:rPr>
        <w:t>Dimension</w:t>
      </w:r>
      <w:r>
        <w:rPr>
          <w:sz w:val="22"/>
          <w:szCs w:val="22"/>
        </w:rPr>
        <w:t xml:space="preserve">-of-conflict Index = </w:t>
      </w:r>
      <m:oMath>
        <m:f>
          <m:fPr>
            <m:ctrlPr>
              <w:rPr>
                <w:rFonts w:ascii="Cambria Math" w:eastAsia="Cambria Math" w:hAnsi="Cambria Math" w:cs="Cambria Math"/>
                <w:sz w:val="22"/>
                <w:szCs w:val="22"/>
              </w:rPr>
            </m:ctrlPr>
          </m:fPr>
          <m:num>
            <m:r>
              <w:rPr>
                <w:rFonts w:ascii="Cambria Math" w:eastAsia="Cambria Math" w:hAnsi="Cambria Math" w:cs="Cambria Math"/>
                <w:sz w:val="22"/>
                <w:szCs w:val="22"/>
              </w:rPr>
              <m:t xml:space="preserve"> proTrade_off-proSynergy</m:t>
            </m:r>
          </m:num>
          <m:den>
            <m:r>
              <w:rPr>
                <w:rFonts w:ascii="Cambria Math" w:eastAsia="Cambria Math" w:hAnsi="Cambria Math" w:cs="Cambria Math"/>
                <w:sz w:val="22"/>
                <w:szCs w:val="22"/>
              </w:rPr>
              <m:t>proSynergy+proTrade_off</m:t>
            </m:r>
          </m:den>
        </m:f>
      </m:oMath>
      <w:r>
        <w:rPr>
          <w:sz w:val="22"/>
          <w:szCs w:val="22"/>
        </w:rPr>
        <w:t xml:space="preserve"> * 100</w:t>
      </w:r>
    </w:p>
    <w:p w14:paraId="7EECF4E9" w14:textId="77777777" w:rsidR="00B73687" w:rsidRDefault="00B73687">
      <w:pPr>
        <w:jc w:val="both"/>
        <w:rPr>
          <w:b/>
          <w:sz w:val="22"/>
          <w:szCs w:val="22"/>
        </w:rPr>
      </w:pPr>
    </w:p>
    <w:p w14:paraId="637C97C3" w14:textId="1D1D2FE2" w:rsidR="00B73687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Second</w:t>
      </w:r>
      <w:r w:rsidR="00355FD5">
        <w:rPr>
          <w:b/>
          <w:sz w:val="22"/>
          <w:szCs w:val="22"/>
        </w:rPr>
        <w:t xml:space="preserve"> dimension</w:t>
      </w:r>
      <w:r>
        <w:rPr>
          <w:b/>
          <w:sz w:val="22"/>
          <w:szCs w:val="22"/>
        </w:rPr>
        <w:t xml:space="preserve"> of conflict </w:t>
      </w:r>
    </w:p>
    <w:p w14:paraId="3DD6FD44" w14:textId="77777777" w:rsidR="00B73687" w:rsidRDefault="00B73687">
      <w:pPr>
        <w:jc w:val="both"/>
        <w:rPr>
          <w:b/>
          <w:sz w:val="22"/>
          <w:szCs w:val="22"/>
        </w:rPr>
      </w:pPr>
    </w:p>
    <w:p w14:paraId="7BBEE2FB" w14:textId="38A43FDA" w:rsidR="00B73687" w:rsidRDefault="00000000">
      <w:pPr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I </w:t>
      </w:r>
      <w:r w:rsidR="00355FD5">
        <w:rPr>
          <w:b/>
          <w:sz w:val="22"/>
          <w:szCs w:val="22"/>
        </w:rPr>
        <w:t>Sub-d</w:t>
      </w:r>
      <w:r>
        <w:rPr>
          <w:b/>
          <w:sz w:val="22"/>
          <w:szCs w:val="22"/>
        </w:rPr>
        <w:t xml:space="preserve">imension: </w:t>
      </w:r>
      <w:r>
        <w:rPr>
          <w:b/>
          <w:i/>
          <w:sz w:val="22"/>
          <w:szCs w:val="22"/>
        </w:rPr>
        <w:t>Role of government</w:t>
      </w:r>
    </w:p>
    <w:p w14:paraId="6516A9BF" w14:textId="77777777" w:rsidR="00B73687" w:rsidRPr="00A32D89" w:rsidRDefault="00B73687">
      <w:pPr>
        <w:jc w:val="both"/>
        <w:rPr>
          <w:b/>
          <w:i/>
          <w:sz w:val="22"/>
          <w:szCs w:val="22"/>
        </w:rPr>
      </w:pPr>
    </w:p>
    <w:p w14:paraId="317AFA40" w14:textId="46A0708B" w:rsidR="00B73687" w:rsidRPr="00A32D89" w:rsidRDefault="00000000">
      <w:pPr>
        <w:jc w:val="both"/>
        <w:rPr>
          <w:sz w:val="22"/>
          <w:szCs w:val="22"/>
        </w:rPr>
      </w:pPr>
      <w:r w:rsidRPr="00A32D89">
        <w:rPr>
          <w:sz w:val="22"/>
          <w:szCs w:val="22"/>
        </w:rPr>
        <w:t xml:space="preserve">For the </w:t>
      </w:r>
      <w:r w:rsidR="00355FD5" w:rsidRPr="00A32D89">
        <w:rPr>
          <w:sz w:val="22"/>
          <w:szCs w:val="22"/>
        </w:rPr>
        <w:t>Sub-d</w:t>
      </w:r>
      <w:r w:rsidRPr="00A32D89">
        <w:rPr>
          <w:sz w:val="22"/>
          <w:szCs w:val="22"/>
        </w:rPr>
        <w:t>imension I index, the number of (positive) quasi-sentences on</w:t>
      </w:r>
      <w:r w:rsidR="00416882" w:rsidRPr="00A32D89">
        <w:rPr>
          <w:sz w:val="22"/>
          <w:szCs w:val="22"/>
        </w:rPr>
        <w:t xml:space="preserve"> state involvement</w:t>
      </w:r>
      <w:r w:rsidRPr="00A32D89">
        <w:rPr>
          <w:sz w:val="22"/>
          <w:szCs w:val="22"/>
        </w:rPr>
        <w:t xml:space="preserve"> was subtracted from the number of (positive) quasi-stances on </w:t>
      </w:r>
      <w:r w:rsidR="00416882" w:rsidRPr="00A32D89">
        <w:rPr>
          <w:sz w:val="22"/>
          <w:szCs w:val="22"/>
        </w:rPr>
        <w:t xml:space="preserve">market solution </w:t>
      </w:r>
      <w:r w:rsidRPr="00A32D89">
        <w:rPr>
          <w:sz w:val="22"/>
          <w:szCs w:val="22"/>
        </w:rPr>
        <w:t xml:space="preserve">and taken as a share of all quasi-stances on the first dimension of conflict. The </w:t>
      </w:r>
      <w:proofErr w:type="gramStart"/>
      <w:r w:rsidRPr="00A32D89">
        <w:rPr>
          <w:sz w:val="22"/>
          <w:szCs w:val="22"/>
        </w:rPr>
        <w:t>value was</w:t>
      </w:r>
      <w:proofErr w:type="gramEnd"/>
      <w:r w:rsidRPr="00A32D89">
        <w:rPr>
          <w:sz w:val="22"/>
          <w:szCs w:val="22"/>
        </w:rPr>
        <w:t xml:space="preserve"> then multiplied by 100: </w:t>
      </w:r>
    </w:p>
    <w:p w14:paraId="55DF3860" w14:textId="77777777" w:rsidR="00B73687" w:rsidRPr="00A32D89" w:rsidRDefault="00B73687">
      <w:pPr>
        <w:jc w:val="both"/>
        <w:rPr>
          <w:sz w:val="22"/>
          <w:szCs w:val="22"/>
        </w:rPr>
      </w:pPr>
    </w:p>
    <w:p w14:paraId="6F828D85" w14:textId="1DD5950E" w:rsidR="00B73687" w:rsidRPr="00A32D89" w:rsidRDefault="00355FD5">
      <w:pPr>
        <w:jc w:val="both"/>
        <w:rPr>
          <w:i/>
          <w:sz w:val="22"/>
          <w:szCs w:val="22"/>
        </w:rPr>
      </w:pPr>
      <w:r w:rsidRPr="00A32D89">
        <w:rPr>
          <w:sz w:val="22"/>
          <w:szCs w:val="22"/>
        </w:rPr>
        <w:t xml:space="preserve">Sub-dimension I Index = </w:t>
      </w:r>
      <m:oMath>
        <m:f>
          <m:fPr>
            <m:ctrlPr>
              <w:rPr>
                <w:rFonts w:ascii="Cambria Math" w:eastAsia="Cambria Math" w:hAnsi="Cambria Math" w:cs="Cambria Math"/>
                <w:sz w:val="22"/>
                <w:szCs w:val="22"/>
              </w:rPr>
            </m:ctrlPr>
          </m:fPr>
          <m:num>
            <m:r>
              <w:rPr>
                <w:rFonts w:ascii="Cambria Math" w:eastAsia="Cambria Math" w:hAnsi="Cambria Math" w:cs="Cambria Math"/>
                <w:sz w:val="22"/>
                <w:szCs w:val="22"/>
              </w:rPr>
              <m:t xml:space="preserve"> proMarketSolution-proState Involvement</m:t>
            </m:r>
          </m:num>
          <m:den>
            <m:r>
              <w:rPr>
                <w:rFonts w:ascii="Cambria Math" w:eastAsia="Cambria Math" w:hAnsi="Cambria Math" w:cs="Cambria Math"/>
                <w:sz w:val="22"/>
                <w:szCs w:val="22"/>
              </w:rPr>
              <m:t>proState Involvement+proMarketSolution</m:t>
            </m:r>
          </m:den>
        </m:f>
      </m:oMath>
      <w:r w:rsidRPr="00A32D89">
        <w:rPr>
          <w:sz w:val="22"/>
          <w:szCs w:val="22"/>
        </w:rPr>
        <w:t xml:space="preserve"> * 100</w:t>
      </w:r>
    </w:p>
    <w:p w14:paraId="7E7C0E90" w14:textId="77777777" w:rsidR="00B73687" w:rsidRPr="00A32D89" w:rsidRDefault="00B73687">
      <w:pPr>
        <w:jc w:val="both"/>
        <w:rPr>
          <w:sz w:val="22"/>
          <w:szCs w:val="22"/>
        </w:rPr>
      </w:pPr>
    </w:p>
    <w:p w14:paraId="7847B633" w14:textId="77777777" w:rsidR="00B73687" w:rsidRPr="00A32D89" w:rsidRDefault="00B73687">
      <w:pPr>
        <w:jc w:val="both"/>
        <w:rPr>
          <w:sz w:val="22"/>
          <w:szCs w:val="22"/>
        </w:rPr>
      </w:pPr>
    </w:p>
    <w:p w14:paraId="7225C786" w14:textId="1EA12A07" w:rsidR="00B73687" w:rsidRPr="00A32D89" w:rsidRDefault="00000000">
      <w:pPr>
        <w:jc w:val="both"/>
        <w:rPr>
          <w:b/>
          <w:i/>
          <w:sz w:val="22"/>
          <w:szCs w:val="22"/>
        </w:rPr>
      </w:pPr>
      <w:r w:rsidRPr="00A32D89">
        <w:rPr>
          <w:b/>
          <w:sz w:val="22"/>
          <w:szCs w:val="22"/>
        </w:rPr>
        <w:t xml:space="preserve">II </w:t>
      </w:r>
      <w:r w:rsidR="00355FD5" w:rsidRPr="00A32D89">
        <w:rPr>
          <w:b/>
          <w:sz w:val="22"/>
          <w:szCs w:val="22"/>
        </w:rPr>
        <w:t>Sub-d</w:t>
      </w:r>
      <w:r w:rsidRPr="00A32D89">
        <w:rPr>
          <w:b/>
          <w:sz w:val="22"/>
          <w:szCs w:val="22"/>
        </w:rPr>
        <w:t xml:space="preserve">imension: </w:t>
      </w:r>
      <w:r w:rsidRPr="00A32D89">
        <w:rPr>
          <w:b/>
          <w:i/>
          <w:sz w:val="22"/>
          <w:szCs w:val="22"/>
        </w:rPr>
        <w:t>Policy instruments</w:t>
      </w:r>
    </w:p>
    <w:p w14:paraId="2E644968" w14:textId="5D92C18F" w:rsidR="00B73687" w:rsidRPr="00A32D89" w:rsidRDefault="00000000">
      <w:pPr>
        <w:jc w:val="both"/>
        <w:rPr>
          <w:sz w:val="22"/>
          <w:szCs w:val="22"/>
        </w:rPr>
      </w:pPr>
      <w:r w:rsidRPr="00A32D89">
        <w:rPr>
          <w:sz w:val="22"/>
          <w:szCs w:val="22"/>
        </w:rPr>
        <w:t xml:space="preserve">For the </w:t>
      </w:r>
      <w:r w:rsidR="00355FD5" w:rsidRPr="00A32D89">
        <w:rPr>
          <w:sz w:val="22"/>
          <w:szCs w:val="22"/>
        </w:rPr>
        <w:t>Sub-dimension</w:t>
      </w:r>
      <w:r w:rsidRPr="00A32D89">
        <w:rPr>
          <w:sz w:val="22"/>
          <w:szCs w:val="22"/>
        </w:rPr>
        <w:t xml:space="preserve"> II index, the number of (positive) quasi-sentences on </w:t>
      </w:r>
      <w:r w:rsidR="00333A92">
        <w:rPr>
          <w:sz w:val="22"/>
          <w:szCs w:val="22"/>
        </w:rPr>
        <w:t>s</w:t>
      </w:r>
      <w:r w:rsidR="00721263">
        <w:rPr>
          <w:sz w:val="22"/>
          <w:szCs w:val="22"/>
        </w:rPr>
        <w:t xml:space="preserve">ocial </w:t>
      </w:r>
      <w:r w:rsidR="00333A92">
        <w:rPr>
          <w:sz w:val="22"/>
          <w:szCs w:val="22"/>
        </w:rPr>
        <w:t>c</w:t>
      </w:r>
      <w:r w:rsidR="00721263">
        <w:rPr>
          <w:sz w:val="22"/>
          <w:szCs w:val="22"/>
        </w:rPr>
        <w:t>onsumption (SC)</w:t>
      </w:r>
      <w:r w:rsidRPr="00A32D89">
        <w:rPr>
          <w:sz w:val="22"/>
          <w:szCs w:val="22"/>
        </w:rPr>
        <w:t xml:space="preserve"> was subtracted from the number of (positive) quasi-stances on </w:t>
      </w:r>
      <w:r w:rsidR="00333A92">
        <w:rPr>
          <w:sz w:val="22"/>
          <w:szCs w:val="22"/>
        </w:rPr>
        <w:t>s</w:t>
      </w:r>
      <w:r w:rsidR="00721263">
        <w:rPr>
          <w:sz w:val="22"/>
          <w:szCs w:val="22"/>
        </w:rPr>
        <w:t xml:space="preserve">ocial </w:t>
      </w:r>
      <w:r w:rsidR="00333A92">
        <w:rPr>
          <w:sz w:val="22"/>
          <w:szCs w:val="22"/>
        </w:rPr>
        <w:t>i</w:t>
      </w:r>
      <w:r w:rsidR="00721263">
        <w:rPr>
          <w:sz w:val="22"/>
          <w:szCs w:val="22"/>
        </w:rPr>
        <w:t>nvestment (SI)</w:t>
      </w:r>
      <w:r w:rsidRPr="00A32D89">
        <w:rPr>
          <w:sz w:val="22"/>
          <w:szCs w:val="22"/>
        </w:rPr>
        <w:t xml:space="preserve"> and taken as a share of all quasi-stances on the second dimension of conflict. The </w:t>
      </w:r>
      <w:proofErr w:type="gramStart"/>
      <w:r w:rsidRPr="00A32D89">
        <w:rPr>
          <w:sz w:val="22"/>
          <w:szCs w:val="22"/>
        </w:rPr>
        <w:t>value was</w:t>
      </w:r>
      <w:proofErr w:type="gramEnd"/>
      <w:r w:rsidRPr="00A32D89">
        <w:rPr>
          <w:sz w:val="22"/>
          <w:szCs w:val="22"/>
        </w:rPr>
        <w:t xml:space="preserve"> then multiplied by 100:  </w:t>
      </w:r>
    </w:p>
    <w:p w14:paraId="5860D9A5" w14:textId="77777777" w:rsidR="00B73687" w:rsidRPr="00A32D89" w:rsidRDefault="00B73687">
      <w:pPr>
        <w:jc w:val="both"/>
        <w:rPr>
          <w:sz w:val="22"/>
          <w:szCs w:val="22"/>
        </w:rPr>
      </w:pPr>
    </w:p>
    <w:p w14:paraId="168A77FE" w14:textId="5D4DA93F" w:rsidR="00B73687" w:rsidRPr="00A32D89" w:rsidRDefault="00355FD5">
      <w:pPr>
        <w:jc w:val="both"/>
        <w:rPr>
          <w:i/>
          <w:sz w:val="22"/>
          <w:szCs w:val="22"/>
        </w:rPr>
      </w:pPr>
      <w:r w:rsidRPr="00A32D89">
        <w:rPr>
          <w:sz w:val="22"/>
          <w:szCs w:val="22"/>
        </w:rPr>
        <w:t xml:space="preserve">Sub-dimension II Index = </w:t>
      </w:r>
      <m:oMath>
        <m:f>
          <m:fPr>
            <m:ctrlPr>
              <w:rPr>
                <w:rFonts w:ascii="Cambria Math" w:eastAsia="Cambria Math" w:hAnsi="Cambria Math" w:cs="Cambria Math"/>
                <w:sz w:val="22"/>
                <w:szCs w:val="22"/>
              </w:rPr>
            </m:ctrlPr>
          </m:fPr>
          <m:num>
            <m:r>
              <w:rPr>
                <w:rFonts w:ascii="Cambria Math" w:eastAsia="Cambria Math" w:hAnsi="Cambria Math" w:cs="Cambria Math"/>
                <w:sz w:val="22"/>
                <w:szCs w:val="22"/>
              </w:rPr>
              <m:t>proSI- proSC</m:t>
            </m:r>
          </m:num>
          <m:den>
            <m:r>
              <w:rPr>
                <w:rFonts w:ascii="Cambria Math" w:eastAsia="Cambria Math" w:hAnsi="Cambria Math" w:cs="Cambria Math"/>
                <w:sz w:val="22"/>
                <w:szCs w:val="22"/>
              </w:rPr>
              <m:t>proSC+proSI</m:t>
            </m:r>
          </m:den>
        </m:f>
      </m:oMath>
      <w:r w:rsidRPr="00A32D89">
        <w:rPr>
          <w:sz w:val="22"/>
          <w:szCs w:val="22"/>
        </w:rPr>
        <w:t xml:space="preserve"> * 100</w:t>
      </w:r>
    </w:p>
    <w:p w14:paraId="592A1813" w14:textId="77777777" w:rsidR="00B73687" w:rsidRPr="00A32D89" w:rsidRDefault="00B73687">
      <w:pPr>
        <w:jc w:val="both"/>
        <w:rPr>
          <w:b/>
          <w:sz w:val="22"/>
          <w:szCs w:val="22"/>
        </w:rPr>
      </w:pPr>
    </w:p>
    <w:p w14:paraId="3EEA71B6" w14:textId="374DD96B" w:rsidR="00B73687" w:rsidRPr="00A32D89" w:rsidRDefault="00000000">
      <w:pPr>
        <w:jc w:val="both"/>
        <w:rPr>
          <w:b/>
          <w:i/>
          <w:sz w:val="22"/>
          <w:szCs w:val="22"/>
        </w:rPr>
      </w:pPr>
      <w:sdt>
        <w:sdtPr>
          <w:tag w:val="goog_rdk_3"/>
          <w:id w:val="2113706153"/>
          <w:showingPlcHdr/>
        </w:sdtPr>
        <w:sdtContent>
          <w:r w:rsidR="004A4BCA" w:rsidRPr="00A32D89">
            <w:t xml:space="preserve">     </w:t>
          </w:r>
        </w:sdtContent>
      </w:sdt>
      <w:r w:rsidRPr="00A32D89">
        <w:rPr>
          <w:b/>
          <w:sz w:val="22"/>
          <w:szCs w:val="22"/>
        </w:rPr>
        <w:t xml:space="preserve">III </w:t>
      </w:r>
      <w:r w:rsidR="00355FD5" w:rsidRPr="00A32D89">
        <w:rPr>
          <w:b/>
          <w:sz w:val="22"/>
          <w:szCs w:val="22"/>
        </w:rPr>
        <w:t>Sub-dimension</w:t>
      </w:r>
      <w:r w:rsidRPr="00A32D89">
        <w:rPr>
          <w:b/>
          <w:sz w:val="22"/>
          <w:szCs w:val="22"/>
        </w:rPr>
        <w:t xml:space="preserve">: </w:t>
      </w:r>
      <w:r w:rsidRPr="00A32D89">
        <w:rPr>
          <w:b/>
          <w:i/>
          <w:sz w:val="22"/>
          <w:szCs w:val="22"/>
        </w:rPr>
        <w:t>Policy beneficiaries</w:t>
      </w:r>
    </w:p>
    <w:p w14:paraId="431920AB" w14:textId="77777777" w:rsidR="00B73687" w:rsidRPr="00A32D89" w:rsidRDefault="00B73687">
      <w:pPr>
        <w:jc w:val="both"/>
        <w:rPr>
          <w:b/>
          <w:sz w:val="22"/>
          <w:szCs w:val="22"/>
        </w:rPr>
      </w:pPr>
    </w:p>
    <w:p w14:paraId="360719E3" w14:textId="2C376391" w:rsidR="00B73687" w:rsidRPr="00A32D89" w:rsidRDefault="00000000">
      <w:pPr>
        <w:jc w:val="both"/>
        <w:rPr>
          <w:sz w:val="22"/>
          <w:szCs w:val="22"/>
        </w:rPr>
      </w:pPr>
      <w:r w:rsidRPr="00A32D89">
        <w:rPr>
          <w:sz w:val="22"/>
          <w:szCs w:val="22"/>
        </w:rPr>
        <w:t xml:space="preserve">For the </w:t>
      </w:r>
      <w:r w:rsidR="00355FD5" w:rsidRPr="00A32D89">
        <w:rPr>
          <w:sz w:val="22"/>
          <w:szCs w:val="22"/>
        </w:rPr>
        <w:t>Sub-dimension</w:t>
      </w:r>
      <w:r w:rsidRPr="00A32D89">
        <w:rPr>
          <w:sz w:val="22"/>
          <w:szCs w:val="22"/>
        </w:rPr>
        <w:t xml:space="preserve"> III index, the number of (positive) quasi-sentences</w:t>
      </w:r>
      <w:r w:rsidR="00416882" w:rsidRPr="00A32D89">
        <w:rPr>
          <w:sz w:val="22"/>
          <w:szCs w:val="22"/>
        </w:rPr>
        <w:t xml:space="preserve"> on </w:t>
      </w:r>
      <w:sdt>
        <w:sdtPr>
          <w:rPr>
            <w:sz w:val="22"/>
            <w:szCs w:val="22"/>
          </w:rPr>
          <w:tag w:val="goog_rdk_8"/>
          <w:id w:val="146173205"/>
        </w:sdtPr>
        <w:sdtContent>
          <w:r w:rsidR="00333A92">
            <w:rPr>
              <w:sz w:val="22"/>
              <w:szCs w:val="22"/>
            </w:rPr>
            <w:t>s</w:t>
          </w:r>
          <w:r w:rsidR="00416882" w:rsidRPr="00A32D89">
            <w:rPr>
              <w:sz w:val="22"/>
              <w:szCs w:val="22"/>
            </w:rPr>
            <w:t xml:space="preserve">elective </w:t>
          </w:r>
        </w:sdtContent>
      </w:sdt>
      <w:r w:rsidR="00416882" w:rsidRPr="00A32D89">
        <w:rPr>
          <w:sz w:val="22"/>
          <w:szCs w:val="22"/>
        </w:rPr>
        <w:t xml:space="preserve">measures </w:t>
      </w:r>
      <w:proofErr w:type="gramStart"/>
      <w:r w:rsidRPr="00A32D89">
        <w:rPr>
          <w:sz w:val="22"/>
          <w:szCs w:val="22"/>
        </w:rPr>
        <w:t>was</w:t>
      </w:r>
      <w:proofErr w:type="gramEnd"/>
      <w:r w:rsidRPr="00A32D89">
        <w:rPr>
          <w:sz w:val="22"/>
          <w:szCs w:val="22"/>
        </w:rPr>
        <w:t xml:space="preserve"> subtracted from the number of (positive)</w:t>
      </w:r>
      <w:r w:rsidR="00416882" w:rsidRPr="00A32D89">
        <w:rPr>
          <w:sz w:val="22"/>
          <w:szCs w:val="22"/>
        </w:rPr>
        <w:t xml:space="preserve"> quasi-sentences on </w:t>
      </w:r>
      <w:sdt>
        <w:sdtPr>
          <w:tag w:val="goog_rdk_4"/>
          <w:id w:val="-275255042"/>
        </w:sdtPr>
        <w:sdtContent>
          <w:r w:rsidR="00333A92">
            <w:t>i</w:t>
          </w:r>
          <w:sdt>
            <w:sdtPr>
              <w:tag w:val="goog_rdk_5"/>
              <w:id w:val="-520782844"/>
            </w:sdtPr>
            <w:sdtContent>
              <w:r w:rsidR="00416882" w:rsidRPr="00A32D89">
                <w:rPr>
                  <w:sz w:val="22"/>
                  <w:szCs w:val="22"/>
                </w:rPr>
                <w:t>nclusive/</w:t>
              </w:r>
            </w:sdtContent>
          </w:sdt>
          <w:sdt>
            <w:sdtPr>
              <w:tag w:val="goog_rdk_6"/>
              <w:id w:val="-821348"/>
            </w:sdtPr>
            <w:sdtContent>
              <w:r w:rsidR="00333A92">
                <w:rPr>
                  <w:sz w:val="22"/>
                  <w:szCs w:val="22"/>
                </w:rPr>
                <w:t>u</w:t>
              </w:r>
              <w:r w:rsidR="00416882" w:rsidRPr="00A32D89">
                <w:rPr>
                  <w:sz w:val="22"/>
                  <w:szCs w:val="22"/>
                </w:rPr>
                <w:t>niversal measures</w:t>
              </w:r>
            </w:sdtContent>
          </w:sdt>
        </w:sdtContent>
      </w:sdt>
      <w:r w:rsidR="00416882" w:rsidRPr="00A32D89">
        <w:rPr>
          <w:sz w:val="22"/>
          <w:szCs w:val="22"/>
        </w:rPr>
        <w:t xml:space="preserve"> </w:t>
      </w:r>
      <w:r w:rsidRPr="00A32D89">
        <w:rPr>
          <w:sz w:val="22"/>
          <w:szCs w:val="22"/>
        </w:rPr>
        <w:t xml:space="preserve">quasi-stances and taken as a share of all quasi-stances on the third dimension of conflict. The </w:t>
      </w:r>
      <w:proofErr w:type="gramStart"/>
      <w:r w:rsidRPr="00A32D89">
        <w:rPr>
          <w:sz w:val="22"/>
          <w:szCs w:val="22"/>
        </w:rPr>
        <w:t>value was</w:t>
      </w:r>
      <w:proofErr w:type="gramEnd"/>
      <w:r w:rsidRPr="00A32D89">
        <w:rPr>
          <w:sz w:val="22"/>
          <w:szCs w:val="22"/>
        </w:rPr>
        <w:t xml:space="preserve"> then multiplied by 100:  </w:t>
      </w:r>
    </w:p>
    <w:p w14:paraId="4978E42B" w14:textId="77777777" w:rsidR="00B73687" w:rsidRPr="00A32D89" w:rsidRDefault="00B73687">
      <w:pPr>
        <w:jc w:val="both"/>
        <w:rPr>
          <w:sz w:val="22"/>
          <w:szCs w:val="22"/>
        </w:rPr>
      </w:pPr>
    </w:p>
    <w:p w14:paraId="3DD62322" w14:textId="6F4676CC" w:rsidR="00B73687" w:rsidRPr="00A32D89" w:rsidRDefault="00355FD5">
      <w:pPr>
        <w:jc w:val="both"/>
        <w:rPr>
          <w:i/>
          <w:sz w:val="22"/>
          <w:szCs w:val="22"/>
        </w:rPr>
      </w:pPr>
      <w:r w:rsidRPr="00A32D89">
        <w:rPr>
          <w:sz w:val="22"/>
          <w:szCs w:val="22"/>
        </w:rPr>
        <w:t xml:space="preserve">Sub-dimension III Index = </w:t>
      </w:r>
      <m:oMath>
        <m:f>
          <m:fPr>
            <m:ctrlPr>
              <w:rPr>
                <w:rFonts w:ascii="Cambria Math" w:eastAsia="Cambria Math" w:hAnsi="Cambria Math" w:cs="Cambria Math"/>
                <w:sz w:val="22"/>
                <w:szCs w:val="22"/>
              </w:rPr>
            </m:ctrlPr>
          </m:fPr>
          <m:num>
            <m:r>
              <w:rPr>
                <w:rFonts w:ascii="Cambria Math" w:eastAsia="Cambria Math" w:hAnsi="Cambria Math" w:cs="Cambria Math"/>
                <w:sz w:val="22"/>
                <w:szCs w:val="22"/>
              </w:rPr>
              <m:t xml:space="preserve"> pro</m:t>
            </m:r>
            <w:sdt>
              <w:sdtPr>
                <w:tag w:val="goog_rdk_11"/>
                <w:id w:val="-1451076830"/>
              </w:sdtPr>
              <w:sdtContent>
                <m:r>
                  <w:rPr>
                    <w:rFonts w:ascii="Cambria Math" w:eastAsia="Cambria Math" w:hAnsi="Cambria Math" w:cs="Cambria Math"/>
                    <w:sz w:val="22"/>
                    <w:szCs w:val="22"/>
                  </w:rPr>
                  <m:t>Universal</m:t>
                </m:r>
              </w:sdtContent>
            </w:sdt>
            <m:r>
              <w:rPr>
                <w:rFonts w:ascii="Cambria Math" w:eastAsia="Cambria Math" w:hAnsi="Cambria Math" w:cs="Cambria Math"/>
                <w:sz w:val="22"/>
                <w:szCs w:val="22"/>
              </w:rPr>
              <m:t>-pro</m:t>
            </m:r>
            <w:sdt>
              <w:sdtPr>
                <w:tag w:val="goog_rdk_13"/>
                <w:id w:val="-1550913418"/>
              </w:sdtPr>
              <w:sdtContent>
                <m:r>
                  <w:rPr>
                    <w:rFonts w:ascii="Cambria Math" w:eastAsia="Cambria Math" w:hAnsi="Cambria Math" w:cs="Cambria Math"/>
                    <w:sz w:val="22"/>
                    <w:szCs w:val="22"/>
                  </w:rPr>
                  <m:t>Selective</m:t>
                </m:r>
              </w:sdtContent>
            </w:sdt>
          </m:num>
          <m:den>
            <m:r>
              <w:rPr>
                <w:rFonts w:ascii="Cambria Math" w:eastAsia="Cambria Math" w:hAnsi="Cambria Math" w:cs="Cambria Math"/>
                <w:sz w:val="22"/>
                <w:szCs w:val="22"/>
              </w:rPr>
              <m:t>proUniversal+proSelective</m:t>
            </m:r>
          </m:den>
        </m:f>
      </m:oMath>
      <w:sdt>
        <w:sdtPr>
          <w:tag w:val="goog_rdk_10"/>
          <w:id w:val="1080104242"/>
        </w:sdtPr>
        <w:sdtContent/>
      </w:sdt>
      <w:sdt>
        <w:sdtPr>
          <w:tag w:val="goog_rdk_12"/>
          <w:id w:val="1756857287"/>
        </w:sdtPr>
        <w:sdtContent/>
      </w:sdt>
      <w:sdt>
        <w:sdtPr>
          <w:tag w:val="goog_rdk_14"/>
          <w:id w:val="-1066344906"/>
        </w:sdtPr>
        <w:sdtContent/>
      </w:sdt>
      <w:sdt>
        <w:sdtPr>
          <w:tag w:val="goog_rdk_15"/>
          <w:id w:val="834961444"/>
        </w:sdtPr>
        <w:sdtContent/>
      </w:sdt>
      <w:r w:rsidRPr="00A32D89">
        <w:rPr>
          <w:sz w:val="22"/>
          <w:szCs w:val="22"/>
        </w:rPr>
        <w:t xml:space="preserve"> * 100</w:t>
      </w:r>
    </w:p>
    <w:p w14:paraId="5B0E9D33" w14:textId="77777777" w:rsidR="00B73687" w:rsidRPr="00A32D89" w:rsidRDefault="00B73687">
      <w:pPr>
        <w:jc w:val="both"/>
        <w:rPr>
          <w:b/>
          <w:sz w:val="22"/>
          <w:szCs w:val="22"/>
        </w:rPr>
      </w:pPr>
    </w:p>
    <w:p w14:paraId="5AB1A32A" w14:textId="296D9FB7" w:rsidR="00B73687" w:rsidRPr="00A32D89" w:rsidRDefault="00000000">
      <w:pPr>
        <w:jc w:val="both"/>
        <w:rPr>
          <w:b/>
          <w:i/>
          <w:sz w:val="22"/>
          <w:szCs w:val="22"/>
        </w:rPr>
      </w:pPr>
      <w:r w:rsidRPr="00A32D89">
        <w:rPr>
          <w:b/>
          <w:sz w:val="22"/>
          <w:szCs w:val="22"/>
        </w:rPr>
        <w:t xml:space="preserve">IV </w:t>
      </w:r>
      <w:r w:rsidR="00355FD5" w:rsidRPr="00A32D89">
        <w:rPr>
          <w:b/>
          <w:sz w:val="22"/>
          <w:szCs w:val="22"/>
        </w:rPr>
        <w:t>Sub-dimension</w:t>
      </w:r>
      <w:r w:rsidRPr="00A32D89">
        <w:rPr>
          <w:b/>
          <w:sz w:val="22"/>
          <w:szCs w:val="22"/>
        </w:rPr>
        <w:t xml:space="preserve">: </w:t>
      </w:r>
      <w:r w:rsidRPr="00A32D89">
        <w:rPr>
          <w:b/>
          <w:i/>
          <w:sz w:val="22"/>
          <w:szCs w:val="22"/>
        </w:rPr>
        <w:t>Growth strategy</w:t>
      </w:r>
    </w:p>
    <w:p w14:paraId="6BCD62D7" w14:textId="77777777" w:rsidR="00B73687" w:rsidRPr="00A32D89" w:rsidRDefault="00B73687">
      <w:pPr>
        <w:jc w:val="both"/>
        <w:rPr>
          <w:b/>
          <w:i/>
          <w:sz w:val="22"/>
          <w:szCs w:val="22"/>
        </w:rPr>
      </w:pPr>
    </w:p>
    <w:p w14:paraId="4155B11D" w14:textId="754937BC" w:rsidR="00B73687" w:rsidRPr="00A32D89" w:rsidRDefault="00000000">
      <w:pPr>
        <w:jc w:val="both"/>
        <w:rPr>
          <w:sz w:val="22"/>
          <w:szCs w:val="22"/>
        </w:rPr>
      </w:pPr>
      <w:r w:rsidRPr="00A32D89">
        <w:rPr>
          <w:sz w:val="22"/>
          <w:szCs w:val="22"/>
        </w:rPr>
        <w:t xml:space="preserve">For the </w:t>
      </w:r>
      <w:r w:rsidR="00355FD5" w:rsidRPr="00A32D89">
        <w:rPr>
          <w:sz w:val="22"/>
          <w:szCs w:val="22"/>
        </w:rPr>
        <w:t>Sub-dimension</w:t>
      </w:r>
      <w:r w:rsidRPr="00A32D89">
        <w:rPr>
          <w:sz w:val="22"/>
          <w:szCs w:val="22"/>
        </w:rPr>
        <w:t xml:space="preserve"> IV index, the number of (positive) quasi-sentences on degrowth was subtracted from the number of (positive) quasi-stances on </w:t>
      </w:r>
      <w:r w:rsidR="00333A92">
        <w:rPr>
          <w:sz w:val="22"/>
          <w:szCs w:val="22"/>
        </w:rPr>
        <w:t xml:space="preserve">(green) </w:t>
      </w:r>
      <w:r w:rsidRPr="00A32D89">
        <w:rPr>
          <w:sz w:val="22"/>
          <w:szCs w:val="22"/>
        </w:rPr>
        <w:t xml:space="preserve">growth and taken as a share of all quasi-stances on the fourth dimension of conflict. The </w:t>
      </w:r>
      <w:proofErr w:type="gramStart"/>
      <w:r w:rsidRPr="00A32D89">
        <w:rPr>
          <w:sz w:val="22"/>
          <w:szCs w:val="22"/>
        </w:rPr>
        <w:t>value was</w:t>
      </w:r>
      <w:proofErr w:type="gramEnd"/>
      <w:r w:rsidRPr="00A32D89">
        <w:rPr>
          <w:sz w:val="22"/>
          <w:szCs w:val="22"/>
        </w:rPr>
        <w:t xml:space="preserve"> then multiplied by 100:  </w:t>
      </w:r>
    </w:p>
    <w:p w14:paraId="0F788BAA" w14:textId="77777777" w:rsidR="00B73687" w:rsidRPr="00A32D89" w:rsidRDefault="00B73687">
      <w:pPr>
        <w:jc w:val="both"/>
        <w:rPr>
          <w:sz w:val="22"/>
          <w:szCs w:val="22"/>
        </w:rPr>
      </w:pPr>
    </w:p>
    <w:p w14:paraId="1E92C257" w14:textId="01E09392" w:rsidR="00B73687" w:rsidRPr="00A32D89" w:rsidRDefault="00355FD5">
      <w:pPr>
        <w:jc w:val="both"/>
        <w:rPr>
          <w:i/>
          <w:sz w:val="22"/>
          <w:szCs w:val="22"/>
        </w:rPr>
      </w:pPr>
      <w:r w:rsidRPr="00A32D89">
        <w:rPr>
          <w:sz w:val="22"/>
          <w:szCs w:val="22"/>
        </w:rPr>
        <w:t xml:space="preserve">Sub-dimension III Index = </w:t>
      </w:r>
      <m:oMath>
        <m:f>
          <m:fPr>
            <m:ctrlPr>
              <w:rPr>
                <w:rFonts w:ascii="Cambria Math" w:eastAsia="Cambria Math" w:hAnsi="Cambria Math" w:cs="Cambria Math"/>
                <w:sz w:val="22"/>
                <w:szCs w:val="22"/>
              </w:rPr>
            </m:ctrlPr>
          </m:fPr>
          <m:num>
            <m:r>
              <w:rPr>
                <w:rFonts w:ascii="Cambria Math" w:eastAsia="Cambria Math" w:hAnsi="Cambria Math" w:cs="Cambria Math"/>
                <w:sz w:val="22"/>
                <w:szCs w:val="22"/>
              </w:rPr>
              <m:t xml:space="preserve"> proGrowth-proDe_growth</m:t>
            </m:r>
          </m:num>
          <m:den>
            <m:r>
              <w:rPr>
                <w:rFonts w:ascii="Cambria Math" w:eastAsia="Cambria Math" w:hAnsi="Cambria Math" w:cs="Cambria Math"/>
                <w:sz w:val="22"/>
                <w:szCs w:val="22"/>
              </w:rPr>
              <m:t>pproGrowth+proDe_growth</m:t>
            </m:r>
          </m:den>
        </m:f>
      </m:oMath>
      <w:r w:rsidRPr="00A32D89">
        <w:rPr>
          <w:sz w:val="22"/>
          <w:szCs w:val="22"/>
        </w:rPr>
        <w:t xml:space="preserve"> * 100</w:t>
      </w:r>
    </w:p>
    <w:p w14:paraId="7F364550" w14:textId="77777777" w:rsidR="00B73687" w:rsidRPr="00A32D89" w:rsidRDefault="00B73687">
      <w:pPr>
        <w:jc w:val="both"/>
        <w:rPr>
          <w:b/>
          <w:sz w:val="22"/>
          <w:szCs w:val="22"/>
        </w:rPr>
      </w:pPr>
    </w:p>
    <w:p w14:paraId="600E19BA" w14:textId="77777777" w:rsidR="00B73687" w:rsidRPr="00A32D89" w:rsidRDefault="00B73687">
      <w:pPr>
        <w:jc w:val="both"/>
        <w:rPr>
          <w:sz w:val="22"/>
          <w:szCs w:val="22"/>
        </w:rPr>
      </w:pPr>
    </w:p>
    <w:p w14:paraId="17FDE497" w14:textId="7A9D88A5" w:rsidR="00B73687" w:rsidRPr="00A32D89" w:rsidRDefault="00000000">
      <w:pPr>
        <w:jc w:val="both"/>
        <w:rPr>
          <w:sz w:val="22"/>
          <w:szCs w:val="22"/>
        </w:rPr>
      </w:pPr>
      <w:r w:rsidRPr="00A32D89">
        <w:rPr>
          <w:sz w:val="22"/>
          <w:szCs w:val="22"/>
        </w:rPr>
        <w:t>Both ind</w:t>
      </w:r>
      <w:r w:rsidR="00AF2FBE">
        <w:rPr>
          <w:sz w:val="22"/>
          <w:szCs w:val="22"/>
        </w:rPr>
        <w:t>ices</w:t>
      </w:r>
      <w:r w:rsidRPr="00A32D89">
        <w:rPr>
          <w:sz w:val="22"/>
          <w:szCs w:val="22"/>
        </w:rPr>
        <w:t xml:space="preserve"> range from -100 (</w:t>
      </w:r>
      <w:proofErr w:type="spellStart"/>
      <w:r w:rsidR="009F4886" w:rsidRPr="00A32D89">
        <w:rPr>
          <w:sz w:val="22"/>
          <w:szCs w:val="22"/>
        </w:rPr>
        <w:t>proSynergy</w:t>
      </w:r>
      <w:proofErr w:type="spellEnd"/>
      <w:r w:rsidRPr="00A32D89">
        <w:rPr>
          <w:sz w:val="22"/>
          <w:szCs w:val="22"/>
        </w:rPr>
        <w:t xml:space="preserve">; </w:t>
      </w:r>
      <w:proofErr w:type="spellStart"/>
      <w:r w:rsidR="009F4886" w:rsidRPr="00A32D89">
        <w:rPr>
          <w:sz w:val="22"/>
          <w:szCs w:val="22"/>
        </w:rPr>
        <w:t>proStateInvolvement</w:t>
      </w:r>
      <w:proofErr w:type="spellEnd"/>
      <w:r w:rsidR="009F4886" w:rsidRPr="00A32D89">
        <w:rPr>
          <w:sz w:val="22"/>
          <w:szCs w:val="22"/>
        </w:rPr>
        <w:t xml:space="preserve">; </w:t>
      </w:r>
      <w:proofErr w:type="spellStart"/>
      <w:r w:rsidR="009F4886" w:rsidRPr="00A32D89">
        <w:rPr>
          <w:sz w:val="22"/>
          <w:szCs w:val="22"/>
        </w:rPr>
        <w:t>proSC</w:t>
      </w:r>
      <w:proofErr w:type="spellEnd"/>
      <w:r w:rsidR="009F4886" w:rsidRPr="00A32D89">
        <w:rPr>
          <w:sz w:val="22"/>
          <w:szCs w:val="22"/>
        </w:rPr>
        <w:t>;</w:t>
      </w:r>
      <w:r w:rsidR="006431B7" w:rsidRPr="00A32D89">
        <w:rPr>
          <w:sz w:val="22"/>
          <w:szCs w:val="22"/>
        </w:rPr>
        <w:t xml:space="preserve"> </w:t>
      </w:r>
      <w:proofErr w:type="spellStart"/>
      <w:r w:rsidR="006431B7" w:rsidRPr="00A32D89">
        <w:rPr>
          <w:sz w:val="22"/>
          <w:szCs w:val="22"/>
        </w:rPr>
        <w:t>proSelective</w:t>
      </w:r>
      <w:proofErr w:type="spellEnd"/>
      <w:r w:rsidR="006431B7" w:rsidRPr="00A32D89">
        <w:rPr>
          <w:sz w:val="22"/>
          <w:szCs w:val="22"/>
        </w:rPr>
        <w:t>;</w:t>
      </w:r>
      <w:r w:rsidR="009F4886" w:rsidRPr="00A32D89">
        <w:rPr>
          <w:sz w:val="22"/>
          <w:szCs w:val="22"/>
        </w:rPr>
        <w:t xml:space="preserve"> </w:t>
      </w:r>
      <w:proofErr w:type="spellStart"/>
      <w:r w:rsidRPr="00A32D89">
        <w:rPr>
          <w:sz w:val="22"/>
          <w:szCs w:val="22"/>
        </w:rPr>
        <w:t>proDe</w:t>
      </w:r>
      <w:r w:rsidR="006431B7" w:rsidRPr="00A32D89">
        <w:rPr>
          <w:sz w:val="22"/>
          <w:szCs w:val="22"/>
        </w:rPr>
        <w:t>g</w:t>
      </w:r>
      <w:r w:rsidRPr="00A32D89">
        <w:rPr>
          <w:sz w:val="22"/>
          <w:szCs w:val="22"/>
        </w:rPr>
        <w:t>rowth</w:t>
      </w:r>
      <w:proofErr w:type="spellEnd"/>
      <w:r w:rsidRPr="00A32D89">
        <w:rPr>
          <w:sz w:val="22"/>
          <w:szCs w:val="22"/>
        </w:rPr>
        <w:t>) to +100 (</w:t>
      </w:r>
      <w:proofErr w:type="spellStart"/>
      <w:r w:rsidR="009F4886" w:rsidRPr="00A32D89">
        <w:rPr>
          <w:sz w:val="22"/>
          <w:szCs w:val="22"/>
        </w:rPr>
        <w:t>proTradeOff</w:t>
      </w:r>
      <w:proofErr w:type="spellEnd"/>
      <w:r w:rsidR="009F4886" w:rsidRPr="00A32D89">
        <w:rPr>
          <w:sz w:val="22"/>
          <w:szCs w:val="22"/>
        </w:rPr>
        <w:t xml:space="preserve">; </w:t>
      </w:r>
      <w:proofErr w:type="spellStart"/>
      <w:r w:rsidR="009F4886" w:rsidRPr="00A32D89">
        <w:rPr>
          <w:sz w:val="22"/>
          <w:szCs w:val="22"/>
        </w:rPr>
        <w:t>proMarketSolution</w:t>
      </w:r>
      <w:proofErr w:type="spellEnd"/>
      <w:r w:rsidR="009F4886" w:rsidRPr="00A32D89">
        <w:rPr>
          <w:sz w:val="22"/>
          <w:szCs w:val="22"/>
        </w:rPr>
        <w:t xml:space="preserve">; </w:t>
      </w:r>
      <w:proofErr w:type="spellStart"/>
      <w:r w:rsidR="009F4886" w:rsidRPr="00A32D89">
        <w:rPr>
          <w:sz w:val="22"/>
          <w:szCs w:val="22"/>
        </w:rPr>
        <w:t>proSI</w:t>
      </w:r>
      <w:proofErr w:type="spellEnd"/>
      <w:r w:rsidRPr="00A32D89">
        <w:rPr>
          <w:sz w:val="22"/>
          <w:szCs w:val="22"/>
        </w:rPr>
        <w:t>;</w:t>
      </w:r>
      <w:r w:rsidR="005C4259" w:rsidRPr="00A32D89">
        <w:rPr>
          <w:sz w:val="22"/>
          <w:szCs w:val="22"/>
        </w:rPr>
        <w:t xml:space="preserve"> </w:t>
      </w:r>
      <w:proofErr w:type="spellStart"/>
      <w:r w:rsidR="005C4259" w:rsidRPr="00A32D89">
        <w:rPr>
          <w:sz w:val="22"/>
          <w:szCs w:val="22"/>
        </w:rPr>
        <w:t>pro</w:t>
      </w:r>
      <w:r w:rsidR="0001562A" w:rsidRPr="00A32D89">
        <w:rPr>
          <w:sz w:val="22"/>
          <w:szCs w:val="22"/>
        </w:rPr>
        <w:t>Universal</w:t>
      </w:r>
      <w:proofErr w:type="spellEnd"/>
      <w:r w:rsidR="005C4259" w:rsidRPr="00A32D89">
        <w:rPr>
          <w:sz w:val="22"/>
          <w:szCs w:val="22"/>
        </w:rPr>
        <w:t>;</w:t>
      </w:r>
      <w:r w:rsidRPr="00A32D89">
        <w:rPr>
          <w:sz w:val="22"/>
          <w:szCs w:val="22"/>
        </w:rPr>
        <w:t xml:space="preserve"> </w:t>
      </w:r>
      <w:proofErr w:type="spellStart"/>
      <w:r w:rsidRPr="00A32D89">
        <w:rPr>
          <w:sz w:val="22"/>
          <w:szCs w:val="22"/>
        </w:rPr>
        <w:t>pro</w:t>
      </w:r>
      <w:r w:rsidR="006431B7" w:rsidRPr="00A32D89">
        <w:rPr>
          <w:sz w:val="22"/>
          <w:szCs w:val="22"/>
        </w:rPr>
        <w:t>Green</w:t>
      </w:r>
      <w:r w:rsidRPr="00A32D89">
        <w:rPr>
          <w:sz w:val="22"/>
          <w:szCs w:val="22"/>
        </w:rPr>
        <w:t>Growth</w:t>
      </w:r>
      <w:proofErr w:type="spellEnd"/>
      <w:r w:rsidRPr="00A32D89">
        <w:rPr>
          <w:sz w:val="22"/>
          <w:szCs w:val="22"/>
        </w:rPr>
        <w:t xml:space="preserve">), with 0 meaning that there is a neutral position. </w:t>
      </w:r>
    </w:p>
    <w:p w14:paraId="06B8C41F" w14:textId="77777777" w:rsidR="00355FD5" w:rsidRDefault="00355FD5">
      <w:pPr>
        <w:jc w:val="both"/>
        <w:rPr>
          <w:b/>
          <w:sz w:val="22"/>
          <w:szCs w:val="22"/>
        </w:rPr>
      </w:pPr>
    </w:p>
    <w:p w14:paraId="1C4091F4" w14:textId="6D62EA05" w:rsidR="00B73687" w:rsidRDefault="00000000">
      <w:pPr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lastRenderedPageBreak/>
        <w:t>Salience of Eco-social policies in German party manifestos</w:t>
      </w:r>
    </w:p>
    <w:p w14:paraId="742C07AB" w14:textId="77777777" w:rsidR="00B73687" w:rsidRDefault="00B73687">
      <w:pPr>
        <w:jc w:val="both"/>
        <w:rPr>
          <w:sz w:val="22"/>
          <w:szCs w:val="22"/>
        </w:rPr>
      </w:pPr>
    </w:p>
    <w:p w14:paraId="582F2DA5" w14:textId="7EADE598" w:rsidR="00B73687" w:rsidRDefault="007A5A2D">
      <w:pPr>
        <w:jc w:val="both"/>
        <w:rPr>
          <w:sz w:val="22"/>
          <w:szCs w:val="22"/>
        </w:rPr>
      </w:pPr>
      <w:r>
        <w:rPr>
          <w:sz w:val="22"/>
          <w:szCs w:val="22"/>
        </w:rPr>
        <w:t>To</w:t>
      </w:r>
      <w:r w:rsidR="00000000">
        <w:rPr>
          <w:sz w:val="22"/>
          <w:szCs w:val="22"/>
        </w:rPr>
        <w:t xml:space="preserve"> understand whether eco-social policy is a key issue for the German political parties, we also provided an indicator of its relative salience in the electoral manifestos. First, we calculated the percentage of all quasi-sentences devoted to eco-social risks and policies (</w:t>
      </w:r>
      <w:r>
        <w:rPr>
          <w:sz w:val="22"/>
          <w:szCs w:val="22"/>
        </w:rPr>
        <w:t>regardless of</w:t>
      </w:r>
      <w:r w:rsidR="00000000">
        <w:rPr>
          <w:sz w:val="22"/>
          <w:szCs w:val="22"/>
        </w:rPr>
        <w:t xml:space="preserve"> the ideological direction of these quasi-sentences) in the parties’ programs. That gives a more precise indication regarding the extent to which eco-social policies entered the political agenda. Second, we also calculated the salience that political parties have put on each of the four sub-dimensions. Salience has been calculated as the share of the quasi-sentences dedicated to a specific sub-dimension on the total of the</w:t>
      </w:r>
      <w:r w:rsidR="00A82B6E">
        <w:rPr>
          <w:sz w:val="22"/>
          <w:szCs w:val="22"/>
        </w:rPr>
        <w:t xml:space="preserve"> coded</w:t>
      </w:r>
      <w:r w:rsidR="00000000">
        <w:rPr>
          <w:sz w:val="22"/>
          <w:szCs w:val="22"/>
        </w:rPr>
        <w:t xml:space="preserve"> eco-social policy quasi-sentences. </w:t>
      </w:r>
    </w:p>
    <w:p w14:paraId="24F6FCF8" w14:textId="77777777" w:rsidR="00B73687" w:rsidRDefault="00B73687">
      <w:pPr>
        <w:jc w:val="both"/>
        <w:rPr>
          <w:sz w:val="22"/>
          <w:szCs w:val="22"/>
        </w:rPr>
      </w:pPr>
    </w:p>
    <w:p w14:paraId="32536A65" w14:textId="77777777" w:rsidR="00B73687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The German case study: Environmental Protection and Welfare State Salience in German party manifestos, 2017 and   2021</w:t>
      </w:r>
    </w:p>
    <w:p w14:paraId="4525764A" w14:textId="77777777" w:rsidR="00B73687" w:rsidRDefault="00B73687">
      <w:pPr>
        <w:jc w:val="both"/>
        <w:rPr>
          <w:sz w:val="22"/>
          <w:szCs w:val="22"/>
        </w:rPr>
      </w:pPr>
    </w:p>
    <w:p w14:paraId="6E94089B" w14:textId="75EA4761" w:rsidR="00355FD5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Germany is an interesting case study for two reasons</w:t>
      </w:r>
      <w:r w:rsidR="004A4BCA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626D5055" w14:textId="77777777" w:rsidR="004A4BCA" w:rsidRDefault="004A4BCA">
      <w:pPr>
        <w:jc w:val="both"/>
        <w:rPr>
          <w:sz w:val="22"/>
          <w:szCs w:val="22"/>
        </w:rPr>
      </w:pPr>
    </w:p>
    <w:p w14:paraId="6B3E9663" w14:textId="0F27F494" w:rsidR="00355FD5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First, from a party politics perspective, the German party system in 2021 allows us to detect positions for all the core party families for which we have made some assumptions: the Christian </w:t>
      </w:r>
      <w:r w:rsidR="0076010E">
        <w:rPr>
          <w:sz w:val="22"/>
          <w:szCs w:val="22"/>
        </w:rPr>
        <w:t>D</w:t>
      </w:r>
      <w:r>
        <w:rPr>
          <w:sz w:val="22"/>
          <w:szCs w:val="22"/>
        </w:rPr>
        <w:t>emocrats/</w:t>
      </w:r>
      <w:r w:rsidR="0076010E">
        <w:rPr>
          <w:sz w:val="22"/>
          <w:szCs w:val="22"/>
        </w:rPr>
        <w:t>C</w:t>
      </w:r>
      <w:r>
        <w:rPr>
          <w:sz w:val="22"/>
          <w:szCs w:val="22"/>
        </w:rPr>
        <w:t>onservatives (CDU</w:t>
      </w:r>
      <w:r w:rsidR="0076010E">
        <w:rPr>
          <w:sz w:val="22"/>
          <w:szCs w:val="22"/>
        </w:rPr>
        <w:t>/</w:t>
      </w:r>
      <w:r>
        <w:rPr>
          <w:sz w:val="22"/>
          <w:szCs w:val="22"/>
        </w:rPr>
        <w:t xml:space="preserve">CSU), the </w:t>
      </w:r>
      <w:r w:rsidR="005A11E4">
        <w:rPr>
          <w:sz w:val="22"/>
          <w:szCs w:val="22"/>
        </w:rPr>
        <w:t>S</w:t>
      </w:r>
      <w:r>
        <w:rPr>
          <w:sz w:val="22"/>
          <w:szCs w:val="22"/>
        </w:rPr>
        <w:t xml:space="preserve">ocial </w:t>
      </w:r>
      <w:r w:rsidR="005A11E4">
        <w:rPr>
          <w:sz w:val="22"/>
          <w:szCs w:val="22"/>
        </w:rPr>
        <w:t>D</w:t>
      </w:r>
      <w:r>
        <w:rPr>
          <w:sz w:val="22"/>
          <w:szCs w:val="22"/>
        </w:rPr>
        <w:t xml:space="preserve">emocrats (SPD), the </w:t>
      </w:r>
      <w:r w:rsidR="005A11E4">
        <w:rPr>
          <w:sz w:val="22"/>
          <w:szCs w:val="22"/>
        </w:rPr>
        <w:t>L</w:t>
      </w:r>
      <w:r>
        <w:rPr>
          <w:sz w:val="22"/>
          <w:szCs w:val="22"/>
        </w:rPr>
        <w:t>iberals (FDP), the Greens (</w:t>
      </w:r>
      <w:r w:rsidR="005A11E4">
        <w:rPr>
          <w:sz w:val="22"/>
          <w:szCs w:val="22"/>
        </w:rPr>
        <w:t xml:space="preserve">Alliance </w:t>
      </w:r>
      <w:r>
        <w:rPr>
          <w:sz w:val="22"/>
          <w:szCs w:val="22"/>
        </w:rPr>
        <w:t>90/</w:t>
      </w:r>
      <w:r w:rsidR="005A11E4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Greens), the </w:t>
      </w:r>
      <w:r w:rsidR="005A11E4">
        <w:rPr>
          <w:sz w:val="22"/>
          <w:szCs w:val="22"/>
        </w:rPr>
        <w:t>R</w:t>
      </w:r>
      <w:r>
        <w:rPr>
          <w:sz w:val="22"/>
          <w:szCs w:val="22"/>
        </w:rPr>
        <w:t xml:space="preserve">adical </w:t>
      </w:r>
      <w:r w:rsidR="005A11E4">
        <w:rPr>
          <w:sz w:val="22"/>
          <w:szCs w:val="22"/>
        </w:rPr>
        <w:t>L</w:t>
      </w:r>
      <w:r>
        <w:rPr>
          <w:sz w:val="22"/>
          <w:szCs w:val="22"/>
        </w:rPr>
        <w:t>eft (</w:t>
      </w:r>
      <w:r w:rsidR="00C15266">
        <w:rPr>
          <w:sz w:val="22"/>
          <w:szCs w:val="22"/>
        </w:rPr>
        <w:t>The Left</w:t>
      </w:r>
      <w:r>
        <w:rPr>
          <w:sz w:val="22"/>
          <w:szCs w:val="22"/>
        </w:rPr>
        <w:t xml:space="preserve">), and the </w:t>
      </w:r>
      <w:r w:rsidR="007A5A2D">
        <w:rPr>
          <w:sz w:val="22"/>
          <w:szCs w:val="22"/>
        </w:rPr>
        <w:t>Far Right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AfD</w:t>
      </w:r>
      <w:proofErr w:type="spellEnd"/>
      <w:r>
        <w:rPr>
          <w:sz w:val="22"/>
          <w:szCs w:val="22"/>
        </w:rPr>
        <w:t xml:space="preserve">). </w:t>
      </w:r>
    </w:p>
    <w:p w14:paraId="709DB8D5" w14:textId="77777777" w:rsidR="004A4BCA" w:rsidRDefault="004A4BCA">
      <w:pPr>
        <w:jc w:val="both"/>
        <w:rPr>
          <w:sz w:val="22"/>
          <w:szCs w:val="22"/>
        </w:rPr>
      </w:pPr>
    </w:p>
    <w:p w14:paraId="7BE5CDAE" w14:textId="122C33DF" w:rsidR="00B7368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Second, in the 2021 elections, as </w:t>
      </w:r>
      <w:r w:rsidR="004A4BCA">
        <w:rPr>
          <w:sz w:val="22"/>
          <w:szCs w:val="22"/>
        </w:rPr>
        <w:t>shown</w:t>
      </w:r>
      <w:r>
        <w:rPr>
          <w:sz w:val="22"/>
          <w:szCs w:val="22"/>
        </w:rPr>
        <w:t xml:space="preserve"> </w:t>
      </w:r>
      <w:r w:rsidR="004A4BCA">
        <w:rPr>
          <w:sz w:val="22"/>
          <w:szCs w:val="22"/>
        </w:rPr>
        <w:t>in</w:t>
      </w:r>
      <w:r>
        <w:rPr>
          <w:sz w:val="22"/>
          <w:szCs w:val="22"/>
        </w:rPr>
        <w:t xml:space="preserve"> Fig. A. environmental protection has been a key topic of the electoral campaign, as </w:t>
      </w:r>
      <w:r w:rsidR="007A5A2D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high </w:t>
      </w:r>
      <w:r w:rsidR="007A5A2D">
        <w:rPr>
          <w:sz w:val="22"/>
          <w:szCs w:val="22"/>
        </w:rPr>
        <w:t xml:space="preserve">level of </w:t>
      </w:r>
      <w:r>
        <w:rPr>
          <w:sz w:val="22"/>
          <w:szCs w:val="22"/>
        </w:rPr>
        <w:t xml:space="preserve">electoral </w:t>
      </w:r>
      <w:r w:rsidR="007A5A2D">
        <w:rPr>
          <w:sz w:val="22"/>
          <w:szCs w:val="22"/>
        </w:rPr>
        <w:t>support for</w:t>
      </w:r>
      <w:r>
        <w:rPr>
          <w:sz w:val="22"/>
          <w:szCs w:val="22"/>
        </w:rPr>
        <w:t xml:space="preserve"> the Greens</w:t>
      </w:r>
      <w:r w:rsidR="007A5A2D">
        <w:rPr>
          <w:sz w:val="22"/>
          <w:szCs w:val="22"/>
        </w:rPr>
        <w:t xml:space="preserve"> shows</w:t>
      </w:r>
      <w:r>
        <w:rPr>
          <w:sz w:val="22"/>
          <w:szCs w:val="22"/>
        </w:rPr>
        <w:t xml:space="preserve"> (14.8% of the votes).  </w:t>
      </w:r>
      <w:r w:rsidR="00355FD5" w:rsidRPr="00355FD5">
        <w:rPr>
          <w:sz w:val="22"/>
          <w:szCs w:val="22"/>
        </w:rPr>
        <w:t xml:space="preserve">Furthermore, even the welfare state salience substantially scaled up: on average in 2021, 9.1% of the party manifestos </w:t>
      </w:r>
      <w:r w:rsidR="005A11E4" w:rsidRPr="00355FD5">
        <w:rPr>
          <w:sz w:val="22"/>
          <w:szCs w:val="22"/>
        </w:rPr>
        <w:t>were</w:t>
      </w:r>
      <w:r w:rsidR="00355FD5" w:rsidRPr="00355FD5">
        <w:rPr>
          <w:sz w:val="22"/>
          <w:szCs w:val="22"/>
        </w:rPr>
        <w:t xml:space="preserve"> dedicated to welfare state issues, (+2.6 points compared to the 2017 elections).</w:t>
      </w:r>
    </w:p>
    <w:p w14:paraId="3E7CCEE0" w14:textId="77777777" w:rsidR="00355FD5" w:rsidRDefault="00355FD5">
      <w:pPr>
        <w:jc w:val="both"/>
        <w:rPr>
          <w:sz w:val="22"/>
          <w:szCs w:val="22"/>
        </w:rPr>
      </w:pPr>
    </w:p>
    <w:p w14:paraId="3A107DF4" w14:textId="77777777" w:rsidR="00B73687" w:rsidRDefault="00000000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Fig. A</w:t>
      </w:r>
      <w:r>
        <w:rPr>
          <w:color w:val="000000"/>
          <w:sz w:val="22"/>
          <w:szCs w:val="22"/>
        </w:rPr>
        <w:t xml:space="preserve">. Average Environmental Protection and Welfare State Salience in German party manifestos, 2017 and   </w:t>
      </w:r>
      <w:r>
        <w:rPr>
          <w:color w:val="000000"/>
          <w:sz w:val="22"/>
          <w:szCs w:val="22"/>
        </w:rPr>
        <w:tab/>
        <w:t>2021</w:t>
      </w:r>
    </w:p>
    <w:p w14:paraId="25BCC94B" w14:textId="77777777" w:rsidR="00B73687" w:rsidRDefault="00000000">
      <w:pPr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C08699" wp14:editId="21DA55ED">
            <wp:extent cx="3530600" cy="1733550"/>
            <wp:effectExtent l="19050" t="19050" r="12700" b="19050"/>
            <wp:docPr id="18813543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328" cy="1733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2F8F1" w14:textId="4EF74C19" w:rsidR="00B73687" w:rsidRDefault="00000000">
      <w:pPr>
        <w:jc w:val="both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Source</w:t>
      </w:r>
      <w:r>
        <w:rPr>
          <w:color w:val="000000"/>
          <w:sz w:val="18"/>
          <w:szCs w:val="18"/>
        </w:rPr>
        <w:t>: Manifesto Project Data</w:t>
      </w:r>
      <w:r w:rsidR="00B8216A">
        <w:rPr>
          <w:color w:val="000000"/>
          <w:sz w:val="18"/>
          <w:szCs w:val="18"/>
        </w:rPr>
        <w:t>set</w:t>
      </w:r>
      <w:r>
        <w:rPr>
          <w:color w:val="000000"/>
          <w:sz w:val="18"/>
          <w:szCs w:val="18"/>
        </w:rPr>
        <w:t xml:space="preserve"> </w:t>
      </w:r>
    </w:p>
    <w:p w14:paraId="79952651" w14:textId="7250DF2C" w:rsidR="00B73687" w:rsidRDefault="00000000">
      <w:pPr>
        <w:jc w:val="both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Note</w:t>
      </w:r>
      <w:r>
        <w:rPr>
          <w:color w:val="000000"/>
          <w:sz w:val="18"/>
          <w:szCs w:val="18"/>
        </w:rPr>
        <w:t xml:space="preserve">: Salience </w:t>
      </w:r>
      <w:r w:rsidR="005A11E4">
        <w:rPr>
          <w:color w:val="000000"/>
          <w:sz w:val="18"/>
          <w:szCs w:val="18"/>
        </w:rPr>
        <w:t>is</w:t>
      </w:r>
      <w:r>
        <w:rPr>
          <w:color w:val="000000"/>
          <w:sz w:val="18"/>
          <w:szCs w:val="18"/>
        </w:rPr>
        <w:t xml:space="preserve"> calculated as the share of quasi-sentences dedicated to a specific category. Environmental Protection salience= variable per501. Welfare State Salience= variables per504+per505. The values in the figure have been calculated by averaging all the parties’ scores in the two categories and weighted by the parties’ electoral share. </w:t>
      </w:r>
    </w:p>
    <w:p w14:paraId="69EBD96D" w14:textId="77777777" w:rsidR="00B73687" w:rsidRDefault="00B73687">
      <w:pPr>
        <w:jc w:val="both"/>
        <w:rPr>
          <w:color w:val="000000"/>
        </w:rPr>
      </w:pPr>
    </w:p>
    <w:p w14:paraId="4C997C99" w14:textId="2EC8A9FF" w:rsidR="004A4BCA" w:rsidRPr="005A690E" w:rsidRDefault="004A4BC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References</w:t>
      </w:r>
    </w:p>
    <w:p w14:paraId="60C85308" w14:textId="77777777" w:rsidR="005A690E" w:rsidRPr="00FE089F" w:rsidRDefault="005A690E" w:rsidP="005A690E">
      <w:pPr>
        <w:spacing w:before="280" w:after="280"/>
        <w:jc w:val="both"/>
        <w:rPr>
          <w:color w:val="000000"/>
          <w:sz w:val="22"/>
          <w:szCs w:val="22"/>
        </w:rPr>
      </w:pPr>
      <w:proofErr w:type="spellStart"/>
      <w:r w:rsidRPr="00FE089F">
        <w:rPr>
          <w:color w:val="000000"/>
          <w:sz w:val="22"/>
          <w:szCs w:val="22"/>
        </w:rPr>
        <w:t>Enggist</w:t>
      </w:r>
      <w:proofErr w:type="spellEnd"/>
      <w:r w:rsidRPr="00FE089F">
        <w:rPr>
          <w:color w:val="000000"/>
          <w:sz w:val="22"/>
          <w:szCs w:val="22"/>
        </w:rPr>
        <w:t xml:space="preserve">, M., and </w:t>
      </w:r>
      <w:proofErr w:type="spellStart"/>
      <w:r w:rsidRPr="00FE089F">
        <w:rPr>
          <w:color w:val="000000"/>
          <w:sz w:val="22"/>
          <w:szCs w:val="22"/>
        </w:rPr>
        <w:t>Pinggera</w:t>
      </w:r>
      <w:proofErr w:type="spellEnd"/>
      <w:r w:rsidRPr="00FE089F">
        <w:rPr>
          <w:color w:val="000000"/>
          <w:sz w:val="22"/>
          <w:szCs w:val="22"/>
        </w:rPr>
        <w:t xml:space="preserve">, M. (2022), Radical right parties and their welfare state stances – not so blurry after all? </w:t>
      </w:r>
      <w:r w:rsidRPr="00FE089F">
        <w:rPr>
          <w:i/>
          <w:iCs/>
          <w:color w:val="000000"/>
          <w:sz w:val="22"/>
          <w:szCs w:val="22"/>
        </w:rPr>
        <w:t>West European Politics</w:t>
      </w:r>
      <w:r w:rsidRPr="00FE089F">
        <w:rPr>
          <w:color w:val="000000"/>
          <w:sz w:val="22"/>
          <w:szCs w:val="22"/>
        </w:rPr>
        <w:t xml:space="preserve">, 45(1), 102–128. </w:t>
      </w:r>
    </w:p>
    <w:p w14:paraId="3C4C7A30" w14:textId="77777777" w:rsidR="001A1F89" w:rsidRDefault="001A1F89" w:rsidP="001A1F89">
      <w:pPr>
        <w:jc w:val="both"/>
        <w:rPr>
          <w:sz w:val="22"/>
          <w:szCs w:val="22"/>
        </w:rPr>
      </w:pPr>
      <w:r w:rsidRPr="00FE089F">
        <w:rPr>
          <w:sz w:val="22"/>
          <w:szCs w:val="22"/>
        </w:rPr>
        <w:t xml:space="preserve">Giuliani, G.A. (2024). </w:t>
      </w:r>
      <w:r w:rsidRPr="00FE089F">
        <w:rPr>
          <w:i/>
          <w:iCs/>
          <w:sz w:val="22"/>
          <w:szCs w:val="22"/>
        </w:rPr>
        <w:t xml:space="preserve">The Mainstream Right and Family Policy Agendas in the Post-Fordist Age: Beyond </w:t>
      </w:r>
      <w:proofErr w:type="spellStart"/>
      <w:r w:rsidRPr="00FE089F">
        <w:rPr>
          <w:i/>
          <w:iCs/>
          <w:sz w:val="22"/>
          <w:szCs w:val="22"/>
        </w:rPr>
        <w:t>Familialism</w:t>
      </w:r>
      <w:proofErr w:type="spellEnd"/>
      <w:r w:rsidRPr="00FE089F">
        <w:rPr>
          <w:i/>
          <w:iCs/>
          <w:sz w:val="22"/>
          <w:szCs w:val="22"/>
        </w:rPr>
        <w:t>?</w:t>
      </w:r>
      <w:r w:rsidRPr="00FE089F">
        <w:rPr>
          <w:sz w:val="22"/>
          <w:szCs w:val="22"/>
        </w:rPr>
        <w:t xml:space="preserve"> Leeds, UK: Emerald Publishing.</w:t>
      </w:r>
    </w:p>
    <w:p w14:paraId="301EFB9D" w14:textId="77777777" w:rsidR="00B8216A" w:rsidRDefault="00B8216A" w:rsidP="001A1F89">
      <w:pPr>
        <w:jc w:val="both"/>
        <w:rPr>
          <w:sz w:val="22"/>
          <w:szCs w:val="22"/>
        </w:rPr>
      </w:pPr>
    </w:p>
    <w:p w14:paraId="5CF83F03" w14:textId="5B5D32D1" w:rsidR="00FE089F" w:rsidRPr="00D155E2" w:rsidRDefault="00D155E2" w:rsidP="001A1F89">
      <w:pPr>
        <w:jc w:val="both"/>
        <w:rPr>
          <w:sz w:val="22"/>
          <w:szCs w:val="22"/>
          <w:lang w:val="de-DE"/>
        </w:rPr>
      </w:pPr>
      <w:r w:rsidRPr="00D155E2">
        <w:rPr>
          <w:sz w:val="22"/>
          <w:szCs w:val="22"/>
          <w:lang w:val="de-DE"/>
        </w:rPr>
        <w:t>Lehmann, P., Franzmann, S., Al-</w:t>
      </w:r>
      <w:proofErr w:type="spellStart"/>
      <w:r w:rsidRPr="00D155E2">
        <w:rPr>
          <w:sz w:val="22"/>
          <w:szCs w:val="22"/>
          <w:lang w:val="de-DE"/>
        </w:rPr>
        <w:t>Gaddooa</w:t>
      </w:r>
      <w:proofErr w:type="spellEnd"/>
      <w:r w:rsidRPr="00D155E2">
        <w:rPr>
          <w:sz w:val="22"/>
          <w:szCs w:val="22"/>
          <w:lang w:val="de-DE"/>
        </w:rPr>
        <w:t xml:space="preserve">, D., Burst, T., </w:t>
      </w:r>
      <w:proofErr w:type="spellStart"/>
      <w:r w:rsidRPr="00D155E2">
        <w:rPr>
          <w:sz w:val="22"/>
          <w:szCs w:val="22"/>
          <w:lang w:val="de-DE"/>
        </w:rPr>
        <w:t>Ivanusch</w:t>
      </w:r>
      <w:proofErr w:type="spellEnd"/>
      <w:r w:rsidRPr="00D155E2">
        <w:rPr>
          <w:sz w:val="22"/>
          <w:szCs w:val="22"/>
          <w:lang w:val="de-DE"/>
        </w:rPr>
        <w:t xml:space="preserve">, C., Regel, S., Riethmüller, F., Volkens, A., Weßels, B., &amp; Zehnter, L. (2024). </w:t>
      </w:r>
      <w:r w:rsidRPr="00D155E2">
        <w:rPr>
          <w:i/>
          <w:iCs/>
          <w:sz w:val="22"/>
          <w:szCs w:val="22"/>
        </w:rPr>
        <w:t>The Manifesto Data Collection. Manifesto Project (MRG / CMP / MARPOR). Version 2024a.</w:t>
      </w:r>
      <w:r w:rsidRPr="00D155E2">
        <w:rPr>
          <w:sz w:val="22"/>
          <w:szCs w:val="22"/>
        </w:rPr>
        <w:t xml:space="preserve"> </w:t>
      </w:r>
      <w:r w:rsidRPr="00D155E2">
        <w:rPr>
          <w:sz w:val="22"/>
          <w:szCs w:val="22"/>
          <w:lang w:val="de-DE"/>
        </w:rPr>
        <w:t>Berlin: Wissenschaftszentrum Berlin für Sozialforschung (WZB) / Göttingen: Institut für Demokratieforschung (</w:t>
      </w:r>
      <w:proofErr w:type="spellStart"/>
      <w:r w:rsidRPr="00D155E2">
        <w:rPr>
          <w:sz w:val="22"/>
          <w:szCs w:val="22"/>
          <w:lang w:val="de-DE"/>
        </w:rPr>
        <w:t>IfDem</w:t>
      </w:r>
      <w:proofErr w:type="spellEnd"/>
      <w:r w:rsidRPr="00D155E2">
        <w:rPr>
          <w:sz w:val="22"/>
          <w:szCs w:val="22"/>
          <w:lang w:val="de-DE"/>
        </w:rPr>
        <w:t>). https://doi.org/10.25522/manifesto.mpds.2024a</w:t>
      </w:r>
    </w:p>
    <w:p w14:paraId="3F3DFAB9" w14:textId="77777777" w:rsidR="00FE089F" w:rsidRPr="00FE089F" w:rsidRDefault="00FE089F" w:rsidP="00FE089F">
      <w:pPr>
        <w:jc w:val="both"/>
        <w:rPr>
          <w:sz w:val="22"/>
          <w:szCs w:val="22"/>
        </w:rPr>
      </w:pPr>
      <w:r w:rsidRPr="00FE089F">
        <w:rPr>
          <w:sz w:val="22"/>
          <w:szCs w:val="22"/>
        </w:rPr>
        <w:lastRenderedPageBreak/>
        <w:t xml:space="preserve">Mandelli, M. (2022), ‘Understanding eco-social policies: a proposed definition and typology’, </w:t>
      </w:r>
      <w:r w:rsidRPr="00FE089F">
        <w:rPr>
          <w:i/>
          <w:sz w:val="22"/>
          <w:szCs w:val="22"/>
        </w:rPr>
        <w:t xml:space="preserve">Transfer: European Review of </w:t>
      </w:r>
      <w:proofErr w:type="spellStart"/>
      <w:r w:rsidRPr="00FE089F">
        <w:rPr>
          <w:i/>
          <w:sz w:val="22"/>
          <w:szCs w:val="22"/>
        </w:rPr>
        <w:t>Labour</w:t>
      </w:r>
      <w:proofErr w:type="spellEnd"/>
      <w:r w:rsidRPr="00FE089F">
        <w:rPr>
          <w:i/>
          <w:sz w:val="22"/>
          <w:szCs w:val="22"/>
        </w:rPr>
        <w:t xml:space="preserve"> and Research</w:t>
      </w:r>
      <w:r w:rsidRPr="00FE089F">
        <w:rPr>
          <w:sz w:val="22"/>
          <w:szCs w:val="22"/>
        </w:rPr>
        <w:t xml:space="preserve">, 28, 3, 333–348. </w:t>
      </w:r>
    </w:p>
    <w:p w14:paraId="0736EA54" w14:textId="77777777" w:rsidR="005A690E" w:rsidRDefault="005A690E">
      <w:pPr>
        <w:jc w:val="both"/>
        <w:rPr>
          <w:sz w:val="22"/>
          <w:szCs w:val="22"/>
        </w:rPr>
      </w:pPr>
    </w:p>
    <w:sectPr w:rsidR="005A690E">
      <w:footerReference w:type="even" r:id="rId9"/>
      <w:footerReference w:type="default" r:id="rId10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59111" w14:textId="77777777" w:rsidR="00570EB9" w:rsidRDefault="00570EB9">
      <w:r>
        <w:separator/>
      </w:r>
    </w:p>
  </w:endnote>
  <w:endnote w:type="continuationSeparator" w:id="0">
    <w:p w14:paraId="54371E48" w14:textId="77777777" w:rsidR="00570EB9" w:rsidRDefault="00570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B42C0B-3BB8-47F3-BD04-E342A1EBAC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A77912F2-A113-463A-A8D6-BCEACE41F1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9B82D41-CF9A-4186-8BB8-CA168838971F}"/>
    <w:embedItalic r:id="rId4" w:fontKey="{140C7BD7-1C05-4283-AB04-1812A0EAF70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179FFE-EFE8-4534-BBB7-3519D01A81A1}"/>
    <w:embedItalic r:id="rId6" w:fontKey="{8960376A-1921-412B-98C5-F01BA472E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42C78" w14:textId="77777777" w:rsidR="00B736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2BAE418" w14:textId="77777777" w:rsidR="00B73687" w:rsidRDefault="00B73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FEECD" w14:textId="77777777" w:rsidR="00B736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4259">
      <w:rPr>
        <w:noProof/>
        <w:color w:val="000000"/>
      </w:rPr>
      <w:t>1</w:t>
    </w:r>
    <w:r>
      <w:rPr>
        <w:color w:val="000000"/>
      </w:rPr>
      <w:fldChar w:fldCharType="end"/>
    </w:r>
  </w:p>
  <w:p w14:paraId="7F290D67" w14:textId="77777777" w:rsidR="00B73687" w:rsidRDefault="00B73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707D9" w14:textId="77777777" w:rsidR="00570EB9" w:rsidRDefault="00570EB9">
      <w:r>
        <w:separator/>
      </w:r>
    </w:p>
  </w:footnote>
  <w:footnote w:type="continuationSeparator" w:id="0">
    <w:p w14:paraId="008435C0" w14:textId="77777777" w:rsidR="00570EB9" w:rsidRDefault="00570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90ED3"/>
    <w:multiLevelType w:val="multilevel"/>
    <w:tmpl w:val="EAC2C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3274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687"/>
    <w:rsid w:val="000000ED"/>
    <w:rsid w:val="0001562A"/>
    <w:rsid w:val="000A19CB"/>
    <w:rsid w:val="000E5EDF"/>
    <w:rsid w:val="001002F0"/>
    <w:rsid w:val="00121854"/>
    <w:rsid w:val="00161CD8"/>
    <w:rsid w:val="00176527"/>
    <w:rsid w:val="0018519D"/>
    <w:rsid w:val="001A1F89"/>
    <w:rsid w:val="001F3669"/>
    <w:rsid w:val="0026100E"/>
    <w:rsid w:val="002729DE"/>
    <w:rsid w:val="002C1C80"/>
    <w:rsid w:val="002C66D8"/>
    <w:rsid w:val="002E682C"/>
    <w:rsid w:val="002E7036"/>
    <w:rsid w:val="00314943"/>
    <w:rsid w:val="00333A92"/>
    <w:rsid w:val="0034413B"/>
    <w:rsid w:val="00355FD5"/>
    <w:rsid w:val="0038781B"/>
    <w:rsid w:val="00416882"/>
    <w:rsid w:val="004A4BCA"/>
    <w:rsid w:val="004E39A1"/>
    <w:rsid w:val="005002C6"/>
    <w:rsid w:val="00570EB9"/>
    <w:rsid w:val="005A11E4"/>
    <w:rsid w:val="005A690E"/>
    <w:rsid w:val="005B5B6D"/>
    <w:rsid w:val="005C4259"/>
    <w:rsid w:val="00614510"/>
    <w:rsid w:val="006431B7"/>
    <w:rsid w:val="006C5FFB"/>
    <w:rsid w:val="00721263"/>
    <w:rsid w:val="0076010E"/>
    <w:rsid w:val="007A5A2D"/>
    <w:rsid w:val="007F502D"/>
    <w:rsid w:val="00826DEC"/>
    <w:rsid w:val="008965AE"/>
    <w:rsid w:val="008C3E54"/>
    <w:rsid w:val="00934F72"/>
    <w:rsid w:val="009F4886"/>
    <w:rsid w:val="00A041D6"/>
    <w:rsid w:val="00A0600D"/>
    <w:rsid w:val="00A148BD"/>
    <w:rsid w:val="00A32D89"/>
    <w:rsid w:val="00A82B6E"/>
    <w:rsid w:val="00AF2FBE"/>
    <w:rsid w:val="00B67BA1"/>
    <w:rsid w:val="00B73687"/>
    <w:rsid w:val="00B8216A"/>
    <w:rsid w:val="00C15266"/>
    <w:rsid w:val="00C561A2"/>
    <w:rsid w:val="00CB3A04"/>
    <w:rsid w:val="00D06486"/>
    <w:rsid w:val="00D155E2"/>
    <w:rsid w:val="00D52FCF"/>
    <w:rsid w:val="00D77547"/>
    <w:rsid w:val="00D818F5"/>
    <w:rsid w:val="00DF4E89"/>
    <w:rsid w:val="00E21B99"/>
    <w:rsid w:val="00EA18D6"/>
    <w:rsid w:val="00EB4F4F"/>
    <w:rsid w:val="00ED0564"/>
    <w:rsid w:val="00F75E19"/>
    <w:rsid w:val="00FA27E1"/>
    <w:rsid w:val="00FA4CAF"/>
    <w:rsid w:val="00FE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250E2"/>
  <w15:docId w15:val="{7D01911E-9EF2-9F48-B978-E2CFE79F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2A51"/>
  </w:style>
  <w:style w:type="paragraph" w:styleId="berschrift1">
    <w:name w:val="heading 1"/>
    <w:basedOn w:val="Standard"/>
    <w:next w:val="Standard"/>
    <w:link w:val="berschrift1Zchn"/>
    <w:uiPriority w:val="9"/>
    <w:qFormat/>
    <w:rsid w:val="008F53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53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F53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F53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F53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F53E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F53E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F53E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F53E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8F53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53E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53E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53EA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F53EA"/>
    <w:rPr>
      <w:rFonts w:asciiTheme="minorHAnsi" w:eastAsiaTheme="majorEastAsia" w:hAnsiTheme="minorHAnsi" w:cstheme="majorBidi"/>
      <w:i/>
      <w:iCs/>
      <w:color w:val="0F4761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53EA"/>
    <w:rPr>
      <w:rFonts w:asciiTheme="minorHAnsi" w:eastAsiaTheme="majorEastAsia" w:hAnsiTheme="minorHAnsi" w:cstheme="majorBidi"/>
      <w:color w:val="0F4761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53EA"/>
    <w:rPr>
      <w:rFonts w:asciiTheme="minorHAnsi" w:eastAsiaTheme="majorEastAsia" w:hAnsiTheme="minorHAnsi" w:cstheme="majorBidi"/>
      <w:i/>
      <w:iCs/>
      <w:color w:val="595959" w:themeColor="text1" w:themeTint="A6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53EA"/>
    <w:rPr>
      <w:rFonts w:asciiTheme="minorHAnsi" w:eastAsiaTheme="majorEastAsia" w:hAnsiTheme="minorHAnsi" w:cstheme="majorBidi"/>
      <w:color w:val="595959" w:themeColor="text1" w:themeTint="A6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53EA"/>
    <w:rPr>
      <w:rFonts w:asciiTheme="minorHAnsi" w:eastAsiaTheme="majorEastAsia" w:hAnsiTheme="minorHAnsi" w:cstheme="majorBidi"/>
      <w:i/>
      <w:iCs/>
      <w:color w:val="272727" w:themeColor="text1" w:themeTint="D8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53EA"/>
    <w:rPr>
      <w:rFonts w:asciiTheme="minorHAnsi" w:eastAsiaTheme="majorEastAsia" w:hAnsiTheme="minorHAnsi" w:cstheme="majorBidi"/>
      <w:color w:val="272727" w:themeColor="text1" w:themeTint="D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8F53E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53E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8F53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F53EA"/>
    <w:rPr>
      <w:i/>
      <w:iCs/>
      <w:color w:val="404040" w:themeColor="text1" w:themeTint="BF"/>
      <w:lang w:val="en-US"/>
    </w:rPr>
  </w:style>
  <w:style w:type="paragraph" w:styleId="Listenabsatz">
    <w:name w:val="List Paragraph"/>
    <w:basedOn w:val="Standard"/>
    <w:uiPriority w:val="34"/>
    <w:qFormat/>
    <w:rsid w:val="008F53E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F53E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53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53EA"/>
    <w:rPr>
      <w:i/>
      <w:iCs/>
      <w:color w:val="0F4761" w:themeColor="accent1" w:themeShade="BF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8F53EA"/>
    <w:rPr>
      <w:b/>
      <w:bCs/>
      <w:smallCaps/>
      <w:color w:val="0F4761" w:themeColor="accent1" w:themeShade="BF"/>
      <w:spacing w:val="5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20F8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20F8F"/>
    <w:rPr>
      <w:kern w:val="0"/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920F8F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E639F3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39F3"/>
    <w:rPr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E639F3"/>
  </w:style>
  <w:style w:type="paragraph" w:styleId="berarbeitung">
    <w:name w:val="Revision"/>
    <w:hidden/>
    <w:uiPriority w:val="99"/>
    <w:semiHidden/>
    <w:rsid w:val="00F5352F"/>
  </w:style>
  <w:style w:type="character" w:styleId="Kommentarzeichen">
    <w:name w:val="annotation reference"/>
    <w:basedOn w:val="Absatz-Standardschriftart"/>
    <w:uiPriority w:val="99"/>
    <w:semiHidden/>
    <w:unhideWhenUsed/>
    <w:rsid w:val="00F535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35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352F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35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352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6Y3XLEUc54kxlnf8B5Rm+9ayg==">CgMxLjAaJwoBMBIiCiAIBCocCgtBQUFCV09KdWkzSRAIGgtBQUFCV09KdWkzSRoaCgExEhUKEwgEKg8KC0FBQUJXT0p1aTMwEAEaGgoBMhIVChMIBCoPCgtBQUFCV09KdWkzMBACGicKATMSIgogCAQqHAoLQUFBQldPSnVpM2cQCBoLQUFBQldPSnVpM2caGgoBNBIVChMIBCoPCgtBQUFCV09KdWkzURABGi8KATUSKgoTCAQqDwoLQUFBQldPSnVpM1kQBAoTCAQqDwoLQUFBQldPSnVpM1EQARoaCgE2EhUKEwgEKg8KC0FBQUJXT0p1aTM4EAQaGgoBNxIVChMIBCoPCgtBQUFCV09KdWkzURACGhoKATgSFQoTCAQqDwoLQUFBQldPSnVpM3cQARoaCgE5EhUKEwgEKg8KC0FBQUJXT0p1aTN3EAIaGwoCMTASFQoTCAQqDwoLQUFBQldPSnVpM1UQARobCgIxMRIVChMIBCoPCgtBQUFCV09KdWkzVRABGhsKAjEyEhUKEwgEKg8KC0FBQUJXT0p1aTNrEAEaGwoCMTMSFQoTCAQqDwoLQUFBQldPSnVpM2sQARobCgIxNBIVChMIBCoPCgtBQUFCV09KdWk0RRABGhsKAjE1EhUKEwgEKg8KC0FBQUJXT0p1aTNvEAEaKAoCMTYSIgogCAQqHAoLQUFBQldPSnVpM3MQCBoLQUFBQldPSnVpM3MitAMKC0FBQUJXT0p1aTNJEooDCgtBQUFCV09KdWkzSRILQUFBQldPSnVpM0kaPwoJdGV4dC9odG1sEjJJcyB0aGlzIGNvcnJlY3Qgbm93IGFuZCB0aGUgc2FtZSBpbiB0aGUgbWFpbiB0ZXh0PyJACgp0ZXh0L3BsYWluEjJJcyB0aGlzIGNvcnJlY3Qgbm93IGFuZCB0aGUgc2FtZSBpbiB0aGUgbWFpbiB0ZXh0PypHCg5Ub3JiZW4gRmlzY2hlcho1Ly9zc2wuZ3N0YXRpYy5jb20vZG9jcy9jb21tb24vYmx1ZV9zaWxob3VldHRlOTYtMC5wbmcw4NHO16MyOODRztejMnJJCg5Ub3JiZW4gRmlzY2hlcho3CjUvL3NzbC5nc3RhdGljLmNvbS9kb2NzL2NvbW1vbi9ibHVlX3NpbGhvdWV0dGU5Ni0wLnBuZ3gAiAEBmgEGCAAQABgAqgE0EjJJcyB0aGlzIGNvcnJlY3Qgbm93IGFuZCB0aGUgc2FtZSBpbiB0aGUgbWFpbiB0ZXh0P7ABALgBARjg0c7XozIg4NHO16MyMABCCGtpeC5jbXQwIrYCCgtBQUFCV09KdWkzZxKMAgoLQUFBQldPSnVpM2cSC0FBQUJXT0p1aTNnGhUKCXRleHQvaHRtbBIIQ29ycmVjdD8iFgoKdGV4dC9wbGFpbhIIQ29ycmVjdD8qRwoOVG9yYmVuIEZpc2NoZXIaNS8vc3NsLmdzdGF0aWMuY29tL2RvY3MvY29tbW9uL2JsdWVfc2lsaG91ZXR0ZTk2LTAucG5nMKD71dejMjig+9XXozJySQoOVG9yYmVuIEZpc2NoZXIaNwo1Ly9zc2wuZ3N0YXRpYy5jb20vZG9jcy9jb21tb24vYmx1ZV9zaWxob3VldHRlOTYtMC5wbmd4AIgBAZoBBggAEAAYAKoBChIIQ29ycmVjdD+wAQC4AQEYoPvV16MyIKD71dejMjAAQghraXguY210MSLFAwoLQUFBQldPSnVpM2sS7QIKC0FBQUJXT0p1aTNrEgtBQUFCV09KdWkzaxoNCgl0ZXh0L2h0bWwSACIOCgp0ZXh0L3BsYWluEgAqRwoOVG9yYmVuIEZpc2NoZXIaNS8vc3NsLmdzdGF0aWMuY29tL2RvY3MvY29tbW9uL2JsdWVfc2lsaG91ZXR0ZTk2LTAucG5nMOD369ejMjjg9+vXozJKQwokYXBwbGljYXRpb24vdm5kLmdvb2dsZS1hcHBzLmRvY3MubWRzGhvC19rkARUaEwoPCglTZWxlY3RpdmUQFxgAEAFySQoOVG9yYmVuIEZpc2NoZXIaNwo1Ly9zc2wuZ3N0YXRpYy5jb20vZG9jcy9jb21tb24vYmx1ZV9zaWxob3VldHRlOTYtMC5wbmd4AIIBNnN1Z2dlc3RJZEltcG9ydDk3NGVjZjQwLThjOGUtNGIwNi1hNzY4LWY4NzZjNWIxMzAxOV8yMIgBAZoBBggAEAAYALABALgBARjg9+vXozIg4Pfr16MyMABCNnN1Z2dlc3RJZEltcG9ydDk3NGVjZjQwLThjOGUtNGIwNi1hNzY4LWY4NzZjNWIxMzAxOV8yMCLFAwoLQUFBQldPSnVpNEUS7QIKC0FBQUJXT0p1aTRFEgtBQUFCV09KdWk0RRoNCgl0ZXh0L2h0bWwSACIOCgp0ZXh0L3BsYWluEgAqRwoOVG9yYmVuIEZpc2NoZXIaNS8vc3NsLmdzdGF0aWMuY29tL2RvY3MvY29tbW9uL2JsdWVfc2lsaG91ZXR0ZTk2LTAucG5nMOD369ejMjjg9+vXozJKQwokYXBwbGljYXRpb24vdm5kLmdvb2dsZS1hcHBzLmRvY3MubWRzGhvC19rkARUaEwoPCglJbmNsdXNpdmUQFxgAEAFySQoOVG9yYmVuIEZpc2NoZXIaNwo1Ly9zc2wuZ3N0YXRpYy5jb20vZG9jcy9jb21tb24vYmx1ZV9zaWxob3VldHRlOTYtMC5wbmd4AIIBNnN1Z2dlc3RJZEltcG9ydDk3NGVjZjQwLThjOGUtNGIwNi1hNzY4LWY4NzZjNWIxMzAxOV8yMYgBAZoBBggAEAAYALABALgBARjg9+vXozIg4Pfr16MyMABCNnN1Z2dlc3RJZEltcG9ydDk3NGVjZjQwLThjOGUtNGIwNi1hNzY4LWY4NzZjNWIxMzAxOV8yMSK2AwoLQUFBQldPSnVpM1kS3gIKC0FBQUJXT0p1aTNZEgtBQUFCV09KdWkzWRoNCgl0ZXh0L2h0bWwSACIOCgp0ZXh0L3BsYWluEgAqRwoOVG9yYmVuIEZpc2NoZXIaNS8vc3NsLmdzdGF0aWMuY29tL2RvY3MvY29tbW9uL2JsdWVfc2lsaG91ZXR0ZTk2LTAucG5nMICj6NejMjiAo+jXozJKNAokYXBwbGljYXRpb24vdm5kLmdvb2dsZS1hcHBzLmRvY3MubWRzGgzC19rkAQYiBAgCEAFySQoOVG9yYmVuIEZpc2NoZXIaNwo1Ly9zc2wuZ3N0YXRpYy5jb20vZG9jcy9jb21tb24vYmx1ZV9zaWxob3VldHRlOTYtMC5wbmd4AIIBNnN1Z2dlc3RJZEltcG9ydDk3NGVjZjQwLThjOGUtNGIwNi1hNzY4LWY4NzZjNWIxMzAxOV8xNIgBAZoBBggAEAAYALABALgBARiAo+jXozIggKPo16MyMABCNnN1Z2dlc3RJZEltcG9ydDk3NGVjZjQwLThjOGUtNGIwNi1hNzY4LWY4NzZjNWIxMzAxOV8xNCK4AwoLQUFBQldPSnVpMzgS4AIKC0FBQUJXT0p1aTM4EgtBQUFCV09KdWkzOBoNCgl0ZXh0L2h0bWwSACIOCgp0ZXh0L3BsYWluEgAqRwoOVG9yYmVuIEZpc2NoZXIaNS8vc3NsLmdzdGF0aWMuY29tL2RvY3MvY29tbW9uL2JsdWVfc2lsaG91ZXR0ZTk2LTAucG5nMICj6NejMjiAo+jXozJKNgokYXBwbGljYXRpb24vdm5kLmdvb2dsZS1hcHBzLmRvY3MubWRzGg7C19rkAQgiBggCCAYQAXJJCg5Ub3JiZW4gRmlzY2hlcho3CjUvL3NzbC5nc3RhdGljLmNvbS9kb2NzL2NvbW1vbi9ibHVlX3NpbGhvdWV0dGU5Ni0wLnBuZ3gAggE2c3VnZ2VzdElkSW1wb3J0OTc0ZWNmNDAtOGM4ZS00YjA2LWE3NjgtZjg3NmM1YjEzMDE5XzE1iAEBmgEGCAAQABgAsAEAuAEBGICj6NejMiCAo+jXozIwAEI2c3VnZ2VzdElkSW1wb3J0OTc0ZWNmNDAtOGM4ZS00YjA2LWE3NjgtZjg3NmM1YjEzMDE5XzE1It4DCgtBQUFCV09KdWkzdxKGAwoLQUFBQldPSnVpM3cSC0FBQUJXT0p1aTN3Gg0KCXRleHQvaHRtbBIAIg4KCnRleHQvcGxhaW4SACpHCg5Ub3JiZW4gRmlzY2hlcho1Ly9zc2wuZ3N0YXRpYy5jb20vZG9jcy9jb21tb24vYmx1ZV9zaWxob3VldHRlOTYtMC5wbmcwgKPo16MyOICj6NejMkpcCiRhcHBsaWNhdGlvbi92bmQuZ29vZ2xlLWFwcHMuZG9jcy5tZHMaNMLX2uQBLgosCg8KCXNlbGVjdGl2ZRABGAASFwoRZXF1YWxpdHktb3JpZW50ZWQQARgAGAFySQoOVG9yYmVuIEZpc2NoZXIaNwo1Ly9zc2wuZ3N0YXRpYy5jb20vZG9jcy9jb21tb24vYmx1ZV9zaWxob3VldHRlOTYtMC5wbmd4AIIBNnN1Z2dlc3RJZEltcG9ydDk3NGVjZjQwLThjOGUtNGIwNi1hNzY4LWY4NzZjNWIxMzAxOV8xN4gBAZoBBggAEAAYALABALgBARiAo+jXozIggKPo16MyMABCNnN1Z2dlc3RJZEltcG9ydDk3NGVjZjQwLThjOGUtNGIwNi1hNzY4LWY4NzZjNWIxMzAxOV8xNyLoAwoLQUFBQldPSnVpM1ESkAMKC0FBQUJXT0p1aTNREgtBQUFCV09KdWkzURoNCgl0ZXh0L2h0bWwSACIOCgp0ZXh0L3BsYWluEgAqRwoOVG9yYmVuIEZpc2NoZXIaNS8vc3NsLmdzdGF0aWMuY29tL2RvY3MvY29tbW9uL2JsdWVfc2lsaG91ZXR0ZTk2LTAucG5nMICj6NejMjiAo+jXozJKZgokYXBwbGljYXRpb24vdm5kLmdvb2dsZS1hcHBzLmRvY3MubWRzGj7C19rkATgKNgoZChNJbmNsdXNpdmUvVW5pdmVyc2FsEAEYABIXChFzdGF0dXMtcHJlc2VydmluZxABGAAYAXJJCg5Ub3JiZW4gRmlzY2hlcho3CjUvL3NzbC5nc3RhdGljLmNvbS9kb2NzL2NvbW1vbi9ibHVlX3NpbGhvdWV0dGU5Ni0wLnBuZ3gAggE2c3VnZ2VzdElkSW1wb3J0OTc0ZWNmNDAtOGM4ZS00YjA2LWE3NjgtZjg3NmM1YjEzMDE5XzEziAEBmgEGCAAQABgAsAEAuAEBGICj6NejMiCAo+jXozIwAEI2c3VnZ2VzdElkSW1wb3J0OTc0ZWNmNDAtOGM4ZS00YjA2LWE3NjgtZjg3NmM1YjEzMDE5XzEzIscDCgtBQUFCV09KdWkzMBLwAgoLQUFBQldPSnVpMzASC0FBQUJXT0p1aTMwGg0KCXRleHQvaHRtbBIAIg4KCnRleHQvcGxhaW4SACpHCg5Ub3JiZW4gRmlzY2hlcho1Ly9zc2wuZ3N0YXRpYy5jb20vZG9jcy9jb21tb24vYmx1ZV9zaWxob3VldHRlOTYtMC5wbmcw4NHO16MyOODRztejMkpHCiRhcHBsaWNhdGlvbi92bmQuZ29vZ2xlLWFwcHMuZG9jcy5tZHMaH8LX2uQBGQoXCgoKBGZpdmUQARgAEgcKATUQARgAGAFySQoOVG9yYmVuIEZpc2NoZXIaNwo1Ly9zc2wuZ3N0YXRpYy5jb20vZG9jcy9jb21tb24vYmx1ZV9zaWxob3VldHRlOTYtMC5wbmd4AIIBNXN1Z2dlc3RJZEltcG9ydDk3NGVjZjQwLThjOGUtNGIwNi1hNzY4LWY4NzZjNWIxMzAxOV82iAEBmgEGCAAQABgAsAEAuAEBGODRztejMiDg0c7XozIwAEI1c3VnZ2VzdElkSW1wb3J0OTc0ZWNmNDAtOGM4ZS00YjA2LWE3NjgtZjg3NmM1YjEzMDE5XzYixQMKC0FBQUJXT0p1aTNvEu0CCgtBQUFCV09KdWkzbxILQUFBQldPSnVpM28aDQoJdGV4dC9odG1sEgAiDgoKdGV4dC9wbGFpbhIAKkcKDlRvcmJlbiBGaXNjaGVyGjUvL3NzbC5nc3RhdGljLmNvbS9kb2NzL2NvbW1vbi9ibHVlX3NpbGhvdWV0dGU5Ni0wLnBuZzDg9+vXozI44Pfr16MySkMKJGFwcGxpY2F0aW9uL3ZuZC5nb29nbGUtYXBwcy5kb2NzLm1kcxobwtfa5AEVGhMKDwoJU2VsZWN0aXZlEBcYABABckkKDlRvcmJlbiBGaXNjaGVyGjcKNS8vc3NsLmdzdGF0aWMuY29tL2RvY3MvY29tbW9uL2JsdWVfc2lsaG91ZXR0ZTk2LTAucG5neACCATZzdWdnZXN0SWRJbXBvcnQ5NzRlY2Y0MC04YzhlLTRiMDYtYTc2OC1mODc2YzViMTMwMTlfMjKIAQGaAQYIABAAGACwAQC4AQEY4Pfr16MyIOD369ejMjAAQjZzdWdnZXN0SWRJbXBvcnQ5NzRlY2Y0MC04YzhlLTRiMDYtYTc2OC1mODc2YzViMTMwMTlfMjIixQMKC0FBQUJXT0p1aTNVEu0CCgtBQUFCV09KdWkzVRILQUFBQldPSnVpM1UaDQoJdGV4dC9odG1sEgAiDgoKdGV4dC9wbGFpbhIAKkcKDlRvcmJlbiBGaXNjaGVyGjUvL3NzbC5nc3RhdGljLmNvbS9kb2NzL2NvbW1vbi9ibHVlX3NpbGhvdWV0dGU5Ni0wLnBuZzCAo+jXozI4gKPo16MySkMKJGFwcGxpY2F0aW9uL3ZuZC5nb29nbGUtYXBwcy5kb2NzLm1kcxobwtfa5AEVGhMKDwoJSW5jbHVzaXZlEBcYABABckkKDlRvcmJlbiBGaXNjaGVyGjcKNS8vc3NsLmdzdGF0aWMuY29tL2RvY3MvY29tbW9uL2JsdWVfc2lsaG91ZXR0ZTk2LTAucG5neACCATZzdWdnZXN0SWRJbXBvcnQ5NzRlY2Y0MC04YzhlLTRiMDYtYTc2OC1mODc2YzViMTMwMTlfMTmIAQGaAQYIABAAGACwAQC4AQEYgKPo16MyIICj6NejMjAAQjZzdWdnZXN0SWRJbXBvcnQ5NzRlY2Y0MC04YzhlLTRiMDYtYTc2OC1mODc2YzViMTMwMTlfMTki3QIKC0FBQUJXT0p1aTNzErMCCgtBQUFCV09KdWkzcxILQUFBQldPSnVpM3MaIgoJdGV4dC9odG1sEhVBZGFwdCB0byBuZXcgYXBwcm9hY2giIwoKdGV4dC9wbGFpbhIVQWRhcHQgdG8gbmV3IGFwcHJvYWNoKkcKDlRvcmJlbiBGaXNjaGVyGjUvL3NzbC5nc3RhdGljLmNvbS9kb2NzL2NvbW1vbi9ibHVlX3NpbGhvdWV0dGU5Ni0wLnBuZzDAzO/XozI4wMzv16MyckkKDlRvcmJlbiBGaXNjaGVyGjcKNS8vc3NsLmdzdGF0aWMuY29tL2RvY3MvY29tbW9uL2JsdWVfc2lsaG91ZXR0ZTk2LTAucG5neACIAQGaAQYIABAAGACqARcSFUFkYXB0IHRvIG5ldyBhcHByb2FjaLABALgBARjAzO/XozIgwMzv16MyMABCCGtpeC5jbXQyOABqRwo1c3VnZ2VzdElkSW1wb3J0OTc0ZWNmNDAtOGM4ZS00YjA2LWE3NjgtZjg3NmM1YjEzMDE5XzMSDlRvcmJlbiBGaXNjaGVyakcKNXN1Z2dlc3RJZEltcG9ydDk3NGVjZjQwLThjOGUtNGIwNi1hNzY4LWY4NzZjNWIxMzAxOV85Eg5Ub3JiZW4gRmlzY2hlcmpICjZzdWdnZXN0SWRJbXBvcnQ5NzRlY2Y0MC04YzhlLTRiMDYtYTc2OC1mODc2YzViMTMwMTlfMjASDlRvcmJlbiBGaXNjaGVyakcKNXN1Z2dlc3RJZEltcG9ydDk3NGVjZjQwLThjOGUtNGIwNi1hNzY4LWY4NzZjNWIxMzAxOV8xEg5Ub3JiZW4gRmlzY2hlcmpICjZzdWdnZXN0SWRJbXBvcnQ5NzRlY2Y0MC04YzhlLTRiMDYtYTc2OC1mODc2YzViMTMwMTlfMjESDlRvcmJlbiBGaXNjaGVyakgKNnN1Z2dlc3RJZEltcG9ydDk3NGVjZjQwLThjOGUtNGIwNi1hNzY4LWY4NzZjNWIxMzAxOV8xMRIOVG9yYmVuIEZpc2NoZXJqSAo2c3VnZ2VzdElkSW1wb3J0OTc0ZWNmNDAtOGM4ZS00YjA2LWE3NjgtZjg3NmM1YjEzMDE5XzE0Eg5Ub3JiZW4gRmlzY2hlcmpICjZzdWdnZXN0SWRJbXBvcnQ5NzRlY2Y0MC04YzhlLTRiMDYtYTc2OC1mODc2YzViMTMwMTlfMTUSDlRvcmJlbiBGaXNjaGVyakgKNnN1Z2dlc3RJZEltcG9ydDk3NGVjZjQwLThjOGUtNGIwNi1hNzY4LWY4NzZjNWIxMzAxOV8xNxIOVG9yYmVuIEZpc2NoZXJqSAo2c3VnZ2VzdElkSW1wb3J0OTc0ZWNmNDAtOGM4ZS00YjA2LWE3NjgtZjg3NmM1YjEzMDE5XzEzEg5Ub3JiZW4gRmlzY2hlcmpHCjVzdWdnZXN0SWRJbXBvcnQ5NzRlY2Y0MC04YzhlLTRiMDYtYTc2OC1mODc2YzViMTMwMTlfNhIOVG9yYmVuIEZpc2NoZXJqSAo2c3VnZ2VzdElkSW1wb3J0OTc0ZWNmNDAtOGM4ZS00YjA2LWE3NjgtZjg3NmM1YjEzMDE5XzIyEg5Ub3JiZW4gRmlzY2hlcmpICjZzdWdnZXN0SWRJbXBvcnQ5NzRlY2Y0MC04YzhlLTRiMDYtYTc2OC1mODc2YzViMTMwMTlfMTkSDlRvcmJlbiBGaXNjaGVyakgKNnN1Z2dlc3RJZEltcG9ydDk3NGVjZjQwLThjOGUtNGIwNi1hNzY4LWY4NzZjNWIxMzAxOV8yMxIOVG9yYmVuIEZpc2NoZXJyITFoSTd0V1hQZXo5S0o0SGl3VWZPa0xPSFR5U1NWZ19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1402</Words>
  <Characters>8836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Torben Fischer</dc:creator>
  <cp:lastModifiedBy>Torben Fischer | Zentrum für neue Sozialpolitik</cp:lastModifiedBy>
  <cp:revision>30</cp:revision>
  <dcterms:created xsi:type="dcterms:W3CDTF">2024-12-06T12:52:00Z</dcterms:created>
  <dcterms:modified xsi:type="dcterms:W3CDTF">2025-02-21T00:39:00Z</dcterms:modified>
</cp:coreProperties>
</file>