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080365" w14:textId="77777777" w:rsidR="000150D5" w:rsidRPr="00D97DC5" w:rsidRDefault="00D86A67" w:rsidP="000150D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7DC5">
        <w:rPr>
          <w:rFonts w:ascii="Times New Roman" w:hAnsi="Times New Roman" w:cs="Times New Roman"/>
          <w:b/>
          <w:sz w:val="24"/>
          <w:szCs w:val="24"/>
        </w:rPr>
        <w:t xml:space="preserve">Accessing old carbon influence on TOC </w:t>
      </w:r>
      <w:r w:rsidRPr="00D97DC5">
        <w:rPr>
          <w:rFonts w:ascii="Times New Roman" w:hAnsi="Times New Roman" w:cs="Times New Roman"/>
          <w:b/>
          <w:sz w:val="24"/>
          <w:szCs w:val="24"/>
          <w:vertAlign w:val="superscript"/>
        </w:rPr>
        <w:t>14</w:t>
      </w:r>
      <w:r w:rsidRPr="00D97DC5">
        <w:rPr>
          <w:rFonts w:ascii="Times New Roman" w:hAnsi="Times New Roman" w:cs="Times New Roman"/>
          <w:b/>
          <w:sz w:val="24"/>
          <w:szCs w:val="24"/>
        </w:rPr>
        <w:t>C age and environmental change from the recent sediments in Lake Shira, Russia</w:t>
      </w:r>
    </w:p>
    <w:p w14:paraId="2B76EAD9" w14:textId="77777777" w:rsidR="000150D5" w:rsidRPr="00D97DC5" w:rsidRDefault="000150D5" w:rsidP="000150D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97DC5">
        <w:rPr>
          <w:rFonts w:ascii="Times New Roman" w:hAnsi="Times New Roman" w:cs="Times New Roman"/>
          <w:sz w:val="24"/>
          <w:szCs w:val="24"/>
          <w:lang w:val="en-US"/>
        </w:rPr>
        <w:t>Satabdi Misra</w:t>
      </w:r>
      <w:r w:rsidRPr="00D97D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D97DC5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D97DC5">
        <w:rPr>
          <w:rFonts w:ascii="Times New Roman" w:hAnsi="Times New Roman" w:cs="Times New Roman"/>
          <w:sz w:val="24"/>
          <w:szCs w:val="24"/>
          <w:lang w:val="en-US"/>
        </w:rPr>
        <w:t>, Dilyara Kuzina</w:t>
      </w:r>
      <w:r w:rsidRPr="00D97D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D97DC5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D97DC5">
        <w:rPr>
          <w:rFonts w:ascii="Times New Roman" w:hAnsi="Times New Roman" w:cs="Times New Roman"/>
          <w:sz w:val="24"/>
          <w:szCs w:val="24"/>
          <w:lang w:val="en-US"/>
        </w:rPr>
        <w:t>, Tzu-Tsen Shen</w:t>
      </w:r>
      <w:r w:rsidRPr="00D97D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D97DC5">
        <w:rPr>
          <w:rFonts w:ascii="Times New Roman" w:hAnsi="Times New Roman" w:cs="Times New Roman"/>
          <w:sz w:val="24"/>
          <w:szCs w:val="24"/>
          <w:lang w:val="en-US"/>
        </w:rPr>
        <w:t>, Chun-Yen Chou</w:t>
      </w:r>
      <w:r w:rsidRPr="00D97D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D97DC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14:paraId="0C1C404F" w14:textId="77777777" w:rsidR="000150D5" w:rsidRPr="00D97DC5" w:rsidRDefault="000150D5" w:rsidP="000150D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97DC5">
        <w:rPr>
          <w:rFonts w:ascii="Times New Roman" w:hAnsi="Times New Roman" w:cs="Times New Roman"/>
          <w:sz w:val="24"/>
          <w:szCs w:val="24"/>
          <w:lang w:val="en-US"/>
        </w:rPr>
        <w:t>Anastasiya Yusupova</w:t>
      </w:r>
      <w:r w:rsidRPr="00D97D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D97DC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72759" w:rsidRPr="00D97DC5">
        <w:rPr>
          <w:rFonts w:ascii="Times New Roman" w:hAnsi="Times New Roman" w:cs="Times New Roman"/>
          <w:sz w:val="24"/>
          <w:szCs w:val="24"/>
          <w:lang w:val="en-US"/>
        </w:rPr>
        <w:t>Pavel</w:t>
      </w:r>
      <w:r w:rsidR="006C1C57" w:rsidRPr="00D97DC5">
        <w:rPr>
          <w:rFonts w:ascii="Times New Roman" w:hAnsi="Times New Roman" w:cs="Times New Roman"/>
          <w:sz w:val="24"/>
          <w:szCs w:val="24"/>
          <w:lang w:val="en-US"/>
        </w:rPr>
        <w:t xml:space="preserve"> Krylov</w:t>
      </w:r>
      <w:r w:rsidR="00D72759" w:rsidRPr="00D97D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D72759" w:rsidRPr="00D97DC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97DC5">
        <w:rPr>
          <w:rFonts w:ascii="Times New Roman" w:hAnsi="Times New Roman" w:cs="Times New Roman"/>
          <w:sz w:val="24"/>
          <w:szCs w:val="24"/>
          <w:lang w:val="en-US"/>
        </w:rPr>
        <w:t>Danis Nurgaliev</w:t>
      </w:r>
      <w:r w:rsidRPr="00D97D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D97DC5">
        <w:rPr>
          <w:rFonts w:ascii="Times New Roman" w:hAnsi="Times New Roman" w:cs="Times New Roman"/>
          <w:sz w:val="24"/>
          <w:szCs w:val="24"/>
          <w:lang w:val="en-US"/>
        </w:rPr>
        <w:t>, Hong-Chun Li</w:t>
      </w:r>
      <w:r w:rsidRPr="00D97D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1, 3</w:t>
      </w:r>
      <w:r w:rsidRPr="00D97DC5">
        <w:rPr>
          <w:rFonts w:ascii="Times New Roman" w:hAnsi="Times New Roman" w:cs="Times New Roman"/>
          <w:sz w:val="24"/>
          <w:szCs w:val="24"/>
          <w:lang w:val="en-US"/>
        </w:rPr>
        <w:t>*</w:t>
      </w:r>
    </w:p>
    <w:p w14:paraId="32DBBB87" w14:textId="77777777" w:rsidR="000150D5" w:rsidRPr="00D97DC5" w:rsidRDefault="000150D5" w:rsidP="000150D5">
      <w:pPr>
        <w:spacing w:line="360" w:lineRule="auto"/>
        <w:jc w:val="both"/>
        <w:rPr>
          <w:rFonts w:ascii="Times New Roman" w:eastAsia="DFKai-SB" w:hAnsi="Times New Roman" w:cs="Times New Roman"/>
          <w:sz w:val="24"/>
          <w:szCs w:val="24"/>
        </w:rPr>
      </w:pPr>
      <w:r w:rsidRPr="00D97DC5">
        <w:rPr>
          <w:rFonts w:ascii="Times New Roman" w:eastAsia="DFKai-SB" w:hAnsi="Times New Roman" w:cs="Times New Roman"/>
          <w:sz w:val="24"/>
          <w:szCs w:val="24"/>
          <w:vertAlign w:val="superscript"/>
        </w:rPr>
        <w:t>1</w:t>
      </w:r>
      <w:r w:rsidRPr="00D97DC5">
        <w:rPr>
          <w:rFonts w:ascii="Times New Roman" w:eastAsia="DFKai-SB" w:hAnsi="Times New Roman" w:cs="Times New Roman"/>
          <w:sz w:val="24"/>
          <w:szCs w:val="24"/>
        </w:rPr>
        <w:t>Department of Geosciences, National Taiwan University, Taipei 10617, Taiwan, ROC</w:t>
      </w:r>
    </w:p>
    <w:p w14:paraId="32B5FB4E" w14:textId="77777777" w:rsidR="000150D5" w:rsidRPr="00D97DC5" w:rsidRDefault="000150D5" w:rsidP="000150D5">
      <w:pPr>
        <w:spacing w:line="360" w:lineRule="auto"/>
        <w:jc w:val="both"/>
        <w:rPr>
          <w:rFonts w:ascii="Times New Roman" w:eastAsia="DFKai-SB" w:hAnsi="Times New Roman" w:cs="Times New Roman"/>
          <w:sz w:val="24"/>
          <w:szCs w:val="24"/>
        </w:rPr>
      </w:pPr>
      <w:r w:rsidRPr="00D97DC5">
        <w:rPr>
          <w:rFonts w:ascii="Times New Roman" w:eastAsia="DFKai-SB" w:hAnsi="Times New Roman" w:cs="Times New Roman"/>
          <w:sz w:val="24"/>
          <w:szCs w:val="24"/>
          <w:vertAlign w:val="superscript"/>
          <w:lang w:val="en-US"/>
        </w:rPr>
        <w:t>2</w:t>
      </w:r>
      <w:r w:rsidRPr="00D97DC5">
        <w:rPr>
          <w:rFonts w:ascii="Times New Roman" w:eastAsia="DFKai-SB" w:hAnsi="Times New Roman" w:cs="Times New Roman"/>
          <w:sz w:val="24"/>
          <w:szCs w:val="24"/>
        </w:rPr>
        <w:t>Department of Geophysics and Geoinformation Technologies, Kazan (Volga Region) Federal University</w:t>
      </w:r>
      <w:r w:rsidRPr="00D97DC5">
        <w:rPr>
          <w:rFonts w:ascii="Times New Roman" w:eastAsia="DFKai-SB" w:hAnsi="Times New Roman" w:cs="Times New Roman" w:hint="eastAsia"/>
          <w:sz w:val="24"/>
          <w:szCs w:val="24"/>
        </w:rPr>
        <w:t xml:space="preserve">, </w:t>
      </w:r>
      <w:r w:rsidRPr="00D97DC5">
        <w:rPr>
          <w:rFonts w:ascii="Times New Roman" w:eastAsia="DFKai-SB" w:hAnsi="Times New Roman" w:cs="Times New Roman"/>
          <w:sz w:val="24"/>
          <w:szCs w:val="24"/>
        </w:rPr>
        <w:t>Kazan 420008, Russia</w:t>
      </w:r>
    </w:p>
    <w:p w14:paraId="0A76A596" w14:textId="77777777" w:rsidR="000150D5" w:rsidRPr="00D97DC5" w:rsidRDefault="000150D5" w:rsidP="000150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7DC5">
        <w:rPr>
          <w:rFonts w:ascii="Times New Roman" w:eastAsia="DFKai-SB" w:hAnsi="Times New Roman" w:cs="Times New Roman"/>
          <w:sz w:val="24"/>
          <w:szCs w:val="24"/>
          <w:vertAlign w:val="superscript"/>
          <w:lang w:val="en-US"/>
        </w:rPr>
        <w:t>3</w:t>
      </w:r>
      <w:r w:rsidRPr="00D97DC5">
        <w:rPr>
          <w:rFonts w:ascii="Times New Roman" w:eastAsia="DFKai-SB" w:hAnsi="Times New Roman" w:cs="Times New Roman"/>
          <w:sz w:val="24"/>
          <w:szCs w:val="24"/>
          <w:lang w:val="en-US"/>
        </w:rPr>
        <w:t>Frontiers Science Center for Deep Ocean</w:t>
      </w:r>
      <w:r w:rsidRPr="00D97DC5">
        <w:rPr>
          <w:rFonts w:ascii="Times New Roman" w:eastAsia="DFKai-SB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Pr="00D97DC5">
        <w:rPr>
          <w:rFonts w:ascii="Times New Roman" w:eastAsia="DFKai-SB" w:hAnsi="Times New Roman" w:cs="Times New Roman"/>
          <w:sz w:val="24"/>
          <w:szCs w:val="24"/>
          <w:lang w:val="en-US"/>
        </w:rPr>
        <w:t>Multispheres</w:t>
      </w:r>
      <w:proofErr w:type="spellEnd"/>
      <w:r w:rsidRPr="00D97DC5">
        <w:rPr>
          <w:rFonts w:ascii="Times New Roman" w:eastAsia="DFKai-SB" w:hAnsi="Times New Roman" w:cs="Times New Roman"/>
          <w:sz w:val="24"/>
          <w:szCs w:val="24"/>
          <w:lang w:val="en-US"/>
        </w:rPr>
        <w:t xml:space="preserve"> and Earth System, and Key Laboratory of Marine Chemistry Theory and Technology, Ministry of Education,</w:t>
      </w:r>
      <w:r w:rsidRPr="00D97DC5">
        <w:rPr>
          <w:rFonts w:ascii="Times New Roman" w:eastAsia="DFKai-SB" w:hAnsi="Times New Roman" w:cs="Times New Roman" w:hint="eastAsia"/>
          <w:sz w:val="24"/>
          <w:szCs w:val="24"/>
          <w:lang w:val="en-US"/>
        </w:rPr>
        <w:t xml:space="preserve"> </w:t>
      </w:r>
      <w:r w:rsidRPr="00D97DC5">
        <w:rPr>
          <w:rFonts w:ascii="Times New Roman" w:eastAsia="DFKai-SB" w:hAnsi="Times New Roman" w:cs="Times New Roman"/>
          <w:sz w:val="24"/>
          <w:szCs w:val="24"/>
          <w:lang w:val="en-US"/>
        </w:rPr>
        <w:t>Ocean University of China, Qingdao, China</w:t>
      </w:r>
      <w:r w:rsidRPr="00D97DC5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</w:p>
    <w:p w14:paraId="04BB16D8" w14:textId="77777777" w:rsidR="000150D5" w:rsidRPr="00D97DC5" w:rsidRDefault="000150D5" w:rsidP="000150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7DC5">
        <w:rPr>
          <w:rFonts w:ascii="Times New Roman" w:hAnsi="Times New Roman" w:cs="Times New Roman" w:hint="eastAsia"/>
          <w:b/>
          <w:sz w:val="24"/>
          <w:szCs w:val="24"/>
        </w:rPr>
        <w:t>Supplement materials</w:t>
      </w:r>
    </w:p>
    <w:p w14:paraId="1867FFCD" w14:textId="77777777" w:rsidR="00844E8A" w:rsidRPr="00D97DC5" w:rsidRDefault="000150D5" w:rsidP="00A656E8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DC5">
        <w:rPr>
          <w:rFonts w:ascii="Times New Roman" w:hAnsi="Times New Roman" w:cs="Times New Roman"/>
          <w:sz w:val="24"/>
          <w:szCs w:val="24"/>
        </w:rPr>
        <w:t>Table S1: Activi</w:t>
      </w:r>
      <w:r w:rsidR="00650CB7" w:rsidRPr="00D97DC5">
        <w:rPr>
          <w:rFonts w:ascii="Times New Roman" w:hAnsi="Times New Roman" w:cs="Times New Roman"/>
          <w:sz w:val="24"/>
          <w:szCs w:val="24"/>
        </w:rPr>
        <w:t xml:space="preserve">ties of measured nuclides by </w:t>
      </w:r>
      <w:r w:rsidRPr="00D97DC5">
        <w:rPr>
          <w:rFonts w:ascii="Times New Roman" w:hAnsi="Times New Roman" w:cs="Times New Roman"/>
          <w:sz w:val="24"/>
          <w:szCs w:val="24"/>
        </w:rPr>
        <w:t xml:space="preserve">gamma </w:t>
      </w:r>
      <w:r w:rsidR="00206BDF" w:rsidRPr="00D97DC5">
        <w:rPr>
          <w:rFonts w:ascii="Times New Roman" w:hAnsi="Times New Roman" w:cs="Times New Roman"/>
          <w:sz w:val="24"/>
          <w:szCs w:val="24"/>
        </w:rPr>
        <w:t>spectrometry in Shira GC4. A</w:t>
      </w:r>
      <w:r w:rsidRPr="00D97DC5">
        <w:rPr>
          <w:rFonts w:ascii="Times New Roman" w:hAnsi="Times New Roman" w:cs="Times New Roman"/>
          <w:sz w:val="24"/>
          <w:szCs w:val="24"/>
        </w:rPr>
        <w:t>ge</w:t>
      </w:r>
      <w:r w:rsidR="00206BDF" w:rsidRPr="00D97DC5">
        <w:rPr>
          <w:rFonts w:ascii="Times New Roman" w:hAnsi="Times New Roman" w:cs="Times New Roman"/>
          <w:sz w:val="24"/>
          <w:szCs w:val="24"/>
        </w:rPr>
        <w:t>s were</w:t>
      </w:r>
      <w:r w:rsidRPr="00D97DC5">
        <w:rPr>
          <w:rFonts w:ascii="Times New Roman" w:hAnsi="Times New Roman" w:cs="Times New Roman"/>
          <w:sz w:val="24"/>
          <w:szCs w:val="24"/>
        </w:rPr>
        <w:t xml:space="preserve"> determined </w:t>
      </w:r>
      <w:r w:rsidR="00206BDF" w:rsidRPr="00D97DC5">
        <w:rPr>
          <w:rFonts w:ascii="Times New Roman" w:hAnsi="Times New Roman" w:cs="Times New Roman"/>
          <w:sz w:val="24"/>
          <w:szCs w:val="24"/>
        </w:rPr>
        <w:t xml:space="preserve">assuming a </w:t>
      </w:r>
      <w:r w:rsidR="008231FC" w:rsidRPr="00D97DC5">
        <w:rPr>
          <w:rFonts w:ascii="Times New Roman" w:hAnsi="Times New Roman" w:cs="Times New Roman"/>
          <w:sz w:val="24"/>
          <w:szCs w:val="24"/>
        </w:rPr>
        <w:t xml:space="preserve">constant rate of supply </w:t>
      </w:r>
      <w:r w:rsidRPr="00D97DC5">
        <w:rPr>
          <w:rFonts w:ascii="Times New Roman" w:hAnsi="Times New Roman" w:cs="Times New Roman"/>
          <w:sz w:val="24"/>
          <w:szCs w:val="24"/>
        </w:rPr>
        <w:t xml:space="preserve">model of </w:t>
      </w:r>
      <w:r w:rsidRPr="00D97DC5">
        <w:rPr>
          <w:rFonts w:ascii="Times New Roman" w:hAnsi="Times New Roman" w:cs="Times New Roman"/>
          <w:sz w:val="24"/>
          <w:szCs w:val="24"/>
          <w:vertAlign w:val="superscript"/>
        </w:rPr>
        <w:t>210</w:t>
      </w:r>
      <w:r w:rsidRPr="00D97DC5">
        <w:rPr>
          <w:rFonts w:ascii="Times New Roman" w:hAnsi="Times New Roman" w:cs="Times New Roman"/>
          <w:sz w:val="24"/>
          <w:szCs w:val="24"/>
        </w:rPr>
        <w:t>Pb dating.</w:t>
      </w:r>
      <w:r w:rsidR="00F347FC" w:rsidRPr="00D97DC5">
        <w:rPr>
          <w:rFonts w:ascii="Times New Roman" w:hAnsi="Times New Roman" w:cs="Times New Roman"/>
          <w:sz w:val="24"/>
          <w:szCs w:val="24"/>
        </w:rPr>
        <w:t xml:space="preserve"> </w:t>
      </w:r>
      <w:r w:rsidR="00F347FC" w:rsidRPr="00D97DC5">
        <w:rPr>
          <w:rFonts w:ascii="Times New Roman" w:hAnsi="Times New Roman" w:cs="Times New Roman"/>
          <w:sz w:val="24"/>
          <w:szCs w:val="24"/>
          <w:vertAlign w:val="superscript"/>
        </w:rPr>
        <w:t>226</w:t>
      </w:r>
      <w:r w:rsidR="00D2438D" w:rsidRPr="00D97DC5">
        <w:rPr>
          <w:rFonts w:ascii="Times New Roman" w:hAnsi="Times New Roman" w:cs="Times New Roman"/>
          <w:sz w:val="24"/>
          <w:szCs w:val="24"/>
        </w:rPr>
        <w:t>Ra activities were</w:t>
      </w:r>
      <w:r w:rsidR="00F347FC" w:rsidRPr="00D97DC5">
        <w:rPr>
          <w:rFonts w:ascii="Times New Roman" w:hAnsi="Times New Roman" w:cs="Times New Roman"/>
          <w:sz w:val="24"/>
          <w:szCs w:val="24"/>
        </w:rPr>
        <w:t xml:space="preserve"> determined by </w:t>
      </w:r>
      <w:r w:rsidR="00F347FC" w:rsidRPr="00D97DC5">
        <w:rPr>
          <w:rFonts w:ascii="Times New Roman" w:hAnsi="Times New Roman" w:cs="Times New Roman"/>
          <w:sz w:val="24"/>
          <w:szCs w:val="24"/>
          <w:vertAlign w:val="superscript"/>
        </w:rPr>
        <w:t>214</w:t>
      </w:r>
      <w:r w:rsidR="00F347FC" w:rsidRPr="00D97DC5">
        <w:rPr>
          <w:rFonts w:ascii="Times New Roman" w:hAnsi="Times New Roman" w:cs="Times New Roman"/>
          <w:sz w:val="24"/>
          <w:szCs w:val="24"/>
        </w:rPr>
        <w:t>Pb activity at 35</w:t>
      </w:r>
      <w:r w:rsidR="00A2654A" w:rsidRPr="00D97DC5">
        <w:rPr>
          <w:rFonts w:ascii="Times New Roman" w:hAnsi="Times New Roman" w:cs="Times New Roman"/>
          <w:sz w:val="24"/>
          <w:szCs w:val="24"/>
        </w:rPr>
        <w:t>3</w:t>
      </w:r>
      <w:r w:rsidR="00F347FC" w:rsidRPr="00D97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7FC" w:rsidRPr="00D97DC5">
        <w:rPr>
          <w:rFonts w:ascii="Times New Roman" w:hAnsi="Times New Roman" w:cs="Times New Roman"/>
          <w:sz w:val="24"/>
          <w:szCs w:val="24"/>
        </w:rPr>
        <w:t>kev</w:t>
      </w:r>
      <w:proofErr w:type="spellEnd"/>
      <w:r w:rsidR="00016CEC" w:rsidRPr="00D97DC5">
        <w:rPr>
          <w:rFonts w:ascii="Times New Roman" w:hAnsi="Times New Roman" w:cs="Times New Roman"/>
          <w:sz w:val="24"/>
          <w:szCs w:val="24"/>
        </w:rPr>
        <w:t xml:space="preserve"> on </w:t>
      </w:r>
      <w:r w:rsidR="002718B8" w:rsidRPr="00D97DC5">
        <w:rPr>
          <w:rFonts w:ascii="Times New Roman" w:hAnsi="Times New Roman" w:cs="Times New Roman"/>
          <w:sz w:val="24"/>
          <w:szCs w:val="24"/>
        </w:rPr>
        <w:t>a</w:t>
      </w:r>
      <w:r w:rsidR="00825B58" w:rsidRPr="00D97DC5">
        <w:rPr>
          <w:rFonts w:ascii="Times New Roman" w:hAnsi="Times New Roman" w:cs="Times New Roman"/>
          <w:sz w:val="24"/>
          <w:szCs w:val="24"/>
        </w:rPr>
        <w:t xml:space="preserve"> gamma spectrometer</w:t>
      </w:r>
      <w:r w:rsidR="00F347FC" w:rsidRPr="00D97DC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CD1474" w14:textId="77777777" w:rsidR="000150D5" w:rsidRPr="00D97DC5" w:rsidRDefault="00E1030F" w:rsidP="000150D5">
      <w:pPr>
        <w:snapToGri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DC5">
        <w:rPr>
          <w:noProof/>
          <w:lang w:eastAsia="zh-TW"/>
        </w:rPr>
        <w:drawing>
          <wp:inline distT="0" distB="0" distL="0" distR="0" wp14:anchorId="41F03445" wp14:editId="37122311">
            <wp:extent cx="5731510" cy="2168525"/>
            <wp:effectExtent l="0" t="0" r="254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69872" w14:textId="77777777" w:rsidR="00CB3B05" w:rsidRPr="00D97DC5" w:rsidRDefault="004A65B1" w:rsidP="00440C95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7DC5"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lastRenderedPageBreak/>
        <w:drawing>
          <wp:inline distT="0" distB="0" distL="0" distR="0" wp14:anchorId="4DD82183" wp14:editId="778A6C5D">
            <wp:extent cx="4389156" cy="2874433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1 lake stratificati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995" cy="287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31799" w14:textId="77777777" w:rsidR="000150D5" w:rsidRPr="00D97DC5" w:rsidRDefault="000150D5" w:rsidP="000150D5">
      <w:pPr>
        <w:snapToGri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8CF550" w14:textId="77777777" w:rsidR="000150D5" w:rsidRPr="00D97DC5" w:rsidRDefault="000150D5" w:rsidP="00706DAA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DC5">
        <w:rPr>
          <w:rFonts w:ascii="Times New Roman" w:hAnsi="Times New Roman" w:cs="Times New Roman" w:hint="eastAsia"/>
          <w:sz w:val="24"/>
          <w:szCs w:val="24"/>
        </w:rPr>
        <w:t>Fig. S</w:t>
      </w:r>
      <w:r w:rsidR="00DA2826" w:rsidRPr="00D97DC5">
        <w:rPr>
          <w:rFonts w:ascii="Times New Roman" w:hAnsi="Times New Roman" w:cs="Times New Roman"/>
          <w:sz w:val="24"/>
          <w:szCs w:val="24"/>
        </w:rPr>
        <w:t>1</w:t>
      </w:r>
      <w:r w:rsidRPr="00D97DC5">
        <w:rPr>
          <w:rFonts w:ascii="Times New Roman" w:hAnsi="Times New Roman" w:cs="Times New Roman" w:hint="eastAsia"/>
          <w:sz w:val="24"/>
          <w:szCs w:val="24"/>
        </w:rPr>
        <w:t xml:space="preserve">: </w:t>
      </w:r>
      <w:r w:rsidR="00D86A67" w:rsidRPr="00D97DC5">
        <w:rPr>
          <w:rFonts w:ascii="Times New Roman" w:hAnsi="Times New Roman" w:cs="Times New Roman"/>
          <w:sz w:val="24"/>
          <w:szCs w:val="24"/>
        </w:rPr>
        <w:t>Definitions of chemical and thermal stratifications in a lake (</w:t>
      </w:r>
      <w:r w:rsidR="00594806" w:rsidRPr="00D97DC5">
        <w:rPr>
          <w:rFonts w:ascii="Times New Roman" w:hAnsi="Times New Roman" w:cs="Times New Roman"/>
          <w:sz w:val="24"/>
          <w:szCs w:val="24"/>
        </w:rPr>
        <w:t xml:space="preserve">modified from an online figure </w:t>
      </w:r>
      <w:hyperlink r:id="rId8" w:history="1">
        <w:r w:rsidR="00F347FC" w:rsidRPr="00D97DC5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https://www.geo.arizona.edu/antevs/nats104/00lect17laklifzon.html</w:t>
        </w:r>
      </w:hyperlink>
      <w:r w:rsidR="00594806" w:rsidRPr="00D97DC5">
        <w:rPr>
          <w:rFonts w:ascii="Times New Roman" w:hAnsi="Times New Roman" w:cs="Times New Roman"/>
          <w:sz w:val="24"/>
          <w:szCs w:val="24"/>
        </w:rPr>
        <w:t>)</w:t>
      </w:r>
      <w:r w:rsidRPr="00D97DC5">
        <w:rPr>
          <w:rFonts w:ascii="Times New Roman" w:hAnsi="Times New Roman" w:cs="Times New Roman"/>
          <w:sz w:val="24"/>
          <w:szCs w:val="24"/>
        </w:rPr>
        <w:t>.</w:t>
      </w:r>
      <w:r w:rsidR="00F347FC" w:rsidRPr="00D97DC5">
        <w:rPr>
          <w:rFonts w:ascii="Times New Roman" w:hAnsi="Times New Roman" w:cs="Times New Roman"/>
          <w:sz w:val="24"/>
          <w:szCs w:val="24"/>
        </w:rPr>
        <w:t xml:space="preserve"> PSB stands for purple sulphur</w:t>
      </w:r>
      <w:r w:rsidR="00F347FC" w:rsidRPr="00D97DC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347FC" w:rsidRPr="00D97DC5">
        <w:rPr>
          <w:rFonts w:ascii="Times New Roman" w:hAnsi="Times New Roman" w:cs="Times New Roman"/>
          <w:sz w:val="24"/>
          <w:szCs w:val="24"/>
        </w:rPr>
        <w:t>bacteria which lives on the bottom of the lake.</w:t>
      </w:r>
    </w:p>
    <w:p w14:paraId="00ABE8C4" w14:textId="77777777" w:rsidR="00DA2826" w:rsidRPr="00D97DC5" w:rsidRDefault="00DA2826" w:rsidP="000150D5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0D4D7D" w14:textId="77777777" w:rsidR="00570668" w:rsidRPr="00D97DC5" w:rsidRDefault="00570668" w:rsidP="00570668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7DC5">
        <w:rPr>
          <w:rFonts w:ascii="Times New Roman" w:hAnsi="Times New Roman" w:cs="Times New Roman"/>
          <w:noProof/>
          <w:sz w:val="24"/>
          <w:szCs w:val="24"/>
          <w:lang w:eastAsia="zh-TW"/>
        </w:rPr>
        <w:drawing>
          <wp:inline distT="0" distB="0" distL="0" distR="0" wp14:anchorId="146C1A75" wp14:editId="123FB8EC">
            <wp:extent cx="3297767" cy="2835218"/>
            <wp:effectExtent l="0" t="0" r="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 S2 Fm and Fatm comparis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580" cy="28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2ADA5" w14:textId="77777777" w:rsidR="00570668" w:rsidRPr="00D97DC5" w:rsidRDefault="00570668" w:rsidP="00570668">
      <w:pPr>
        <w:snapToGrid w:val="0"/>
        <w:spacing w:beforeLines="50"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7DC5">
        <w:rPr>
          <w:rFonts w:ascii="Times New Roman" w:hAnsi="Times New Roman" w:cs="Times New Roman" w:hint="eastAsia"/>
          <w:sz w:val="24"/>
          <w:szCs w:val="24"/>
        </w:rPr>
        <w:t>Fig. S</w:t>
      </w:r>
      <w:r w:rsidRPr="00D97DC5">
        <w:rPr>
          <w:rFonts w:ascii="Times New Roman" w:hAnsi="Times New Roman" w:cs="Times New Roman"/>
          <w:sz w:val="24"/>
          <w:szCs w:val="24"/>
        </w:rPr>
        <w:t xml:space="preserve">2: </w:t>
      </w:r>
      <w:r w:rsidRPr="00D97DC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97DC5">
        <w:rPr>
          <w:rFonts w:ascii="Times New Roman" w:hAnsi="Times New Roman" w:cs="Times New Roman"/>
          <w:sz w:val="24"/>
          <w:szCs w:val="24"/>
        </w:rPr>
        <w:t>Comparison of F</w:t>
      </w:r>
      <w:r w:rsidRPr="00D97DC5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D97DC5">
        <w:rPr>
          <w:rFonts w:ascii="Times New Roman" w:hAnsi="Times New Roman" w:cs="Times New Roman"/>
          <w:sz w:val="24"/>
          <w:szCs w:val="24"/>
        </w:rPr>
        <w:t xml:space="preserve"> (fraction of modern </w:t>
      </w:r>
      <w:r w:rsidRPr="00D97DC5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Pr="00D97DC5">
        <w:rPr>
          <w:rFonts w:ascii="Times New Roman" w:hAnsi="Times New Roman" w:cs="Times New Roman"/>
          <w:sz w:val="24"/>
          <w:szCs w:val="24"/>
        </w:rPr>
        <w:t xml:space="preserve">C) of the organic carbon in Shira GC4 sediments with the </w:t>
      </w:r>
      <w:r w:rsidRPr="00D97DC5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Pr="00D97DC5">
        <w:rPr>
          <w:rFonts w:ascii="Times New Roman" w:hAnsi="Times New Roman" w:cs="Times New Roman"/>
          <w:sz w:val="24"/>
          <w:szCs w:val="24"/>
        </w:rPr>
        <w:t xml:space="preserve">C activity </w:t>
      </w:r>
      <w:r w:rsidR="008E30C6" w:rsidRPr="00D97DC5">
        <w:rPr>
          <w:rFonts w:ascii="Times New Roman" w:hAnsi="Times New Roman" w:cs="Times New Roman"/>
          <w:sz w:val="24"/>
          <w:szCs w:val="24"/>
        </w:rPr>
        <w:t>of</w:t>
      </w:r>
      <w:r w:rsidRPr="00D97DC5">
        <w:rPr>
          <w:rFonts w:ascii="Times New Roman" w:hAnsi="Times New Roman" w:cs="Times New Roman"/>
          <w:sz w:val="24"/>
          <w:szCs w:val="24"/>
        </w:rPr>
        <w:t xml:space="preserve"> atmospheric CO</w:t>
      </w:r>
      <w:r w:rsidRPr="00D97DC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97DC5">
        <w:rPr>
          <w:rFonts w:ascii="Times New Roman" w:hAnsi="Times New Roman" w:cs="Times New Roman"/>
          <w:sz w:val="24"/>
          <w:szCs w:val="24"/>
        </w:rPr>
        <w:t xml:space="preserve"> which is </w:t>
      </w:r>
      <w:r w:rsidR="00C26638" w:rsidRPr="00D97DC5">
        <w:rPr>
          <w:rFonts w:ascii="Times New Roman" w:hAnsi="Times New Roman" w:cs="Times New Roman"/>
          <w:sz w:val="24"/>
          <w:szCs w:val="24"/>
        </w:rPr>
        <w:t xml:space="preserve">inferred from </w:t>
      </w:r>
      <w:r w:rsidRPr="00D97DC5">
        <w:rPr>
          <w:rFonts w:ascii="Times New Roman" w:hAnsi="Times New Roman" w:cs="Times New Roman"/>
          <w:sz w:val="24"/>
          <w:szCs w:val="24"/>
        </w:rPr>
        <w:t>tree ring measurement</w:t>
      </w:r>
      <w:r w:rsidR="007C65AF" w:rsidRPr="00D97DC5">
        <w:rPr>
          <w:rFonts w:ascii="Times New Roman" w:hAnsi="Times New Roman" w:cs="Times New Roman"/>
          <w:sz w:val="24"/>
          <w:szCs w:val="24"/>
        </w:rPr>
        <w:t>s</w:t>
      </w:r>
      <w:r w:rsidRPr="00D97DC5">
        <w:rPr>
          <w:rFonts w:ascii="Times New Roman" w:hAnsi="Times New Roman" w:cs="Times New Roman"/>
          <w:sz w:val="24"/>
          <w:szCs w:val="24"/>
        </w:rPr>
        <w:t xml:space="preserve"> (Hua et al. 2013). The calendar year of the core is determined by </w:t>
      </w:r>
      <w:r w:rsidRPr="00D97DC5">
        <w:rPr>
          <w:rFonts w:ascii="Times New Roman" w:hAnsi="Times New Roman" w:cs="Times New Roman"/>
          <w:sz w:val="24"/>
          <w:szCs w:val="24"/>
          <w:vertAlign w:val="superscript"/>
        </w:rPr>
        <w:t>137</w:t>
      </w:r>
      <w:r w:rsidRPr="00D97DC5">
        <w:rPr>
          <w:rFonts w:ascii="Times New Roman" w:hAnsi="Times New Roman" w:cs="Times New Roman"/>
          <w:sz w:val="24"/>
          <w:szCs w:val="24"/>
        </w:rPr>
        <w:t xml:space="preserve">Cs dating and the historic lake level (see text for explanation). A to E </w:t>
      </w:r>
      <w:proofErr w:type="gramStart"/>
      <w:r w:rsidRPr="00D97DC5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Pr="00D97DC5">
        <w:rPr>
          <w:rFonts w:ascii="Times New Roman" w:hAnsi="Times New Roman" w:cs="Times New Roman"/>
          <w:sz w:val="24"/>
          <w:szCs w:val="24"/>
        </w:rPr>
        <w:t xml:space="preserve"> the selected </w:t>
      </w:r>
      <w:r w:rsidRPr="00D97DC5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Pr="00D97DC5">
        <w:rPr>
          <w:rFonts w:ascii="Times New Roman" w:hAnsi="Times New Roman" w:cs="Times New Roman"/>
          <w:sz w:val="24"/>
          <w:szCs w:val="24"/>
        </w:rPr>
        <w:t xml:space="preserve">C ages with </w:t>
      </w:r>
      <w:r w:rsidR="0016696B" w:rsidRPr="00D97DC5">
        <w:rPr>
          <w:rFonts w:ascii="Times New Roman" w:hAnsi="Times New Roman" w:cs="Times New Roman"/>
          <w:sz w:val="24"/>
          <w:szCs w:val="24"/>
        </w:rPr>
        <w:t>minimal</w:t>
      </w:r>
      <w:r w:rsidRPr="00D97DC5">
        <w:rPr>
          <w:rFonts w:ascii="Times New Roman" w:hAnsi="Times New Roman" w:cs="Times New Roman"/>
          <w:sz w:val="24"/>
          <w:szCs w:val="24"/>
        </w:rPr>
        <w:t xml:space="preserve"> OCI for estimating</w:t>
      </w:r>
      <w:r w:rsidR="0016696B" w:rsidRPr="00D97DC5">
        <w:rPr>
          <w:rFonts w:ascii="Times New Roman" w:hAnsi="Times New Roman" w:cs="Times New Roman"/>
          <w:sz w:val="24"/>
          <w:szCs w:val="24"/>
        </w:rPr>
        <w:t xml:space="preserve"> the</w:t>
      </w:r>
      <w:r w:rsidRPr="00D97DC5">
        <w:rPr>
          <w:rFonts w:ascii="Times New Roman" w:hAnsi="Times New Roman" w:cs="Times New Roman"/>
          <w:sz w:val="24"/>
          <w:szCs w:val="24"/>
        </w:rPr>
        <w:t xml:space="preserve"> old carbon influence, and the conventional </w:t>
      </w:r>
      <w:r w:rsidRPr="00D97DC5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Pr="00D97DC5">
        <w:rPr>
          <w:rFonts w:ascii="Times New Roman" w:hAnsi="Times New Roman" w:cs="Times New Roman"/>
          <w:sz w:val="24"/>
          <w:szCs w:val="24"/>
        </w:rPr>
        <w:t>C ages (yr BP) of these points are shown by the number near the red curve.</w:t>
      </w:r>
    </w:p>
    <w:p w14:paraId="47AC7433" w14:textId="77777777" w:rsidR="008A4B83" w:rsidRPr="00D97DC5" w:rsidRDefault="00CB2C61" w:rsidP="000150D5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DC5">
        <w:rPr>
          <w:rFonts w:ascii="Times New Roman" w:hAnsi="Times New Roman" w:cs="Times New Roman"/>
          <w:noProof/>
          <w:sz w:val="24"/>
          <w:szCs w:val="24"/>
          <w:lang w:eastAsia="zh-TW"/>
        </w:rPr>
        <w:lastRenderedPageBreak/>
        <w:drawing>
          <wp:inline distT="0" distB="0" distL="0" distR="0" wp14:anchorId="31A5F4FA" wp14:editId="46B3D9FC">
            <wp:extent cx="5731510" cy="344995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S3 Shira Carotenoid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29986" w14:textId="77777777" w:rsidR="008A4B83" w:rsidRPr="00D97DC5" w:rsidRDefault="008A4B83" w:rsidP="008A4B83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DC5">
        <w:rPr>
          <w:rFonts w:ascii="Times New Roman" w:hAnsi="Times New Roman" w:cs="Times New Roman" w:hint="eastAsia"/>
          <w:sz w:val="24"/>
          <w:szCs w:val="24"/>
        </w:rPr>
        <w:t>Fig. S</w:t>
      </w:r>
      <w:r w:rsidR="00570668" w:rsidRPr="00D97DC5">
        <w:rPr>
          <w:rFonts w:ascii="Times New Roman" w:hAnsi="Times New Roman" w:cs="Times New Roman"/>
          <w:sz w:val="24"/>
          <w:szCs w:val="24"/>
        </w:rPr>
        <w:t>3</w:t>
      </w:r>
      <w:r w:rsidRPr="00D97DC5">
        <w:rPr>
          <w:rFonts w:ascii="Times New Roman" w:hAnsi="Times New Roman" w:cs="Times New Roman"/>
          <w:sz w:val="24"/>
          <w:szCs w:val="24"/>
        </w:rPr>
        <w:t xml:space="preserve">: Comparison of TOC </w:t>
      </w:r>
      <w:r w:rsidRPr="00D97DC5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Pr="00D97DC5">
        <w:rPr>
          <w:rFonts w:ascii="Times New Roman" w:hAnsi="Times New Roman" w:cs="Times New Roman"/>
          <w:sz w:val="24"/>
          <w:szCs w:val="24"/>
        </w:rPr>
        <w:t xml:space="preserve">C activities in the sediments from Shira GC4 with the Carotenoid contents in different cores from Lake Shira. (a) Measured </w:t>
      </w:r>
      <w:r w:rsidRPr="00D97DC5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="0027304E" w:rsidRPr="00D97DC5">
        <w:rPr>
          <w:rFonts w:ascii="Times New Roman" w:hAnsi="Times New Roman" w:cs="Times New Roman"/>
          <w:sz w:val="24"/>
          <w:szCs w:val="24"/>
        </w:rPr>
        <w:t>C (percent modern carbon -</w:t>
      </w:r>
      <w:r w:rsidRPr="00D97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7DC5">
        <w:rPr>
          <w:rFonts w:ascii="Times New Roman" w:hAnsi="Times New Roman" w:cs="Times New Roman"/>
          <w:sz w:val="24"/>
          <w:szCs w:val="24"/>
        </w:rPr>
        <w:t>pMC</w:t>
      </w:r>
      <w:proofErr w:type="spellEnd"/>
      <w:r w:rsidRPr="00D97DC5">
        <w:rPr>
          <w:rFonts w:ascii="Times New Roman" w:hAnsi="Times New Roman" w:cs="Times New Roman"/>
          <w:sz w:val="24"/>
          <w:szCs w:val="24"/>
        </w:rPr>
        <w:t xml:space="preserve">) and </w:t>
      </w:r>
      <w:r w:rsidRPr="00D97DC5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Pr="00D97DC5">
        <w:rPr>
          <w:rFonts w:ascii="Times New Roman" w:hAnsi="Times New Roman" w:cs="Times New Roman"/>
          <w:sz w:val="24"/>
          <w:szCs w:val="24"/>
        </w:rPr>
        <w:t>C age of organic carbon in the sediment samples from Shira GC4 (this study); (b) Carotenoid contents in Shira V-400 core (redraw</w:t>
      </w:r>
      <w:r w:rsidR="00DA0340" w:rsidRPr="00D97DC5">
        <w:rPr>
          <w:rFonts w:ascii="Times New Roman" w:hAnsi="Times New Roman" w:cs="Times New Roman"/>
          <w:sz w:val="24"/>
          <w:szCs w:val="24"/>
        </w:rPr>
        <w:t>n</w:t>
      </w:r>
      <w:r w:rsidRPr="00D97DC5">
        <w:rPr>
          <w:rFonts w:ascii="Times New Roman" w:hAnsi="Times New Roman" w:cs="Times New Roman"/>
          <w:sz w:val="24"/>
          <w:szCs w:val="24"/>
        </w:rPr>
        <w:t xml:space="preserve"> from Fig. 3 in Zykov et al. 2012); (c) Carotenoid contents in Shira Core 2016 (redraw</w:t>
      </w:r>
      <w:r w:rsidR="00DA0340" w:rsidRPr="00D97DC5">
        <w:rPr>
          <w:rFonts w:ascii="Times New Roman" w:hAnsi="Times New Roman" w:cs="Times New Roman"/>
          <w:sz w:val="24"/>
          <w:szCs w:val="24"/>
        </w:rPr>
        <w:t>n</w:t>
      </w:r>
      <w:r w:rsidRPr="00D97DC5">
        <w:rPr>
          <w:rFonts w:ascii="Times New Roman" w:hAnsi="Times New Roman" w:cs="Times New Roman"/>
          <w:sz w:val="24"/>
          <w:szCs w:val="24"/>
        </w:rPr>
        <w:t xml:space="preserve"> from Fig. 2 in Rogozin et al. 2020); (d) Carotenoid contents in Shira Core</w:t>
      </w:r>
      <w:r w:rsidRPr="00D97DC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97DC5">
        <w:rPr>
          <w:rFonts w:ascii="Times New Roman" w:hAnsi="Times New Roman" w:cs="Times New Roman"/>
          <w:sz w:val="24"/>
          <w:szCs w:val="24"/>
        </w:rPr>
        <w:t>К-1550 (redraw</w:t>
      </w:r>
      <w:r w:rsidR="00DA0340" w:rsidRPr="00D97DC5">
        <w:rPr>
          <w:rFonts w:ascii="Times New Roman" w:hAnsi="Times New Roman" w:cs="Times New Roman"/>
          <w:sz w:val="24"/>
          <w:szCs w:val="24"/>
        </w:rPr>
        <w:t>n</w:t>
      </w:r>
      <w:r w:rsidRPr="00D97DC5">
        <w:rPr>
          <w:rFonts w:ascii="Times New Roman" w:hAnsi="Times New Roman" w:cs="Times New Roman"/>
          <w:sz w:val="24"/>
          <w:szCs w:val="24"/>
        </w:rPr>
        <w:t xml:space="preserve"> from Fig. 4 in Zykov et al. 2012).</w:t>
      </w:r>
    </w:p>
    <w:p w14:paraId="1EF89115" w14:textId="77777777" w:rsidR="008A4B83" w:rsidRPr="00D97DC5" w:rsidRDefault="008A4B83" w:rsidP="000150D5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E29F95" w14:textId="77777777" w:rsidR="00A656E8" w:rsidRPr="00D97DC5" w:rsidRDefault="00A656E8" w:rsidP="00706DAA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10DF82" w14:textId="77777777" w:rsidR="00DA2826" w:rsidRPr="00D97DC5" w:rsidRDefault="00DA2826" w:rsidP="00706DAA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7DC5"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drawing>
          <wp:inline distT="0" distB="0" distL="0" distR="0" wp14:anchorId="7CBE771A" wp14:editId="31EC297E">
            <wp:extent cx="4764881" cy="3103033"/>
            <wp:effectExtent l="0" t="0" r="635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S1 Carbon in lake syste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881" cy="310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B69E7" w14:textId="77777777" w:rsidR="000150D5" w:rsidRPr="00D97DC5" w:rsidRDefault="000150D5" w:rsidP="000150D5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FA7711" w14:textId="77777777" w:rsidR="00DA2826" w:rsidRPr="00D97DC5" w:rsidRDefault="00DA2826" w:rsidP="00706DAA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DC5">
        <w:rPr>
          <w:rFonts w:ascii="Times New Roman" w:hAnsi="Times New Roman" w:cs="Times New Roman" w:hint="eastAsia"/>
          <w:sz w:val="24"/>
          <w:szCs w:val="24"/>
        </w:rPr>
        <w:t>Fig. S</w:t>
      </w:r>
      <w:r w:rsidR="00570668" w:rsidRPr="00D97DC5">
        <w:rPr>
          <w:rFonts w:ascii="Times New Roman" w:hAnsi="Times New Roman" w:cs="Times New Roman"/>
          <w:sz w:val="24"/>
          <w:szCs w:val="24"/>
        </w:rPr>
        <w:t>4</w:t>
      </w:r>
      <w:r w:rsidR="00706DAA" w:rsidRPr="00D97DC5">
        <w:rPr>
          <w:rFonts w:ascii="Times New Roman" w:hAnsi="Times New Roman" w:cs="Times New Roman"/>
          <w:sz w:val="24"/>
          <w:szCs w:val="24"/>
        </w:rPr>
        <w:t>:</w:t>
      </w:r>
      <w:r w:rsidRPr="00D97DC5">
        <w:rPr>
          <w:rFonts w:ascii="Times New Roman" w:hAnsi="Times New Roman" w:cs="Times New Roman"/>
          <w:sz w:val="24"/>
          <w:szCs w:val="24"/>
        </w:rPr>
        <w:t xml:space="preserve"> A conceptual figure to illustrate carbon sources in a lake system, and the function of ABA pretreatment of lake sediment sample for </w:t>
      </w:r>
      <w:r w:rsidRPr="00D97DC5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Pr="00D97DC5">
        <w:rPr>
          <w:rFonts w:ascii="Times New Roman" w:hAnsi="Times New Roman" w:cs="Times New Roman"/>
          <w:sz w:val="24"/>
          <w:szCs w:val="24"/>
        </w:rPr>
        <w:t>C dating on organic carbon.</w:t>
      </w:r>
    </w:p>
    <w:p w14:paraId="63B6B133" w14:textId="77777777" w:rsidR="000150D5" w:rsidRPr="00D97DC5" w:rsidRDefault="000150D5" w:rsidP="000150D5">
      <w:pPr>
        <w:snapToGri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2B8CC30" w14:textId="77777777" w:rsidR="000150D5" w:rsidRPr="00D97DC5" w:rsidRDefault="000150D5" w:rsidP="008A4B8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7E4566" w14:textId="77777777" w:rsidR="001526BB" w:rsidRPr="00D97DC5" w:rsidRDefault="001526BB" w:rsidP="008A4B83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392C8D" w14:textId="77777777" w:rsidR="000150D5" w:rsidRPr="00D97DC5" w:rsidRDefault="00E67351" w:rsidP="000150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97DC5">
        <w:rPr>
          <w:rFonts w:ascii="Times New Roman" w:hAnsi="Times New Roman" w:cs="Times New Roman"/>
          <w:noProof/>
          <w:sz w:val="24"/>
          <w:szCs w:val="24"/>
          <w:lang w:eastAsia="zh-TW"/>
        </w:rPr>
        <w:drawing>
          <wp:inline distT="0" distB="0" distL="0" distR="0" wp14:anchorId="4C0082CA" wp14:editId="4AA66C2E">
            <wp:extent cx="5731510" cy="3349625"/>
            <wp:effectExtent l="0" t="0" r="2540" b="317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. S4 Shira records trace elemen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EF68A" w14:textId="77777777" w:rsidR="00382244" w:rsidRPr="00D97DC5" w:rsidRDefault="000150D5" w:rsidP="00706DAA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DC5">
        <w:rPr>
          <w:rFonts w:ascii="Times New Roman" w:hAnsi="Times New Roman" w:cs="Times New Roman" w:hint="eastAsia"/>
          <w:sz w:val="24"/>
          <w:szCs w:val="24"/>
        </w:rPr>
        <w:t>Fig. S</w:t>
      </w:r>
      <w:r w:rsidR="00706DAA" w:rsidRPr="00D97DC5">
        <w:rPr>
          <w:rFonts w:ascii="Times New Roman" w:hAnsi="Times New Roman" w:cs="Times New Roman"/>
          <w:sz w:val="24"/>
          <w:szCs w:val="24"/>
        </w:rPr>
        <w:t>5</w:t>
      </w:r>
      <w:r w:rsidRPr="00D97DC5">
        <w:rPr>
          <w:rFonts w:ascii="Times New Roman" w:hAnsi="Times New Roman" w:cs="Times New Roman"/>
          <w:sz w:val="24"/>
          <w:szCs w:val="24"/>
        </w:rPr>
        <w:t xml:space="preserve">:  </w:t>
      </w:r>
      <w:r w:rsidRPr="00D97DC5">
        <w:rPr>
          <w:rFonts w:ascii="Times New Roman" w:hAnsi="Times New Roman" w:cs="Times New Roman"/>
          <w:sz w:val="24"/>
          <w:szCs w:val="24"/>
          <w:vertAlign w:val="superscript"/>
        </w:rPr>
        <w:t>238</w:t>
      </w:r>
      <w:r w:rsidR="000A65A4" w:rsidRPr="00D97DC5">
        <w:rPr>
          <w:rFonts w:ascii="Times New Roman" w:hAnsi="Times New Roman" w:cs="Times New Roman"/>
          <w:sz w:val="24"/>
          <w:szCs w:val="24"/>
        </w:rPr>
        <w:t>U activity measured by g</w:t>
      </w:r>
      <w:r w:rsidRPr="00D97DC5">
        <w:rPr>
          <w:rFonts w:ascii="Times New Roman" w:hAnsi="Times New Roman" w:cs="Times New Roman"/>
          <w:sz w:val="24"/>
          <w:szCs w:val="24"/>
        </w:rPr>
        <w:t>amma counter and elemental concentrations measured by ICPOES in the Lake Shira GC4 core in s</w:t>
      </w:r>
      <w:r w:rsidR="00382244" w:rsidRPr="00D97DC5">
        <w:rPr>
          <w:rFonts w:ascii="Times New Roman" w:hAnsi="Times New Roman" w:cs="Times New Roman"/>
          <w:sz w:val="24"/>
          <w:szCs w:val="24"/>
        </w:rPr>
        <w:t>ix</w:t>
      </w:r>
      <w:r w:rsidRPr="00D97DC5">
        <w:rPr>
          <w:rFonts w:ascii="Times New Roman" w:hAnsi="Times New Roman" w:cs="Times New Roman"/>
          <w:sz w:val="24"/>
          <w:szCs w:val="24"/>
        </w:rPr>
        <w:t xml:space="preserve"> zones. AL = acid-leachable; AR = Aqua Regia dissolution; TD (total concentration) = AL + AR. Note that the concentration units are different for different elements. </w:t>
      </w:r>
    </w:p>
    <w:p w14:paraId="44F4D364" w14:textId="77777777" w:rsidR="00706DAA" w:rsidRPr="00D97DC5" w:rsidRDefault="00706DAA" w:rsidP="00706DAA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E7333" w14:textId="77777777" w:rsidR="00BC6A27" w:rsidRPr="00D97DC5" w:rsidRDefault="00F04CCB">
      <w:r w:rsidRPr="00D97DC5">
        <w:rPr>
          <w:noProof/>
          <w:lang w:eastAsia="zh-TW"/>
        </w:rPr>
        <w:drawing>
          <wp:inline distT="0" distB="0" distL="0" distR="0" wp14:anchorId="6D90F0A8" wp14:editId="6C6D55F7">
            <wp:extent cx="5731510" cy="4145280"/>
            <wp:effectExtent l="0" t="0" r="254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 S5 Shira Lake level and salinity 1870-20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65D7E" w14:textId="77777777" w:rsidR="007228A6" w:rsidRPr="00D97DC5" w:rsidRDefault="00CB3B05" w:rsidP="00706DAA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DC5">
        <w:rPr>
          <w:rFonts w:ascii="Times New Roman" w:hAnsi="Times New Roman" w:cs="Times New Roman"/>
          <w:sz w:val="24"/>
          <w:szCs w:val="24"/>
        </w:rPr>
        <w:lastRenderedPageBreak/>
        <w:t>Fig. S</w:t>
      </w:r>
      <w:r w:rsidR="00706DAA" w:rsidRPr="00D97DC5">
        <w:rPr>
          <w:rFonts w:ascii="Times New Roman" w:hAnsi="Times New Roman" w:cs="Times New Roman"/>
          <w:sz w:val="24"/>
          <w:szCs w:val="24"/>
        </w:rPr>
        <w:t>6:</w:t>
      </w:r>
      <w:r w:rsidRPr="00D97DC5">
        <w:rPr>
          <w:rFonts w:ascii="Times New Roman" w:hAnsi="Times New Roman" w:cs="Times New Roman"/>
          <w:sz w:val="24"/>
          <w:szCs w:val="24"/>
        </w:rPr>
        <w:t xml:space="preserve"> </w:t>
      </w:r>
      <w:r w:rsidR="00382244" w:rsidRPr="00D97DC5">
        <w:rPr>
          <w:rFonts w:ascii="Times New Roman" w:hAnsi="Times New Roman" w:cs="Times New Roman"/>
          <w:sz w:val="24"/>
          <w:szCs w:val="24"/>
        </w:rPr>
        <w:t xml:space="preserve">Comparisons of reconstructed </w:t>
      </w:r>
      <w:proofErr w:type="gramStart"/>
      <w:r w:rsidR="00382244" w:rsidRPr="00D97DC5">
        <w:rPr>
          <w:rFonts w:ascii="Times New Roman" w:hAnsi="Times New Roman" w:cs="Times New Roman"/>
          <w:sz w:val="24"/>
          <w:szCs w:val="24"/>
        </w:rPr>
        <w:t>Sh</w:t>
      </w:r>
      <w:r w:rsidR="004D4CE2" w:rsidRPr="00D97DC5">
        <w:rPr>
          <w:rFonts w:ascii="Times New Roman" w:hAnsi="Times New Roman" w:cs="Times New Roman"/>
          <w:sz w:val="24"/>
          <w:szCs w:val="24"/>
        </w:rPr>
        <w:t>ira lake</w:t>
      </w:r>
      <w:proofErr w:type="gramEnd"/>
      <w:r w:rsidR="004D4CE2" w:rsidRPr="00D97DC5">
        <w:rPr>
          <w:rFonts w:ascii="Times New Roman" w:hAnsi="Times New Roman" w:cs="Times New Roman"/>
          <w:sz w:val="24"/>
          <w:szCs w:val="24"/>
        </w:rPr>
        <w:t xml:space="preserve"> condition changes with </w:t>
      </w:r>
      <w:r w:rsidR="00382244" w:rsidRPr="00D97DC5">
        <w:rPr>
          <w:rFonts w:ascii="Times New Roman" w:hAnsi="Times New Roman" w:cs="Times New Roman"/>
          <w:sz w:val="24"/>
          <w:szCs w:val="24"/>
        </w:rPr>
        <w:t>measured and modelled lake level and salinity</w:t>
      </w:r>
      <w:r w:rsidR="00F04CCB" w:rsidRPr="00D97DC5">
        <w:rPr>
          <w:rFonts w:ascii="Times New Roman" w:hAnsi="Times New Roman" w:cs="Times New Roman"/>
          <w:sz w:val="24"/>
          <w:szCs w:val="24"/>
        </w:rPr>
        <w:t xml:space="preserve"> with known dates</w:t>
      </w:r>
      <w:r w:rsidR="00382244" w:rsidRPr="00D97DC5">
        <w:rPr>
          <w:rFonts w:ascii="Times New Roman" w:hAnsi="Times New Roman" w:cs="Times New Roman"/>
          <w:sz w:val="24"/>
          <w:szCs w:val="24"/>
        </w:rPr>
        <w:t>. The lower panel of lake level and salinity redraw</w:t>
      </w:r>
      <w:r w:rsidR="005A0365" w:rsidRPr="00D97DC5">
        <w:rPr>
          <w:rFonts w:ascii="Times New Roman" w:hAnsi="Times New Roman" w:cs="Times New Roman"/>
          <w:sz w:val="24"/>
          <w:szCs w:val="24"/>
        </w:rPr>
        <w:t>n</w:t>
      </w:r>
      <w:r w:rsidR="00382244" w:rsidRPr="00D97DC5">
        <w:rPr>
          <w:rFonts w:ascii="Times New Roman" w:hAnsi="Times New Roman" w:cs="Times New Roman"/>
          <w:sz w:val="24"/>
          <w:szCs w:val="24"/>
        </w:rPr>
        <w:t xml:space="preserve"> from Fig. 4 in Rogozin et al. 2010. </w:t>
      </w:r>
      <w:r w:rsidR="00F04CCB" w:rsidRPr="00D97DC5">
        <w:rPr>
          <w:rFonts w:ascii="Times New Roman" w:hAnsi="Times New Roman" w:cs="Times New Roman"/>
          <w:sz w:val="24"/>
          <w:szCs w:val="24"/>
        </w:rPr>
        <w:t xml:space="preserve">The upper panel shows the data from Shira GC4 of this study. The chronology of the core is based on </w:t>
      </w:r>
      <w:r w:rsidR="00F04CCB" w:rsidRPr="00D97DC5">
        <w:rPr>
          <w:rFonts w:ascii="Times New Roman" w:hAnsi="Times New Roman" w:cs="Times New Roman"/>
          <w:sz w:val="24"/>
          <w:szCs w:val="24"/>
          <w:vertAlign w:val="superscript"/>
        </w:rPr>
        <w:t>137</w:t>
      </w:r>
      <w:r w:rsidR="00F04CCB" w:rsidRPr="00D97DC5">
        <w:rPr>
          <w:rFonts w:ascii="Times New Roman" w:hAnsi="Times New Roman" w:cs="Times New Roman"/>
          <w:sz w:val="24"/>
          <w:szCs w:val="24"/>
        </w:rPr>
        <w:t>Cs dating and the historic lake level (see text for explanation). PSB stands for purple sulphur</w:t>
      </w:r>
      <w:r w:rsidR="00F04CCB" w:rsidRPr="00D97DC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04CCB" w:rsidRPr="00D97DC5">
        <w:rPr>
          <w:rFonts w:ascii="Times New Roman" w:hAnsi="Times New Roman" w:cs="Times New Roman"/>
          <w:sz w:val="24"/>
          <w:szCs w:val="24"/>
        </w:rPr>
        <w:t>bacteria. Ca and Sr contents reflect salinity change</w:t>
      </w:r>
      <w:r w:rsidR="00DA5845" w:rsidRPr="00D97DC5">
        <w:rPr>
          <w:rFonts w:ascii="Times New Roman" w:hAnsi="Times New Roman" w:cs="Times New Roman"/>
          <w:sz w:val="24"/>
          <w:szCs w:val="24"/>
        </w:rPr>
        <w:t>s</w:t>
      </w:r>
      <w:r w:rsidR="00F04CCB" w:rsidRPr="00D97DC5">
        <w:rPr>
          <w:rFonts w:ascii="Times New Roman" w:hAnsi="Times New Roman" w:cs="Times New Roman"/>
          <w:sz w:val="24"/>
          <w:szCs w:val="24"/>
        </w:rPr>
        <w:t xml:space="preserve"> of the lake. Mo/Mn indicates redox condition, higher Mo</w:t>
      </w:r>
      <w:r w:rsidR="00E75DA8" w:rsidRPr="00D97DC5">
        <w:rPr>
          <w:rFonts w:ascii="Times New Roman" w:hAnsi="Times New Roman" w:cs="Times New Roman"/>
          <w:sz w:val="24"/>
          <w:szCs w:val="24"/>
        </w:rPr>
        <w:t>/Mn ratio</w:t>
      </w:r>
      <w:r w:rsidR="009A29FB" w:rsidRPr="00D97DC5">
        <w:rPr>
          <w:rFonts w:ascii="Times New Roman" w:hAnsi="Times New Roman" w:cs="Times New Roman"/>
          <w:sz w:val="24"/>
          <w:szCs w:val="24"/>
        </w:rPr>
        <w:t>s</w:t>
      </w:r>
      <w:r w:rsidR="00E75DA8" w:rsidRPr="00D97DC5">
        <w:rPr>
          <w:rFonts w:ascii="Times New Roman" w:hAnsi="Times New Roman" w:cs="Times New Roman"/>
          <w:sz w:val="24"/>
          <w:szCs w:val="24"/>
        </w:rPr>
        <w:t xml:space="preserve"> </w:t>
      </w:r>
      <w:r w:rsidR="009A29FB" w:rsidRPr="00D97DC5">
        <w:rPr>
          <w:rFonts w:ascii="Times New Roman" w:hAnsi="Times New Roman" w:cs="Times New Roman"/>
          <w:sz w:val="24"/>
          <w:szCs w:val="24"/>
        </w:rPr>
        <w:t>reflect</w:t>
      </w:r>
      <w:r w:rsidR="00E75DA8" w:rsidRPr="00D97DC5">
        <w:rPr>
          <w:rFonts w:ascii="Times New Roman" w:hAnsi="Times New Roman" w:cs="Times New Roman"/>
          <w:sz w:val="24"/>
          <w:szCs w:val="24"/>
        </w:rPr>
        <w:t xml:space="preserve"> stronger anoxic condition</w:t>
      </w:r>
      <w:r w:rsidR="009A29FB" w:rsidRPr="00D97DC5">
        <w:rPr>
          <w:rFonts w:ascii="Times New Roman" w:hAnsi="Times New Roman" w:cs="Times New Roman"/>
          <w:sz w:val="24"/>
          <w:szCs w:val="24"/>
        </w:rPr>
        <w:t>s</w:t>
      </w:r>
      <w:r w:rsidR="00E75DA8" w:rsidRPr="00D97DC5">
        <w:rPr>
          <w:rFonts w:ascii="Times New Roman" w:hAnsi="Times New Roman" w:cs="Times New Roman"/>
          <w:sz w:val="24"/>
          <w:szCs w:val="24"/>
        </w:rPr>
        <w:t xml:space="preserve">. TOC (%) reveals primary lake productivity. </w:t>
      </w:r>
      <w:r w:rsidR="006D0041" w:rsidRPr="00D97DC5">
        <w:rPr>
          <w:rFonts w:ascii="Times New Roman" w:hAnsi="Times New Roman" w:cs="Times New Roman"/>
          <w:sz w:val="24"/>
          <w:szCs w:val="24"/>
        </w:rPr>
        <w:t xml:space="preserve">The vertical dotted lines separate the six zones. The </w:t>
      </w:r>
      <w:r w:rsidR="006D0041" w:rsidRPr="00D97DC5">
        <w:rPr>
          <w:rFonts w:ascii="Times New Roman" w:hAnsi="Times New Roman" w:cs="Times New Roman"/>
          <w:sz w:val="24"/>
          <w:szCs w:val="24"/>
          <w:lang w:val="en-US"/>
        </w:rPr>
        <w:t xml:space="preserve">double arrows show the possible correspondence of Ca contents to the measured salinity. </w:t>
      </w:r>
      <w:r w:rsidR="006D0041" w:rsidRPr="00D97D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ED8F42" w14:textId="77777777" w:rsidR="007228A6" w:rsidRPr="00D97DC5" w:rsidRDefault="007228A6" w:rsidP="0005322C">
      <w:pPr>
        <w:rPr>
          <w:rFonts w:ascii="Times New Roman" w:hAnsi="Times New Roman" w:cs="Times New Roman"/>
          <w:sz w:val="24"/>
          <w:szCs w:val="24"/>
        </w:rPr>
      </w:pPr>
    </w:p>
    <w:p w14:paraId="1C9D7A58" w14:textId="77777777" w:rsidR="005E52ED" w:rsidRPr="00D97DC5" w:rsidRDefault="00702780" w:rsidP="0005322C">
      <w:pPr>
        <w:rPr>
          <w:rFonts w:ascii="Times New Roman" w:hAnsi="Times New Roman" w:cs="Times New Roman"/>
          <w:sz w:val="24"/>
          <w:szCs w:val="24"/>
        </w:rPr>
      </w:pPr>
      <w:r w:rsidRPr="00D97DC5">
        <w:rPr>
          <w:rFonts w:ascii="Times New Roman" w:hAnsi="Times New Roman" w:cs="Times New Roman"/>
          <w:noProof/>
          <w:sz w:val="24"/>
          <w:szCs w:val="24"/>
          <w:lang w:eastAsia="zh-TW"/>
        </w:rPr>
        <w:drawing>
          <wp:inline distT="0" distB="0" distL="0" distR="0" wp14:anchorId="3987C52A" wp14:editId="28A3AD68">
            <wp:extent cx="5731510" cy="379730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 S7 Comparison between Shira GC4 and Shira 20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B519E" w14:textId="77777777" w:rsidR="002E66E3" w:rsidRPr="00D97DC5" w:rsidRDefault="002E66E3" w:rsidP="00330A49">
      <w:pPr>
        <w:jc w:val="both"/>
        <w:rPr>
          <w:rFonts w:ascii="Times New Roman" w:hAnsi="Times New Roman" w:cs="Times New Roman"/>
          <w:sz w:val="24"/>
          <w:szCs w:val="24"/>
        </w:rPr>
      </w:pPr>
      <w:r w:rsidRPr="00D97DC5">
        <w:rPr>
          <w:rFonts w:ascii="Times New Roman" w:hAnsi="Times New Roman" w:cs="Times New Roman"/>
          <w:sz w:val="24"/>
          <w:szCs w:val="24"/>
        </w:rPr>
        <w:t>Fig. S7</w:t>
      </w:r>
      <w:r w:rsidR="001E5690" w:rsidRPr="00D97DC5">
        <w:rPr>
          <w:rFonts w:ascii="Times New Roman" w:hAnsi="Times New Roman" w:cs="Times New Roman"/>
          <w:sz w:val="24"/>
          <w:szCs w:val="24"/>
        </w:rPr>
        <w:t>:</w:t>
      </w:r>
      <w:r w:rsidRPr="00D97DC5">
        <w:rPr>
          <w:rFonts w:ascii="Times New Roman" w:hAnsi="Times New Roman" w:cs="Times New Roman"/>
          <w:sz w:val="24"/>
          <w:szCs w:val="24"/>
        </w:rPr>
        <w:t xml:space="preserve"> Comparisons of magnetization of saturation (M</w:t>
      </w:r>
      <w:r w:rsidRPr="00D97DC5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D97DC5">
        <w:rPr>
          <w:rFonts w:ascii="Times New Roman" w:hAnsi="Times New Roman" w:cs="Times New Roman"/>
          <w:sz w:val="24"/>
          <w:szCs w:val="24"/>
        </w:rPr>
        <w:t>) and organic material (OM) records in Core Shira 2016 (Rogozin</w:t>
      </w:r>
      <w:r w:rsidR="000E17CA" w:rsidRPr="00D97DC5">
        <w:rPr>
          <w:rFonts w:ascii="Times New Roman" w:hAnsi="Times New Roman" w:cs="Times New Roman"/>
          <w:sz w:val="24"/>
          <w:szCs w:val="24"/>
        </w:rPr>
        <w:t xml:space="preserve"> et al.</w:t>
      </w:r>
      <w:r w:rsidRPr="00D97DC5">
        <w:rPr>
          <w:rFonts w:ascii="Times New Roman" w:hAnsi="Times New Roman" w:cs="Times New Roman"/>
          <w:sz w:val="24"/>
          <w:szCs w:val="24"/>
        </w:rPr>
        <w:t xml:space="preserve"> 2016) with the records of magnetic </w:t>
      </w:r>
      <w:r w:rsidRPr="00D97DC5">
        <w:rPr>
          <w:rFonts w:ascii="Times New Roman" w:hAnsi="Times New Roman" w:cs="Times New Roman"/>
          <w:sz w:val="24"/>
          <w:szCs w:val="24"/>
          <w:lang w:val="en-US" w:eastAsia="zh-TW"/>
        </w:rPr>
        <w:t>susceptibility (</w:t>
      </w:r>
      <w:proofErr w:type="spellStart"/>
      <w:r w:rsidRPr="00D97DC5">
        <w:rPr>
          <w:rFonts w:ascii="Times New Roman" w:hAnsi="Times New Roman" w:cs="Times New Roman"/>
          <w:sz w:val="24"/>
          <w:szCs w:val="24"/>
          <w:lang w:val="en-US" w:eastAsia="zh-TW"/>
        </w:rPr>
        <w:t>MSus</w:t>
      </w:r>
      <w:proofErr w:type="spellEnd"/>
      <w:r w:rsidRPr="00D97DC5">
        <w:rPr>
          <w:rFonts w:ascii="Times New Roman" w:hAnsi="Times New Roman" w:cs="Times New Roman"/>
          <w:sz w:val="24"/>
          <w:szCs w:val="24"/>
          <w:lang w:val="en-US" w:eastAsia="zh-TW"/>
        </w:rPr>
        <w:t>), total organic carbon (TOC%), acid-leachable Ca concentration (AL Ca)</w:t>
      </w:r>
      <w:r w:rsidRPr="00D97DC5">
        <w:rPr>
          <w:rFonts w:ascii="Times New Roman" w:hAnsi="Times New Roman" w:cs="Times New Roman"/>
          <w:sz w:val="24"/>
          <w:szCs w:val="24"/>
        </w:rPr>
        <w:t xml:space="preserve"> and </w:t>
      </w:r>
      <w:r w:rsidR="009F3390" w:rsidRPr="00D97DC5">
        <w:rPr>
          <w:rFonts w:ascii="Times New Roman" w:eastAsia="DFKai-SB" w:hAnsi="Times New Roman" w:cs="Times New Roman"/>
          <w:sz w:val="24"/>
          <w:szCs w:val="24"/>
        </w:rPr>
        <w:t>T</w:t>
      </w:r>
      <w:r w:rsidR="00702780" w:rsidRPr="00D97DC5">
        <w:rPr>
          <w:rFonts w:ascii="Times New Roman" w:eastAsia="DFKai-SB" w:hAnsi="Times New Roman" w:cs="Times New Roman"/>
          <w:sz w:val="24"/>
          <w:szCs w:val="24"/>
        </w:rPr>
        <w:t>D</w:t>
      </w:r>
      <w:r w:rsidR="009F3390" w:rsidRPr="00D97DC5">
        <w:rPr>
          <w:rFonts w:ascii="Times New Roman" w:eastAsia="DFKai-SB" w:hAnsi="Times New Roman" w:cs="Times New Roman"/>
          <w:sz w:val="24"/>
          <w:szCs w:val="24"/>
        </w:rPr>
        <w:t xml:space="preserve"> Mo/Mn</w:t>
      </w:r>
      <w:r w:rsidRPr="00D97DC5">
        <w:rPr>
          <w:rFonts w:ascii="Times New Roman" w:hAnsi="Times New Roman" w:cs="Times New Roman"/>
          <w:sz w:val="24"/>
          <w:szCs w:val="24"/>
        </w:rPr>
        <w:t xml:space="preserve"> in Shira GC4. The OM was measured by loss on ignition</w:t>
      </w:r>
      <w:r w:rsidR="00D22842" w:rsidRPr="00D97DC5">
        <w:rPr>
          <w:rFonts w:ascii="Times New Roman" w:hAnsi="Times New Roman" w:cs="Times New Roman"/>
          <w:sz w:val="24"/>
          <w:szCs w:val="24"/>
        </w:rPr>
        <w:t xml:space="preserve"> (LOI) at 550</w:t>
      </w:r>
      <w:r w:rsidRPr="00D97DC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D97DC5">
        <w:rPr>
          <w:rFonts w:ascii="Times New Roman" w:hAnsi="Times New Roman" w:cs="Times New Roman"/>
          <w:sz w:val="24"/>
          <w:szCs w:val="24"/>
        </w:rPr>
        <w:t xml:space="preserve">C of dried sediment, whereas TOC% was measured by an Elemental Analyzer (EA). The grey zone denotes sediments with high carbonate zone. The green zone marks okenone increased layer when the lake was </w:t>
      </w:r>
      <w:proofErr w:type="gramStart"/>
      <w:r w:rsidRPr="00D97DC5">
        <w:rPr>
          <w:rFonts w:ascii="Times New Roman" w:hAnsi="Times New Roman" w:cs="Times New Roman"/>
          <w:sz w:val="24"/>
          <w:szCs w:val="24"/>
        </w:rPr>
        <w:t>meromictic</w:t>
      </w:r>
      <w:proofErr w:type="gramEnd"/>
      <w:r w:rsidRPr="00D97DC5">
        <w:rPr>
          <w:rFonts w:ascii="Times New Roman" w:hAnsi="Times New Roman" w:cs="Times New Roman"/>
          <w:sz w:val="24"/>
          <w:szCs w:val="24"/>
        </w:rPr>
        <w:t xml:space="preserve"> and the bottom of the lake had an anaerobic zone (Rogozin</w:t>
      </w:r>
      <w:r w:rsidR="001E5690" w:rsidRPr="00D97DC5">
        <w:rPr>
          <w:rFonts w:ascii="Times New Roman" w:hAnsi="Times New Roman" w:cs="Times New Roman"/>
          <w:sz w:val="24"/>
          <w:szCs w:val="24"/>
        </w:rPr>
        <w:t xml:space="preserve"> et al.</w:t>
      </w:r>
      <w:r w:rsidRPr="00D97DC5">
        <w:rPr>
          <w:rFonts w:ascii="Times New Roman" w:hAnsi="Times New Roman" w:cs="Times New Roman"/>
          <w:sz w:val="24"/>
          <w:szCs w:val="24"/>
        </w:rPr>
        <w:t xml:space="preserve"> 2020). </w:t>
      </w:r>
    </w:p>
    <w:p w14:paraId="1026F776" w14:textId="77777777" w:rsidR="005E52ED" w:rsidRPr="00D97DC5" w:rsidRDefault="005E52ED" w:rsidP="0005322C">
      <w:pPr>
        <w:rPr>
          <w:rFonts w:ascii="Times New Roman" w:hAnsi="Times New Roman" w:cs="Times New Roman"/>
          <w:sz w:val="24"/>
          <w:szCs w:val="24"/>
        </w:rPr>
      </w:pPr>
    </w:p>
    <w:sectPr w:rsidR="005E52ED" w:rsidRPr="00D97DC5" w:rsidSect="000150D5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5A0EC5" w14:textId="77777777" w:rsidR="00BE105F" w:rsidRDefault="00BE105F" w:rsidP="006C1C57">
      <w:pPr>
        <w:spacing w:after="0" w:line="240" w:lineRule="auto"/>
      </w:pPr>
      <w:r>
        <w:separator/>
      </w:r>
    </w:p>
  </w:endnote>
  <w:endnote w:type="continuationSeparator" w:id="0">
    <w:p w14:paraId="6A3E4199" w14:textId="77777777" w:rsidR="00BE105F" w:rsidRDefault="00BE105F" w:rsidP="006C1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FKai-SB">
    <w:altName w:val="Microsoft YaHei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8E002F" w14:textId="77777777" w:rsidR="00BE105F" w:rsidRDefault="00BE105F" w:rsidP="006C1C57">
      <w:pPr>
        <w:spacing w:after="0" w:line="240" w:lineRule="auto"/>
      </w:pPr>
      <w:r>
        <w:separator/>
      </w:r>
    </w:p>
  </w:footnote>
  <w:footnote w:type="continuationSeparator" w:id="0">
    <w:p w14:paraId="52FE714E" w14:textId="77777777" w:rsidR="00BE105F" w:rsidRDefault="00BE105F" w:rsidP="006C1C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bordersDoNotSurroundHeader/>
  <w:bordersDoNotSurroundFooter/>
  <w:activeWritingStyle w:appName="MSWord" w:lang="en-IN" w:vendorID="64" w:dllVersion="6" w:nlCheck="1" w:checkStyle="0"/>
  <w:activeWritingStyle w:appName="MSWord" w:lang="en-US" w:vendorID="64" w:dllVersion="6" w:nlCheck="1" w:checkStyle="0"/>
  <w:activeWritingStyle w:appName="MSWord" w:lang="en-IN" w:vendorID="64" w:dllVersion="0" w:nlCheck="1" w:checkStyle="0"/>
  <w:activeWritingStyle w:appName="MSWord" w:lang="en-US" w:vendorID="64" w:dllVersion="0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0D5"/>
    <w:rsid w:val="000108B5"/>
    <w:rsid w:val="000111C0"/>
    <w:rsid w:val="000150D5"/>
    <w:rsid w:val="00016CEC"/>
    <w:rsid w:val="0005322C"/>
    <w:rsid w:val="000A65A4"/>
    <w:rsid w:val="000E17CA"/>
    <w:rsid w:val="00104302"/>
    <w:rsid w:val="00147A9C"/>
    <w:rsid w:val="001526BB"/>
    <w:rsid w:val="00160858"/>
    <w:rsid w:val="0016696B"/>
    <w:rsid w:val="001E5690"/>
    <w:rsid w:val="00206BDF"/>
    <w:rsid w:val="00241860"/>
    <w:rsid w:val="002718B8"/>
    <w:rsid w:val="0027304E"/>
    <w:rsid w:val="002B5FF2"/>
    <w:rsid w:val="002B786F"/>
    <w:rsid w:val="002E66E3"/>
    <w:rsid w:val="00330A49"/>
    <w:rsid w:val="003750BF"/>
    <w:rsid w:val="00382244"/>
    <w:rsid w:val="003A2968"/>
    <w:rsid w:val="003C13E7"/>
    <w:rsid w:val="003F03B8"/>
    <w:rsid w:val="003F4CD9"/>
    <w:rsid w:val="00440C95"/>
    <w:rsid w:val="00497577"/>
    <w:rsid w:val="004A65B1"/>
    <w:rsid w:val="004D1D9C"/>
    <w:rsid w:val="004D4CE2"/>
    <w:rsid w:val="00510706"/>
    <w:rsid w:val="00570668"/>
    <w:rsid w:val="00594806"/>
    <w:rsid w:val="005A0365"/>
    <w:rsid w:val="005E2998"/>
    <w:rsid w:val="005E52ED"/>
    <w:rsid w:val="005E542B"/>
    <w:rsid w:val="00622E79"/>
    <w:rsid w:val="006335FC"/>
    <w:rsid w:val="00633602"/>
    <w:rsid w:val="00650CB7"/>
    <w:rsid w:val="006C1C57"/>
    <w:rsid w:val="006C6A41"/>
    <w:rsid w:val="006D0041"/>
    <w:rsid w:val="006F3798"/>
    <w:rsid w:val="00702780"/>
    <w:rsid w:val="00706DAA"/>
    <w:rsid w:val="007228A6"/>
    <w:rsid w:val="00786DA2"/>
    <w:rsid w:val="007C65AF"/>
    <w:rsid w:val="007D1A60"/>
    <w:rsid w:val="008231FC"/>
    <w:rsid w:val="00825B58"/>
    <w:rsid w:val="008414D2"/>
    <w:rsid w:val="0084251E"/>
    <w:rsid w:val="00844E8A"/>
    <w:rsid w:val="00885742"/>
    <w:rsid w:val="008A4B83"/>
    <w:rsid w:val="008A6CFC"/>
    <w:rsid w:val="008B314B"/>
    <w:rsid w:val="008E30C6"/>
    <w:rsid w:val="00960ACE"/>
    <w:rsid w:val="0096136D"/>
    <w:rsid w:val="009A0E0C"/>
    <w:rsid w:val="009A29FB"/>
    <w:rsid w:val="009B287C"/>
    <w:rsid w:val="009B4BC9"/>
    <w:rsid w:val="009F3390"/>
    <w:rsid w:val="00A04E66"/>
    <w:rsid w:val="00A052D2"/>
    <w:rsid w:val="00A2654A"/>
    <w:rsid w:val="00A656E8"/>
    <w:rsid w:val="00A65C76"/>
    <w:rsid w:val="00AA4F69"/>
    <w:rsid w:val="00AB1E9B"/>
    <w:rsid w:val="00AE3710"/>
    <w:rsid w:val="00B74FD7"/>
    <w:rsid w:val="00BC6A27"/>
    <w:rsid w:val="00BE105F"/>
    <w:rsid w:val="00C26638"/>
    <w:rsid w:val="00CA7130"/>
    <w:rsid w:val="00CB2C61"/>
    <w:rsid w:val="00CB3B05"/>
    <w:rsid w:val="00CD3D34"/>
    <w:rsid w:val="00CF1BDE"/>
    <w:rsid w:val="00D05485"/>
    <w:rsid w:val="00D205D3"/>
    <w:rsid w:val="00D22803"/>
    <w:rsid w:val="00D22842"/>
    <w:rsid w:val="00D2438D"/>
    <w:rsid w:val="00D72759"/>
    <w:rsid w:val="00D86A67"/>
    <w:rsid w:val="00D97DC5"/>
    <w:rsid w:val="00DA0340"/>
    <w:rsid w:val="00DA2826"/>
    <w:rsid w:val="00DA5845"/>
    <w:rsid w:val="00DA6988"/>
    <w:rsid w:val="00DE5ABE"/>
    <w:rsid w:val="00E1030F"/>
    <w:rsid w:val="00E208F7"/>
    <w:rsid w:val="00E67351"/>
    <w:rsid w:val="00E75DA8"/>
    <w:rsid w:val="00F02EEC"/>
    <w:rsid w:val="00F04CCB"/>
    <w:rsid w:val="00F12563"/>
    <w:rsid w:val="00F347FC"/>
    <w:rsid w:val="00F457A9"/>
    <w:rsid w:val="00F5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AB0C033"/>
  <w15:chartTrackingRefBased/>
  <w15:docId w15:val="{754066E5-3C83-437A-AD03-D4DE258DB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0D5"/>
    <w:pPr>
      <w:spacing w:after="160" w:line="259" w:lineRule="auto"/>
    </w:pPr>
    <w:rPr>
      <w:kern w:val="0"/>
      <w:sz w:val="22"/>
      <w:lang w:val="en-IN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0150D5"/>
  </w:style>
  <w:style w:type="paragraph" w:styleId="Header">
    <w:name w:val="header"/>
    <w:basedOn w:val="Normal"/>
    <w:link w:val="HeaderChar"/>
    <w:uiPriority w:val="99"/>
    <w:unhideWhenUsed/>
    <w:rsid w:val="006C1C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C1C57"/>
    <w:rPr>
      <w:kern w:val="0"/>
      <w:sz w:val="20"/>
      <w:szCs w:val="20"/>
      <w:lang w:val="en-IN" w:eastAsia="en-US"/>
    </w:rPr>
  </w:style>
  <w:style w:type="paragraph" w:styleId="Footer">
    <w:name w:val="footer"/>
    <w:basedOn w:val="Normal"/>
    <w:link w:val="FooterChar"/>
    <w:uiPriority w:val="99"/>
    <w:unhideWhenUsed/>
    <w:rsid w:val="006C1C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C1C57"/>
    <w:rPr>
      <w:kern w:val="0"/>
      <w:sz w:val="20"/>
      <w:szCs w:val="20"/>
      <w:lang w:val="en-IN" w:eastAsia="en-US"/>
    </w:rPr>
  </w:style>
  <w:style w:type="character" w:styleId="Hyperlink">
    <w:name w:val="Hyperlink"/>
    <w:basedOn w:val="DefaultParagraphFont"/>
    <w:uiPriority w:val="99"/>
    <w:unhideWhenUsed/>
    <w:rsid w:val="00F347F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B8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B83"/>
    <w:rPr>
      <w:rFonts w:asciiTheme="majorHAnsi" w:eastAsiaTheme="majorEastAsia" w:hAnsiTheme="majorHAnsi" w:cstheme="majorBidi"/>
      <w:kern w:val="0"/>
      <w:sz w:val="18"/>
      <w:szCs w:val="18"/>
      <w:lang w:val="en-IN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o.arizona.edu/antevs/nats104/00lect17laklifzon.html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646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Satabdi Misra</cp:lastModifiedBy>
  <cp:revision>28</cp:revision>
  <cp:lastPrinted>2024-06-13T06:56:00Z</cp:lastPrinted>
  <dcterms:created xsi:type="dcterms:W3CDTF">2024-08-13T06:46:00Z</dcterms:created>
  <dcterms:modified xsi:type="dcterms:W3CDTF">2024-09-07T09:32:00Z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fce6da1f9f3ad5eab99d5d5acaa47a5f0dde1b0973695926e30e369368bfce92</vt:lpwstr>
  </property>
</Properties>
</file>