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3F3D2" w14:textId="3236478D" w:rsidR="00EC4541" w:rsidRPr="0014528A" w:rsidRDefault="0014528A" w:rsidP="0014528A">
      <w:pPr>
        <w:spacing w:after="0" w:line="276" w:lineRule="auto"/>
        <w:jc w:val="center"/>
        <w:rPr>
          <w:rFonts w:ascii="Palatino Linotype" w:hAnsi="Palatino Linotype" w:cs="Times New Roman"/>
          <w:b/>
          <w:kern w:val="0"/>
          <w:sz w:val="28"/>
          <w:szCs w:val="28"/>
          <w:lang w:val="en-US"/>
          <w14:ligatures w14:val="none"/>
        </w:rPr>
      </w:pPr>
      <w:r w:rsidRPr="0014528A">
        <w:rPr>
          <w:rFonts w:ascii="Palatino Linotype" w:hAnsi="Palatino Linotype" w:cs="Times New Roman"/>
          <w:b/>
          <w:kern w:val="0"/>
          <w:sz w:val="28"/>
          <w:szCs w:val="28"/>
          <w:lang w:val="en-US"/>
          <w14:ligatures w14:val="none"/>
        </w:rPr>
        <w:t>Supplementary file</w:t>
      </w:r>
    </w:p>
    <w:p w14:paraId="398F03AF" w14:textId="77777777" w:rsidR="0014528A" w:rsidRPr="0014528A" w:rsidRDefault="0014528A" w:rsidP="0014528A">
      <w:pPr>
        <w:spacing w:after="0" w:line="276" w:lineRule="auto"/>
        <w:jc w:val="center"/>
        <w:rPr>
          <w:rFonts w:ascii="Palatino Linotype" w:hAnsi="Palatino Linotype" w:cs="Times New Roman"/>
          <w:b/>
          <w:kern w:val="0"/>
          <w:sz w:val="24"/>
          <w:szCs w:val="24"/>
          <w:lang w:val="en-US"/>
          <w14:ligatures w14:val="none"/>
        </w:rPr>
      </w:pPr>
      <w:r w:rsidRPr="0014528A">
        <w:rPr>
          <w:rFonts w:ascii="Palatino Linotype" w:hAnsi="Palatino Linotype" w:cs="Times New Roman"/>
          <w:b/>
          <w:kern w:val="0"/>
          <w:sz w:val="24"/>
          <w:szCs w:val="24"/>
          <w:lang w:val="en-US"/>
          <w14:ligatures w14:val="none"/>
        </w:rPr>
        <w:t xml:space="preserve">Luminescence and Radiocarbon Chronology of Bhagatrav: </w:t>
      </w:r>
    </w:p>
    <w:p w14:paraId="3E8D308F" w14:textId="77777777" w:rsidR="0014528A" w:rsidRPr="0014528A" w:rsidRDefault="0014528A" w:rsidP="0014528A">
      <w:pPr>
        <w:spacing w:after="0" w:line="276" w:lineRule="auto"/>
        <w:jc w:val="center"/>
        <w:rPr>
          <w:rFonts w:ascii="Palatino Linotype" w:hAnsi="Palatino Linotype" w:cs="Times New Roman"/>
          <w:b/>
          <w:kern w:val="0"/>
          <w:sz w:val="20"/>
          <w:szCs w:val="24"/>
          <w:lang w:val="en-US"/>
          <w14:ligatures w14:val="none"/>
        </w:rPr>
      </w:pPr>
      <w:r w:rsidRPr="0014528A">
        <w:rPr>
          <w:rFonts w:ascii="Palatino Linotype" w:hAnsi="Palatino Linotype" w:cs="Times New Roman"/>
          <w:b/>
          <w:kern w:val="0"/>
          <w:sz w:val="24"/>
          <w:szCs w:val="24"/>
          <w:lang w:val="en-US"/>
          <w14:ligatures w14:val="none"/>
        </w:rPr>
        <w:t>A Sorath Harappan Camp Site in South Gujarat</w:t>
      </w:r>
    </w:p>
    <w:p w14:paraId="498CAB93" w14:textId="77777777" w:rsidR="0014528A" w:rsidRPr="0014528A" w:rsidRDefault="0014528A" w:rsidP="0014528A">
      <w:pPr>
        <w:spacing w:after="0" w:line="276" w:lineRule="auto"/>
        <w:jc w:val="center"/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</w:pPr>
    </w:p>
    <w:p w14:paraId="349F0723" w14:textId="77777777" w:rsidR="0014528A" w:rsidRPr="0014528A" w:rsidRDefault="0014528A" w:rsidP="0014528A">
      <w:pPr>
        <w:spacing w:after="0" w:line="276" w:lineRule="auto"/>
        <w:jc w:val="center"/>
        <w:rPr>
          <w:rFonts w:ascii="Palatino Linotype" w:hAnsi="Palatino Linotype" w:cs="Times New Roman"/>
          <w:kern w:val="0"/>
          <w:szCs w:val="24"/>
          <w:lang w:val="en-US"/>
          <w14:ligatures w14:val="none"/>
        </w:rPr>
      </w:pPr>
      <w:r w:rsidRPr="0014528A">
        <w:rPr>
          <w:rFonts w:ascii="Palatino Linotype" w:hAnsi="Palatino Linotype" w:cs="Times New Roman"/>
          <w:kern w:val="0"/>
          <w:szCs w:val="24"/>
          <w:lang w:val="en-US"/>
          <w14:ligatures w14:val="none"/>
        </w:rPr>
        <w:t>Alok Kumar Kanungo</w:t>
      </w:r>
      <w:r w:rsidRPr="0014528A">
        <w:rPr>
          <w:rFonts w:ascii="Palatino Linotype" w:hAnsi="Palatino Linotype" w:cs="Times New Roman"/>
          <w:kern w:val="0"/>
          <w:szCs w:val="24"/>
          <w:vertAlign w:val="superscript"/>
          <w:lang w:val="en-US"/>
          <w14:ligatures w14:val="none"/>
        </w:rPr>
        <w:t>1,2</w:t>
      </w:r>
      <w:r w:rsidRPr="0014528A">
        <w:rPr>
          <w:rFonts w:ascii="Palatino Linotype" w:hAnsi="Palatino Linotype" w:cs="Times New Roman"/>
          <w:kern w:val="0"/>
          <w:szCs w:val="24"/>
          <w:lang w:val="en-US"/>
          <w14:ligatures w14:val="none"/>
        </w:rPr>
        <w:t>, Rahul Kumar Kaushal</w:t>
      </w:r>
      <w:r w:rsidRPr="0014528A">
        <w:rPr>
          <w:rFonts w:ascii="Palatino Linotype" w:hAnsi="Palatino Linotype" w:cs="Times New Roman"/>
          <w:kern w:val="0"/>
          <w:szCs w:val="24"/>
          <w:vertAlign w:val="superscript"/>
          <w:lang w:val="en-US"/>
          <w14:ligatures w14:val="none"/>
        </w:rPr>
        <w:t>3</w:t>
      </w:r>
      <w:r w:rsidRPr="0014528A">
        <w:rPr>
          <w:rFonts w:ascii="Palatino Linotype" w:hAnsi="Palatino Linotype" w:cs="Times New Roman"/>
          <w:kern w:val="0"/>
          <w:szCs w:val="24"/>
          <w:lang w:val="en-US"/>
          <w14:ligatures w14:val="none"/>
        </w:rPr>
        <w:t>, Ravi Bhushan</w:t>
      </w:r>
      <w:r w:rsidRPr="0014528A">
        <w:rPr>
          <w:rFonts w:ascii="Palatino Linotype" w:hAnsi="Palatino Linotype" w:cs="Times New Roman"/>
          <w:kern w:val="0"/>
          <w:szCs w:val="24"/>
          <w:vertAlign w:val="superscript"/>
          <w:lang w:val="en-US"/>
          <w14:ligatures w14:val="none"/>
        </w:rPr>
        <w:t>3</w:t>
      </w:r>
      <w:r w:rsidRPr="0014528A">
        <w:rPr>
          <w:rFonts w:ascii="Palatino Linotype" w:hAnsi="Palatino Linotype" w:cs="Times New Roman"/>
          <w:kern w:val="0"/>
          <w:szCs w:val="24"/>
          <w:lang w:val="en-US"/>
          <w14:ligatures w14:val="none"/>
        </w:rPr>
        <w:t>, Naveen Chauhan</w:t>
      </w:r>
      <w:r w:rsidRPr="0014528A">
        <w:rPr>
          <w:rFonts w:ascii="Palatino Linotype" w:hAnsi="Palatino Linotype" w:cs="Times New Roman"/>
          <w:kern w:val="0"/>
          <w:szCs w:val="24"/>
          <w:vertAlign w:val="superscript"/>
          <w:lang w:val="en-US"/>
          <w14:ligatures w14:val="none"/>
        </w:rPr>
        <w:t>3</w:t>
      </w:r>
      <w:r w:rsidRPr="0014528A">
        <w:rPr>
          <w:rFonts w:ascii="Palatino Linotype" w:hAnsi="Palatino Linotype" w:cs="Times New Roman"/>
          <w:kern w:val="0"/>
          <w:szCs w:val="24"/>
          <w:lang w:val="en-US"/>
          <w14:ligatures w14:val="none"/>
        </w:rPr>
        <w:t xml:space="preserve">, </w:t>
      </w:r>
      <w:proofErr w:type="spellStart"/>
      <w:r w:rsidRPr="0014528A">
        <w:rPr>
          <w:rFonts w:ascii="Palatino Linotype" w:hAnsi="Palatino Linotype" w:cs="Times New Roman"/>
          <w:kern w:val="0"/>
          <w:szCs w:val="24"/>
          <w:lang w:val="en-US"/>
          <w14:ligatures w14:val="none"/>
        </w:rPr>
        <w:t>Jeewan</w:t>
      </w:r>
      <w:proofErr w:type="spellEnd"/>
      <w:r w:rsidRPr="0014528A">
        <w:rPr>
          <w:rFonts w:ascii="Palatino Linotype" w:hAnsi="Palatino Linotype" w:cs="Times New Roman"/>
          <w:kern w:val="0"/>
          <w:szCs w:val="24"/>
          <w:lang w:val="en-US"/>
          <w14:ligatures w14:val="none"/>
        </w:rPr>
        <w:t xml:space="preserve"> Singh Kharakwal</w:t>
      </w:r>
      <w:r w:rsidRPr="0014528A">
        <w:rPr>
          <w:rFonts w:ascii="Palatino Linotype" w:hAnsi="Palatino Linotype" w:cs="Times New Roman"/>
          <w:kern w:val="0"/>
          <w:szCs w:val="24"/>
          <w:vertAlign w:val="superscript"/>
          <w:lang w:val="en-US"/>
          <w14:ligatures w14:val="none"/>
        </w:rPr>
        <w:t>4</w:t>
      </w:r>
      <w:r w:rsidRPr="0014528A">
        <w:rPr>
          <w:rFonts w:ascii="Palatino Linotype" w:hAnsi="Palatino Linotype" w:cs="Times New Roman"/>
          <w:kern w:val="0"/>
          <w:szCs w:val="24"/>
          <w:lang w:val="en-US"/>
          <w14:ligatures w14:val="none"/>
        </w:rPr>
        <w:t xml:space="preserve"> and Shahida Ansari</w:t>
      </w:r>
      <w:r w:rsidRPr="0014528A">
        <w:rPr>
          <w:rFonts w:ascii="Palatino Linotype" w:hAnsi="Palatino Linotype" w:cs="Times New Roman"/>
          <w:kern w:val="0"/>
          <w:szCs w:val="24"/>
          <w:vertAlign w:val="superscript"/>
          <w:lang w:val="en-US"/>
          <w14:ligatures w14:val="none"/>
        </w:rPr>
        <w:t>5</w:t>
      </w:r>
    </w:p>
    <w:p w14:paraId="28D60887" w14:textId="77777777" w:rsidR="003642AF" w:rsidRDefault="003642AF" w:rsidP="003642AF">
      <w:pPr>
        <w:spacing w:after="0" w:line="276" w:lineRule="auto"/>
        <w:jc w:val="both"/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</w:pPr>
    </w:p>
    <w:p w14:paraId="6839AB86" w14:textId="77777777" w:rsidR="003642AF" w:rsidRDefault="003642AF" w:rsidP="003642AF">
      <w:pPr>
        <w:spacing w:after="0" w:line="276" w:lineRule="auto"/>
        <w:jc w:val="both"/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</w:pPr>
    </w:p>
    <w:p w14:paraId="5A4452B5" w14:textId="77777777" w:rsidR="003642AF" w:rsidRDefault="003642AF" w:rsidP="003642AF">
      <w:pPr>
        <w:spacing w:after="0" w:line="276" w:lineRule="auto"/>
        <w:jc w:val="both"/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</w:pPr>
    </w:p>
    <w:p w14:paraId="66E72337" w14:textId="0473BE0C" w:rsidR="003642AF" w:rsidRDefault="006A3457" w:rsidP="003642AF">
      <w:pPr>
        <w:spacing w:after="0" w:line="276" w:lineRule="auto"/>
        <w:jc w:val="both"/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  <w:t xml:space="preserve">Text S1: </w:t>
      </w:r>
      <w:r w:rsidRPr="006A3457"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  <w:t>Geochemical Procedures for Sample Preparation</w:t>
      </w:r>
      <w:r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  <w:t>-</w:t>
      </w:r>
    </w:p>
    <w:p w14:paraId="51118735" w14:textId="77777777" w:rsidR="002A32A3" w:rsidRDefault="002A32A3" w:rsidP="003642AF">
      <w:pPr>
        <w:spacing w:after="0" w:line="276" w:lineRule="auto"/>
        <w:jc w:val="both"/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</w:pPr>
    </w:p>
    <w:p w14:paraId="4A64A28F" w14:textId="79A191B2" w:rsidR="00A577D3" w:rsidRDefault="008D7B8E" w:rsidP="00B634FB">
      <w:pPr>
        <w:spacing w:after="0" w:line="276" w:lineRule="auto"/>
        <w:jc w:val="both"/>
        <w:rPr>
          <w:rFonts w:ascii="Palatino Linotype" w:hAnsi="Palatino Linotype" w:cs="Arial"/>
          <w:kern w:val="0"/>
          <w:lang w:val="en-US"/>
          <w14:ligatures w14:val="none"/>
        </w:rPr>
      </w:pPr>
      <w:r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  <w:t xml:space="preserve">We followed </w:t>
      </w:r>
      <w:r w:rsidRPr="00C34343"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  <w:t>Zimmerman</w:t>
      </w:r>
      <w:r w:rsidR="00C34343" w:rsidRPr="00C34343"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  <w:t xml:space="preserve"> (1971) procedure for preparing fine-grain polymineral samples for luminescence analysis.</w:t>
      </w:r>
      <w:r w:rsidR="00C34343"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  <w:t>In this method, t</w:t>
      </w:r>
      <w:r w:rsidR="003642AF" w:rsidRPr="003642AF"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  <w:t>he crushed pottery samples were treated with 1N HCl and 30% H</w:t>
      </w:r>
      <w:r w:rsidR="003642AF" w:rsidRPr="003642AF">
        <w:rPr>
          <w:rFonts w:ascii="Palatino Linotype" w:hAnsi="Palatino Linotype" w:cs="Times New Roman"/>
          <w:kern w:val="0"/>
          <w:sz w:val="24"/>
          <w:szCs w:val="24"/>
          <w:vertAlign w:val="subscript"/>
          <w:lang w:val="en-US"/>
          <w14:ligatures w14:val="none"/>
        </w:rPr>
        <w:t>2</w:t>
      </w:r>
      <w:r w:rsidR="003642AF" w:rsidRPr="003642AF"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  <w:t>O</w:t>
      </w:r>
      <w:r w:rsidR="003642AF" w:rsidRPr="003642AF">
        <w:rPr>
          <w:rFonts w:ascii="Palatino Linotype" w:hAnsi="Palatino Linotype" w:cs="Times New Roman"/>
          <w:kern w:val="0"/>
          <w:sz w:val="24"/>
          <w:szCs w:val="24"/>
          <w:vertAlign w:val="subscript"/>
          <w:lang w:val="en-US"/>
          <w14:ligatures w14:val="none"/>
        </w:rPr>
        <w:t>2</w:t>
      </w:r>
      <w:r w:rsidR="003642AF" w:rsidRPr="003642AF">
        <w:rPr>
          <w:rFonts w:ascii="Palatino Linotype" w:hAnsi="Palatino Linotype" w:cs="Times New Roman"/>
          <w:kern w:val="0"/>
          <w:sz w:val="24"/>
          <w:szCs w:val="24"/>
          <w:lang w:val="en-US"/>
          <w14:ligatures w14:val="none"/>
        </w:rPr>
        <w:t xml:space="preserve"> to remove any carbonates and organic materials respectively and washed thoroughly afterward. The samples were then de-flocculated in 0.1N sodium oxalate with multiple cycles of ultrasonic bath for desegregation. The deflocculated sediment fraction was used for separating required fine grains of size 4-11 μm using stokes settling method as suggested by Aitken (1985) and Zimmerman (1971). The separated fine grain fraction is then dissolved in a sufficient amount of alcohol to form a diluted colloidal suspension. The fine grains are then settled on polished aluminium discs in small 1 mm diameter vials and dried in an oven kept at 45 °C to make aliquot for measurement. </w:t>
      </w:r>
    </w:p>
    <w:p w14:paraId="228EF3FC" w14:textId="77777777" w:rsidR="00A577D3" w:rsidRDefault="00A577D3" w:rsidP="00A577D3">
      <w:pPr>
        <w:spacing w:after="0" w:line="240" w:lineRule="auto"/>
        <w:ind w:left="540" w:hanging="540"/>
        <w:jc w:val="both"/>
        <w:rPr>
          <w:rFonts w:ascii="Palatino Linotype" w:hAnsi="Palatino Linotype" w:cs="Arial"/>
          <w:kern w:val="0"/>
          <w:lang w:val="en-US"/>
          <w14:ligatures w14:val="none"/>
        </w:rPr>
      </w:pPr>
    </w:p>
    <w:p w14:paraId="74B066D4" w14:textId="77777777" w:rsidR="00A577D3" w:rsidRDefault="00A577D3" w:rsidP="00A577D3">
      <w:pPr>
        <w:spacing w:after="0" w:line="240" w:lineRule="auto"/>
        <w:ind w:left="540" w:hanging="540"/>
        <w:jc w:val="both"/>
        <w:rPr>
          <w:rFonts w:ascii="Palatino Linotype" w:hAnsi="Palatino Linotype" w:cs="Arial"/>
          <w:kern w:val="0"/>
          <w:lang w:val="en-US"/>
          <w14:ligatures w14:val="none"/>
        </w:rPr>
      </w:pPr>
    </w:p>
    <w:p w14:paraId="12A165E3" w14:textId="77777777" w:rsidR="00A577D3" w:rsidRDefault="00A577D3" w:rsidP="00A577D3">
      <w:pPr>
        <w:spacing w:after="0" w:line="240" w:lineRule="auto"/>
        <w:ind w:left="540" w:hanging="540"/>
        <w:jc w:val="both"/>
        <w:rPr>
          <w:rFonts w:ascii="Palatino Linotype" w:hAnsi="Palatino Linotype" w:cs="Arial"/>
          <w:kern w:val="0"/>
          <w:lang w:val="en-US"/>
          <w14:ligatures w14:val="none"/>
        </w:rPr>
      </w:pPr>
    </w:p>
    <w:p w14:paraId="105737CD" w14:textId="77777777" w:rsidR="00A577D3" w:rsidRDefault="00A577D3" w:rsidP="00A577D3">
      <w:pPr>
        <w:spacing w:after="0" w:line="240" w:lineRule="auto"/>
        <w:ind w:left="540" w:hanging="540"/>
        <w:jc w:val="both"/>
        <w:rPr>
          <w:rFonts w:ascii="Palatino Linotype" w:hAnsi="Palatino Linotype" w:cs="Arial"/>
          <w:kern w:val="0"/>
          <w:lang w:val="en-US"/>
          <w14:ligatures w14:val="none"/>
        </w:rPr>
      </w:pPr>
    </w:p>
    <w:p w14:paraId="2C44B195" w14:textId="77777777" w:rsidR="00A577D3" w:rsidRDefault="00A577D3" w:rsidP="00A577D3">
      <w:pPr>
        <w:spacing w:after="0" w:line="240" w:lineRule="auto"/>
        <w:ind w:left="540" w:hanging="540"/>
        <w:jc w:val="both"/>
        <w:rPr>
          <w:rFonts w:ascii="Palatino Linotype" w:hAnsi="Palatino Linotype" w:cs="Arial"/>
          <w:kern w:val="0"/>
          <w:lang w:val="en-US"/>
          <w14:ligatures w14:val="none"/>
        </w:rPr>
      </w:pPr>
      <w:bookmarkStart w:id="0" w:name="_GoBack"/>
      <w:bookmarkEnd w:id="0"/>
    </w:p>
    <w:p w14:paraId="33667A41" w14:textId="77777777" w:rsidR="00A577D3" w:rsidRDefault="00A577D3" w:rsidP="00A577D3">
      <w:pPr>
        <w:spacing w:after="0" w:line="240" w:lineRule="auto"/>
        <w:ind w:left="540" w:hanging="540"/>
        <w:jc w:val="both"/>
        <w:rPr>
          <w:rFonts w:ascii="Palatino Linotype" w:hAnsi="Palatino Linotype" w:cs="Arial"/>
          <w:kern w:val="0"/>
          <w:lang w:val="en-US"/>
          <w14:ligatures w14:val="none"/>
        </w:rPr>
      </w:pPr>
    </w:p>
    <w:p w14:paraId="55EE9CB1" w14:textId="6683E586" w:rsidR="00A577D3" w:rsidRDefault="00A577D3" w:rsidP="00A577D3">
      <w:pPr>
        <w:spacing w:after="0" w:line="240" w:lineRule="auto"/>
        <w:ind w:left="540" w:hanging="540"/>
        <w:jc w:val="both"/>
        <w:rPr>
          <w:rFonts w:ascii="Palatino Linotype" w:hAnsi="Palatino Linotype" w:cs="Arial"/>
          <w:kern w:val="0"/>
          <w:lang w:val="en-US"/>
          <w14:ligatures w14:val="none"/>
        </w:rPr>
      </w:pPr>
      <w:r>
        <w:rPr>
          <w:rFonts w:ascii="Palatino Linotype" w:hAnsi="Palatino Linotype" w:cs="Arial"/>
          <w:kern w:val="0"/>
          <w:lang w:val="en-US"/>
          <w14:ligatures w14:val="none"/>
        </w:rPr>
        <w:t xml:space="preserve">References: </w:t>
      </w:r>
    </w:p>
    <w:p w14:paraId="14C2A3B2" w14:textId="77777777" w:rsidR="00A577D3" w:rsidRDefault="00A577D3" w:rsidP="00A65876">
      <w:pPr>
        <w:spacing w:after="0" w:line="240" w:lineRule="auto"/>
        <w:ind w:left="540" w:hanging="540"/>
        <w:jc w:val="both"/>
        <w:rPr>
          <w:rFonts w:ascii="Palatino Linotype" w:hAnsi="Palatino Linotype" w:cs="Arial"/>
          <w:kern w:val="0"/>
          <w:lang w:val="en-US"/>
          <w14:ligatures w14:val="none"/>
        </w:rPr>
      </w:pPr>
    </w:p>
    <w:p w14:paraId="4F19A1E3" w14:textId="7D6CE733" w:rsidR="00A577D3" w:rsidRPr="00A577D3" w:rsidRDefault="00A577D3" w:rsidP="00A65876">
      <w:pPr>
        <w:spacing w:after="0" w:line="240" w:lineRule="auto"/>
        <w:ind w:left="540" w:hanging="540"/>
        <w:jc w:val="both"/>
        <w:rPr>
          <w:rFonts w:ascii="Palatino Linotype" w:hAnsi="Palatino Linotype" w:cs="Arial"/>
          <w:kern w:val="0"/>
          <w:lang w:val="en-US"/>
          <w14:ligatures w14:val="none"/>
        </w:rPr>
      </w:pPr>
      <w:r w:rsidRPr="00A577D3">
        <w:rPr>
          <w:rFonts w:ascii="Palatino Linotype" w:hAnsi="Palatino Linotype" w:cs="Arial"/>
          <w:kern w:val="0"/>
          <w:lang w:val="en-US"/>
          <w14:ligatures w14:val="none"/>
        </w:rPr>
        <w:t xml:space="preserve">Aitken, </w:t>
      </w:r>
      <w:r w:rsidRPr="00A577D3">
        <w:rPr>
          <w:rFonts w:ascii="Palatino Linotype" w:hAnsi="Palatino Linotype" w:cs="Arial"/>
          <w:kern w:val="0"/>
          <w:shd w:val="clear" w:color="auto" w:fill="FFFFFF"/>
          <w:lang w:val="en-US"/>
          <w14:ligatures w14:val="none"/>
        </w:rPr>
        <w:t xml:space="preserve">Martin Jim </w:t>
      </w:r>
      <w:r w:rsidRPr="00A577D3">
        <w:rPr>
          <w:rFonts w:ascii="Palatino Linotype" w:hAnsi="Palatino Linotype" w:cs="Arial"/>
          <w:kern w:val="0"/>
          <w:lang w:val="en-US"/>
          <w14:ligatures w14:val="none"/>
        </w:rPr>
        <w:t>1985. Thermoluminescence Dating. London: Academic Press.</w:t>
      </w:r>
    </w:p>
    <w:p w14:paraId="3FF5D0D1" w14:textId="62881E50" w:rsidR="0014528A" w:rsidRDefault="00A65876" w:rsidP="00A65876">
      <w:pPr>
        <w:jc w:val="both"/>
      </w:pPr>
      <w:r w:rsidRPr="00811EFF">
        <w:rPr>
          <w:rFonts w:ascii="Palatino Linotype" w:hAnsi="Palatino Linotype" w:cs="Times New Roman"/>
        </w:rPr>
        <w:t>Zimmerman, D</w:t>
      </w:r>
      <w:r>
        <w:rPr>
          <w:rFonts w:ascii="Palatino Linotype" w:hAnsi="Palatino Linotype" w:cs="Times New Roman"/>
        </w:rPr>
        <w:t xml:space="preserve">avid </w:t>
      </w:r>
      <w:r w:rsidRPr="00811EFF">
        <w:rPr>
          <w:rFonts w:ascii="Palatino Linotype" w:hAnsi="Palatino Linotype" w:cs="Times New Roman"/>
        </w:rPr>
        <w:t>W</w:t>
      </w:r>
      <w:r>
        <w:rPr>
          <w:rFonts w:ascii="Palatino Linotype" w:hAnsi="Palatino Linotype" w:cs="Times New Roman"/>
        </w:rPr>
        <w:t>illiam</w:t>
      </w:r>
      <w:r w:rsidRPr="00811EFF">
        <w:rPr>
          <w:rFonts w:ascii="Palatino Linotype" w:hAnsi="Palatino Linotype" w:cs="Times New Roman"/>
        </w:rPr>
        <w:t xml:space="preserve"> 971. </w:t>
      </w:r>
      <w:proofErr w:type="spellStart"/>
      <w:r w:rsidRPr="00811EFF">
        <w:rPr>
          <w:rFonts w:ascii="Palatino Linotype" w:hAnsi="Palatino Linotype"/>
          <w:shd w:val="clear" w:color="auto" w:fill="FFFFFF"/>
        </w:rPr>
        <w:t>Thermoluminescent</w:t>
      </w:r>
      <w:proofErr w:type="spellEnd"/>
      <w:r w:rsidRPr="00811EFF">
        <w:rPr>
          <w:rFonts w:ascii="Palatino Linotype" w:hAnsi="Palatino Linotype" w:cs="Times New Roman"/>
        </w:rPr>
        <w:t xml:space="preserve"> Dating using Fine Grains from Pottery. Archaeometry 13:29-52. </w:t>
      </w:r>
      <w:hyperlink r:id="rId4" w:history="1">
        <w:r w:rsidRPr="00811EFF">
          <w:rPr>
            <w:rStyle w:val="Hyperlink"/>
            <w:rFonts w:ascii="Palatino Linotype" w:hAnsi="Palatino Linotype"/>
            <w:shd w:val="clear" w:color="auto" w:fill="FFFFFF"/>
          </w:rPr>
          <w:t>http://dx.doi.org/10.1111/j.1475-4754.1971.tb00028.x</w:t>
        </w:r>
      </w:hyperlink>
    </w:p>
    <w:sectPr w:rsidR="0014528A" w:rsidSect="003C74AA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66"/>
    <w:rsid w:val="0014528A"/>
    <w:rsid w:val="00153BDE"/>
    <w:rsid w:val="002A32A3"/>
    <w:rsid w:val="003642AF"/>
    <w:rsid w:val="003C74AA"/>
    <w:rsid w:val="006A3457"/>
    <w:rsid w:val="006E2FAF"/>
    <w:rsid w:val="008D1E66"/>
    <w:rsid w:val="008D7B8E"/>
    <w:rsid w:val="00A577D3"/>
    <w:rsid w:val="00A65876"/>
    <w:rsid w:val="00B634FB"/>
    <w:rsid w:val="00BD7F2D"/>
    <w:rsid w:val="00C34343"/>
    <w:rsid w:val="00C945A0"/>
    <w:rsid w:val="00E10E93"/>
    <w:rsid w:val="00E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1DC58"/>
  <w15:chartTrackingRefBased/>
  <w15:docId w15:val="{8817B31D-434F-4D7E-8D0E-B9F8551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111/j.1475-4754.1971.tb00028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1278</Characters>
  <Application>Microsoft Office Word</Application>
  <DocSecurity>0</DocSecurity>
  <Lines>37</Lines>
  <Paragraphs>11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kaushal</dc:creator>
  <cp:keywords/>
  <dc:description/>
  <cp:lastModifiedBy>Alok</cp:lastModifiedBy>
  <cp:revision>20</cp:revision>
  <dcterms:created xsi:type="dcterms:W3CDTF">2024-05-23T21:43:00Z</dcterms:created>
  <dcterms:modified xsi:type="dcterms:W3CDTF">2024-05-24T02:12:00Z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31405c842d00b3625bf353beddb4fff8438c00e4aaf61044e37218eb492bc72b</vt:lpwstr>
  </property>
</Properties>
</file>