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B196" w14:textId="77777777" w:rsidR="00977BAD" w:rsidRPr="003F511D" w:rsidRDefault="00714080" w:rsidP="00714080">
      <w:pPr>
        <w:pStyle w:val="Heading3"/>
        <w:jc w:val="center"/>
      </w:pPr>
      <w:r w:rsidRPr="003F511D">
        <w:t>Supplementary Information 1 (</w:t>
      </w:r>
      <w:r w:rsidR="00E71306" w:rsidRPr="003F511D">
        <w:t>SI1</w:t>
      </w:r>
      <w:r w:rsidRPr="003F511D">
        <w:t>)</w:t>
      </w:r>
      <w:r w:rsidR="00E71306" w:rsidRPr="003F511D">
        <w:t xml:space="preserve">: </w:t>
      </w:r>
    </w:p>
    <w:p w14:paraId="7A7E97D0" w14:textId="2381A66F" w:rsidR="00FF038B" w:rsidRPr="003F511D" w:rsidRDefault="00E71306" w:rsidP="00714080">
      <w:pPr>
        <w:pStyle w:val="Heading3"/>
        <w:jc w:val="center"/>
      </w:pPr>
      <w:r w:rsidRPr="003F511D">
        <w:t xml:space="preserve">Full set of </w:t>
      </w:r>
      <w:r w:rsidR="00515A66" w:rsidRPr="003F511D">
        <w:t xml:space="preserve">CIO </w:t>
      </w:r>
      <w:r w:rsidRPr="003F511D">
        <w:t xml:space="preserve">results </w:t>
      </w:r>
    </w:p>
    <w:p w14:paraId="524F77C8" w14:textId="77777777" w:rsidR="00FF038B" w:rsidRPr="003F511D" w:rsidRDefault="00FF038B" w:rsidP="00E71306">
      <w:pPr>
        <w:pStyle w:val="Heading3"/>
      </w:pPr>
    </w:p>
    <w:p w14:paraId="56A3E390" w14:textId="5529E671" w:rsidR="00E71306" w:rsidRPr="003F511D" w:rsidRDefault="00E71306" w:rsidP="00E91DDC">
      <w:pPr>
        <w:pStyle w:val="Heading3"/>
        <w:rPr>
          <w:rFonts w:asciiTheme="minorHAnsi" w:hAnsiTheme="minorHAnsi" w:cstheme="minorHAnsi"/>
          <w:b w:val="0"/>
          <w:bCs/>
        </w:rPr>
      </w:pPr>
      <w:r w:rsidRPr="003F511D">
        <w:rPr>
          <w:rFonts w:asciiTheme="minorHAnsi" w:hAnsiTheme="minorHAnsi" w:cstheme="minorHAnsi"/>
          <w:b w:val="0"/>
          <w:bCs/>
        </w:rPr>
        <w:t>Sample</w:t>
      </w:r>
      <w:r w:rsidR="00CF5AD6" w:rsidRPr="003F511D">
        <w:rPr>
          <w:rFonts w:asciiTheme="minorHAnsi" w:hAnsiTheme="minorHAnsi" w:cstheme="minorHAnsi"/>
          <w:b w:val="0"/>
          <w:bCs/>
        </w:rPr>
        <w:t xml:space="preserve"> BIF-E19</w:t>
      </w:r>
      <w:r w:rsidRPr="003F511D">
        <w:rPr>
          <w:rFonts w:asciiTheme="minorHAnsi" w:hAnsiTheme="minorHAnsi" w:cstheme="minorHAnsi"/>
          <w:b w:val="0"/>
          <w:bCs/>
        </w:rPr>
        <w:t xml:space="preserve"> </w:t>
      </w:r>
    </w:p>
    <w:p w14:paraId="03277AB4" w14:textId="77777777" w:rsidR="00243CED" w:rsidRPr="003F511D" w:rsidRDefault="00243CED" w:rsidP="00243CED">
      <w:pPr>
        <w:rPr>
          <w:lang w:val="en-US" w:eastAsia="en-US"/>
        </w:rPr>
      </w:pPr>
    </w:p>
    <w:tbl>
      <w:tblPr>
        <w:tblStyle w:val="TableGrid"/>
        <w:tblW w:w="0" w:type="auto"/>
        <w:jc w:val="center"/>
        <w:tblLook w:val="04A0" w:firstRow="1" w:lastRow="0" w:firstColumn="1" w:lastColumn="0" w:noHBand="0" w:noVBand="1"/>
      </w:tblPr>
      <w:tblGrid>
        <w:gridCol w:w="1799"/>
        <w:gridCol w:w="1423"/>
        <w:gridCol w:w="1680"/>
        <w:gridCol w:w="1482"/>
        <w:gridCol w:w="1316"/>
        <w:gridCol w:w="1316"/>
      </w:tblGrid>
      <w:tr w:rsidR="00FE50F5" w:rsidRPr="003F511D" w14:paraId="561554CA" w14:textId="10C04544" w:rsidTr="00FE50F5">
        <w:trPr>
          <w:trHeight w:val="300"/>
          <w:jc w:val="center"/>
        </w:trPr>
        <w:tc>
          <w:tcPr>
            <w:tcW w:w="1799" w:type="dxa"/>
            <w:vAlign w:val="center"/>
          </w:tcPr>
          <w:p w14:paraId="0144D11B" w14:textId="77777777" w:rsidR="00FE50F5" w:rsidRPr="003F511D" w:rsidRDefault="00FE50F5" w:rsidP="00FE50F5">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Calendar Year (CE)</w:t>
            </w:r>
          </w:p>
        </w:tc>
        <w:tc>
          <w:tcPr>
            <w:tcW w:w="1423" w:type="dxa"/>
            <w:vAlign w:val="center"/>
          </w:tcPr>
          <w:p w14:paraId="4816A025" w14:textId="77777777" w:rsidR="00FE50F5" w:rsidRPr="003F511D" w:rsidRDefault="00FE50F5" w:rsidP="00FE50F5">
            <w:pPr>
              <w:pStyle w:val="NormalWeb"/>
              <w:jc w:val="center"/>
              <w:rPr>
                <w:rFonts w:asciiTheme="minorHAnsi" w:hAnsiTheme="minorHAnsi" w:cstheme="minorHAnsi"/>
                <w:b/>
                <w:color w:val="202122"/>
                <w:sz w:val="22"/>
                <w:szCs w:val="22"/>
                <w:shd w:val="clear" w:color="auto" w:fill="FFFFFF"/>
              </w:rPr>
            </w:pPr>
            <w:r w:rsidRPr="003F511D">
              <w:rPr>
                <w:rFonts w:asciiTheme="minorHAnsi" w:hAnsiTheme="minorHAnsi" w:cstheme="minorHAnsi"/>
                <w:b/>
                <w:color w:val="202122"/>
                <w:sz w:val="22"/>
                <w:szCs w:val="22"/>
                <w:shd w:val="clear" w:color="auto" w:fill="FFFFFF"/>
              </w:rPr>
              <w:t>Δ</w:t>
            </w:r>
            <w:r w:rsidRPr="003F511D">
              <w:rPr>
                <w:rFonts w:asciiTheme="minorHAnsi" w:hAnsiTheme="minorHAnsi" w:cstheme="minorHAnsi"/>
                <w:b/>
                <w:sz w:val="22"/>
                <w:szCs w:val="22"/>
                <w:vertAlign w:val="superscript"/>
              </w:rPr>
              <w:t>14</w:t>
            </w:r>
            <w:r w:rsidRPr="003F511D">
              <w:rPr>
                <w:rFonts w:asciiTheme="minorHAnsi" w:hAnsiTheme="minorHAnsi" w:cstheme="minorHAnsi"/>
                <w:b/>
                <w:sz w:val="22"/>
                <w:szCs w:val="22"/>
              </w:rPr>
              <w:t>C (</w:t>
            </w:r>
            <w:r w:rsidRPr="003F511D">
              <w:rPr>
                <w:rFonts w:asciiTheme="minorHAnsi" w:hAnsiTheme="minorHAnsi" w:cstheme="minorHAnsi"/>
                <w:b/>
                <w:color w:val="202122"/>
                <w:sz w:val="22"/>
                <w:szCs w:val="22"/>
                <w:shd w:val="clear" w:color="auto" w:fill="F8F9FA"/>
              </w:rPr>
              <w:t>‰</w:t>
            </w:r>
            <w:r w:rsidRPr="003F511D">
              <w:rPr>
                <w:rFonts w:asciiTheme="minorHAnsi" w:hAnsiTheme="minorHAnsi" w:cstheme="minorHAnsi"/>
                <w:b/>
                <w:sz w:val="22"/>
                <w:szCs w:val="22"/>
              </w:rPr>
              <w:t>)</w:t>
            </w:r>
          </w:p>
        </w:tc>
        <w:tc>
          <w:tcPr>
            <w:tcW w:w="1680" w:type="dxa"/>
            <w:vAlign w:val="center"/>
          </w:tcPr>
          <w:p w14:paraId="270A9325" w14:textId="77777777" w:rsidR="00FE50F5" w:rsidRPr="003F511D" w:rsidRDefault="00FE50F5" w:rsidP="00FE50F5">
            <w:pPr>
              <w:pStyle w:val="NormalWeb"/>
              <w:jc w:val="center"/>
              <w:rPr>
                <w:rFonts w:asciiTheme="minorHAnsi" w:hAnsiTheme="minorHAnsi" w:cstheme="minorHAnsi"/>
                <w:b/>
                <w:sz w:val="22"/>
                <w:szCs w:val="22"/>
              </w:rPr>
            </w:pPr>
            <w:r w:rsidRPr="003F511D">
              <w:rPr>
                <w:rStyle w:val="Strong"/>
                <w:rFonts w:asciiTheme="minorHAnsi" w:hAnsiTheme="minorHAnsi" w:cstheme="minorHAnsi"/>
                <w:color w:val="202122"/>
                <w:sz w:val="22"/>
                <w:szCs w:val="22"/>
                <w:shd w:val="clear" w:color="auto" w:fill="FFFFFF"/>
              </w:rPr>
              <w:t>± σ</w:t>
            </w:r>
            <w:r w:rsidRPr="003F511D">
              <w:rPr>
                <w:rFonts w:asciiTheme="minorHAnsi" w:hAnsiTheme="minorHAnsi" w:cstheme="minorHAnsi"/>
                <w:b/>
                <w:sz w:val="22"/>
                <w:szCs w:val="22"/>
              </w:rPr>
              <w:t xml:space="preserve"> (</w:t>
            </w:r>
            <w:r w:rsidRPr="003F511D">
              <w:rPr>
                <w:rFonts w:asciiTheme="minorHAnsi" w:hAnsiTheme="minorHAnsi" w:cstheme="minorHAnsi"/>
                <w:b/>
                <w:color w:val="202122"/>
                <w:sz w:val="22"/>
                <w:szCs w:val="22"/>
                <w:shd w:val="clear" w:color="auto" w:fill="F8F9FA"/>
              </w:rPr>
              <w:t>‰</w:t>
            </w:r>
            <w:r w:rsidRPr="003F511D">
              <w:rPr>
                <w:rFonts w:asciiTheme="minorHAnsi" w:hAnsiTheme="minorHAnsi" w:cstheme="minorHAnsi"/>
                <w:b/>
                <w:sz w:val="22"/>
                <w:szCs w:val="22"/>
              </w:rPr>
              <w:t>)</w:t>
            </w:r>
          </w:p>
        </w:tc>
        <w:tc>
          <w:tcPr>
            <w:tcW w:w="1482" w:type="dxa"/>
            <w:vAlign w:val="center"/>
          </w:tcPr>
          <w:p w14:paraId="5BBBC05E" w14:textId="77777777" w:rsidR="00FE50F5" w:rsidRPr="003F511D" w:rsidRDefault="00FE50F5" w:rsidP="00FE50F5">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Batch nr</w:t>
            </w:r>
          </w:p>
        </w:tc>
        <w:tc>
          <w:tcPr>
            <w:tcW w:w="1316" w:type="dxa"/>
            <w:vAlign w:val="center"/>
          </w:tcPr>
          <w:p w14:paraId="4CCFAC64" w14:textId="5E1480A9" w:rsidR="00FE50F5" w:rsidRPr="003F511D" w:rsidRDefault="00FE50F5" w:rsidP="00FE50F5">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T-statistic</w:t>
            </w:r>
          </w:p>
        </w:tc>
        <w:tc>
          <w:tcPr>
            <w:tcW w:w="1316" w:type="dxa"/>
            <w:vAlign w:val="center"/>
          </w:tcPr>
          <w:p w14:paraId="3B2E0A02" w14:textId="4BF7BA0F" w:rsidR="00FE50F5" w:rsidRPr="003F511D" w:rsidRDefault="00BD70AD" w:rsidP="00FE50F5">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sym w:font="Symbol" w:char="F063"/>
            </w:r>
            <w:r w:rsidRPr="003F511D">
              <w:rPr>
                <w:rFonts w:asciiTheme="minorHAnsi" w:hAnsiTheme="minorHAnsi" w:cstheme="minorHAnsi"/>
                <w:b/>
                <w:sz w:val="22"/>
                <w:szCs w:val="22"/>
                <w:vertAlign w:val="superscript"/>
              </w:rPr>
              <w:t>2</w:t>
            </w:r>
            <w:r w:rsidR="00BE3336" w:rsidRPr="003F511D">
              <w:rPr>
                <w:rFonts w:asciiTheme="minorHAnsi" w:hAnsiTheme="minorHAnsi" w:cstheme="minorHAnsi"/>
                <w:b/>
                <w:sz w:val="22"/>
                <w:szCs w:val="22"/>
              </w:rPr>
              <w:t>-t</w:t>
            </w:r>
            <w:r w:rsidR="00FE50F5" w:rsidRPr="003F511D">
              <w:rPr>
                <w:rFonts w:asciiTheme="minorHAnsi" w:hAnsiTheme="minorHAnsi" w:cstheme="minorHAnsi"/>
                <w:b/>
                <w:sz w:val="22"/>
                <w:szCs w:val="22"/>
              </w:rPr>
              <w:t>est</w:t>
            </w:r>
          </w:p>
        </w:tc>
      </w:tr>
      <w:tr w:rsidR="00FE50F5" w:rsidRPr="003F511D" w14:paraId="2ED843DA" w14:textId="7042D36D" w:rsidTr="00FE50F5">
        <w:trPr>
          <w:jc w:val="center"/>
        </w:trPr>
        <w:tc>
          <w:tcPr>
            <w:tcW w:w="1799" w:type="dxa"/>
            <w:vAlign w:val="center"/>
          </w:tcPr>
          <w:p w14:paraId="0B62A8C5"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1049</w:t>
            </w:r>
          </w:p>
        </w:tc>
        <w:tc>
          <w:tcPr>
            <w:tcW w:w="1423" w:type="dxa"/>
            <w:vAlign w:val="center"/>
          </w:tcPr>
          <w:p w14:paraId="62F149CF" w14:textId="49AA90A5"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w:t>
            </w:r>
            <w:r w:rsidR="00422C3D">
              <w:rPr>
                <w:rFonts w:asciiTheme="minorHAnsi" w:hAnsiTheme="minorHAnsi" w:cstheme="minorHAnsi"/>
                <w:color w:val="000000"/>
                <w:sz w:val="22"/>
                <w:szCs w:val="22"/>
              </w:rPr>
              <w:t>8.00</w:t>
            </w:r>
          </w:p>
        </w:tc>
        <w:tc>
          <w:tcPr>
            <w:tcW w:w="1680" w:type="dxa"/>
            <w:vAlign w:val="center"/>
          </w:tcPr>
          <w:p w14:paraId="5DA96589" w14:textId="7FC2976B"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3.4</w:t>
            </w:r>
            <w:r w:rsidR="00526815">
              <w:rPr>
                <w:rFonts w:asciiTheme="minorHAnsi" w:hAnsiTheme="minorHAnsi" w:cstheme="minorHAnsi"/>
                <w:color w:val="000000"/>
                <w:sz w:val="22"/>
                <w:szCs w:val="22"/>
              </w:rPr>
              <w:t>6</w:t>
            </w:r>
          </w:p>
        </w:tc>
        <w:tc>
          <w:tcPr>
            <w:tcW w:w="1482" w:type="dxa"/>
            <w:vAlign w:val="center"/>
          </w:tcPr>
          <w:p w14:paraId="46A922B8"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16" w:type="dxa"/>
            <w:vMerge w:val="restart"/>
            <w:vAlign w:val="center"/>
          </w:tcPr>
          <w:p w14:paraId="61A5C089" w14:textId="6060C8CA" w:rsidR="00FE50F5" w:rsidRPr="003F511D" w:rsidRDefault="00FE50F5"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0.11</w:t>
            </w:r>
            <w:r w:rsidR="00474A89">
              <w:rPr>
                <w:rFonts w:asciiTheme="minorHAnsi" w:hAnsiTheme="minorHAnsi" w:cstheme="minorHAnsi"/>
                <w:color w:val="000000"/>
                <w:sz w:val="22"/>
                <w:szCs w:val="22"/>
              </w:rPr>
              <w:t>7</w:t>
            </w:r>
          </w:p>
        </w:tc>
        <w:tc>
          <w:tcPr>
            <w:tcW w:w="1316" w:type="dxa"/>
            <w:vMerge w:val="restart"/>
            <w:vAlign w:val="center"/>
          </w:tcPr>
          <w:p w14:paraId="4EB60198" w14:textId="39D287A3" w:rsidR="00FE50F5" w:rsidRPr="003F511D" w:rsidRDefault="00FE50F5"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FE50F5" w:rsidRPr="003F511D" w14:paraId="58542288" w14:textId="37680DF2" w:rsidTr="00FE50F5">
        <w:trPr>
          <w:jc w:val="center"/>
        </w:trPr>
        <w:tc>
          <w:tcPr>
            <w:tcW w:w="1799" w:type="dxa"/>
            <w:vAlign w:val="center"/>
          </w:tcPr>
          <w:p w14:paraId="39AFD43E"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1049</w:t>
            </w:r>
          </w:p>
        </w:tc>
        <w:tc>
          <w:tcPr>
            <w:tcW w:w="1423" w:type="dxa"/>
            <w:vAlign w:val="center"/>
          </w:tcPr>
          <w:p w14:paraId="296E2465" w14:textId="31D12C64"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-6.5</w:t>
            </w:r>
            <w:r w:rsidR="00422C3D">
              <w:rPr>
                <w:rFonts w:asciiTheme="minorHAnsi" w:hAnsiTheme="minorHAnsi" w:cstheme="minorHAnsi"/>
                <w:color w:val="000000"/>
                <w:sz w:val="22"/>
                <w:szCs w:val="22"/>
              </w:rPr>
              <w:t>2</w:t>
            </w:r>
          </w:p>
        </w:tc>
        <w:tc>
          <w:tcPr>
            <w:tcW w:w="1680" w:type="dxa"/>
            <w:vAlign w:val="center"/>
          </w:tcPr>
          <w:p w14:paraId="0176F051" w14:textId="4888932D"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2.</w:t>
            </w:r>
            <w:r w:rsidR="00526815">
              <w:rPr>
                <w:rFonts w:asciiTheme="minorHAnsi" w:hAnsiTheme="minorHAnsi" w:cstheme="minorHAnsi"/>
                <w:color w:val="000000"/>
                <w:sz w:val="22"/>
                <w:szCs w:val="22"/>
              </w:rPr>
              <w:t>60</w:t>
            </w:r>
          </w:p>
        </w:tc>
        <w:tc>
          <w:tcPr>
            <w:tcW w:w="1482" w:type="dxa"/>
            <w:vAlign w:val="center"/>
          </w:tcPr>
          <w:p w14:paraId="4AEDFAB0"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16" w:type="dxa"/>
            <w:vMerge/>
            <w:vAlign w:val="center"/>
          </w:tcPr>
          <w:p w14:paraId="26B712AC" w14:textId="77777777" w:rsidR="00FE50F5" w:rsidRPr="003F511D" w:rsidRDefault="00FE50F5" w:rsidP="00FE50F5">
            <w:pPr>
              <w:pStyle w:val="NormalWeb"/>
              <w:jc w:val="center"/>
              <w:rPr>
                <w:rFonts w:asciiTheme="minorHAnsi" w:hAnsiTheme="minorHAnsi" w:cstheme="minorHAnsi"/>
                <w:color w:val="000000"/>
                <w:sz w:val="22"/>
                <w:szCs w:val="22"/>
              </w:rPr>
            </w:pPr>
          </w:p>
        </w:tc>
        <w:tc>
          <w:tcPr>
            <w:tcW w:w="1316" w:type="dxa"/>
            <w:vMerge/>
            <w:vAlign w:val="center"/>
          </w:tcPr>
          <w:p w14:paraId="2DEBBBB5" w14:textId="77777777" w:rsidR="00FE50F5" w:rsidRPr="003F511D" w:rsidRDefault="00FE50F5" w:rsidP="00FE50F5">
            <w:pPr>
              <w:pStyle w:val="NormalWeb"/>
              <w:jc w:val="center"/>
              <w:rPr>
                <w:rFonts w:asciiTheme="minorHAnsi" w:hAnsiTheme="minorHAnsi" w:cstheme="minorHAnsi"/>
                <w:color w:val="000000"/>
                <w:sz w:val="22"/>
                <w:szCs w:val="22"/>
              </w:rPr>
            </w:pPr>
          </w:p>
        </w:tc>
      </w:tr>
      <w:tr w:rsidR="00FE50F5" w:rsidRPr="003F511D" w14:paraId="4F1F8A49" w14:textId="478CCA79" w:rsidTr="00FE50F5">
        <w:trPr>
          <w:jc w:val="center"/>
        </w:trPr>
        <w:tc>
          <w:tcPr>
            <w:tcW w:w="1799" w:type="dxa"/>
            <w:vAlign w:val="center"/>
          </w:tcPr>
          <w:p w14:paraId="2EBD9147"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1050</w:t>
            </w:r>
          </w:p>
        </w:tc>
        <w:tc>
          <w:tcPr>
            <w:tcW w:w="1423" w:type="dxa"/>
            <w:vAlign w:val="center"/>
          </w:tcPr>
          <w:p w14:paraId="397B0A6A" w14:textId="565FB08B"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-5.1</w:t>
            </w:r>
            <w:r w:rsidR="00422C3D">
              <w:rPr>
                <w:rFonts w:asciiTheme="minorHAnsi" w:hAnsiTheme="minorHAnsi" w:cstheme="minorHAnsi"/>
                <w:color w:val="000000"/>
                <w:sz w:val="22"/>
                <w:szCs w:val="22"/>
              </w:rPr>
              <w:t>5</w:t>
            </w:r>
          </w:p>
        </w:tc>
        <w:tc>
          <w:tcPr>
            <w:tcW w:w="1680" w:type="dxa"/>
            <w:vAlign w:val="center"/>
          </w:tcPr>
          <w:p w14:paraId="404B5222" w14:textId="6122362C"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2.60</w:t>
            </w:r>
          </w:p>
        </w:tc>
        <w:tc>
          <w:tcPr>
            <w:tcW w:w="1482" w:type="dxa"/>
            <w:vAlign w:val="center"/>
          </w:tcPr>
          <w:p w14:paraId="249AC316"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16" w:type="dxa"/>
            <w:vMerge w:val="restart"/>
            <w:vAlign w:val="center"/>
          </w:tcPr>
          <w:p w14:paraId="603AE993" w14:textId="2B472D7C" w:rsidR="00FE50F5" w:rsidRPr="003F511D" w:rsidRDefault="00EA1D84"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0.005</w:t>
            </w:r>
          </w:p>
        </w:tc>
        <w:tc>
          <w:tcPr>
            <w:tcW w:w="1316" w:type="dxa"/>
            <w:vMerge w:val="restart"/>
            <w:vAlign w:val="center"/>
          </w:tcPr>
          <w:p w14:paraId="7F4054E0" w14:textId="1C839CFD" w:rsidR="00FE50F5" w:rsidRPr="003F511D" w:rsidRDefault="00EA1D84"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FE50F5" w:rsidRPr="003F511D" w14:paraId="1F900CA5" w14:textId="62051C2B" w:rsidTr="00FE50F5">
        <w:trPr>
          <w:jc w:val="center"/>
        </w:trPr>
        <w:tc>
          <w:tcPr>
            <w:tcW w:w="1799" w:type="dxa"/>
            <w:vAlign w:val="center"/>
          </w:tcPr>
          <w:p w14:paraId="08090337"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1050</w:t>
            </w:r>
          </w:p>
        </w:tc>
        <w:tc>
          <w:tcPr>
            <w:tcW w:w="1423" w:type="dxa"/>
            <w:vAlign w:val="center"/>
          </w:tcPr>
          <w:p w14:paraId="5CCD0FA6" w14:textId="67B6AD43"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-4.90</w:t>
            </w:r>
          </w:p>
        </w:tc>
        <w:tc>
          <w:tcPr>
            <w:tcW w:w="1680" w:type="dxa"/>
            <w:vAlign w:val="center"/>
          </w:tcPr>
          <w:p w14:paraId="41DE35C3" w14:textId="6B036A23"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2.60</w:t>
            </w:r>
          </w:p>
        </w:tc>
        <w:tc>
          <w:tcPr>
            <w:tcW w:w="1482" w:type="dxa"/>
            <w:vAlign w:val="center"/>
          </w:tcPr>
          <w:p w14:paraId="04C1473F"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16" w:type="dxa"/>
            <w:vMerge/>
            <w:vAlign w:val="center"/>
          </w:tcPr>
          <w:p w14:paraId="05D6E15B" w14:textId="77777777" w:rsidR="00FE50F5" w:rsidRPr="003F511D" w:rsidRDefault="00FE50F5" w:rsidP="00FE50F5">
            <w:pPr>
              <w:pStyle w:val="NormalWeb"/>
              <w:jc w:val="center"/>
              <w:rPr>
                <w:rFonts w:asciiTheme="minorHAnsi" w:hAnsiTheme="minorHAnsi" w:cstheme="minorHAnsi"/>
                <w:color w:val="000000"/>
                <w:sz w:val="22"/>
                <w:szCs w:val="22"/>
              </w:rPr>
            </w:pPr>
          </w:p>
        </w:tc>
        <w:tc>
          <w:tcPr>
            <w:tcW w:w="1316" w:type="dxa"/>
            <w:vMerge/>
            <w:vAlign w:val="center"/>
          </w:tcPr>
          <w:p w14:paraId="79169521" w14:textId="77777777" w:rsidR="00FE50F5" w:rsidRPr="003F511D" w:rsidRDefault="00FE50F5" w:rsidP="00FE50F5">
            <w:pPr>
              <w:pStyle w:val="NormalWeb"/>
              <w:jc w:val="center"/>
              <w:rPr>
                <w:rFonts w:asciiTheme="minorHAnsi" w:hAnsiTheme="minorHAnsi" w:cstheme="minorHAnsi"/>
                <w:color w:val="000000"/>
                <w:sz w:val="22"/>
                <w:szCs w:val="22"/>
              </w:rPr>
            </w:pPr>
          </w:p>
        </w:tc>
      </w:tr>
      <w:tr w:rsidR="00FE50F5" w:rsidRPr="003F511D" w14:paraId="6AC8829D" w14:textId="72640853" w:rsidTr="00FE50F5">
        <w:trPr>
          <w:jc w:val="center"/>
        </w:trPr>
        <w:tc>
          <w:tcPr>
            <w:tcW w:w="1799" w:type="dxa"/>
            <w:vAlign w:val="center"/>
          </w:tcPr>
          <w:p w14:paraId="7441CC56"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1051</w:t>
            </w:r>
          </w:p>
        </w:tc>
        <w:tc>
          <w:tcPr>
            <w:tcW w:w="1423" w:type="dxa"/>
            <w:vAlign w:val="center"/>
          </w:tcPr>
          <w:p w14:paraId="1B48FA80" w14:textId="2651E27A"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-7.</w:t>
            </w:r>
            <w:r w:rsidR="00422C3D">
              <w:rPr>
                <w:rFonts w:asciiTheme="minorHAnsi" w:hAnsiTheme="minorHAnsi" w:cstheme="minorHAnsi"/>
                <w:color w:val="000000"/>
                <w:sz w:val="22"/>
                <w:szCs w:val="22"/>
              </w:rPr>
              <w:t>50</w:t>
            </w:r>
          </w:p>
        </w:tc>
        <w:tc>
          <w:tcPr>
            <w:tcW w:w="1680" w:type="dxa"/>
            <w:vAlign w:val="center"/>
          </w:tcPr>
          <w:p w14:paraId="59BED2B2" w14:textId="5BD9E5EB"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2.7</w:t>
            </w:r>
            <w:r w:rsidR="00526815">
              <w:rPr>
                <w:rFonts w:asciiTheme="minorHAnsi" w:hAnsiTheme="minorHAnsi" w:cstheme="minorHAnsi"/>
                <w:color w:val="000000"/>
                <w:sz w:val="22"/>
                <w:szCs w:val="22"/>
              </w:rPr>
              <w:t>7</w:t>
            </w:r>
          </w:p>
        </w:tc>
        <w:tc>
          <w:tcPr>
            <w:tcW w:w="1482" w:type="dxa"/>
            <w:vAlign w:val="center"/>
          </w:tcPr>
          <w:p w14:paraId="08A5DA79"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16" w:type="dxa"/>
            <w:vMerge w:val="restart"/>
            <w:vAlign w:val="center"/>
          </w:tcPr>
          <w:p w14:paraId="5DBB0555" w14:textId="4412D514" w:rsidR="00FE50F5" w:rsidRPr="003F511D" w:rsidRDefault="00D47E7D"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0.422</w:t>
            </w:r>
          </w:p>
        </w:tc>
        <w:tc>
          <w:tcPr>
            <w:tcW w:w="1316" w:type="dxa"/>
            <w:vMerge w:val="restart"/>
            <w:vAlign w:val="center"/>
          </w:tcPr>
          <w:p w14:paraId="02A04361" w14:textId="05680312" w:rsidR="00FE50F5" w:rsidRPr="003F511D" w:rsidRDefault="00D47E7D"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FE50F5" w:rsidRPr="003F511D" w14:paraId="10FCF809" w14:textId="59459104" w:rsidTr="00FE50F5">
        <w:trPr>
          <w:jc w:val="center"/>
        </w:trPr>
        <w:tc>
          <w:tcPr>
            <w:tcW w:w="1799" w:type="dxa"/>
            <w:vAlign w:val="center"/>
          </w:tcPr>
          <w:p w14:paraId="2947C117"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1051</w:t>
            </w:r>
          </w:p>
        </w:tc>
        <w:tc>
          <w:tcPr>
            <w:tcW w:w="1423" w:type="dxa"/>
            <w:vAlign w:val="center"/>
          </w:tcPr>
          <w:p w14:paraId="40C7532A" w14:textId="701156B7"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-8.11</w:t>
            </w:r>
          </w:p>
        </w:tc>
        <w:tc>
          <w:tcPr>
            <w:tcW w:w="1680" w:type="dxa"/>
            <w:vAlign w:val="center"/>
          </w:tcPr>
          <w:p w14:paraId="39CE5ADC" w14:textId="52402E35"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2.59</w:t>
            </w:r>
          </w:p>
        </w:tc>
        <w:tc>
          <w:tcPr>
            <w:tcW w:w="1482" w:type="dxa"/>
            <w:vAlign w:val="center"/>
          </w:tcPr>
          <w:p w14:paraId="3C807347"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16" w:type="dxa"/>
            <w:vMerge/>
            <w:vAlign w:val="center"/>
          </w:tcPr>
          <w:p w14:paraId="26D33DF7" w14:textId="77777777" w:rsidR="00FE50F5" w:rsidRPr="003F511D" w:rsidRDefault="00FE50F5" w:rsidP="00FE50F5">
            <w:pPr>
              <w:pStyle w:val="NormalWeb"/>
              <w:jc w:val="center"/>
              <w:rPr>
                <w:rFonts w:asciiTheme="minorHAnsi" w:hAnsiTheme="minorHAnsi" w:cstheme="minorHAnsi"/>
                <w:color w:val="000000"/>
                <w:sz w:val="22"/>
                <w:szCs w:val="22"/>
              </w:rPr>
            </w:pPr>
          </w:p>
        </w:tc>
        <w:tc>
          <w:tcPr>
            <w:tcW w:w="1316" w:type="dxa"/>
            <w:vMerge/>
            <w:vAlign w:val="center"/>
          </w:tcPr>
          <w:p w14:paraId="5CD929CF" w14:textId="77777777" w:rsidR="00FE50F5" w:rsidRPr="003F511D" w:rsidRDefault="00FE50F5" w:rsidP="00FE50F5">
            <w:pPr>
              <w:pStyle w:val="NormalWeb"/>
              <w:jc w:val="center"/>
              <w:rPr>
                <w:rFonts w:asciiTheme="minorHAnsi" w:hAnsiTheme="minorHAnsi" w:cstheme="minorHAnsi"/>
                <w:color w:val="000000"/>
                <w:sz w:val="22"/>
                <w:szCs w:val="22"/>
              </w:rPr>
            </w:pPr>
          </w:p>
        </w:tc>
      </w:tr>
      <w:tr w:rsidR="00FE50F5" w:rsidRPr="003F511D" w14:paraId="65FFAE89" w14:textId="1225D580" w:rsidTr="00FE50F5">
        <w:trPr>
          <w:jc w:val="center"/>
        </w:trPr>
        <w:tc>
          <w:tcPr>
            <w:tcW w:w="1799" w:type="dxa"/>
            <w:vAlign w:val="center"/>
          </w:tcPr>
          <w:p w14:paraId="53C439CD"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1051</w:t>
            </w:r>
          </w:p>
        </w:tc>
        <w:tc>
          <w:tcPr>
            <w:tcW w:w="1423" w:type="dxa"/>
            <w:vAlign w:val="center"/>
          </w:tcPr>
          <w:p w14:paraId="29EA40B8" w14:textId="1E5BACEE"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-9.84</w:t>
            </w:r>
          </w:p>
        </w:tc>
        <w:tc>
          <w:tcPr>
            <w:tcW w:w="1680" w:type="dxa"/>
            <w:vAlign w:val="center"/>
          </w:tcPr>
          <w:p w14:paraId="1AC1A51E" w14:textId="1F0813C4"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2.5</w:t>
            </w:r>
            <w:r w:rsidR="00526815">
              <w:rPr>
                <w:rFonts w:asciiTheme="minorHAnsi" w:hAnsiTheme="minorHAnsi" w:cstheme="minorHAnsi"/>
                <w:color w:val="000000"/>
                <w:sz w:val="22"/>
                <w:szCs w:val="22"/>
              </w:rPr>
              <w:t>9</w:t>
            </w:r>
          </w:p>
        </w:tc>
        <w:tc>
          <w:tcPr>
            <w:tcW w:w="1482" w:type="dxa"/>
            <w:vAlign w:val="center"/>
          </w:tcPr>
          <w:p w14:paraId="11E83450"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16" w:type="dxa"/>
            <w:vMerge/>
            <w:vAlign w:val="center"/>
          </w:tcPr>
          <w:p w14:paraId="142B8E52" w14:textId="77777777" w:rsidR="00FE50F5" w:rsidRPr="003F511D" w:rsidRDefault="00FE50F5" w:rsidP="00FE50F5">
            <w:pPr>
              <w:pStyle w:val="NormalWeb"/>
              <w:jc w:val="center"/>
              <w:rPr>
                <w:rFonts w:asciiTheme="minorHAnsi" w:hAnsiTheme="minorHAnsi" w:cstheme="minorHAnsi"/>
                <w:color w:val="000000"/>
                <w:sz w:val="22"/>
                <w:szCs w:val="22"/>
              </w:rPr>
            </w:pPr>
          </w:p>
        </w:tc>
        <w:tc>
          <w:tcPr>
            <w:tcW w:w="1316" w:type="dxa"/>
            <w:vMerge/>
            <w:vAlign w:val="center"/>
          </w:tcPr>
          <w:p w14:paraId="507C472C" w14:textId="77777777" w:rsidR="00FE50F5" w:rsidRPr="003F511D" w:rsidRDefault="00FE50F5" w:rsidP="00FE50F5">
            <w:pPr>
              <w:pStyle w:val="NormalWeb"/>
              <w:jc w:val="center"/>
              <w:rPr>
                <w:rFonts w:asciiTheme="minorHAnsi" w:hAnsiTheme="minorHAnsi" w:cstheme="minorHAnsi"/>
                <w:color w:val="000000"/>
                <w:sz w:val="22"/>
                <w:szCs w:val="22"/>
              </w:rPr>
            </w:pPr>
          </w:p>
        </w:tc>
      </w:tr>
      <w:tr w:rsidR="00FE50F5" w:rsidRPr="003F511D" w14:paraId="7D44E21B" w14:textId="4AC33B40" w:rsidTr="00FE50F5">
        <w:trPr>
          <w:jc w:val="center"/>
        </w:trPr>
        <w:tc>
          <w:tcPr>
            <w:tcW w:w="1799" w:type="dxa"/>
            <w:vAlign w:val="center"/>
          </w:tcPr>
          <w:p w14:paraId="1CD7BA4E"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1052</w:t>
            </w:r>
          </w:p>
        </w:tc>
        <w:tc>
          <w:tcPr>
            <w:tcW w:w="1423" w:type="dxa"/>
            <w:vAlign w:val="center"/>
          </w:tcPr>
          <w:p w14:paraId="1B12F178" w14:textId="11AAC45B"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-7.3</w:t>
            </w:r>
            <w:r w:rsidR="00422C3D">
              <w:rPr>
                <w:rFonts w:asciiTheme="minorHAnsi" w:hAnsiTheme="minorHAnsi" w:cstheme="minorHAnsi"/>
                <w:color w:val="000000"/>
                <w:sz w:val="22"/>
                <w:szCs w:val="22"/>
              </w:rPr>
              <w:t>7</w:t>
            </w:r>
          </w:p>
        </w:tc>
        <w:tc>
          <w:tcPr>
            <w:tcW w:w="1680" w:type="dxa"/>
            <w:vAlign w:val="center"/>
          </w:tcPr>
          <w:p w14:paraId="40C645BC" w14:textId="3C1A513B"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3.4</w:t>
            </w:r>
            <w:r w:rsidR="00526815">
              <w:rPr>
                <w:rFonts w:asciiTheme="minorHAnsi" w:hAnsiTheme="minorHAnsi" w:cstheme="minorHAnsi"/>
                <w:color w:val="000000"/>
                <w:sz w:val="22"/>
                <w:szCs w:val="22"/>
              </w:rPr>
              <w:t>6</w:t>
            </w:r>
          </w:p>
        </w:tc>
        <w:tc>
          <w:tcPr>
            <w:tcW w:w="1482" w:type="dxa"/>
            <w:vAlign w:val="center"/>
          </w:tcPr>
          <w:p w14:paraId="116E1F88"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16" w:type="dxa"/>
            <w:vMerge w:val="restart"/>
            <w:vAlign w:val="center"/>
          </w:tcPr>
          <w:p w14:paraId="48BC5CE7" w14:textId="29427F71" w:rsidR="00FE50F5" w:rsidRPr="003F511D" w:rsidRDefault="0017343D"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0.17</w:t>
            </w:r>
            <w:r w:rsidR="00474A89">
              <w:rPr>
                <w:rFonts w:asciiTheme="minorHAnsi" w:hAnsiTheme="minorHAnsi" w:cstheme="minorHAnsi"/>
                <w:color w:val="000000"/>
                <w:sz w:val="22"/>
                <w:szCs w:val="22"/>
              </w:rPr>
              <w:t>6</w:t>
            </w:r>
          </w:p>
        </w:tc>
        <w:tc>
          <w:tcPr>
            <w:tcW w:w="1316" w:type="dxa"/>
            <w:vMerge w:val="restart"/>
            <w:vAlign w:val="center"/>
          </w:tcPr>
          <w:p w14:paraId="3EC4DF0A" w14:textId="77DEE587" w:rsidR="00FE50F5" w:rsidRPr="003F511D" w:rsidRDefault="0017343D"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FE50F5" w:rsidRPr="003F511D" w14:paraId="389C62CB" w14:textId="21AD65D7" w:rsidTr="00FE50F5">
        <w:trPr>
          <w:jc w:val="center"/>
        </w:trPr>
        <w:tc>
          <w:tcPr>
            <w:tcW w:w="1799" w:type="dxa"/>
            <w:vAlign w:val="center"/>
          </w:tcPr>
          <w:p w14:paraId="56A31DFE"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1052</w:t>
            </w:r>
          </w:p>
        </w:tc>
        <w:tc>
          <w:tcPr>
            <w:tcW w:w="1423" w:type="dxa"/>
            <w:vAlign w:val="center"/>
          </w:tcPr>
          <w:p w14:paraId="4AC28099" w14:textId="4F2C42A3"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-5.51</w:t>
            </w:r>
          </w:p>
        </w:tc>
        <w:tc>
          <w:tcPr>
            <w:tcW w:w="1680" w:type="dxa"/>
            <w:vAlign w:val="center"/>
          </w:tcPr>
          <w:p w14:paraId="22CC59EE" w14:textId="684F3AB5"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2.77</w:t>
            </w:r>
          </w:p>
        </w:tc>
        <w:tc>
          <w:tcPr>
            <w:tcW w:w="1482" w:type="dxa"/>
            <w:vAlign w:val="center"/>
          </w:tcPr>
          <w:p w14:paraId="14A2CBF7"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16" w:type="dxa"/>
            <w:vMerge/>
            <w:vAlign w:val="center"/>
          </w:tcPr>
          <w:p w14:paraId="447787AA" w14:textId="77777777" w:rsidR="00FE50F5" w:rsidRPr="003F511D" w:rsidRDefault="00FE50F5" w:rsidP="00FE50F5">
            <w:pPr>
              <w:pStyle w:val="NormalWeb"/>
              <w:jc w:val="center"/>
              <w:rPr>
                <w:rFonts w:asciiTheme="minorHAnsi" w:hAnsiTheme="minorHAnsi" w:cstheme="minorHAnsi"/>
                <w:color w:val="000000"/>
                <w:sz w:val="22"/>
                <w:szCs w:val="22"/>
              </w:rPr>
            </w:pPr>
          </w:p>
        </w:tc>
        <w:tc>
          <w:tcPr>
            <w:tcW w:w="1316" w:type="dxa"/>
            <w:vMerge/>
            <w:vAlign w:val="center"/>
          </w:tcPr>
          <w:p w14:paraId="1428AF77" w14:textId="77777777" w:rsidR="00FE50F5" w:rsidRPr="003F511D" w:rsidRDefault="00FE50F5" w:rsidP="00FE50F5">
            <w:pPr>
              <w:pStyle w:val="NormalWeb"/>
              <w:jc w:val="center"/>
              <w:rPr>
                <w:rFonts w:asciiTheme="minorHAnsi" w:hAnsiTheme="minorHAnsi" w:cstheme="minorHAnsi"/>
                <w:color w:val="000000"/>
                <w:sz w:val="22"/>
                <w:szCs w:val="22"/>
              </w:rPr>
            </w:pPr>
          </w:p>
        </w:tc>
      </w:tr>
      <w:tr w:rsidR="00FE50F5" w:rsidRPr="003F511D" w14:paraId="3DFE7DB5" w14:textId="77E03135" w:rsidTr="00FE50F5">
        <w:trPr>
          <w:jc w:val="center"/>
        </w:trPr>
        <w:tc>
          <w:tcPr>
            <w:tcW w:w="1799" w:type="dxa"/>
            <w:vAlign w:val="center"/>
          </w:tcPr>
          <w:p w14:paraId="6286DE03"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1053</w:t>
            </w:r>
          </w:p>
        </w:tc>
        <w:tc>
          <w:tcPr>
            <w:tcW w:w="1423" w:type="dxa"/>
            <w:vAlign w:val="center"/>
          </w:tcPr>
          <w:p w14:paraId="6AFFF1E1" w14:textId="4EEDAA93"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-6.0</w:t>
            </w:r>
            <w:r w:rsidR="00422C3D">
              <w:rPr>
                <w:rFonts w:asciiTheme="minorHAnsi" w:hAnsiTheme="minorHAnsi" w:cstheme="minorHAnsi"/>
                <w:color w:val="000000"/>
                <w:sz w:val="22"/>
                <w:szCs w:val="22"/>
              </w:rPr>
              <w:t>1</w:t>
            </w:r>
          </w:p>
        </w:tc>
        <w:tc>
          <w:tcPr>
            <w:tcW w:w="1680" w:type="dxa"/>
            <w:vAlign w:val="center"/>
          </w:tcPr>
          <w:p w14:paraId="77EF27F1" w14:textId="6673FD10"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3.29</w:t>
            </w:r>
          </w:p>
        </w:tc>
        <w:tc>
          <w:tcPr>
            <w:tcW w:w="1482" w:type="dxa"/>
            <w:vAlign w:val="center"/>
          </w:tcPr>
          <w:p w14:paraId="2CDC3546"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16" w:type="dxa"/>
            <w:vMerge w:val="restart"/>
            <w:vAlign w:val="center"/>
          </w:tcPr>
          <w:p w14:paraId="16F4877D" w14:textId="090C3865" w:rsidR="00FE50F5" w:rsidRPr="003F511D" w:rsidRDefault="00E3142B"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0.31</w:t>
            </w:r>
            <w:r w:rsidR="00474A89">
              <w:rPr>
                <w:rFonts w:asciiTheme="minorHAnsi" w:hAnsiTheme="minorHAnsi" w:cstheme="minorHAnsi"/>
                <w:color w:val="000000"/>
                <w:sz w:val="22"/>
                <w:szCs w:val="22"/>
              </w:rPr>
              <w:t>1</w:t>
            </w:r>
          </w:p>
        </w:tc>
        <w:tc>
          <w:tcPr>
            <w:tcW w:w="1316" w:type="dxa"/>
            <w:vMerge w:val="restart"/>
            <w:vAlign w:val="center"/>
          </w:tcPr>
          <w:p w14:paraId="6ECCBB4F" w14:textId="6FEDD751" w:rsidR="00FE50F5" w:rsidRPr="003F511D" w:rsidRDefault="00E3142B"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FE50F5" w:rsidRPr="003F511D" w14:paraId="38C6A74B" w14:textId="3F3AA5AF" w:rsidTr="00FE50F5">
        <w:trPr>
          <w:jc w:val="center"/>
        </w:trPr>
        <w:tc>
          <w:tcPr>
            <w:tcW w:w="1799" w:type="dxa"/>
            <w:vAlign w:val="center"/>
          </w:tcPr>
          <w:p w14:paraId="6729648A"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1053</w:t>
            </w:r>
          </w:p>
        </w:tc>
        <w:tc>
          <w:tcPr>
            <w:tcW w:w="1423" w:type="dxa"/>
            <w:vAlign w:val="center"/>
          </w:tcPr>
          <w:p w14:paraId="3A02EF87" w14:textId="451B9775"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-8.60</w:t>
            </w:r>
          </w:p>
        </w:tc>
        <w:tc>
          <w:tcPr>
            <w:tcW w:w="1680" w:type="dxa"/>
            <w:vAlign w:val="center"/>
          </w:tcPr>
          <w:p w14:paraId="1DABEF61" w14:textId="59B74236"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3.28</w:t>
            </w:r>
          </w:p>
        </w:tc>
        <w:tc>
          <w:tcPr>
            <w:tcW w:w="1482" w:type="dxa"/>
            <w:vAlign w:val="center"/>
          </w:tcPr>
          <w:p w14:paraId="680B0DD7"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16" w:type="dxa"/>
            <w:vMerge/>
            <w:vAlign w:val="center"/>
          </w:tcPr>
          <w:p w14:paraId="0B1ED464" w14:textId="77777777" w:rsidR="00FE50F5" w:rsidRPr="003F511D" w:rsidRDefault="00FE50F5" w:rsidP="00FE50F5">
            <w:pPr>
              <w:pStyle w:val="NormalWeb"/>
              <w:jc w:val="center"/>
              <w:rPr>
                <w:rFonts w:asciiTheme="minorHAnsi" w:hAnsiTheme="minorHAnsi" w:cstheme="minorHAnsi"/>
                <w:color w:val="000000"/>
                <w:sz w:val="22"/>
                <w:szCs w:val="22"/>
              </w:rPr>
            </w:pPr>
          </w:p>
        </w:tc>
        <w:tc>
          <w:tcPr>
            <w:tcW w:w="1316" w:type="dxa"/>
            <w:vMerge/>
            <w:vAlign w:val="center"/>
          </w:tcPr>
          <w:p w14:paraId="47F2F846" w14:textId="77777777" w:rsidR="00FE50F5" w:rsidRPr="003F511D" w:rsidRDefault="00FE50F5" w:rsidP="00FE50F5">
            <w:pPr>
              <w:pStyle w:val="NormalWeb"/>
              <w:jc w:val="center"/>
              <w:rPr>
                <w:rFonts w:asciiTheme="minorHAnsi" w:hAnsiTheme="minorHAnsi" w:cstheme="minorHAnsi"/>
                <w:color w:val="000000"/>
                <w:sz w:val="22"/>
                <w:szCs w:val="22"/>
              </w:rPr>
            </w:pPr>
          </w:p>
        </w:tc>
      </w:tr>
      <w:tr w:rsidR="00FE50F5" w:rsidRPr="003F511D" w14:paraId="70CE9D91" w14:textId="4F2B7D21" w:rsidTr="00FE50F5">
        <w:trPr>
          <w:jc w:val="center"/>
        </w:trPr>
        <w:tc>
          <w:tcPr>
            <w:tcW w:w="1799" w:type="dxa"/>
            <w:vAlign w:val="center"/>
          </w:tcPr>
          <w:p w14:paraId="380CAD1B"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1054</w:t>
            </w:r>
          </w:p>
        </w:tc>
        <w:tc>
          <w:tcPr>
            <w:tcW w:w="1423" w:type="dxa"/>
            <w:vAlign w:val="center"/>
          </w:tcPr>
          <w:p w14:paraId="5959BBE0" w14:textId="54AD53CA"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-5.1</w:t>
            </w:r>
            <w:r w:rsidR="00422C3D">
              <w:rPr>
                <w:rFonts w:asciiTheme="minorHAnsi" w:hAnsiTheme="minorHAnsi" w:cstheme="minorHAnsi"/>
                <w:color w:val="000000"/>
                <w:sz w:val="22"/>
                <w:szCs w:val="22"/>
              </w:rPr>
              <w:t>4</w:t>
            </w:r>
          </w:p>
        </w:tc>
        <w:tc>
          <w:tcPr>
            <w:tcW w:w="1680" w:type="dxa"/>
            <w:vAlign w:val="center"/>
          </w:tcPr>
          <w:p w14:paraId="62895CC3" w14:textId="29C1C0F6"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2.9</w:t>
            </w:r>
            <w:r w:rsidR="00B771E7">
              <w:rPr>
                <w:rFonts w:asciiTheme="minorHAnsi" w:hAnsiTheme="minorHAnsi" w:cstheme="minorHAnsi"/>
                <w:color w:val="000000"/>
                <w:sz w:val="22"/>
                <w:szCs w:val="22"/>
              </w:rPr>
              <w:t>5</w:t>
            </w:r>
          </w:p>
        </w:tc>
        <w:tc>
          <w:tcPr>
            <w:tcW w:w="1482" w:type="dxa"/>
            <w:vAlign w:val="center"/>
          </w:tcPr>
          <w:p w14:paraId="4AB87D41"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16" w:type="dxa"/>
            <w:vMerge w:val="restart"/>
            <w:vAlign w:val="center"/>
          </w:tcPr>
          <w:p w14:paraId="22AA0D58" w14:textId="086D6434" w:rsidR="00FE50F5" w:rsidRPr="003F511D" w:rsidRDefault="00E3142B"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0.28</w:t>
            </w:r>
            <w:r w:rsidR="00474A89">
              <w:rPr>
                <w:rFonts w:asciiTheme="minorHAnsi" w:hAnsiTheme="minorHAnsi" w:cstheme="minorHAnsi"/>
                <w:color w:val="000000"/>
                <w:sz w:val="22"/>
                <w:szCs w:val="22"/>
              </w:rPr>
              <w:t>4</w:t>
            </w:r>
          </w:p>
        </w:tc>
        <w:tc>
          <w:tcPr>
            <w:tcW w:w="1316" w:type="dxa"/>
            <w:vMerge w:val="restart"/>
            <w:vAlign w:val="center"/>
          </w:tcPr>
          <w:p w14:paraId="526C43D0" w14:textId="0C4AA130" w:rsidR="00FE50F5" w:rsidRPr="003F511D" w:rsidRDefault="00E3142B"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FE50F5" w:rsidRPr="003F511D" w14:paraId="6B31E8EF" w14:textId="1E7260D3" w:rsidTr="00FE50F5">
        <w:trPr>
          <w:jc w:val="center"/>
        </w:trPr>
        <w:tc>
          <w:tcPr>
            <w:tcW w:w="1799" w:type="dxa"/>
            <w:vAlign w:val="center"/>
          </w:tcPr>
          <w:p w14:paraId="417FB125"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1054</w:t>
            </w:r>
          </w:p>
        </w:tc>
        <w:tc>
          <w:tcPr>
            <w:tcW w:w="1423" w:type="dxa"/>
            <w:vAlign w:val="center"/>
          </w:tcPr>
          <w:p w14:paraId="5ABBC0D1" w14:textId="681BB13E"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-7.36</w:t>
            </w:r>
          </w:p>
        </w:tc>
        <w:tc>
          <w:tcPr>
            <w:tcW w:w="1680" w:type="dxa"/>
            <w:vAlign w:val="center"/>
          </w:tcPr>
          <w:p w14:paraId="6FE0ECBC" w14:textId="7488F41D"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2.9</w:t>
            </w:r>
            <w:r w:rsidR="00B771E7">
              <w:rPr>
                <w:rFonts w:asciiTheme="minorHAnsi" w:hAnsiTheme="minorHAnsi" w:cstheme="minorHAnsi"/>
                <w:color w:val="000000"/>
                <w:sz w:val="22"/>
                <w:szCs w:val="22"/>
              </w:rPr>
              <w:t>4</w:t>
            </w:r>
          </w:p>
        </w:tc>
        <w:tc>
          <w:tcPr>
            <w:tcW w:w="1482" w:type="dxa"/>
            <w:vAlign w:val="center"/>
          </w:tcPr>
          <w:p w14:paraId="22E6EE32"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16" w:type="dxa"/>
            <w:vMerge/>
            <w:vAlign w:val="center"/>
          </w:tcPr>
          <w:p w14:paraId="104CBE6C" w14:textId="77777777" w:rsidR="00FE50F5" w:rsidRPr="003F511D" w:rsidRDefault="00FE50F5" w:rsidP="00FE50F5">
            <w:pPr>
              <w:pStyle w:val="NormalWeb"/>
              <w:jc w:val="center"/>
              <w:rPr>
                <w:rFonts w:asciiTheme="minorHAnsi" w:hAnsiTheme="minorHAnsi" w:cstheme="minorHAnsi"/>
                <w:color w:val="000000"/>
                <w:sz w:val="22"/>
                <w:szCs w:val="22"/>
              </w:rPr>
            </w:pPr>
          </w:p>
        </w:tc>
        <w:tc>
          <w:tcPr>
            <w:tcW w:w="1316" w:type="dxa"/>
            <w:vMerge/>
            <w:vAlign w:val="center"/>
          </w:tcPr>
          <w:p w14:paraId="24F94576" w14:textId="77777777" w:rsidR="00FE50F5" w:rsidRPr="003F511D" w:rsidRDefault="00FE50F5" w:rsidP="00FE50F5">
            <w:pPr>
              <w:pStyle w:val="NormalWeb"/>
              <w:jc w:val="center"/>
              <w:rPr>
                <w:rFonts w:asciiTheme="minorHAnsi" w:hAnsiTheme="minorHAnsi" w:cstheme="minorHAnsi"/>
                <w:color w:val="000000"/>
                <w:sz w:val="22"/>
                <w:szCs w:val="22"/>
              </w:rPr>
            </w:pPr>
          </w:p>
        </w:tc>
      </w:tr>
      <w:tr w:rsidR="00FE50F5" w:rsidRPr="003F511D" w14:paraId="1A800A0F" w14:textId="09EA8C4C" w:rsidTr="00FE50F5">
        <w:trPr>
          <w:jc w:val="center"/>
        </w:trPr>
        <w:tc>
          <w:tcPr>
            <w:tcW w:w="1799" w:type="dxa"/>
            <w:vAlign w:val="center"/>
          </w:tcPr>
          <w:p w14:paraId="74C1FF66"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1055</w:t>
            </w:r>
          </w:p>
        </w:tc>
        <w:tc>
          <w:tcPr>
            <w:tcW w:w="1423" w:type="dxa"/>
            <w:vAlign w:val="center"/>
          </w:tcPr>
          <w:p w14:paraId="516FDF85" w14:textId="36514EBB"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-1.9</w:t>
            </w:r>
            <w:r w:rsidR="00422C3D">
              <w:rPr>
                <w:rFonts w:asciiTheme="minorHAnsi" w:hAnsiTheme="minorHAnsi" w:cstheme="minorHAnsi"/>
                <w:color w:val="000000"/>
                <w:sz w:val="22"/>
                <w:szCs w:val="22"/>
              </w:rPr>
              <w:t>1</w:t>
            </w:r>
          </w:p>
        </w:tc>
        <w:tc>
          <w:tcPr>
            <w:tcW w:w="1680" w:type="dxa"/>
            <w:vAlign w:val="center"/>
          </w:tcPr>
          <w:p w14:paraId="4BDEC7B5" w14:textId="133DDFC7"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2.4</w:t>
            </w:r>
            <w:r w:rsidR="00B771E7">
              <w:rPr>
                <w:rFonts w:asciiTheme="minorHAnsi" w:hAnsiTheme="minorHAnsi" w:cstheme="minorHAnsi"/>
                <w:color w:val="000000"/>
                <w:sz w:val="22"/>
                <w:szCs w:val="22"/>
              </w:rPr>
              <w:t>4</w:t>
            </w:r>
          </w:p>
        </w:tc>
        <w:tc>
          <w:tcPr>
            <w:tcW w:w="1482" w:type="dxa"/>
            <w:vAlign w:val="center"/>
          </w:tcPr>
          <w:p w14:paraId="3CA05527"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16" w:type="dxa"/>
            <w:vMerge w:val="restart"/>
            <w:vAlign w:val="center"/>
          </w:tcPr>
          <w:p w14:paraId="6DEF904F" w14:textId="5DEF3A03" w:rsidR="00FE50F5" w:rsidRPr="003F511D" w:rsidRDefault="00E3142B"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0.004</w:t>
            </w:r>
          </w:p>
        </w:tc>
        <w:tc>
          <w:tcPr>
            <w:tcW w:w="1316" w:type="dxa"/>
            <w:vMerge w:val="restart"/>
            <w:vAlign w:val="center"/>
          </w:tcPr>
          <w:p w14:paraId="0614FD94" w14:textId="05EE1D09" w:rsidR="00FE50F5" w:rsidRPr="003F511D" w:rsidRDefault="00E3142B"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FE50F5" w:rsidRPr="003F511D" w14:paraId="10D3790C" w14:textId="6E50D28E" w:rsidTr="00FE50F5">
        <w:trPr>
          <w:jc w:val="center"/>
        </w:trPr>
        <w:tc>
          <w:tcPr>
            <w:tcW w:w="1799" w:type="dxa"/>
            <w:vAlign w:val="center"/>
          </w:tcPr>
          <w:p w14:paraId="3D0E8F88"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1055</w:t>
            </w:r>
          </w:p>
        </w:tc>
        <w:tc>
          <w:tcPr>
            <w:tcW w:w="1423" w:type="dxa"/>
            <w:vAlign w:val="center"/>
          </w:tcPr>
          <w:p w14:paraId="72A52314" w14:textId="2F19399B"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-1.6</w:t>
            </w:r>
            <w:r w:rsidR="00422C3D">
              <w:rPr>
                <w:rFonts w:asciiTheme="minorHAnsi" w:hAnsiTheme="minorHAnsi" w:cstheme="minorHAnsi"/>
                <w:color w:val="000000"/>
                <w:sz w:val="22"/>
                <w:szCs w:val="22"/>
              </w:rPr>
              <w:t>6</w:t>
            </w:r>
          </w:p>
        </w:tc>
        <w:tc>
          <w:tcPr>
            <w:tcW w:w="1680" w:type="dxa"/>
            <w:vAlign w:val="center"/>
          </w:tcPr>
          <w:p w14:paraId="443FABD4" w14:textId="4A486305" w:rsidR="00FE50F5" w:rsidRPr="007D533D" w:rsidRDefault="00FE50F5" w:rsidP="00FE50F5">
            <w:pPr>
              <w:pStyle w:val="NormalWeb"/>
              <w:jc w:val="center"/>
              <w:rPr>
                <w:rFonts w:asciiTheme="minorHAnsi" w:hAnsiTheme="minorHAnsi" w:cstheme="minorHAnsi"/>
                <w:bCs/>
                <w:sz w:val="22"/>
                <w:szCs w:val="22"/>
              </w:rPr>
            </w:pPr>
            <w:r w:rsidRPr="007D533D">
              <w:rPr>
                <w:rFonts w:asciiTheme="minorHAnsi" w:hAnsiTheme="minorHAnsi" w:cstheme="minorHAnsi"/>
                <w:color w:val="000000"/>
                <w:sz w:val="22"/>
                <w:szCs w:val="22"/>
              </w:rPr>
              <w:t>2.9</w:t>
            </w:r>
            <w:r w:rsidR="00B771E7">
              <w:rPr>
                <w:rFonts w:asciiTheme="minorHAnsi" w:hAnsiTheme="minorHAnsi" w:cstheme="minorHAnsi"/>
                <w:color w:val="000000"/>
                <w:sz w:val="22"/>
                <w:szCs w:val="22"/>
              </w:rPr>
              <w:t>6</w:t>
            </w:r>
          </w:p>
        </w:tc>
        <w:tc>
          <w:tcPr>
            <w:tcW w:w="1482" w:type="dxa"/>
            <w:vAlign w:val="center"/>
          </w:tcPr>
          <w:p w14:paraId="59AFBDB4"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16" w:type="dxa"/>
            <w:vMerge/>
            <w:vAlign w:val="center"/>
          </w:tcPr>
          <w:p w14:paraId="460D8C7D" w14:textId="77777777" w:rsidR="00FE50F5" w:rsidRPr="003F511D" w:rsidRDefault="00FE50F5" w:rsidP="00FE50F5">
            <w:pPr>
              <w:pStyle w:val="NormalWeb"/>
              <w:jc w:val="center"/>
              <w:rPr>
                <w:rFonts w:asciiTheme="minorHAnsi" w:hAnsiTheme="minorHAnsi" w:cstheme="minorHAnsi"/>
                <w:color w:val="000000"/>
                <w:sz w:val="22"/>
                <w:szCs w:val="22"/>
              </w:rPr>
            </w:pPr>
          </w:p>
        </w:tc>
        <w:tc>
          <w:tcPr>
            <w:tcW w:w="1316" w:type="dxa"/>
            <w:vMerge/>
            <w:vAlign w:val="center"/>
          </w:tcPr>
          <w:p w14:paraId="2DAA8FD7" w14:textId="77777777" w:rsidR="00FE50F5" w:rsidRPr="003F511D" w:rsidRDefault="00FE50F5" w:rsidP="00FE50F5">
            <w:pPr>
              <w:pStyle w:val="NormalWeb"/>
              <w:jc w:val="center"/>
              <w:rPr>
                <w:rFonts w:asciiTheme="minorHAnsi" w:hAnsiTheme="minorHAnsi" w:cstheme="minorHAnsi"/>
                <w:color w:val="000000"/>
                <w:sz w:val="22"/>
                <w:szCs w:val="22"/>
              </w:rPr>
            </w:pPr>
          </w:p>
        </w:tc>
      </w:tr>
      <w:tr w:rsidR="00FE50F5" w:rsidRPr="003F511D" w14:paraId="732B278E" w14:textId="035D077F" w:rsidTr="00FE50F5">
        <w:trPr>
          <w:jc w:val="center"/>
        </w:trPr>
        <w:tc>
          <w:tcPr>
            <w:tcW w:w="1799" w:type="dxa"/>
            <w:vAlign w:val="center"/>
          </w:tcPr>
          <w:p w14:paraId="1BD76879"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1056</w:t>
            </w:r>
          </w:p>
        </w:tc>
        <w:tc>
          <w:tcPr>
            <w:tcW w:w="1423" w:type="dxa"/>
            <w:vAlign w:val="center"/>
          </w:tcPr>
          <w:p w14:paraId="31CFBCC1" w14:textId="70A18A69"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-3.1</w:t>
            </w:r>
            <w:r w:rsidR="00422C3D">
              <w:rPr>
                <w:rFonts w:asciiTheme="minorHAnsi" w:hAnsiTheme="minorHAnsi" w:cstheme="minorHAnsi"/>
                <w:color w:val="000000"/>
                <w:sz w:val="22"/>
                <w:szCs w:val="22"/>
              </w:rPr>
              <w:t>5</w:t>
            </w:r>
          </w:p>
        </w:tc>
        <w:tc>
          <w:tcPr>
            <w:tcW w:w="1680" w:type="dxa"/>
            <w:vAlign w:val="center"/>
          </w:tcPr>
          <w:p w14:paraId="098906F1" w14:textId="25475262"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2.7</w:t>
            </w:r>
            <w:r w:rsidR="00B771E7">
              <w:rPr>
                <w:rFonts w:asciiTheme="minorHAnsi" w:hAnsiTheme="minorHAnsi" w:cstheme="minorHAnsi"/>
                <w:color w:val="000000"/>
                <w:sz w:val="22"/>
                <w:szCs w:val="22"/>
              </w:rPr>
              <w:t>8</w:t>
            </w:r>
          </w:p>
        </w:tc>
        <w:tc>
          <w:tcPr>
            <w:tcW w:w="1482" w:type="dxa"/>
            <w:vAlign w:val="center"/>
          </w:tcPr>
          <w:p w14:paraId="68DC0252"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16" w:type="dxa"/>
            <w:vMerge w:val="restart"/>
            <w:vAlign w:val="center"/>
          </w:tcPr>
          <w:p w14:paraId="5B51FB86" w14:textId="5564BCC3" w:rsidR="00FE50F5" w:rsidRPr="003F511D" w:rsidRDefault="00E3142B"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0.030</w:t>
            </w:r>
          </w:p>
        </w:tc>
        <w:tc>
          <w:tcPr>
            <w:tcW w:w="1316" w:type="dxa"/>
            <w:vMerge w:val="restart"/>
            <w:vAlign w:val="center"/>
          </w:tcPr>
          <w:p w14:paraId="22F54531" w14:textId="77C53C13" w:rsidR="00FE50F5" w:rsidRPr="003F511D" w:rsidRDefault="00E3142B"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FE50F5" w:rsidRPr="003F511D" w14:paraId="0E8762B7" w14:textId="366C292A" w:rsidTr="00FE50F5">
        <w:trPr>
          <w:jc w:val="center"/>
        </w:trPr>
        <w:tc>
          <w:tcPr>
            <w:tcW w:w="1799" w:type="dxa"/>
            <w:vAlign w:val="center"/>
          </w:tcPr>
          <w:p w14:paraId="599977A8"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1056</w:t>
            </w:r>
          </w:p>
        </w:tc>
        <w:tc>
          <w:tcPr>
            <w:tcW w:w="1423" w:type="dxa"/>
            <w:vAlign w:val="center"/>
          </w:tcPr>
          <w:p w14:paraId="6F9058A5" w14:textId="1CF72B93"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-2.5</w:t>
            </w:r>
            <w:r w:rsidR="00422C3D">
              <w:rPr>
                <w:rFonts w:asciiTheme="minorHAnsi" w:hAnsiTheme="minorHAnsi" w:cstheme="minorHAnsi"/>
                <w:color w:val="000000"/>
                <w:sz w:val="22"/>
                <w:szCs w:val="22"/>
              </w:rPr>
              <w:t>3</w:t>
            </w:r>
          </w:p>
        </w:tc>
        <w:tc>
          <w:tcPr>
            <w:tcW w:w="1680" w:type="dxa"/>
            <w:vAlign w:val="center"/>
          </w:tcPr>
          <w:p w14:paraId="0FA5B25F" w14:textId="08E3BE7C"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2.2</w:t>
            </w:r>
            <w:r w:rsidR="00B771E7">
              <w:rPr>
                <w:rFonts w:asciiTheme="minorHAnsi" w:hAnsiTheme="minorHAnsi" w:cstheme="minorHAnsi"/>
                <w:color w:val="000000"/>
                <w:sz w:val="22"/>
                <w:szCs w:val="22"/>
              </w:rPr>
              <w:t>6</w:t>
            </w:r>
          </w:p>
        </w:tc>
        <w:tc>
          <w:tcPr>
            <w:tcW w:w="1482" w:type="dxa"/>
            <w:vAlign w:val="center"/>
          </w:tcPr>
          <w:p w14:paraId="62B8A6E0"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16" w:type="dxa"/>
            <w:vMerge/>
            <w:vAlign w:val="center"/>
          </w:tcPr>
          <w:p w14:paraId="60E6BA56" w14:textId="77777777" w:rsidR="00FE50F5" w:rsidRPr="003F511D" w:rsidRDefault="00FE50F5" w:rsidP="00FE50F5">
            <w:pPr>
              <w:pStyle w:val="NormalWeb"/>
              <w:jc w:val="center"/>
              <w:rPr>
                <w:rFonts w:asciiTheme="minorHAnsi" w:hAnsiTheme="minorHAnsi" w:cstheme="minorHAnsi"/>
                <w:color w:val="000000"/>
                <w:sz w:val="22"/>
                <w:szCs w:val="22"/>
              </w:rPr>
            </w:pPr>
          </w:p>
        </w:tc>
        <w:tc>
          <w:tcPr>
            <w:tcW w:w="1316" w:type="dxa"/>
            <w:vMerge/>
            <w:vAlign w:val="center"/>
          </w:tcPr>
          <w:p w14:paraId="6E740B38" w14:textId="77777777" w:rsidR="00FE50F5" w:rsidRPr="003F511D" w:rsidRDefault="00FE50F5" w:rsidP="00FE50F5">
            <w:pPr>
              <w:pStyle w:val="NormalWeb"/>
              <w:jc w:val="center"/>
              <w:rPr>
                <w:rFonts w:asciiTheme="minorHAnsi" w:hAnsiTheme="minorHAnsi" w:cstheme="minorHAnsi"/>
                <w:color w:val="000000"/>
                <w:sz w:val="22"/>
                <w:szCs w:val="22"/>
              </w:rPr>
            </w:pPr>
          </w:p>
        </w:tc>
      </w:tr>
      <w:tr w:rsidR="00FE50F5" w:rsidRPr="003F511D" w14:paraId="53BCC9F7" w14:textId="74DF50D0" w:rsidTr="00FE50F5">
        <w:trPr>
          <w:jc w:val="center"/>
        </w:trPr>
        <w:tc>
          <w:tcPr>
            <w:tcW w:w="1799" w:type="dxa"/>
            <w:vAlign w:val="center"/>
          </w:tcPr>
          <w:p w14:paraId="7AE2C86A"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1057</w:t>
            </w:r>
          </w:p>
        </w:tc>
        <w:tc>
          <w:tcPr>
            <w:tcW w:w="1423" w:type="dxa"/>
            <w:vAlign w:val="center"/>
          </w:tcPr>
          <w:p w14:paraId="692F84B7" w14:textId="7125E8E2"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0.3</w:t>
            </w:r>
            <w:r w:rsidR="00422C3D">
              <w:rPr>
                <w:rFonts w:asciiTheme="minorHAnsi" w:hAnsiTheme="minorHAnsi" w:cstheme="minorHAnsi"/>
                <w:color w:val="000000"/>
                <w:sz w:val="22"/>
                <w:szCs w:val="22"/>
              </w:rPr>
              <w:t>4</w:t>
            </w:r>
          </w:p>
        </w:tc>
        <w:tc>
          <w:tcPr>
            <w:tcW w:w="1680" w:type="dxa"/>
            <w:vAlign w:val="center"/>
          </w:tcPr>
          <w:p w14:paraId="5F034435" w14:textId="40F6CA20"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2.7</w:t>
            </w:r>
            <w:r w:rsidR="00B771E7">
              <w:rPr>
                <w:rFonts w:asciiTheme="minorHAnsi" w:hAnsiTheme="minorHAnsi" w:cstheme="minorHAnsi"/>
                <w:color w:val="000000"/>
                <w:sz w:val="22"/>
                <w:szCs w:val="22"/>
              </w:rPr>
              <w:t>9</w:t>
            </w:r>
          </w:p>
        </w:tc>
        <w:tc>
          <w:tcPr>
            <w:tcW w:w="1482" w:type="dxa"/>
            <w:vAlign w:val="center"/>
          </w:tcPr>
          <w:p w14:paraId="1B5C9C64"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16" w:type="dxa"/>
            <w:vMerge w:val="restart"/>
            <w:vAlign w:val="center"/>
          </w:tcPr>
          <w:p w14:paraId="4AE87AD3" w14:textId="3E5C1A69" w:rsidR="00FE50F5" w:rsidRPr="003F511D" w:rsidRDefault="00E3142B"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2.54</w:t>
            </w:r>
            <w:r w:rsidR="00474A89">
              <w:rPr>
                <w:rFonts w:asciiTheme="minorHAnsi" w:hAnsiTheme="minorHAnsi" w:cstheme="minorHAnsi"/>
                <w:color w:val="000000"/>
                <w:sz w:val="22"/>
                <w:szCs w:val="22"/>
              </w:rPr>
              <w:t>2</w:t>
            </w:r>
          </w:p>
        </w:tc>
        <w:tc>
          <w:tcPr>
            <w:tcW w:w="1316" w:type="dxa"/>
            <w:vMerge w:val="restart"/>
            <w:vAlign w:val="center"/>
          </w:tcPr>
          <w:p w14:paraId="362C23F0" w14:textId="7202A037" w:rsidR="00FE50F5" w:rsidRPr="003F511D" w:rsidRDefault="00E3142B" w:rsidP="00FE50F5">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FE50F5" w:rsidRPr="003F511D" w14:paraId="69F4575C" w14:textId="566B8913" w:rsidTr="00FE50F5">
        <w:trPr>
          <w:jc w:val="center"/>
        </w:trPr>
        <w:tc>
          <w:tcPr>
            <w:tcW w:w="1799" w:type="dxa"/>
            <w:vAlign w:val="center"/>
          </w:tcPr>
          <w:p w14:paraId="0C9CF65B"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1057</w:t>
            </w:r>
          </w:p>
        </w:tc>
        <w:tc>
          <w:tcPr>
            <w:tcW w:w="1423" w:type="dxa"/>
            <w:vAlign w:val="center"/>
          </w:tcPr>
          <w:p w14:paraId="7CA3AA91" w14:textId="6CB305B0"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-5.74</w:t>
            </w:r>
          </w:p>
        </w:tc>
        <w:tc>
          <w:tcPr>
            <w:tcW w:w="1680" w:type="dxa"/>
            <w:vAlign w:val="center"/>
          </w:tcPr>
          <w:p w14:paraId="2DD36EA5" w14:textId="2E334399"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r w:rsidR="00B771E7">
              <w:rPr>
                <w:rFonts w:asciiTheme="minorHAnsi" w:hAnsiTheme="minorHAnsi" w:cstheme="minorHAnsi"/>
                <w:color w:val="000000"/>
                <w:sz w:val="22"/>
                <w:szCs w:val="22"/>
              </w:rPr>
              <w:t>60</w:t>
            </w:r>
          </w:p>
        </w:tc>
        <w:tc>
          <w:tcPr>
            <w:tcW w:w="1482" w:type="dxa"/>
            <w:vAlign w:val="center"/>
          </w:tcPr>
          <w:p w14:paraId="23486E0F" w14:textId="77777777" w:rsidR="00FE50F5" w:rsidRPr="003F511D" w:rsidRDefault="00FE50F5" w:rsidP="00FE50F5">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16" w:type="dxa"/>
            <w:vMerge/>
            <w:vAlign w:val="center"/>
          </w:tcPr>
          <w:p w14:paraId="2CB2FF2E" w14:textId="77777777" w:rsidR="00FE50F5" w:rsidRPr="003F511D" w:rsidRDefault="00FE50F5" w:rsidP="00FE50F5">
            <w:pPr>
              <w:pStyle w:val="NormalWeb"/>
              <w:jc w:val="center"/>
              <w:rPr>
                <w:rFonts w:asciiTheme="minorHAnsi" w:hAnsiTheme="minorHAnsi" w:cstheme="minorHAnsi"/>
                <w:color w:val="000000"/>
                <w:sz w:val="22"/>
                <w:szCs w:val="22"/>
              </w:rPr>
            </w:pPr>
          </w:p>
        </w:tc>
        <w:tc>
          <w:tcPr>
            <w:tcW w:w="1316" w:type="dxa"/>
            <w:vMerge/>
            <w:vAlign w:val="center"/>
          </w:tcPr>
          <w:p w14:paraId="76768467" w14:textId="77777777" w:rsidR="00FE50F5" w:rsidRPr="003F511D" w:rsidRDefault="00FE50F5" w:rsidP="00FE50F5">
            <w:pPr>
              <w:pStyle w:val="NormalWeb"/>
              <w:jc w:val="center"/>
              <w:rPr>
                <w:rFonts w:asciiTheme="minorHAnsi" w:hAnsiTheme="minorHAnsi" w:cstheme="minorHAnsi"/>
                <w:color w:val="000000"/>
                <w:sz w:val="22"/>
                <w:szCs w:val="22"/>
              </w:rPr>
            </w:pPr>
          </w:p>
        </w:tc>
      </w:tr>
    </w:tbl>
    <w:p w14:paraId="259B19CE" w14:textId="2BF50619" w:rsidR="00CF5AD6" w:rsidRPr="003F511D" w:rsidRDefault="00BE3336" w:rsidP="00E71306">
      <w:pPr>
        <w:rPr>
          <w:rFonts w:asciiTheme="minorHAnsi" w:hAnsiTheme="minorHAnsi" w:cstheme="minorHAnsi"/>
          <w:sz w:val="18"/>
          <w:szCs w:val="18"/>
          <w:lang w:val="en-US" w:eastAsia="en-US"/>
        </w:rPr>
      </w:pPr>
      <w:r w:rsidRPr="003F511D">
        <w:rPr>
          <w:rFonts w:asciiTheme="minorHAnsi" w:hAnsiTheme="minorHAnsi" w:cstheme="minorHAnsi"/>
          <w:sz w:val="18"/>
          <w:szCs w:val="18"/>
          <w:lang w:val="en-US" w:eastAsia="en-US"/>
        </w:rPr>
        <w:t>Table 1</w:t>
      </w:r>
      <w:r w:rsidR="00DB305B" w:rsidRPr="003F511D">
        <w:rPr>
          <w:rFonts w:asciiTheme="minorHAnsi" w:hAnsiTheme="minorHAnsi" w:cstheme="minorHAnsi"/>
          <w:sz w:val="18"/>
          <w:szCs w:val="18"/>
          <w:lang w:val="en-US" w:eastAsia="en-US"/>
        </w:rPr>
        <w:t>-</w:t>
      </w:r>
      <w:r w:rsidRPr="003F511D">
        <w:rPr>
          <w:rFonts w:asciiTheme="minorHAnsi" w:hAnsiTheme="minorHAnsi" w:cstheme="minorHAnsi"/>
          <w:sz w:val="18"/>
          <w:szCs w:val="18"/>
          <w:lang w:val="en-US" w:eastAsia="en-US"/>
        </w:rPr>
        <w:t xml:space="preserve">SI: Full set of results for sample BIF-E19 for each batch measured, and respective </w:t>
      </w:r>
      <w:r w:rsidRPr="003F511D">
        <w:rPr>
          <w:rFonts w:asciiTheme="minorHAnsi" w:hAnsiTheme="minorHAnsi" w:cstheme="minorHAnsi"/>
          <w:sz w:val="18"/>
          <w:szCs w:val="18"/>
          <w:lang w:val="en-US"/>
        </w:rPr>
        <w:sym w:font="Symbol" w:char="F063"/>
      </w:r>
      <w:r w:rsidRPr="003F511D">
        <w:rPr>
          <w:rFonts w:asciiTheme="minorHAnsi" w:hAnsiTheme="minorHAnsi" w:cstheme="minorHAnsi"/>
          <w:sz w:val="18"/>
          <w:szCs w:val="18"/>
          <w:vertAlign w:val="superscript"/>
          <w:lang w:val="en-US"/>
        </w:rPr>
        <w:t>2</w:t>
      </w:r>
      <w:r w:rsidRPr="003F511D">
        <w:rPr>
          <w:rFonts w:asciiTheme="minorHAnsi" w:hAnsiTheme="minorHAnsi" w:cstheme="minorHAnsi"/>
          <w:sz w:val="18"/>
          <w:szCs w:val="18"/>
          <w:lang w:val="en-US"/>
        </w:rPr>
        <w:t>-test</w:t>
      </w:r>
      <w:r w:rsidR="00DB305B" w:rsidRPr="003F511D">
        <w:rPr>
          <w:rFonts w:asciiTheme="minorHAnsi" w:hAnsiTheme="minorHAnsi" w:cstheme="minorHAnsi"/>
          <w:sz w:val="18"/>
          <w:szCs w:val="18"/>
          <w:lang w:val="en-US"/>
        </w:rPr>
        <w:t xml:space="preserve"> between repeated samples</w:t>
      </w:r>
      <w:r w:rsidR="00EA1D84" w:rsidRPr="003F511D">
        <w:rPr>
          <w:rFonts w:asciiTheme="minorHAnsi" w:hAnsiTheme="minorHAnsi" w:cstheme="minorHAnsi"/>
          <w:sz w:val="18"/>
          <w:szCs w:val="18"/>
          <w:lang w:val="en-US"/>
        </w:rPr>
        <w:t>, performed at the 95% probability, where the test is passed when the t-statistic of the set of repeated samples is less than the threshold value (3.8</w:t>
      </w:r>
      <w:r w:rsidR="00E3142B" w:rsidRPr="003F511D">
        <w:rPr>
          <w:rFonts w:asciiTheme="minorHAnsi" w:hAnsiTheme="minorHAnsi" w:cstheme="minorHAnsi"/>
          <w:sz w:val="18"/>
          <w:szCs w:val="18"/>
          <w:lang w:val="en-US"/>
        </w:rPr>
        <w:t>41</w:t>
      </w:r>
      <w:r w:rsidR="00EA1D84" w:rsidRPr="003F511D">
        <w:rPr>
          <w:rFonts w:asciiTheme="minorHAnsi" w:hAnsiTheme="minorHAnsi" w:cstheme="minorHAnsi"/>
          <w:sz w:val="18"/>
          <w:szCs w:val="18"/>
          <w:lang w:val="en-US"/>
        </w:rPr>
        <w:t xml:space="preserve"> for 2 samples, </w:t>
      </w:r>
      <w:r w:rsidR="00E3142B" w:rsidRPr="003F511D">
        <w:rPr>
          <w:rFonts w:asciiTheme="minorHAnsi" w:hAnsiTheme="minorHAnsi" w:cstheme="minorHAnsi"/>
          <w:sz w:val="18"/>
          <w:szCs w:val="18"/>
          <w:lang w:val="en-US"/>
        </w:rPr>
        <w:t>5</w:t>
      </w:r>
      <w:r w:rsidR="00EA1D84" w:rsidRPr="003F511D">
        <w:rPr>
          <w:rFonts w:asciiTheme="minorHAnsi" w:hAnsiTheme="minorHAnsi" w:cstheme="minorHAnsi"/>
          <w:sz w:val="18"/>
          <w:szCs w:val="18"/>
          <w:lang w:val="en-US"/>
        </w:rPr>
        <w:t>.</w:t>
      </w:r>
      <w:r w:rsidR="00E3142B" w:rsidRPr="003F511D">
        <w:rPr>
          <w:rFonts w:asciiTheme="minorHAnsi" w:hAnsiTheme="minorHAnsi" w:cstheme="minorHAnsi"/>
          <w:sz w:val="18"/>
          <w:szCs w:val="18"/>
          <w:lang w:val="en-US"/>
        </w:rPr>
        <w:t>991</w:t>
      </w:r>
      <w:r w:rsidR="00EA1D84" w:rsidRPr="003F511D">
        <w:rPr>
          <w:rFonts w:asciiTheme="minorHAnsi" w:hAnsiTheme="minorHAnsi" w:cstheme="minorHAnsi"/>
          <w:sz w:val="18"/>
          <w:szCs w:val="18"/>
          <w:lang w:val="en-US"/>
        </w:rPr>
        <w:t xml:space="preserve"> for 3 samples)</w:t>
      </w:r>
    </w:p>
    <w:p w14:paraId="598386C7" w14:textId="56C5023D" w:rsidR="00243CED" w:rsidRPr="003F511D" w:rsidRDefault="008D15C3" w:rsidP="00243CED">
      <w:pPr>
        <w:rPr>
          <w:rFonts w:asciiTheme="minorHAnsi" w:hAnsiTheme="minorHAnsi" w:cstheme="minorHAnsi"/>
          <w:sz w:val="18"/>
          <w:szCs w:val="18"/>
          <w:lang w:val="en-US" w:eastAsia="en-US"/>
        </w:rPr>
      </w:pPr>
      <w:r w:rsidRPr="003F511D">
        <w:rPr>
          <w:noProof/>
          <w:lang w:val="en-US" w:eastAsia="en-US"/>
        </w:rPr>
        <w:drawing>
          <wp:inline distT="0" distB="0" distL="0" distR="0" wp14:anchorId="152DCA8A" wp14:editId="47478060">
            <wp:extent cx="5731510" cy="2865755"/>
            <wp:effectExtent l="0" t="0" r="0" b="0"/>
            <wp:docPr id="154860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0001" name="Picture 154860001"/>
                    <pic:cNvPicPr/>
                  </pic:nvPicPr>
                  <pic:blipFill>
                    <a:blip r:embed="rId5">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r w:rsidR="00E91DDC" w:rsidRPr="003F511D">
        <w:rPr>
          <w:rFonts w:asciiTheme="minorHAnsi" w:hAnsiTheme="minorHAnsi" w:cstheme="minorHAnsi"/>
          <w:sz w:val="18"/>
          <w:szCs w:val="18"/>
          <w:lang w:val="en-US" w:eastAsia="en-US"/>
        </w:rPr>
        <w:t>Figure 1</w:t>
      </w:r>
      <w:r w:rsidR="0091253F" w:rsidRPr="003F511D">
        <w:rPr>
          <w:rFonts w:asciiTheme="minorHAnsi" w:hAnsiTheme="minorHAnsi" w:cstheme="minorHAnsi"/>
          <w:sz w:val="18"/>
          <w:szCs w:val="18"/>
          <w:lang w:val="en-US" w:eastAsia="en-US"/>
        </w:rPr>
        <w:t>-</w:t>
      </w:r>
      <w:r w:rsidR="00E91DDC" w:rsidRPr="003F511D">
        <w:rPr>
          <w:rFonts w:asciiTheme="minorHAnsi" w:hAnsiTheme="minorHAnsi" w:cstheme="minorHAnsi"/>
          <w:sz w:val="18"/>
          <w:szCs w:val="18"/>
          <w:lang w:val="en-US" w:eastAsia="en-US"/>
        </w:rPr>
        <w:t xml:space="preserve">SI: </w:t>
      </w:r>
      <w:r w:rsidR="002579D3" w:rsidRPr="003F511D">
        <w:rPr>
          <w:rFonts w:asciiTheme="minorHAnsi" w:hAnsiTheme="minorHAnsi" w:cstheme="minorHAnsi"/>
          <w:sz w:val="18"/>
          <w:szCs w:val="18"/>
          <w:lang w:val="en-US" w:eastAsia="en-US"/>
        </w:rPr>
        <w:t>Comparison between the two different batches analyzed in this study for sample BIF-E19</w:t>
      </w:r>
      <w:r w:rsidR="006320D1" w:rsidRPr="003F511D">
        <w:rPr>
          <w:rFonts w:asciiTheme="minorHAnsi" w:hAnsiTheme="minorHAnsi" w:cstheme="minorHAnsi"/>
          <w:sz w:val="18"/>
          <w:szCs w:val="18"/>
          <w:lang w:val="en-US" w:eastAsia="en-US"/>
        </w:rPr>
        <w:t>.</w:t>
      </w:r>
    </w:p>
    <w:p w14:paraId="0EF1FDB8" w14:textId="14ECBFB7" w:rsidR="00FB2D49" w:rsidRPr="003F511D" w:rsidRDefault="00E71306" w:rsidP="00705D7C">
      <w:pPr>
        <w:pStyle w:val="Heading3"/>
        <w:rPr>
          <w:rFonts w:asciiTheme="minorHAnsi" w:hAnsiTheme="minorHAnsi" w:cstheme="minorHAnsi"/>
          <w:b w:val="0"/>
          <w:bCs/>
        </w:rPr>
      </w:pPr>
      <w:r w:rsidRPr="003F511D">
        <w:rPr>
          <w:rFonts w:asciiTheme="minorHAnsi" w:hAnsiTheme="minorHAnsi" w:cstheme="minorHAnsi"/>
          <w:b w:val="0"/>
          <w:bCs/>
        </w:rPr>
        <w:lastRenderedPageBreak/>
        <w:t>Sample</w:t>
      </w:r>
      <w:r w:rsidR="00791C72" w:rsidRPr="003F511D">
        <w:rPr>
          <w:rFonts w:asciiTheme="minorHAnsi" w:hAnsiTheme="minorHAnsi" w:cstheme="minorHAnsi"/>
          <w:b w:val="0"/>
          <w:bCs/>
        </w:rPr>
        <w:t xml:space="preserve"> APT-C02</w:t>
      </w:r>
    </w:p>
    <w:p w14:paraId="742D720C" w14:textId="77777777" w:rsidR="00243CED" w:rsidRPr="003F511D" w:rsidRDefault="00243CED" w:rsidP="00243CED">
      <w:pPr>
        <w:rPr>
          <w:lang w:val="en-US" w:eastAsia="en-US"/>
        </w:rPr>
      </w:pPr>
    </w:p>
    <w:tbl>
      <w:tblPr>
        <w:tblStyle w:val="TableGrid"/>
        <w:tblW w:w="0" w:type="auto"/>
        <w:jc w:val="center"/>
        <w:tblLook w:val="04A0" w:firstRow="1" w:lastRow="0" w:firstColumn="1" w:lastColumn="0" w:noHBand="0" w:noVBand="1"/>
      </w:tblPr>
      <w:tblGrid>
        <w:gridCol w:w="1804"/>
        <w:gridCol w:w="1388"/>
        <w:gridCol w:w="1683"/>
        <w:gridCol w:w="1489"/>
        <w:gridCol w:w="1326"/>
        <w:gridCol w:w="1326"/>
      </w:tblGrid>
      <w:tr w:rsidR="0073078A" w:rsidRPr="003F511D" w14:paraId="014DC9AF" w14:textId="77777777" w:rsidTr="0073078A">
        <w:trPr>
          <w:trHeight w:val="300"/>
          <w:jc w:val="center"/>
        </w:trPr>
        <w:tc>
          <w:tcPr>
            <w:tcW w:w="1804" w:type="dxa"/>
            <w:vAlign w:val="center"/>
          </w:tcPr>
          <w:p w14:paraId="2FFE0669" w14:textId="77777777" w:rsidR="0073078A" w:rsidRPr="003F511D" w:rsidRDefault="0073078A" w:rsidP="0073078A">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Calendar Year (CE)</w:t>
            </w:r>
          </w:p>
        </w:tc>
        <w:tc>
          <w:tcPr>
            <w:tcW w:w="1388" w:type="dxa"/>
            <w:vAlign w:val="center"/>
          </w:tcPr>
          <w:p w14:paraId="3F48C7CE" w14:textId="77777777" w:rsidR="0073078A" w:rsidRPr="003F511D" w:rsidRDefault="0073078A" w:rsidP="0073078A">
            <w:pPr>
              <w:pStyle w:val="NormalWeb"/>
              <w:jc w:val="center"/>
              <w:rPr>
                <w:rFonts w:asciiTheme="minorHAnsi" w:hAnsiTheme="minorHAnsi" w:cstheme="minorHAnsi"/>
                <w:b/>
                <w:color w:val="202122"/>
                <w:sz w:val="22"/>
                <w:szCs w:val="22"/>
                <w:shd w:val="clear" w:color="auto" w:fill="FFFFFF"/>
              </w:rPr>
            </w:pPr>
            <w:r w:rsidRPr="003F511D">
              <w:rPr>
                <w:rFonts w:asciiTheme="minorHAnsi" w:hAnsiTheme="minorHAnsi" w:cstheme="minorHAnsi"/>
                <w:b/>
                <w:color w:val="202122"/>
                <w:sz w:val="22"/>
                <w:szCs w:val="22"/>
                <w:shd w:val="clear" w:color="auto" w:fill="FFFFFF"/>
              </w:rPr>
              <w:t>Δ</w:t>
            </w:r>
            <w:r w:rsidRPr="003F511D">
              <w:rPr>
                <w:rFonts w:asciiTheme="minorHAnsi" w:hAnsiTheme="minorHAnsi" w:cstheme="minorHAnsi"/>
                <w:b/>
                <w:sz w:val="22"/>
                <w:szCs w:val="22"/>
                <w:vertAlign w:val="superscript"/>
              </w:rPr>
              <w:t>14</w:t>
            </w:r>
            <w:r w:rsidRPr="003F511D">
              <w:rPr>
                <w:rFonts w:asciiTheme="minorHAnsi" w:hAnsiTheme="minorHAnsi" w:cstheme="minorHAnsi"/>
                <w:b/>
                <w:sz w:val="22"/>
                <w:szCs w:val="22"/>
              </w:rPr>
              <w:t>C (</w:t>
            </w:r>
            <w:r w:rsidRPr="003F511D">
              <w:rPr>
                <w:rFonts w:asciiTheme="minorHAnsi" w:hAnsiTheme="minorHAnsi" w:cstheme="minorHAnsi"/>
                <w:b/>
                <w:color w:val="202122"/>
                <w:sz w:val="22"/>
                <w:szCs w:val="22"/>
                <w:shd w:val="clear" w:color="auto" w:fill="F8F9FA"/>
              </w:rPr>
              <w:t>‰</w:t>
            </w:r>
            <w:r w:rsidRPr="003F511D">
              <w:rPr>
                <w:rFonts w:asciiTheme="minorHAnsi" w:hAnsiTheme="minorHAnsi" w:cstheme="minorHAnsi"/>
                <w:b/>
                <w:sz w:val="22"/>
                <w:szCs w:val="22"/>
              </w:rPr>
              <w:t>)</w:t>
            </w:r>
          </w:p>
        </w:tc>
        <w:tc>
          <w:tcPr>
            <w:tcW w:w="1683" w:type="dxa"/>
            <w:vAlign w:val="center"/>
          </w:tcPr>
          <w:p w14:paraId="6626059F" w14:textId="77777777" w:rsidR="0073078A" w:rsidRPr="003F511D" w:rsidRDefault="0073078A" w:rsidP="0073078A">
            <w:pPr>
              <w:pStyle w:val="NormalWeb"/>
              <w:jc w:val="center"/>
              <w:rPr>
                <w:rFonts w:asciiTheme="minorHAnsi" w:hAnsiTheme="minorHAnsi" w:cstheme="minorHAnsi"/>
                <w:b/>
                <w:sz w:val="22"/>
                <w:szCs w:val="22"/>
              </w:rPr>
            </w:pPr>
            <w:r w:rsidRPr="003F511D">
              <w:rPr>
                <w:rStyle w:val="Strong"/>
                <w:rFonts w:asciiTheme="minorHAnsi" w:hAnsiTheme="minorHAnsi" w:cstheme="minorHAnsi"/>
                <w:color w:val="202122"/>
                <w:sz w:val="22"/>
                <w:szCs w:val="22"/>
                <w:shd w:val="clear" w:color="auto" w:fill="FFFFFF"/>
              </w:rPr>
              <w:t>± σ</w:t>
            </w:r>
            <w:r w:rsidRPr="003F511D">
              <w:rPr>
                <w:rFonts w:asciiTheme="minorHAnsi" w:hAnsiTheme="minorHAnsi" w:cstheme="minorHAnsi"/>
                <w:b/>
                <w:sz w:val="22"/>
                <w:szCs w:val="22"/>
              </w:rPr>
              <w:t xml:space="preserve"> (</w:t>
            </w:r>
            <w:r w:rsidRPr="003F511D">
              <w:rPr>
                <w:rFonts w:asciiTheme="minorHAnsi" w:hAnsiTheme="minorHAnsi" w:cstheme="minorHAnsi"/>
                <w:b/>
                <w:color w:val="202122"/>
                <w:sz w:val="22"/>
                <w:szCs w:val="22"/>
                <w:shd w:val="clear" w:color="auto" w:fill="F8F9FA"/>
              </w:rPr>
              <w:t>‰</w:t>
            </w:r>
            <w:r w:rsidRPr="003F511D">
              <w:rPr>
                <w:rFonts w:asciiTheme="minorHAnsi" w:hAnsiTheme="minorHAnsi" w:cstheme="minorHAnsi"/>
                <w:b/>
                <w:sz w:val="22"/>
                <w:szCs w:val="22"/>
              </w:rPr>
              <w:t>)</w:t>
            </w:r>
          </w:p>
        </w:tc>
        <w:tc>
          <w:tcPr>
            <w:tcW w:w="1489" w:type="dxa"/>
            <w:vAlign w:val="center"/>
          </w:tcPr>
          <w:p w14:paraId="5BB29228" w14:textId="77777777" w:rsidR="0073078A" w:rsidRPr="003F511D" w:rsidRDefault="0073078A" w:rsidP="0073078A">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Batch nr</w:t>
            </w:r>
          </w:p>
        </w:tc>
        <w:tc>
          <w:tcPr>
            <w:tcW w:w="1326" w:type="dxa"/>
            <w:vAlign w:val="center"/>
          </w:tcPr>
          <w:p w14:paraId="6C9DE9DC" w14:textId="77777777" w:rsidR="0073078A" w:rsidRPr="003F511D" w:rsidRDefault="0073078A" w:rsidP="0073078A">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T-statistic</w:t>
            </w:r>
          </w:p>
        </w:tc>
        <w:tc>
          <w:tcPr>
            <w:tcW w:w="1326" w:type="dxa"/>
            <w:vAlign w:val="center"/>
          </w:tcPr>
          <w:p w14:paraId="01219B41" w14:textId="77777777" w:rsidR="0073078A" w:rsidRPr="003F511D" w:rsidRDefault="0073078A" w:rsidP="0073078A">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sym w:font="Symbol" w:char="F063"/>
            </w:r>
            <w:r w:rsidRPr="003F511D">
              <w:rPr>
                <w:rFonts w:asciiTheme="minorHAnsi" w:hAnsiTheme="minorHAnsi" w:cstheme="minorHAnsi"/>
                <w:b/>
                <w:sz w:val="22"/>
                <w:szCs w:val="22"/>
                <w:vertAlign w:val="superscript"/>
              </w:rPr>
              <w:t>2</w:t>
            </w:r>
            <w:r w:rsidRPr="003F511D">
              <w:rPr>
                <w:rFonts w:asciiTheme="minorHAnsi" w:hAnsiTheme="minorHAnsi" w:cstheme="minorHAnsi"/>
                <w:b/>
                <w:sz w:val="22"/>
                <w:szCs w:val="22"/>
              </w:rPr>
              <w:t>-test</w:t>
            </w:r>
          </w:p>
        </w:tc>
      </w:tr>
      <w:tr w:rsidR="0073078A" w:rsidRPr="003F511D" w14:paraId="2C5D5645" w14:textId="77777777" w:rsidTr="0073078A">
        <w:trPr>
          <w:jc w:val="center"/>
        </w:trPr>
        <w:tc>
          <w:tcPr>
            <w:tcW w:w="1804" w:type="dxa"/>
            <w:vAlign w:val="center"/>
          </w:tcPr>
          <w:p w14:paraId="203EF37A"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1275</w:t>
            </w:r>
          </w:p>
        </w:tc>
        <w:tc>
          <w:tcPr>
            <w:tcW w:w="1388" w:type="dxa"/>
            <w:vAlign w:val="center"/>
          </w:tcPr>
          <w:p w14:paraId="2A0F5770" w14:textId="16080FDD"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-17.6</w:t>
            </w:r>
            <w:r w:rsidR="00685C92">
              <w:rPr>
                <w:rFonts w:asciiTheme="minorHAnsi" w:hAnsiTheme="minorHAnsi" w:cstheme="minorHAnsi"/>
                <w:color w:val="000000"/>
                <w:sz w:val="22"/>
                <w:szCs w:val="22"/>
              </w:rPr>
              <w:t>6</w:t>
            </w:r>
          </w:p>
        </w:tc>
        <w:tc>
          <w:tcPr>
            <w:tcW w:w="1683" w:type="dxa"/>
            <w:vAlign w:val="center"/>
          </w:tcPr>
          <w:p w14:paraId="299A3327" w14:textId="45B02F74"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2.5</w:t>
            </w:r>
            <w:r w:rsidR="00114B8A">
              <w:rPr>
                <w:rFonts w:asciiTheme="minorHAnsi" w:hAnsiTheme="minorHAnsi" w:cstheme="minorHAnsi"/>
                <w:color w:val="000000"/>
                <w:sz w:val="22"/>
                <w:szCs w:val="22"/>
              </w:rPr>
              <w:t>7</w:t>
            </w:r>
          </w:p>
        </w:tc>
        <w:tc>
          <w:tcPr>
            <w:tcW w:w="1489" w:type="dxa"/>
            <w:vAlign w:val="center"/>
          </w:tcPr>
          <w:p w14:paraId="1BA917A1"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40FC3D03" w14:textId="41BFD8F8"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2.91</w:t>
            </w:r>
            <w:r w:rsidR="00243350">
              <w:rPr>
                <w:rFonts w:asciiTheme="minorHAnsi" w:hAnsiTheme="minorHAnsi" w:cstheme="minorHAnsi"/>
                <w:color w:val="000000"/>
                <w:sz w:val="22"/>
                <w:szCs w:val="22"/>
              </w:rPr>
              <w:t>0</w:t>
            </w:r>
          </w:p>
        </w:tc>
        <w:tc>
          <w:tcPr>
            <w:tcW w:w="1326" w:type="dxa"/>
            <w:vMerge w:val="restart"/>
            <w:vAlign w:val="center"/>
          </w:tcPr>
          <w:p w14:paraId="27BD8328" w14:textId="7F61DC81"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73078A" w:rsidRPr="003F511D" w14:paraId="7FF557F5" w14:textId="77777777" w:rsidTr="0073078A">
        <w:trPr>
          <w:jc w:val="center"/>
        </w:trPr>
        <w:tc>
          <w:tcPr>
            <w:tcW w:w="1804" w:type="dxa"/>
            <w:vAlign w:val="center"/>
          </w:tcPr>
          <w:p w14:paraId="13C36C83"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1275</w:t>
            </w:r>
          </w:p>
        </w:tc>
        <w:tc>
          <w:tcPr>
            <w:tcW w:w="1388" w:type="dxa"/>
            <w:vAlign w:val="center"/>
          </w:tcPr>
          <w:p w14:paraId="4B269017" w14:textId="3A39655A"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-11.6</w:t>
            </w:r>
            <w:r w:rsidR="00685C92">
              <w:rPr>
                <w:rFonts w:asciiTheme="minorHAnsi" w:hAnsiTheme="minorHAnsi" w:cstheme="minorHAnsi"/>
                <w:color w:val="000000"/>
                <w:sz w:val="22"/>
                <w:szCs w:val="22"/>
              </w:rPr>
              <w:t>5</w:t>
            </w:r>
          </w:p>
        </w:tc>
        <w:tc>
          <w:tcPr>
            <w:tcW w:w="1683" w:type="dxa"/>
            <w:vAlign w:val="center"/>
          </w:tcPr>
          <w:p w14:paraId="2172AC88" w14:textId="1E254840"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2.41</w:t>
            </w:r>
          </w:p>
        </w:tc>
        <w:tc>
          <w:tcPr>
            <w:tcW w:w="1489" w:type="dxa"/>
            <w:vAlign w:val="center"/>
          </w:tcPr>
          <w:p w14:paraId="47519FA5"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26" w:type="dxa"/>
            <w:vMerge/>
            <w:vAlign w:val="center"/>
          </w:tcPr>
          <w:p w14:paraId="2166464C" w14:textId="77777777" w:rsidR="0073078A" w:rsidRPr="003F511D" w:rsidRDefault="0073078A" w:rsidP="0073078A">
            <w:pPr>
              <w:pStyle w:val="NormalWeb"/>
              <w:jc w:val="center"/>
              <w:rPr>
                <w:rFonts w:asciiTheme="minorHAnsi" w:hAnsiTheme="minorHAnsi" w:cstheme="minorHAnsi"/>
                <w:color w:val="000000"/>
                <w:sz w:val="22"/>
                <w:szCs w:val="22"/>
              </w:rPr>
            </w:pPr>
          </w:p>
        </w:tc>
        <w:tc>
          <w:tcPr>
            <w:tcW w:w="1326" w:type="dxa"/>
            <w:vMerge/>
            <w:vAlign w:val="center"/>
          </w:tcPr>
          <w:p w14:paraId="6BA3A4C7" w14:textId="77777777" w:rsidR="0073078A" w:rsidRPr="003F511D" w:rsidRDefault="0073078A" w:rsidP="0073078A">
            <w:pPr>
              <w:pStyle w:val="NormalWeb"/>
              <w:jc w:val="center"/>
              <w:rPr>
                <w:rFonts w:asciiTheme="minorHAnsi" w:hAnsiTheme="minorHAnsi" w:cstheme="minorHAnsi"/>
                <w:color w:val="000000"/>
                <w:sz w:val="22"/>
                <w:szCs w:val="22"/>
              </w:rPr>
            </w:pPr>
          </w:p>
        </w:tc>
      </w:tr>
      <w:tr w:rsidR="0073078A" w:rsidRPr="003F511D" w14:paraId="5CDDC0D5" w14:textId="77777777" w:rsidTr="0073078A">
        <w:trPr>
          <w:jc w:val="center"/>
        </w:trPr>
        <w:tc>
          <w:tcPr>
            <w:tcW w:w="1804" w:type="dxa"/>
            <w:vAlign w:val="center"/>
          </w:tcPr>
          <w:p w14:paraId="023C40FA"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1276</w:t>
            </w:r>
          </w:p>
        </w:tc>
        <w:tc>
          <w:tcPr>
            <w:tcW w:w="1388" w:type="dxa"/>
            <w:vAlign w:val="center"/>
          </w:tcPr>
          <w:p w14:paraId="5C956ABF" w14:textId="3A84BD8E"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-11.64</w:t>
            </w:r>
          </w:p>
        </w:tc>
        <w:tc>
          <w:tcPr>
            <w:tcW w:w="1683" w:type="dxa"/>
            <w:vAlign w:val="center"/>
          </w:tcPr>
          <w:p w14:paraId="6B2CF681" w14:textId="756F3F4D"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2.41</w:t>
            </w:r>
          </w:p>
        </w:tc>
        <w:tc>
          <w:tcPr>
            <w:tcW w:w="1489" w:type="dxa"/>
            <w:vAlign w:val="center"/>
          </w:tcPr>
          <w:p w14:paraId="36F9B0E5"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240408C0" w14:textId="50562DD5"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1.09</w:t>
            </w:r>
            <w:r w:rsidR="00243350">
              <w:rPr>
                <w:rFonts w:asciiTheme="minorHAnsi" w:hAnsiTheme="minorHAnsi" w:cstheme="minorHAnsi"/>
                <w:color w:val="000000"/>
                <w:sz w:val="22"/>
                <w:szCs w:val="22"/>
              </w:rPr>
              <w:t>8</w:t>
            </w:r>
          </w:p>
        </w:tc>
        <w:tc>
          <w:tcPr>
            <w:tcW w:w="1326" w:type="dxa"/>
            <w:vMerge w:val="restart"/>
            <w:vAlign w:val="center"/>
          </w:tcPr>
          <w:p w14:paraId="49D07322" w14:textId="265F7007"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73078A" w:rsidRPr="003F511D" w14:paraId="7C766003" w14:textId="77777777" w:rsidTr="0073078A">
        <w:trPr>
          <w:jc w:val="center"/>
        </w:trPr>
        <w:tc>
          <w:tcPr>
            <w:tcW w:w="1804" w:type="dxa"/>
            <w:vAlign w:val="center"/>
          </w:tcPr>
          <w:p w14:paraId="423B9148"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1276</w:t>
            </w:r>
          </w:p>
        </w:tc>
        <w:tc>
          <w:tcPr>
            <w:tcW w:w="1388" w:type="dxa"/>
            <w:vAlign w:val="center"/>
          </w:tcPr>
          <w:p w14:paraId="02415233" w14:textId="63BD9F0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-15.08</w:t>
            </w:r>
          </w:p>
        </w:tc>
        <w:tc>
          <w:tcPr>
            <w:tcW w:w="1683" w:type="dxa"/>
            <w:vAlign w:val="center"/>
          </w:tcPr>
          <w:p w14:paraId="1EFB163E" w14:textId="5C07452A"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2.23</w:t>
            </w:r>
          </w:p>
        </w:tc>
        <w:tc>
          <w:tcPr>
            <w:tcW w:w="1489" w:type="dxa"/>
            <w:vAlign w:val="center"/>
          </w:tcPr>
          <w:p w14:paraId="21910658"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26" w:type="dxa"/>
            <w:vMerge/>
            <w:vAlign w:val="center"/>
          </w:tcPr>
          <w:p w14:paraId="53AD22D4" w14:textId="77777777" w:rsidR="0073078A" w:rsidRPr="003F511D" w:rsidRDefault="0073078A" w:rsidP="0073078A">
            <w:pPr>
              <w:pStyle w:val="NormalWeb"/>
              <w:jc w:val="center"/>
              <w:rPr>
                <w:rFonts w:asciiTheme="minorHAnsi" w:hAnsiTheme="minorHAnsi" w:cstheme="minorHAnsi"/>
                <w:color w:val="000000"/>
                <w:sz w:val="22"/>
                <w:szCs w:val="22"/>
              </w:rPr>
            </w:pPr>
          </w:p>
        </w:tc>
        <w:tc>
          <w:tcPr>
            <w:tcW w:w="1326" w:type="dxa"/>
            <w:vMerge/>
            <w:vAlign w:val="center"/>
          </w:tcPr>
          <w:p w14:paraId="341DF615" w14:textId="77777777" w:rsidR="0073078A" w:rsidRPr="003F511D" w:rsidRDefault="0073078A" w:rsidP="0073078A">
            <w:pPr>
              <w:pStyle w:val="NormalWeb"/>
              <w:jc w:val="center"/>
              <w:rPr>
                <w:rFonts w:asciiTheme="minorHAnsi" w:hAnsiTheme="minorHAnsi" w:cstheme="minorHAnsi"/>
                <w:color w:val="000000"/>
                <w:sz w:val="22"/>
                <w:szCs w:val="22"/>
              </w:rPr>
            </w:pPr>
          </w:p>
        </w:tc>
      </w:tr>
      <w:tr w:rsidR="0073078A" w:rsidRPr="003F511D" w14:paraId="0292D7A4" w14:textId="77777777" w:rsidTr="0073078A">
        <w:trPr>
          <w:jc w:val="center"/>
        </w:trPr>
        <w:tc>
          <w:tcPr>
            <w:tcW w:w="1804" w:type="dxa"/>
            <w:vAlign w:val="center"/>
          </w:tcPr>
          <w:p w14:paraId="644E51DE"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1277</w:t>
            </w:r>
          </w:p>
        </w:tc>
        <w:tc>
          <w:tcPr>
            <w:tcW w:w="1388" w:type="dxa"/>
            <w:vAlign w:val="center"/>
          </w:tcPr>
          <w:p w14:paraId="2BA79860" w14:textId="642B98E6"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-14.4</w:t>
            </w:r>
            <w:r w:rsidR="00685C92">
              <w:rPr>
                <w:rFonts w:asciiTheme="minorHAnsi" w:hAnsiTheme="minorHAnsi" w:cstheme="minorHAnsi"/>
                <w:color w:val="000000"/>
                <w:sz w:val="22"/>
                <w:szCs w:val="22"/>
              </w:rPr>
              <w:t>7</w:t>
            </w:r>
          </w:p>
        </w:tc>
        <w:tc>
          <w:tcPr>
            <w:tcW w:w="1683" w:type="dxa"/>
            <w:vAlign w:val="center"/>
          </w:tcPr>
          <w:p w14:paraId="578D75D6" w14:textId="10C7CEEF"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w:t>
            </w:r>
            <w:r w:rsidR="00114B8A">
              <w:rPr>
                <w:rFonts w:asciiTheme="minorHAnsi" w:hAnsiTheme="minorHAnsi" w:cstheme="minorHAnsi"/>
                <w:color w:val="000000"/>
                <w:sz w:val="22"/>
                <w:szCs w:val="22"/>
              </w:rPr>
              <w:t>1</w:t>
            </w:r>
          </w:p>
        </w:tc>
        <w:tc>
          <w:tcPr>
            <w:tcW w:w="1489" w:type="dxa"/>
            <w:vAlign w:val="center"/>
          </w:tcPr>
          <w:p w14:paraId="68EE8036"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20B97FEB" w14:textId="1EC80732"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0.31</w:t>
            </w:r>
            <w:r w:rsidR="00243350">
              <w:rPr>
                <w:rFonts w:asciiTheme="minorHAnsi" w:hAnsiTheme="minorHAnsi" w:cstheme="minorHAnsi"/>
                <w:color w:val="000000"/>
                <w:sz w:val="22"/>
                <w:szCs w:val="22"/>
              </w:rPr>
              <w:t>6</w:t>
            </w:r>
          </w:p>
        </w:tc>
        <w:tc>
          <w:tcPr>
            <w:tcW w:w="1326" w:type="dxa"/>
            <w:vMerge w:val="restart"/>
            <w:vAlign w:val="center"/>
          </w:tcPr>
          <w:p w14:paraId="076D2E38" w14:textId="4AF5E65D"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73078A" w:rsidRPr="003F511D" w14:paraId="4466A0D7" w14:textId="77777777" w:rsidTr="0073078A">
        <w:trPr>
          <w:jc w:val="center"/>
        </w:trPr>
        <w:tc>
          <w:tcPr>
            <w:tcW w:w="1804" w:type="dxa"/>
            <w:vAlign w:val="center"/>
          </w:tcPr>
          <w:p w14:paraId="56675205"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1277</w:t>
            </w:r>
          </w:p>
        </w:tc>
        <w:tc>
          <w:tcPr>
            <w:tcW w:w="1388" w:type="dxa"/>
            <w:vAlign w:val="center"/>
          </w:tcPr>
          <w:p w14:paraId="54C2606F" w14:textId="28CAF3A5"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-12.62</w:t>
            </w:r>
          </w:p>
        </w:tc>
        <w:tc>
          <w:tcPr>
            <w:tcW w:w="1683" w:type="dxa"/>
            <w:vAlign w:val="center"/>
          </w:tcPr>
          <w:p w14:paraId="3FFA7244" w14:textId="57577CDC"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2.2</w:t>
            </w:r>
            <w:r w:rsidR="00114B8A">
              <w:rPr>
                <w:rFonts w:asciiTheme="minorHAnsi" w:hAnsiTheme="minorHAnsi" w:cstheme="minorHAnsi"/>
                <w:color w:val="000000"/>
                <w:sz w:val="22"/>
                <w:szCs w:val="22"/>
              </w:rPr>
              <w:t>4</w:t>
            </w:r>
          </w:p>
        </w:tc>
        <w:tc>
          <w:tcPr>
            <w:tcW w:w="1489" w:type="dxa"/>
            <w:vAlign w:val="center"/>
          </w:tcPr>
          <w:p w14:paraId="05FE82C8"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26" w:type="dxa"/>
            <w:vMerge/>
            <w:vAlign w:val="center"/>
          </w:tcPr>
          <w:p w14:paraId="0FEBF199" w14:textId="77777777" w:rsidR="0073078A" w:rsidRPr="003F511D" w:rsidRDefault="0073078A" w:rsidP="0073078A">
            <w:pPr>
              <w:pStyle w:val="NormalWeb"/>
              <w:jc w:val="center"/>
              <w:rPr>
                <w:rFonts w:asciiTheme="minorHAnsi" w:hAnsiTheme="minorHAnsi" w:cstheme="minorHAnsi"/>
                <w:color w:val="000000"/>
                <w:sz w:val="22"/>
                <w:szCs w:val="22"/>
              </w:rPr>
            </w:pPr>
          </w:p>
        </w:tc>
        <w:tc>
          <w:tcPr>
            <w:tcW w:w="1326" w:type="dxa"/>
            <w:vMerge/>
            <w:vAlign w:val="center"/>
          </w:tcPr>
          <w:p w14:paraId="69A0443C" w14:textId="77777777" w:rsidR="0073078A" w:rsidRPr="003F511D" w:rsidRDefault="0073078A" w:rsidP="0073078A">
            <w:pPr>
              <w:pStyle w:val="NormalWeb"/>
              <w:jc w:val="center"/>
              <w:rPr>
                <w:rFonts w:asciiTheme="minorHAnsi" w:hAnsiTheme="minorHAnsi" w:cstheme="minorHAnsi"/>
                <w:color w:val="000000"/>
                <w:sz w:val="22"/>
                <w:szCs w:val="22"/>
              </w:rPr>
            </w:pPr>
          </w:p>
        </w:tc>
      </w:tr>
      <w:tr w:rsidR="0073078A" w:rsidRPr="003F511D" w14:paraId="02451805" w14:textId="77777777" w:rsidTr="0073078A">
        <w:trPr>
          <w:jc w:val="center"/>
        </w:trPr>
        <w:tc>
          <w:tcPr>
            <w:tcW w:w="1804" w:type="dxa"/>
            <w:vAlign w:val="center"/>
          </w:tcPr>
          <w:p w14:paraId="3035394A"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1278</w:t>
            </w:r>
          </w:p>
        </w:tc>
        <w:tc>
          <w:tcPr>
            <w:tcW w:w="1388" w:type="dxa"/>
            <w:vAlign w:val="center"/>
          </w:tcPr>
          <w:p w14:paraId="04E395EA" w14:textId="7C4B5E9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-15.44</w:t>
            </w:r>
          </w:p>
        </w:tc>
        <w:tc>
          <w:tcPr>
            <w:tcW w:w="1683" w:type="dxa"/>
            <w:vAlign w:val="center"/>
          </w:tcPr>
          <w:p w14:paraId="29FAF72B" w14:textId="32A046AF"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2.40</w:t>
            </w:r>
          </w:p>
        </w:tc>
        <w:tc>
          <w:tcPr>
            <w:tcW w:w="1489" w:type="dxa"/>
            <w:vAlign w:val="center"/>
          </w:tcPr>
          <w:p w14:paraId="1BE8F933"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53ACE56E" w14:textId="53DCAC64"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2.0</w:t>
            </w:r>
            <w:r w:rsidR="00243350">
              <w:rPr>
                <w:rFonts w:asciiTheme="minorHAnsi" w:hAnsiTheme="minorHAnsi" w:cstheme="minorHAnsi"/>
                <w:color w:val="000000"/>
                <w:sz w:val="22"/>
                <w:szCs w:val="22"/>
              </w:rPr>
              <w:t>24</w:t>
            </w:r>
          </w:p>
        </w:tc>
        <w:tc>
          <w:tcPr>
            <w:tcW w:w="1326" w:type="dxa"/>
            <w:vMerge w:val="restart"/>
            <w:vAlign w:val="center"/>
          </w:tcPr>
          <w:p w14:paraId="2AEA86E0" w14:textId="1EEB2400"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73078A" w:rsidRPr="003F511D" w14:paraId="08CAAF6F" w14:textId="77777777" w:rsidTr="0073078A">
        <w:trPr>
          <w:jc w:val="center"/>
        </w:trPr>
        <w:tc>
          <w:tcPr>
            <w:tcW w:w="1804" w:type="dxa"/>
            <w:vAlign w:val="center"/>
          </w:tcPr>
          <w:p w14:paraId="2FB726B9"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1278</w:t>
            </w:r>
          </w:p>
        </w:tc>
        <w:tc>
          <w:tcPr>
            <w:tcW w:w="1388" w:type="dxa"/>
            <w:vAlign w:val="center"/>
          </w:tcPr>
          <w:p w14:paraId="205555D0" w14:textId="245F38F4"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-10.77</w:t>
            </w:r>
          </w:p>
        </w:tc>
        <w:tc>
          <w:tcPr>
            <w:tcW w:w="1683" w:type="dxa"/>
            <w:vAlign w:val="center"/>
          </w:tcPr>
          <w:p w14:paraId="04C9C570" w14:textId="57549B7F"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2.24</w:t>
            </w:r>
          </w:p>
        </w:tc>
        <w:tc>
          <w:tcPr>
            <w:tcW w:w="1489" w:type="dxa"/>
            <w:vAlign w:val="center"/>
          </w:tcPr>
          <w:p w14:paraId="4BA807FE"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26" w:type="dxa"/>
            <w:vMerge/>
            <w:vAlign w:val="center"/>
          </w:tcPr>
          <w:p w14:paraId="08477EDB" w14:textId="77777777" w:rsidR="0073078A" w:rsidRPr="003F511D" w:rsidRDefault="0073078A" w:rsidP="0073078A">
            <w:pPr>
              <w:pStyle w:val="NormalWeb"/>
              <w:jc w:val="center"/>
              <w:rPr>
                <w:rFonts w:asciiTheme="minorHAnsi" w:hAnsiTheme="minorHAnsi" w:cstheme="minorHAnsi"/>
                <w:color w:val="000000"/>
                <w:sz w:val="22"/>
                <w:szCs w:val="22"/>
              </w:rPr>
            </w:pPr>
          </w:p>
        </w:tc>
        <w:tc>
          <w:tcPr>
            <w:tcW w:w="1326" w:type="dxa"/>
            <w:vMerge/>
            <w:vAlign w:val="center"/>
          </w:tcPr>
          <w:p w14:paraId="39DA5A65" w14:textId="77777777" w:rsidR="0073078A" w:rsidRPr="003F511D" w:rsidRDefault="0073078A" w:rsidP="0073078A">
            <w:pPr>
              <w:pStyle w:val="NormalWeb"/>
              <w:jc w:val="center"/>
              <w:rPr>
                <w:rFonts w:asciiTheme="minorHAnsi" w:hAnsiTheme="minorHAnsi" w:cstheme="minorHAnsi"/>
                <w:color w:val="000000"/>
                <w:sz w:val="22"/>
                <w:szCs w:val="22"/>
              </w:rPr>
            </w:pPr>
          </w:p>
        </w:tc>
      </w:tr>
      <w:tr w:rsidR="0073078A" w:rsidRPr="003F511D" w14:paraId="2F2E5162" w14:textId="77777777" w:rsidTr="0073078A">
        <w:trPr>
          <w:jc w:val="center"/>
        </w:trPr>
        <w:tc>
          <w:tcPr>
            <w:tcW w:w="1804" w:type="dxa"/>
            <w:vAlign w:val="center"/>
          </w:tcPr>
          <w:p w14:paraId="62B8E786"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1279</w:t>
            </w:r>
          </w:p>
        </w:tc>
        <w:tc>
          <w:tcPr>
            <w:tcW w:w="1388" w:type="dxa"/>
            <w:vAlign w:val="center"/>
          </w:tcPr>
          <w:p w14:paraId="6A96F457" w14:textId="7ED8B1F3"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-10.2</w:t>
            </w:r>
            <w:r w:rsidR="00685C92">
              <w:rPr>
                <w:rFonts w:asciiTheme="minorHAnsi" w:hAnsiTheme="minorHAnsi" w:cstheme="minorHAnsi"/>
                <w:color w:val="000000"/>
                <w:sz w:val="22"/>
                <w:szCs w:val="22"/>
              </w:rPr>
              <w:t>8</w:t>
            </w:r>
          </w:p>
        </w:tc>
        <w:tc>
          <w:tcPr>
            <w:tcW w:w="1683" w:type="dxa"/>
            <w:vAlign w:val="center"/>
          </w:tcPr>
          <w:p w14:paraId="3C28A6B1" w14:textId="0673CBA8"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w:t>
            </w:r>
            <w:r w:rsidR="00114B8A">
              <w:rPr>
                <w:rFonts w:asciiTheme="minorHAnsi" w:hAnsiTheme="minorHAnsi" w:cstheme="minorHAnsi"/>
                <w:color w:val="000000"/>
                <w:sz w:val="22"/>
                <w:szCs w:val="22"/>
              </w:rPr>
              <w:t>2</w:t>
            </w:r>
          </w:p>
        </w:tc>
        <w:tc>
          <w:tcPr>
            <w:tcW w:w="1489" w:type="dxa"/>
            <w:vAlign w:val="center"/>
          </w:tcPr>
          <w:p w14:paraId="7E8F9C27"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66668BC9" w14:textId="44149CAA"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0.37</w:t>
            </w:r>
            <w:r w:rsidR="00243350">
              <w:rPr>
                <w:rFonts w:asciiTheme="minorHAnsi" w:hAnsiTheme="minorHAnsi" w:cstheme="minorHAnsi"/>
                <w:color w:val="000000"/>
                <w:sz w:val="22"/>
                <w:szCs w:val="22"/>
              </w:rPr>
              <w:t>4</w:t>
            </w:r>
          </w:p>
        </w:tc>
        <w:tc>
          <w:tcPr>
            <w:tcW w:w="1326" w:type="dxa"/>
            <w:vMerge w:val="restart"/>
            <w:vAlign w:val="center"/>
          </w:tcPr>
          <w:p w14:paraId="070D9589" w14:textId="02FB1BCE"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73078A" w:rsidRPr="003F511D" w14:paraId="39D43DB9" w14:textId="77777777" w:rsidTr="0073078A">
        <w:trPr>
          <w:jc w:val="center"/>
        </w:trPr>
        <w:tc>
          <w:tcPr>
            <w:tcW w:w="1804" w:type="dxa"/>
            <w:vAlign w:val="center"/>
          </w:tcPr>
          <w:p w14:paraId="1EF4E150"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1279</w:t>
            </w:r>
          </w:p>
        </w:tc>
        <w:tc>
          <w:tcPr>
            <w:tcW w:w="1388" w:type="dxa"/>
            <w:vAlign w:val="center"/>
          </w:tcPr>
          <w:p w14:paraId="33748332" w14:textId="34200F2E"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-12.37</w:t>
            </w:r>
          </w:p>
        </w:tc>
        <w:tc>
          <w:tcPr>
            <w:tcW w:w="1683" w:type="dxa"/>
            <w:vAlign w:val="center"/>
          </w:tcPr>
          <w:p w14:paraId="17D9D36F" w14:textId="5EA5DD5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w:t>
            </w:r>
            <w:r w:rsidR="00243350">
              <w:rPr>
                <w:rFonts w:asciiTheme="minorHAnsi" w:hAnsiTheme="minorHAnsi" w:cstheme="minorHAnsi"/>
                <w:color w:val="000000"/>
                <w:sz w:val="22"/>
                <w:szCs w:val="22"/>
              </w:rPr>
              <w:t>1</w:t>
            </w:r>
          </w:p>
        </w:tc>
        <w:tc>
          <w:tcPr>
            <w:tcW w:w="1489" w:type="dxa"/>
            <w:vAlign w:val="center"/>
          </w:tcPr>
          <w:p w14:paraId="1A90FAA1"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26" w:type="dxa"/>
            <w:vMerge/>
            <w:vAlign w:val="center"/>
          </w:tcPr>
          <w:p w14:paraId="46EBB9E5" w14:textId="77777777" w:rsidR="0073078A" w:rsidRPr="003F511D" w:rsidRDefault="0073078A" w:rsidP="0073078A">
            <w:pPr>
              <w:pStyle w:val="NormalWeb"/>
              <w:jc w:val="center"/>
              <w:rPr>
                <w:rFonts w:asciiTheme="minorHAnsi" w:hAnsiTheme="minorHAnsi" w:cstheme="minorHAnsi"/>
                <w:color w:val="000000"/>
                <w:sz w:val="22"/>
                <w:szCs w:val="22"/>
              </w:rPr>
            </w:pPr>
          </w:p>
        </w:tc>
        <w:tc>
          <w:tcPr>
            <w:tcW w:w="1326" w:type="dxa"/>
            <w:vMerge/>
            <w:vAlign w:val="center"/>
          </w:tcPr>
          <w:p w14:paraId="5C476400" w14:textId="77777777" w:rsidR="0073078A" w:rsidRPr="003F511D" w:rsidRDefault="0073078A" w:rsidP="0073078A">
            <w:pPr>
              <w:pStyle w:val="NormalWeb"/>
              <w:jc w:val="center"/>
              <w:rPr>
                <w:rFonts w:asciiTheme="minorHAnsi" w:hAnsiTheme="minorHAnsi" w:cstheme="minorHAnsi"/>
                <w:color w:val="000000"/>
                <w:sz w:val="22"/>
                <w:szCs w:val="22"/>
              </w:rPr>
            </w:pPr>
          </w:p>
        </w:tc>
      </w:tr>
      <w:tr w:rsidR="0073078A" w:rsidRPr="003F511D" w14:paraId="15F8885B" w14:textId="77777777" w:rsidTr="0073078A">
        <w:trPr>
          <w:jc w:val="center"/>
        </w:trPr>
        <w:tc>
          <w:tcPr>
            <w:tcW w:w="1804" w:type="dxa"/>
            <w:vAlign w:val="center"/>
          </w:tcPr>
          <w:p w14:paraId="1E50C75D"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1280</w:t>
            </w:r>
          </w:p>
        </w:tc>
        <w:tc>
          <w:tcPr>
            <w:tcW w:w="1388" w:type="dxa"/>
            <w:vAlign w:val="center"/>
          </w:tcPr>
          <w:p w14:paraId="1BFCF681" w14:textId="53A338AF"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-8.1</w:t>
            </w:r>
            <w:r w:rsidR="00685C92">
              <w:rPr>
                <w:rFonts w:asciiTheme="minorHAnsi" w:hAnsiTheme="minorHAnsi" w:cstheme="minorHAnsi"/>
                <w:color w:val="000000"/>
                <w:sz w:val="22"/>
                <w:szCs w:val="22"/>
              </w:rPr>
              <w:t>8</w:t>
            </w:r>
          </w:p>
        </w:tc>
        <w:tc>
          <w:tcPr>
            <w:tcW w:w="1683" w:type="dxa"/>
            <w:vAlign w:val="center"/>
          </w:tcPr>
          <w:p w14:paraId="528983C9" w14:textId="71E29F3C"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2.2</w:t>
            </w:r>
            <w:r w:rsidR="00243350">
              <w:rPr>
                <w:rFonts w:asciiTheme="minorHAnsi" w:hAnsiTheme="minorHAnsi" w:cstheme="minorHAnsi"/>
                <w:color w:val="000000"/>
                <w:sz w:val="22"/>
                <w:szCs w:val="22"/>
              </w:rPr>
              <w:t>5</w:t>
            </w:r>
          </w:p>
        </w:tc>
        <w:tc>
          <w:tcPr>
            <w:tcW w:w="1489" w:type="dxa"/>
            <w:vAlign w:val="center"/>
          </w:tcPr>
          <w:p w14:paraId="00919675"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6C45B136" w14:textId="1E0AEBB5"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0.79</w:t>
            </w:r>
            <w:r w:rsidR="00243350">
              <w:rPr>
                <w:rFonts w:asciiTheme="minorHAnsi" w:hAnsiTheme="minorHAnsi" w:cstheme="minorHAnsi"/>
                <w:color w:val="000000"/>
                <w:sz w:val="22"/>
                <w:szCs w:val="22"/>
              </w:rPr>
              <w:t>5</w:t>
            </w:r>
          </w:p>
        </w:tc>
        <w:tc>
          <w:tcPr>
            <w:tcW w:w="1326" w:type="dxa"/>
            <w:vMerge w:val="restart"/>
            <w:vAlign w:val="center"/>
          </w:tcPr>
          <w:p w14:paraId="48AC52FD" w14:textId="53B5767A"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73078A" w:rsidRPr="003F511D" w14:paraId="654A430F" w14:textId="77777777" w:rsidTr="0073078A">
        <w:trPr>
          <w:jc w:val="center"/>
        </w:trPr>
        <w:tc>
          <w:tcPr>
            <w:tcW w:w="1804" w:type="dxa"/>
            <w:vAlign w:val="center"/>
          </w:tcPr>
          <w:p w14:paraId="7A93D9BB"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1280</w:t>
            </w:r>
          </w:p>
        </w:tc>
        <w:tc>
          <w:tcPr>
            <w:tcW w:w="1388" w:type="dxa"/>
            <w:vAlign w:val="center"/>
          </w:tcPr>
          <w:p w14:paraId="1514D080" w14:textId="2069A98A"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-11.01</w:t>
            </w:r>
          </w:p>
        </w:tc>
        <w:tc>
          <w:tcPr>
            <w:tcW w:w="1683" w:type="dxa"/>
            <w:vAlign w:val="center"/>
          </w:tcPr>
          <w:p w14:paraId="5A8F71D3" w14:textId="2D0BA535"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2.24</w:t>
            </w:r>
          </w:p>
        </w:tc>
        <w:tc>
          <w:tcPr>
            <w:tcW w:w="1489" w:type="dxa"/>
            <w:vAlign w:val="center"/>
          </w:tcPr>
          <w:p w14:paraId="4C0E95C0"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26" w:type="dxa"/>
            <w:vMerge/>
            <w:vAlign w:val="center"/>
          </w:tcPr>
          <w:p w14:paraId="6693C861" w14:textId="77777777" w:rsidR="0073078A" w:rsidRPr="003F511D" w:rsidRDefault="0073078A" w:rsidP="0073078A">
            <w:pPr>
              <w:pStyle w:val="NormalWeb"/>
              <w:jc w:val="center"/>
              <w:rPr>
                <w:rFonts w:asciiTheme="minorHAnsi" w:hAnsiTheme="minorHAnsi" w:cstheme="minorHAnsi"/>
                <w:color w:val="000000"/>
                <w:sz w:val="22"/>
                <w:szCs w:val="22"/>
              </w:rPr>
            </w:pPr>
          </w:p>
        </w:tc>
        <w:tc>
          <w:tcPr>
            <w:tcW w:w="1326" w:type="dxa"/>
            <w:vMerge/>
            <w:vAlign w:val="center"/>
          </w:tcPr>
          <w:p w14:paraId="4E7B2514" w14:textId="77777777" w:rsidR="0073078A" w:rsidRPr="003F511D" w:rsidRDefault="0073078A" w:rsidP="0073078A">
            <w:pPr>
              <w:pStyle w:val="NormalWeb"/>
              <w:jc w:val="center"/>
              <w:rPr>
                <w:rFonts w:asciiTheme="minorHAnsi" w:hAnsiTheme="minorHAnsi" w:cstheme="minorHAnsi"/>
                <w:color w:val="000000"/>
                <w:sz w:val="22"/>
                <w:szCs w:val="22"/>
              </w:rPr>
            </w:pPr>
          </w:p>
        </w:tc>
      </w:tr>
      <w:tr w:rsidR="0073078A" w:rsidRPr="003F511D" w14:paraId="49D2C300" w14:textId="77777777" w:rsidTr="0073078A">
        <w:trPr>
          <w:jc w:val="center"/>
        </w:trPr>
        <w:tc>
          <w:tcPr>
            <w:tcW w:w="1804" w:type="dxa"/>
            <w:vAlign w:val="center"/>
          </w:tcPr>
          <w:p w14:paraId="6CFB8BA2"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1281</w:t>
            </w:r>
          </w:p>
        </w:tc>
        <w:tc>
          <w:tcPr>
            <w:tcW w:w="1388" w:type="dxa"/>
            <w:vAlign w:val="center"/>
          </w:tcPr>
          <w:p w14:paraId="0928C95B" w14:textId="69C34CBB"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-10.0</w:t>
            </w:r>
            <w:r w:rsidR="00685C92">
              <w:rPr>
                <w:rFonts w:asciiTheme="minorHAnsi" w:hAnsiTheme="minorHAnsi" w:cstheme="minorHAnsi"/>
                <w:color w:val="000000"/>
                <w:sz w:val="22"/>
                <w:szCs w:val="22"/>
              </w:rPr>
              <w:t>3</w:t>
            </w:r>
          </w:p>
        </w:tc>
        <w:tc>
          <w:tcPr>
            <w:tcW w:w="1683" w:type="dxa"/>
            <w:vAlign w:val="center"/>
          </w:tcPr>
          <w:p w14:paraId="7CC15324" w14:textId="75A9699F"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2.24</w:t>
            </w:r>
          </w:p>
        </w:tc>
        <w:tc>
          <w:tcPr>
            <w:tcW w:w="1489" w:type="dxa"/>
            <w:vAlign w:val="center"/>
          </w:tcPr>
          <w:p w14:paraId="1F9F76EE"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43A23CD6" w14:textId="078F546B"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0.8</w:t>
            </w:r>
            <w:r w:rsidR="00243350">
              <w:rPr>
                <w:rFonts w:asciiTheme="minorHAnsi" w:hAnsiTheme="minorHAnsi" w:cstheme="minorHAnsi"/>
                <w:color w:val="000000"/>
                <w:sz w:val="22"/>
                <w:szCs w:val="22"/>
              </w:rPr>
              <w:t>07</w:t>
            </w:r>
          </w:p>
        </w:tc>
        <w:tc>
          <w:tcPr>
            <w:tcW w:w="1326" w:type="dxa"/>
            <w:vMerge w:val="restart"/>
            <w:vAlign w:val="center"/>
          </w:tcPr>
          <w:p w14:paraId="4204B64F" w14:textId="1F3E5073"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73078A" w:rsidRPr="003F511D" w14:paraId="2D89AE92" w14:textId="77777777" w:rsidTr="0073078A">
        <w:trPr>
          <w:jc w:val="center"/>
        </w:trPr>
        <w:tc>
          <w:tcPr>
            <w:tcW w:w="1804" w:type="dxa"/>
            <w:vAlign w:val="center"/>
          </w:tcPr>
          <w:p w14:paraId="358FA9B9"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1281</w:t>
            </w:r>
          </w:p>
        </w:tc>
        <w:tc>
          <w:tcPr>
            <w:tcW w:w="1388" w:type="dxa"/>
            <w:vAlign w:val="center"/>
          </w:tcPr>
          <w:p w14:paraId="636EE610" w14:textId="04E2B0F1"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-13.10</w:t>
            </w:r>
          </w:p>
        </w:tc>
        <w:tc>
          <w:tcPr>
            <w:tcW w:w="1683" w:type="dxa"/>
            <w:vAlign w:val="center"/>
          </w:tcPr>
          <w:p w14:paraId="307CD512" w14:textId="3EC5B96B"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2.5</w:t>
            </w:r>
            <w:r w:rsidR="00243350">
              <w:rPr>
                <w:rFonts w:asciiTheme="minorHAnsi" w:hAnsiTheme="minorHAnsi" w:cstheme="minorHAnsi"/>
                <w:color w:val="000000"/>
                <w:sz w:val="22"/>
                <w:szCs w:val="22"/>
              </w:rPr>
              <w:t>8</w:t>
            </w:r>
          </w:p>
        </w:tc>
        <w:tc>
          <w:tcPr>
            <w:tcW w:w="1489" w:type="dxa"/>
            <w:vAlign w:val="center"/>
          </w:tcPr>
          <w:p w14:paraId="4006E489"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26" w:type="dxa"/>
            <w:vMerge/>
            <w:vAlign w:val="center"/>
          </w:tcPr>
          <w:p w14:paraId="637A432B" w14:textId="77777777" w:rsidR="0073078A" w:rsidRPr="003F511D" w:rsidRDefault="0073078A" w:rsidP="0073078A">
            <w:pPr>
              <w:pStyle w:val="NormalWeb"/>
              <w:jc w:val="center"/>
              <w:rPr>
                <w:rFonts w:asciiTheme="minorHAnsi" w:hAnsiTheme="minorHAnsi" w:cstheme="minorHAnsi"/>
                <w:color w:val="000000"/>
                <w:sz w:val="22"/>
                <w:szCs w:val="22"/>
              </w:rPr>
            </w:pPr>
          </w:p>
        </w:tc>
        <w:tc>
          <w:tcPr>
            <w:tcW w:w="1326" w:type="dxa"/>
            <w:vMerge/>
            <w:vAlign w:val="center"/>
          </w:tcPr>
          <w:p w14:paraId="646FBBEF" w14:textId="77777777" w:rsidR="0073078A" w:rsidRPr="003F511D" w:rsidRDefault="0073078A" w:rsidP="0073078A">
            <w:pPr>
              <w:pStyle w:val="NormalWeb"/>
              <w:jc w:val="center"/>
              <w:rPr>
                <w:rFonts w:asciiTheme="minorHAnsi" w:hAnsiTheme="minorHAnsi" w:cstheme="minorHAnsi"/>
                <w:color w:val="000000"/>
                <w:sz w:val="22"/>
                <w:szCs w:val="22"/>
              </w:rPr>
            </w:pPr>
          </w:p>
        </w:tc>
      </w:tr>
      <w:tr w:rsidR="0073078A" w:rsidRPr="003F511D" w14:paraId="464787AE" w14:textId="77777777" w:rsidTr="0073078A">
        <w:trPr>
          <w:jc w:val="center"/>
        </w:trPr>
        <w:tc>
          <w:tcPr>
            <w:tcW w:w="1804" w:type="dxa"/>
            <w:vAlign w:val="center"/>
          </w:tcPr>
          <w:p w14:paraId="15FADC5A"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1282</w:t>
            </w:r>
          </w:p>
        </w:tc>
        <w:tc>
          <w:tcPr>
            <w:tcW w:w="1388" w:type="dxa"/>
            <w:vAlign w:val="center"/>
          </w:tcPr>
          <w:p w14:paraId="53E41CD8" w14:textId="430F034D"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-12.6</w:t>
            </w:r>
            <w:r w:rsidR="00685C92">
              <w:rPr>
                <w:rFonts w:asciiTheme="minorHAnsi" w:hAnsiTheme="minorHAnsi" w:cstheme="minorHAnsi"/>
                <w:color w:val="000000"/>
                <w:sz w:val="22"/>
                <w:szCs w:val="22"/>
              </w:rPr>
              <w:t>1</w:t>
            </w:r>
          </w:p>
        </w:tc>
        <w:tc>
          <w:tcPr>
            <w:tcW w:w="1683" w:type="dxa"/>
            <w:vAlign w:val="center"/>
          </w:tcPr>
          <w:p w14:paraId="7133747D" w14:textId="014DA6E1"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2.0</w:t>
            </w:r>
            <w:r w:rsidR="00243350">
              <w:rPr>
                <w:rFonts w:asciiTheme="minorHAnsi" w:hAnsiTheme="minorHAnsi" w:cstheme="minorHAnsi"/>
                <w:color w:val="000000"/>
                <w:sz w:val="22"/>
                <w:szCs w:val="22"/>
              </w:rPr>
              <w:t>7</w:t>
            </w:r>
          </w:p>
        </w:tc>
        <w:tc>
          <w:tcPr>
            <w:tcW w:w="1489" w:type="dxa"/>
            <w:vAlign w:val="center"/>
          </w:tcPr>
          <w:p w14:paraId="5E08E06F"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1596FA70" w14:textId="6A06AD59"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0.864</w:t>
            </w:r>
          </w:p>
        </w:tc>
        <w:tc>
          <w:tcPr>
            <w:tcW w:w="1326" w:type="dxa"/>
            <w:vMerge w:val="restart"/>
            <w:vAlign w:val="center"/>
          </w:tcPr>
          <w:p w14:paraId="5C1254AE" w14:textId="7A6618E7"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73078A" w:rsidRPr="003F511D" w14:paraId="584BD578" w14:textId="77777777" w:rsidTr="0073078A">
        <w:trPr>
          <w:jc w:val="center"/>
        </w:trPr>
        <w:tc>
          <w:tcPr>
            <w:tcW w:w="1804" w:type="dxa"/>
            <w:vAlign w:val="center"/>
          </w:tcPr>
          <w:p w14:paraId="412CEA57"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1282</w:t>
            </w:r>
          </w:p>
        </w:tc>
        <w:tc>
          <w:tcPr>
            <w:tcW w:w="1388" w:type="dxa"/>
            <w:vAlign w:val="center"/>
          </w:tcPr>
          <w:p w14:paraId="7326D40F" w14:textId="31C141C5"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-9.65</w:t>
            </w:r>
          </w:p>
        </w:tc>
        <w:tc>
          <w:tcPr>
            <w:tcW w:w="1683" w:type="dxa"/>
            <w:vAlign w:val="center"/>
          </w:tcPr>
          <w:p w14:paraId="33A23617" w14:textId="757A9B13"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w:t>
            </w:r>
            <w:r w:rsidR="00243350">
              <w:rPr>
                <w:rFonts w:asciiTheme="minorHAnsi" w:hAnsiTheme="minorHAnsi" w:cstheme="minorHAnsi"/>
                <w:color w:val="000000"/>
                <w:sz w:val="22"/>
                <w:szCs w:val="22"/>
              </w:rPr>
              <w:t>2</w:t>
            </w:r>
          </w:p>
        </w:tc>
        <w:tc>
          <w:tcPr>
            <w:tcW w:w="1489" w:type="dxa"/>
            <w:vAlign w:val="center"/>
          </w:tcPr>
          <w:p w14:paraId="7101E6E5"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26" w:type="dxa"/>
            <w:vMerge/>
            <w:vAlign w:val="center"/>
          </w:tcPr>
          <w:p w14:paraId="7103D786" w14:textId="77777777" w:rsidR="0073078A" w:rsidRPr="003F511D" w:rsidRDefault="0073078A" w:rsidP="0073078A">
            <w:pPr>
              <w:pStyle w:val="NormalWeb"/>
              <w:jc w:val="center"/>
              <w:rPr>
                <w:rFonts w:asciiTheme="minorHAnsi" w:hAnsiTheme="minorHAnsi" w:cstheme="minorHAnsi"/>
                <w:color w:val="000000"/>
                <w:sz w:val="22"/>
                <w:szCs w:val="22"/>
              </w:rPr>
            </w:pPr>
          </w:p>
        </w:tc>
        <w:tc>
          <w:tcPr>
            <w:tcW w:w="1326" w:type="dxa"/>
            <w:vMerge/>
            <w:vAlign w:val="center"/>
          </w:tcPr>
          <w:p w14:paraId="3B702518" w14:textId="77777777" w:rsidR="0073078A" w:rsidRPr="003F511D" w:rsidRDefault="0073078A" w:rsidP="0073078A">
            <w:pPr>
              <w:pStyle w:val="NormalWeb"/>
              <w:jc w:val="center"/>
              <w:rPr>
                <w:rFonts w:asciiTheme="minorHAnsi" w:hAnsiTheme="minorHAnsi" w:cstheme="minorHAnsi"/>
                <w:color w:val="000000"/>
                <w:sz w:val="22"/>
                <w:szCs w:val="22"/>
              </w:rPr>
            </w:pPr>
          </w:p>
        </w:tc>
      </w:tr>
      <w:tr w:rsidR="0073078A" w:rsidRPr="003F511D" w14:paraId="1900E9F8" w14:textId="77777777" w:rsidTr="0073078A">
        <w:trPr>
          <w:jc w:val="center"/>
        </w:trPr>
        <w:tc>
          <w:tcPr>
            <w:tcW w:w="1804" w:type="dxa"/>
            <w:vAlign w:val="center"/>
          </w:tcPr>
          <w:p w14:paraId="70494EEF"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1283</w:t>
            </w:r>
          </w:p>
        </w:tc>
        <w:tc>
          <w:tcPr>
            <w:tcW w:w="1388" w:type="dxa"/>
            <w:vAlign w:val="center"/>
          </w:tcPr>
          <w:p w14:paraId="476607B5" w14:textId="69F5E1D9"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-8.66</w:t>
            </w:r>
          </w:p>
        </w:tc>
        <w:tc>
          <w:tcPr>
            <w:tcW w:w="1683" w:type="dxa"/>
            <w:vAlign w:val="center"/>
          </w:tcPr>
          <w:p w14:paraId="30427F59" w14:textId="6600F79A"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w:t>
            </w:r>
            <w:r w:rsidR="00243350">
              <w:rPr>
                <w:rFonts w:asciiTheme="minorHAnsi" w:hAnsiTheme="minorHAnsi" w:cstheme="minorHAnsi"/>
                <w:color w:val="000000"/>
                <w:sz w:val="22"/>
                <w:szCs w:val="22"/>
              </w:rPr>
              <w:t>2</w:t>
            </w:r>
          </w:p>
        </w:tc>
        <w:tc>
          <w:tcPr>
            <w:tcW w:w="1489" w:type="dxa"/>
            <w:vAlign w:val="center"/>
          </w:tcPr>
          <w:p w14:paraId="021C55F3"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1419EBE0" w14:textId="0ECD8836"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0.182</w:t>
            </w:r>
          </w:p>
        </w:tc>
        <w:tc>
          <w:tcPr>
            <w:tcW w:w="1326" w:type="dxa"/>
            <w:vMerge w:val="restart"/>
            <w:vAlign w:val="center"/>
          </w:tcPr>
          <w:p w14:paraId="417AA461" w14:textId="6EFF228D" w:rsidR="0073078A" w:rsidRPr="003F511D" w:rsidRDefault="00CD62DA" w:rsidP="0073078A">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73078A" w:rsidRPr="003F511D" w14:paraId="218C6881" w14:textId="77777777" w:rsidTr="0073078A">
        <w:trPr>
          <w:jc w:val="center"/>
        </w:trPr>
        <w:tc>
          <w:tcPr>
            <w:tcW w:w="1804" w:type="dxa"/>
            <w:vAlign w:val="center"/>
          </w:tcPr>
          <w:p w14:paraId="531C8292"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1283</w:t>
            </w:r>
          </w:p>
        </w:tc>
        <w:tc>
          <w:tcPr>
            <w:tcW w:w="1388" w:type="dxa"/>
            <w:vAlign w:val="center"/>
          </w:tcPr>
          <w:p w14:paraId="07C9ECB7" w14:textId="6FDE056A"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-10.0</w:t>
            </w:r>
            <w:r w:rsidR="00685C92">
              <w:rPr>
                <w:rFonts w:asciiTheme="minorHAnsi" w:hAnsiTheme="minorHAnsi" w:cstheme="minorHAnsi"/>
                <w:color w:val="000000"/>
                <w:sz w:val="22"/>
                <w:szCs w:val="22"/>
              </w:rPr>
              <w:t>2</w:t>
            </w:r>
          </w:p>
        </w:tc>
        <w:tc>
          <w:tcPr>
            <w:tcW w:w="1683" w:type="dxa"/>
            <w:vAlign w:val="center"/>
          </w:tcPr>
          <w:p w14:paraId="688ADB81" w14:textId="444CB51B"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2.07</w:t>
            </w:r>
          </w:p>
        </w:tc>
        <w:tc>
          <w:tcPr>
            <w:tcW w:w="1489" w:type="dxa"/>
            <w:vAlign w:val="center"/>
          </w:tcPr>
          <w:p w14:paraId="3213D874" w14:textId="77777777" w:rsidR="0073078A" w:rsidRPr="003F511D" w:rsidRDefault="0073078A" w:rsidP="007307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p>
        </w:tc>
        <w:tc>
          <w:tcPr>
            <w:tcW w:w="1326" w:type="dxa"/>
            <w:vMerge/>
            <w:vAlign w:val="center"/>
          </w:tcPr>
          <w:p w14:paraId="3E63A5E5" w14:textId="77777777" w:rsidR="0073078A" w:rsidRPr="003F511D" w:rsidRDefault="0073078A" w:rsidP="0073078A">
            <w:pPr>
              <w:pStyle w:val="NormalWeb"/>
              <w:jc w:val="center"/>
              <w:rPr>
                <w:rFonts w:asciiTheme="minorHAnsi" w:hAnsiTheme="minorHAnsi" w:cstheme="minorHAnsi"/>
                <w:color w:val="000000"/>
                <w:sz w:val="22"/>
                <w:szCs w:val="22"/>
              </w:rPr>
            </w:pPr>
          </w:p>
        </w:tc>
        <w:tc>
          <w:tcPr>
            <w:tcW w:w="1326" w:type="dxa"/>
            <w:vMerge/>
            <w:vAlign w:val="center"/>
          </w:tcPr>
          <w:p w14:paraId="0FE00E2C" w14:textId="77777777" w:rsidR="0073078A" w:rsidRPr="003F511D" w:rsidRDefault="0073078A" w:rsidP="0073078A">
            <w:pPr>
              <w:pStyle w:val="NormalWeb"/>
              <w:jc w:val="center"/>
              <w:rPr>
                <w:rFonts w:asciiTheme="minorHAnsi" w:hAnsiTheme="minorHAnsi" w:cstheme="minorHAnsi"/>
                <w:color w:val="000000"/>
                <w:sz w:val="22"/>
                <w:szCs w:val="22"/>
              </w:rPr>
            </w:pPr>
          </w:p>
        </w:tc>
      </w:tr>
    </w:tbl>
    <w:p w14:paraId="1996C916" w14:textId="64F79876" w:rsidR="00FB2D49" w:rsidRPr="003F511D" w:rsidRDefault="0073078A" w:rsidP="00FB2D49">
      <w:pPr>
        <w:rPr>
          <w:sz w:val="18"/>
          <w:szCs w:val="18"/>
          <w:lang w:val="en-US" w:eastAsia="en-US"/>
        </w:rPr>
      </w:pPr>
      <w:r w:rsidRPr="003F511D">
        <w:rPr>
          <w:sz w:val="18"/>
          <w:szCs w:val="18"/>
          <w:lang w:val="en-US" w:eastAsia="en-US"/>
        </w:rPr>
        <w:t xml:space="preserve">Table 2-SI: Full set of results for sample APT-C02 for each batch measured, and </w:t>
      </w:r>
      <w:r w:rsidRPr="003F511D">
        <w:rPr>
          <w:rFonts w:asciiTheme="minorHAnsi" w:hAnsiTheme="minorHAnsi" w:cstheme="minorHAnsi"/>
          <w:sz w:val="18"/>
          <w:szCs w:val="18"/>
          <w:lang w:val="en-US" w:eastAsia="en-US"/>
        </w:rPr>
        <w:t xml:space="preserve">respective </w:t>
      </w:r>
      <w:r w:rsidRPr="003F511D">
        <w:rPr>
          <w:rFonts w:asciiTheme="minorHAnsi" w:hAnsiTheme="minorHAnsi" w:cstheme="minorHAnsi"/>
          <w:sz w:val="18"/>
          <w:szCs w:val="18"/>
          <w:lang w:val="en-US"/>
        </w:rPr>
        <w:sym w:font="Symbol" w:char="F063"/>
      </w:r>
      <w:r w:rsidRPr="003F511D">
        <w:rPr>
          <w:rFonts w:asciiTheme="minorHAnsi" w:hAnsiTheme="minorHAnsi" w:cstheme="minorHAnsi"/>
          <w:sz w:val="18"/>
          <w:szCs w:val="18"/>
          <w:vertAlign w:val="superscript"/>
          <w:lang w:val="en-US"/>
        </w:rPr>
        <w:t>2</w:t>
      </w:r>
      <w:r w:rsidRPr="003F511D">
        <w:rPr>
          <w:rFonts w:asciiTheme="minorHAnsi" w:hAnsiTheme="minorHAnsi" w:cstheme="minorHAnsi"/>
          <w:sz w:val="18"/>
          <w:szCs w:val="18"/>
          <w:lang w:val="en-US"/>
        </w:rPr>
        <w:t>-test between repeated samples, performed at the 95% probability, where the test is passed when the t-statistic of the set of repeated samples is less than the threshold value (3.841 for 2 samples)</w:t>
      </w:r>
    </w:p>
    <w:p w14:paraId="4852AF18" w14:textId="70654737" w:rsidR="00E71306" w:rsidRPr="003F511D" w:rsidRDefault="00E71306" w:rsidP="002955E2">
      <w:pPr>
        <w:pStyle w:val="Heading3"/>
      </w:pPr>
      <w:r w:rsidRPr="003F511D">
        <w:rPr>
          <w:noProof/>
        </w:rPr>
        <w:drawing>
          <wp:inline distT="0" distB="0" distL="0" distR="0" wp14:anchorId="298229AB" wp14:editId="4767098B">
            <wp:extent cx="5733738" cy="286687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54814" cy="2877408"/>
                    </a:xfrm>
                    <a:prstGeom prst="rect">
                      <a:avLst/>
                    </a:prstGeom>
                  </pic:spPr>
                </pic:pic>
              </a:graphicData>
            </a:graphic>
          </wp:inline>
        </w:drawing>
      </w:r>
    </w:p>
    <w:p w14:paraId="6EBBC59F" w14:textId="390D98B0" w:rsidR="00FB2D49" w:rsidRPr="003F511D" w:rsidRDefault="006320D1" w:rsidP="00E71306">
      <w:pPr>
        <w:pStyle w:val="Heading3"/>
        <w:rPr>
          <w:b w:val="0"/>
          <w:bCs/>
          <w:color w:val="auto"/>
        </w:rPr>
      </w:pPr>
      <w:r w:rsidRPr="003F511D">
        <w:rPr>
          <w:rFonts w:asciiTheme="minorHAnsi" w:hAnsiTheme="minorHAnsi" w:cstheme="minorHAnsi"/>
          <w:b w:val="0"/>
          <w:bCs/>
          <w:color w:val="auto"/>
          <w:sz w:val="18"/>
          <w:szCs w:val="18"/>
        </w:rPr>
        <w:t>Figure 2-SI: Comparison between the two different batches analyzed in this study for sample APT-C02.</w:t>
      </w:r>
    </w:p>
    <w:p w14:paraId="09625B5A" w14:textId="77777777" w:rsidR="007B0630" w:rsidRPr="003F511D" w:rsidRDefault="007B0630" w:rsidP="00D13E03">
      <w:pPr>
        <w:pStyle w:val="Heading3"/>
      </w:pPr>
    </w:p>
    <w:p w14:paraId="58F2FD04" w14:textId="77777777" w:rsidR="006320D1" w:rsidRPr="003F511D" w:rsidRDefault="006320D1" w:rsidP="006320D1">
      <w:pPr>
        <w:rPr>
          <w:lang w:val="en-US" w:eastAsia="en-US"/>
        </w:rPr>
      </w:pPr>
    </w:p>
    <w:p w14:paraId="4B09C374" w14:textId="77777777" w:rsidR="00243CED" w:rsidRPr="003F511D" w:rsidRDefault="00243CED" w:rsidP="006320D1">
      <w:pPr>
        <w:rPr>
          <w:lang w:val="en-US" w:eastAsia="en-US"/>
        </w:rPr>
      </w:pPr>
    </w:p>
    <w:p w14:paraId="786A0D9A" w14:textId="675029D9" w:rsidR="00E71306" w:rsidRPr="003F511D" w:rsidRDefault="00E71306" w:rsidP="00D13E03">
      <w:pPr>
        <w:pStyle w:val="Heading3"/>
        <w:rPr>
          <w:rFonts w:asciiTheme="minorHAnsi" w:hAnsiTheme="minorHAnsi" w:cstheme="minorHAnsi"/>
          <w:b w:val="0"/>
          <w:bCs/>
          <w:color w:val="4F81BD" w:themeColor="accent1"/>
          <w:shd w:val="clear" w:color="auto" w:fill="FFFFFF"/>
        </w:rPr>
      </w:pPr>
      <w:r w:rsidRPr="003F511D">
        <w:rPr>
          <w:rFonts w:asciiTheme="minorHAnsi" w:hAnsiTheme="minorHAnsi" w:cstheme="minorHAnsi"/>
          <w:b w:val="0"/>
          <w:bCs/>
          <w:color w:val="4F81BD" w:themeColor="accent1"/>
        </w:rPr>
        <w:lastRenderedPageBreak/>
        <w:t xml:space="preserve">Sample </w:t>
      </w:r>
      <w:r w:rsidR="008D15C3" w:rsidRPr="003F511D">
        <w:rPr>
          <w:rFonts w:asciiTheme="minorHAnsi" w:hAnsiTheme="minorHAnsi" w:cstheme="minorHAnsi"/>
          <w:b w:val="0"/>
          <w:bCs/>
          <w:color w:val="4F81BD" w:themeColor="accent1"/>
        </w:rPr>
        <w:t>R</w:t>
      </w:r>
      <w:r w:rsidR="008D15C3" w:rsidRPr="003F511D">
        <w:rPr>
          <w:rFonts w:asciiTheme="minorHAnsi" w:hAnsiTheme="minorHAnsi" w:cstheme="minorHAnsi"/>
          <w:b w:val="0"/>
          <w:bCs/>
          <w:color w:val="4F81BD" w:themeColor="accent1"/>
          <w:shd w:val="clear" w:color="auto" w:fill="FFFFFF"/>
        </w:rPr>
        <w:t>14.0123.121</w:t>
      </w:r>
    </w:p>
    <w:p w14:paraId="0E62FAEE" w14:textId="77777777" w:rsidR="00243CED" w:rsidRPr="003F511D" w:rsidRDefault="00243CED" w:rsidP="00243CED">
      <w:pPr>
        <w:rPr>
          <w:lang w:val="en-US" w:eastAsia="en-US"/>
        </w:rPr>
      </w:pPr>
    </w:p>
    <w:tbl>
      <w:tblPr>
        <w:tblStyle w:val="TableGrid"/>
        <w:tblW w:w="0" w:type="auto"/>
        <w:jc w:val="center"/>
        <w:tblLook w:val="04A0" w:firstRow="1" w:lastRow="0" w:firstColumn="1" w:lastColumn="0" w:noHBand="0" w:noVBand="1"/>
      </w:tblPr>
      <w:tblGrid>
        <w:gridCol w:w="1804"/>
        <w:gridCol w:w="1388"/>
        <w:gridCol w:w="1683"/>
        <w:gridCol w:w="1489"/>
        <w:gridCol w:w="1326"/>
        <w:gridCol w:w="1326"/>
      </w:tblGrid>
      <w:tr w:rsidR="009B79A3" w:rsidRPr="003F511D" w14:paraId="12A4A0BF" w14:textId="77777777" w:rsidTr="00D13E03">
        <w:trPr>
          <w:trHeight w:val="300"/>
          <w:jc w:val="center"/>
        </w:trPr>
        <w:tc>
          <w:tcPr>
            <w:tcW w:w="1804" w:type="dxa"/>
            <w:vAlign w:val="center"/>
          </w:tcPr>
          <w:p w14:paraId="4C077013" w14:textId="77777777" w:rsidR="009B79A3" w:rsidRPr="003F511D" w:rsidRDefault="009B79A3" w:rsidP="00D13E03">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Calendar Year (CE)</w:t>
            </w:r>
          </w:p>
        </w:tc>
        <w:tc>
          <w:tcPr>
            <w:tcW w:w="1388" w:type="dxa"/>
            <w:vAlign w:val="center"/>
          </w:tcPr>
          <w:p w14:paraId="546371A7" w14:textId="77777777" w:rsidR="009B79A3" w:rsidRPr="003F511D" w:rsidRDefault="009B79A3" w:rsidP="00D13E03">
            <w:pPr>
              <w:pStyle w:val="NormalWeb"/>
              <w:jc w:val="center"/>
              <w:rPr>
                <w:rFonts w:asciiTheme="minorHAnsi" w:hAnsiTheme="minorHAnsi" w:cstheme="minorHAnsi"/>
                <w:b/>
                <w:color w:val="202122"/>
                <w:sz w:val="22"/>
                <w:szCs w:val="22"/>
                <w:shd w:val="clear" w:color="auto" w:fill="FFFFFF"/>
              </w:rPr>
            </w:pPr>
            <w:r w:rsidRPr="003F511D">
              <w:rPr>
                <w:rFonts w:asciiTheme="minorHAnsi" w:hAnsiTheme="minorHAnsi" w:cstheme="minorHAnsi"/>
                <w:b/>
                <w:color w:val="202122"/>
                <w:sz w:val="22"/>
                <w:szCs w:val="22"/>
                <w:shd w:val="clear" w:color="auto" w:fill="FFFFFF"/>
              </w:rPr>
              <w:t>Δ</w:t>
            </w:r>
            <w:r w:rsidRPr="003F511D">
              <w:rPr>
                <w:rFonts w:asciiTheme="minorHAnsi" w:hAnsiTheme="minorHAnsi" w:cstheme="minorHAnsi"/>
                <w:b/>
                <w:sz w:val="22"/>
                <w:szCs w:val="22"/>
                <w:vertAlign w:val="superscript"/>
              </w:rPr>
              <w:t>14</w:t>
            </w:r>
            <w:r w:rsidRPr="003F511D">
              <w:rPr>
                <w:rFonts w:asciiTheme="minorHAnsi" w:hAnsiTheme="minorHAnsi" w:cstheme="minorHAnsi"/>
                <w:b/>
                <w:sz w:val="22"/>
                <w:szCs w:val="22"/>
              </w:rPr>
              <w:t>C (</w:t>
            </w:r>
            <w:r w:rsidRPr="003F511D">
              <w:rPr>
                <w:rFonts w:asciiTheme="minorHAnsi" w:hAnsiTheme="minorHAnsi" w:cstheme="minorHAnsi"/>
                <w:b/>
                <w:color w:val="202122"/>
                <w:sz w:val="22"/>
                <w:szCs w:val="22"/>
                <w:shd w:val="clear" w:color="auto" w:fill="F8F9FA"/>
              </w:rPr>
              <w:t>‰</w:t>
            </w:r>
            <w:r w:rsidRPr="003F511D">
              <w:rPr>
                <w:rFonts w:asciiTheme="minorHAnsi" w:hAnsiTheme="minorHAnsi" w:cstheme="minorHAnsi"/>
                <w:b/>
                <w:sz w:val="22"/>
                <w:szCs w:val="22"/>
              </w:rPr>
              <w:t>)</w:t>
            </w:r>
          </w:p>
        </w:tc>
        <w:tc>
          <w:tcPr>
            <w:tcW w:w="1683" w:type="dxa"/>
            <w:vAlign w:val="center"/>
          </w:tcPr>
          <w:p w14:paraId="060BF66D" w14:textId="77777777" w:rsidR="009B79A3" w:rsidRPr="003F511D" w:rsidRDefault="009B79A3" w:rsidP="00D13E03">
            <w:pPr>
              <w:pStyle w:val="NormalWeb"/>
              <w:jc w:val="center"/>
              <w:rPr>
                <w:rFonts w:asciiTheme="minorHAnsi" w:hAnsiTheme="minorHAnsi" w:cstheme="minorHAnsi"/>
                <w:b/>
                <w:sz w:val="22"/>
                <w:szCs w:val="22"/>
              </w:rPr>
            </w:pPr>
            <w:r w:rsidRPr="003F511D">
              <w:rPr>
                <w:rStyle w:val="Strong"/>
                <w:rFonts w:asciiTheme="minorHAnsi" w:hAnsiTheme="minorHAnsi" w:cstheme="minorHAnsi"/>
                <w:color w:val="202122"/>
                <w:sz w:val="22"/>
                <w:szCs w:val="22"/>
                <w:shd w:val="clear" w:color="auto" w:fill="FFFFFF"/>
              </w:rPr>
              <w:t>± σ</w:t>
            </w:r>
            <w:r w:rsidRPr="003F511D">
              <w:rPr>
                <w:rFonts w:asciiTheme="minorHAnsi" w:hAnsiTheme="minorHAnsi" w:cstheme="minorHAnsi"/>
                <w:b/>
                <w:sz w:val="22"/>
                <w:szCs w:val="22"/>
              </w:rPr>
              <w:t xml:space="preserve"> (</w:t>
            </w:r>
            <w:r w:rsidRPr="003F511D">
              <w:rPr>
                <w:rFonts w:asciiTheme="minorHAnsi" w:hAnsiTheme="minorHAnsi" w:cstheme="minorHAnsi"/>
                <w:b/>
                <w:color w:val="202122"/>
                <w:sz w:val="22"/>
                <w:szCs w:val="22"/>
                <w:shd w:val="clear" w:color="auto" w:fill="F8F9FA"/>
              </w:rPr>
              <w:t>‰</w:t>
            </w:r>
            <w:r w:rsidRPr="003F511D">
              <w:rPr>
                <w:rFonts w:asciiTheme="minorHAnsi" w:hAnsiTheme="minorHAnsi" w:cstheme="minorHAnsi"/>
                <w:b/>
                <w:sz w:val="22"/>
                <w:szCs w:val="22"/>
              </w:rPr>
              <w:t>)</w:t>
            </w:r>
          </w:p>
        </w:tc>
        <w:tc>
          <w:tcPr>
            <w:tcW w:w="1489" w:type="dxa"/>
            <w:vAlign w:val="center"/>
          </w:tcPr>
          <w:p w14:paraId="13F97683" w14:textId="77777777" w:rsidR="009B79A3" w:rsidRPr="003F511D" w:rsidRDefault="009B79A3" w:rsidP="00D13E03">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Batch nr</w:t>
            </w:r>
          </w:p>
        </w:tc>
        <w:tc>
          <w:tcPr>
            <w:tcW w:w="1326" w:type="dxa"/>
            <w:vAlign w:val="center"/>
          </w:tcPr>
          <w:p w14:paraId="64443AEE" w14:textId="77777777" w:rsidR="009B79A3" w:rsidRPr="003F511D" w:rsidRDefault="009B79A3" w:rsidP="00D13E03">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T-statistic</w:t>
            </w:r>
          </w:p>
        </w:tc>
        <w:tc>
          <w:tcPr>
            <w:tcW w:w="1326" w:type="dxa"/>
            <w:vAlign w:val="center"/>
          </w:tcPr>
          <w:p w14:paraId="2895B745" w14:textId="77777777" w:rsidR="009B79A3" w:rsidRPr="003F511D" w:rsidRDefault="009B79A3" w:rsidP="00D13E03">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sym w:font="Symbol" w:char="F063"/>
            </w:r>
            <w:r w:rsidRPr="003F511D">
              <w:rPr>
                <w:rFonts w:asciiTheme="minorHAnsi" w:hAnsiTheme="minorHAnsi" w:cstheme="minorHAnsi"/>
                <w:b/>
                <w:sz w:val="22"/>
                <w:szCs w:val="22"/>
                <w:vertAlign w:val="superscript"/>
              </w:rPr>
              <w:t>2</w:t>
            </w:r>
            <w:r w:rsidRPr="003F511D">
              <w:rPr>
                <w:rFonts w:asciiTheme="minorHAnsi" w:hAnsiTheme="minorHAnsi" w:cstheme="minorHAnsi"/>
                <w:b/>
                <w:sz w:val="22"/>
                <w:szCs w:val="22"/>
              </w:rPr>
              <w:t>-test</w:t>
            </w:r>
          </w:p>
        </w:tc>
      </w:tr>
      <w:tr w:rsidR="009B79A3" w:rsidRPr="003F511D" w14:paraId="7AEEED8B" w14:textId="77777777" w:rsidTr="00D13E03">
        <w:trPr>
          <w:jc w:val="center"/>
        </w:trPr>
        <w:tc>
          <w:tcPr>
            <w:tcW w:w="1804" w:type="dxa"/>
            <w:vAlign w:val="center"/>
          </w:tcPr>
          <w:p w14:paraId="50B76839"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531</w:t>
            </w:r>
          </w:p>
        </w:tc>
        <w:tc>
          <w:tcPr>
            <w:tcW w:w="1388" w:type="dxa"/>
            <w:vAlign w:val="center"/>
          </w:tcPr>
          <w:p w14:paraId="27262C53" w14:textId="55645069"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-25.0</w:t>
            </w:r>
            <w:r w:rsidR="00762BA8">
              <w:rPr>
                <w:rFonts w:asciiTheme="minorHAnsi" w:hAnsiTheme="minorHAnsi" w:cstheme="minorHAnsi"/>
                <w:color w:val="000000"/>
                <w:sz w:val="22"/>
                <w:szCs w:val="22"/>
              </w:rPr>
              <w:t>2</w:t>
            </w:r>
          </w:p>
        </w:tc>
        <w:tc>
          <w:tcPr>
            <w:tcW w:w="1683" w:type="dxa"/>
            <w:vAlign w:val="center"/>
          </w:tcPr>
          <w:p w14:paraId="7E7F28EA" w14:textId="2A26F9F2" w:rsidR="00762BA8" w:rsidRPr="00762BA8" w:rsidRDefault="009B79A3" w:rsidP="00762BA8">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2.6</w:t>
            </w:r>
            <w:r w:rsidR="00762BA8">
              <w:rPr>
                <w:rFonts w:asciiTheme="minorHAnsi" w:hAnsiTheme="minorHAnsi" w:cstheme="minorHAnsi"/>
                <w:color w:val="000000"/>
                <w:sz w:val="22"/>
                <w:szCs w:val="22"/>
              </w:rPr>
              <w:t>7</w:t>
            </w:r>
          </w:p>
        </w:tc>
        <w:tc>
          <w:tcPr>
            <w:tcW w:w="1489" w:type="dxa"/>
            <w:vAlign w:val="center"/>
          </w:tcPr>
          <w:p w14:paraId="6F51A51F"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Align w:val="center"/>
          </w:tcPr>
          <w:p w14:paraId="2A3889E1" w14:textId="7DAE9B26"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c>
          <w:tcPr>
            <w:tcW w:w="1326" w:type="dxa"/>
            <w:vAlign w:val="center"/>
          </w:tcPr>
          <w:p w14:paraId="560E3AB4" w14:textId="085DDDD2"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r>
      <w:tr w:rsidR="009B79A3" w:rsidRPr="003F511D" w14:paraId="0EB039D5" w14:textId="77777777" w:rsidTr="00D13E03">
        <w:trPr>
          <w:jc w:val="center"/>
        </w:trPr>
        <w:tc>
          <w:tcPr>
            <w:tcW w:w="1804" w:type="dxa"/>
            <w:vAlign w:val="center"/>
          </w:tcPr>
          <w:p w14:paraId="3B1BEBC0"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532</w:t>
            </w:r>
          </w:p>
        </w:tc>
        <w:tc>
          <w:tcPr>
            <w:tcW w:w="1388" w:type="dxa"/>
            <w:vAlign w:val="center"/>
          </w:tcPr>
          <w:p w14:paraId="39300123" w14:textId="3D2A9D76"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-22.1</w:t>
            </w:r>
            <w:r w:rsidR="00762BA8">
              <w:rPr>
                <w:rFonts w:asciiTheme="minorHAnsi" w:hAnsiTheme="minorHAnsi" w:cstheme="minorHAnsi"/>
                <w:color w:val="000000"/>
                <w:sz w:val="22"/>
                <w:szCs w:val="22"/>
              </w:rPr>
              <w:t>6</w:t>
            </w:r>
          </w:p>
        </w:tc>
        <w:tc>
          <w:tcPr>
            <w:tcW w:w="1683" w:type="dxa"/>
            <w:vAlign w:val="center"/>
          </w:tcPr>
          <w:p w14:paraId="01A87422" w14:textId="601B2011"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w:t>
            </w:r>
            <w:r w:rsidR="00762BA8">
              <w:rPr>
                <w:rFonts w:asciiTheme="minorHAnsi" w:hAnsiTheme="minorHAnsi" w:cstheme="minorHAnsi"/>
                <w:color w:val="000000"/>
                <w:sz w:val="22"/>
                <w:szCs w:val="22"/>
              </w:rPr>
              <w:t>3</w:t>
            </w:r>
          </w:p>
        </w:tc>
        <w:tc>
          <w:tcPr>
            <w:tcW w:w="1489" w:type="dxa"/>
            <w:vAlign w:val="center"/>
          </w:tcPr>
          <w:p w14:paraId="367BFCB7"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Align w:val="center"/>
          </w:tcPr>
          <w:p w14:paraId="4D9AD372" w14:textId="2E830A4D"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c>
          <w:tcPr>
            <w:tcW w:w="1326" w:type="dxa"/>
            <w:vAlign w:val="center"/>
          </w:tcPr>
          <w:p w14:paraId="47AE8EFC" w14:textId="584273B5"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r>
      <w:tr w:rsidR="009B79A3" w:rsidRPr="003F511D" w14:paraId="320408EA" w14:textId="77777777" w:rsidTr="00D13E03">
        <w:trPr>
          <w:jc w:val="center"/>
        </w:trPr>
        <w:tc>
          <w:tcPr>
            <w:tcW w:w="1804" w:type="dxa"/>
            <w:vAlign w:val="center"/>
          </w:tcPr>
          <w:p w14:paraId="19A76384"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533</w:t>
            </w:r>
          </w:p>
        </w:tc>
        <w:tc>
          <w:tcPr>
            <w:tcW w:w="1388" w:type="dxa"/>
            <w:vAlign w:val="center"/>
          </w:tcPr>
          <w:p w14:paraId="45A18F34" w14:textId="6EAEBA74"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-23.20</w:t>
            </w:r>
          </w:p>
        </w:tc>
        <w:tc>
          <w:tcPr>
            <w:tcW w:w="1683" w:type="dxa"/>
            <w:vAlign w:val="center"/>
          </w:tcPr>
          <w:p w14:paraId="61FF85F8" w14:textId="125E4CEA"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w:t>
            </w:r>
            <w:r w:rsidR="00762BA8">
              <w:rPr>
                <w:rFonts w:asciiTheme="minorHAnsi" w:hAnsiTheme="minorHAnsi" w:cstheme="minorHAnsi"/>
                <w:color w:val="000000"/>
                <w:sz w:val="22"/>
                <w:szCs w:val="22"/>
              </w:rPr>
              <w:t>50</w:t>
            </w:r>
          </w:p>
        </w:tc>
        <w:tc>
          <w:tcPr>
            <w:tcW w:w="1489" w:type="dxa"/>
            <w:vAlign w:val="center"/>
          </w:tcPr>
          <w:p w14:paraId="22C37142"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Align w:val="center"/>
          </w:tcPr>
          <w:p w14:paraId="3EDCB59C" w14:textId="742EEB6F"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c>
          <w:tcPr>
            <w:tcW w:w="1326" w:type="dxa"/>
            <w:vAlign w:val="center"/>
          </w:tcPr>
          <w:p w14:paraId="34300A33" w14:textId="77D59859"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r>
      <w:tr w:rsidR="009B79A3" w:rsidRPr="003F511D" w14:paraId="31196A30" w14:textId="77777777" w:rsidTr="00D13E03">
        <w:trPr>
          <w:jc w:val="center"/>
        </w:trPr>
        <w:tc>
          <w:tcPr>
            <w:tcW w:w="1804" w:type="dxa"/>
            <w:vAlign w:val="center"/>
          </w:tcPr>
          <w:p w14:paraId="5FD6D04C"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534</w:t>
            </w:r>
          </w:p>
        </w:tc>
        <w:tc>
          <w:tcPr>
            <w:tcW w:w="1388" w:type="dxa"/>
            <w:vAlign w:val="center"/>
          </w:tcPr>
          <w:p w14:paraId="4F01E4E6" w14:textId="5EF251DF"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-22.51</w:t>
            </w:r>
          </w:p>
        </w:tc>
        <w:tc>
          <w:tcPr>
            <w:tcW w:w="1683" w:type="dxa"/>
            <w:vAlign w:val="center"/>
          </w:tcPr>
          <w:p w14:paraId="16B73DF9" w14:textId="4EF3922A"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2.64</w:t>
            </w:r>
          </w:p>
        </w:tc>
        <w:tc>
          <w:tcPr>
            <w:tcW w:w="1489" w:type="dxa"/>
            <w:vAlign w:val="center"/>
          </w:tcPr>
          <w:p w14:paraId="0ED13AF3"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Align w:val="center"/>
          </w:tcPr>
          <w:p w14:paraId="0BCF2651" w14:textId="470AFBC2"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c>
          <w:tcPr>
            <w:tcW w:w="1326" w:type="dxa"/>
            <w:vAlign w:val="center"/>
          </w:tcPr>
          <w:p w14:paraId="24FDA115" w14:textId="4EED11ED"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r>
      <w:tr w:rsidR="009B79A3" w:rsidRPr="003F511D" w14:paraId="277F9A04" w14:textId="77777777" w:rsidTr="00D13E03">
        <w:trPr>
          <w:jc w:val="center"/>
        </w:trPr>
        <w:tc>
          <w:tcPr>
            <w:tcW w:w="1804" w:type="dxa"/>
            <w:vAlign w:val="center"/>
          </w:tcPr>
          <w:p w14:paraId="370B78D2"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535</w:t>
            </w:r>
          </w:p>
        </w:tc>
        <w:tc>
          <w:tcPr>
            <w:tcW w:w="1388" w:type="dxa"/>
            <w:vAlign w:val="center"/>
          </w:tcPr>
          <w:p w14:paraId="4E26F1C5" w14:textId="140D3463"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-22.65</w:t>
            </w:r>
          </w:p>
        </w:tc>
        <w:tc>
          <w:tcPr>
            <w:tcW w:w="1683" w:type="dxa"/>
            <w:vAlign w:val="center"/>
          </w:tcPr>
          <w:p w14:paraId="4715F878" w14:textId="24662986"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2.37</w:t>
            </w:r>
          </w:p>
        </w:tc>
        <w:tc>
          <w:tcPr>
            <w:tcW w:w="1489" w:type="dxa"/>
            <w:vAlign w:val="center"/>
          </w:tcPr>
          <w:p w14:paraId="30E9EEA2"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Align w:val="center"/>
          </w:tcPr>
          <w:p w14:paraId="19748AEE" w14:textId="0B6913D4"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c>
          <w:tcPr>
            <w:tcW w:w="1326" w:type="dxa"/>
            <w:vAlign w:val="center"/>
          </w:tcPr>
          <w:p w14:paraId="27028A47" w14:textId="3285B7E8"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r>
      <w:tr w:rsidR="009B79A3" w:rsidRPr="003F511D" w14:paraId="3F139A76" w14:textId="77777777" w:rsidTr="00D13E03">
        <w:trPr>
          <w:jc w:val="center"/>
        </w:trPr>
        <w:tc>
          <w:tcPr>
            <w:tcW w:w="1804" w:type="dxa"/>
            <w:vAlign w:val="center"/>
          </w:tcPr>
          <w:p w14:paraId="65444539"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536</w:t>
            </w:r>
          </w:p>
        </w:tc>
        <w:tc>
          <w:tcPr>
            <w:tcW w:w="1388" w:type="dxa"/>
            <w:vAlign w:val="center"/>
          </w:tcPr>
          <w:p w14:paraId="07207746" w14:textId="6C7C8B44"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-23.18</w:t>
            </w:r>
          </w:p>
        </w:tc>
        <w:tc>
          <w:tcPr>
            <w:tcW w:w="1683" w:type="dxa"/>
            <w:vAlign w:val="center"/>
          </w:tcPr>
          <w:p w14:paraId="038C6A90" w14:textId="56B589C1"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2.44</w:t>
            </w:r>
          </w:p>
        </w:tc>
        <w:tc>
          <w:tcPr>
            <w:tcW w:w="1489" w:type="dxa"/>
            <w:vAlign w:val="center"/>
          </w:tcPr>
          <w:p w14:paraId="3CE0B748"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Align w:val="center"/>
          </w:tcPr>
          <w:p w14:paraId="13E41C00" w14:textId="592A5107"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c>
          <w:tcPr>
            <w:tcW w:w="1326" w:type="dxa"/>
            <w:vAlign w:val="center"/>
          </w:tcPr>
          <w:p w14:paraId="3112F37C" w14:textId="47736F68"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r>
      <w:tr w:rsidR="009B79A3" w:rsidRPr="003F511D" w14:paraId="1E66C38B" w14:textId="77777777" w:rsidTr="00D13E03">
        <w:trPr>
          <w:jc w:val="center"/>
        </w:trPr>
        <w:tc>
          <w:tcPr>
            <w:tcW w:w="1804" w:type="dxa"/>
            <w:vAlign w:val="center"/>
          </w:tcPr>
          <w:p w14:paraId="6E198678"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537</w:t>
            </w:r>
          </w:p>
        </w:tc>
        <w:tc>
          <w:tcPr>
            <w:tcW w:w="1388" w:type="dxa"/>
            <w:vAlign w:val="center"/>
          </w:tcPr>
          <w:p w14:paraId="64488F1F" w14:textId="0F268FF4"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-23.1</w:t>
            </w:r>
            <w:r w:rsidR="00762BA8">
              <w:rPr>
                <w:rFonts w:asciiTheme="minorHAnsi" w:hAnsiTheme="minorHAnsi" w:cstheme="minorHAnsi"/>
                <w:color w:val="000000"/>
                <w:sz w:val="22"/>
                <w:szCs w:val="22"/>
              </w:rPr>
              <w:t>8</w:t>
            </w:r>
          </w:p>
        </w:tc>
        <w:tc>
          <w:tcPr>
            <w:tcW w:w="1683" w:type="dxa"/>
            <w:vAlign w:val="center"/>
          </w:tcPr>
          <w:p w14:paraId="4EA776E5" w14:textId="6853A4F1"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w:t>
            </w:r>
            <w:r w:rsidR="00762BA8">
              <w:rPr>
                <w:rFonts w:asciiTheme="minorHAnsi" w:hAnsiTheme="minorHAnsi" w:cstheme="minorHAnsi"/>
                <w:color w:val="000000"/>
                <w:sz w:val="22"/>
                <w:szCs w:val="22"/>
              </w:rPr>
              <w:t>3</w:t>
            </w:r>
          </w:p>
        </w:tc>
        <w:tc>
          <w:tcPr>
            <w:tcW w:w="1489" w:type="dxa"/>
            <w:vAlign w:val="center"/>
          </w:tcPr>
          <w:p w14:paraId="098918D8"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6B8ACE4A" w14:textId="1E952B85"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0.21</w:t>
            </w:r>
            <w:r w:rsidR="00A82CA5">
              <w:rPr>
                <w:rFonts w:asciiTheme="minorHAnsi" w:hAnsiTheme="minorHAnsi" w:cstheme="minorHAnsi"/>
                <w:color w:val="000000"/>
                <w:sz w:val="22"/>
                <w:szCs w:val="22"/>
              </w:rPr>
              <w:t>6</w:t>
            </w:r>
          </w:p>
        </w:tc>
        <w:tc>
          <w:tcPr>
            <w:tcW w:w="1326" w:type="dxa"/>
            <w:vMerge w:val="restart"/>
            <w:vAlign w:val="center"/>
          </w:tcPr>
          <w:p w14:paraId="4718D316" w14:textId="12879EAD"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9B79A3" w:rsidRPr="003F511D" w14:paraId="2BC35D4E" w14:textId="77777777" w:rsidTr="00D13E03">
        <w:trPr>
          <w:jc w:val="center"/>
        </w:trPr>
        <w:tc>
          <w:tcPr>
            <w:tcW w:w="1804" w:type="dxa"/>
            <w:vAlign w:val="center"/>
          </w:tcPr>
          <w:p w14:paraId="67686916"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537</w:t>
            </w:r>
          </w:p>
        </w:tc>
        <w:tc>
          <w:tcPr>
            <w:tcW w:w="1388" w:type="dxa"/>
            <w:vAlign w:val="center"/>
          </w:tcPr>
          <w:p w14:paraId="2B9456AC" w14:textId="483C9041"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-24.73</w:t>
            </w:r>
          </w:p>
        </w:tc>
        <w:tc>
          <w:tcPr>
            <w:tcW w:w="1683" w:type="dxa"/>
            <w:vAlign w:val="center"/>
          </w:tcPr>
          <w:p w14:paraId="74CDCA9D" w14:textId="1AAFE56F"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2.2</w:t>
            </w:r>
            <w:r w:rsidR="00AC627B">
              <w:rPr>
                <w:rFonts w:asciiTheme="minorHAnsi" w:hAnsiTheme="minorHAnsi" w:cstheme="minorHAnsi"/>
                <w:color w:val="000000"/>
                <w:sz w:val="22"/>
                <w:szCs w:val="22"/>
              </w:rPr>
              <w:t>8</w:t>
            </w:r>
          </w:p>
        </w:tc>
        <w:tc>
          <w:tcPr>
            <w:tcW w:w="1489" w:type="dxa"/>
            <w:vAlign w:val="center"/>
          </w:tcPr>
          <w:p w14:paraId="15E2E9D7"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w:t>
            </w:r>
          </w:p>
        </w:tc>
        <w:tc>
          <w:tcPr>
            <w:tcW w:w="1326" w:type="dxa"/>
            <w:vMerge/>
            <w:vAlign w:val="center"/>
          </w:tcPr>
          <w:p w14:paraId="3D3199DF" w14:textId="77777777" w:rsidR="009B79A3" w:rsidRPr="003F511D" w:rsidRDefault="009B79A3" w:rsidP="00D13E03">
            <w:pPr>
              <w:pStyle w:val="NormalWeb"/>
              <w:jc w:val="center"/>
              <w:rPr>
                <w:rFonts w:asciiTheme="minorHAnsi" w:hAnsiTheme="minorHAnsi" w:cstheme="minorHAnsi"/>
                <w:color w:val="000000"/>
                <w:sz w:val="22"/>
                <w:szCs w:val="22"/>
              </w:rPr>
            </w:pPr>
          </w:p>
        </w:tc>
        <w:tc>
          <w:tcPr>
            <w:tcW w:w="1326" w:type="dxa"/>
            <w:vMerge/>
            <w:vAlign w:val="center"/>
          </w:tcPr>
          <w:p w14:paraId="32E8E5C4" w14:textId="77777777" w:rsidR="009B79A3" w:rsidRPr="003F511D" w:rsidRDefault="009B79A3" w:rsidP="00D13E03">
            <w:pPr>
              <w:pStyle w:val="NormalWeb"/>
              <w:jc w:val="center"/>
              <w:rPr>
                <w:rFonts w:asciiTheme="minorHAnsi" w:hAnsiTheme="minorHAnsi" w:cstheme="minorHAnsi"/>
                <w:color w:val="000000"/>
                <w:sz w:val="22"/>
                <w:szCs w:val="22"/>
              </w:rPr>
            </w:pPr>
          </w:p>
        </w:tc>
      </w:tr>
      <w:tr w:rsidR="009B79A3" w:rsidRPr="003F511D" w14:paraId="69091791" w14:textId="77777777" w:rsidTr="00D13E03">
        <w:trPr>
          <w:jc w:val="center"/>
        </w:trPr>
        <w:tc>
          <w:tcPr>
            <w:tcW w:w="1804" w:type="dxa"/>
            <w:vAlign w:val="center"/>
          </w:tcPr>
          <w:p w14:paraId="00DF4FA8"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538</w:t>
            </w:r>
          </w:p>
        </w:tc>
        <w:tc>
          <w:tcPr>
            <w:tcW w:w="1388" w:type="dxa"/>
            <w:vAlign w:val="center"/>
          </w:tcPr>
          <w:p w14:paraId="11FF9D1A" w14:textId="68520CA9"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-23.03</w:t>
            </w:r>
          </w:p>
        </w:tc>
        <w:tc>
          <w:tcPr>
            <w:tcW w:w="1683" w:type="dxa"/>
            <w:vAlign w:val="center"/>
          </w:tcPr>
          <w:p w14:paraId="163AA359" w14:textId="36EBE4F3"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2.45</w:t>
            </w:r>
          </w:p>
        </w:tc>
        <w:tc>
          <w:tcPr>
            <w:tcW w:w="1489" w:type="dxa"/>
            <w:vAlign w:val="center"/>
          </w:tcPr>
          <w:p w14:paraId="62995573"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2F70033E" w14:textId="6CB0C172"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0.081</w:t>
            </w:r>
          </w:p>
        </w:tc>
        <w:tc>
          <w:tcPr>
            <w:tcW w:w="1326" w:type="dxa"/>
            <w:vMerge w:val="restart"/>
            <w:vAlign w:val="center"/>
          </w:tcPr>
          <w:p w14:paraId="7739373D" w14:textId="3264A0E9"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9B79A3" w:rsidRPr="003F511D" w14:paraId="5BE04363" w14:textId="77777777" w:rsidTr="00D13E03">
        <w:trPr>
          <w:jc w:val="center"/>
        </w:trPr>
        <w:tc>
          <w:tcPr>
            <w:tcW w:w="1804" w:type="dxa"/>
            <w:vAlign w:val="center"/>
          </w:tcPr>
          <w:p w14:paraId="1CDA11FC"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538</w:t>
            </w:r>
          </w:p>
        </w:tc>
        <w:tc>
          <w:tcPr>
            <w:tcW w:w="1388" w:type="dxa"/>
            <w:vAlign w:val="center"/>
          </w:tcPr>
          <w:p w14:paraId="74F0B122" w14:textId="2E6D2696"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-23.97</w:t>
            </w:r>
          </w:p>
        </w:tc>
        <w:tc>
          <w:tcPr>
            <w:tcW w:w="1683" w:type="dxa"/>
            <w:vAlign w:val="center"/>
          </w:tcPr>
          <w:p w14:paraId="50C85538" w14:textId="6C31A4EC"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2.22</w:t>
            </w:r>
          </w:p>
        </w:tc>
        <w:tc>
          <w:tcPr>
            <w:tcW w:w="1489" w:type="dxa"/>
            <w:vAlign w:val="center"/>
          </w:tcPr>
          <w:p w14:paraId="307A2687"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w:t>
            </w:r>
          </w:p>
        </w:tc>
        <w:tc>
          <w:tcPr>
            <w:tcW w:w="1326" w:type="dxa"/>
            <w:vMerge/>
            <w:vAlign w:val="center"/>
          </w:tcPr>
          <w:p w14:paraId="5924D312" w14:textId="77777777" w:rsidR="009B79A3" w:rsidRPr="003F511D" w:rsidRDefault="009B79A3" w:rsidP="00D13E03">
            <w:pPr>
              <w:pStyle w:val="NormalWeb"/>
              <w:jc w:val="center"/>
              <w:rPr>
                <w:rFonts w:asciiTheme="minorHAnsi" w:hAnsiTheme="minorHAnsi" w:cstheme="minorHAnsi"/>
                <w:color w:val="000000"/>
                <w:sz w:val="22"/>
                <w:szCs w:val="22"/>
              </w:rPr>
            </w:pPr>
          </w:p>
        </w:tc>
        <w:tc>
          <w:tcPr>
            <w:tcW w:w="1326" w:type="dxa"/>
            <w:vMerge/>
            <w:vAlign w:val="center"/>
          </w:tcPr>
          <w:p w14:paraId="74C2450F" w14:textId="77777777" w:rsidR="009B79A3" w:rsidRPr="003F511D" w:rsidRDefault="009B79A3" w:rsidP="00D13E03">
            <w:pPr>
              <w:pStyle w:val="NormalWeb"/>
              <w:jc w:val="center"/>
              <w:rPr>
                <w:rFonts w:asciiTheme="minorHAnsi" w:hAnsiTheme="minorHAnsi" w:cstheme="minorHAnsi"/>
                <w:color w:val="000000"/>
                <w:sz w:val="22"/>
                <w:szCs w:val="22"/>
              </w:rPr>
            </w:pPr>
          </w:p>
        </w:tc>
      </w:tr>
      <w:tr w:rsidR="009B79A3" w:rsidRPr="003F511D" w14:paraId="3F0D4506" w14:textId="77777777" w:rsidTr="00D13E03">
        <w:trPr>
          <w:jc w:val="center"/>
        </w:trPr>
        <w:tc>
          <w:tcPr>
            <w:tcW w:w="1804" w:type="dxa"/>
            <w:vAlign w:val="center"/>
          </w:tcPr>
          <w:p w14:paraId="45861F61"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539</w:t>
            </w:r>
          </w:p>
        </w:tc>
        <w:tc>
          <w:tcPr>
            <w:tcW w:w="1388" w:type="dxa"/>
            <w:vAlign w:val="center"/>
          </w:tcPr>
          <w:p w14:paraId="456EB417" w14:textId="74621746"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-22.93</w:t>
            </w:r>
          </w:p>
        </w:tc>
        <w:tc>
          <w:tcPr>
            <w:tcW w:w="1683" w:type="dxa"/>
            <w:vAlign w:val="center"/>
          </w:tcPr>
          <w:p w14:paraId="42FFA6C1" w14:textId="0E62BFD6"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2.51</w:t>
            </w:r>
          </w:p>
        </w:tc>
        <w:tc>
          <w:tcPr>
            <w:tcW w:w="1489" w:type="dxa"/>
            <w:vAlign w:val="center"/>
          </w:tcPr>
          <w:p w14:paraId="64AD1021"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Align w:val="center"/>
          </w:tcPr>
          <w:p w14:paraId="5E50AFE8" w14:textId="18C68BD6"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c>
          <w:tcPr>
            <w:tcW w:w="1326" w:type="dxa"/>
            <w:vAlign w:val="center"/>
          </w:tcPr>
          <w:p w14:paraId="58794307" w14:textId="612C5B12"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r>
      <w:tr w:rsidR="009B79A3" w:rsidRPr="003F511D" w14:paraId="6DD731F8" w14:textId="77777777" w:rsidTr="00D13E03">
        <w:trPr>
          <w:jc w:val="center"/>
        </w:trPr>
        <w:tc>
          <w:tcPr>
            <w:tcW w:w="1804" w:type="dxa"/>
            <w:vAlign w:val="center"/>
          </w:tcPr>
          <w:p w14:paraId="7B1DDD14"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540</w:t>
            </w:r>
          </w:p>
        </w:tc>
        <w:tc>
          <w:tcPr>
            <w:tcW w:w="1388" w:type="dxa"/>
            <w:vAlign w:val="center"/>
          </w:tcPr>
          <w:p w14:paraId="43B749AB" w14:textId="2C574D8D"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-21.75</w:t>
            </w:r>
          </w:p>
        </w:tc>
        <w:tc>
          <w:tcPr>
            <w:tcW w:w="1683" w:type="dxa"/>
            <w:vAlign w:val="center"/>
          </w:tcPr>
          <w:p w14:paraId="6991F345" w14:textId="6D84D8D5"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2.5</w:t>
            </w:r>
            <w:r w:rsidR="00AC627B">
              <w:rPr>
                <w:rFonts w:asciiTheme="minorHAnsi" w:hAnsiTheme="minorHAnsi" w:cstheme="minorHAnsi"/>
                <w:color w:val="000000"/>
                <w:sz w:val="22"/>
                <w:szCs w:val="22"/>
              </w:rPr>
              <w:t>2</w:t>
            </w:r>
          </w:p>
        </w:tc>
        <w:tc>
          <w:tcPr>
            <w:tcW w:w="1489" w:type="dxa"/>
            <w:vAlign w:val="center"/>
          </w:tcPr>
          <w:p w14:paraId="1F2E8937"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5752D314" w14:textId="41FCD3CE"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1.40</w:t>
            </w:r>
            <w:r w:rsidR="00A82CA5">
              <w:rPr>
                <w:rFonts w:asciiTheme="minorHAnsi" w:hAnsiTheme="minorHAnsi" w:cstheme="minorHAnsi"/>
                <w:color w:val="000000"/>
                <w:sz w:val="22"/>
                <w:szCs w:val="22"/>
              </w:rPr>
              <w:t>3</w:t>
            </w:r>
          </w:p>
        </w:tc>
        <w:tc>
          <w:tcPr>
            <w:tcW w:w="1326" w:type="dxa"/>
            <w:vMerge w:val="restart"/>
            <w:vAlign w:val="center"/>
          </w:tcPr>
          <w:p w14:paraId="1F7886C7" w14:textId="399B5A77"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9B79A3" w:rsidRPr="003F511D" w14:paraId="43093E8A" w14:textId="77777777" w:rsidTr="00D13E03">
        <w:trPr>
          <w:jc w:val="center"/>
        </w:trPr>
        <w:tc>
          <w:tcPr>
            <w:tcW w:w="1804" w:type="dxa"/>
            <w:vAlign w:val="center"/>
          </w:tcPr>
          <w:p w14:paraId="73A4E157"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540</w:t>
            </w:r>
          </w:p>
        </w:tc>
        <w:tc>
          <w:tcPr>
            <w:tcW w:w="1388" w:type="dxa"/>
            <w:vAlign w:val="center"/>
          </w:tcPr>
          <w:p w14:paraId="1765B654" w14:textId="740C87E9"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-25.65</w:t>
            </w:r>
          </w:p>
        </w:tc>
        <w:tc>
          <w:tcPr>
            <w:tcW w:w="1683" w:type="dxa"/>
            <w:vAlign w:val="center"/>
          </w:tcPr>
          <w:p w14:paraId="34106166" w14:textId="4D177018"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2.12</w:t>
            </w:r>
          </w:p>
        </w:tc>
        <w:tc>
          <w:tcPr>
            <w:tcW w:w="1489" w:type="dxa"/>
            <w:vAlign w:val="center"/>
          </w:tcPr>
          <w:p w14:paraId="73755853"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w:t>
            </w:r>
          </w:p>
        </w:tc>
        <w:tc>
          <w:tcPr>
            <w:tcW w:w="1326" w:type="dxa"/>
            <w:vMerge/>
            <w:vAlign w:val="center"/>
          </w:tcPr>
          <w:p w14:paraId="77CA52EC" w14:textId="77777777" w:rsidR="009B79A3" w:rsidRPr="003F511D" w:rsidRDefault="009B79A3" w:rsidP="00D13E03">
            <w:pPr>
              <w:pStyle w:val="NormalWeb"/>
              <w:jc w:val="center"/>
              <w:rPr>
                <w:rFonts w:asciiTheme="minorHAnsi" w:hAnsiTheme="minorHAnsi" w:cstheme="minorHAnsi"/>
                <w:color w:val="000000"/>
                <w:sz w:val="22"/>
                <w:szCs w:val="22"/>
              </w:rPr>
            </w:pPr>
          </w:p>
        </w:tc>
        <w:tc>
          <w:tcPr>
            <w:tcW w:w="1326" w:type="dxa"/>
            <w:vMerge/>
            <w:vAlign w:val="center"/>
          </w:tcPr>
          <w:p w14:paraId="27DC21CB" w14:textId="77777777" w:rsidR="009B79A3" w:rsidRPr="003F511D" w:rsidRDefault="009B79A3" w:rsidP="00D13E03">
            <w:pPr>
              <w:pStyle w:val="NormalWeb"/>
              <w:jc w:val="center"/>
              <w:rPr>
                <w:rFonts w:asciiTheme="minorHAnsi" w:hAnsiTheme="minorHAnsi" w:cstheme="minorHAnsi"/>
                <w:color w:val="000000"/>
                <w:sz w:val="22"/>
                <w:szCs w:val="22"/>
              </w:rPr>
            </w:pPr>
          </w:p>
        </w:tc>
      </w:tr>
      <w:tr w:rsidR="009B79A3" w:rsidRPr="003F511D" w14:paraId="30F073DD" w14:textId="77777777" w:rsidTr="00D13E03">
        <w:trPr>
          <w:jc w:val="center"/>
        </w:trPr>
        <w:tc>
          <w:tcPr>
            <w:tcW w:w="1804" w:type="dxa"/>
            <w:vAlign w:val="center"/>
          </w:tcPr>
          <w:p w14:paraId="54B10D26"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541</w:t>
            </w:r>
          </w:p>
        </w:tc>
        <w:tc>
          <w:tcPr>
            <w:tcW w:w="1388" w:type="dxa"/>
            <w:vAlign w:val="center"/>
          </w:tcPr>
          <w:p w14:paraId="27523C8E" w14:textId="5329B75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-23.3</w:t>
            </w:r>
            <w:r w:rsidR="00762BA8">
              <w:rPr>
                <w:rFonts w:asciiTheme="minorHAnsi" w:hAnsiTheme="minorHAnsi" w:cstheme="minorHAnsi"/>
                <w:color w:val="000000"/>
                <w:sz w:val="22"/>
                <w:szCs w:val="22"/>
              </w:rPr>
              <w:t>4</w:t>
            </w:r>
          </w:p>
        </w:tc>
        <w:tc>
          <w:tcPr>
            <w:tcW w:w="1683" w:type="dxa"/>
            <w:vAlign w:val="center"/>
          </w:tcPr>
          <w:p w14:paraId="18E9CD95" w14:textId="149B351D"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2.6</w:t>
            </w:r>
            <w:r w:rsidR="00AC627B">
              <w:rPr>
                <w:rFonts w:asciiTheme="minorHAnsi" w:hAnsiTheme="minorHAnsi" w:cstheme="minorHAnsi"/>
                <w:color w:val="000000"/>
                <w:sz w:val="22"/>
                <w:szCs w:val="22"/>
              </w:rPr>
              <w:t>3</w:t>
            </w:r>
          </w:p>
        </w:tc>
        <w:tc>
          <w:tcPr>
            <w:tcW w:w="1489" w:type="dxa"/>
            <w:vAlign w:val="center"/>
          </w:tcPr>
          <w:p w14:paraId="5C80973B"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4C36A4EC" w14:textId="0E71E461"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0.000</w:t>
            </w:r>
          </w:p>
        </w:tc>
        <w:tc>
          <w:tcPr>
            <w:tcW w:w="1326" w:type="dxa"/>
            <w:vMerge w:val="restart"/>
            <w:vAlign w:val="center"/>
          </w:tcPr>
          <w:p w14:paraId="6761E08D" w14:textId="6FF6FF23"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9B79A3" w:rsidRPr="003F511D" w14:paraId="2F062B44" w14:textId="77777777" w:rsidTr="00D13E03">
        <w:trPr>
          <w:jc w:val="center"/>
        </w:trPr>
        <w:tc>
          <w:tcPr>
            <w:tcW w:w="1804" w:type="dxa"/>
            <w:vAlign w:val="center"/>
          </w:tcPr>
          <w:p w14:paraId="1399BBAE"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541</w:t>
            </w:r>
          </w:p>
        </w:tc>
        <w:tc>
          <w:tcPr>
            <w:tcW w:w="1388" w:type="dxa"/>
            <w:vAlign w:val="center"/>
          </w:tcPr>
          <w:p w14:paraId="0BC1C640" w14:textId="6EF68504"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-23.3</w:t>
            </w:r>
            <w:r w:rsidR="00762BA8">
              <w:rPr>
                <w:rFonts w:asciiTheme="minorHAnsi" w:hAnsiTheme="minorHAnsi" w:cstheme="minorHAnsi"/>
                <w:color w:val="000000"/>
                <w:sz w:val="22"/>
                <w:szCs w:val="22"/>
              </w:rPr>
              <w:t>8</w:t>
            </w:r>
          </w:p>
        </w:tc>
        <w:tc>
          <w:tcPr>
            <w:tcW w:w="1683" w:type="dxa"/>
            <w:vAlign w:val="center"/>
          </w:tcPr>
          <w:p w14:paraId="23DF3608" w14:textId="674E3540"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2.19</w:t>
            </w:r>
          </w:p>
        </w:tc>
        <w:tc>
          <w:tcPr>
            <w:tcW w:w="1489" w:type="dxa"/>
            <w:vAlign w:val="center"/>
          </w:tcPr>
          <w:p w14:paraId="45288DE6"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w:t>
            </w:r>
          </w:p>
        </w:tc>
        <w:tc>
          <w:tcPr>
            <w:tcW w:w="1326" w:type="dxa"/>
            <w:vMerge/>
            <w:vAlign w:val="center"/>
          </w:tcPr>
          <w:p w14:paraId="3FD884D9" w14:textId="77777777" w:rsidR="009B79A3" w:rsidRPr="003F511D" w:rsidRDefault="009B79A3" w:rsidP="00D13E03">
            <w:pPr>
              <w:pStyle w:val="NormalWeb"/>
              <w:jc w:val="center"/>
              <w:rPr>
                <w:rFonts w:asciiTheme="minorHAnsi" w:hAnsiTheme="minorHAnsi" w:cstheme="minorHAnsi"/>
                <w:color w:val="000000"/>
                <w:sz w:val="22"/>
                <w:szCs w:val="22"/>
              </w:rPr>
            </w:pPr>
          </w:p>
        </w:tc>
        <w:tc>
          <w:tcPr>
            <w:tcW w:w="1326" w:type="dxa"/>
            <w:vMerge/>
            <w:vAlign w:val="center"/>
          </w:tcPr>
          <w:p w14:paraId="706D5FEE" w14:textId="77777777" w:rsidR="009B79A3" w:rsidRPr="003F511D" w:rsidRDefault="009B79A3" w:rsidP="00D13E03">
            <w:pPr>
              <w:pStyle w:val="NormalWeb"/>
              <w:jc w:val="center"/>
              <w:rPr>
                <w:rFonts w:asciiTheme="minorHAnsi" w:hAnsiTheme="minorHAnsi" w:cstheme="minorHAnsi"/>
                <w:color w:val="000000"/>
                <w:sz w:val="22"/>
                <w:szCs w:val="22"/>
              </w:rPr>
            </w:pPr>
          </w:p>
        </w:tc>
      </w:tr>
      <w:tr w:rsidR="009B79A3" w:rsidRPr="003F511D" w14:paraId="48F4D52B" w14:textId="77777777" w:rsidTr="00D13E03">
        <w:trPr>
          <w:jc w:val="center"/>
        </w:trPr>
        <w:tc>
          <w:tcPr>
            <w:tcW w:w="1804" w:type="dxa"/>
            <w:vAlign w:val="center"/>
          </w:tcPr>
          <w:p w14:paraId="1AB6A8A5"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542</w:t>
            </w:r>
          </w:p>
        </w:tc>
        <w:tc>
          <w:tcPr>
            <w:tcW w:w="1388" w:type="dxa"/>
            <w:vAlign w:val="center"/>
          </w:tcPr>
          <w:p w14:paraId="6C708CB8" w14:textId="2C014A53"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-21.1</w:t>
            </w:r>
            <w:r w:rsidR="00762BA8">
              <w:rPr>
                <w:rFonts w:asciiTheme="minorHAnsi" w:hAnsiTheme="minorHAnsi" w:cstheme="minorHAnsi"/>
                <w:color w:val="000000"/>
                <w:sz w:val="22"/>
                <w:szCs w:val="22"/>
              </w:rPr>
              <w:t>1</w:t>
            </w:r>
          </w:p>
        </w:tc>
        <w:tc>
          <w:tcPr>
            <w:tcW w:w="1683" w:type="dxa"/>
            <w:vAlign w:val="center"/>
          </w:tcPr>
          <w:p w14:paraId="34D35353" w14:textId="267111E2"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w:t>
            </w:r>
            <w:r w:rsidR="00AC627B">
              <w:rPr>
                <w:rFonts w:asciiTheme="minorHAnsi" w:hAnsiTheme="minorHAnsi" w:cstheme="minorHAnsi"/>
                <w:color w:val="000000"/>
                <w:sz w:val="22"/>
                <w:szCs w:val="22"/>
              </w:rPr>
              <w:t>3</w:t>
            </w:r>
          </w:p>
        </w:tc>
        <w:tc>
          <w:tcPr>
            <w:tcW w:w="1489" w:type="dxa"/>
            <w:vAlign w:val="center"/>
          </w:tcPr>
          <w:p w14:paraId="2A3060F5"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1D046DA0" w14:textId="0F7022A5"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0.0</w:t>
            </w:r>
            <w:r w:rsidR="00A82CA5">
              <w:rPr>
                <w:rFonts w:asciiTheme="minorHAnsi" w:hAnsiTheme="minorHAnsi" w:cstheme="minorHAnsi"/>
                <w:color w:val="000000"/>
                <w:sz w:val="22"/>
                <w:szCs w:val="22"/>
              </w:rPr>
              <w:t>30</w:t>
            </w:r>
          </w:p>
        </w:tc>
        <w:tc>
          <w:tcPr>
            <w:tcW w:w="1326" w:type="dxa"/>
            <w:vMerge w:val="restart"/>
            <w:vAlign w:val="center"/>
          </w:tcPr>
          <w:p w14:paraId="4DEE45B3" w14:textId="5D489228"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9B79A3" w:rsidRPr="003F511D" w14:paraId="09A655B5" w14:textId="77777777" w:rsidTr="00D13E03">
        <w:trPr>
          <w:jc w:val="center"/>
        </w:trPr>
        <w:tc>
          <w:tcPr>
            <w:tcW w:w="1804" w:type="dxa"/>
            <w:vAlign w:val="center"/>
          </w:tcPr>
          <w:p w14:paraId="73A2B719"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542</w:t>
            </w:r>
          </w:p>
        </w:tc>
        <w:tc>
          <w:tcPr>
            <w:tcW w:w="1388" w:type="dxa"/>
            <w:vAlign w:val="center"/>
          </w:tcPr>
          <w:p w14:paraId="44572A2D" w14:textId="14402BC3"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-21.6</w:t>
            </w:r>
            <w:r w:rsidR="00762BA8">
              <w:rPr>
                <w:rFonts w:asciiTheme="minorHAnsi" w:hAnsiTheme="minorHAnsi" w:cstheme="minorHAnsi"/>
                <w:color w:val="000000"/>
                <w:sz w:val="22"/>
                <w:szCs w:val="22"/>
              </w:rPr>
              <w:t>9</w:t>
            </w:r>
          </w:p>
        </w:tc>
        <w:tc>
          <w:tcPr>
            <w:tcW w:w="1683" w:type="dxa"/>
            <w:vAlign w:val="center"/>
          </w:tcPr>
          <w:p w14:paraId="5EF9CFFF" w14:textId="52F87B7C"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2.34</w:t>
            </w:r>
          </w:p>
        </w:tc>
        <w:tc>
          <w:tcPr>
            <w:tcW w:w="1489" w:type="dxa"/>
            <w:vAlign w:val="center"/>
          </w:tcPr>
          <w:p w14:paraId="30AD46B3"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w:t>
            </w:r>
          </w:p>
        </w:tc>
        <w:tc>
          <w:tcPr>
            <w:tcW w:w="1326" w:type="dxa"/>
            <w:vMerge/>
            <w:vAlign w:val="center"/>
          </w:tcPr>
          <w:p w14:paraId="027E0B6F" w14:textId="77777777" w:rsidR="009B79A3" w:rsidRPr="003F511D" w:rsidRDefault="009B79A3" w:rsidP="00D13E03">
            <w:pPr>
              <w:pStyle w:val="NormalWeb"/>
              <w:jc w:val="center"/>
              <w:rPr>
                <w:rFonts w:asciiTheme="minorHAnsi" w:hAnsiTheme="minorHAnsi" w:cstheme="minorHAnsi"/>
                <w:color w:val="000000"/>
                <w:sz w:val="22"/>
                <w:szCs w:val="22"/>
              </w:rPr>
            </w:pPr>
          </w:p>
        </w:tc>
        <w:tc>
          <w:tcPr>
            <w:tcW w:w="1326" w:type="dxa"/>
            <w:vMerge/>
            <w:vAlign w:val="center"/>
          </w:tcPr>
          <w:p w14:paraId="388962F6" w14:textId="77777777" w:rsidR="009B79A3" w:rsidRPr="003F511D" w:rsidRDefault="009B79A3" w:rsidP="00D13E03">
            <w:pPr>
              <w:pStyle w:val="NormalWeb"/>
              <w:jc w:val="center"/>
              <w:rPr>
                <w:rFonts w:asciiTheme="minorHAnsi" w:hAnsiTheme="minorHAnsi" w:cstheme="minorHAnsi"/>
                <w:color w:val="000000"/>
                <w:sz w:val="22"/>
                <w:szCs w:val="22"/>
              </w:rPr>
            </w:pPr>
          </w:p>
        </w:tc>
      </w:tr>
      <w:tr w:rsidR="009B79A3" w:rsidRPr="003F511D" w14:paraId="40B32890" w14:textId="77777777" w:rsidTr="00D13E03">
        <w:trPr>
          <w:jc w:val="center"/>
        </w:trPr>
        <w:tc>
          <w:tcPr>
            <w:tcW w:w="1804" w:type="dxa"/>
            <w:vAlign w:val="center"/>
          </w:tcPr>
          <w:p w14:paraId="4D32BF2B"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543</w:t>
            </w:r>
          </w:p>
        </w:tc>
        <w:tc>
          <w:tcPr>
            <w:tcW w:w="1388" w:type="dxa"/>
            <w:vAlign w:val="center"/>
          </w:tcPr>
          <w:p w14:paraId="2EDCBA3A" w14:textId="7A9823F5"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-19.77</w:t>
            </w:r>
          </w:p>
        </w:tc>
        <w:tc>
          <w:tcPr>
            <w:tcW w:w="1683" w:type="dxa"/>
            <w:vAlign w:val="center"/>
          </w:tcPr>
          <w:p w14:paraId="64E1023C" w14:textId="1E43C6A3"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1.7</w:t>
            </w:r>
            <w:r w:rsidR="00AC627B">
              <w:rPr>
                <w:rFonts w:asciiTheme="minorHAnsi" w:hAnsiTheme="minorHAnsi" w:cstheme="minorHAnsi"/>
                <w:color w:val="000000"/>
                <w:sz w:val="22"/>
                <w:szCs w:val="22"/>
              </w:rPr>
              <w:t>5</w:t>
            </w:r>
          </w:p>
        </w:tc>
        <w:tc>
          <w:tcPr>
            <w:tcW w:w="1489" w:type="dxa"/>
            <w:vAlign w:val="center"/>
          </w:tcPr>
          <w:p w14:paraId="271F965C"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Align w:val="center"/>
          </w:tcPr>
          <w:p w14:paraId="01D803BE" w14:textId="14136675"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c>
          <w:tcPr>
            <w:tcW w:w="1326" w:type="dxa"/>
            <w:vAlign w:val="center"/>
          </w:tcPr>
          <w:p w14:paraId="57144BF7" w14:textId="474E4D93"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r>
      <w:tr w:rsidR="009B79A3" w:rsidRPr="003F511D" w14:paraId="206D66C7" w14:textId="77777777" w:rsidTr="00D13E03">
        <w:trPr>
          <w:jc w:val="center"/>
        </w:trPr>
        <w:tc>
          <w:tcPr>
            <w:tcW w:w="1804" w:type="dxa"/>
            <w:vAlign w:val="center"/>
          </w:tcPr>
          <w:p w14:paraId="3427E106"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544</w:t>
            </w:r>
          </w:p>
        </w:tc>
        <w:tc>
          <w:tcPr>
            <w:tcW w:w="1388" w:type="dxa"/>
            <w:vAlign w:val="center"/>
          </w:tcPr>
          <w:p w14:paraId="78F06C4E" w14:textId="39FCC320"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-19.00</w:t>
            </w:r>
          </w:p>
        </w:tc>
        <w:tc>
          <w:tcPr>
            <w:tcW w:w="1683" w:type="dxa"/>
            <w:vAlign w:val="center"/>
          </w:tcPr>
          <w:p w14:paraId="3A77F754" w14:textId="761E479B"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2.59</w:t>
            </w:r>
          </w:p>
        </w:tc>
        <w:tc>
          <w:tcPr>
            <w:tcW w:w="1489" w:type="dxa"/>
            <w:vAlign w:val="center"/>
          </w:tcPr>
          <w:p w14:paraId="27582942"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7C339759" w14:textId="5E4060D7"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0.41</w:t>
            </w:r>
            <w:r w:rsidR="00A82CA5">
              <w:rPr>
                <w:rFonts w:asciiTheme="minorHAnsi" w:hAnsiTheme="minorHAnsi" w:cstheme="minorHAnsi"/>
                <w:color w:val="000000"/>
                <w:sz w:val="22"/>
                <w:szCs w:val="22"/>
              </w:rPr>
              <w:t>8</w:t>
            </w:r>
          </w:p>
        </w:tc>
        <w:tc>
          <w:tcPr>
            <w:tcW w:w="1326" w:type="dxa"/>
            <w:vMerge w:val="restart"/>
            <w:vAlign w:val="center"/>
          </w:tcPr>
          <w:p w14:paraId="62423162" w14:textId="71A0CBBA"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9B79A3" w:rsidRPr="003F511D" w14:paraId="7D6E64E9" w14:textId="77777777" w:rsidTr="00D13E03">
        <w:trPr>
          <w:jc w:val="center"/>
        </w:trPr>
        <w:tc>
          <w:tcPr>
            <w:tcW w:w="1804" w:type="dxa"/>
            <w:vAlign w:val="center"/>
          </w:tcPr>
          <w:p w14:paraId="200CA288"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544</w:t>
            </w:r>
          </w:p>
        </w:tc>
        <w:tc>
          <w:tcPr>
            <w:tcW w:w="1388" w:type="dxa"/>
            <w:vAlign w:val="center"/>
          </w:tcPr>
          <w:p w14:paraId="1FC404C3" w14:textId="3DC0F55F"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-21.24</w:t>
            </w:r>
          </w:p>
        </w:tc>
        <w:tc>
          <w:tcPr>
            <w:tcW w:w="1683" w:type="dxa"/>
            <w:vAlign w:val="center"/>
          </w:tcPr>
          <w:p w14:paraId="3DF78003" w14:textId="03C32563"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2.30</w:t>
            </w:r>
          </w:p>
        </w:tc>
        <w:tc>
          <w:tcPr>
            <w:tcW w:w="1489" w:type="dxa"/>
            <w:vAlign w:val="center"/>
          </w:tcPr>
          <w:p w14:paraId="5AF6BE64"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w:t>
            </w:r>
          </w:p>
        </w:tc>
        <w:tc>
          <w:tcPr>
            <w:tcW w:w="1326" w:type="dxa"/>
            <w:vMerge/>
            <w:vAlign w:val="center"/>
          </w:tcPr>
          <w:p w14:paraId="46F2F139" w14:textId="77777777" w:rsidR="009B79A3" w:rsidRPr="003F511D" w:rsidRDefault="009B79A3" w:rsidP="00D13E03">
            <w:pPr>
              <w:pStyle w:val="NormalWeb"/>
              <w:jc w:val="center"/>
              <w:rPr>
                <w:rFonts w:asciiTheme="minorHAnsi" w:hAnsiTheme="minorHAnsi" w:cstheme="minorHAnsi"/>
                <w:color w:val="000000"/>
                <w:sz w:val="22"/>
                <w:szCs w:val="22"/>
              </w:rPr>
            </w:pPr>
          </w:p>
        </w:tc>
        <w:tc>
          <w:tcPr>
            <w:tcW w:w="1326" w:type="dxa"/>
            <w:vMerge/>
            <w:vAlign w:val="center"/>
          </w:tcPr>
          <w:p w14:paraId="711CEAF3" w14:textId="77777777" w:rsidR="009B79A3" w:rsidRPr="003F511D" w:rsidRDefault="009B79A3" w:rsidP="00D13E03">
            <w:pPr>
              <w:pStyle w:val="NormalWeb"/>
              <w:jc w:val="center"/>
              <w:rPr>
                <w:rFonts w:asciiTheme="minorHAnsi" w:hAnsiTheme="minorHAnsi" w:cstheme="minorHAnsi"/>
                <w:color w:val="000000"/>
                <w:sz w:val="22"/>
                <w:szCs w:val="22"/>
              </w:rPr>
            </w:pPr>
          </w:p>
        </w:tc>
      </w:tr>
      <w:tr w:rsidR="009B79A3" w:rsidRPr="003F511D" w14:paraId="4959927A" w14:textId="77777777" w:rsidTr="00D13E03">
        <w:trPr>
          <w:jc w:val="center"/>
        </w:trPr>
        <w:tc>
          <w:tcPr>
            <w:tcW w:w="1804" w:type="dxa"/>
            <w:vAlign w:val="center"/>
          </w:tcPr>
          <w:p w14:paraId="0F222992"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545</w:t>
            </w:r>
          </w:p>
        </w:tc>
        <w:tc>
          <w:tcPr>
            <w:tcW w:w="1388" w:type="dxa"/>
            <w:vAlign w:val="center"/>
          </w:tcPr>
          <w:p w14:paraId="2CA1814F" w14:textId="73B556DC"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-17.8</w:t>
            </w:r>
            <w:r w:rsidR="00762BA8">
              <w:rPr>
                <w:rFonts w:asciiTheme="minorHAnsi" w:hAnsiTheme="minorHAnsi" w:cstheme="minorHAnsi"/>
                <w:color w:val="000000"/>
                <w:sz w:val="22"/>
                <w:szCs w:val="22"/>
              </w:rPr>
              <w:t>7</w:t>
            </w:r>
          </w:p>
        </w:tc>
        <w:tc>
          <w:tcPr>
            <w:tcW w:w="1683" w:type="dxa"/>
            <w:vAlign w:val="center"/>
          </w:tcPr>
          <w:p w14:paraId="4AEA812D" w14:textId="588AD71E"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2.52</w:t>
            </w:r>
          </w:p>
        </w:tc>
        <w:tc>
          <w:tcPr>
            <w:tcW w:w="1489" w:type="dxa"/>
            <w:vAlign w:val="center"/>
          </w:tcPr>
          <w:p w14:paraId="216A6E25"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Align w:val="center"/>
          </w:tcPr>
          <w:p w14:paraId="0B105045" w14:textId="2202EDA6"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c>
          <w:tcPr>
            <w:tcW w:w="1326" w:type="dxa"/>
            <w:vAlign w:val="center"/>
          </w:tcPr>
          <w:p w14:paraId="0BE41DD8" w14:textId="03640973"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r>
      <w:tr w:rsidR="009B79A3" w:rsidRPr="003F511D" w14:paraId="1E2F3CF3" w14:textId="77777777" w:rsidTr="00D13E03">
        <w:trPr>
          <w:jc w:val="center"/>
        </w:trPr>
        <w:tc>
          <w:tcPr>
            <w:tcW w:w="1804" w:type="dxa"/>
            <w:vAlign w:val="center"/>
          </w:tcPr>
          <w:p w14:paraId="0C553634"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546</w:t>
            </w:r>
          </w:p>
        </w:tc>
        <w:tc>
          <w:tcPr>
            <w:tcW w:w="1388" w:type="dxa"/>
            <w:vAlign w:val="center"/>
          </w:tcPr>
          <w:p w14:paraId="3C0D213D" w14:textId="02B9F0D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-17.0</w:t>
            </w:r>
            <w:r w:rsidR="00762BA8">
              <w:rPr>
                <w:rFonts w:asciiTheme="minorHAnsi" w:hAnsiTheme="minorHAnsi" w:cstheme="minorHAnsi"/>
                <w:color w:val="000000"/>
                <w:sz w:val="22"/>
                <w:szCs w:val="22"/>
              </w:rPr>
              <w:t>6</w:t>
            </w:r>
          </w:p>
        </w:tc>
        <w:tc>
          <w:tcPr>
            <w:tcW w:w="1683" w:type="dxa"/>
            <w:vAlign w:val="center"/>
          </w:tcPr>
          <w:p w14:paraId="5EC0EB6A" w14:textId="657AE338"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2.6</w:t>
            </w:r>
            <w:r w:rsidR="00AC627B">
              <w:rPr>
                <w:rFonts w:asciiTheme="minorHAnsi" w:hAnsiTheme="minorHAnsi" w:cstheme="minorHAnsi"/>
                <w:color w:val="000000"/>
                <w:sz w:val="22"/>
                <w:szCs w:val="22"/>
              </w:rPr>
              <w:t>5</w:t>
            </w:r>
          </w:p>
        </w:tc>
        <w:tc>
          <w:tcPr>
            <w:tcW w:w="1489" w:type="dxa"/>
            <w:vAlign w:val="center"/>
          </w:tcPr>
          <w:p w14:paraId="2A141B93"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Align w:val="center"/>
          </w:tcPr>
          <w:p w14:paraId="6072969D" w14:textId="6563CCB3"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c>
          <w:tcPr>
            <w:tcW w:w="1326" w:type="dxa"/>
            <w:vAlign w:val="center"/>
          </w:tcPr>
          <w:p w14:paraId="2708F86D" w14:textId="1FA12062"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r>
      <w:tr w:rsidR="009B79A3" w:rsidRPr="003F511D" w14:paraId="064A0870" w14:textId="77777777" w:rsidTr="00D13E03">
        <w:trPr>
          <w:jc w:val="center"/>
        </w:trPr>
        <w:tc>
          <w:tcPr>
            <w:tcW w:w="1804" w:type="dxa"/>
            <w:vAlign w:val="center"/>
          </w:tcPr>
          <w:p w14:paraId="1541F778"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547</w:t>
            </w:r>
          </w:p>
        </w:tc>
        <w:tc>
          <w:tcPr>
            <w:tcW w:w="1388" w:type="dxa"/>
            <w:vAlign w:val="center"/>
          </w:tcPr>
          <w:p w14:paraId="1EBF6B1F" w14:textId="6F5BCF64"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-19.9</w:t>
            </w:r>
            <w:r w:rsidR="00762BA8">
              <w:rPr>
                <w:rFonts w:asciiTheme="minorHAnsi" w:hAnsiTheme="minorHAnsi" w:cstheme="minorHAnsi"/>
                <w:color w:val="000000"/>
                <w:sz w:val="22"/>
                <w:szCs w:val="22"/>
              </w:rPr>
              <w:t>2</w:t>
            </w:r>
          </w:p>
        </w:tc>
        <w:tc>
          <w:tcPr>
            <w:tcW w:w="1683" w:type="dxa"/>
            <w:vAlign w:val="center"/>
          </w:tcPr>
          <w:p w14:paraId="307D4467" w14:textId="3FB851AA"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2.55</w:t>
            </w:r>
          </w:p>
        </w:tc>
        <w:tc>
          <w:tcPr>
            <w:tcW w:w="1489" w:type="dxa"/>
            <w:vAlign w:val="center"/>
          </w:tcPr>
          <w:p w14:paraId="50B5E97A"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Align w:val="center"/>
          </w:tcPr>
          <w:p w14:paraId="6DCAC0CA" w14:textId="40B0CF3C"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c>
          <w:tcPr>
            <w:tcW w:w="1326" w:type="dxa"/>
            <w:vAlign w:val="center"/>
          </w:tcPr>
          <w:p w14:paraId="1652EC90" w14:textId="45DF392C"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r>
      <w:tr w:rsidR="009B79A3" w:rsidRPr="003F511D" w14:paraId="21F9B449" w14:textId="77777777" w:rsidTr="00D13E03">
        <w:trPr>
          <w:jc w:val="center"/>
        </w:trPr>
        <w:tc>
          <w:tcPr>
            <w:tcW w:w="1804" w:type="dxa"/>
            <w:vAlign w:val="center"/>
          </w:tcPr>
          <w:p w14:paraId="61326609"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548</w:t>
            </w:r>
          </w:p>
        </w:tc>
        <w:tc>
          <w:tcPr>
            <w:tcW w:w="1388" w:type="dxa"/>
            <w:vAlign w:val="center"/>
          </w:tcPr>
          <w:p w14:paraId="65814DB2" w14:textId="72E9AB0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-19.0</w:t>
            </w:r>
            <w:r w:rsidR="00762BA8">
              <w:rPr>
                <w:rFonts w:asciiTheme="minorHAnsi" w:hAnsiTheme="minorHAnsi" w:cstheme="minorHAnsi"/>
                <w:color w:val="000000"/>
                <w:sz w:val="22"/>
                <w:szCs w:val="22"/>
              </w:rPr>
              <w:t>3</w:t>
            </w:r>
          </w:p>
        </w:tc>
        <w:tc>
          <w:tcPr>
            <w:tcW w:w="1683" w:type="dxa"/>
            <w:vAlign w:val="center"/>
          </w:tcPr>
          <w:p w14:paraId="2C8E8B1E" w14:textId="0E6B0749"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2.58</w:t>
            </w:r>
          </w:p>
        </w:tc>
        <w:tc>
          <w:tcPr>
            <w:tcW w:w="1489" w:type="dxa"/>
            <w:vAlign w:val="center"/>
          </w:tcPr>
          <w:p w14:paraId="737BD57D"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Align w:val="center"/>
          </w:tcPr>
          <w:p w14:paraId="70BA0336" w14:textId="5A0B1354"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c>
          <w:tcPr>
            <w:tcW w:w="1326" w:type="dxa"/>
            <w:vAlign w:val="center"/>
          </w:tcPr>
          <w:p w14:paraId="2B1A108D" w14:textId="75F151E2" w:rsidR="009B79A3" w:rsidRPr="003F511D" w:rsidRDefault="00ED6CD0"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N/A</w:t>
            </w:r>
          </w:p>
        </w:tc>
      </w:tr>
      <w:tr w:rsidR="009B79A3" w:rsidRPr="003F511D" w14:paraId="2E7A6D19" w14:textId="77777777" w:rsidTr="00D13E03">
        <w:trPr>
          <w:jc w:val="center"/>
        </w:trPr>
        <w:tc>
          <w:tcPr>
            <w:tcW w:w="1804" w:type="dxa"/>
            <w:vAlign w:val="center"/>
          </w:tcPr>
          <w:p w14:paraId="03861DCE"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549</w:t>
            </w:r>
          </w:p>
        </w:tc>
        <w:tc>
          <w:tcPr>
            <w:tcW w:w="1388" w:type="dxa"/>
            <w:vAlign w:val="center"/>
          </w:tcPr>
          <w:p w14:paraId="4B320DAD" w14:textId="2288FEC3"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-19.6</w:t>
            </w:r>
            <w:r w:rsidR="00762BA8">
              <w:rPr>
                <w:rFonts w:asciiTheme="minorHAnsi" w:hAnsiTheme="minorHAnsi" w:cstheme="minorHAnsi"/>
                <w:color w:val="000000"/>
                <w:sz w:val="22"/>
                <w:szCs w:val="22"/>
              </w:rPr>
              <w:t>6</w:t>
            </w:r>
          </w:p>
        </w:tc>
        <w:tc>
          <w:tcPr>
            <w:tcW w:w="1683" w:type="dxa"/>
            <w:vAlign w:val="center"/>
          </w:tcPr>
          <w:p w14:paraId="5A437545" w14:textId="375D75A2"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w:t>
            </w:r>
            <w:r w:rsidR="00AC627B">
              <w:rPr>
                <w:rFonts w:asciiTheme="minorHAnsi" w:hAnsiTheme="minorHAnsi" w:cstheme="minorHAnsi"/>
                <w:color w:val="000000"/>
                <w:sz w:val="22"/>
                <w:szCs w:val="22"/>
              </w:rPr>
              <w:t>9</w:t>
            </w:r>
          </w:p>
        </w:tc>
        <w:tc>
          <w:tcPr>
            <w:tcW w:w="1489" w:type="dxa"/>
            <w:vAlign w:val="center"/>
          </w:tcPr>
          <w:p w14:paraId="68F6C695" w14:textId="77777777" w:rsidR="009B79A3" w:rsidRPr="003F511D" w:rsidRDefault="009B79A3" w:rsidP="00D13E03">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5E2D3F42" w14:textId="0C40163E" w:rsidR="009B79A3" w:rsidRPr="003F511D" w:rsidRDefault="00B21E4F"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0.82</w:t>
            </w:r>
            <w:r w:rsidR="00A82CA5">
              <w:rPr>
                <w:rFonts w:asciiTheme="minorHAnsi" w:hAnsiTheme="minorHAnsi" w:cstheme="minorHAnsi"/>
                <w:color w:val="000000"/>
                <w:sz w:val="22"/>
                <w:szCs w:val="22"/>
              </w:rPr>
              <w:t>1</w:t>
            </w:r>
          </w:p>
        </w:tc>
        <w:tc>
          <w:tcPr>
            <w:tcW w:w="1326" w:type="dxa"/>
            <w:vMerge w:val="restart"/>
            <w:vAlign w:val="center"/>
          </w:tcPr>
          <w:p w14:paraId="08E0ADDB" w14:textId="22B2CA52" w:rsidR="009B79A3" w:rsidRPr="003F511D" w:rsidRDefault="00B21E4F"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9B79A3" w:rsidRPr="003F511D" w14:paraId="51CD70B0" w14:textId="77777777" w:rsidTr="00D13E03">
        <w:trPr>
          <w:jc w:val="center"/>
        </w:trPr>
        <w:tc>
          <w:tcPr>
            <w:tcW w:w="1804" w:type="dxa"/>
            <w:vAlign w:val="center"/>
          </w:tcPr>
          <w:p w14:paraId="29B816F3"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549</w:t>
            </w:r>
          </w:p>
        </w:tc>
        <w:tc>
          <w:tcPr>
            <w:tcW w:w="1388" w:type="dxa"/>
            <w:vAlign w:val="center"/>
          </w:tcPr>
          <w:p w14:paraId="16552AF7" w14:textId="166213D5"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-22.67</w:t>
            </w:r>
          </w:p>
        </w:tc>
        <w:tc>
          <w:tcPr>
            <w:tcW w:w="1683" w:type="dxa"/>
            <w:vAlign w:val="center"/>
          </w:tcPr>
          <w:p w14:paraId="5C5E1288" w14:textId="6D2EF9F3"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2.20</w:t>
            </w:r>
          </w:p>
        </w:tc>
        <w:tc>
          <w:tcPr>
            <w:tcW w:w="1489" w:type="dxa"/>
            <w:vAlign w:val="center"/>
          </w:tcPr>
          <w:p w14:paraId="1FF9CC37"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w:t>
            </w:r>
          </w:p>
        </w:tc>
        <w:tc>
          <w:tcPr>
            <w:tcW w:w="1326" w:type="dxa"/>
            <w:vMerge/>
            <w:vAlign w:val="center"/>
          </w:tcPr>
          <w:p w14:paraId="4D1C2788" w14:textId="77777777" w:rsidR="009B79A3" w:rsidRPr="003F511D" w:rsidRDefault="009B79A3" w:rsidP="00D13E03">
            <w:pPr>
              <w:pStyle w:val="NormalWeb"/>
              <w:jc w:val="center"/>
              <w:rPr>
                <w:rFonts w:asciiTheme="minorHAnsi" w:hAnsiTheme="minorHAnsi" w:cstheme="minorHAnsi"/>
                <w:color w:val="000000"/>
                <w:sz w:val="22"/>
                <w:szCs w:val="22"/>
              </w:rPr>
            </w:pPr>
          </w:p>
        </w:tc>
        <w:tc>
          <w:tcPr>
            <w:tcW w:w="1326" w:type="dxa"/>
            <w:vMerge/>
            <w:vAlign w:val="center"/>
          </w:tcPr>
          <w:p w14:paraId="4C25662C" w14:textId="77777777" w:rsidR="009B79A3" w:rsidRPr="003F511D" w:rsidRDefault="009B79A3" w:rsidP="00D13E03">
            <w:pPr>
              <w:pStyle w:val="NormalWeb"/>
              <w:jc w:val="center"/>
              <w:rPr>
                <w:rFonts w:asciiTheme="minorHAnsi" w:hAnsiTheme="minorHAnsi" w:cstheme="minorHAnsi"/>
                <w:color w:val="000000"/>
                <w:sz w:val="22"/>
                <w:szCs w:val="22"/>
              </w:rPr>
            </w:pPr>
          </w:p>
        </w:tc>
      </w:tr>
      <w:tr w:rsidR="009B79A3" w:rsidRPr="003F511D" w14:paraId="745F543F" w14:textId="77777777" w:rsidTr="00D13E03">
        <w:trPr>
          <w:jc w:val="center"/>
        </w:trPr>
        <w:tc>
          <w:tcPr>
            <w:tcW w:w="1804" w:type="dxa"/>
            <w:vAlign w:val="center"/>
          </w:tcPr>
          <w:p w14:paraId="5168ED73"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550</w:t>
            </w:r>
          </w:p>
        </w:tc>
        <w:tc>
          <w:tcPr>
            <w:tcW w:w="1388" w:type="dxa"/>
            <w:vAlign w:val="center"/>
          </w:tcPr>
          <w:p w14:paraId="416A22A1" w14:textId="66F7FD5A"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-19.6</w:t>
            </w:r>
            <w:r w:rsidR="00762BA8">
              <w:rPr>
                <w:rFonts w:asciiTheme="minorHAnsi" w:hAnsiTheme="minorHAnsi" w:cstheme="minorHAnsi"/>
                <w:color w:val="000000"/>
                <w:sz w:val="22"/>
                <w:szCs w:val="22"/>
              </w:rPr>
              <w:t>1</w:t>
            </w:r>
          </w:p>
        </w:tc>
        <w:tc>
          <w:tcPr>
            <w:tcW w:w="1683" w:type="dxa"/>
            <w:vAlign w:val="center"/>
          </w:tcPr>
          <w:p w14:paraId="1FBF49C4" w14:textId="09939DCE"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2.5</w:t>
            </w:r>
            <w:r w:rsidR="00AC627B">
              <w:rPr>
                <w:rFonts w:asciiTheme="minorHAnsi" w:hAnsiTheme="minorHAnsi" w:cstheme="minorHAnsi"/>
                <w:color w:val="000000"/>
                <w:sz w:val="22"/>
                <w:szCs w:val="22"/>
              </w:rPr>
              <w:t>4</w:t>
            </w:r>
          </w:p>
        </w:tc>
        <w:tc>
          <w:tcPr>
            <w:tcW w:w="1489" w:type="dxa"/>
            <w:vAlign w:val="center"/>
          </w:tcPr>
          <w:p w14:paraId="087D9E6D"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1</w:t>
            </w:r>
          </w:p>
        </w:tc>
        <w:tc>
          <w:tcPr>
            <w:tcW w:w="1326" w:type="dxa"/>
            <w:vMerge w:val="restart"/>
            <w:vAlign w:val="center"/>
          </w:tcPr>
          <w:p w14:paraId="5633743E" w14:textId="4A4AE2A0" w:rsidR="009B79A3" w:rsidRPr="003F511D" w:rsidRDefault="00B21E4F"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0.004</w:t>
            </w:r>
          </w:p>
        </w:tc>
        <w:tc>
          <w:tcPr>
            <w:tcW w:w="1326" w:type="dxa"/>
            <w:vMerge w:val="restart"/>
            <w:vAlign w:val="center"/>
          </w:tcPr>
          <w:p w14:paraId="0EFF54A7" w14:textId="2597F4B4" w:rsidR="009B79A3" w:rsidRPr="003F511D" w:rsidRDefault="00B21E4F"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Pass</w:t>
            </w:r>
          </w:p>
        </w:tc>
      </w:tr>
      <w:tr w:rsidR="009B79A3" w:rsidRPr="003F511D" w14:paraId="10E438AB" w14:textId="77777777" w:rsidTr="00D13E03">
        <w:trPr>
          <w:jc w:val="center"/>
        </w:trPr>
        <w:tc>
          <w:tcPr>
            <w:tcW w:w="1804" w:type="dxa"/>
            <w:vAlign w:val="center"/>
          </w:tcPr>
          <w:p w14:paraId="082FDCF7"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550</w:t>
            </w:r>
          </w:p>
        </w:tc>
        <w:tc>
          <w:tcPr>
            <w:tcW w:w="1388" w:type="dxa"/>
            <w:vAlign w:val="center"/>
          </w:tcPr>
          <w:p w14:paraId="2F3CAEBF" w14:textId="7574ADD1"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-19.8</w:t>
            </w:r>
            <w:r w:rsidR="00762BA8">
              <w:rPr>
                <w:rFonts w:asciiTheme="minorHAnsi" w:hAnsiTheme="minorHAnsi" w:cstheme="minorHAnsi"/>
                <w:color w:val="000000"/>
                <w:sz w:val="22"/>
                <w:szCs w:val="22"/>
              </w:rPr>
              <w:t>3</w:t>
            </w:r>
          </w:p>
        </w:tc>
        <w:tc>
          <w:tcPr>
            <w:tcW w:w="1683" w:type="dxa"/>
            <w:vAlign w:val="center"/>
          </w:tcPr>
          <w:p w14:paraId="4608A602" w14:textId="627D50F4"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2.3</w:t>
            </w:r>
            <w:r w:rsidR="00AC627B">
              <w:rPr>
                <w:rFonts w:asciiTheme="minorHAnsi" w:hAnsiTheme="minorHAnsi" w:cstheme="minorHAnsi"/>
                <w:color w:val="000000"/>
                <w:sz w:val="22"/>
                <w:szCs w:val="22"/>
              </w:rPr>
              <w:t>1</w:t>
            </w:r>
          </w:p>
        </w:tc>
        <w:tc>
          <w:tcPr>
            <w:tcW w:w="1489" w:type="dxa"/>
            <w:vAlign w:val="center"/>
          </w:tcPr>
          <w:p w14:paraId="54D585A6" w14:textId="77777777" w:rsidR="009B79A3" w:rsidRPr="003F511D" w:rsidRDefault="009B79A3" w:rsidP="00D13E03">
            <w:pPr>
              <w:pStyle w:val="NormalWeb"/>
              <w:jc w:val="center"/>
              <w:rPr>
                <w:rFonts w:asciiTheme="minorHAnsi" w:hAnsiTheme="minorHAnsi" w:cstheme="minorHAnsi"/>
                <w:color w:val="000000"/>
                <w:sz w:val="22"/>
                <w:szCs w:val="22"/>
              </w:rPr>
            </w:pPr>
            <w:r w:rsidRPr="003F511D">
              <w:rPr>
                <w:rFonts w:asciiTheme="minorHAnsi" w:hAnsiTheme="minorHAnsi" w:cstheme="minorHAnsi"/>
                <w:color w:val="000000"/>
                <w:sz w:val="22"/>
                <w:szCs w:val="22"/>
              </w:rPr>
              <w:t>2</w:t>
            </w:r>
          </w:p>
        </w:tc>
        <w:tc>
          <w:tcPr>
            <w:tcW w:w="1326" w:type="dxa"/>
            <w:vMerge/>
            <w:vAlign w:val="center"/>
          </w:tcPr>
          <w:p w14:paraId="1E7512DD" w14:textId="77777777" w:rsidR="009B79A3" w:rsidRPr="003F511D" w:rsidRDefault="009B79A3" w:rsidP="00D13E03">
            <w:pPr>
              <w:pStyle w:val="NormalWeb"/>
              <w:jc w:val="center"/>
              <w:rPr>
                <w:rFonts w:asciiTheme="minorHAnsi" w:hAnsiTheme="minorHAnsi" w:cstheme="minorHAnsi"/>
                <w:color w:val="000000"/>
                <w:sz w:val="22"/>
                <w:szCs w:val="22"/>
              </w:rPr>
            </w:pPr>
          </w:p>
        </w:tc>
        <w:tc>
          <w:tcPr>
            <w:tcW w:w="1326" w:type="dxa"/>
            <w:vMerge/>
            <w:vAlign w:val="center"/>
          </w:tcPr>
          <w:p w14:paraId="0C616ECC" w14:textId="77777777" w:rsidR="009B79A3" w:rsidRPr="003F511D" w:rsidRDefault="009B79A3" w:rsidP="00D13E03">
            <w:pPr>
              <w:pStyle w:val="NormalWeb"/>
              <w:jc w:val="center"/>
              <w:rPr>
                <w:rFonts w:asciiTheme="minorHAnsi" w:hAnsiTheme="minorHAnsi" w:cstheme="minorHAnsi"/>
                <w:color w:val="000000"/>
                <w:sz w:val="22"/>
                <w:szCs w:val="22"/>
              </w:rPr>
            </w:pPr>
          </w:p>
        </w:tc>
      </w:tr>
    </w:tbl>
    <w:p w14:paraId="4BFCC6EC" w14:textId="1986326F" w:rsidR="00FB2D49" w:rsidRPr="003F511D" w:rsidRDefault="00D13E03" w:rsidP="00E71306">
      <w:pPr>
        <w:rPr>
          <w:lang w:val="en-US" w:eastAsia="en-US"/>
        </w:rPr>
      </w:pPr>
      <w:r w:rsidRPr="003F511D">
        <w:rPr>
          <w:sz w:val="18"/>
          <w:szCs w:val="18"/>
          <w:lang w:val="en-US" w:eastAsia="en-US"/>
        </w:rPr>
        <w:t xml:space="preserve">Table 3-SI: Full set of results for sample R14.0123.121 for each batch measured, and </w:t>
      </w:r>
      <w:r w:rsidRPr="003F511D">
        <w:rPr>
          <w:rFonts w:asciiTheme="minorHAnsi" w:hAnsiTheme="minorHAnsi" w:cstheme="minorHAnsi"/>
          <w:sz w:val="18"/>
          <w:szCs w:val="18"/>
          <w:lang w:val="en-US" w:eastAsia="en-US"/>
        </w:rPr>
        <w:t xml:space="preserve">respective </w:t>
      </w:r>
      <w:r w:rsidRPr="003F511D">
        <w:rPr>
          <w:rFonts w:asciiTheme="minorHAnsi" w:hAnsiTheme="minorHAnsi" w:cstheme="minorHAnsi"/>
          <w:sz w:val="18"/>
          <w:szCs w:val="18"/>
          <w:lang w:val="en-US"/>
        </w:rPr>
        <w:sym w:font="Symbol" w:char="F063"/>
      </w:r>
      <w:r w:rsidRPr="003F511D">
        <w:rPr>
          <w:rFonts w:asciiTheme="minorHAnsi" w:hAnsiTheme="minorHAnsi" w:cstheme="minorHAnsi"/>
          <w:sz w:val="18"/>
          <w:szCs w:val="18"/>
          <w:vertAlign w:val="superscript"/>
          <w:lang w:val="en-US"/>
        </w:rPr>
        <w:t>2</w:t>
      </w:r>
      <w:r w:rsidRPr="003F511D">
        <w:rPr>
          <w:rFonts w:asciiTheme="minorHAnsi" w:hAnsiTheme="minorHAnsi" w:cstheme="minorHAnsi"/>
          <w:sz w:val="18"/>
          <w:szCs w:val="18"/>
          <w:lang w:val="en-US"/>
        </w:rPr>
        <w:t>-test between repeated samples, performed at the 95% probability, where the test is passed when the t-statistic of the set of repeated samples is less than the threshold value (3.841 for 2 samples)</w:t>
      </w:r>
    </w:p>
    <w:p w14:paraId="4700C96D" w14:textId="12FEDE1C" w:rsidR="00E71306" w:rsidRPr="003F511D" w:rsidRDefault="00E71306" w:rsidP="00E71306">
      <w:pPr>
        <w:rPr>
          <w:lang w:val="en-US" w:eastAsia="en-US"/>
        </w:rPr>
      </w:pPr>
      <w:r w:rsidRPr="003F511D">
        <w:rPr>
          <w:noProof/>
          <w:lang w:val="en-US" w:eastAsia="en-US"/>
        </w:rPr>
        <w:lastRenderedPageBreak/>
        <w:drawing>
          <wp:inline distT="0" distB="0" distL="0" distR="0" wp14:anchorId="569B9457" wp14:editId="4322B206">
            <wp:extent cx="5731510" cy="2865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340F5C67" w14:textId="53C58B9C" w:rsidR="006320D1" w:rsidRPr="003F511D" w:rsidRDefault="006320D1" w:rsidP="006320D1">
      <w:pPr>
        <w:pStyle w:val="Heading3"/>
        <w:rPr>
          <w:b w:val="0"/>
          <w:bCs/>
          <w:color w:val="auto"/>
        </w:rPr>
      </w:pPr>
      <w:r w:rsidRPr="003F511D">
        <w:rPr>
          <w:rFonts w:asciiTheme="minorHAnsi" w:hAnsiTheme="minorHAnsi" w:cstheme="minorHAnsi"/>
          <w:b w:val="0"/>
          <w:bCs/>
          <w:color w:val="auto"/>
          <w:sz w:val="18"/>
          <w:szCs w:val="18"/>
        </w:rPr>
        <w:t>Figure 3-SI: Comparison between the two different batches analyzed in this study for sample R14.0123.121.</w:t>
      </w:r>
    </w:p>
    <w:p w14:paraId="1355CE24" w14:textId="77777777" w:rsidR="00E71306" w:rsidRPr="003F511D" w:rsidRDefault="00E71306" w:rsidP="00E71306">
      <w:pPr>
        <w:rPr>
          <w:lang w:val="en-US" w:eastAsia="en-US"/>
        </w:rPr>
      </w:pPr>
    </w:p>
    <w:p w14:paraId="36FFACE0" w14:textId="77777777" w:rsidR="00243CED" w:rsidRPr="003F511D" w:rsidRDefault="00515A66" w:rsidP="00714080">
      <w:pPr>
        <w:pStyle w:val="Heading3"/>
        <w:jc w:val="center"/>
      </w:pPr>
      <w:r w:rsidRPr="003F511D">
        <w:t xml:space="preserve">Supplementary Information 2 (SI2): </w:t>
      </w:r>
    </w:p>
    <w:p w14:paraId="7244B5F4" w14:textId="493146C6" w:rsidR="00515A66" w:rsidRPr="003F511D" w:rsidRDefault="00515A66" w:rsidP="00714080">
      <w:pPr>
        <w:pStyle w:val="Heading3"/>
        <w:jc w:val="center"/>
      </w:pPr>
      <w:r w:rsidRPr="003F511D">
        <w:t xml:space="preserve">Comparison </w:t>
      </w:r>
      <w:r w:rsidR="00243CED" w:rsidRPr="003F511D">
        <w:t>between datasets: This study &amp; Brehm et al. (2021)</w:t>
      </w:r>
    </w:p>
    <w:p w14:paraId="73D392D9" w14:textId="77777777" w:rsidR="0074229C" w:rsidRPr="003F511D" w:rsidRDefault="0074229C" w:rsidP="0074229C">
      <w:pPr>
        <w:rPr>
          <w:lang w:val="en-US" w:eastAsia="en-US"/>
        </w:rPr>
      </w:pPr>
    </w:p>
    <w:p w14:paraId="455F4A26" w14:textId="3FFBA4BF" w:rsidR="0074229C" w:rsidRPr="003F511D" w:rsidRDefault="0074229C" w:rsidP="0074229C">
      <w:pPr>
        <w:pStyle w:val="Heading3"/>
        <w:rPr>
          <w:rFonts w:asciiTheme="minorHAnsi" w:hAnsiTheme="minorHAnsi" w:cstheme="minorHAnsi"/>
          <w:b w:val="0"/>
          <w:bCs/>
        </w:rPr>
      </w:pPr>
      <w:r w:rsidRPr="003F511D">
        <w:rPr>
          <w:rFonts w:asciiTheme="minorHAnsi" w:hAnsiTheme="minorHAnsi" w:cstheme="minorHAnsi"/>
          <w:b w:val="0"/>
          <w:bCs/>
        </w:rPr>
        <w:t xml:space="preserve">Event Candidate 1052 CE </w:t>
      </w:r>
    </w:p>
    <w:p w14:paraId="0C29AF43" w14:textId="77777777" w:rsidR="00243CED" w:rsidRPr="003F511D" w:rsidRDefault="00243CED" w:rsidP="00243CED">
      <w:pPr>
        <w:rPr>
          <w:lang w:val="en-US" w:eastAsia="en-US"/>
        </w:rPr>
      </w:pPr>
    </w:p>
    <w:tbl>
      <w:tblPr>
        <w:tblStyle w:val="TableGrid"/>
        <w:tblW w:w="0" w:type="auto"/>
        <w:jc w:val="center"/>
        <w:tblLook w:val="04A0" w:firstRow="1" w:lastRow="0" w:firstColumn="1" w:lastColumn="0" w:noHBand="0" w:noVBand="1"/>
      </w:tblPr>
      <w:tblGrid>
        <w:gridCol w:w="1755"/>
        <w:gridCol w:w="1379"/>
        <w:gridCol w:w="1618"/>
        <w:gridCol w:w="1622"/>
        <w:gridCol w:w="1231"/>
        <w:gridCol w:w="1411"/>
      </w:tblGrid>
      <w:tr w:rsidR="001F758A" w:rsidRPr="003F511D" w14:paraId="71CDFD0F" w14:textId="77777777" w:rsidTr="001F758A">
        <w:trPr>
          <w:trHeight w:val="300"/>
          <w:jc w:val="center"/>
        </w:trPr>
        <w:tc>
          <w:tcPr>
            <w:tcW w:w="1755" w:type="dxa"/>
            <w:vAlign w:val="center"/>
          </w:tcPr>
          <w:p w14:paraId="79DB529E" w14:textId="77777777" w:rsidR="001F758A" w:rsidRPr="003F511D" w:rsidRDefault="001F758A" w:rsidP="001F758A">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Calendar Year (CE)</w:t>
            </w:r>
          </w:p>
        </w:tc>
        <w:tc>
          <w:tcPr>
            <w:tcW w:w="1379" w:type="dxa"/>
            <w:vAlign w:val="center"/>
          </w:tcPr>
          <w:p w14:paraId="6DFD688A" w14:textId="77777777" w:rsidR="001F758A" w:rsidRPr="003F511D" w:rsidRDefault="001F758A" w:rsidP="001F758A">
            <w:pPr>
              <w:pStyle w:val="NormalWeb"/>
              <w:jc w:val="center"/>
              <w:rPr>
                <w:rFonts w:asciiTheme="minorHAnsi" w:hAnsiTheme="minorHAnsi" w:cstheme="minorHAnsi"/>
                <w:b/>
                <w:color w:val="202122"/>
                <w:sz w:val="22"/>
                <w:szCs w:val="22"/>
                <w:shd w:val="clear" w:color="auto" w:fill="FFFFFF"/>
              </w:rPr>
            </w:pPr>
            <w:r w:rsidRPr="003F511D">
              <w:rPr>
                <w:rFonts w:asciiTheme="minorHAnsi" w:hAnsiTheme="minorHAnsi" w:cstheme="minorHAnsi"/>
                <w:b/>
                <w:color w:val="202122"/>
                <w:sz w:val="22"/>
                <w:szCs w:val="22"/>
                <w:shd w:val="clear" w:color="auto" w:fill="FFFFFF"/>
              </w:rPr>
              <w:t>Δ</w:t>
            </w:r>
            <w:r w:rsidRPr="003F511D">
              <w:rPr>
                <w:rFonts w:asciiTheme="minorHAnsi" w:hAnsiTheme="minorHAnsi" w:cstheme="minorHAnsi"/>
                <w:b/>
                <w:sz w:val="22"/>
                <w:szCs w:val="22"/>
                <w:vertAlign w:val="superscript"/>
              </w:rPr>
              <w:t>14</w:t>
            </w:r>
            <w:r w:rsidRPr="003F511D">
              <w:rPr>
                <w:rFonts w:asciiTheme="minorHAnsi" w:hAnsiTheme="minorHAnsi" w:cstheme="minorHAnsi"/>
                <w:b/>
                <w:sz w:val="22"/>
                <w:szCs w:val="22"/>
              </w:rPr>
              <w:t>C (</w:t>
            </w:r>
            <w:r w:rsidRPr="003F511D">
              <w:rPr>
                <w:rFonts w:asciiTheme="minorHAnsi" w:hAnsiTheme="minorHAnsi" w:cstheme="minorHAnsi"/>
                <w:b/>
                <w:color w:val="202122"/>
                <w:sz w:val="22"/>
                <w:szCs w:val="22"/>
                <w:shd w:val="clear" w:color="auto" w:fill="F8F9FA"/>
              </w:rPr>
              <w:t>‰</w:t>
            </w:r>
            <w:r w:rsidRPr="003F511D">
              <w:rPr>
                <w:rFonts w:asciiTheme="minorHAnsi" w:hAnsiTheme="minorHAnsi" w:cstheme="minorHAnsi"/>
                <w:b/>
                <w:sz w:val="22"/>
                <w:szCs w:val="22"/>
              </w:rPr>
              <w:t>)</w:t>
            </w:r>
          </w:p>
        </w:tc>
        <w:tc>
          <w:tcPr>
            <w:tcW w:w="1618" w:type="dxa"/>
            <w:vAlign w:val="center"/>
          </w:tcPr>
          <w:p w14:paraId="2DA05AC3" w14:textId="77777777" w:rsidR="001F758A" w:rsidRPr="003F511D" w:rsidRDefault="001F758A" w:rsidP="001F758A">
            <w:pPr>
              <w:pStyle w:val="NormalWeb"/>
              <w:jc w:val="center"/>
              <w:rPr>
                <w:rFonts w:asciiTheme="minorHAnsi" w:hAnsiTheme="minorHAnsi" w:cstheme="minorHAnsi"/>
                <w:b/>
                <w:sz w:val="22"/>
                <w:szCs w:val="22"/>
              </w:rPr>
            </w:pPr>
            <w:r w:rsidRPr="003F511D">
              <w:rPr>
                <w:rStyle w:val="Strong"/>
                <w:rFonts w:asciiTheme="minorHAnsi" w:hAnsiTheme="minorHAnsi" w:cstheme="minorHAnsi"/>
                <w:color w:val="202122"/>
                <w:sz w:val="22"/>
                <w:szCs w:val="22"/>
                <w:shd w:val="clear" w:color="auto" w:fill="FFFFFF"/>
              </w:rPr>
              <w:t>± σ</w:t>
            </w:r>
            <w:r w:rsidRPr="003F511D">
              <w:rPr>
                <w:rFonts w:asciiTheme="minorHAnsi" w:hAnsiTheme="minorHAnsi" w:cstheme="minorHAnsi"/>
                <w:b/>
                <w:sz w:val="22"/>
                <w:szCs w:val="22"/>
              </w:rPr>
              <w:t xml:space="preserve"> (</w:t>
            </w:r>
            <w:r w:rsidRPr="003F511D">
              <w:rPr>
                <w:rFonts w:asciiTheme="minorHAnsi" w:hAnsiTheme="minorHAnsi" w:cstheme="minorHAnsi"/>
                <w:b/>
                <w:color w:val="202122"/>
                <w:sz w:val="22"/>
                <w:szCs w:val="22"/>
                <w:shd w:val="clear" w:color="auto" w:fill="F8F9FA"/>
              </w:rPr>
              <w:t>‰</w:t>
            </w:r>
            <w:r w:rsidRPr="003F511D">
              <w:rPr>
                <w:rFonts w:asciiTheme="minorHAnsi" w:hAnsiTheme="minorHAnsi" w:cstheme="minorHAnsi"/>
                <w:b/>
                <w:sz w:val="22"/>
                <w:szCs w:val="22"/>
              </w:rPr>
              <w:t>)</w:t>
            </w:r>
          </w:p>
        </w:tc>
        <w:tc>
          <w:tcPr>
            <w:tcW w:w="1622" w:type="dxa"/>
            <w:vAlign w:val="center"/>
          </w:tcPr>
          <w:p w14:paraId="7BC6C294" w14:textId="77777777" w:rsidR="001F758A" w:rsidRPr="003F511D" w:rsidRDefault="001F758A" w:rsidP="001F758A">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Study</w:t>
            </w:r>
          </w:p>
        </w:tc>
        <w:tc>
          <w:tcPr>
            <w:tcW w:w="1231" w:type="dxa"/>
            <w:vAlign w:val="center"/>
          </w:tcPr>
          <w:p w14:paraId="13239C82" w14:textId="77777777" w:rsidR="001F758A" w:rsidRPr="003F511D" w:rsidRDefault="001F758A" w:rsidP="001F758A">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T-statistic</w:t>
            </w:r>
          </w:p>
        </w:tc>
        <w:tc>
          <w:tcPr>
            <w:tcW w:w="1411" w:type="dxa"/>
            <w:vAlign w:val="center"/>
          </w:tcPr>
          <w:p w14:paraId="5837DAB3" w14:textId="77777777" w:rsidR="001F758A" w:rsidRPr="003F511D" w:rsidRDefault="001F758A" w:rsidP="001F758A">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sym w:font="Symbol" w:char="F063"/>
            </w:r>
            <w:r w:rsidRPr="003F511D">
              <w:rPr>
                <w:rFonts w:asciiTheme="minorHAnsi" w:hAnsiTheme="minorHAnsi" w:cstheme="minorHAnsi"/>
                <w:b/>
                <w:sz w:val="22"/>
                <w:szCs w:val="22"/>
                <w:vertAlign w:val="superscript"/>
              </w:rPr>
              <w:t>2</w:t>
            </w:r>
            <w:r w:rsidRPr="003F511D">
              <w:rPr>
                <w:rFonts w:asciiTheme="minorHAnsi" w:hAnsiTheme="minorHAnsi" w:cstheme="minorHAnsi"/>
                <w:b/>
                <w:sz w:val="22"/>
                <w:szCs w:val="22"/>
              </w:rPr>
              <w:t>-test</w:t>
            </w:r>
          </w:p>
        </w:tc>
      </w:tr>
      <w:tr w:rsidR="001F758A" w:rsidRPr="003F511D" w14:paraId="26AD7289" w14:textId="77777777" w:rsidTr="001F758A">
        <w:trPr>
          <w:jc w:val="center"/>
        </w:trPr>
        <w:tc>
          <w:tcPr>
            <w:tcW w:w="1755" w:type="dxa"/>
            <w:vAlign w:val="center"/>
          </w:tcPr>
          <w:p w14:paraId="06722835"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1049</w:t>
            </w:r>
          </w:p>
        </w:tc>
        <w:tc>
          <w:tcPr>
            <w:tcW w:w="1379" w:type="dxa"/>
            <w:vAlign w:val="center"/>
          </w:tcPr>
          <w:p w14:paraId="647D2130"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-7.05</w:t>
            </w:r>
          </w:p>
        </w:tc>
        <w:tc>
          <w:tcPr>
            <w:tcW w:w="1618" w:type="dxa"/>
            <w:vAlign w:val="center"/>
          </w:tcPr>
          <w:p w14:paraId="2F6F2786"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2.08</w:t>
            </w:r>
          </w:p>
        </w:tc>
        <w:tc>
          <w:tcPr>
            <w:tcW w:w="1622" w:type="dxa"/>
            <w:vAlign w:val="center"/>
          </w:tcPr>
          <w:p w14:paraId="564C0789"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231" w:type="dxa"/>
            <w:vMerge w:val="restart"/>
            <w:vAlign w:val="center"/>
          </w:tcPr>
          <w:p w14:paraId="3DC9F407" w14:textId="6A4216EE"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0.687</w:t>
            </w:r>
          </w:p>
        </w:tc>
        <w:tc>
          <w:tcPr>
            <w:tcW w:w="1411" w:type="dxa"/>
            <w:vMerge w:val="restart"/>
            <w:vAlign w:val="center"/>
          </w:tcPr>
          <w:p w14:paraId="07A3818B" w14:textId="0676B873"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1F758A" w:rsidRPr="003F511D" w14:paraId="77E78FE9" w14:textId="77777777" w:rsidTr="001F758A">
        <w:trPr>
          <w:jc w:val="center"/>
        </w:trPr>
        <w:tc>
          <w:tcPr>
            <w:tcW w:w="1755" w:type="dxa"/>
            <w:vAlign w:val="center"/>
          </w:tcPr>
          <w:p w14:paraId="670FBEB8"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1049</w:t>
            </w:r>
          </w:p>
        </w:tc>
        <w:tc>
          <w:tcPr>
            <w:tcW w:w="1379" w:type="dxa"/>
            <w:vAlign w:val="center"/>
          </w:tcPr>
          <w:p w14:paraId="62148796"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-9.0</w:t>
            </w:r>
          </w:p>
        </w:tc>
        <w:tc>
          <w:tcPr>
            <w:tcW w:w="1618" w:type="dxa"/>
            <w:vAlign w:val="center"/>
          </w:tcPr>
          <w:p w14:paraId="48A2712A"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1.1</w:t>
            </w:r>
          </w:p>
        </w:tc>
        <w:tc>
          <w:tcPr>
            <w:tcW w:w="1622" w:type="dxa"/>
            <w:vAlign w:val="center"/>
          </w:tcPr>
          <w:p w14:paraId="1ADC32C6"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231" w:type="dxa"/>
            <w:vMerge/>
            <w:vAlign w:val="center"/>
          </w:tcPr>
          <w:p w14:paraId="0C949998" w14:textId="77777777" w:rsidR="001F758A" w:rsidRPr="003F511D" w:rsidRDefault="001F758A" w:rsidP="001F758A">
            <w:pPr>
              <w:pStyle w:val="NormalWeb"/>
              <w:jc w:val="center"/>
              <w:rPr>
                <w:rFonts w:asciiTheme="minorHAnsi" w:hAnsiTheme="minorHAnsi" w:cstheme="minorHAnsi"/>
                <w:bCs/>
                <w:sz w:val="22"/>
                <w:szCs w:val="22"/>
              </w:rPr>
            </w:pPr>
          </w:p>
        </w:tc>
        <w:tc>
          <w:tcPr>
            <w:tcW w:w="1411" w:type="dxa"/>
            <w:vMerge/>
            <w:vAlign w:val="center"/>
          </w:tcPr>
          <w:p w14:paraId="3BD51085" w14:textId="77777777" w:rsidR="001F758A" w:rsidRPr="003F511D" w:rsidRDefault="001F758A" w:rsidP="001F758A">
            <w:pPr>
              <w:pStyle w:val="NormalWeb"/>
              <w:jc w:val="center"/>
              <w:rPr>
                <w:rFonts w:asciiTheme="minorHAnsi" w:hAnsiTheme="minorHAnsi" w:cstheme="minorHAnsi"/>
                <w:bCs/>
                <w:sz w:val="22"/>
                <w:szCs w:val="22"/>
              </w:rPr>
            </w:pPr>
          </w:p>
        </w:tc>
      </w:tr>
      <w:tr w:rsidR="001F758A" w:rsidRPr="003F511D" w14:paraId="516E1D09" w14:textId="77777777" w:rsidTr="001F758A">
        <w:trPr>
          <w:jc w:val="center"/>
        </w:trPr>
        <w:tc>
          <w:tcPr>
            <w:tcW w:w="1755" w:type="dxa"/>
            <w:vAlign w:val="center"/>
          </w:tcPr>
          <w:p w14:paraId="0988D66F"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1050</w:t>
            </w:r>
          </w:p>
        </w:tc>
        <w:tc>
          <w:tcPr>
            <w:tcW w:w="1379" w:type="dxa"/>
            <w:vAlign w:val="center"/>
          </w:tcPr>
          <w:p w14:paraId="61970C4E"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-5.03</w:t>
            </w:r>
          </w:p>
        </w:tc>
        <w:tc>
          <w:tcPr>
            <w:tcW w:w="1618" w:type="dxa"/>
            <w:vAlign w:val="center"/>
          </w:tcPr>
          <w:p w14:paraId="7ABFFE13"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1.84</w:t>
            </w:r>
          </w:p>
        </w:tc>
        <w:tc>
          <w:tcPr>
            <w:tcW w:w="1622" w:type="dxa"/>
            <w:vAlign w:val="center"/>
          </w:tcPr>
          <w:p w14:paraId="328314C4"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231" w:type="dxa"/>
            <w:vMerge w:val="restart"/>
            <w:vAlign w:val="center"/>
          </w:tcPr>
          <w:p w14:paraId="69C07266" w14:textId="6CA2C852"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1.026</w:t>
            </w:r>
          </w:p>
        </w:tc>
        <w:tc>
          <w:tcPr>
            <w:tcW w:w="1411" w:type="dxa"/>
            <w:vMerge w:val="restart"/>
            <w:vAlign w:val="center"/>
          </w:tcPr>
          <w:p w14:paraId="16F1B309" w14:textId="138ED57E"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1F758A" w:rsidRPr="003F511D" w14:paraId="52277F8A" w14:textId="77777777" w:rsidTr="001F758A">
        <w:trPr>
          <w:jc w:val="center"/>
        </w:trPr>
        <w:tc>
          <w:tcPr>
            <w:tcW w:w="1755" w:type="dxa"/>
            <w:vAlign w:val="center"/>
          </w:tcPr>
          <w:p w14:paraId="085CC807"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1050</w:t>
            </w:r>
          </w:p>
        </w:tc>
        <w:tc>
          <w:tcPr>
            <w:tcW w:w="1379" w:type="dxa"/>
            <w:vAlign w:val="center"/>
          </w:tcPr>
          <w:p w14:paraId="6A725B47"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-7.5</w:t>
            </w:r>
          </w:p>
        </w:tc>
        <w:tc>
          <w:tcPr>
            <w:tcW w:w="1618" w:type="dxa"/>
            <w:vAlign w:val="center"/>
          </w:tcPr>
          <w:p w14:paraId="4024AF79"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1.6</w:t>
            </w:r>
          </w:p>
        </w:tc>
        <w:tc>
          <w:tcPr>
            <w:tcW w:w="1622" w:type="dxa"/>
            <w:vAlign w:val="center"/>
          </w:tcPr>
          <w:p w14:paraId="5A6C9863"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231" w:type="dxa"/>
            <w:vMerge/>
            <w:vAlign w:val="center"/>
          </w:tcPr>
          <w:p w14:paraId="131EE93B" w14:textId="77777777" w:rsidR="001F758A" w:rsidRPr="003F511D" w:rsidRDefault="001F758A" w:rsidP="001F758A">
            <w:pPr>
              <w:pStyle w:val="NormalWeb"/>
              <w:jc w:val="center"/>
              <w:rPr>
                <w:rFonts w:asciiTheme="minorHAnsi" w:hAnsiTheme="minorHAnsi" w:cstheme="minorHAnsi"/>
                <w:bCs/>
                <w:sz w:val="22"/>
                <w:szCs w:val="22"/>
              </w:rPr>
            </w:pPr>
          </w:p>
        </w:tc>
        <w:tc>
          <w:tcPr>
            <w:tcW w:w="1411" w:type="dxa"/>
            <w:vMerge/>
            <w:vAlign w:val="center"/>
          </w:tcPr>
          <w:p w14:paraId="23E6390D" w14:textId="77777777" w:rsidR="001F758A" w:rsidRPr="003F511D" w:rsidRDefault="001F758A" w:rsidP="001F758A">
            <w:pPr>
              <w:pStyle w:val="NormalWeb"/>
              <w:jc w:val="center"/>
              <w:rPr>
                <w:rFonts w:asciiTheme="minorHAnsi" w:hAnsiTheme="minorHAnsi" w:cstheme="minorHAnsi"/>
                <w:bCs/>
                <w:sz w:val="22"/>
                <w:szCs w:val="22"/>
              </w:rPr>
            </w:pPr>
          </w:p>
        </w:tc>
      </w:tr>
      <w:tr w:rsidR="001F758A" w:rsidRPr="003F511D" w14:paraId="35820172" w14:textId="77777777" w:rsidTr="001F758A">
        <w:trPr>
          <w:jc w:val="center"/>
        </w:trPr>
        <w:tc>
          <w:tcPr>
            <w:tcW w:w="1755" w:type="dxa"/>
            <w:vAlign w:val="center"/>
          </w:tcPr>
          <w:p w14:paraId="5054A67A"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1051</w:t>
            </w:r>
          </w:p>
        </w:tc>
        <w:tc>
          <w:tcPr>
            <w:tcW w:w="1379" w:type="dxa"/>
            <w:vAlign w:val="center"/>
          </w:tcPr>
          <w:p w14:paraId="5A836BE3"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-8.53</w:t>
            </w:r>
          </w:p>
        </w:tc>
        <w:tc>
          <w:tcPr>
            <w:tcW w:w="1618" w:type="dxa"/>
            <w:vAlign w:val="center"/>
          </w:tcPr>
          <w:p w14:paraId="7ECECDEF"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1.53</w:t>
            </w:r>
          </w:p>
        </w:tc>
        <w:tc>
          <w:tcPr>
            <w:tcW w:w="1622" w:type="dxa"/>
            <w:vAlign w:val="center"/>
          </w:tcPr>
          <w:p w14:paraId="5EBF4E4C"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231" w:type="dxa"/>
            <w:vMerge w:val="restart"/>
            <w:vAlign w:val="center"/>
          </w:tcPr>
          <w:p w14:paraId="6C2B98D7" w14:textId="35D42E1D"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0.001</w:t>
            </w:r>
          </w:p>
        </w:tc>
        <w:tc>
          <w:tcPr>
            <w:tcW w:w="1411" w:type="dxa"/>
            <w:vMerge w:val="restart"/>
            <w:vAlign w:val="center"/>
          </w:tcPr>
          <w:p w14:paraId="5F936B23" w14:textId="69A101B6"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1F758A" w:rsidRPr="003F511D" w14:paraId="121377FB" w14:textId="77777777" w:rsidTr="001F758A">
        <w:trPr>
          <w:jc w:val="center"/>
        </w:trPr>
        <w:tc>
          <w:tcPr>
            <w:tcW w:w="1755" w:type="dxa"/>
            <w:vAlign w:val="center"/>
          </w:tcPr>
          <w:p w14:paraId="577E4330"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1051</w:t>
            </w:r>
          </w:p>
        </w:tc>
        <w:tc>
          <w:tcPr>
            <w:tcW w:w="1379" w:type="dxa"/>
            <w:vAlign w:val="center"/>
          </w:tcPr>
          <w:p w14:paraId="21E45AF0"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-8.6</w:t>
            </w:r>
          </w:p>
        </w:tc>
        <w:tc>
          <w:tcPr>
            <w:tcW w:w="1618" w:type="dxa"/>
            <w:vAlign w:val="center"/>
          </w:tcPr>
          <w:p w14:paraId="50815C23"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1.6</w:t>
            </w:r>
          </w:p>
        </w:tc>
        <w:tc>
          <w:tcPr>
            <w:tcW w:w="1622" w:type="dxa"/>
            <w:vAlign w:val="center"/>
          </w:tcPr>
          <w:p w14:paraId="0DB89857"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231" w:type="dxa"/>
            <w:vMerge/>
            <w:vAlign w:val="center"/>
          </w:tcPr>
          <w:p w14:paraId="7DB8EB1D" w14:textId="77777777" w:rsidR="001F758A" w:rsidRPr="003F511D" w:rsidRDefault="001F758A" w:rsidP="001F758A">
            <w:pPr>
              <w:pStyle w:val="NormalWeb"/>
              <w:jc w:val="center"/>
              <w:rPr>
                <w:rFonts w:asciiTheme="minorHAnsi" w:hAnsiTheme="minorHAnsi" w:cstheme="minorHAnsi"/>
                <w:bCs/>
                <w:sz w:val="22"/>
                <w:szCs w:val="22"/>
              </w:rPr>
            </w:pPr>
          </w:p>
        </w:tc>
        <w:tc>
          <w:tcPr>
            <w:tcW w:w="1411" w:type="dxa"/>
            <w:vMerge/>
            <w:vAlign w:val="center"/>
          </w:tcPr>
          <w:p w14:paraId="3A20A980" w14:textId="77777777" w:rsidR="001F758A" w:rsidRPr="003F511D" w:rsidRDefault="001F758A" w:rsidP="001F758A">
            <w:pPr>
              <w:pStyle w:val="NormalWeb"/>
              <w:jc w:val="center"/>
              <w:rPr>
                <w:rFonts w:asciiTheme="minorHAnsi" w:hAnsiTheme="minorHAnsi" w:cstheme="minorHAnsi"/>
                <w:bCs/>
                <w:sz w:val="22"/>
                <w:szCs w:val="22"/>
              </w:rPr>
            </w:pPr>
          </w:p>
        </w:tc>
      </w:tr>
      <w:tr w:rsidR="001F758A" w:rsidRPr="003F511D" w14:paraId="1177E9B4" w14:textId="77777777" w:rsidTr="001F758A">
        <w:trPr>
          <w:jc w:val="center"/>
        </w:trPr>
        <w:tc>
          <w:tcPr>
            <w:tcW w:w="1755" w:type="dxa"/>
            <w:vAlign w:val="center"/>
          </w:tcPr>
          <w:p w14:paraId="0FEEA1EB"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1052</w:t>
            </w:r>
          </w:p>
        </w:tc>
        <w:tc>
          <w:tcPr>
            <w:tcW w:w="1379" w:type="dxa"/>
            <w:vAlign w:val="center"/>
          </w:tcPr>
          <w:p w14:paraId="50C65DA8"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-6.24</w:t>
            </w:r>
          </w:p>
        </w:tc>
        <w:tc>
          <w:tcPr>
            <w:tcW w:w="1618" w:type="dxa"/>
            <w:vAlign w:val="center"/>
          </w:tcPr>
          <w:p w14:paraId="6503D317"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2.16</w:t>
            </w:r>
          </w:p>
        </w:tc>
        <w:tc>
          <w:tcPr>
            <w:tcW w:w="1622" w:type="dxa"/>
            <w:vAlign w:val="center"/>
          </w:tcPr>
          <w:p w14:paraId="5EC60A1F"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231" w:type="dxa"/>
            <w:vMerge w:val="restart"/>
            <w:vAlign w:val="center"/>
          </w:tcPr>
          <w:p w14:paraId="6E7F2F42" w14:textId="255A86BE"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3.235</w:t>
            </w:r>
          </w:p>
        </w:tc>
        <w:tc>
          <w:tcPr>
            <w:tcW w:w="1411" w:type="dxa"/>
            <w:vMerge w:val="restart"/>
            <w:vAlign w:val="center"/>
          </w:tcPr>
          <w:p w14:paraId="2044FBAD" w14:textId="60CB9322"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1F758A" w:rsidRPr="003F511D" w14:paraId="6BCC9125" w14:textId="77777777" w:rsidTr="001F758A">
        <w:trPr>
          <w:jc w:val="center"/>
        </w:trPr>
        <w:tc>
          <w:tcPr>
            <w:tcW w:w="1755" w:type="dxa"/>
            <w:vAlign w:val="center"/>
          </w:tcPr>
          <w:p w14:paraId="404D474D"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1052</w:t>
            </w:r>
          </w:p>
        </w:tc>
        <w:tc>
          <w:tcPr>
            <w:tcW w:w="1379" w:type="dxa"/>
            <w:vAlign w:val="center"/>
          </w:tcPr>
          <w:p w14:paraId="6FB5358D"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-10.6</w:t>
            </w:r>
          </w:p>
        </w:tc>
        <w:tc>
          <w:tcPr>
            <w:tcW w:w="1618" w:type="dxa"/>
            <w:vAlign w:val="center"/>
          </w:tcPr>
          <w:p w14:paraId="15D46799"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1.1</w:t>
            </w:r>
          </w:p>
        </w:tc>
        <w:tc>
          <w:tcPr>
            <w:tcW w:w="1622" w:type="dxa"/>
            <w:vAlign w:val="center"/>
          </w:tcPr>
          <w:p w14:paraId="10971859"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231" w:type="dxa"/>
            <w:vMerge/>
            <w:vAlign w:val="center"/>
          </w:tcPr>
          <w:p w14:paraId="0F8DD7EA" w14:textId="77777777" w:rsidR="001F758A" w:rsidRPr="003F511D" w:rsidRDefault="001F758A" w:rsidP="001F758A">
            <w:pPr>
              <w:pStyle w:val="NormalWeb"/>
              <w:jc w:val="center"/>
              <w:rPr>
                <w:rFonts w:asciiTheme="minorHAnsi" w:hAnsiTheme="minorHAnsi" w:cstheme="minorHAnsi"/>
                <w:bCs/>
                <w:sz w:val="22"/>
                <w:szCs w:val="22"/>
              </w:rPr>
            </w:pPr>
          </w:p>
        </w:tc>
        <w:tc>
          <w:tcPr>
            <w:tcW w:w="1411" w:type="dxa"/>
            <w:vMerge/>
            <w:vAlign w:val="center"/>
          </w:tcPr>
          <w:p w14:paraId="4FA0EDB8" w14:textId="77777777" w:rsidR="001F758A" w:rsidRPr="003F511D" w:rsidRDefault="001F758A" w:rsidP="001F758A">
            <w:pPr>
              <w:pStyle w:val="NormalWeb"/>
              <w:jc w:val="center"/>
              <w:rPr>
                <w:rFonts w:asciiTheme="minorHAnsi" w:hAnsiTheme="minorHAnsi" w:cstheme="minorHAnsi"/>
                <w:bCs/>
                <w:sz w:val="22"/>
                <w:szCs w:val="22"/>
              </w:rPr>
            </w:pPr>
          </w:p>
        </w:tc>
      </w:tr>
      <w:tr w:rsidR="001F758A" w:rsidRPr="003F511D" w14:paraId="523CC1FA" w14:textId="77777777" w:rsidTr="001F758A">
        <w:trPr>
          <w:jc w:val="center"/>
        </w:trPr>
        <w:tc>
          <w:tcPr>
            <w:tcW w:w="1755" w:type="dxa"/>
            <w:vAlign w:val="center"/>
          </w:tcPr>
          <w:p w14:paraId="21E92876"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1053</w:t>
            </w:r>
          </w:p>
        </w:tc>
        <w:tc>
          <w:tcPr>
            <w:tcW w:w="1379" w:type="dxa"/>
            <w:vAlign w:val="center"/>
          </w:tcPr>
          <w:p w14:paraId="08C1FFA0"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-7.31</w:t>
            </w:r>
          </w:p>
        </w:tc>
        <w:tc>
          <w:tcPr>
            <w:tcW w:w="1618" w:type="dxa"/>
            <w:vAlign w:val="center"/>
          </w:tcPr>
          <w:p w14:paraId="15785EEA"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2.32</w:t>
            </w:r>
          </w:p>
        </w:tc>
        <w:tc>
          <w:tcPr>
            <w:tcW w:w="1622" w:type="dxa"/>
            <w:vAlign w:val="center"/>
          </w:tcPr>
          <w:p w14:paraId="45DDFCEA"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231" w:type="dxa"/>
            <w:vMerge w:val="restart"/>
            <w:vAlign w:val="center"/>
          </w:tcPr>
          <w:p w14:paraId="703C88E7" w14:textId="6996EBE6"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0.793</w:t>
            </w:r>
          </w:p>
        </w:tc>
        <w:tc>
          <w:tcPr>
            <w:tcW w:w="1411" w:type="dxa"/>
            <w:vMerge w:val="restart"/>
            <w:vAlign w:val="center"/>
          </w:tcPr>
          <w:p w14:paraId="5D5CF556" w14:textId="7CD86E64"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1F758A" w:rsidRPr="003F511D" w14:paraId="04E43781" w14:textId="77777777" w:rsidTr="001F758A">
        <w:trPr>
          <w:jc w:val="center"/>
        </w:trPr>
        <w:tc>
          <w:tcPr>
            <w:tcW w:w="1755" w:type="dxa"/>
            <w:vAlign w:val="center"/>
          </w:tcPr>
          <w:p w14:paraId="7FEA7692"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1053</w:t>
            </w:r>
          </w:p>
        </w:tc>
        <w:tc>
          <w:tcPr>
            <w:tcW w:w="1379" w:type="dxa"/>
            <w:vAlign w:val="center"/>
          </w:tcPr>
          <w:p w14:paraId="60D3CEAD"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-4.8</w:t>
            </w:r>
          </w:p>
        </w:tc>
        <w:tc>
          <w:tcPr>
            <w:tcW w:w="1618" w:type="dxa"/>
            <w:vAlign w:val="center"/>
          </w:tcPr>
          <w:p w14:paraId="38ACA4A1"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1.6</w:t>
            </w:r>
          </w:p>
        </w:tc>
        <w:tc>
          <w:tcPr>
            <w:tcW w:w="1622" w:type="dxa"/>
            <w:vAlign w:val="center"/>
          </w:tcPr>
          <w:p w14:paraId="52348FE6"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231" w:type="dxa"/>
            <w:vMerge/>
            <w:vAlign w:val="center"/>
          </w:tcPr>
          <w:p w14:paraId="45815B79" w14:textId="77777777" w:rsidR="001F758A" w:rsidRPr="003F511D" w:rsidRDefault="001F758A" w:rsidP="001F758A">
            <w:pPr>
              <w:pStyle w:val="NormalWeb"/>
              <w:jc w:val="center"/>
              <w:rPr>
                <w:rFonts w:asciiTheme="minorHAnsi" w:hAnsiTheme="minorHAnsi" w:cstheme="minorHAnsi"/>
                <w:bCs/>
                <w:sz w:val="22"/>
                <w:szCs w:val="22"/>
              </w:rPr>
            </w:pPr>
          </w:p>
        </w:tc>
        <w:tc>
          <w:tcPr>
            <w:tcW w:w="1411" w:type="dxa"/>
            <w:vMerge/>
            <w:vAlign w:val="center"/>
          </w:tcPr>
          <w:p w14:paraId="0E9F0089" w14:textId="77777777" w:rsidR="001F758A" w:rsidRPr="003F511D" w:rsidRDefault="001F758A" w:rsidP="001F758A">
            <w:pPr>
              <w:pStyle w:val="NormalWeb"/>
              <w:jc w:val="center"/>
              <w:rPr>
                <w:rFonts w:asciiTheme="minorHAnsi" w:hAnsiTheme="minorHAnsi" w:cstheme="minorHAnsi"/>
                <w:bCs/>
                <w:sz w:val="22"/>
                <w:szCs w:val="22"/>
              </w:rPr>
            </w:pPr>
          </w:p>
        </w:tc>
      </w:tr>
      <w:tr w:rsidR="001F758A" w:rsidRPr="003F511D" w14:paraId="3C61B46B" w14:textId="77777777" w:rsidTr="001F758A">
        <w:trPr>
          <w:jc w:val="center"/>
        </w:trPr>
        <w:tc>
          <w:tcPr>
            <w:tcW w:w="1755" w:type="dxa"/>
            <w:vAlign w:val="center"/>
          </w:tcPr>
          <w:p w14:paraId="4231F806"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1054</w:t>
            </w:r>
          </w:p>
        </w:tc>
        <w:tc>
          <w:tcPr>
            <w:tcW w:w="1379" w:type="dxa"/>
            <w:vAlign w:val="center"/>
          </w:tcPr>
          <w:p w14:paraId="1204E5CF"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-6.25</w:t>
            </w:r>
          </w:p>
        </w:tc>
        <w:tc>
          <w:tcPr>
            <w:tcW w:w="1618" w:type="dxa"/>
            <w:vAlign w:val="center"/>
          </w:tcPr>
          <w:p w14:paraId="60F0F1B1"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2.08</w:t>
            </w:r>
          </w:p>
        </w:tc>
        <w:tc>
          <w:tcPr>
            <w:tcW w:w="1622" w:type="dxa"/>
            <w:vAlign w:val="center"/>
          </w:tcPr>
          <w:p w14:paraId="1674F5AF"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231" w:type="dxa"/>
            <w:vMerge w:val="restart"/>
            <w:vAlign w:val="center"/>
          </w:tcPr>
          <w:p w14:paraId="20020102" w14:textId="21FFAB6E"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1.020</w:t>
            </w:r>
          </w:p>
        </w:tc>
        <w:tc>
          <w:tcPr>
            <w:tcW w:w="1411" w:type="dxa"/>
            <w:vMerge w:val="restart"/>
            <w:vAlign w:val="center"/>
          </w:tcPr>
          <w:p w14:paraId="07ED79AE" w14:textId="160FF9E0"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1F758A" w:rsidRPr="003F511D" w14:paraId="0DEF5D4E" w14:textId="77777777" w:rsidTr="001F758A">
        <w:trPr>
          <w:jc w:val="center"/>
        </w:trPr>
        <w:tc>
          <w:tcPr>
            <w:tcW w:w="1755" w:type="dxa"/>
            <w:vAlign w:val="center"/>
          </w:tcPr>
          <w:p w14:paraId="0B534D28"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1054</w:t>
            </w:r>
          </w:p>
        </w:tc>
        <w:tc>
          <w:tcPr>
            <w:tcW w:w="1379" w:type="dxa"/>
            <w:vAlign w:val="center"/>
          </w:tcPr>
          <w:p w14:paraId="15C3BAAB"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-3.6</w:t>
            </w:r>
          </w:p>
        </w:tc>
        <w:tc>
          <w:tcPr>
            <w:tcW w:w="1618" w:type="dxa"/>
            <w:vAlign w:val="center"/>
          </w:tcPr>
          <w:p w14:paraId="10DD025F"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1.6</w:t>
            </w:r>
          </w:p>
        </w:tc>
        <w:tc>
          <w:tcPr>
            <w:tcW w:w="1622" w:type="dxa"/>
            <w:vAlign w:val="center"/>
          </w:tcPr>
          <w:p w14:paraId="09B0BE99"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231" w:type="dxa"/>
            <w:vMerge/>
            <w:vAlign w:val="center"/>
          </w:tcPr>
          <w:p w14:paraId="5C8C9D04" w14:textId="77777777" w:rsidR="001F758A" w:rsidRPr="003F511D" w:rsidRDefault="001F758A" w:rsidP="001F758A">
            <w:pPr>
              <w:pStyle w:val="NormalWeb"/>
              <w:jc w:val="center"/>
              <w:rPr>
                <w:rFonts w:asciiTheme="minorHAnsi" w:hAnsiTheme="minorHAnsi" w:cstheme="minorHAnsi"/>
                <w:bCs/>
                <w:sz w:val="22"/>
                <w:szCs w:val="22"/>
              </w:rPr>
            </w:pPr>
          </w:p>
        </w:tc>
        <w:tc>
          <w:tcPr>
            <w:tcW w:w="1411" w:type="dxa"/>
            <w:vMerge/>
            <w:vAlign w:val="center"/>
          </w:tcPr>
          <w:p w14:paraId="19708D74" w14:textId="77777777" w:rsidR="001F758A" w:rsidRPr="003F511D" w:rsidRDefault="001F758A" w:rsidP="001F758A">
            <w:pPr>
              <w:pStyle w:val="NormalWeb"/>
              <w:jc w:val="center"/>
              <w:rPr>
                <w:rFonts w:asciiTheme="minorHAnsi" w:hAnsiTheme="minorHAnsi" w:cstheme="minorHAnsi"/>
                <w:bCs/>
                <w:sz w:val="22"/>
                <w:szCs w:val="22"/>
              </w:rPr>
            </w:pPr>
          </w:p>
        </w:tc>
      </w:tr>
      <w:tr w:rsidR="001F758A" w:rsidRPr="003F511D" w14:paraId="6CD4C75E" w14:textId="77777777" w:rsidTr="001F758A">
        <w:trPr>
          <w:jc w:val="center"/>
        </w:trPr>
        <w:tc>
          <w:tcPr>
            <w:tcW w:w="1755" w:type="dxa"/>
            <w:vAlign w:val="center"/>
          </w:tcPr>
          <w:p w14:paraId="32DB3BB9"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1055</w:t>
            </w:r>
          </w:p>
        </w:tc>
        <w:tc>
          <w:tcPr>
            <w:tcW w:w="1379" w:type="dxa"/>
            <w:vAlign w:val="center"/>
          </w:tcPr>
          <w:p w14:paraId="1F8EFF80"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-1.81</w:t>
            </w:r>
          </w:p>
        </w:tc>
        <w:tc>
          <w:tcPr>
            <w:tcW w:w="1618" w:type="dxa"/>
            <w:vAlign w:val="center"/>
          </w:tcPr>
          <w:p w14:paraId="4BEC9C6E"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1.88</w:t>
            </w:r>
          </w:p>
        </w:tc>
        <w:tc>
          <w:tcPr>
            <w:tcW w:w="1622" w:type="dxa"/>
            <w:vAlign w:val="center"/>
          </w:tcPr>
          <w:p w14:paraId="4F39F403"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231" w:type="dxa"/>
            <w:vMerge w:val="restart"/>
            <w:vAlign w:val="center"/>
          </w:tcPr>
          <w:p w14:paraId="7D52FEF0" w14:textId="079A30E3"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0.250</w:t>
            </w:r>
          </w:p>
        </w:tc>
        <w:tc>
          <w:tcPr>
            <w:tcW w:w="1411" w:type="dxa"/>
            <w:vMerge w:val="restart"/>
            <w:vAlign w:val="center"/>
          </w:tcPr>
          <w:p w14:paraId="740B33F2" w14:textId="7DF1D07A"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1F758A" w:rsidRPr="003F511D" w14:paraId="697E6162" w14:textId="77777777" w:rsidTr="001F758A">
        <w:trPr>
          <w:jc w:val="center"/>
        </w:trPr>
        <w:tc>
          <w:tcPr>
            <w:tcW w:w="1755" w:type="dxa"/>
            <w:vAlign w:val="center"/>
          </w:tcPr>
          <w:p w14:paraId="39F1561D"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1055</w:t>
            </w:r>
          </w:p>
        </w:tc>
        <w:tc>
          <w:tcPr>
            <w:tcW w:w="1379" w:type="dxa"/>
            <w:vAlign w:val="center"/>
          </w:tcPr>
          <w:p w14:paraId="7A815ED6"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-2.9</w:t>
            </w:r>
          </w:p>
        </w:tc>
        <w:tc>
          <w:tcPr>
            <w:tcW w:w="1618" w:type="dxa"/>
            <w:vAlign w:val="center"/>
          </w:tcPr>
          <w:p w14:paraId="502042CF"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1.1</w:t>
            </w:r>
          </w:p>
        </w:tc>
        <w:tc>
          <w:tcPr>
            <w:tcW w:w="1622" w:type="dxa"/>
            <w:vAlign w:val="center"/>
          </w:tcPr>
          <w:p w14:paraId="00AFDDD6"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231" w:type="dxa"/>
            <w:vMerge/>
            <w:vAlign w:val="center"/>
          </w:tcPr>
          <w:p w14:paraId="75DE1E06" w14:textId="77777777" w:rsidR="001F758A" w:rsidRPr="003F511D" w:rsidRDefault="001F758A" w:rsidP="001F758A">
            <w:pPr>
              <w:pStyle w:val="NormalWeb"/>
              <w:jc w:val="center"/>
              <w:rPr>
                <w:rFonts w:asciiTheme="minorHAnsi" w:hAnsiTheme="minorHAnsi" w:cstheme="minorHAnsi"/>
                <w:bCs/>
                <w:sz w:val="22"/>
                <w:szCs w:val="22"/>
              </w:rPr>
            </w:pPr>
          </w:p>
        </w:tc>
        <w:tc>
          <w:tcPr>
            <w:tcW w:w="1411" w:type="dxa"/>
            <w:vMerge/>
            <w:vAlign w:val="center"/>
          </w:tcPr>
          <w:p w14:paraId="6532D0BA" w14:textId="77777777" w:rsidR="001F758A" w:rsidRPr="003F511D" w:rsidRDefault="001F758A" w:rsidP="001F758A">
            <w:pPr>
              <w:pStyle w:val="NormalWeb"/>
              <w:jc w:val="center"/>
              <w:rPr>
                <w:rFonts w:asciiTheme="minorHAnsi" w:hAnsiTheme="minorHAnsi" w:cstheme="minorHAnsi"/>
                <w:bCs/>
                <w:sz w:val="22"/>
                <w:szCs w:val="22"/>
              </w:rPr>
            </w:pPr>
          </w:p>
        </w:tc>
      </w:tr>
      <w:tr w:rsidR="001F758A" w:rsidRPr="003F511D" w14:paraId="530BC169" w14:textId="77777777" w:rsidTr="001F758A">
        <w:trPr>
          <w:jc w:val="center"/>
        </w:trPr>
        <w:tc>
          <w:tcPr>
            <w:tcW w:w="1755" w:type="dxa"/>
            <w:vAlign w:val="center"/>
          </w:tcPr>
          <w:p w14:paraId="306AE96F"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lastRenderedPageBreak/>
              <w:t>1056</w:t>
            </w:r>
          </w:p>
        </w:tc>
        <w:tc>
          <w:tcPr>
            <w:tcW w:w="1379" w:type="dxa"/>
            <w:vAlign w:val="center"/>
          </w:tcPr>
          <w:p w14:paraId="108A1255"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-2.77</w:t>
            </w:r>
          </w:p>
        </w:tc>
        <w:tc>
          <w:tcPr>
            <w:tcW w:w="1618" w:type="dxa"/>
            <w:vAlign w:val="center"/>
          </w:tcPr>
          <w:p w14:paraId="1BEDF38A"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1.75</w:t>
            </w:r>
          </w:p>
        </w:tc>
        <w:tc>
          <w:tcPr>
            <w:tcW w:w="1622" w:type="dxa"/>
            <w:vAlign w:val="center"/>
          </w:tcPr>
          <w:p w14:paraId="12A4B281"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231" w:type="dxa"/>
            <w:vMerge w:val="restart"/>
            <w:vAlign w:val="center"/>
          </w:tcPr>
          <w:p w14:paraId="5360A946" w14:textId="7D7FDC3C"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0.807</w:t>
            </w:r>
          </w:p>
        </w:tc>
        <w:tc>
          <w:tcPr>
            <w:tcW w:w="1411" w:type="dxa"/>
            <w:vMerge w:val="restart"/>
            <w:vAlign w:val="center"/>
          </w:tcPr>
          <w:p w14:paraId="3E4AB4ED" w14:textId="40D7CAD0"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1F758A" w:rsidRPr="003F511D" w14:paraId="25526BA2" w14:textId="77777777" w:rsidTr="001F758A">
        <w:trPr>
          <w:jc w:val="center"/>
        </w:trPr>
        <w:tc>
          <w:tcPr>
            <w:tcW w:w="1755" w:type="dxa"/>
            <w:vAlign w:val="center"/>
          </w:tcPr>
          <w:p w14:paraId="0507C6C5"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1056</w:t>
            </w:r>
          </w:p>
        </w:tc>
        <w:tc>
          <w:tcPr>
            <w:tcW w:w="1379" w:type="dxa"/>
            <w:vAlign w:val="center"/>
          </w:tcPr>
          <w:p w14:paraId="16611D14"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-4.9</w:t>
            </w:r>
          </w:p>
        </w:tc>
        <w:tc>
          <w:tcPr>
            <w:tcW w:w="1618" w:type="dxa"/>
            <w:vAlign w:val="center"/>
          </w:tcPr>
          <w:p w14:paraId="26A553DF"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1.6</w:t>
            </w:r>
          </w:p>
        </w:tc>
        <w:tc>
          <w:tcPr>
            <w:tcW w:w="1622" w:type="dxa"/>
            <w:vAlign w:val="center"/>
          </w:tcPr>
          <w:p w14:paraId="2F8F500E" w14:textId="77777777" w:rsidR="001F758A" w:rsidRPr="003F511D" w:rsidRDefault="001F758A"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231" w:type="dxa"/>
            <w:vMerge/>
            <w:vAlign w:val="center"/>
          </w:tcPr>
          <w:p w14:paraId="27FEEBD9" w14:textId="77777777" w:rsidR="001F758A" w:rsidRPr="003F511D" w:rsidRDefault="001F758A" w:rsidP="001F758A">
            <w:pPr>
              <w:pStyle w:val="NormalWeb"/>
              <w:jc w:val="center"/>
              <w:rPr>
                <w:rFonts w:asciiTheme="minorHAnsi" w:hAnsiTheme="minorHAnsi" w:cstheme="minorHAnsi"/>
                <w:bCs/>
                <w:sz w:val="22"/>
                <w:szCs w:val="22"/>
              </w:rPr>
            </w:pPr>
          </w:p>
        </w:tc>
        <w:tc>
          <w:tcPr>
            <w:tcW w:w="1411" w:type="dxa"/>
            <w:vMerge/>
            <w:vAlign w:val="center"/>
          </w:tcPr>
          <w:p w14:paraId="79AAB799" w14:textId="77777777" w:rsidR="001F758A" w:rsidRPr="003F511D" w:rsidRDefault="001F758A" w:rsidP="001F758A">
            <w:pPr>
              <w:pStyle w:val="NormalWeb"/>
              <w:jc w:val="center"/>
              <w:rPr>
                <w:rFonts w:asciiTheme="minorHAnsi" w:hAnsiTheme="minorHAnsi" w:cstheme="minorHAnsi"/>
                <w:bCs/>
                <w:sz w:val="22"/>
                <w:szCs w:val="22"/>
              </w:rPr>
            </w:pPr>
          </w:p>
        </w:tc>
      </w:tr>
      <w:tr w:rsidR="0066289C" w:rsidRPr="003F511D" w14:paraId="103D8868" w14:textId="77777777" w:rsidTr="001F758A">
        <w:trPr>
          <w:jc w:val="center"/>
        </w:trPr>
        <w:tc>
          <w:tcPr>
            <w:tcW w:w="1755" w:type="dxa"/>
            <w:vAlign w:val="center"/>
          </w:tcPr>
          <w:p w14:paraId="65F7F3DA" w14:textId="77777777" w:rsidR="0066289C" w:rsidRPr="003F511D" w:rsidRDefault="0066289C"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1057</w:t>
            </w:r>
          </w:p>
        </w:tc>
        <w:tc>
          <w:tcPr>
            <w:tcW w:w="1379" w:type="dxa"/>
            <w:vAlign w:val="center"/>
          </w:tcPr>
          <w:p w14:paraId="7452CF67" w14:textId="77777777" w:rsidR="0066289C" w:rsidRPr="003F511D" w:rsidRDefault="0066289C"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-2.92</w:t>
            </w:r>
          </w:p>
        </w:tc>
        <w:tc>
          <w:tcPr>
            <w:tcW w:w="1618" w:type="dxa"/>
            <w:vAlign w:val="center"/>
          </w:tcPr>
          <w:p w14:paraId="27EBA120" w14:textId="3F32C164" w:rsidR="0066289C" w:rsidRPr="003F511D" w:rsidRDefault="0045238A" w:rsidP="001F758A">
            <w:pPr>
              <w:pStyle w:val="NormalWeb"/>
              <w:jc w:val="center"/>
              <w:rPr>
                <w:rFonts w:asciiTheme="minorHAnsi" w:hAnsiTheme="minorHAnsi" w:cstheme="minorHAnsi"/>
                <w:bCs/>
                <w:sz w:val="22"/>
                <w:szCs w:val="22"/>
              </w:rPr>
            </w:pPr>
            <w:r>
              <w:rPr>
                <w:rFonts w:asciiTheme="minorHAnsi" w:hAnsiTheme="minorHAnsi" w:cstheme="minorHAnsi"/>
                <w:bCs/>
                <w:sz w:val="22"/>
                <w:szCs w:val="22"/>
              </w:rPr>
              <w:t>2.08</w:t>
            </w:r>
          </w:p>
        </w:tc>
        <w:tc>
          <w:tcPr>
            <w:tcW w:w="1622" w:type="dxa"/>
            <w:vAlign w:val="center"/>
          </w:tcPr>
          <w:p w14:paraId="15910219" w14:textId="77777777" w:rsidR="0066289C" w:rsidRPr="003F511D" w:rsidRDefault="0066289C"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231" w:type="dxa"/>
            <w:vMerge w:val="restart"/>
            <w:vAlign w:val="center"/>
          </w:tcPr>
          <w:p w14:paraId="770A38C5" w14:textId="2C17510C" w:rsidR="0066289C" w:rsidRPr="003F511D" w:rsidRDefault="0066289C"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3.</w:t>
            </w:r>
            <w:r w:rsidR="0045238A">
              <w:rPr>
                <w:rFonts w:asciiTheme="minorHAnsi" w:hAnsiTheme="minorHAnsi" w:cstheme="minorHAnsi"/>
                <w:bCs/>
                <w:sz w:val="22"/>
                <w:szCs w:val="22"/>
              </w:rPr>
              <w:t>576</w:t>
            </w:r>
          </w:p>
        </w:tc>
        <w:tc>
          <w:tcPr>
            <w:tcW w:w="1411" w:type="dxa"/>
            <w:vMerge w:val="restart"/>
            <w:vAlign w:val="center"/>
          </w:tcPr>
          <w:p w14:paraId="5E30C68A" w14:textId="24405679" w:rsidR="0066289C" w:rsidRPr="003F511D" w:rsidRDefault="0045238A" w:rsidP="001F758A">
            <w:pPr>
              <w:pStyle w:val="NormalWeb"/>
              <w:jc w:val="center"/>
              <w:rPr>
                <w:rFonts w:asciiTheme="minorHAnsi" w:hAnsiTheme="minorHAnsi" w:cstheme="minorHAnsi"/>
                <w:bCs/>
                <w:sz w:val="22"/>
                <w:szCs w:val="22"/>
              </w:rPr>
            </w:pPr>
            <w:r>
              <w:rPr>
                <w:rFonts w:asciiTheme="minorHAnsi" w:hAnsiTheme="minorHAnsi" w:cstheme="minorHAnsi"/>
                <w:bCs/>
                <w:sz w:val="22"/>
                <w:szCs w:val="22"/>
              </w:rPr>
              <w:t>Pass</w:t>
            </w:r>
          </w:p>
        </w:tc>
      </w:tr>
      <w:tr w:rsidR="0066289C" w:rsidRPr="003F511D" w14:paraId="24F2DCEB" w14:textId="77777777" w:rsidTr="001F758A">
        <w:trPr>
          <w:jc w:val="center"/>
        </w:trPr>
        <w:tc>
          <w:tcPr>
            <w:tcW w:w="1755" w:type="dxa"/>
            <w:vAlign w:val="center"/>
          </w:tcPr>
          <w:p w14:paraId="23A6C351" w14:textId="77777777" w:rsidR="0066289C" w:rsidRPr="003F511D" w:rsidRDefault="0066289C"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1057</w:t>
            </w:r>
          </w:p>
        </w:tc>
        <w:tc>
          <w:tcPr>
            <w:tcW w:w="1379" w:type="dxa"/>
            <w:vAlign w:val="center"/>
          </w:tcPr>
          <w:p w14:paraId="4F9FC37B" w14:textId="07693057" w:rsidR="0066289C" w:rsidRPr="003F511D" w:rsidRDefault="0066289C"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-8</w:t>
            </w:r>
            <w:r w:rsidR="00E9558A" w:rsidRPr="003F511D">
              <w:rPr>
                <w:rFonts w:asciiTheme="minorHAnsi" w:hAnsiTheme="minorHAnsi" w:cstheme="minorHAnsi"/>
                <w:color w:val="000000"/>
                <w:sz w:val="22"/>
                <w:szCs w:val="22"/>
              </w:rPr>
              <w:t>.0</w:t>
            </w:r>
          </w:p>
        </w:tc>
        <w:tc>
          <w:tcPr>
            <w:tcW w:w="1618" w:type="dxa"/>
            <w:vAlign w:val="center"/>
          </w:tcPr>
          <w:p w14:paraId="3F1B2358" w14:textId="77777777" w:rsidR="0066289C" w:rsidRPr="003F511D" w:rsidRDefault="0066289C" w:rsidP="001F758A">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1.7</w:t>
            </w:r>
          </w:p>
        </w:tc>
        <w:tc>
          <w:tcPr>
            <w:tcW w:w="1622" w:type="dxa"/>
            <w:vAlign w:val="center"/>
          </w:tcPr>
          <w:p w14:paraId="0F27C2C2" w14:textId="77777777" w:rsidR="0066289C" w:rsidRPr="003F511D" w:rsidRDefault="0066289C" w:rsidP="001F758A">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231" w:type="dxa"/>
            <w:vMerge/>
            <w:vAlign w:val="center"/>
          </w:tcPr>
          <w:p w14:paraId="03675383" w14:textId="77777777" w:rsidR="0066289C" w:rsidRPr="003F511D" w:rsidRDefault="0066289C" w:rsidP="001F758A">
            <w:pPr>
              <w:pStyle w:val="NormalWeb"/>
              <w:jc w:val="center"/>
              <w:rPr>
                <w:rFonts w:asciiTheme="minorHAnsi" w:hAnsiTheme="minorHAnsi" w:cstheme="minorHAnsi"/>
                <w:bCs/>
                <w:sz w:val="22"/>
                <w:szCs w:val="22"/>
              </w:rPr>
            </w:pPr>
          </w:p>
        </w:tc>
        <w:tc>
          <w:tcPr>
            <w:tcW w:w="1411" w:type="dxa"/>
            <w:vMerge/>
            <w:vAlign w:val="center"/>
          </w:tcPr>
          <w:p w14:paraId="2DFB838F" w14:textId="77777777" w:rsidR="0066289C" w:rsidRPr="003F511D" w:rsidRDefault="0066289C" w:rsidP="001F758A">
            <w:pPr>
              <w:pStyle w:val="NormalWeb"/>
              <w:jc w:val="center"/>
              <w:rPr>
                <w:rFonts w:asciiTheme="minorHAnsi" w:hAnsiTheme="minorHAnsi" w:cstheme="minorHAnsi"/>
                <w:bCs/>
                <w:sz w:val="22"/>
                <w:szCs w:val="22"/>
              </w:rPr>
            </w:pPr>
          </w:p>
        </w:tc>
      </w:tr>
    </w:tbl>
    <w:p w14:paraId="79D8ACD5" w14:textId="14816252" w:rsidR="0074229C" w:rsidRPr="003F511D" w:rsidRDefault="00710F6F" w:rsidP="0074229C">
      <w:pPr>
        <w:rPr>
          <w:lang w:val="en-US" w:eastAsia="en-US"/>
        </w:rPr>
      </w:pPr>
      <w:r w:rsidRPr="003F511D">
        <w:rPr>
          <w:sz w:val="18"/>
          <w:szCs w:val="18"/>
          <w:lang w:val="en-US" w:eastAsia="en-US"/>
        </w:rPr>
        <w:t xml:space="preserve">Table 4-SI: Comparison and </w:t>
      </w:r>
      <w:r w:rsidRPr="003F511D">
        <w:rPr>
          <w:rFonts w:asciiTheme="minorHAnsi" w:hAnsiTheme="minorHAnsi" w:cstheme="minorHAnsi"/>
          <w:sz w:val="18"/>
          <w:szCs w:val="18"/>
          <w:lang w:val="en-US" w:eastAsia="en-US"/>
        </w:rPr>
        <w:t xml:space="preserve">respective </w:t>
      </w:r>
      <w:r w:rsidRPr="003F511D">
        <w:rPr>
          <w:rFonts w:asciiTheme="minorHAnsi" w:hAnsiTheme="minorHAnsi" w:cstheme="minorHAnsi"/>
          <w:sz w:val="18"/>
          <w:szCs w:val="18"/>
          <w:lang w:val="en-US"/>
        </w:rPr>
        <w:sym w:font="Symbol" w:char="F063"/>
      </w:r>
      <w:r w:rsidRPr="003F511D">
        <w:rPr>
          <w:rFonts w:asciiTheme="minorHAnsi" w:hAnsiTheme="minorHAnsi" w:cstheme="minorHAnsi"/>
          <w:sz w:val="18"/>
          <w:szCs w:val="18"/>
          <w:vertAlign w:val="superscript"/>
          <w:lang w:val="en-US"/>
        </w:rPr>
        <w:t>2</w:t>
      </w:r>
      <w:r w:rsidRPr="003F511D">
        <w:rPr>
          <w:rFonts w:asciiTheme="minorHAnsi" w:hAnsiTheme="minorHAnsi" w:cstheme="minorHAnsi"/>
          <w:sz w:val="18"/>
          <w:szCs w:val="18"/>
          <w:lang w:val="en-US"/>
        </w:rPr>
        <w:t>-test between same year samples from averaged dataset of this study and averaged dataset from Brehm et al. (2021)</w:t>
      </w:r>
      <w:r w:rsidR="00F313DF" w:rsidRPr="003F511D">
        <w:rPr>
          <w:rFonts w:asciiTheme="minorHAnsi" w:hAnsiTheme="minorHAnsi" w:cstheme="minorHAnsi"/>
          <w:sz w:val="18"/>
          <w:szCs w:val="18"/>
          <w:lang w:val="en-US"/>
        </w:rPr>
        <w:t xml:space="preserve">. The </w:t>
      </w:r>
      <w:r w:rsidR="00F313DF" w:rsidRPr="003F511D">
        <w:rPr>
          <w:rFonts w:asciiTheme="minorHAnsi" w:hAnsiTheme="minorHAnsi" w:cstheme="minorHAnsi"/>
          <w:sz w:val="18"/>
          <w:szCs w:val="18"/>
          <w:lang w:val="en-US"/>
        </w:rPr>
        <w:sym w:font="Symbol" w:char="F063"/>
      </w:r>
      <w:r w:rsidR="00F313DF" w:rsidRPr="003F511D">
        <w:rPr>
          <w:rFonts w:asciiTheme="minorHAnsi" w:hAnsiTheme="minorHAnsi" w:cstheme="minorHAnsi"/>
          <w:sz w:val="18"/>
          <w:szCs w:val="18"/>
          <w:vertAlign w:val="superscript"/>
          <w:lang w:val="en-US"/>
        </w:rPr>
        <w:t>2</w:t>
      </w:r>
      <w:r w:rsidR="00F313DF" w:rsidRPr="003F511D">
        <w:rPr>
          <w:rFonts w:asciiTheme="minorHAnsi" w:hAnsiTheme="minorHAnsi" w:cstheme="minorHAnsi"/>
          <w:sz w:val="18"/>
          <w:szCs w:val="18"/>
          <w:lang w:val="en-US"/>
        </w:rPr>
        <w:t>-test is</w:t>
      </w:r>
      <w:r w:rsidRPr="003F511D">
        <w:rPr>
          <w:rFonts w:asciiTheme="minorHAnsi" w:hAnsiTheme="minorHAnsi" w:cstheme="minorHAnsi"/>
          <w:sz w:val="18"/>
          <w:szCs w:val="18"/>
          <w:lang w:val="en-US"/>
        </w:rPr>
        <w:t xml:space="preserve"> performed at the 95% probability, where the test is passed when the t-statistic of the set of </w:t>
      </w:r>
      <w:r w:rsidR="00F313DF" w:rsidRPr="003F511D">
        <w:rPr>
          <w:rFonts w:asciiTheme="minorHAnsi" w:hAnsiTheme="minorHAnsi" w:cstheme="minorHAnsi"/>
          <w:sz w:val="18"/>
          <w:szCs w:val="18"/>
          <w:lang w:val="en-US"/>
        </w:rPr>
        <w:t>same year</w:t>
      </w:r>
      <w:r w:rsidRPr="003F511D">
        <w:rPr>
          <w:rFonts w:asciiTheme="minorHAnsi" w:hAnsiTheme="minorHAnsi" w:cstheme="minorHAnsi"/>
          <w:sz w:val="18"/>
          <w:szCs w:val="18"/>
          <w:lang w:val="en-US"/>
        </w:rPr>
        <w:t xml:space="preserve"> samples is less than the threshold value (3.841 for 2 samples)</w:t>
      </w:r>
      <w:r w:rsidR="00F313DF" w:rsidRPr="003F511D">
        <w:rPr>
          <w:rFonts w:asciiTheme="minorHAnsi" w:hAnsiTheme="minorHAnsi" w:cstheme="minorHAnsi"/>
          <w:sz w:val="18"/>
          <w:szCs w:val="18"/>
          <w:lang w:val="en-US"/>
        </w:rPr>
        <w:t>.</w:t>
      </w:r>
    </w:p>
    <w:p w14:paraId="12885E37" w14:textId="701FAC5D" w:rsidR="007F0CFC" w:rsidRPr="003F511D" w:rsidRDefault="007F0CFC" w:rsidP="007F0CFC">
      <w:pPr>
        <w:pStyle w:val="Heading3"/>
        <w:rPr>
          <w:rFonts w:asciiTheme="minorHAnsi" w:hAnsiTheme="minorHAnsi" w:cstheme="minorHAnsi"/>
          <w:b w:val="0"/>
          <w:bCs/>
        </w:rPr>
      </w:pPr>
      <w:r w:rsidRPr="003F511D">
        <w:rPr>
          <w:rFonts w:asciiTheme="minorHAnsi" w:hAnsiTheme="minorHAnsi" w:cstheme="minorHAnsi"/>
          <w:b w:val="0"/>
          <w:bCs/>
        </w:rPr>
        <w:t xml:space="preserve">Event Candidate 1279 CE </w:t>
      </w:r>
    </w:p>
    <w:p w14:paraId="12A5C44F" w14:textId="77777777" w:rsidR="00AB4860" w:rsidRPr="003F511D" w:rsidRDefault="00AB4860" w:rsidP="00AB4860">
      <w:pPr>
        <w:rPr>
          <w:lang w:val="en-US" w:eastAsia="en-US"/>
        </w:rPr>
      </w:pPr>
    </w:p>
    <w:tbl>
      <w:tblPr>
        <w:tblStyle w:val="TableGrid"/>
        <w:tblW w:w="0" w:type="auto"/>
        <w:jc w:val="center"/>
        <w:tblLook w:val="04A0" w:firstRow="1" w:lastRow="0" w:firstColumn="1" w:lastColumn="0" w:noHBand="0" w:noVBand="1"/>
      </w:tblPr>
      <w:tblGrid>
        <w:gridCol w:w="1683"/>
        <w:gridCol w:w="1309"/>
        <w:gridCol w:w="1516"/>
        <w:gridCol w:w="1542"/>
        <w:gridCol w:w="1483"/>
        <w:gridCol w:w="1483"/>
      </w:tblGrid>
      <w:tr w:rsidR="00346F16" w:rsidRPr="003F511D" w14:paraId="1B06FF1B" w14:textId="77777777" w:rsidTr="00346F16">
        <w:trPr>
          <w:trHeight w:val="300"/>
          <w:jc w:val="center"/>
        </w:trPr>
        <w:tc>
          <w:tcPr>
            <w:tcW w:w="1683" w:type="dxa"/>
            <w:vAlign w:val="center"/>
          </w:tcPr>
          <w:p w14:paraId="07062B00" w14:textId="77777777" w:rsidR="00346F16" w:rsidRPr="003F511D" w:rsidRDefault="00346F16" w:rsidP="00346F16">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Calendar Year (CE)</w:t>
            </w:r>
          </w:p>
        </w:tc>
        <w:tc>
          <w:tcPr>
            <w:tcW w:w="1309" w:type="dxa"/>
            <w:vAlign w:val="center"/>
          </w:tcPr>
          <w:p w14:paraId="12AC455E" w14:textId="77777777" w:rsidR="00346F16" w:rsidRPr="003F511D" w:rsidRDefault="00346F16" w:rsidP="00346F16">
            <w:pPr>
              <w:pStyle w:val="NormalWeb"/>
              <w:jc w:val="center"/>
              <w:rPr>
                <w:rFonts w:asciiTheme="minorHAnsi" w:hAnsiTheme="minorHAnsi" w:cstheme="minorHAnsi"/>
                <w:b/>
                <w:color w:val="202122"/>
                <w:sz w:val="22"/>
                <w:szCs w:val="22"/>
                <w:shd w:val="clear" w:color="auto" w:fill="FFFFFF"/>
              </w:rPr>
            </w:pPr>
            <w:r w:rsidRPr="003F511D">
              <w:rPr>
                <w:rFonts w:asciiTheme="minorHAnsi" w:hAnsiTheme="minorHAnsi" w:cstheme="minorHAnsi"/>
                <w:b/>
                <w:color w:val="202122"/>
                <w:sz w:val="22"/>
                <w:szCs w:val="22"/>
                <w:shd w:val="clear" w:color="auto" w:fill="FFFFFF"/>
              </w:rPr>
              <w:t>Δ</w:t>
            </w:r>
            <w:r w:rsidRPr="003F511D">
              <w:rPr>
                <w:rFonts w:asciiTheme="minorHAnsi" w:hAnsiTheme="minorHAnsi" w:cstheme="minorHAnsi"/>
                <w:b/>
                <w:sz w:val="22"/>
                <w:szCs w:val="22"/>
                <w:vertAlign w:val="superscript"/>
              </w:rPr>
              <w:t>14</w:t>
            </w:r>
            <w:r w:rsidRPr="003F511D">
              <w:rPr>
                <w:rFonts w:asciiTheme="minorHAnsi" w:hAnsiTheme="minorHAnsi" w:cstheme="minorHAnsi"/>
                <w:b/>
                <w:sz w:val="22"/>
                <w:szCs w:val="22"/>
              </w:rPr>
              <w:t>C (</w:t>
            </w:r>
            <w:r w:rsidRPr="003F511D">
              <w:rPr>
                <w:rFonts w:asciiTheme="minorHAnsi" w:hAnsiTheme="minorHAnsi" w:cstheme="minorHAnsi"/>
                <w:b/>
                <w:color w:val="202122"/>
                <w:sz w:val="22"/>
                <w:szCs w:val="22"/>
                <w:shd w:val="clear" w:color="auto" w:fill="F8F9FA"/>
              </w:rPr>
              <w:t>‰</w:t>
            </w:r>
            <w:r w:rsidRPr="003F511D">
              <w:rPr>
                <w:rFonts w:asciiTheme="minorHAnsi" w:hAnsiTheme="minorHAnsi" w:cstheme="minorHAnsi"/>
                <w:b/>
                <w:sz w:val="22"/>
                <w:szCs w:val="22"/>
              </w:rPr>
              <w:t>)</w:t>
            </w:r>
          </w:p>
        </w:tc>
        <w:tc>
          <w:tcPr>
            <w:tcW w:w="1516" w:type="dxa"/>
            <w:vAlign w:val="center"/>
          </w:tcPr>
          <w:p w14:paraId="75EDDA9F" w14:textId="77777777" w:rsidR="00346F16" w:rsidRPr="003F511D" w:rsidRDefault="00346F16" w:rsidP="00346F16">
            <w:pPr>
              <w:pStyle w:val="NormalWeb"/>
              <w:jc w:val="center"/>
              <w:rPr>
                <w:rFonts w:asciiTheme="minorHAnsi" w:hAnsiTheme="minorHAnsi" w:cstheme="minorHAnsi"/>
                <w:b/>
                <w:sz w:val="22"/>
                <w:szCs w:val="22"/>
              </w:rPr>
            </w:pPr>
            <w:r w:rsidRPr="003F511D">
              <w:rPr>
                <w:rStyle w:val="Strong"/>
                <w:rFonts w:asciiTheme="minorHAnsi" w:hAnsiTheme="minorHAnsi" w:cstheme="minorHAnsi"/>
                <w:color w:val="202122"/>
                <w:sz w:val="22"/>
                <w:szCs w:val="22"/>
                <w:shd w:val="clear" w:color="auto" w:fill="FFFFFF"/>
              </w:rPr>
              <w:t>± σ</w:t>
            </w:r>
            <w:r w:rsidRPr="003F511D">
              <w:rPr>
                <w:rFonts w:asciiTheme="minorHAnsi" w:hAnsiTheme="minorHAnsi" w:cstheme="minorHAnsi"/>
                <w:b/>
                <w:sz w:val="22"/>
                <w:szCs w:val="22"/>
              </w:rPr>
              <w:t xml:space="preserve"> (</w:t>
            </w:r>
            <w:r w:rsidRPr="003F511D">
              <w:rPr>
                <w:rFonts w:asciiTheme="minorHAnsi" w:hAnsiTheme="minorHAnsi" w:cstheme="minorHAnsi"/>
                <w:b/>
                <w:color w:val="202122"/>
                <w:sz w:val="22"/>
                <w:szCs w:val="22"/>
                <w:shd w:val="clear" w:color="auto" w:fill="F8F9FA"/>
              </w:rPr>
              <w:t>‰</w:t>
            </w:r>
            <w:r w:rsidRPr="003F511D">
              <w:rPr>
                <w:rFonts w:asciiTheme="minorHAnsi" w:hAnsiTheme="minorHAnsi" w:cstheme="minorHAnsi"/>
                <w:b/>
                <w:sz w:val="22"/>
                <w:szCs w:val="22"/>
              </w:rPr>
              <w:t>)</w:t>
            </w:r>
          </w:p>
        </w:tc>
        <w:tc>
          <w:tcPr>
            <w:tcW w:w="1542" w:type="dxa"/>
            <w:vAlign w:val="center"/>
          </w:tcPr>
          <w:p w14:paraId="40E8FDCC" w14:textId="77777777" w:rsidR="00346F16" w:rsidRPr="003F511D" w:rsidRDefault="00346F16" w:rsidP="00346F16">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Study</w:t>
            </w:r>
          </w:p>
        </w:tc>
        <w:tc>
          <w:tcPr>
            <w:tcW w:w="1483" w:type="dxa"/>
            <w:vAlign w:val="center"/>
          </w:tcPr>
          <w:p w14:paraId="455D54A6" w14:textId="77777777" w:rsidR="00346F16" w:rsidRPr="003F511D" w:rsidRDefault="00346F16" w:rsidP="00346F16">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T-statistic</w:t>
            </w:r>
          </w:p>
        </w:tc>
        <w:tc>
          <w:tcPr>
            <w:tcW w:w="1483" w:type="dxa"/>
            <w:vAlign w:val="center"/>
          </w:tcPr>
          <w:p w14:paraId="28854078" w14:textId="77777777" w:rsidR="00346F16" w:rsidRPr="003F511D" w:rsidRDefault="00346F16" w:rsidP="00346F16">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sym w:font="Symbol" w:char="F063"/>
            </w:r>
            <w:r w:rsidRPr="003F511D">
              <w:rPr>
                <w:rFonts w:asciiTheme="minorHAnsi" w:hAnsiTheme="minorHAnsi" w:cstheme="minorHAnsi"/>
                <w:b/>
                <w:sz w:val="22"/>
                <w:szCs w:val="22"/>
                <w:vertAlign w:val="superscript"/>
              </w:rPr>
              <w:t>2</w:t>
            </w:r>
            <w:r w:rsidRPr="003F511D">
              <w:rPr>
                <w:rFonts w:asciiTheme="minorHAnsi" w:hAnsiTheme="minorHAnsi" w:cstheme="minorHAnsi"/>
                <w:b/>
                <w:sz w:val="22"/>
                <w:szCs w:val="22"/>
              </w:rPr>
              <w:t>-test</w:t>
            </w:r>
          </w:p>
        </w:tc>
      </w:tr>
      <w:tr w:rsidR="00346F16" w:rsidRPr="003F511D" w14:paraId="429090BA" w14:textId="77777777" w:rsidTr="00346F16">
        <w:trPr>
          <w:jc w:val="center"/>
        </w:trPr>
        <w:tc>
          <w:tcPr>
            <w:tcW w:w="1683" w:type="dxa"/>
            <w:vAlign w:val="center"/>
          </w:tcPr>
          <w:p w14:paraId="76757B88"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1275</w:t>
            </w:r>
          </w:p>
        </w:tc>
        <w:tc>
          <w:tcPr>
            <w:tcW w:w="1309" w:type="dxa"/>
            <w:vAlign w:val="center"/>
          </w:tcPr>
          <w:p w14:paraId="1411109D"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-14.46</w:t>
            </w:r>
          </w:p>
        </w:tc>
        <w:tc>
          <w:tcPr>
            <w:tcW w:w="1516" w:type="dxa"/>
            <w:vAlign w:val="center"/>
          </w:tcPr>
          <w:p w14:paraId="6DB7026B"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1.76</w:t>
            </w:r>
          </w:p>
        </w:tc>
        <w:tc>
          <w:tcPr>
            <w:tcW w:w="1542" w:type="dxa"/>
            <w:vAlign w:val="center"/>
          </w:tcPr>
          <w:p w14:paraId="20E4A33B"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483" w:type="dxa"/>
            <w:vMerge w:val="restart"/>
            <w:vAlign w:val="center"/>
          </w:tcPr>
          <w:p w14:paraId="7E56D8AF" w14:textId="14454310"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0.399</w:t>
            </w:r>
          </w:p>
        </w:tc>
        <w:tc>
          <w:tcPr>
            <w:tcW w:w="1483" w:type="dxa"/>
            <w:vMerge w:val="restart"/>
            <w:vAlign w:val="center"/>
          </w:tcPr>
          <w:p w14:paraId="64C3B200" w14:textId="05065351"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346F16" w:rsidRPr="003F511D" w14:paraId="1FC8EFDC" w14:textId="77777777" w:rsidTr="00346F16">
        <w:trPr>
          <w:jc w:val="center"/>
        </w:trPr>
        <w:tc>
          <w:tcPr>
            <w:tcW w:w="1683" w:type="dxa"/>
            <w:vAlign w:val="center"/>
          </w:tcPr>
          <w:p w14:paraId="3F0D0A89"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1275</w:t>
            </w:r>
          </w:p>
        </w:tc>
        <w:tc>
          <w:tcPr>
            <w:tcW w:w="1309" w:type="dxa"/>
            <w:vAlign w:val="center"/>
          </w:tcPr>
          <w:p w14:paraId="7259F0E0"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-13.0</w:t>
            </w:r>
          </w:p>
        </w:tc>
        <w:tc>
          <w:tcPr>
            <w:tcW w:w="1516" w:type="dxa"/>
            <w:vAlign w:val="center"/>
          </w:tcPr>
          <w:p w14:paraId="7F7AA9AC"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1.5</w:t>
            </w:r>
          </w:p>
        </w:tc>
        <w:tc>
          <w:tcPr>
            <w:tcW w:w="1542" w:type="dxa"/>
            <w:vAlign w:val="center"/>
          </w:tcPr>
          <w:p w14:paraId="1FCC25B2"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483" w:type="dxa"/>
            <w:vMerge/>
            <w:vAlign w:val="center"/>
          </w:tcPr>
          <w:p w14:paraId="75CEDB07" w14:textId="77777777" w:rsidR="00346F16" w:rsidRPr="003F511D" w:rsidRDefault="00346F16" w:rsidP="00346F16">
            <w:pPr>
              <w:pStyle w:val="NormalWeb"/>
              <w:jc w:val="center"/>
              <w:rPr>
                <w:rFonts w:asciiTheme="minorHAnsi" w:hAnsiTheme="minorHAnsi" w:cstheme="minorHAnsi"/>
                <w:bCs/>
                <w:sz w:val="22"/>
                <w:szCs w:val="22"/>
              </w:rPr>
            </w:pPr>
          </w:p>
        </w:tc>
        <w:tc>
          <w:tcPr>
            <w:tcW w:w="1483" w:type="dxa"/>
            <w:vMerge/>
            <w:vAlign w:val="center"/>
          </w:tcPr>
          <w:p w14:paraId="1BB592AE" w14:textId="77777777" w:rsidR="00346F16" w:rsidRPr="003F511D" w:rsidRDefault="00346F16" w:rsidP="00346F16">
            <w:pPr>
              <w:pStyle w:val="NormalWeb"/>
              <w:jc w:val="center"/>
              <w:rPr>
                <w:rFonts w:asciiTheme="minorHAnsi" w:hAnsiTheme="minorHAnsi" w:cstheme="minorHAnsi"/>
                <w:bCs/>
                <w:sz w:val="22"/>
                <w:szCs w:val="22"/>
              </w:rPr>
            </w:pPr>
          </w:p>
        </w:tc>
      </w:tr>
      <w:tr w:rsidR="00346F16" w:rsidRPr="003F511D" w14:paraId="75E97338" w14:textId="77777777" w:rsidTr="00346F16">
        <w:trPr>
          <w:jc w:val="center"/>
        </w:trPr>
        <w:tc>
          <w:tcPr>
            <w:tcW w:w="1683" w:type="dxa"/>
            <w:vAlign w:val="center"/>
          </w:tcPr>
          <w:p w14:paraId="7AA68BCE"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1276</w:t>
            </w:r>
          </w:p>
        </w:tc>
        <w:tc>
          <w:tcPr>
            <w:tcW w:w="1309" w:type="dxa"/>
            <w:vAlign w:val="center"/>
          </w:tcPr>
          <w:p w14:paraId="624E6993"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-13.50</w:t>
            </w:r>
          </w:p>
        </w:tc>
        <w:tc>
          <w:tcPr>
            <w:tcW w:w="1516" w:type="dxa"/>
            <w:vAlign w:val="center"/>
          </w:tcPr>
          <w:p w14:paraId="75352376"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1.64</w:t>
            </w:r>
          </w:p>
        </w:tc>
        <w:tc>
          <w:tcPr>
            <w:tcW w:w="1542" w:type="dxa"/>
            <w:vAlign w:val="center"/>
          </w:tcPr>
          <w:p w14:paraId="129E57C3"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483" w:type="dxa"/>
            <w:vMerge w:val="restart"/>
            <w:vAlign w:val="center"/>
          </w:tcPr>
          <w:p w14:paraId="5F998AE9" w14:textId="299A7311"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0.174</w:t>
            </w:r>
          </w:p>
        </w:tc>
        <w:tc>
          <w:tcPr>
            <w:tcW w:w="1483" w:type="dxa"/>
            <w:vMerge w:val="restart"/>
            <w:vAlign w:val="center"/>
          </w:tcPr>
          <w:p w14:paraId="2072F9E4" w14:textId="1E5B4E6C"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346F16" w:rsidRPr="003F511D" w14:paraId="13DED60D" w14:textId="77777777" w:rsidTr="00346F16">
        <w:trPr>
          <w:jc w:val="center"/>
        </w:trPr>
        <w:tc>
          <w:tcPr>
            <w:tcW w:w="1683" w:type="dxa"/>
            <w:vAlign w:val="center"/>
          </w:tcPr>
          <w:p w14:paraId="17F631EB"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1276</w:t>
            </w:r>
          </w:p>
        </w:tc>
        <w:tc>
          <w:tcPr>
            <w:tcW w:w="1309" w:type="dxa"/>
            <w:vAlign w:val="center"/>
          </w:tcPr>
          <w:p w14:paraId="5AE5C08A"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-12.6</w:t>
            </w:r>
          </w:p>
        </w:tc>
        <w:tc>
          <w:tcPr>
            <w:tcW w:w="1516" w:type="dxa"/>
            <w:vAlign w:val="center"/>
          </w:tcPr>
          <w:p w14:paraId="3B184281"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1.4</w:t>
            </w:r>
          </w:p>
        </w:tc>
        <w:tc>
          <w:tcPr>
            <w:tcW w:w="1542" w:type="dxa"/>
            <w:vAlign w:val="center"/>
          </w:tcPr>
          <w:p w14:paraId="2CBC1692"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483" w:type="dxa"/>
            <w:vMerge/>
            <w:vAlign w:val="center"/>
          </w:tcPr>
          <w:p w14:paraId="46BAB25C" w14:textId="77777777" w:rsidR="00346F16" w:rsidRPr="003F511D" w:rsidRDefault="00346F16" w:rsidP="00346F16">
            <w:pPr>
              <w:pStyle w:val="NormalWeb"/>
              <w:jc w:val="center"/>
              <w:rPr>
                <w:rFonts w:asciiTheme="minorHAnsi" w:hAnsiTheme="minorHAnsi" w:cstheme="minorHAnsi"/>
                <w:bCs/>
                <w:sz w:val="22"/>
                <w:szCs w:val="22"/>
              </w:rPr>
            </w:pPr>
          </w:p>
        </w:tc>
        <w:tc>
          <w:tcPr>
            <w:tcW w:w="1483" w:type="dxa"/>
            <w:vMerge/>
            <w:vAlign w:val="center"/>
          </w:tcPr>
          <w:p w14:paraId="03594CAA" w14:textId="77777777" w:rsidR="00346F16" w:rsidRPr="003F511D" w:rsidRDefault="00346F16" w:rsidP="00346F16">
            <w:pPr>
              <w:pStyle w:val="NormalWeb"/>
              <w:jc w:val="center"/>
              <w:rPr>
                <w:rFonts w:asciiTheme="minorHAnsi" w:hAnsiTheme="minorHAnsi" w:cstheme="minorHAnsi"/>
                <w:bCs/>
                <w:sz w:val="22"/>
                <w:szCs w:val="22"/>
              </w:rPr>
            </w:pPr>
          </w:p>
        </w:tc>
      </w:tr>
      <w:tr w:rsidR="00346F16" w:rsidRPr="003F511D" w14:paraId="18C8B52E" w14:textId="77777777" w:rsidTr="00346F16">
        <w:trPr>
          <w:jc w:val="center"/>
        </w:trPr>
        <w:tc>
          <w:tcPr>
            <w:tcW w:w="1683" w:type="dxa"/>
            <w:vAlign w:val="center"/>
          </w:tcPr>
          <w:p w14:paraId="66C65E5A"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1277</w:t>
            </w:r>
          </w:p>
        </w:tc>
        <w:tc>
          <w:tcPr>
            <w:tcW w:w="1309" w:type="dxa"/>
            <w:vAlign w:val="center"/>
          </w:tcPr>
          <w:p w14:paraId="631E9449"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-13.48</w:t>
            </w:r>
          </w:p>
        </w:tc>
        <w:tc>
          <w:tcPr>
            <w:tcW w:w="1516" w:type="dxa"/>
            <w:vAlign w:val="center"/>
          </w:tcPr>
          <w:p w14:paraId="272B9C72"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1.64</w:t>
            </w:r>
          </w:p>
        </w:tc>
        <w:tc>
          <w:tcPr>
            <w:tcW w:w="1542" w:type="dxa"/>
            <w:vAlign w:val="center"/>
          </w:tcPr>
          <w:p w14:paraId="4F1D98C8"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483" w:type="dxa"/>
            <w:vAlign w:val="center"/>
          </w:tcPr>
          <w:p w14:paraId="3D7B028E" w14:textId="6452088D"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N/A</w:t>
            </w:r>
          </w:p>
        </w:tc>
        <w:tc>
          <w:tcPr>
            <w:tcW w:w="1483" w:type="dxa"/>
            <w:vAlign w:val="center"/>
          </w:tcPr>
          <w:p w14:paraId="331DC985" w14:textId="47660F8B"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N/A</w:t>
            </w:r>
          </w:p>
        </w:tc>
      </w:tr>
      <w:tr w:rsidR="00346F16" w:rsidRPr="003F511D" w14:paraId="0220324C" w14:textId="77777777" w:rsidTr="00346F16">
        <w:trPr>
          <w:jc w:val="center"/>
        </w:trPr>
        <w:tc>
          <w:tcPr>
            <w:tcW w:w="1683" w:type="dxa"/>
            <w:vAlign w:val="center"/>
          </w:tcPr>
          <w:p w14:paraId="66DB7296"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1278</w:t>
            </w:r>
          </w:p>
        </w:tc>
        <w:tc>
          <w:tcPr>
            <w:tcW w:w="1309" w:type="dxa"/>
            <w:vAlign w:val="center"/>
          </w:tcPr>
          <w:p w14:paraId="0BC7CC45"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-12.95</w:t>
            </w:r>
          </w:p>
        </w:tc>
        <w:tc>
          <w:tcPr>
            <w:tcW w:w="1516" w:type="dxa"/>
            <w:vAlign w:val="center"/>
          </w:tcPr>
          <w:p w14:paraId="0AF43C80"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1.64</w:t>
            </w:r>
          </w:p>
        </w:tc>
        <w:tc>
          <w:tcPr>
            <w:tcW w:w="1542" w:type="dxa"/>
            <w:vAlign w:val="center"/>
          </w:tcPr>
          <w:p w14:paraId="56C1AE46"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483" w:type="dxa"/>
            <w:vMerge w:val="restart"/>
            <w:vAlign w:val="center"/>
          </w:tcPr>
          <w:p w14:paraId="5F47A0F9" w14:textId="118A60E0"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0.527</w:t>
            </w:r>
          </w:p>
        </w:tc>
        <w:tc>
          <w:tcPr>
            <w:tcW w:w="1483" w:type="dxa"/>
            <w:vMerge w:val="restart"/>
            <w:vAlign w:val="center"/>
          </w:tcPr>
          <w:p w14:paraId="59F75FB9" w14:textId="23B236FC"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346F16" w:rsidRPr="003F511D" w14:paraId="5C5D5E6C" w14:textId="77777777" w:rsidTr="00346F16">
        <w:trPr>
          <w:jc w:val="center"/>
        </w:trPr>
        <w:tc>
          <w:tcPr>
            <w:tcW w:w="1683" w:type="dxa"/>
            <w:vAlign w:val="center"/>
          </w:tcPr>
          <w:p w14:paraId="28364B47"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1278</w:t>
            </w:r>
          </w:p>
        </w:tc>
        <w:tc>
          <w:tcPr>
            <w:tcW w:w="1309" w:type="dxa"/>
            <w:vAlign w:val="center"/>
          </w:tcPr>
          <w:p w14:paraId="45F2A914"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-10.9</w:t>
            </w:r>
          </w:p>
        </w:tc>
        <w:tc>
          <w:tcPr>
            <w:tcW w:w="1516" w:type="dxa"/>
            <w:vAlign w:val="center"/>
          </w:tcPr>
          <w:p w14:paraId="094D3D49"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2.3</w:t>
            </w:r>
          </w:p>
        </w:tc>
        <w:tc>
          <w:tcPr>
            <w:tcW w:w="1542" w:type="dxa"/>
            <w:vAlign w:val="center"/>
          </w:tcPr>
          <w:p w14:paraId="7334C4E6"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483" w:type="dxa"/>
            <w:vMerge/>
            <w:vAlign w:val="center"/>
          </w:tcPr>
          <w:p w14:paraId="4A72B247" w14:textId="77777777" w:rsidR="00346F16" w:rsidRPr="003F511D" w:rsidRDefault="00346F16" w:rsidP="00346F16">
            <w:pPr>
              <w:pStyle w:val="NormalWeb"/>
              <w:jc w:val="center"/>
              <w:rPr>
                <w:rFonts w:asciiTheme="minorHAnsi" w:hAnsiTheme="minorHAnsi" w:cstheme="minorHAnsi"/>
                <w:bCs/>
                <w:sz w:val="22"/>
                <w:szCs w:val="22"/>
              </w:rPr>
            </w:pPr>
          </w:p>
        </w:tc>
        <w:tc>
          <w:tcPr>
            <w:tcW w:w="1483" w:type="dxa"/>
            <w:vMerge/>
            <w:vAlign w:val="center"/>
          </w:tcPr>
          <w:p w14:paraId="2D2E180C" w14:textId="77777777" w:rsidR="00346F16" w:rsidRPr="003F511D" w:rsidRDefault="00346F16" w:rsidP="00346F16">
            <w:pPr>
              <w:pStyle w:val="NormalWeb"/>
              <w:jc w:val="center"/>
              <w:rPr>
                <w:rFonts w:asciiTheme="minorHAnsi" w:hAnsiTheme="minorHAnsi" w:cstheme="minorHAnsi"/>
                <w:bCs/>
                <w:sz w:val="22"/>
                <w:szCs w:val="22"/>
              </w:rPr>
            </w:pPr>
          </w:p>
        </w:tc>
      </w:tr>
      <w:tr w:rsidR="00346F16" w:rsidRPr="003F511D" w14:paraId="6359AB5B" w14:textId="77777777" w:rsidTr="00346F16">
        <w:trPr>
          <w:jc w:val="center"/>
        </w:trPr>
        <w:tc>
          <w:tcPr>
            <w:tcW w:w="1683" w:type="dxa"/>
            <w:vAlign w:val="center"/>
          </w:tcPr>
          <w:p w14:paraId="04FC3BD1"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1279</w:t>
            </w:r>
          </w:p>
        </w:tc>
        <w:tc>
          <w:tcPr>
            <w:tcW w:w="1309" w:type="dxa"/>
            <w:vAlign w:val="center"/>
          </w:tcPr>
          <w:p w14:paraId="5B8F6796"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-11.33</w:t>
            </w:r>
          </w:p>
        </w:tc>
        <w:tc>
          <w:tcPr>
            <w:tcW w:w="1516" w:type="dxa"/>
            <w:vAlign w:val="center"/>
          </w:tcPr>
          <w:p w14:paraId="2785DB35"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1.71</w:t>
            </w:r>
          </w:p>
        </w:tc>
        <w:tc>
          <w:tcPr>
            <w:tcW w:w="1542" w:type="dxa"/>
            <w:vAlign w:val="center"/>
          </w:tcPr>
          <w:p w14:paraId="55374171"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483" w:type="dxa"/>
            <w:vMerge w:val="restart"/>
            <w:vAlign w:val="center"/>
          </w:tcPr>
          <w:p w14:paraId="43D666F0" w14:textId="2BFE1F90"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0.023</w:t>
            </w:r>
          </w:p>
        </w:tc>
        <w:tc>
          <w:tcPr>
            <w:tcW w:w="1483" w:type="dxa"/>
            <w:vMerge w:val="restart"/>
            <w:vAlign w:val="center"/>
          </w:tcPr>
          <w:p w14:paraId="1337EBB1" w14:textId="7C8902CD"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346F16" w:rsidRPr="003F511D" w14:paraId="14A2D1E9" w14:textId="77777777" w:rsidTr="00346F16">
        <w:trPr>
          <w:jc w:val="center"/>
        </w:trPr>
        <w:tc>
          <w:tcPr>
            <w:tcW w:w="1683" w:type="dxa"/>
            <w:vAlign w:val="center"/>
          </w:tcPr>
          <w:p w14:paraId="020FBBE5"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1279</w:t>
            </w:r>
          </w:p>
        </w:tc>
        <w:tc>
          <w:tcPr>
            <w:tcW w:w="1309" w:type="dxa"/>
            <w:vAlign w:val="center"/>
          </w:tcPr>
          <w:p w14:paraId="30A80101"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-10.9</w:t>
            </w:r>
          </w:p>
        </w:tc>
        <w:tc>
          <w:tcPr>
            <w:tcW w:w="1516" w:type="dxa"/>
            <w:vAlign w:val="center"/>
          </w:tcPr>
          <w:p w14:paraId="383B61C7"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2.3</w:t>
            </w:r>
          </w:p>
        </w:tc>
        <w:tc>
          <w:tcPr>
            <w:tcW w:w="1542" w:type="dxa"/>
            <w:vAlign w:val="center"/>
          </w:tcPr>
          <w:p w14:paraId="5922D4AD"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483" w:type="dxa"/>
            <w:vMerge/>
            <w:vAlign w:val="center"/>
          </w:tcPr>
          <w:p w14:paraId="2845D255" w14:textId="77777777" w:rsidR="00346F16" w:rsidRPr="003F511D" w:rsidRDefault="00346F16" w:rsidP="00346F16">
            <w:pPr>
              <w:pStyle w:val="NormalWeb"/>
              <w:jc w:val="center"/>
              <w:rPr>
                <w:rFonts w:asciiTheme="minorHAnsi" w:hAnsiTheme="minorHAnsi" w:cstheme="minorHAnsi"/>
                <w:bCs/>
                <w:sz w:val="22"/>
                <w:szCs w:val="22"/>
              </w:rPr>
            </w:pPr>
          </w:p>
        </w:tc>
        <w:tc>
          <w:tcPr>
            <w:tcW w:w="1483" w:type="dxa"/>
            <w:vMerge/>
            <w:vAlign w:val="center"/>
          </w:tcPr>
          <w:p w14:paraId="19A2C66C" w14:textId="77777777" w:rsidR="00346F16" w:rsidRPr="003F511D" w:rsidRDefault="00346F16" w:rsidP="00346F16">
            <w:pPr>
              <w:pStyle w:val="NormalWeb"/>
              <w:jc w:val="center"/>
              <w:rPr>
                <w:rFonts w:asciiTheme="minorHAnsi" w:hAnsiTheme="minorHAnsi" w:cstheme="minorHAnsi"/>
                <w:bCs/>
                <w:sz w:val="22"/>
                <w:szCs w:val="22"/>
              </w:rPr>
            </w:pPr>
          </w:p>
        </w:tc>
      </w:tr>
      <w:tr w:rsidR="00346F16" w:rsidRPr="003F511D" w14:paraId="7BAE451A" w14:textId="77777777" w:rsidTr="00346F16">
        <w:trPr>
          <w:jc w:val="center"/>
        </w:trPr>
        <w:tc>
          <w:tcPr>
            <w:tcW w:w="1683" w:type="dxa"/>
            <w:vAlign w:val="center"/>
          </w:tcPr>
          <w:p w14:paraId="455BA5B8"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1280</w:t>
            </w:r>
          </w:p>
        </w:tc>
        <w:tc>
          <w:tcPr>
            <w:tcW w:w="1309" w:type="dxa"/>
            <w:vAlign w:val="center"/>
          </w:tcPr>
          <w:p w14:paraId="67F16805"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-9.60</w:t>
            </w:r>
          </w:p>
        </w:tc>
        <w:tc>
          <w:tcPr>
            <w:tcW w:w="1516" w:type="dxa"/>
            <w:vAlign w:val="center"/>
          </w:tcPr>
          <w:p w14:paraId="33308266"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1.59</w:t>
            </w:r>
          </w:p>
        </w:tc>
        <w:tc>
          <w:tcPr>
            <w:tcW w:w="1542" w:type="dxa"/>
            <w:vAlign w:val="center"/>
          </w:tcPr>
          <w:p w14:paraId="67076330"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483" w:type="dxa"/>
            <w:vMerge w:val="restart"/>
            <w:vAlign w:val="center"/>
          </w:tcPr>
          <w:p w14:paraId="21750401" w14:textId="15D78A2E"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1.652</w:t>
            </w:r>
          </w:p>
        </w:tc>
        <w:tc>
          <w:tcPr>
            <w:tcW w:w="1483" w:type="dxa"/>
            <w:vMerge w:val="restart"/>
            <w:vAlign w:val="center"/>
          </w:tcPr>
          <w:p w14:paraId="21274C7E" w14:textId="1F507772"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346F16" w:rsidRPr="003F511D" w14:paraId="1C0D3B43" w14:textId="77777777" w:rsidTr="00346F16">
        <w:trPr>
          <w:jc w:val="center"/>
        </w:trPr>
        <w:tc>
          <w:tcPr>
            <w:tcW w:w="1683" w:type="dxa"/>
            <w:vAlign w:val="center"/>
          </w:tcPr>
          <w:p w14:paraId="679DF3A6"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1280</w:t>
            </w:r>
          </w:p>
        </w:tc>
        <w:tc>
          <w:tcPr>
            <w:tcW w:w="1309" w:type="dxa"/>
            <w:vAlign w:val="center"/>
          </w:tcPr>
          <w:p w14:paraId="3199153A"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-5.9</w:t>
            </w:r>
          </w:p>
        </w:tc>
        <w:tc>
          <w:tcPr>
            <w:tcW w:w="1516" w:type="dxa"/>
            <w:vAlign w:val="center"/>
          </w:tcPr>
          <w:p w14:paraId="58D01774"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w:t>
            </w:r>
          </w:p>
        </w:tc>
        <w:tc>
          <w:tcPr>
            <w:tcW w:w="1542" w:type="dxa"/>
            <w:vAlign w:val="center"/>
          </w:tcPr>
          <w:p w14:paraId="42209E9F"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483" w:type="dxa"/>
            <w:vMerge/>
            <w:vAlign w:val="center"/>
          </w:tcPr>
          <w:p w14:paraId="78721FA9" w14:textId="77777777" w:rsidR="00346F16" w:rsidRPr="003F511D" w:rsidRDefault="00346F16" w:rsidP="00346F16">
            <w:pPr>
              <w:pStyle w:val="NormalWeb"/>
              <w:jc w:val="center"/>
              <w:rPr>
                <w:rFonts w:asciiTheme="minorHAnsi" w:hAnsiTheme="minorHAnsi" w:cstheme="minorHAnsi"/>
                <w:bCs/>
                <w:sz w:val="22"/>
                <w:szCs w:val="22"/>
              </w:rPr>
            </w:pPr>
          </w:p>
        </w:tc>
        <w:tc>
          <w:tcPr>
            <w:tcW w:w="1483" w:type="dxa"/>
            <w:vMerge/>
            <w:vAlign w:val="center"/>
          </w:tcPr>
          <w:p w14:paraId="4D3597CC" w14:textId="77777777" w:rsidR="00346F16" w:rsidRPr="003F511D" w:rsidRDefault="00346F16" w:rsidP="00346F16">
            <w:pPr>
              <w:pStyle w:val="NormalWeb"/>
              <w:jc w:val="center"/>
              <w:rPr>
                <w:rFonts w:asciiTheme="minorHAnsi" w:hAnsiTheme="minorHAnsi" w:cstheme="minorHAnsi"/>
                <w:bCs/>
                <w:sz w:val="22"/>
                <w:szCs w:val="22"/>
              </w:rPr>
            </w:pPr>
          </w:p>
        </w:tc>
      </w:tr>
      <w:tr w:rsidR="00346F16" w:rsidRPr="003F511D" w14:paraId="66E45C13" w14:textId="77777777" w:rsidTr="00346F16">
        <w:trPr>
          <w:jc w:val="center"/>
        </w:trPr>
        <w:tc>
          <w:tcPr>
            <w:tcW w:w="1683" w:type="dxa"/>
            <w:vAlign w:val="center"/>
          </w:tcPr>
          <w:p w14:paraId="42A73E20"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1281</w:t>
            </w:r>
          </w:p>
        </w:tc>
        <w:tc>
          <w:tcPr>
            <w:tcW w:w="1309" w:type="dxa"/>
            <w:vAlign w:val="center"/>
          </w:tcPr>
          <w:p w14:paraId="250721BA"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-11.35</w:t>
            </w:r>
          </w:p>
        </w:tc>
        <w:tc>
          <w:tcPr>
            <w:tcW w:w="1516" w:type="dxa"/>
            <w:vAlign w:val="center"/>
          </w:tcPr>
          <w:p w14:paraId="1DA596B8"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1.69</w:t>
            </w:r>
          </w:p>
        </w:tc>
        <w:tc>
          <w:tcPr>
            <w:tcW w:w="1542" w:type="dxa"/>
            <w:vAlign w:val="center"/>
          </w:tcPr>
          <w:p w14:paraId="7493C285"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483" w:type="dxa"/>
            <w:vMerge w:val="restart"/>
            <w:vAlign w:val="center"/>
          </w:tcPr>
          <w:p w14:paraId="639A5290" w14:textId="405D8AB2"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4.680</w:t>
            </w:r>
          </w:p>
        </w:tc>
        <w:tc>
          <w:tcPr>
            <w:tcW w:w="1483" w:type="dxa"/>
            <w:vMerge w:val="restart"/>
            <w:vAlign w:val="center"/>
          </w:tcPr>
          <w:p w14:paraId="325E4E08" w14:textId="3E9D8120"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Fail</w:t>
            </w:r>
          </w:p>
        </w:tc>
      </w:tr>
      <w:tr w:rsidR="00346F16" w:rsidRPr="003F511D" w14:paraId="7FBEEDB2" w14:textId="77777777" w:rsidTr="00346F16">
        <w:trPr>
          <w:jc w:val="center"/>
        </w:trPr>
        <w:tc>
          <w:tcPr>
            <w:tcW w:w="1683" w:type="dxa"/>
            <w:vAlign w:val="center"/>
          </w:tcPr>
          <w:p w14:paraId="61AD3691"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1281</w:t>
            </w:r>
          </w:p>
        </w:tc>
        <w:tc>
          <w:tcPr>
            <w:tcW w:w="1309" w:type="dxa"/>
            <w:vAlign w:val="center"/>
          </w:tcPr>
          <w:p w14:paraId="4D134792"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-5</w:t>
            </w:r>
          </w:p>
        </w:tc>
        <w:tc>
          <w:tcPr>
            <w:tcW w:w="1516" w:type="dxa"/>
            <w:vAlign w:val="center"/>
          </w:tcPr>
          <w:p w14:paraId="77AD7F48"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w:t>
            </w:r>
          </w:p>
        </w:tc>
        <w:tc>
          <w:tcPr>
            <w:tcW w:w="1542" w:type="dxa"/>
            <w:vAlign w:val="center"/>
          </w:tcPr>
          <w:p w14:paraId="55F8E5CA"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483" w:type="dxa"/>
            <w:vMerge/>
            <w:vAlign w:val="center"/>
          </w:tcPr>
          <w:p w14:paraId="4894614E" w14:textId="77777777" w:rsidR="00346F16" w:rsidRPr="003F511D" w:rsidRDefault="00346F16" w:rsidP="00346F16">
            <w:pPr>
              <w:pStyle w:val="NormalWeb"/>
              <w:jc w:val="center"/>
              <w:rPr>
                <w:rFonts w:asciiTheme="minorHAnsi" w:hAnsiTheme="minorHAnsi" w:cstheme="minorHAnsi"/>
                <w:bCs/>
                <w:sz w:val="22"/>
                <w:szCs w:val="22"/>
              </w:rPr>
            </w:pPr>
          </w:p>
        </w:tc>
        <w:tc>
          <w:tcPr>
            <w:tcW w:w="1483" w:type="dxa"/>
            <w:vMerge/>
            <w:vAlign w:val="center"/>
          </w:tcPr>
          <w:p w14:paraId="7F65CEE4" w14:textId="77777777" w:rsidR="00346F16" w:rsidRPr="003F511D" w:rsidRDefault="00346F16" w:rsidP="00346F16">
            <w:pPr>
              <w:pStyle w:val="NormalWeb"/>
              <w:jc w:val="center"/>
              <w:rPr>
                <w:rFonts w:asciiTheme="minorHAnsi" w:hAnsiTheme="minorHAnsi" w:cstheme="minorHAnsi"/>
                <w:bCs/>
                <w:sz w:val="22"/>
                <w:szCs w:val="22"/>
              </w:rPr>
            </w:pPr>
          </w:p>
        </w:tc>
      </w:tr>
      <w:tr w:rsidR="00346F16" w:rsidRPr="003F511D" w14:paraId="2FA137B4" w14:textId="77777777" w:rsidTr="00346F16">
        <w:trPr>
          <w:jc w:val="center"/>
        </w:trPr>
        <w:tc>
          <w:tcPr>
            <w:tcW w:w="1683" w:type="dxa"/>
            <w:vAlign w:val="center"/>
          </w:tcPr>
          <w:p w14:paraId="5AB1C305"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1282</w:t>
            </w:r>
          </w:p>
        </w:tc>
        <w:tc>
          <w:tcPr>
            <w:tcW w:w="1309" w:type="dxa"/>
            <w:vAlign w:val="center"/>
          </w:tcPr>
          <w:p w14:paraId="70936C4F"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-11.36</w:t>
            </w:r>
          </w:p>
        </w:tc>
        <w:tc>
          <w:tcPr>
            <w:tcW w:w="1516" w:type="dxa"/>
            <w:vAlign w:val="center"/>
          </w:tcPr>
          <w:p w14:paraId="62AEF634"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1.57</w:t>
            </w:r>
          </w:p>
        </w:tc>
        <w:tc>
          <w:tcPr>
            <w:tcW w:w="1542" w:type="dxa"/>
            <w:vAlign w:val="center"/>
          </w:tcPr>
          <w:p w14:paraId="6D280B1F"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483" w:type="dxa"/>
            <w:vMerge w:val="restart"/>
            <w:vAlign w:val="center"/>
          </w:tcPr>
          <w:p w14:paraId="343F831F" w14:textId="1749FFD0"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3.113</w:t>
            </w:r>
          </w:p>
        </w:tc>
        <w:tc>
          <w:tcPr>
            <w:tcW w:w="1483" w:type="dxa"/>
            <w:vMerge w:val="restart"/>
            <w:vAlign w:val="center"/>
          </w:tcPr>
          <w:p w14:paraId="0396149B" w14:textId="49F56873"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346F16" w:rsidRPr="003F511D" w14:paraId="3FDCA6D2" w14:textId="77777777" w:rsidTr="00346F16">
        <w:trPr>
          <w:jc w:val="center"/>
        </w:trPr>
        <w:tc>
          <w:tcPr>
            <w:tcW w:w="1683" w:type="dxa"/>
            <w:vAlign w:val="center"/>
          </w:tcPr>
          <w:p w14:paraId="56E2D379"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1282</w:t>
            </w:r>
          </w:p>
        </w:tc>
        <w:tc>
          <w:tcPr>
            <w:tcW w:w="1309" w:type="dxa"/>
            <w:vAlign w:val="center"/>
          </w:tcPr>
          <w:p w14:paraId="56D7B60D"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-6.3</w:t>
            </w:r>
          </w:p>
        </w:tc>
        <w:tc>
          <w:tcPr>
            <w:tcW w:w="1516" w:type="dxa"/>
            <w:vAlign w:val="center"/>
          </w:tcPr>
          <w:p w14:paraId="2C6FFC8C"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w:t>
            </w:r>
          </w:p>
        </w:tc>
        <w:tc>
          <w:tcPr>
            <w:tcW w:w="1542" w:type="dxa"/>
            <w:vAlign w:val="center"/>
          </w:tcPr>
          <w:p w14:paraId="5F3848F2"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483" w:type="dxa"/>
            <w:vMerge/>
            <w:vAlign w:val="center"/>
          </w:tcPr>
          <w:p w14:paraId="0D534DB3" w14:textId="77777777" w:rsidR="00346F16" w:rsidRPr="003F511D" w:rsidRDefault="00346F16" w:rsidP="00346F16">
            <w:pPr>
              <w:pStyle w:val="NormalWeb"/>
              <w:jc w:val="center"/>
              <w:rPr>
                <w:rFonts w:asciiTheme="minorHAnsi" w:hAnsiTheme="minorHAnsi" w:cstheme="minorHAnsi"/>
                <w:bCs/>
                <w:sz w:val="22"/>
                <w:szCs w:val="22"/>
              </w:rPr>
            </w:pPr>
          </w:p>
        </w:tc>
        <w:tc>
          <w:tcPr>
            <w:tcW w:w="1483" w:type="dxa"/>
            <w:vMerge/>
            <w:vAlign w:val="center"/>
          </w:tcPr>
          <w:p w14:paraId="4FD88113" w14:textId="77777777" w:rsidR="00346F16" w:rsidRPr="003F511D" w:rsidRDefault="00346F16" w:rsidP="00346F16">
            <w:pPr>
              <w:pStyle w:val="NormalWeb"/>
              <w:jc w:val="center"/>
              <w:rPr>
                <w:rFonts w:asciiTheme="minorHAnsi" w:hAnsiTheme="minorHAnsi" w:cstheme="minorHAnsi"/>
                <w:bCs/>
                <w:sz w:val="22"/>
                <w:szCs w:val="22"/>
              </w:rPr>
            </w:pPr>
          </w:p>
        </w:tc>
      </w:tr>
      <w:tr w:rsidR="00346F16" w:rsidRPr="003F511D" w14:paraId="433FA64F" w14:textId="77777777" w:rsidTr="00346F16">
        <w:trPr>
          <w:jc w:val="center"/>
        </w:trPr>
        <w:tc>
          <w:tcPr>
            <w:tcW w:w="1683" w:type="dxa"/>
            <w:vAlign w:val="center"/>
          </w:tcPr>
          <w:p w14:paraId="0EF895DE"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1283</w:t>
            </w:r>
          </w:p>
        </w:tc>
        <w:tc>
          <w:tcPr>
            <w:tcW w:w="1309" w:type="dxa"/>
            <w:vAlign w:val="center"/>
          </w:tcPr>
          <w:p w14:paraId="719A1560"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-9.44</w:t>
            </w:r>
          </w:p>
        </w:tc>
        <w:tc>
          <w:tcPr>
            <w:tcW w:w="1516" w:type="dxa"/>
            <w:vAlign w:val="center"/>
          </w:tcPr>
          <w:p w14:paraId="3F32F8C3" w14:textId="088DB4AE"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w:t>
            </w:r>
            <w:r w:rsidR="003429B0">
              <w:rPr>
                <w:rFonts w:asciiTheme="minorHAnsi" w:hAnsiTheme="minorHAnsi" w:cstheme="minorHAnsi"/>
                <w:bCs/>
                <w:sz w:val="22"/>
                <w:szCs w:val="22"/>
              </w:rPr>
              <w:t>71</w:t>
            </w:r>
          </w:p>
        </w:tc>
        <w:tc>
          <w:tcPr>
            <w:tcW w:w="1542" w:type="dxa"/>
            <w:vAlign w:val="center"/>
          </w:tcPr>
          <w:p w14:paraId="217E3878"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w:t>
            </w:r>
          </w:p>
        </w:tc>
        <w:tc>
          <w:tcPr>
            <w:tcW w:w="1483" w:type="dxa"/>
            <w:vMerge w:val="restart"/>
            <w:vAlign w:val="center"/>
          </w:tcPr>
          <w:p w14:paraId="02490F17" w14:textId="6C975F51" w:rsidR="00346F16" w:rsidRPr="003F511D" w:rsidRDefault="003429B0" w:rsidP="00346F16">
            <w:pPr>
              <w:pStyle w:val="NormalWeb"/>
              <w:jc w:val="center"/>
              <w:rPr>
                <w:rFonts w:asciiTheme="minorHAnsi" w:hAnsiTheme="minorHAnsi" w:cstheme="minorHAnsi"/>
                <w:bCs/>
                <w:sz w:val="22"/>
                <w:szCs w:val="22"/>
              </w:rPr>
            </w:pPr>
            <w:r>
              <w:rPr>
                <w:rFonts w:asciiTheme="minorHAnsi" w:hAnsiTheme="minorHAnsi" w:cstheme="minorHAnsi"/>
                <w:bCs/>
                <w:sz w:val="22"/>
                <w:szCs w:val="22"/>
              </w:rPr>
              <w:t>3.794</w:t>
            </w:r>
          </w:p>
        </w:tc>
        <w:tc>
          <w:tcPr>
            <w:tcW w:w="1483" w:type="dxa"/>
            <w:vMerge w:val="restart"/>
            <w:vAlign w:val="center"/>
          </w:tcPr>
          <w:p w14:paraId="47D4A15F" w14:textId="13178AAF" w:rsidR="00346F16" w:rsidRPr="003F511D" w:rsidRDefault="003429B0" w:rsidP="00346F16">
            <w:pPr>
              <w:pStyle w:val="NormalWeb"/>
              <w:jc w:val="center"/>
              <w:rPr>
                <w:rFonts w:asciiTheme="minorHAnsi" w:hAnsiTheme="minorHAnsi" w:cstheme="minorHAnsi"/>
                <w:bCs/>
                <w:sz w:val="22"/>
                <w:szCs w:val="22"/>
              </w:rPr>
            </w:pPr>
            <w:r>
              <w:rPr>
                <w:rFonts w:asciiTheme="minorHAnsi" w:hAnsiTheme="minorHAnsi" w:cstheme="minorHAnsi"/>
                <w:bCs/>
                <w:sz w:val="22"/>
                <w:szCs w:val="22"/>
              </w:rPr>
              <w:t>Pass</w:t>
            </w:r>
          </w:p>
        </w:tc>
      </w:tr>
      <w:tr w:rsidR="00346F16" w:rsidRPr="003F511D" w14:paraId="62A1361F" w14:textId="77777777" w:rsidTr="00346F16">
        <w:trPr>
          <w:jc w:val="center"/>
        </w:trPr>
        <w:tc>
          <w:tcPr>
            <w:tcW w:w="1683" w:type="dxa"/>
            <w:vAlign w:val="center"/>
          </w:tcPr>
          <w:p w14:paraId="7BDC0BA6"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1283</w:t>
            </w:r>
          </w:p>
        </w:tc>
        <w:tc>
          <w:tcPr>
            <w:tcW w:w="1309" w:type="dxa"/>
            <w:vAlign w:val="center"/>
          </w:tcPr>
          <w:p w14:paraId="43B7CF2C"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-3.7</w:t>
            </w:r>
          </w:p>
        </w:tc>
        <w:tc>
          <w:tcPr>
            <w:tcW w:w="1516" w:type="dxa"/>
            <w:vAlign w:val="center"/>
          </w:tcPr>
          <w:p w14:paraId="7D93AC2A"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2.4</w:t>
            </w:r>
          </w:p>
        </w:tc>
        <w:tc>
          <w:tcPr>
            <w:tcW w:w="1542" w:type="dxa"/>
            <w:vAlign w:val="center"/>
          </w:tcPr>
          <w:p w14:paraId="2540B7A7" w14:textId="77777777" w:rsidR="00346F16" w:rsidRPr="003F511D" w:rsidRDefault="00346F16" w:rsidP="00346F16">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483" w:type="dxa"/>
            <w:vMerge/>
            <w:vAlign w:val="center"/>
          </w:tcPr>
          <w:p w14:paraId="3ED246D4" w14:textId="77777777" w:rsidR="00346F16" w:rsidRPr="003F511D" w:rsidRDefault="00346F16" w:rsidP="00346F16">
            <w:pPr>
              <w:pStyle w:val="NormalWeb"/>
              <w:jc w:val="center"/>
              <w:rPr>
                <w:rFonts w:asciiTheme="minorHAnsi" w:hAnsiTheme="minorHAnsi" w:cstheme="minorHAnsi"/>
                <w:bCs/>
                <w:sz w:val="22"/>
                <w:szCs w:val="22"/>
              </w:rPr>
            </w:pPr>
          </w:p>
        </w:tc>
        <w:tc>
          <w:tcPr>
            <w:tcW w:w="1483" w:type="dxa"/>
            <w:vMerge/>
            <w:vAlign w:val="center"/>
          </w:tcPr>
          <w:p w14:paraId="23F3FF98" w14:textId="77777777" w:rsidR="00346F16" w:rsidRPr="003F511D" w:rsidRDefault="00346F16" w:rsidP="00346F16">
            <w:pPr>
              <w:pStyle w:val="NormalWeb"/>
              <w:jc w:val="center"/>
              <w:rPr>
                <w:rFonts w:asciiTheme="minorHAnsi" w:hAnsiTheme="minorHAnsi" w:cstheme="minorHAnsi"/>
                <w:bCs/>
                <w:sz w:val="22"/>
                <w:szCs w:val="22"/>
              </w:rPr>
            </w:pPr>
          </w:p>
        </w:tc>
      </w:tr>
    </w:tbl>
    <w:p w14:paraId="6FDCB6CF" w14:textId="1047FD36" w:rsidR="007F0CFC" w:rsidRPr="003F511D" w:rsidRDefault="007F0CFC" w:rsidP="007F0CFC">
      <w:pPr>
        <w:rPr>
          <w:lang w:val="en-US" w:eastAsia="en-US"/>
        </w:rPr>
      </w:pPr>
      <w:r w:rsidRPr="003F511D">
        <w:rPr>
          <w:sz w:val="18"/>
          <w:szCs w:val="18"/>
          <w:lang w:val="en-US" w:eastAsia="en-US"/>
        </w:rPr>
        <w:t xml:space="preserve">Table 5-SI: Comparison and </w:t>
      </w:r>
      <w:r w:rsidRPr="003F511D">
        <w:rPr>
          <w:rFonts w:asciiTheme="minorHAnsi" w:hAnsiTheme="minorHAnsi" w:cstheme="minorHAnsi"/>
          <w:sz w:val="18"/>
          <w:szCs w:val="18"/>
          <w:lang w:val="en-US" w:eastAsia="en-US"/>
        </w:rPr>
        <w:t xml:space="preserve">respective </w:t>
      </w:r>
      <w:r w:rsidRPr="003F511D">
        <w:rPr>
          <w:rFonts w:asciiTheme="minorHAnsi" w:hAnsiTheme="minorHAnsi" w:cstheme="minorHAnsi"/>
          <w:sz w:val="18"/>
          <w:szCs w:val="18"/>
          <w:lang w:val="en-US"/>
        </w:rPr>
        <w:sym w:font="Symbol" w:char="F063"/>
      </w:r>
      <w:r w:rsidRPr="003F511D">
        <w:rPr>
          <w:rFonts w:asciiTheme="minorHAnsi" w:hAnsiTheme="minorHAnsi" w:cstheme="minorHAnsi"/>
          <w:sz w:val="18"/>
          <w:szCs w:val="18"/>
          <w:vertAlign w:val="superscript"/>
          <w:lang w:val="en-US"/>
        </w:rPr>
        <w:t>2</w:t>
      </w:r>
      <w:r w:rsidRPr="003F511D">
        <w:rPr>
          <w:rFonts w:asciiTheme="minorHAnsi" w:hAnsiTheme="minorHAnsi" w:cstheme="minorHAnsi"/>
          <w:sz w:val="18"/>
          <w:szCs w:val="18"/>
          <w:lang w:val="en-US"/>
        </w:rPr>
        <w:t xml:space="preserve">-test between same year samples from averaged dataset of this study and averaged dataset from Brehm et al. (2021). The </w:t>
      </w:r>
      <w:r w:rsidRPr="003F511D">
        <w:rPr>
          <w:rFonts w:asciiTheme="minorHAnsi" w:hAnsiTheme="minorHAnsi" w:cstheme="minorHAnsi"/>
          <w:sz w:val="18"/>
          <w:szCs w:val="18"/>
          <w:lang w:val="en-US"/>
        </w:rPr>
        <w:sym w:font="Symbol" w:char="F063"/>
      </w:r>
      <w:r w:rsidRPr="003F511D">
        <w:rPr>
          <w:rFonts w:asciiTheme="minorHAnsi" w:hAnsiTheme="minorHAnsi" w:cstheme="minorHAnsi"/>
          <w:sz w:val="18"/>
          <w:szCs w:val="18"/>
          <w:vertAlign w:val="superscript"/>
          <w:lang w:val="en-US"/>
        </w:rPr>
        <w:t>2</w:t>
      </w:r>
      <w:r w:rsidRPr="003F511D">
        <w:rPr>
          <w:rFonts w:asciiTheme="minorHAnsi" w:hAnsiTheme="minorHAnsi" w:cstheme="minorHAnsi"/>
          <w:sz w:val="18"/>
          <w:szCs w:val="18"/>
          <w:lang w:val="en-US"/>
        </w:rPr>
        <w:t>-test is performed at the 95% probability, where the test is passed when the t-statistic of the set of same year samples is less than the threshold value (3.841 for 2 samples).</w:t>
      </w:r>
    </w:p>
    <w:p w14:paraId="1F54ED3C" w14:textId="77777777" w:rsidR="00515A66" w:rsidRPr="003F511D" w:rsidRDefault="00515A66" w:rsidP="00515A66">
      <w:pPr>
        <w:rPr>
          <w:lang w:val="en-US" w:eastAsia="en-US"/>
        </w:rPr>
      </w:pPr>
    </w:p>
    <w:p w14:paraId="711DE907" w14:textId="77777777" w:rsidR="00977BAD" w:rsidRPr="003F511D" w:rsidRDefault="00714080" w:rsidP="00714080">
      <w:pPr>
        <w:pStyle w:val="Heading3"/>
        <w:jc w:val="center"/>
      </w:pPr>
      <w:r w:rsidRPr="003F511D">
        <w:lastRenderedPageBreak/>
        <w:t xml:space="preserve">Supplementary Information </w:t>
      </w:r>
      <w:r w:rsidR="00515A66" w:rsidRPr="003F511D">
        <w:t>3</w:t>
      </w:r>
      <w:r w:rsidRPr="003F511D">
        <w:t xml:space="preserve"> (SI</w:t>
      </w:r>
      <w:r w:rsidR="00515A66" w:rsidRPr="003F511D">
        <w:t>3</w:t>
      </w:r>
      <w:r w:rsidRPr="003F511D">
        <w:t xml:space="preserve">): </w:t>
      </w:r>
    </w:p>
    <w:p w14:paraId="1BCD1D77" w14:textId="61A00EF7" w:rsidR="00714080" w:rsidRPr="003F511D" w:rsidRDefault="00461022" w:rsidP="00714080">
      <w:pPr>
        <w:pStyle w:val="Heading3"/>
        <w:jc w:val="center"/>
      </w:pPr>
      <w:r w:rsidRPr="003F511D">
        <w:t>Time s</w:t>
      </w:r>
      <w:r w:rsidR="00714080" w:rsidRPr="003F511D">
        <w:t>hift</w:t>
      </w:r>
      <w:r w:rsidR="00CC7BAF" w:rsidRPr="003F511D">
        <w:t xml:space="preserve"> 1052-1054</w:t>
      </w:r>
      <w:r w:rsidRPr="003F511D">
        <w:t xml:space="preserve"> CE</w:t>
      </w:r>
    </w:p>
    <w:p w14:paraId="62FDFD43" w14:textId="77777777" w:rsidR="00714080" w:rsidRPr="003F511D" w:rsidRDefault="00714080" w:rsidP="00714080">
      <w:pPr>
        <w:pStyle w:val="Heading3"/>
        <w:jc w:val="center"/>
      </w:pPr>
    </w:p>
    <w:p w14:paraId="5C23EFE9" w14:textId="2F57FCFA" w:rsidR="00CC7BAF" w:rsidRPr="003F511D" w:rsidRDefault="00714080" w:rsidP="00714080">
      <w:pPr>
        <w:rPr>
          <w:lang w:val="en-US"/>
        </w:rPr>
      </w:pPr>
      <w:r w:rsidRPr="003F511D">
        <w:rPr>
          <w:lang w:val="en-US"/>
        </w:rPr>
        <w:t xml:space="preserve">Hereby we explore the possibility </w:t>
      </w:r>
      <w:r w:rsidR="001C48AD" w:rsidRPr="003F511D">
        <w:rPr>
          <w:lang w:val="en-US"/>
        </w:rPr>
        <w:t xml:space="preserve">that </w:t>
      </w:r>
      <w:r w:rsidR="00461022" w:rsidRPr="003F511D">
        <w:rPr>
          <w:lang w:val="en-US"/>
        </w:rPr>
        <w:t>a mistake is present in one of the dendrochronologies. To account for that, we perform a time-shift of 2 years to one of the datasets, namely the one of this study, in such a way that the biggest rise in</w:t>
      </w:r>
      <w:r w:rsidR="00461022" w:rsidRPr="003F511D">
        <w:rPr>
          <w:bCs/>
          <w:lang w:val="en-US"/>
        </w:rPr>
        <w:t xml:space="preserve"> </w:t>
      </w:r>
      <w:r w:rsidR="00461022" w:rsidRPr="003F511D">
        <w:rPr>
          <w:rFonts w:asciiTheme="minorHAnsi" w:hAnsiTheme="minorHAnsi" w:cstheme="minorHAnsi"/>
          <w:bCs/>
          <w:color w:val="202122"/>
          <w:shd w:val="clear" w:color="auto" w:fill="FFFFFF"/>
          <w:lang w:val="en-US"/>
        </w:rPr>
        <w:t>Δ</w:t>
      </w:r>
      <w:r w:rsidR="00461022" w:rsidRPr="003F511D">
        <w:rPr>
          <w:rFonts w:asciiTheme="minorHAnsi" w:hAnsiTheme="minorHAnsi" w:cstheme="minorHAnsi"/>
          <w:bCs/>
          <w:vertAlign w:val="superscript"/>
          <w:lang w:val="en-US"/>
        </w:rPr>
        <w:t>14</w:t>
      </w:r>
      <w:r w:rsidR="00461022" w:rsidRPr="003F511D">
        <w:rPr>
          <w:rFonts w:asciiTheme="minorHAnsi" w:hAnsiTheme="minorHAnsi" w:cstheme="minorHAnsi"/>
          <w:bCs/>
          <w:lang w:val="en-US"/>
        </w:rPr>
        <w:t xml:space="preserve">C happens in the same year for both datasets. However, performing this change does not change the outcome of the comparison, as </w:t>
      </w:r>
      <w:r w:rsidR="00461022" w:rsidRPr="003F511D">
        <w:rPr>
          <w:rFonts w:asciiTheme="minorHAnsi" w:hAnsiTheme="minorHAnsi" w:cstheme="minorHAnsi"/>
          <w:bCs/>
          <w:color w:val="202122"/>
          <w:lang w:val="en-US"/>
        </w:rPr>
        <w:t>all the same year data points</w:t>
      </w:r>
      <w:r w:rsidR="00461022" w:rsidRPr="003F511D">
        <w:rPr>
          <w:rFonts w:asciiTheme="minorHAnsi" w:hAnsiTheme="minorHAnsi" w:cstheme="minorHAnsi"/>
          <w:bCs/>
          <w:lang w:val="en-US"/>
        </w:rPr>
        <w:t xml:space="preserve"> pass the </w:t>
      </w:r>
      <w:r w:rsidR="00461022" w:rsidRPr="003F511D">
        <w:rPr>
          <w:rFonts w:asciiTheme="minorHAnsi" w:hAnsiTheme="minorHAnsi" w:cstheme="minorHAnsi"/>
          <w:bCs/>
          <w:lang w:val="en-US"/>
        </w:rPr>
        <w:sym w:font="Symbol" w:char="F063"/>
      </w:r>
      <w:r w:rsidR="00461022" w:rsidRPr="003F511D">
        <w:rPr>
          <w:rFonts w:asciiTheme="minorHAnsi" w:hAnsiTheme="minorHAnsi" w:cstheme="minorHAnsi"/>
          <w:bCs/>
          <w:vertAlign w:val="superscript"/>
          <w:lang w:val="en-US"/>
        </w:rPr>
        <w:t>2</w:t>
      </w:r>
      <w:r w:rsidR="00461022" w:rsidRPr="003F511D">
        <w:rPr>
          <w:rFonts w:asciiTheme="minorHAnsi" w:hAnsiTheme="minorHAnsi" w:cstheme="minorHAnsi"/>
          <w:bCs/>
          <w:lang w:val="en-US"/>
        </w:rPr>
        <w:t xml:space="preserve">-test and </w:t>
      </w:r>
      <w:r w:rsidR="00461022" w:rsidRPr="003F511D">
        <w:rPr>
          <w:rFonts w:asciiTheme="minorHAnsi" w:hAnsiTheme="minorHAnsi" w:cstheme="minorHAnsi"/>
          <w:bCs/>
          <w:color w:val="202122"/>
          <w:lang w:val="en-US"/>
        </w:rPr>
        <w:t>are in agreement between each other at 2</w:t>
      </w:r>
      <w:r w:rsidR="00461022" w:rsidRPr="003F511D">
        <w:rPr>
          <w:rFonts w:asciiTheme="minorHAnsi" w:hAnsiTheme="minorHAnsi" w:cstheme="minorHAnsi"/>
          <w:lang w:val="en-US"/>
        </w:rPr>
        <w:sym w:font="Symbol" w:char="F073"/>
      </w:r>
      <w:r w:rsidR="00461022" w:rsidRPr="003F511D">
        <w:rPr>
          <w:rFonts w:asciiTheme="minorHAnsi" w:hAnsiTheme="minorHAnsi" w:cstheme="minorHAnsi"/>
          <w:bCs/>
          <w:color w:val="202122"/>
          <w:lang w:val="en-US"/>
        </w:rPr>
        <w:t xml:space="preserve"> probability.</w:t>
      </w:r>
    </w:p>
    <w:tbl>
      <w:tblPr>
        <w:tblStyle w:val="TableGrid"/>
        <w:tblW w:w="0" w:type="auto"/>
        <w:jc w:val="center"/>
        <w:tblLook w:val="04A0" w:firstRow="1" w:lastRow="0" w:firstColumn="1" w:lastColumn="0" w:noHBand="0" w:noVBand="1"/>
      </w:tblPr>
      <w:tblGrid>
        <w:gridCol w:w="1838"/>
        <w:gridCol w:w="1161"/>
        <w:gridCol w:w="1249"/>
        <w:gridCol w:w="2551"/>
        <w:gridCol w:w="1134"/>
        <w:gridCol w:w="1083"/>
      </w:tblGrid>
      <w:tr w:rsidR="00CC7BAF" w:rsidRPr="003F511D" w14:paraId="60E24A79" w14:textId="55A09751" w:rsidTr="001B7C2F">
        <w:trPr>
          <w:trHeight w:val="300"/>
          <w:jc w:val="center"/>
        </w:trPr>
        <w:tc>
          <w:tcPr>
            <w:tcW w:w="1838" w:type="dxa"/>
            <w:vAlign w:val="center"/>
          </w:tcPr>
          <w:p w14:paraId="598F498D" w14:textId="77777777" w:rsidR="00CC7BAF" w:rsidRPr="003F511D" w:rsidRDefault="00CC7BAF" w:rsidP="001B7C2F">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Calendar Year (CE)</w:t>
            </w:r>
          </w:p>
        </w:tc>
        <w:tc>
          <w:tcPr>
            <w:tcW w:w="1161" w:type="dxa"/>
            <w:vAlign w:val="center"/>
          </w:tcPr>
          <w:p w14:paraId="6905799E" w14:textId="77777777" w:rsidR="00CC7BAF" w:rsidRPr="003F511D" w:rsidRDefault="00CC7BAF" w:rsidP="001B7C2F">
            <w:pPr>
              <w:pStyle w:val="NormalWeb"/>
              <w:jc w:val="center"/>
              <w:rPr>
                <w:rFonts w:asciiTheme="minorHAnsi" w:hAnsiTheme="minorHAnsi" w:cstheme="minorHAnsi"/>
                <w:b/>
                <w:color w:val="202122"/>
                <w:sz w:val="22"/>
                <w:szCs w:val="22"/>
                <w:shd w:val="clear" w:color="auto" w:fill="FFFFFF"/>
              </w:rPr>
            </w:pPr>
            <w:r w:rsidRPr="003F511D">
              <w:rPr>
                <w:rFonts w:asciiTheme="minorHAnsi" w:hAnsiTheme="minorHAnsi" w:cstheme="minorHAnsi"/>
                <w:b/>
                <w:color w:val="202122"/>
                <w:sz w:val="22"/>
                <w:szCs w:val="22"/>
                <w:shd w:val="clear" w:color="auto" w:fill="FFFFFF"/>
              </w:rPr>
              <w:t>Δ</w:t>
            </w:r>
            <w:r w:rsidRPr="003F511D">
              <w:rPr>
                <w:rFonts w:asciiTheme="minorHAnsi" w:hAnsiTheme="minorHAnsi" w:cstheme="minorHAnsi"/>
                <w:b/>
                <w:sz w:val="22"/>
                <w:szCs w:val="22"/>
                <w:vertAlign w:val="superscript"/>
              </w:rPr>
              <w:t>14</w:t>
            </w:r>
            <w:r w:rsidRPr="003F511D">
              <w:rPr>
                <w:rFonts w:asciiTheme="minorHAnsi" w:hAnsiTheme="minorHAnsi" w:cstheme="minorHAnsi"/>
                <w:b/>
                <w:sz w:val="22"/>
                <w:szCs w:val="22"/>
              </w:rPr>
              <w:t>C (</w:t>
            </w:r>
            <w:r w:rsidRPr="003F511D">
              <w:rPr>
                <w:rFonts w:asciiTheme="minorHAnsi" w:hAnsiTheme="minorHAnsi" w:cstheme="minorHAnsi"/>
                <w:b/>
                <w:color w:val="202122"/>
                <w:sz w:val="22"/>
                <w:szCs w:val="22"/>
                <w:shd w:val="clear" w:color="auto" w:fill="F8F9FA"/>
              </w:rPr>
              <w:t>‰</w:t>
            </w:r>
            <w:r w:rsidRPr="003F511D">
              <w:rPr>
                <w:rFonts w:asciiTheme="minorHAnsi" w:hAnsiTheme="minorHAnsi" w:cstheme="minorHAnsi"/>
                <w:b/>
                <w:sz w:val="22"/>
                <w:szCs w:val="22"/>
              </w:rPr>
              <w:t>)</w:t>
            </w:r>
          </w:p>
        </w:tc>
        <w:tc>
          <w:tcPr>
            <w:tcW w:w="1249" w:type="dxa"/>
            <w:vAlign w:val="center"/>
          </w:tcPr>
          <w:p w14:paraId="1217829C" w14:textId="77777777" w:rsidR="00CC7BAF" w:rsidRPr="003F511D" w:rsidRDefault="00CC7BAF" w:rsidP="001B7C2F">
            <w:pPr>
              <w:pStyle w:val="NormalWeb"/>
              <w:jc w:val="center"/>
              <w:rPr>
                <w:rFonts w:asciiTheme="minorHAnsi" w:hAnsiTheme="minorHAnsi" w:cstheme="minorHAnsi"/>
                <w:b/>
                <w:sz w:val="22"/>
                <w:szCs w:val="22"/>
              </w:rPr>
            </w:pPr>
            <w:r w:rsidRPr="003F511D">
              <w:rPr>
                <w:rStyle w:val="Strong"/>
                <w:rFonts w:asciiTheme="minorHAnsi" w:hAnsiTheme="minorHAnsi" w:cstheme="minorHAnsi"/>
                <w:color w:val="202122"/>
                <w:sz w:val="22"/>
                <w:szCs w:val="22"/>
                <w:shd w:val="clear" w:color="auto" w:fill="FFFFFF"/>
              </w:rPr>
              <w:t>± σ</w:t>
            </w:r>
            <w:r w:rsidRPr="003F511D">
              <w:rPr>
                <w:rFonts w:asciiTheme="minorHAnsi" w:hAnsiTheme="minorHAnsi" w:cstheme="minorHAnsi"/>
                <w:b/>
                <w:sz w:val="22"/>
                <w:szCs w:val="22"/>
              </w:rPr>
              <w:t xml:space="preserve"> (</w:t>
            </w:r>
            <w:r w:rsidRPr="003F511D">
              <w:rPr>
                <w:rFonts w:asciiTheme="minorHAnsi" w:hAnsiTheme="minorHAnsi" w:cstheme="minorHAnsi"/>
                <w:b/>
                <w:color w:val="202122"/>
                <w:sz w:val="22"/>
                <w:szCs w:val="22"/>
                <w:shd w:val="clear" w:color="auto" w:fill="F8F9FA"/>
              </w:rPr>
              <w:t>‰</w:t>
            </w:r>
            <w:r w:rsidRPr="003F511D">
              <w:rPr>
                <w:rFonts w:asciiTheme="minorHAnsi" w:hAnsiTheme="minorHAnsi" w:cstheme="minorHAnsi"/>
                <w:b/>
                <w:sz w:val="22"/>
                <w:szCs w:val="22"/>
              </w:rPr>
              <w:t>)</w:t>
            </w:r>
          </w:p>
        </w:tc>
        <w:tc>
          <w:tcPr>
            <w:tcW w:w="2551" w:type="dxa"/>
            <w:vAlign w:val="center"/>
          </w:tcPr>
          <w:p w14:paraId="2AFA56D7" w14:textId="77777777" w:rsidR="00CC7BAF" w:rsidRPr="003F511D" w:rsidRDefault="00CC7BAF" w:rsidP="001B7C2F">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Study</w:t>
            </w:r>
          </w:p>
        </w:tc>
        <w:tc>
          <w:tcPr>
            <w:tcW w:w="1134" w:type="dxa"/>
            <w:vAlign w:val="center"/>
          </w:tcPr>
          <w:p w14:paraId="6C4C85B0" w14:textId="59D25606" w:rsidR="00CC7BAF" w:rsidRPr="003F511D" w:rsidRDefault="00CC7BAF" w:rsidP="001B7C2F">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t>T-statistic</w:t>
            </w:r>
          </w:p>
        </w:tc>
        <w:tc>
          <w:tcPr>
            <w:tcW w:w="1083" w:type="dxa"/>
            <w:vAlign w:val="center"/>
          </w:tcPr>
          <w:p w14:paraId="0CD9D9B1" w14:textId="753B08CE" w:rsidR="00CC7BAF" w:rsidRPr="003F511D" w:rsidRDefault="00CC7BAF" w:rsidP="001B7C2F">
            <w:pPr>
              <w:pStyle w:val="NormalWeb"/>
              <w:jc w:val="center"/>
              <w:rPr>
                <w:rFonts w:asciiTheme="minorHAnsi" w:hAnsiTheme="minorHAnsi" w:cstheme="minorHAnsi"/>
                <w:b/>
                <w:sz w:val="22"/>
                <w:szCs w:val="22"/>
              </w:rPr>
            </w:pPr>
            <w:r w:rsidRPr="003F511D">
              <w:rPr>
                <w:rFonts w:asciiTheme="minorHAnsi" w:hAnsiTheme="minorHAnsi" w:cstheme="minorHAnsi"/>
                <w:b/>
                <w:sz w:val="22"/>
                <w:szCs w:val="22"/>
              </w:rPr>
              <w:sym w:font="Symbol" w:char="F063"/>
            </w:r>
            <w:r w:rsidRPr="003F511D">
              <w:rPr>
                <w:rFonts w:asciiTheme="minorHAnsi" w:hAnsiTheme="minorHAnsi" w:cstheme="minorHAnsi"/>
                <w:b/>
                <w:sz w:val="22"/>
                <w:szCs w:val="22"/>
                <w:vertAlign w:val="superscript"/>
              </w:rPr>
              <w:t>2</w:t>
            </w:r>
            <w:r w:rsidRPr="003F511D">
              <w:rPr>
                <w:rFonts w:asciiTheme="minorHAnsi" w:hAnsiTheme="minorHAnsi" w:cstheme="minorHAnsi"/>
                <w:b/>
                <w:sz w:val="22"/>
                <w:szCs w:val="22"/>
              </w:rPr>
              <w:t>-test</w:t>
            </w:r>
          </w:p>
        </w:tc>
      </w:tr>
      <w:tr w:rsidR="001B7C2F" w:rsidRPr="003F511D" w14:paraId="64E89BDF" w14:textId="1C8117EC" w:rsidTr="001B7C2F">
        <w:trPr>
          <w:jc w:val="center"/>
        </w:trPr>
        <w:tc>
          <w:tcPr>
            <w:tcW w:w="1838" w:type="dxa"/>
            <w:vAlign w:val="center"/>
          </w:tcPr>
          <w:p w14:paraId="644FF206"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1049</w:t>
            </w:r>
          </w:p>
        </w:tc>
        <w:tc>
          <w:tcPr>
            <w:tcW w:w="1161" w:type="dxa"/>
            <w:vAlign w:val="center"/>
          </w:tcPr>
          <w:p w14:paraId="6A04C9DC"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-9</w:t>
            </w:r>
          </w:p>
        </w:tc>
        <w:tc>
          <w:tcPr>
            <w:tcW w:w="1249" w:type="dxa"/>
            <w:vAlign w:val="center"/>
          </w:tcPr>
          <w:p w14:paraId="54C0FC86"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1.1</w:t>
            </w:r>
          </w:p>
        </w:tc>
        <w:tc>
          <w:tcPr>
            <w:tcW w:w="2551" w:type="dxa"/>
            <w:vAlign w:val="center"/>
          </w:tcPr>
          <w:p w14:paraId="0AA48756"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134" w:type="dxa"/>
            <w:vMerge w:val="restart"/>
            <w:vAlign w:val="center"/>
          </w:tcPr>
          <w:p w14:paraId="0E3F4DEF" w14:textId="30089BC4"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0.062</w:t>
            </w:r>
          </w:p>
        </w:tc>
        <w:tc>
          <w:tcPr>
            <w:tcW w:w="1083" w:type="dxa"/>
            <w:vMerge w:val="restart"/>
            <w:vAlign w:val="center"/>
          </w:tcPr>
          <w:p w14:paraId="1F7F6A30" w14:textId="3B7B18C8"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1B7C2F" w:rsidRPr="003F511D" w14:paraId="336A2977" w14:textId="761988C7" w:rsidTr="001B7C2F">
        <w:trPr>
          <w:jc w:val="center"/>
        </w:trPr>
        <w:tc>
          <w:tcPr>
            <w:tcW w:w="1838" w:type="dxa"/>
            <w:vAlign w:val="center"/>
          </w:tcPr>
          <w:p w14:paraId="4AB0AB9A"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1049</w:t>
            </w:r>
          </w:p>
        </w:tc>
        <w:tc>
          <w:tcPr>
            <w:tcW w:w="1161" w:type="dxa"/>
            <w:vAlign w:val="center"/>
          </w:tcPr>
          <w:p w14:paraId="76B41ADE"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-8.53</w:t>
            </w:r>
          </w:p>
        </w:tc>
        <w:tc>
          <w:tcPr>
            <w:tcW w:w="1249" w:type="dxa"/>
            <w:vAlign w:val="center"/>
          </w:tcPr>
          <w:p w14:paraId="7677B460"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1.53</w:t>
            </w:r>
          </w:p>
        </w:tc>
        <w:tc>
          <w:tcPr>
            <w:tcW w:w="2551" w:type="dxa"/>
            <w:vAlign w:val="center"/>
          </w:tcPr>
          <w:p w14:paraId="694FBF48" w14:textId="4974CAB0" w:rsidR="001B7C2F" w:rsidRPr="003F511D" w:rsidRDefault="001B7C2F" w:rsidP="009E4F94">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 (2-years offset)</w:t>
            </w:r>
          </w:p>
        </w:tc>
        <w:tc>
          <w:tcPr>
            <w:tcW w:w="1134" w:type="dxa"/>
            <w:vMerge/>
            <w:vAlign w:val="center"/>
          </w:tcPr>
          <w:p w14:paraId="0F60D330" w14:textId="77777777" w:rsidR="001B7C2F" w:rsidRPr="003F511D" w:rsidRDefault="001B7C2F" w:rsidP="001B7C2F">
            <w:pPr>
              <w:pStyle w:val="NormalWeb"/>
              <w:jc w:val="center"/>
              <w:rPr>
                <w:rFonts w:asciiTheme="minorHAnsi" w:hAnsiTheme="minorHAnsi" w:cstheme="minorHAnsi"/>
                <w:bCs/>
                <w:sz w:val="22"/>
                <w:szCs w:val="22"/>
              </w:rPr>
            </w:pPr>
          </w:p>
        </w:tc>
        <w:tc>
          <w:tcPr>
            <w:tcW w:w="1083" w:type="dxa"/>
            <w:vMerge/>
            <w:vAlign w:val="center"/>
          </w:tcPr>
          <w:p w14:paraId="4CA13639" w14:textId="77777777" w:rsidR="001B7C2F" w:rsidRPr="003F511D" w:rsidRDefault="001B7C2F" w:rsidP="001B7C2F">
            <w:pPr>
              <w:pStyle w:val="NormalWeb"/>
              <w:jc w:val="center"/>
              <w:rPr>
                <w:rFonts w:asciiTheme="minorHAnsi" w:hAnsiTheme="minorHAnsi" w:cstheme="minorHAnsi"/>
                <w:bCs/>
                <w:sz w:val="22"/>
                <w:szCs w:val="22"/>
              </w:rPr>
            </w:pPr>
          </w:p>
        </w:tc>
      </w:tr>
      <w:tr w:rsidR="001B7C2F" w:rsidRPr="003F511D" w14:paraId="6BB9EC0A" w14:textId="5FAA1354" w:rsidTr="001B7C2F">
        <w:trPr>
          <w:jc w:val="center"/>
        </w:trPr>
        <w:tc>
          <w:tcPr>
            <w:tcW w:w="1838" w:type="dxa"/>
            <w:vAlign w:val="center"/>
          </w:tcPr>
          <w:p w14:paraId="0AC57AD2"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1050</w:t>
            </w:r>
          </w:p>
        </w:tc>
        <w:tc>
          <w:tcPr>
            <w:tcW w:w="1161" w:type="dxa"/>
            <w:vAlign w:val="center"/>
          </w:tcPr>
          <w:p w14:paraId="550593CB"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-7.5</w:t>
            </w:r>
          </w:p>
        </w:tc>
        <w:tc>
          <w:tcPr>
            <w:tcW w:w="1249" w:type="dxa"/>
            <w:vAlign w:val="center"/>
          </w:tcPr>
          <w:p w14:paraId="5203B3DA"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1.6</w:t>
            </w:r>
          </w:p>
        </w:tc>
        <w:tc>
          <w:tcPr>
            <w:tcW w:w="2551" w:type="dxa"/>
            <w:vAlign w:val="center"/>
          </w:tcPr>
          <w:p w14:paraId="73179B9E"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134" w:type="dxa"/>
            <w:vMerge w:val="restart"/>
            <w:vAlign w:val="center"/>
          </w:tcPr>
          <w:p w14:paraId="63DA217A" w14:textId="1F1D0C0B"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0.220</w:t>
            </w:r>
          </w:p>
        </w:tc>
        <w:tc>
          <w:tcPr>
            <w:tcW w:w="1083" w:type="dxa"/>
            <w:vMerge w:val="restart"/>
            <w:vAlign w:val="center"/>
          </w:tcPr>
          <w:p w14:paraId="1AB46991" w14:textId="7C729249"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1B7C2F" w:rsidRPr="003F511D" w14:paraId="08FE2FB3" w14:textId="1642904F" w:rsidTr="001B7C2F">
        <w:trPr>
          <w:jc w:val="center"/>
        </w:trPr>
        <w:tc>
          <w:tcPr>
            <w:tcW w:w="1838" w:type="dxa"/>
            <w:vAlign w:val="center"/>
          </w:tcPr>
          <w:p w14:paraId="56A12E59"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1050</w:t>
            </w:r>
          </w:p>
        </w:tc>
        <w:tc>
          <w:tcPr>
            <w:tcW w:w="1161" w:type="dxa"/>
            <w:vAlign w:val="center"/>
          </w:tcPr>
          <w:p w14:paraId="007BE9C6"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-6.24</w:t>
            </w:r>
          </w:p>
        </w:tc>
        <w:tc>
          <w:tcPr>
            <w:tcW w:w="1249" w:type="dxa"/>
            <w:vAlign w:val="center"/>
          </w:tcPr>
          <w:p w14:paraId="2CC3F173"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2.16</w:t>
            </w:r>
          </w:p>
        </w:tc>
        <w:tc>
          <w:tcPr>
            <w:tcW w:w="2551" w:type="dxa"/>
            <w:vAlign w:val="center"/>
          </w:tcPr>
          <w:p w14:paraId="74129C2C"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 (2-years offset)</w:t>
            </w:r>
          </w:p>
        </w:tc>
        <w:tc>
          <w:tcPr>
            <w:tcW w:w="1134" w:type="dxa"/>
            <w:vMerge/>
            <w:vAlign w:val="center"/>
          </w:tcPr>
          <w:p w14:paraId="2570C9A9" w14:textId="77777777" w:rsidR="001B7C2F" w:rsidRPr="003F511D" w:rsidRDefault="001B7C2F" w:rsidP="001B7C2F">
            <w:pPr>
              <w:pStyle w:val="NormalWeb"/>
              <w:jc w:val="center"/>
              <w:rPr>
                <w:rFonts w:asciiTheme="minorHAnsi" w:hAnsiTheme="minorHAnsi" w:cstheme="minorHAnsi"/>
                <w:bCs/>
                <w:sz w:val="22"/>
                <w:szCs w:val="22"/>
              </w:rPr>
            </w:pPr>
          </w:p>
        </w:tc>
        <w:tc>
          <w:tcPr>
            <w:tcW w:w="1083" w:type="dxa"/>
            <w:vMerge/>
            <w:vAlign w:val="center"/>
          </w:tcPr>
          <w:p w14:paraId="12A6D5C2" w14:textId="77777777" w:rsidR="001B7C2F" w:rsidRPr="003F511D" w:rsidRDefault="001B7C2F" w:rsidP="001B7C2F">
            <w:pPr>
              <w:pStyle w:val="NormalWeb"/>
              <w:jc w:val="center"/>
              <w:rPr>
                <w:rFonts w:asciiTheme="minorHAnsi" w:hAnsiTheme="minorHAnsi" w:cstheme="minorHAnsi"/>
                <w:bCs/>
                <w:sz w:val="22"/>
                <w:szCs w:val="22"/>
              </w:rPr>
            </w:pPr>
          </w:p>
        </w:tc>
      </w:tr>
      <w:tr w:rsidR="001B7C2F" w:rsidRPr="003F511D" w14:paraId="1D844638" w14:textId="256329A7" w:rsidTr="001B7C2F">
        <w:trPr>
          <w:jc w:val="center"/>
        </w:trPr>
        <w:tc>
          <w:tcPr>
            <w:tcW w:w="1838" w:type="dxa"/>
            <w:vAlign w:val="center"/>
          </w:tcPr>
          <w:p w14:paraId="1A788A85"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1051</w:t>
            </w:r>
          </w:p>
        </w:tc>
        <w:tc>
          <w:tcPr>
            <w:tcW w:w="1161" w:type="dxa"/>
            <w:vAlign w:val="center"/>
          </w:tcPr>
          <w:p w14:paraId="1D66D567"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-8.6</w:t>
            </w:r>
          </w:p>
        </w:tc>
        <w:tc>
          <w:tcPr>
            <w:tcW w:w="1249" w:type="dxa"/>
            <w:vAlign w:val="center"/>
          </w:tcPr>
          <w:p w14:paraId="0D159608"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1.6</w:t>
            </w:r>
          </w:p>
        </w:tc>
        <w:tc>
          <w:tcPr>
            <w:tcW w:w="2551" w:type="dxa"/>
            <w:vAlign w:val="center"/>
          </w:tcPr>
          <w:p w14:paraId="10295A92"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134" w:type="dxa"/>
            <w:vMerge w:val="restart"/>
            <w:vAlign w:val="center"/>
          </w:tcPr>
          <w:p w14:paraId="424A6857" w14:textId="2A67D540"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0.210</w:t>
            </w:r>
          </w:p>
        </w:tc>
        <w:tc>
          <w:tcPr>
            <w:tcW w:w="1083" w:type="dxa"/>
            <w:vMerge w:val="restart"/>
            <w:vAlign w:val="center"/>
          </w:tcPr>
          <w:p w14:paraId="6841ABA8" w14:textId="5262EE5C"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1B7C2F" w:rsidRPr="003F511D" w14:paraId="12FF8B7A" w14:textId="3A632A84" w:rsidTr="001B7C2F">
        <w:trPr>
          <w:jc w:val="center"/>
        </w:trPr>
        <w:tc>
          <w:tcPr>
            <w:tcW w:w="1838" w:type="dxa"/>
            <w:vAlign w:val="center"/>
          </w:tcPr>
          <w:p w14:paraId="76868824"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1051</w:t>
            </w:r>
          </w:p>
        </w:tc>
        <w:tc>
          <w:tcPr>
            <w:tcW w:w="1161" w:type="dxa"/>
            <w:vAlign w:val="center"/>
          </w:tcPr>
          <w:p w14:paraId="2221B6F4"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-7.31</w:t>
            </w:r>
          </w:p>
        </w:tc>
        <w:tc>
          <w:tcPr>
            <w:tcW w:w="1249" w:type="dxa"/>
            <w:vAlign w:val="center"/>
          </w:tcPr>
          <w:p w14:paraId="02747B72"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2.32</w:t>
            </w:r>
          </w:p>
        </w:tc>
        <w:tc>
          <w:tcPr>
            <w:tcW w:w="2551" w:type="dxa"/>
            <w:vAlign w:val="center"/>
          </w:tcPr>
          <w:p w14:paraId="49B07EDC"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 (2-years offset)</w:t>
            </w:r>
          </w:p>
        </w:tc>
        <w:tc>
          <w:tcPr>
            <w:tcW w:w="1134" w:type="dxa"/>
            <w:vMerge/>
            <w:vAlign w:val="center"/>
          </w:tcPr>
          <w:p w14:paraId="6064EF53" w14:textId="77777777" w:rsidR="001B7C2F" w:rsidRPr="003F511D" w:rsidRDefault="001B7C2F" w:rsidP="001B7C2F">
            <w:pPr>
              <w:pStyle w:val="NormalWeb"/>
              <w:jc w:val="center"/>
              <w:rPr>
                <w:rFonts w:asciiTheme="minorHAnsi" w:hAnsiTheme="minorHAnsi" w:cstheme="minorHAnsi"/>
                <w:bCs/>
                <w:sz w:val="22"/>
                <w:szCs w:val="22"/>
              </w:rPr>
            </w:pPr>
          </w:p>
        </w:tc>
        <w:tc>
          <w:tcPr>
            <w:tcW w:w="1083" w:type="dxa"/>
            <w:vMerge/>
            <w:vAlign w:val="center"/>
          </w:tcPr>
          <w:p w14:paraId="0962E5AB" w14:textId="77777777" w:rsidR="001B7C2F" w:rsidRPr="003F511D" w:rsidRDefault="001B7C2F" w:rsidP="001B7C2F">
            <w:pPr>
              <w:pStyle w:val="NormalWeb"/>
              <w:jc w:val="center"/>
              <w:rPr>
                <w:rFonts w:asciiTheme="minorHAnsi" w:hAnsiTheme="minorHAnsi" w:cstheme="minorHAnsi"/>
                <w:bCs/>
                <w:sz w:val="22"/>
                <w:szCs w:val="22"/>
              </w:rPr>
            </w:pPr>
          </w:p>
        </w:tc>
      </w:tr>
      <w:tr w:rsidR="001B7C2F" w:rsidRPr="003F511D" w14:paraId="62581228" w14:textId="32119130" w:rsidTr="001B7C2F">
        <w:trPr>
          <w:jc w:val="center"/>
        </w:trPr>
        <w:tc>
          <w:tcPr>
            <w:tcW w:w="1838" w:type="dxa"/>
            <w:vAlign w:val="center"/>
          </w:tcPr>
          <w:p w14:paraId="709691B9"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1052</w:t>
            </w:r>
          </w:p>
        </w:tc>
        <w:tc>
          <w:tcPr>
            <w:tcW w:w="1161" w:type="dxa"/>
            <w:vAlign w:val="center"/>
          </w:tcPr>
          <w:p w14:paraId="5B614E35"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-10.55</w:t>
            </w:r>
          </w:p>
        </w:tc>
        <w:tc>
          <w:tcPr>
            <w:tcW w:w="1249" w:type="dxa"/>
            <w:vAlign w:val="center"/>
          </w:tcPr>
          <w:p w14:paraId="3F022597"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1.1</w:t>
            </w:r>
          </w:p>
        </w:tc>
        <w:tc>
          <w:tcPr>
            <w:tcW w:w="2551" w:type="dxa"/>
            <w:vAlign w:val="center"/>
          </w:tcPr>
          <w:p w14:paraId="5068DFA1"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134" w:type="dxa"/>
            <w:vMerge w:val="restart"/>
            <w:vAlign w:val="center"/>
          </w:tcPr>
          <w:p w14:paraId="3963C884" w14:textId="4C08891A"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3.340</w:t>
            </w:r>
          </w:p>
        </w:tc>
        <w:tc>
          <w:tcPr>
            <w:tcW w:w="1083" w:type="dxa"/>
            <w:vMerge w:val="restart"/>
            <w:vAlign w:val="center"/>
          </w:tcPr>
          <w:p w14:paraId="66FB9D86" w14:textId="385F125E"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1B7C2F" w:rsidRPr="003F511D" w14:paraId="28FFD3C3" w14:textId="5DD71BA2" w:rsidTr="001B7C2F">
        <w:trPr>
          <w:jc w:val="center"/>
        </w:trPr>
        <w:tc>
          <w:tcPr>
            <w:tcW w:w="1838" w:type="dxa"/>
            <w:vAlign w:val="center"/>
          </w:tcPr>
          <w:p w14:paraId="67BD6D3C"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1052</w:t>
            </w:r>
          </w:p>
        </w:tc>
        <w:tc>
          <w:tcPr>
            <w:tcW w:w="1161" w:type="dxa"/>
            <w:vAlign w:val="center"/>
          </w:tcPr>
          <w:p w14:paraId="6914756E"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-6.25</w:t>
            </w:r>
          </w:p>
        </w:tc>
        <w:tc>
          <w:tcPr>
            <w:tcW w:w="1249" w:type="dxa"/>
            <w:vAlign w:val="center"/>
          </w:tcPr>
          <w:p w14:paraId="50E9E69C"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2.08</w:t>
            </w:r>
          </w:p>
        </w:tc>
        <w:tc>
          <w:tcPr>
            <w:tcW w:w="2551" w:type="dxa"/>
            <w:vAlign w:val="center"/>
          </w:tcPr>
          <w:p w14:paraId="3840CCDC"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 (2-years offset)</w:t>
            </w:r>
          </w:p>
        </w:tc>
        <w:tc>
          <w:tcPr>
            <w:tcW w:w="1134" w:type="dxa"/>
            <w:vMerge/>
            <w:vAlign w:val="center"/>
          </w:tcPr>
          <w:p w14:paraId="3CE96514" w14:textId="77777777" w:rsidR="001B7C2F" w:rsidRPr="003F511D" w:rsidRDefault="001B7C2F" w:rsidP="001B7C2F">
            <w:pPr>
              <w:pStyle w:val="NormalWeb"/>
              <w:jc w:val="center"/>
              <w:rPr>
                <w:rFonts w:asciiTheme="minorHAnsi" w:hAnsiTheme="minorHAnsi" w:cstheme="minorHAnsi"/>
                <w:bCs/>
                <w:sz w:val="22"/>
                <w:szCs w:val="22"/>
              </w:rPr>
            </w:pPr>
          </w:p>
        </w:tc>
        <w:tc>
          <w:tcPr>
            <w:tcW w:w="1083" w:type="dxa"/>
            <w:vMerge/>
            <w:vAlign w:val="center"/>
          </w:tcPr>
          <w:p w14:paraId="204BFCA8" w14:textId="77777777" w:rsidR="001B7C2F" w:rsidRPr="003F511D" w:rsidRDefault="001B7C2F" w:rsidP="001B7C2F">
            <w:pPr>
              <w:pStyle w:val="NormalWeb"/>
              <w:jc w:val="center"/>
              <w:rPr>
                <w:rFonts w:asciiTheme="minorHAnsi" w:hAnsiTheme="minorHAnsi" w:cstheme="minorHAnsi"/>
                <w:bCs/>
                <w:sz w:val="22"/>
                <w:szCs w:val="22"/>
              </w:rPr>
            </w:pPr>
          </w:p>
        </w:tc>
      </w:tr>
      <w:tr w:rsidR="001B7C2F" w:rsidRPr="003F511D" w14:paraId="1C6069C8" w14:textId="1E28749A" w:rsidTr="001B7C2F">
        <w:trPr>
          <w:jc w:val="center"/>
        </w:trPr>
        <w:tc>
          <w:tcPr>
            <w:tcW w:w="1838" w:type="dxa"/>
            <w:vAlign w:val="center"/>
          </w:tcPr>
          <w:p w14:paraId="796BB062"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1053</w:t>
            </w:r>
          </w:p>
        </w:tc>
        <w:tc>
          <w:tcPr>
            <w:tcW w:w="1161" w:type="dxa"/>
            <w:vAlign w:val="center"/>
          </w:tcPr>
          <w:p w14:paraId="335AA9EC"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-4.8</w:t>
            </w:r>
          </w:p>
        </w:tc>
        <w:tc>
          <w:tcPr>
            <w:tcW w:w="1249" w:type="dxa"/>
            <w:vAlign w:val="center"/>
          </w:tcPr>
          <w:p w14:paraId="38358233"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1.6</w:t>
            </w:r>
          </w:p>
        </w:tc>
        <w:tc>
          <w:tcPr>
            <w:tcW w:w="2551" w:type="dxa"/>
            <w:vAlign w:val="center"/>
          </w:tcPr>
          <w:p w14:paraId="77D0B298"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134" w:type="dxa"/>
            <w:vMerge w:val="restart"/>
            <w:vAlign w:val="center"/>
          </w:tcPr>
          <w:p w14:paraId="46924E39" w14:textId="6C26B89A"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1.467</w:t>
            </w:r>
          </w:p>
        </w:tc>
        <w:tc>
          <w:tcPr>
            <w:tcW w:w="1083" w:type="dxa"/>
            <w:vMerge w:val="restart"/>
            <w:vAlign w:val="center"/>
          </w:tcPr>
          <w:p w14:paraId="110DFAEF" w14:textId="32507CE9"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1B7C2F" w:rsidRPr="003F511D" w14:paraId="273A74E7" w14:textId="60606522" w:rsidTr="001B7C2F">
        <w:trPr>
          <w:jc w:val="center"/>
        </w:trPr>
        <w:tc>
          <w:tcPr>
            <w:tcW w:w="1838" w:type="dxa"/>
            <w:vAlign w:val="center"/>
          </w:tcPr>
          <w:p w14:paraId="39C6DB2C"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1053</w:t>
            </w:r>
          </w:p>
        </w:tc>
        <w:tc>
          <w:tcPr>
            <w:tcW w:w="1161" w:type="dxa"/>
            <w:vAlign w:val="center"/>
          </w:tcPr>
          <w:p w14:paraId="1CD305B2"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-1.81</w:t>
            </w:r>
          </w:p>
        </w:tc>
        <w:tc>
          <w:tcPr>
            <w:tcW w:w="1249" w:type="dxa"/>
            <w:vAlign w:val="center"/>
          </w:tcPr>
          <w:p w14:paraId="668E47EA"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1.88</w:t>
            </w:r>
          </w:p>
        </w:tc>
        <w:tc>
          <w:tcPr>
            <w:tcW w:w="2551" w:type="dxa"/>
            <w:vAlign w:val="center"/>
          </w:tcPr>
          <w:p w14:paraId="7B69DC6E"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 (2-years offset)</w:t>
            </w:r>
          </w:p>
        </w:tc>
        <w:tc>
          <w:tcPr>
            <w:tcW w:w="1134" w:type="dxa"/>
            <w:vMerge/>
            <w:vAlign w:val="center"/>
          </w:tcPr>
          <w:p w14:paraId="3E8D4F03" w14:textId="77777777" w:rsidR="001B7C2F" w:rsidRPr="003F511D" w:rsidRDefault="001B7C2F" w:rsidP="001B7C2F">
            <w:pPr>
              <w:pStyle w:val="NormalWeb"/>
              <w:jc w:val="center"/>
              <w:rPr>
                <w:rFonts w:asciiTheme="minorHAnsi" w:hAnsiTheme="minorHAnsi" w:cstheme="minorHAnsi"/>
                <w:bCs/>
                <w:sz w:val="22"/>
                <w:szCs w:val="22"/>
              </w:rPr>
            </w:pPr>
          </w:p>
        </w:tc>
        <w:tc>
          <w:tcPr>
            <w:tcW w:w="1083" w:type="dxa"/>
            <w:vMerge/>
            <w:vAlign w:val="center"/>
          </w:tcPr>
          <w:p w14:paraId="6D14C009" w14:textId="77777777" w:rsidR="001B7C2F" w:rsidRPr="003F511D" w:rsidRDefault="001B7C2F" w:rsidP="001B7C2F">
            <w:pPr>
              <w:pStyle w:val="NormalWeb"/>
              <w:jc w:val="center"/>
              <w:rPr>
                <w:rFonts w:asciiTheme="minorHAnsi" w:hAnsiTheme="minorHAnsi" w:cstheme="minorHAnsi"/>
                <w:bCs/>
                <w:sz w:val="22"/>
                <w:szCs w:val="22"/>
              </w:rPr>
            </w:pPr>
          </w:p>
        </w:tc>
      </w:tr>
      <w:tr w:rsidR="001B7C2F" w:rsidRPr="003F511D" w14:paraId="2402815A" w14:textId="50180EAE" w:rsidTr="001B7C2F">
        <w:trPr>
          <w:jc w:val="center"/>
        </w:trPr>
        <w:tc>
          <w:tcPr>
            <w:tcW w:w="1838" w:type="dxa"/>
            <w:vAlign w:val="center"/>
          </w:tcPr>
          <w:p w14:paraId="08A38F06"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1054</w:t>
            </w:r>
          </w:p>
        </w:tc>
        <w:tc>
          <w:tcPr>
            <w:tcW w:w="1161" w:type="dxa"/>
            <w:vAlign w:val="center"/>
          </w:tcPr>
          <w:p w14:paraId="05B28923"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-3.6</w:t>
            </w:r>
          </w:p>
        </w:tc>
        <w:tc>
          <w:tcPr>
            <w:tcW w:w="1249" w:type="dxa"/>
            <w:vAlign w:val="center"/>
          </w:tcPr>
          <w:p w14:paraId="2D43C0C8"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1.6</w:t>
            </w:r>
          </w:p>
        </w:tc>
        <w:tc>
          <w:tcPr>
            <w:tcW w:w="2551" w:type="dxa"/>
            <w:vAlign w:val="center"/>
          </w:tcPr>
          <w:p w14:paraId="1B4793EC"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134" w:type="dxa"/>
            <w:vMerge w:val="restart"/>
            <w:vAlign w:val="center"/>
          </w:tcPr>
          <w:p w14:paraId="4A289868" w14:textId="219949AC"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0.123</w:t>
            </w:r>
          </w:p>
        </w:tc>
        <w:tc>
          <w:tcPr>
            <w:tcW w:w="1083" w:type="dxa"/>
            <w:vMerge w:val="restart"/>
            <w:vAlign w:val="center"/>
          </w:tcPr>
          <w:p w14:paraId="45F81B54" w14:textId="54D4CB8A"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1B7C2F" w:rsidRPr="003F511D" w14:paraId="6F5CC994" w14:textId="5A3D317E" w:rsidTr="001B7C2F">
        <w:trPr>
          <w:jc w:val="center"/>
        </w:trPr>
        <w:tc>
          <w:tcPr>
            <w:tcW w:w="1838" w:type="dxa"/>
            <w:vAlign w:val="center"/>
          </w:tcPr>
          <w:p w14:paraId="0F293184"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1054</w:t>
            </w:r>
          </w:p>
        </w:tc>
        <w:tc>
          <w:tcPr>
            <w:tcW w:w="1161" w:type="dxa"/>
            <w:vAlign w:val="center"/>
          </w:tcPr>
          <w:p w14:paraId="3A5D43EF"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-2.77</w:t>
            </w:r>
          </w:p>
        </w:tc>
        <w:tc>
          <w:tcPr>
            <w:tcW w:w="1249" w:type="dxa"/>
            <w:vAlign w:val="center"/>
          </w:tcPr>
          <w:p w14:paraId="2703FD65"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1.75</w:t>
            </w:r>
          </w:p>
        </w:tc>
        <w:tc>
          <w:tcPr>
            <w:tcW w:w="2551" w:type="dxa"/>
            <w:vAlign w:val="center"/>
          </w:tcPr>
          <w:p w14:paraId="5F1CCFCD"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 (2-years offset)</w:t>
            </w:r>
          </w:p>
        </w:tc>
        <w:tc>
          <w:tcPr>
            <w:tcW w:w="1134" w:type="dxa"/>
            <w:vMerge/>
            <w:vAlign w:val="center"/>
          </w:tcPr>
          <w:p w14:paraId="495A75CB" w14:textId="77777777" w:rsidR="001B7C2F" w:rsidRPr="003F511D" w:rsidRDefault="001B7C2F" w:rsidP="001B7C2F">
            <w:pPr>
              <w:pStyle w:val="NormalWeb"/>
              <w:jc w:val="center"/>
              <w:rPr>
                <w:rFonts w:asciiTheme="minorHAnsi" w:hAnsiTheme="minorHAnsi" w:cstheme="minorHAnsi"/>
                <w:bCs/>
                <w:sz w:val="22"/>
                <w:szCs w:val="22"/>
              </w:rPr>
            </w:pPr>
          </w:p>
        </w:tc>
        <w:tc>
          <w:tcPr>
            <w:tcW w:w="1083" w:type="dxa"/>
            <w:vMerge/>
            <w:vAlign w:val="center"/>
          </w:tcPr>
          <w:p w14:paraId="78A08FA7" w14:textId="77777777" w:rsidR="001B7C2F" w:rsidRPr="003F511D" w:rsidRDefault="001B7C2F" w:rsidP="001B7C2F">
            <w:pPr>
              <w:pStyle w:val="NormalWeb"/>
              <w:jc w:val="center"/>
              <w:rPr>
                <w:rFonts w:asciiTheme="minorHAnsi" w:hAnsiTheme="minorHAnsi" w:cstheme="minorHAnsi"/>
                <w:bCs/>
                <w:sz w:val="22"/>
                <w:szCs w:val="22"/>
              </w:rPr>
            </w:pPr>
          </w:p>
        </w:tc>
      </w:tr>
      <w:tr w:rsidR="001B7C2F" w:rsidRPr="003F511D" w14:paraId="259695F0" w14:textId="42B3F48D" w:rsidTr="001B7C2F">
        <w:trPr>
          <w:jc w:val="center"/>
        </w:trPr>
        <w:tc>
          <w:tcPr>
            <w:tcW w:w="1838" w:type="dxa"/>
            <w:vAlign w:val="center"/>
          </w:tcPr>
          <w:p w14:paraId="55AE385D"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1055</w:t>
            </w:r>
          </w:p>
        </w:tc>
        <w:tc>
          <w:tcPr>
            <w:tcW w:w="1161" w:type="dxa"/>
            <w:vAlign w:val="center"/>
          </w:tcPr>
          <w:p w14:paraId="17B51C88"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-2.85</w:t>
            </w:r>
          </w:p>
        </w:tc>
        <w:tc>
          <w:tcPr>
            <w:tcW w:w="1249" w:type="dxa"/>
            <w:vAlign w:val="center"/>
          </w:tcPr>
          <w:p w14:paraId="1A145198"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1.1</w:t>
            </w:r>
          </w:p>
        </w:tc>
        <w:tc>
          <w:tcPr>
            <w:tcW w:w="2551" w:type="dxa"/>
            <w:vAlign w:val="center"/>
          </w:tcPr>
          <w:p w14:paraId="188AF2F0" w14:textId="77777777"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Brehm et al. (2021)</w:t>
            </w:r>
          </w:p>
        </w:tc>
        <w:tc>
          <w:tcPr>
            <w:tcW w:w="1134" w:type="dxa"/>
            <w:vMerge w:val="restart"/>
            <w:vAlign w:val="center"/>
          </w:tcPr>
          <w:p w14:paraId="10B1437B" w14:textId="4C1FEF50"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0.001</w:t>
            </w:r>
          </w:p>
        </w:tc>
        <w:tc>
          <w:tcPr>
            <w:tcW w:w="1083" w:type="dxa"/>
            <w:vMerge w:val="restart"/>
            <w:vAlign w:val="center"/>
          </w:tcPr>
          <w:p w14:paraId="0CB99ADF" w14:textId="02913F42" w:rsidR="001B7C2F" w:rsidRPr="003F511D" w:rsidRDefault="001B7C2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Pass</w:t>
            </w:r>
          </w:p>
        </w:tc>
      </w:tr>
      <w:tr w:rsidR="00CC7BAF" w:rsidRPr="003F511D" w14:paraId="4346DFCC" w14:textId="477701BA" w:rsidTr="001B7C2F">
        <w:trPr>
          <w:jc w:val="center"/>
        </w:trPr>
        <w:tc>
          <w:tcPr>
            <w:tcW w:w="1838" w:type="dxa"/>
            <w:vAlign w:val="center"/>
          </w:tcPr>
          <w:p w14:paraId="1D02ED3C" w14:textId="77777777" w:rsidR="00CC7BAF" w:rsidRPr="003F511D" w:rsidRDefault="00CC7BAF" w:rsidP="001B7C2F">
            <w:pPr>
              <w:pStyle w:val="NormalWeb"/>
              <w:jc w:val="center"/>
              <w:rPr>
                <w:rFonts w:asciiTheme="minorHAnsi" w:hAnsiTheme="minorHAnsi" w:cstheme="minorHAnsi"/>
                <w:bCs/>
                <w:sz w:val="22"/>
                <w:szCs w:val="22"/>
              </w:rPr>
            </w:pPr>
            <w:r w:rsidRPr="003F511D">
              <w:rPr>
                <w:rFonts w:asciiTheme="minorHAnsi" w:hAnsiTheme="minorHAnsi" w:cstheme="minorHAnsi"/>
                <w:color w:val="000000"/>
                <w:sz w:val="22"/>
                <w:szCs w:val="22"/>
              </w:rPr>
              <w:t>1055</w:t>
            </w:r>
          </w:p>
        </w:tc>
        <w:tc>
          <w:tcPr>
            <w:tcW w:w="1161" w:type="dxa"/>
            <w:vAlign w:val="center"/>
          </w:tcPr>
          <w:p w14:paraId="1453D07F" w14:textId="77777777" w:rsidR="00CC7BAF" w:rsidRPr="003F511D" w:rsidRDefault="00CC7BA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-2.92</w:t>
            </w:r>
          </w:p>
        </w:tc>
        <w:tc>
          <w:tcPr>
            <w:tcW w:w="1249" w:type="dxa"/>
            <w:vAlign w:val="center"/>
          </w:tcPr>
          <w:p w14:paraId="6E72465D" w14:textId="77777777" w:rsidR="00CC7BAF" w:rsidRPr="003F511D" w:rsidRDefault="00CC7BA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1.90</w:t>
            </w:r>
          </w:p>
        </w:tc>
        <w:tc>
          <w:tcPr>
            <w:tcW w:w="2551" w:type="dxa"/>
            <w:vAlign w:val="center"/>
          </w:tcPr>
          <w:p w14:paraId="310260C3" w14:textId="77777777" w:rsidR="00CC7BAF" w:rsidRPr="003F511D" w:rsidRDefault="00CC7BAF" w:rsidP="001B7C2F">
            <w:pPr>
              <w:pStyle w:val="NormalWeb"/>
              <w:jc w:val="center"/>
              <w:rPr>
                <w:rFonts w:asciiTheme="minorHAnsi" w:hAnsiTheme="minorHAnsi" w:cstheme="minorHAnsi"/>
                <w:bCs/>
                <w:sz w:val="22"/>
                <w:szCs w:val="22"/>
              </w:rPr>
            </w:pPr>
            <w:r w:rsidRPr="003F511D">
              <w:rPr>
                <w:rFonts w:asciiTheme="minorHAnsi" w:hAnsiTheme="minorHAnsi" w:cstheme="minorHAnsi"/>
                <w:bCs/>
                <w:sz w:val="22"/>
                <w:szCs w:val="22"/>
              </w:rPr>
              <w:t>This study (2-years offset)</w:t>
            </w:r>
          </w:p>
        </w:tc>
        <w:tc>
          <w:tcPr>
            <w:tcW w:w="1134" w:type="dxa"/>
            <w:vMerge/>
            <w:vAlign w:val="center"/>
          </w:tcPr>
          <w:p w14:paraId="097ABDEF" w14:textId="77777777" w:rsidR="00CC7BAF" w:rsidRPr="003F511D" w:rsidRDefault="00CC7BAF" w:rsidP="001B7C2F">
            <w:pPr>
              <w:pStyle w:val="NormalWeb"/>
              <w:jc w:val="center"/>
              <w:rPr>
                <w:rFonts w:asciiTheme="minorHAnsi" w:hAnsiTheme="minorHAnsi" w:cstheme="minorHAnsi"/>
                <w:bCs/>
                <w:sz w:val="22"/>
                <w:szCs w:val="22"/>
              </w:rPr>
            </w:pPr>
          </w:p>
        </w:tc>
        <w:tc>
          <w:tcPr>
            <w:tcW w:w="1083" w:type="dxa"/>
            <w:vMerge/>
            <w:vAlign w:val="center"/>
          </w:tcPr>
          <w:p w14:paraId="3B8A168F" w14:textId="77777777" w:rsidR="00CC7BAF" w:rsidRPr="003F511D" w:rsidRDefault="00CC7BAF" w:rsidP="001B7C2F">
            <w:pPr>
              <w:pStyle w:val="NormalWeb"/>
              <w:jc w:val="center"/>
              <w:rPr>
                <w:rFonts w:asciiTheme="minorHAnsi" w:hAnsiTheme="minorHAnsi" w:cstheme="minorHAnsi"/>
                <w:bCs/>
                <w:sz w:val="22"/>
                <w:szCs w:val="22"/>
              </w:rPr>
            </w:pPr>
          </w:p>
        </w:tc>
      </w:tr>
    </w:tbl>
    <w:p w14:paraId="3BEC0890" w14:textId="14678AC4" w:rsidR="00CC7BAF" w:rsidRPr="003F511D" w:rsidRDefault="00977BAD" w:rsidP="00977BAD">
      <w:pPr>
        <w:pStyle w:val="Heading3"/>
        <w:rPr>
          <w:rFonts w:asciiTheme="minorHAnsi" w:hAnsiTheme="minorHAnsi" w:cstheme="minorHAnsi"/>
          <w:b w:val="0"/>
          <w:bCs/>
          <w:color w:val="auto"/>
          <w:sz w:val="18"/>
          <w:szCs w:val="18"/>
        </w:rPr>
      </w:pPr>
      <w:r w:rsidRPr="003F511D">
        <w:rPr>
          <w:rFonts w:asciiTheme="minorHAnsi" w:hAnsiTheme="minorHAnsi" w:cstheme="minorHAnsi"/>
          <w:b w:val="0"/>
          <w:bCs/>
          <w:color w:val="auto"/>
          <w:sz w:val="18"/>
          <w:szCs w:val="18"/>
        </w:rPr>
        <w:t xml:space="preserve">Table 6-SI: Comparison and respective </w:t>
      </w:r>
      <w:r w:rsidRPr="003F511D">
        <w:rPr>
          <w:rFonts w:asciiTheme="minorHAnsi" w:hAnsiTheme="minorHAnsi" w:cstheme="minorHAnsi"/>
          <w:b w:val="0"/>
          <w:bCs/>
          <w:color w:val="auto"/>
          <w:sz w:val="18"/>
          <w:szCs w:val="18"/>
        </w:rPr>
        <w:sym w:font="Symbol" w:char="F063"/>
      </w:r>
      <w:r w:rsidRPr="003F511D">
        <w:rPr>
          <w:rFonts w:asciiTheme="minorHAnsi" w:hAnsiTheme="minorHAnsi" w:cstheme="minorHAnsi"/>
          <w:b w:val="0"/>
          <w:bCs/>
          <w:color w:val="auto"/>
          <w:sz w:val="18"/>
          <w:szCs w:val="18"/>
          <w:vertAlign w:val="superscript"/>
        </w:rPr>
        <w:t>2</w:t>
      </w:r>
      <w:r w:rsidRPr="003F511D">
        <w:rPr>
          <w:rFonts w:asciiTheme="minorHAnsi" w:hAnsiTheme="minorHAnsi" w:cstheme="minorHAnsi"/>
          <w:b w:val="0"/>
          <w:bCs/>
          <w:color w:val="auto"/>
          <w:sz w:val="18"/>
          <w:szCs w:val="18"/>
        </w:rPr>
        <w:t xml:space="preserve">-test between same year samples from averaged dataset of this study and averaged dataset from Brehm et al. (2021). </w:t>
      </w:r>
      <w:r w:rsidR="007244C3" w:rsidRPr="003F511D">
        <w:rPr>
          <w:rFonts w:asciiTheme="minorHAnsi" w:hAnsiTheme="minorHAnsi" w:cstheme="minorHAnsi"/>
          <w:b w:val="0"/>
          <w:bCs/>
          <w:color w:val="auto"/>
          <w:sz w:val="18"/>
          <w:szCs w:val="18"/>
        </w:rPr>
        <w:t xml:space="preserve">The dataset of this study has been shifted 2 years into the past to account for the possibility of an error in the dendrochronology. </w:t>
      </w:r>
      <w:r w:rsidRPr="003F511D">
        <w:rPr>
          <w:rFonts w:asciiTheme="minorHAnsi" w:hAnsiTheme="minorHAnsi" w:cstheme="minorHAnsi"/>
          <w:b w:val="0"/>
          <w:bCs/>
          <w:color w:val="auto"/>
          <w:sz w:val="18"/>
          <w:szCs w:val="18"/>
        </w:rPr>
        <w:t xml:space="preserve">The </w:t>
      </w:r>
      <w:r w:rsidRPr="003F511D">
        <w:rPr>
          <w:rFonts w:asciiTheme="minorHAnsi" w:hAnsiTheme="minorHAnsi" w:cstheme="minorHAnsi"/>
          <w:b w:val="0"/>
          <w:bCs/>
          <w:color w:val="auto"/>
          <w:sz w:val="18"/>
          <w:szCs w:val="18"/>
        </w:rPr>
        <w:sym w:font="Symbol" w:char="F063"/>
      </w:r>
      <w:r w:rsidRPr="003F511D">
        <w:rPr>
          <w:rFonts w:asciiTheme="minorHAnsi" w:hAnsiTheme="minorHAnsi" w:cstheme="minorHAnsi"/>
          <w:b w:val="0"/>
          <w:bCs/>
          <w:color w:val="auto"/>
          <w:sz w:val="18"/>
          <w:szCs w:val="18"/>
          <w:vertAlign w:val="superscript"/>
        </w:rPr>
        <w:t>2</w:t>
      </w:r>
      <w:r w:rsidRPr="003F511D">
        <w:rPr>
          <w:rFonts w:asciiTheme="minorHAnsi" w:hAnsiTheme="minorHAnsi" w:cstheme="minorHAnsi"/>
          <w:b w:val="0"/>
          <w:bCs/>
          <w:color w:val="auto"/>
          <w:sz w:val="18"/>
          <w:szCs w:val="18"/>
        </w:rPr>
        <w:t>-test is performed at the 95% probability, where the test is passed when the t-statistic of the set of same year samples is less than the threshold value (3.841 for 2 samples).</w:t>
      </w:r>
    </w:p>
    <w:p w14:paraId="4739E0CC" w14:textId="634DD4DD" w:rsidR="00CC7BAF" w:rsidRPr="003F511D" w:rsidRDefault="00CC7BAF" w:rsidP="00714080">
      <w:pPr>
        <w:pStyle w:val="Heading3"/>
        <w:jc w:val="center"/>
      </w:pPr>
      <w:r w:rsidRPr="003F511D">
        <w:rPr>
          <w:noProof/>
        </w:rPr>
        <w:drawing>
          <wp:inline distT="0" distB="0" distL="0" distR="0" wp14:anchorId="19D40604" wp14:editId="3F6C5107">
            <wp:extent cx="5731510" cy="2865755"/>
            <wp:effectExtent l="0" t="0" r="0" b="0"/>
            <wp:docPr id="15085696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69651" name="Picture 1508569651"/>
                    <pic:cNvPicPr/>
                  </pic:nvPicPr>
                  <pic:blipFill>
                    <a:blip r:embed="rId8">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2D0DF53F" w14:textId="42974AAB" w:rsidR="00714080" w:rsidRPr="003F511D" w:rsidRDefault="00977BAD" w:rsidP="00A00968">
      <w:pPr>
        <w:pStyle w:val="Heading3"/>
        <w:rPr>
          <w:b w:val="0"/>
          <w:bCs/>
          <w:color w:val="auto"/>
        </w:rPr>
      </w:pPr>
      <w:r w:rsidRPr="003F511D">
        <w:rPr>
          <w:rFonts w:asciiTheme="minorHAnsi" w:hAnsiTheme="minorHAnsi" w:cstheme="minorHAnsi"/>
          <w:b w:val="0"/>
          <w:bCs/>
          <w:color w:val="auto"/>
          <w:sz w:val="18"/>
          <w:szCs w:val="18"/>
        </w:rPr>
        <w:t xml:space="preserve">Figure 4-SI: </w:t>
      </w:r>
      <w:r w:rsidR="007244C3" w:rsidRPr="003F511D">
        <w:rPr>
          <w:rFonts w:asciiTheme="minorHAnsi" w:hAnsiTheme="minorHAnsi" w:cstheme="minorHAnsi"/>
          <w:b w:val="0"/>
          <w:bCs/>
          <w:color w:val="auto"/>
          <w:sz w:val="18"/>
          <w:szCs w:val="18"/>
        </w:rPr>
        <w:t>Comparison between the datasets from Brehm et al. (2021) and from this study over the 1052 event candidate. The dataset of this study has been shifted 2 years into the past to account for the possibility of an error in the dendrochronology.</w:t>
      </w:r>
    </w:p>
    <w:p w14:paraId="300B7514" w14:textId="77777777" w:rsidR="00FE76CF" w:rsidRPr="003F511D" w:rsidRDefault="00FE76CF" w:rsidP="00FE76CF">
      <w:pPr>
        <w:rPr>
          <w:lang w:val="en-US" w:eastAsia="en-US"/>
        </w:rPr>
      </w:pPr>
    </w:p>
    <w:p w14:paraId="3D1A9064" w14:textId="77777777" w:rsidR="00A00968" w:rsidRPr="00F57E46" w:rsidRDefault="00714080" w:rsidP="00714080">
      <w:pPr>
        <w:pStyle w:val="Heading3"/>
        <w:jc w:val="center"/>
        <w:rPr>
          <w:color w:val="1F497D" w:themeColor="text2"/>
        </w:rPr>
      </w:pPr>
      <w:r w:rsidRPr="00F57E46">
        <w:rPr>
          <w:color w:val="1F497D" w:themeColor="text2"/>
        </w:rPr>
        <w:lastRenderedPageBreak/>
        <w:t xml:space="preserve">Supplementary Information </w:t>
      </w:r>
      <w:r w:rsidR="00515A66" w:rsidRPr="00F57E46">
        <w:rPr>
          <w:color w:val="1F497D" w:themeColor="text2"/>
        </w:rPr>
        <w:t>4</w:t>
      </w:r>
      <w:r w:rsidRPr="00F57E46">
        <w:rPr>
          <w:color w:val="1F497D" w:themeColor="text2"/>
        </w:rPr>
        <w:t xml:space="preserve"> (SI</w:t>
      </w:r>
      <w:r w:rsidR="00515A66" w:rsidRPr="00F57E46">
        <w:rPr>
          <w:color w:val="1F497D" w:themeColor="text2"/>
        </w:rPr>
        <w:t>4</w:t>
      </w:r>
      <w:r w:rsidRPr="00F57E46">
        <w:rPr>
          <w:color w:val="1F497D" w:themeColor="text2"/>
        </w:rPr>
        <w:t xml:space="preserve">): </w:t>
      </w:r>
    </w:p>
    <w:p w14:paraId="2B63B5C8" w14:textId="66BBEFD2" w:rsidR="001C63CA" w:rsidRDefault="00714080" w:rsidP="008C3133">
      <w:pPr>
        <w:pStyle w:val="Heading3"/>
        <w:jc w:val="center"/>
        <w:rPr>
          <w:color w:val="1F497D" w:themeColor="text2"/>
        </w:rPr>
      </w:pPr>
      <w:r w:rsidRPr="00F57E46">
        <w:rPr>
          <w:color w:val="1F497D" w:themeColor="text2"/>
        </w:rPr>
        <w:t xml:space="preserve">Additional </w:t>
      </w:r>
      <w:r w:rsidR="00F57E46" w:rsidRPr="00F57E46">
        <w:rPr>
          <w:rFonts w:ascii="Courier New" w:hAnsi="Courier New" w:cs="Courier New"/>
          <w:b w:val="0"/>
          <w:color w:val="1F497D" w:themeColor="text2"/>
        </w:rPr>
        <w:t>ticktack</w:t>
      </w:r>
      <w:r w:rsidRPr="00F57E46">
        <w:rPr>
          <w:color w:val="1F497D" w:themeColor="text2"/>
        </w:rPr>
        <w:t xml:space="preserve"> analysis</w:t>
      </w:r>
      <w:r w:rsidR="00A00968" w:rsidRPr="00F57E46">
        <w:rPr>
          <w:color w:val="1F497D" w:themeColor="text2"/>
        </w:rPr>
        <w:t xml:space="preserve"> for this study</w:t>
      </w:r>
    </w:p>
    <w:p w14:paraId="585E2028" w14:textId="77777777" w:rsidR="008C3133" w:rsidRPr="008C3133" w:rsidRDefault="008C3133" w:rsidP="008C3133">
      <w:pPr>
        <w:rPr>
          <w:lang w:val="en-US" w:eastAsia="en-US"/>
        </w:rPr>
      </w:pPr>
    </w:p>
    <w:p w14:paraId="533F0C90" w14:textId="26B8D60A" w:rsidR="00F12279" w:rsidRDefault="0065383E" w:rsidP="00714080">
      <w:pPr>
        <w:rPr>
          <w:rFonts w:asciiTheme="minorHAnsi" w:hAnsiTheme="minorHAnsi" w:cstheme="minorHAnsi"/>
          <w:shd w:val="clear" w:color="auto" w:fill="FFFFFF"/>
          <w:lang w:val="en-US"/>
        </w:rPr>
      </w:pPr>
      <w:r w:rsidRPr="003F511D">
        <w:rPr>
          <w:rFonts w:asciiTheme="minorHAnsi" w:hAnsiTheme="minorHAnsi" w:cstheme="minorHAnsi"/>
          <w:lang w:val="en-US" w:eastAsia="en-US"/>
        </w:rPr>
        <w:t xml:space="preserve">In this section we show </w:t>
      </w:r>
      <w:r w:rsidR="007F24FE">
        <w:rPr>
          <w:rFonts w:asciiTheme="minorHAnsi" w:hAnsiTheme="minorHAnsi" w:cstheme="minorHAnsi"/>
          <w:shd w:val="clear" w:color="auto" w:fill="FFFFFF"/>
          <w:lang w:val="en-US"/>
        </w:rPr>
        <w:t>the result</w:t>
      </w:r>
      <w:r w:rsidR="00A7706B">
        <w:rPr>
          <w:rFonts w:asciiTheme="minorHAnsi" w:hAnsiTheme="minorHAnsi" w:cstheme="minorHAnsi"/>
          <w:shd w:val="clear" w:color="auto" w:fill="FFFFFF"/>
          <w:lang w:val="en-US"/>
        </w:rPr>
        <w:t>s</w:t>
      </w:r>
      <w:r w:rsidR="007F24FE">
        <w:rPr>
          <w:rFonts w:asciiTheme="minorHAnsi" w:hAnsiTheme="minorHAnsi" w:cstheme="minorHAnsi"/>
          <w:shd w:val="clear" w:color="auto" w:fill="FFFFFF"/>
          <w:lang w:val="en-US"/>
        </w:rPr>
        <w:t xml:space="preserve"> of performing </w:t>
      </w:r>
      <w:r w:rsidR="007F24FE" w:rsidRPr="007F24FE">
        <w:rPr>
          <w:rFonts w:asciiTheme="minorHAnsi" w:hAnsiTheme="minorHAnsi" w:cstheme="minorHAnsi"/>
          <w:shd w:val="clear" w:color="auto" w:fill="FFFFFF"/>
          <w:lang w:val="en-US"/>
        </w:rPr>
        <w:t xml:space="preserve">the </w:t>
      </w:r>
      <w:r w:rsidR="007F24FE" w:rsidRPr="007F24FE">
        <w:rPr>
          <w:rFonts w:ascii="Courier New" w:hAnsi="Courier New" w:cs="Courier New"/>
        </w:rPr>
        <w:t xml:space="preserve">ticktack </w:t>
      </w:r>
      <w:r w:rsidR="007F24FE">
        <w:rPr>
          <w:rFonts w:asciiTheme="minorHAnsi" w:hAnsiTheme="minorHAnsi" w:cstheme="minorHAnsi"/>
          <w:shd w:val="clear" w:color="auto" w:fill="FFFFFF"/>
          <w:lang w:val="en-US"/>
        </w:rPr>
        <w:t>analysis using the method “</w:t>
      </w:r>
      <w:r w:rsidR="007F24FE" w:rsidRPr="00532BF8">
        <w:rPr>
          <w:rFonts w:asciiTheme="minorHAnsi" w:hAnsiTheme="minorHAnsi" w:cstheme="minorHAnsi"/>
          <w:i/>
          <w:iCs/>
          <w:shd w:val="clear" w:color="auto" w:fill="FFFFFF"/>
          <w:lang w:val="en-US"/>
        </w:rPr>
        <w:t>flexible_sinusoid_affine_variant</w:t>
      </w:r>
      <w:r w:rsidR="007F24FE">
        <w:rPr>
          <w:rFonts w:asciiTheme="minorHAnsi" w:hAnsiTheme="minorHAnsi" w:cstheme="minorHAnsi"/>
          <w:shd w:val="clear" w:color="auto" w:fill="FFFFFF"/>
          <w:lang w:val="en-US"/>
        </w:rPr>
        <w:t>” instead of the method “</w:t>
      </w:r>
      <w:r w:rsidR="007F24FE" w:rsidRPr="00532BF8">
        <w:rPr>
          <w:rFonts w:asciiTheme="minorHAnsi" w:hAnsiTheme="minorHAnsi" w:cstheme="minorHAnsi"/>
          <w:i/>
          <w:iCs/>
          <w:shd w:val="clear" w:color="auto" w:fill="FFFFFF"/>
          <w:lang w:val="en-US"/>
        </w:rPr>
        <w:t>spike_only</w:t>
      </w:r>
      <w:r w:rsidR="007F24FE">
        <w:rPr>
          <w:rFonts w:asciiTheme="minorHAnsi" w:hAnsiTheme="minorHAnsi" w:cstheme="minorHAnsi"/>
          <w:shd w:val="clear" w:color="auto" w:fill="FFFFFF"/>
          <w:lang w:val="en-US"/>
        </w:rPr>
        <w:t>”.</w:t>
      </w:r>
    </w:p>
    <w:p w14:paraId="15F74229" w14:textId="13F14B2F" w:rsidR="00A7706B" w:rsidRDefault="00A7706B" w:rsidP="00714080">
      <w:pPr>
        <w:rPr>
          <w:rFonts w:asciiTheme="minorHAnsi" w:hAnsiTheme="minorHAnsi" w:cstheme="minorHAnsi"/>
          <w:i/>
          <w:iCs/>
          <w:shd w:val="clear" w:color="auto" w:fill="FFFFFF"/>
          <w:lang w:val="en-US"/>
        </w:rPr>
      </w:pPr>
      <w:r>
        <w:rPr>
          <w:rFonts w:asciiTheme="minorHAnsi" w:hAnsiTheme="minorHAnsi" w:cstheme="minorHAnsi"/>
          <w:shd w:val="clear" w:color="auto" w:fill="FFFFFF"/>
          <w:lang w:val="en-US"/>
        </w:rPr>
        <w:t xml:space="preserve">This method, apart from inferring parameters such as </w:t>
      </w:r>
      <w:r w:rsidR="00532BF8" w:rsidRPr="00532BF8">
        <w:rPr>
          <w:rFonts w:asciiTheme="minorHAnsi" w:hAnsiTheme="minorHAnsi" w:cstheme="minorHAnsi"/>
          <w:i/>
          <w:iCs/>
          <w:shd w:val="clear" w:color="auto" w:fill="FFFFFF"/>
          <w:lang w:val="en-US"/>
        </w:rPr>
        <w:t>Start Date</w:t>
      </w:r>
      <w:r w:rsidR="00532BF8">
        <w:rPr>
          <w:rFonts w:asciiTheme="minorHAnsi" w:hAnsiTheme="minorHAnsi" w:cstheme="minorHAnsi"/>
          <w:shd w:val="clear" w:color="auto" w:fill="FFFFFF"/>
          <w:lang w:val="en-US"/>
        </w:rPr>
        <w:t xml:space="preserve">, </w:t>
      </w:r>
      <w:r w:rsidR="00532BF8" w:rsidRPr="00532BF8">
        <w:rPr>
          <w:rFonts w:asciiTheme="minorHAnsi" w:hAnsiTheme="minorHAnsi" w:cstheme="minorHAnsi"/>
          <w:i/>
          <w:iCs/>
          <w:shd w:val="clear" w:color="auto" w:fill="FFFFFF"/>
          <w:lang w:val="en-US"/>
        </w:rPr>
        <w:t>Duration</w:t>
      </w:r>
      <w:r w:rsidR="00532BF8">
        <w:rPr>
          <w:rFonts w:asciiTheme="minorHAnsi" w:hAnsiTheme="minorHAnsi" w:cstheme="minorHAnsi"/>
          <w:shd w:val="clear" w:color="auto" w:fill="FFFFFF"/>
          <w:lang w:val="en-US"/>
        </w:rPr>
        <w:t xml:space="preserve"> and </w:t>
      </w:r>
      <w:r w:rsidR="00DA6B44">
        <w:rPr>
          <w:rFonts w:asciiTheme="minorHAnsi" w:hAnsiTheme="minorHAnsi" w:cstheme="minorHAnsi"/>
          <w:i/>
          <w:iCs/>
          <w:shd w:val="clear" w:color="auto" w:fill="FFFFFF"/>
          <w:lang w:val="en-US"/>
        </w:rPr>
        <w:t>Area</w:t>
      </w:r>
      <w:r w:rsidR="00532BF8">
        <w:rPr>
          <w:rFonts w:asciiTheme="minorHAnsi" w:hAnsiTheme="minorHAnsi" w:cstheme="minorHAnsi"/>
          <w:shd w:val="clear" w:color="auto" w:fill="FFFFFF"/>
          <w:lang w:val="en-US"/>
        </w:rPr>
        <w:t xml:space="preserve"> of the possible event that it is looking for, like already done in the “</w:t>
      </w:r>
      <w:r w:rsidR="00532BF8" w:rsidRPr="00532BF8">
        <w:rPr>
          <w:rFonts w:asciiTheme="minorHAnsi" w:hAnsiTheme="minorHAnsi" w:cstheme="minorHAnsi"/>
          <w:i/>
          <w:iCs/>
          <w:shd w:val="clear" w:color="auto" w:fill="FFFFFF"/>
          <w:lang w:val="en-US"/>
        </w:rPr>
        <w:t>spike_only</w:t>
      </w:r>
      <w:r w:rsidR="00532BF8">
        <w:rPr>
          <w:rFonts w:asciiTheme="minorHAnsi" w:hAnsiTheme="minorHAnsi" w:cstheme="minorHAnsi"/>
          <w:shd w:val="clear" w:color="auto" w:fill="FFFFFF"/>
          <w:lang w:val="en-US"/>
        </w:rPr>
        <w:t xml:space="preserve">” method, </w:t>
      </w:r>
      <w:r w:rsidR="00394971">
        <w:rPr>
          <w:rFonts w:asciiTheme="minorHAnsi" w:hAnsiTheme="minorHAnsi" w:cstheme="minorHAnsi"/>
          <w:shd w:val="clear" w:color="auto" w:fill="FFFFFF"/>
          <w:lang w:val="en-US"/>
        </w:rPr>
        <w:t xml:space="preserve">infers other parameters, such as </w:t>
      </w:r>
      <w:r w:rsidR="00394971" w:rsidRPr="00394971">
        <w:rPr>
          <w:rFonts w:asciiTheme="minorHAnsi" w:hAnsiTheme="minorHAnsi" w:cstheme="minorHAnsi"/>
          <w:i/>
          <w:iCs/>
          <w:shd w:val="clear" w:color="auto" w:fill="FFFFFF"/>
          <w:lang w:val="en-US"/>
        </w:rPr>
        <w:t>Gradient</w:t>
      </w:r>
      <w:r w:rsidR="00394971">
        <w:rPr>
          <w:rFonts w:asciiTheme="minorHAnsi" w:hAnsiTheme="minorHAnsi" w:cstheme="minorHAnsi"/>
          <w:shd w:val="clear" w:color="auto" w:fill="FFFFFF"/>
          <w:lang w:val="en-US"/>
        </w:rPr>
        <w:t xml:space="preserve">, </w:t>
      </w:r>
      <w:r w:rsidR="00394971" w:rsidRPr="00394971">
        <w:rPr>
          <w:rFonts w:asciiTheme="minorHAnsi" w:hAnsiTheme="minorHAnsi" w:cstheme="minorHAnsi"/>
          <w:i/>
          <w:iCs/>
          <w:shd w:val="clear" w:color="auto" w:fill="FFFFFF"/>
          <w:lang w:val="en-US"/>
        </w:rPr>
        <w:t>Phi</w:t>
      </w:r>
      <w:r w:rsidR="00394971">
        <w:rPr>
          <w:rFonts w:asciiTheme="minorHAnsi" w:hAnsiTheme="minorHAnsi" w:cstheme="minorHAnsi"/>
          <w:shd w:val="clear" w:color="auto" w:fill="FFFFFF"/>
          <w:lang w:val="en-US"/>
        </w:rPr>
        <w:t xml:space="preserve">, and </w:t>
      </w:r>
      <w:r w:rsidR="00394971" w:rsidRPr="00394971">
        <w:rPr>
          <w:rFonts w:asciiTheme="minorHAnsi" w:hAnsiTheme="minorHAnsi" w:cstheme="minorHAnsi"/>
          <w:i/>
          <w:iCs/>
          <w:shd w:val="clear" w:color="auto" w:fill="FFFFFF"/>
          <w:lang w:val="en-US"/>
        </w:rPr>
        <w:t>Amplitude</w:t>
      </w:r>
      <w:r w:rsidR="00394971">
        <w:rPr>
          <w:rFonts w:asciiTheme="minorHAnsi" w:hAnsiTheme="minorHAnsi" w:cstheme="minorHAnsi"/>
          <w:shd w:val="clear" w:color="auto" w:fill="FFFFFF"/>
          <w:lang w:val="en-US"/>
        </w:rPr>
        <w:t xml:space="preserve">. It allows the model to fit to the data a sinusoid of phase </w:t>
      </w:r>
      <w:r w:rsidR="00394971" w:rsidRPr="00394971">
        <w:rPr>
          <w:rFonts w:asciiTheme="minorHAnsi" w:hAnsiTheme="minorHAnsi" w:cstheme="minorHAnsi"/>
          <w:i/>
          <w:iCs/>
          <w:shd w:val="clear" w:color="auto" w:fill="FFFFFF"/>
          <w:lang w:val="en-US"/>
        </w:rPr>
        <w:t>Phi</w:t>
      </w:r>
      <w:r w:rsidR="00394971">
        <w:rPr>
          <w:rFonts w:asciiTheme="minorHAnsi" w:hAnsiTheme="minorHAnsi" w:cstheme="minorHAnsi"/>
          <w:i/>
          <w:iCs/>
          <w:shd w:val="clear" w:color="auto" w:fill="FFFFFF"/>
          <w:lang w:val="en-US"/>
        </w:rPr>
        <w:t xml:space="preserve"> </w:t>
      </w:r>
      <w:r w:rsidR="00394971">
        <w:rPr>
          <w:rFonts w:asciiTheme="minorHAnsi" w:hAnsiTheme="minorHAnsi" w:cstheme="minorHAnsi"/>
          <w:shd w:val="clear" w:color="auto" w:fill="FFFFFF"/>
          <w:lang w:val="en-US"/>
        </w:rPr>
        <w:t xml:space="preserve">and amplitude </w:t>
      </w:r>
      <w:r w:rsidR="00394971" w:rsidRPr="00394971">
        <w:rPr>
          <w:rFonts w:asciiTheme="minorHAnsi" w:hAnsiTheme="minorHAnsi" w:cstheme="minorHAnsi"/>
          <w:i/>
          <w:iCs/>
          <w:shd w:val="clear" w:color="auto" w:fill="FFFFFF"/>
          <w:lang w:val="en-US"/>
        </w:rPr>
        <w:t>Amplitude</w:t>
      </w:r>
      <w:r w:rsidR="00394971">
        <w:rPr>
          <w:rFonts w:asciiTheme="minorHAnsi" w:hAnsiTheme="minorHAnsi" w:cstheme="minorHAnsi"/>
          <w:i/>
          <w:iCs/>
          <w:shd w:val="clear" w:color="auto" w:fill="FFFFFF"/>
          <w:lang w:val="en-US"/>
        </w:rPr>
        <w:t>,</w:t>
      </w:r>
      <w:r w:rsidR="00394971" w:rsidRPr="00394971">
        <w:rPr>
          <w:rFonts w:asciiTheme="minorHAnsi" w:hAnsiTheme="minorHAnsi" w:cstheme="minorHAnsi"/>
          <w:shd w:val="clear" w:color="auto" w:fill="FFFFFF"/>
          <w:lang w:val="en-US"/>
        </w:rPr>
        <w:t xml:space="preserve"> and a</w:t>
      </w:r>
      <w:r w:rsidR="00394971">
        <w:rPr>
          <w:rFonts w:asciiTheme="minorHAnsi" w:hAnsiTheme="minorHAnsi" w:cstheme="minorHAnsi"/>
          <w:shd w:val="clear" w:color="auto" w:fill="FFFFFF"/>
          <w:lang w:val="en-US"/>
        </w:rPr>
        <w:t xml:space="preserve"> trend given by the parameter </w:t>
      </w:r>
      <w:r w:rsidR="00394971" w:rsidRPr="00394971">
        <w:rPr>
          <w:rFonts w:asciiTheme="minorHAnsi" w:hAnsiTheme="minorHAnsi" w:cstheme="minorHAnsi"/>
          <w:i/>
          <w:iCs/>
          <w:shd w:val="clear" w:color="auto" w:fill="FFFFFF"/>
          <w:lang w:val="en-US"/>
        </w:rPr>
        <w:t>Gradient</w:t>
      </w:r>
      <w:r w:rsidR="00394971">
        <w:rPr>
          <w:rFonts w:asciiTheme="minorHAnsi" w:hAnsiTheme="minorHAnsi" w:cstheme="minorHAnsi"/>
          <w:i/>
          <w:iCs/>
          <w:shd w:val="clear" w:color="auto" w:fill="FFFFFF"/>
          <w:lang w:val="en-US"/>
        </w:rPr>
        <w:t>.</w:t>
      </w:r>
    </w:p>
    <w:p w14:paraId="4582095F" w14:textId="140C205C" w:rsidR="00394971" w:rsidRDefault="007A4193" w:rsidP="00714080">
      <w:pPr>
        <w:rPr>
          <w:rFonts w:asciiTheme="minorHAnsi" w:hAnsiTheme="minorHAnsi" w:cstheme="minorHAnsi"/>
          <w:shd w:val="clear" w:color="auto" w:fill="FFFFFF"/>
          <w:lang w:val="en-US"/>
        </w:rPr>
      </w:pPr>
      <w:r>
        <w:rPr>
          <w:rFonts w:asciiTheme="minorHAnsi" w:hAnsiTheme="minorHAnsi" w:cstheme="minorHAnsi"/>
          <w:shd w:val="clear" w:color="auto" w:fill="FFFFFF"/>
          <w:lang w:val="en-US"/>
        </w:rPr>
        <w:t>In order to allow a 11-year sinusoidal fit, the dataset need to be long enough to fit at least two full period. As this was not possible with the new datasets presented in this study, we overcame this obstacle analyzing different datasets:</w:t>
      </w:r>
    </w:p>
    <w:p w14:paraId="74136CF2" w14:textId="7C204F6A" w:rsidR="007A4193" w:rsidRDefault="007A4193" w:rsidP="00714080">
      <w:pPr>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 the 775 CE event, the dataset published by Miyake et al. 2012.</w:t>
      </w:r>
    </w:p>
    <w:p w14:paraId="00926578" w14:textId="0D91C473" w:rsidR="007A4193" w:rsidRDefault="007A4193" w:rsidP="00714080">
      <w:pPr>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 the 1052CE event candidate, we concatenated our dataset with the dataset from Eastoe et al. 2019, averaging together the measurements corresponding to overlapping years.</w:t>
      </w:r>
    </w:p>
    <w:p w14:paraId="3B4A2DCF" w14:textId="2204E388" w:rsidR="007A4193" w:rsidRDefault="007A4193" w:rsidP="007A4193">
      <w:pPr>
        <w:rPr>
          <w:rFonts w:asciiTheme="minorHAnsi" w:hAnsiTheme="minorHAnsi" w:cstheme="minorHAnsi"/>
          <w:shd w:val="clear" w:color="auto" w:fill="FFFFFF"/>
          <w:lang w:val="en-US"/>
        </w:rPr>
      </w:pPr>
      <w:r>
        <w:rPr>
          <w:rFonts w:asciiTheme="minorHAnsi" w:hAnsiTheme="minorHAnsi" w:cstheme="minorHAnsi"/>
          <w:shd w:val="clear" w:color="auto" w:fill="FFFFFF"/>
          <w:lang w:val="en-US"/>
        </w:rPr>
        <w:t>Similarly, for the 1052CE event candidate, we concatenated our dataset with the dataset from Brehm et al. 2021, averaging together the measurements corresponding to overlapping years.</w:t>
      </w:r>
    </w:p>
    <w:p w14:paraId="112485E9" w14:textId="579CB539" w:rsidR="007A4193" w:rsidRDefault="007A4193" w:rsidP="007A4193">
      <w:pPr>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 the 540</w:t>
      </w:r>
      <w:r w:rsidR="006F7335">
        <w:rPr>
          <w:rFonts w:asciiTheme="minorHAnsi" w:hAnsiTheme="minorHAnsi" w:cstheme="minorHAnsi"/>
          <w:shd w:val="clear" w:color="auto" w:fill="FFFFFF"/>
          <w:lang w:val="en-US"/>
        </w:rPr>
        <w:t>s CE feature, we used our original dataset presented in this study, as it allowed this analysis.</w:t>
      </w:r>
    </w:p>
    <w:p w14:paraId="27DA0178" w14:textId="5EAE80A8" w:rsidR="006F7335" w:rsidRDefault="006F7335" w:rsidP="007A4193">
      <w:pPr>
        <w:rPr>
          <w:rFonts w:asciiTheme="minorHAnsi" w:hAnsiTheme="minorHAnsi" w:cstheme="minorHAnsi"/>
          <w:shd w:val="clear" w:color="auto" w:fill="FFFFFF"/>
          <w:lang w:val="en-US"/>
        </w:rPr>
      </w:pPr>
      <w:r>
        <w:rPr>
          <w:rFonts w:asciiTheme="minorHAnsi" w:hAnsiTheme="minorHAnsi" w:cstheme="minorHAnsi"/>
          <w:shd w:val="clear" w:color="auto" w:fill="FFFFFF"/>
          <w:lang w:val="en-US"/>
        </w:rPr>
        <w:t>The results of each analysis are reported below.</w:t>
      </w:r>
    </w:p>
    <w:p w14:paraId="6871BC74" w14:textId="77777777" w:rsidR="007A4193" w:rsidRPr="00394971" w:rsidRDefault="007A4193" w:rsidP="00714080">
      <w:pPr>
        <w:rPr>
          <w:rFonts w:asciiTheme="minorHAnsi" w:hAnsiTheme="minorHAnsi" w:cstheme="minorHAnsi"/>
          <w:shd w:val="clear" w:color="auto" w:fill="FFFFFF"/>
          <w:lang w:val="en-US"/>
        </w:rPr>
      </w:pPr>
    </w:p>
    <w:p w14:paraId="7B31A94D" w14:textId="77777777" w:rsidR="00514262" w:rsidRDefault="00514262" w:rsidP="00714080">
      <w:pPr>
        <w:rPr>
          <w:rFonts w:asciiTheme="minorHAnsi" w:hAnsiTheme="minorHAnsi" w:cstheme="minorHAnsi"/>
          <w:shd w:val="clear" w:color="auto" w:fill="FFFFFF"/>
          <w:lang w:val="en-US"/>
        </w:rPr>
      </w:pPr>
    </w:p>
    <w:p w14:paraId="14222D2B" w14:textId="77777777" w:rsidR="00514262" w:rsidRDefault="00514262" w:rsidP="00714080">
      <w:pPr>
        <w:rPr>
          <w:rFonts w:asciiTheme="minorHAnsi" w:hAnsiTheme="minorHAnsi" w:cstheme="minorHAnsi"/>
          <w:shd w:val="clear" w:color="auto" w:fill="FFFFFF"/>
          <w:lang w:val="en-US"/>
        </w:rPr>
      </w:pPr>
    </w:p>
    <w:p w14:paraId="6E88AC94" w14:textId="654789ED" w:rsidR="00F12279" w:rsidRPr="00B373D5" w:rsidRDefault="002B0541" w:rsidP="00714080">
      <w:pPr>
        <w:rPr>
          <w:rFonts w:asciiTheme="minorHAnsi" w:hAnsiTheme="minorHAnsi" w:cstheme="minorHAnsi"/>
          <w:shd w:val="clear" w:color="auto" w:fill="FFFFFF"/>
          <w:lang w:val="en-US"/>
        </w:rPr>
      </w:pPr>
      <w:r>
        <w:rPr>
          <w:rFonts w:asciiTheme="minorHAnsi" w:hAnsiTheme="minorHAnsi" w:cstheme="minorHAnsi"/>
          <w:noProof/>
          <w:shd w:val="clear" w:color="auto" w:fill="FFFFFF"/>
          <w:lang w:val="en-US"/>
        </w:rPr>
        <w:lastRenderedPageBreak/>
        <w:drawing>
          <wp:inline distT="0" distB="0" distL="0" distR="0" wp14:anchorId="2D98DB84" wp14:editId="2245B459">
            <wp:extent cx="5731510" cy="8110855"/>
            <wp:effectExtent l="0" t="0" r="0" b="0"/>
            <wp:docPr id="1380251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51039" name="Picture 1380251039"/>
                    <pic:cNvPicPr/>
                  </pic:nvPicPr>
                  <pic:blipFill>
                    <a:blip r:embed="rId9">
                      <a:extLst>
                        <a:ext uri="{28A0092B-C50C-407E-A947-70E740481C1C}">
                          <a14:useLocalDpi xmlns:a14="http://schemas.microsoft.com/office/drawing/2010/main" val="0"/>
                        </a:ext>
                      </a:extLst>
                    </a:blip>
                    <a:stretch>
                      <a:fillRect/>
                    </a:stretch>
                  </pic:blipFill>
                  <pic:spPr>
                    <a:xfrm>
                      <a:off x="0" y="0"/>
                      <a:ext cx="5731510" cy="8110855"/>
                    </a:xfrm>
                    <a:prstGeom prst="rect">
                      <a:avLst/>
                    </a:prstGeom>
                  </pic:spPr>
                </pic:pic>
              </a:graphicData>
            </a:graphic>
          </wp:inline>
        </w:drawing>
      </w:r>
      <w:r w:rsidR="00F12279" w:rsidRPr="00514262">
        <w:rPr>
          <w:rFonts w:asciiTheme="minorHAnsi" w:hAnsiTheme="minorHAnsi" w:cstheme="minorHAnsi"/>
          <w:b/>
          <w:bCs/>
          <w:lang w:val="en-US" w:eastAsia="en-US"/>
        </w:rPr>
        <w:t xml:space="preserve">Figure </w:t>
      </w:r>
      <w:r w:rsidR="00F12279" w:rsidRPr="00514262">
        <w:rPr>
          <w:rFonts w:asciiTheme="minorHAnsi" w:hAnsiTheme="minorHAnsi" w:cstheme="minorHAnsi"/>
          <w:b/>
          <w:bCs/>
          <w:lang w:val="en-US"/>
        </w:rPr>
        <w:t>5</w:t>
      </w:r>
      <w:r w:rsidR="00F12279" w:rsidRPr="00514262">
        <w:rPr>
          <w:rFonts w:asciiTheme="minorHAnsi" w:hAnsiTheme="minorHAnsi" w:cstheme="minorHAnsi"/>
          <w:b/>
          <w:bCs/>
          <w:lang w:val="en-US" w:eastAsia="en-US"/>
        </w:rPr>
        <w:t xml:space="preserve">-SI: </w:t>
      </w:r>
      <w:r w:rsidR="00514262" w:rsidRPr="00514262">
        <w:rPr>
          <w:rFonts w:asciiTheme="minorHAnsi" w:hAnsiTheme="minorHAnsi" w:cstheme="minorHAnsi"/>
          <w:b/>
          <w:bCs/>
        </w:rPr>
        <w:t>On the top (A),</w:t>
      </w:r>
      <w:r w:rsidR="00514262">
        <w:rPr>
          <w:rFonts w:asciiTheme="minorHAnsi" w:hAnsiTheme="minorHAnsi" w:cstheme="minorHAnsi"/>
          <w:b/>
          <w:bCs/>
        </w:rPr>
        <w:t xml:space="preserve"> </w:t>
      </w:r>
      <w:r w:rsidR="00514262" w:rsidRPr="00514262">
        <w:rPr>
          <w:rFonts w:asciiTheme="minorHAnsi" w:hAnsiTheme="minorHAnsi" w:cstheme="minorHAnsi"/>
          <w:b/>
          <w:bCs/>
        </w:rPr>
        <w:t xml:space="preserve">the </w:t>
      </w:r>
      <w:r w:rsidR="00514262" w:rsidRPr="00514262">
        <w:rPr>
          <w:rFonts w:asciiTheme="minorHAnsi" w:hAnsiTheme="minorHAnsi" w:cstheme="minorHAnsi"/>
          <w:b/>
          <w:bCs/>
          <w:vertAlign w:val="superscript"/>
        </w:rPr>
        <w:t>14</w:t>
      </w:r>
      <w:r w:rsidR="00514262" w:rsidRPr="00514262">
        <w:rPr>
          <w:rFonts w:asciiTheme="minorHAnsi" w:hAnsiTheme="minorHAnsi" w:cstheme="minorHAnsi"/>
          <w:b/>
          <w:bCs/>
        </w:rPr>
        <w:t xml:space="preserve">C </w:t>
      </w:r>
      <w:r w:rsidR="00514262">
        <w:rPr>
          <w:rFonts w:asciiTheme="minorHAnsi" w:hAnsiTheme="minorHAnsi" w:cstheme="minorHAnsi"/>
          <w:b/>
          <w:bCs/>
        </w:rPr>
        <w:t>time series from</w:t>
      </w:r>
      <w:r w:rsidR="00514262" w:rsidRPr="00514262">
        <w:rPr>
          <w:rFonts w:asciiTheme="minorHAnsi" w:hAnsiTheme="minorHAnsi" w:cstheme="minorHAnsi"/>
          <w:b/>
          <w:bCs/>
        </w:rPr>
        <w:t xml:space="preserve"> </w:t>
      </w:r>
      <w:r w:rsidR="00514262">
        <w:rPr>
          <w:rFonts w:asciiTheme="minorHAnsi" w:hAnsiTheme="minorHAnsi" w:cstheme="minorHAnsi"/>
          <w:b/>
          <w:bCs/>
        </w:rPr>
        <w:t>Miyake</w:t>
      </w:r>
      <w:r w:rsidR="00514262" w:rsidRPr="00514262">
        <w:rPr>
          <w:rFonts w:asciiTheme="minorHAnsi" w:hAnsiTheme="minorHAnsi" w:cstheme="minorHAnsi"/>
          <w:b/>
          <w:bCs/>
        </w:rPr>
        <w:t xml:space="preserve"> et al. (201</w:t>
      </w:r>
      <w:r w:rsidR="00514262">
        <w:rPr>
          <w:rFonts w:asciiTheme="minorHAnsi" w:hAnsiTheme="minorHAnsi" w:cstheme="minorHAnsi"/>
          <w:b/>
          <w:bCs/>
        </w:rPr>
        <w:t>2</w:t>
      </w:r>
      <w:r w:rsidR="00514262" w:rsidRPr="00514262">
        <w:rPr>
          <w:rFonts w:asciiTheme="minorHAnsi" w:hAnsiTheme="minorHAnsi" w:cstheme="minorHAnsi"/>
          <w:b/>
          <w:bCs/>
        </w:rPr>
        <w:t>). The green lines are the ticktack model results. On the bottom (B), results of the ticktack analysis over the same dataset, showing the surface distribution of the modelled posterior parameters</w:t>
      </w:r>
      <w:r w:rsidR="00ED61FF">
        <w:rPr>
          <w:rFonts w:asciiTheme="minorHAnsi" w:hAnsiTheme="minorHAnsi" w:cstheme="minorHAnsi"/>
          <w:b/>
          <w:bCs/>
        </w:rPr>
        <w:t>.</w:t>
      </w:r>
    </w:p>
    <w:p w14:paraId="332FC1BD" w14:textId="5D473956" w:rsidR="00F12279" w:rsidRDefault="002B0541" w:rsidP="00714080">
      <w:pPr>
        <w:rPr>
          <w:rFonts w:asciiTheme="minorHAnsi" w:hAnsiTheme="minorHAnsi" w:cstheme="minorHAnsi"/>
          <w:shd w:val="clear" w:color="auto" w:fill="FFFFFF"/>
          <w:lang w:val="en-US"/>
        </w:rPr>
      </w:pPr>
      <w:r>
        <w:rPr>
          <w:rFonts w:asciiTheme="minorHAnsi" w:hAnsiTheme="minorHAnsi" w:cstheme="minorHAnsi"/>
          <w:b/>
          <w:bCs/>
          <w:noProof/>
          <w:lang w:val="en-US" w:eastAsia="en-US"/>
        </w:rPr>
        <w:lastRenderedPageBreak/>
        <w:drawing>
          <wp:inline distT="0" distB="0" distL="0" distR="0" wp14:anchorId="106F8378" wp14:editId="3D711AE8">
            <wp:extent cx="5656929" cy="8005313"/>
            <wp:effectExtent l="0" t="0" r="0" b="0"/>
            <wp:docPr id="587868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68261" name="Picture 587868261"/>
                    <pic:cNvPicPr/>
                  </pic:nvPicPr>
                  <pic:blipFill>
                    <a:blip r:embed="rId10">
                      <a:extLst>
                        <a:ext uri="{28A0092B-C50C-407E-A947-70E740481C1C}">
                          <a14:useLocalDpi xmlns:a14="http://schemas.microsoft.com/office/drawing/2010/main" val="0"/>
                        </a:ext>
                      </a:extLst>
                    </a:blip>
                    <a:stretch>
                      <a:fillRect/>
                    </a:stretch>
                  </pic:blipFill>
                  <pic:spPr>
                    <a:xfrm>
                      <a:off x="0" y="0"/>
                      <a:ext cx="5659745" cy="8009298"/>
                    </a:xfrm>
                    <a:prstGeom prst="rect">
                      <a:avLst/>
                    </a:prstGeom>
                  </pic:spPr>
                </pic:pic>
              </a:graphicData>
            </a:graphic>
          </wp:inline>
        </w:drawing>
      </w:r>
      <w:r w:rsidR="00514262" w:rsidRPr="00514262">
        <w:rPr>
          <w:rFonts w:asciiTheme="minorHAnsi" w:hAnsiTheme="minorHAnsi" w:cstheme="minorHAnsi"/>
          <w:b/>
          <w:bCs/>
          <w:lang w:val="en-US" w:eastAsia="en-US"/>
        </w:rPr>
        <w:t xml:space="preserve">Figure </w:t>
      </w:r>
      <w:r w:rsidR="00514262">
        <w:rPr>
          <w:rFonts w:asciiTheme="minorHAnsi" w:hAnsiTheme="minorHAnsi" w:cstheme="minorHAnsi"/>
          <w:b/>
          <w:bCs/>
          <w:lang w:val="en-US"/>
        </w:rPr>
        <w:t>6</w:t>
      </w:r>
      <w:r w:rsidR="00514262" w:rsidRPr="00514262">
        <w:rPr>
          <w:rFonts w:asciiTheme="minorHAnsi" w:hAnsiTheme="minorHAnsi" w:cstheme="minorHAnsi"/>
          <w:b/>
          <w:bCs/>
          <w:lang w:val="en-US" w:eastAsia="en-US"/>
        </w:rPr>
        <w:t xml:space="preserve">-SI: </w:t>
      </w:r>
      <w:r w:rsidR="00514262" w:rsidRPr="00514262">
        <w:rPr>
          <w:rFonts w:asciiTheme="minorHAnsi" w:hAnsiTheme="minorHAnsi" w:cstheme="minorHAnsi"/>
          <w:b/>
          <w:bCs/>
        </w:rPr>
        <w:t>On the top (A),</w:t>
      </w:r>
      <w:r w:rsidR="00514262">
        <w:rPr>
          <w:rFonts w:asciiTheme="minorHAnsi" w:hAnsiTheme="minorHAnsi" w:cstheme="minorHAnsi"/>
          <w:b/>
          <w:bCs/>
        </w:rPr>
        <w:t xml:space="preserve"> </w:t>
      </w:r>
      <w:r w:rsidR="00514262" w:rsidRPr="00514262">
        <w:rPr>
          <w:rFonts w:asciiTheme="minorHAnsi" w:hAnsiTheme="minorHAnsi" w:cstheme="minorHAnsi"/>
          <w:b/>
          <w:bCs/>
        </w:rPr>
        <w:t xml:space="preserve">the </w:t>
      </w:r>
      <w:r w:rsidR="00514262" w:rsidRPr="00514262">
        <w:rPr>
          <w:rFonts w:asciiTheme="minorHAnsi" w:hAnsiTheme="minorHAnsi" w:cstheme="minorHAnsi"/>
          <w:b/>
          <w:bCs/>
          <w:vertAlign w:val="superscript"/>
        </w:rPr>
        <w:t>14</w:t>
      </w:r>
      <w:r w:rsidR="00514262" w:rsidRPr="00514262">
        <w:rPr>
          <w:rFonts w:asciiTheme="minorHAnsi" w:hAnsiTheme="minorHAnsi" w:cstheme="minorHAnsi"/>
          <w:b/>
          <w:bCs/>
        </w:rPr>
        <w:t xml:space="preserve">C </w:t>
      </w:r>
      <w:r w:rsidR="00514262">
        <w:rPr>
          <w:rFonts w:asciiTheme="minorHAnsi" w:hAnsiTheme="minorHAnsi" w:cstheme="minorHAnsi"/>
          <w:b/>
          <w:bCs/>
        </w:rPr>
        <w:t>hybrid time series, result of concatenating and averaging our dataset with the dataset from Eastoe</w:t>
      </w:r>
      <w:r w:rsidR="00514262" w:rsidRPr="00514262">
        <w:rPr>
          <w:rFonts w:asciiTheme="minorHAnsi" w:hAnsiTheme="minorHAnsi" w:cstheme="minorHAnsi"/>
          <w:b/>
          <w:bCs/>
        </w:rPr>
        <w:t xml:space="preserve"> et al. (201</w:t>
      </w:r>
      <w:r w:rsidR="001538B2">
        <w:rPr>
          <w:rFonts w:asciiTheme="minorHAnsi" w:hAnsiTheme="minorHAnsi" w:cstheme="minorHAnsi"/>
          <w:b/>
          <w:bCs/>
        </w:rPr>
        <w:t>9</w:t>
      </w:r>
      <w:r w:rsidR="00514262" w:rsidRPr="00514262">
        <w:rPr>
          <w:rFonts w:asciiTheme="minorHAnsi" w:hAnsiTheme="minorHAnsi" w:cstheme="minorHAnsi"/>
          <w:b/>
          <w:bCs/>
        </w:rPr>
        <w:t>). The green lines are the ticktack model results.</w:t>
      </w:r>
      <w:r w:rsidR="00B373D5">
        <w:rPr>
          <w:rFonts w:asciiTheme="minorHAnsi" w:hAnsiTheme="minorHAnsi" w:cstheme="minorHAnsi"/>
          <w:b/>
          <w:bCs/>
        </w:rPr>
        <w:t xml:space="preserve"> </w:t>
      </w:r>
      <w:r w:rsidR="00514262" w:rsidRPr="00514262">
        <w:rPr>
          <w:rFonts w:asciiTheme="minorHAnsi" w:hAnsiTheme="minorHAnsi" w:cstheme="minorHAnsi"/>
          <w:b/>
          <w:bCs/>
        </w:rPr>
        <w:t>On the bottom (B), results of the ticktack analysis over the same dataset, showing the surface distribution of the modelled posterior parameters.</w:t>
      </w:r>
    </w:p>
    <w:p w14:paraId="4D03B44D" w14:textId="031DCF3B" w:rsidR="008A19C9" w:rsidRPr="008A19C9" w:rsidRDefault="002B0541" w:rsidP="008A19C9">
      <w:pPr>
        <w:rPr>
          <w:rFonts w:asciiTheme="minorHAnsi" w:hAnsiTheme="minorHAnsi" w:cstheme="minorHAnsi"/>
          <w:b/>
          <w:bCs/>
          <w:lang w:val="en-US" w:eastAsia="en-US"/>
        </w:rPr>
      </w:pPr>
      <w:r>
        <w:rPr>
          <w:rFonts w:asciiTheme="minorHAnsi" w:hAnsiTheme="minorHAnsi" w:cstheme="minorHAnsi"/>
          <w:b/>
          <w:bCs/>
          <w:noProof/>
          <w:lang w:val="en-US" w:eastAsia="en-US"/>
        </w:rPr>
        <w:lastRenderedPageBreak/>
        <w:drawing>
          <wp:inline distT="0" distB="0" distL="0" distR="0" wp14:anchorId="29A3ADE0" wp14:editId="70059A2E">
            <wp:extent cx="5669121" cy="8022566"/>
            <wp:effectExtent l="0" t="0" r="0" b="0"/>
            <wp:docPr id="11828838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83805" name="Picture 1182883805"/>
                    <pic:cNvPicPr/>
                  </pic:nvPicPr>
                  <pic:blipFill>
                    <a:blip r:embed="rId11">
                      <a:extLst>
                        <a:ext uri="{28A0092B-C50C-407E-A947-70E740481C1C}">
                          <a14:useLocalDpi xmlns:a14="http://schemas.microsoft.com/office/drawing/2010/main" val="0"/>
                        </a:ext>
                      </a:extLst>
                    </a:blip>
                    <a:stretch>
                      <a:fillRect/>
                    </a:stretch>
                  </pic:blipFill>
                  <pic:spPr>
                    <a:xfrm>
                      <a:off x="0" y="0"/>
                      <a:ext cx="5671832" cy="8026403"/>
                    </a:xfrm>
                    <a:prstGeom prst="rect">
                      <a:avLst/>
                    </a:prstGeom>
                  </pic:spPr>
                </pic:pic>
              </a:graphicData>
            </a:graphic>
          </wp:inline>
        </w:drawing>
      </w:r>
      <w:r w:rsidR="001538B2" w:rsidRPr="00514262">
        <w:rPr>
          <w:rFonts w:asciiTheme="minorHAnsi" w:hAnsiTheme="minorHAnsi" w:cstheme="minorHAnsi"/>
          <w:b/>
          <w:bCs/>
          <w:lang w:val="en-US" w:eastAsia="en-US"/>
        </w:rPr>
        <w:t xml:space="preserve">Figure </w:t>
      </w:r>
      <w:r w:rsidR="001538B2">
        <w:rPr>
          <w:rFonts w:asciiTheme="minorHAnsi" w:hAnsiTheme="minorHAnsi" w:cstheme="minorHAnsi"/>
          <w:b/>
          <w:bCs/>
          <w:lang w:val="en-US"/>
        </w:rPr>
        <w:t>7</w:t>
      </w:r>
      <w:r w:rsidR="001538B2" w:rsidRPr="00514262">
        <w:rPr>
          <w:rFonts w:asciiTheme="minorHAnsi" w:hAnsiTheme="minorHAnsi" w:cstheme="minorHAnsi"/>
          <w:b/>
          <w:bCs/>
          <w:lang w:val="en-US" w:eastAsia="en-US"/>
        </w:rPr>
        <w:t xml:space="preserve">-SI: </w:t>
      </w:r>
      <w:r w:rsidR="001538B2" w:rsidRPr="00514262">
        <w:rPr>
          <w:rFonts w:asciiTheme="minorHAnsi" w:hAnsiTheme="minorHAnsi" w:cstheme="minorHAnsi"/>
          <w:b/>
          <w:bCs/>
        </w:rPr>
        <w:t>On the top (A),</w:t>
      </w:r>
      <w:r w:rsidR="001538B2">
        <w:rPr>
          <w:rFonts w:asciiTheme="minorHAnsi" w:hAnsiTheme="minorHAnsi" w:cstheme="minorHAnsi"/>
          <w:b/>
          <w:bCs/>
        </w:rPr>
        <w:t xml:space="preserve"> </w:t>
      </w:r>
      <w:r w:rsidR="001538B2" w:rsidRPr="00514262">
        <w:rPr>
          <w:rFonts w:asciiTheme="minorHAnsi" w:hAnsiTheme="minorHAnsi" w:cstheme="minorHAnsi"/>
          <w:b/>
          <w:bCs/>
        </w:rPr>
        <w:t xml:space="preserve">the </w:t>
      </w:r>
      <w:r w:rsidR="001538B2" w:rsidRPr="00514262">
        <w:rPr>
          <w:rFonts w:asciiTheme="minorHAnsi" w:hAnsiTheme="minorHAnsi" w:cstheme="minorHAnsi"/>
          <w:b/>
          <w:bCs/>
          <w:vertAlign w:val="superscript"/>
        </w:rPr>
        <w:t>14</w:t>
      </w:r>
      <w:r w:rsidR="001538B2" w:rsidRPr="00514262">
        <w:rPr>
          <w:rFonts w:asciiTheme="minorHAnsi" w:hAnsiTheme="minorHAnsi" w:cstheme="minorHAnsi"/>
          <w:b/>
          <w:bCs/>
        </w:rPr>
        <w:t xml:space="preserve">C </w:t>
      </w:r>
      <w:r w:rsidR="001538B2">
        <w:rPr>
          <w:rFonts w:asciiTheme="minorHAnsi" w:hAnsiTheme="minorHAnsi" w:cstheme="minorHAnsi"/>
          <w:b/>
          <w:bCs/>
        </w:rPr>
        <w:t>hybrid time series, result of concatenating and averaging our dataset with the dataset from Brehm</w:t>
      </w:r>
      <w:r w:rsidR="001538B2" w:rsidRPr="00514262">
        <w:rPr>
          <w:rFonts w:asciiTheme="minorHAnsi" w:hAnsiTheme="minorHAnsi" w:cstheme="minorHAnsi"/>
          <w:b/>
          <w:bCs/>
        </w:rPr>
        <w:t xml:space="preserve"> et al. (20</w:t>
      </w:r>
      <w:r w:rsidR="001538B2">
        <w:rPr>
          <w:rFonts w:asciiTheme="minorHAnsi" w:hAnsiTheme="minorHAnsi" w:cstheme="minorHAnsi"/>
          <w:b/>
          <w:bCs/>
        </w:rPr>
        <w:t>21</w:t>
      </w:r>
      <w:r w:rsidR="001538B2" w:rsidRPr="00514262">
        <w:rPr>
          <w:rFonts w:asciiTheme="minorHAnsi" w:hAnsiTheme="minorHAnsi" w:cstheme="minorHAnsi"/>
          <w:b/>
          <w:bCs/>
        </w:rPr>
        <w:t>). The green lines are the ticktack model results. On the bottom (B), results of the ticktack analysis over the same dataset, showing the surface</w:t>
      </w:r>
      <w:r w:rsidR="008A19C9">
        <w:rPr>
          <w:rFonts w:asciiTheme="minorHAnsi" w:hAnsiTheme="minorHAnsi" w:cstheme="minorHAnsi"/>
          <w:b/>
          <w:bCs/>
        </w:rPr>
        <w:t xml:space="preserve"> </w:t>
      </w:r>
      <w:r w:rsidR="008A19C9" w:rsidRPr="00514262">
        <w:rPr>
          <w:rFonts w:asciiTheme="minorHAnsi" w:hAnsiTheme="minorHAnsi" w:cstheme="minorHAnsi"/>
          <w:b/>
          <w:bCs/>
        </w:rPr>
        <w:t>distribution of the modelled posterior parameters</w:t>
      </w:r>
      <w:r w:rsidR="008A19C9">
        <w:rPr>
          <w:rFonts w:asciiTheme="minorHAnsi" w:hAnsiTheme="minorHAnsi" w:cstheme="minorHAnsi"/>
          <w:b/>
          <w:bCs/>
        </w:rPr>
        <w:t>.</w:t>
      </w:r>
    </w:p>
    <w:p w14:paraId="7A6CD1E6" w14:textId="070D1C03" w:rsidR="00D463C0" w:rsidRPr="008A19C9" w:rsidRDefault="002B0541" w:rsidP="008A19C9">
      <w:pPr>
        <w:jc w:val="center"/>
        <w:rPr>
          <w:rFonts w:asciiTheme="minorHAnsi" w:hAnsiTheme="minorHAnsi" w:cstheme="minorHAnsi"/>
          <w:b/>
          <w:bCs/>
        </w:rPr>
      </w:pPr>
      <w:r>
        <w:rPr>
          <w:rFonts w:asciiTheme="minorHAnsi" w:hAnsiTheme="minorHAnsi" w:cstheme="minorHAnsi"/>
          <w:b/>
          <w:noProof/>
        </w:rPr>
        <w:lastRenderedPageBreak/>
        <w:drawing>
          <wp:inline distT="0" distB="0" distL="0" distR="0" wp14:anchorId="1CF8472E" wp14:editId="4BBB81B0">
            <wp:extent cx="5731510" cy="8110855"/>
            <wp:effectExtent l="0" t="0" r="0" b="0"/>
            <wp:docPr id="15958210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21063" name="Picture 1595821063"/>
                    <pic:cNvPicPr/>
                  </pic:nvPicPr>
                  <pic:blipFill>
                    <a:blip r:embed="rId12">
                      <a:extLst>
                        <a:ext uri="{28A0092B-C50C-407E-A947-70E740481C1C}">
                          <a14:useLocalDpi xmlns:a14="http://schemas.microsoft.com/office/drawing/2010/main" val="0"/>
                        </a:ext>
                      </a:extLst>
                    </a:blip>
                    <a:stretch>
                      <a:fillRect/>
                    </a:stretch>
                  </pic:blipFill>
                  <pic:spPr>
                    <a:xfrm>
                      <a:off x="0" y="0"/>
                      <a:ext cx="5731510" cy="8110855"/>
                    </a:xfrm>
                    <a:prstGeom prst="rect">
                      <a:avLst/>
                    </a:prstGeom>
                  </pic:spPr>
                </pic:pic>
              </a:graphicData>
            </a:graphic>
          </wp:inline>
        </w:drawing>
      </w:r>
      <w:r w:rsidR="001538B2">
        <w:rPr>
          <w:rFonts w:asciiTheme="minorHAnsi" w:hAnsiTheme="minorHAnsi" w:cstheme="minorHAnsi"/>
          <w:b/>
        </w:rPr>
        <w:t xml:space="preserve">Figure 8-SI. On the top (A), results of the </w:t>
      </w:r>
      <w:r w:rsidR="001538B2" w:rsidRPr="00121D1E">
        <w:rPr>
          <w:rFonts w:asciiTheme="minorHAnsi" w:hAnsiTheme="minorHAnsi" w:cstheme="minorHAnsi"/>
          <w:b/>
          <w:vertAlign w:val="superscript"/>
        </w:rPr>
        <w:t>14</w:t>
      </w:r>
      <w:r w:rsidR="001538B2">
        <w:rPr>
          <w:rFonts w:asciiTheme="minorHAnsi" w:hAnsiTheme="minorHAnsi" w:cstheme="minorHAnsi"/>
          <w:b/>
        </w:rPr>
        <w:t>C analysis over the sample 14.0123.121. The green lines are the</w:t>
      </w:r>
      <w:r w:rsidR="001538B2">
        <w:rPr>
          <w:rFonts w:ascii="Courier New" w:hAnsi="Courier New" w:cs="Courier New"/>
          <w:b/>
        </w:rPr>
        <w:t xml:space="preserve"> </w:t>
      </w:r>
      <w:r w:rsidR="001538B2" w:rsidRPr="00834DEE">
        <w:rPr>
          <w:rFonts w:ascii="Courier New" w:hAnsi="Courier New" w:cs="Courier New"/>
          <w:b/>
        </w:rPr>
        <w:t>ticktack</w:t>
      </w:r>
      <w:r w:rsidR="001538B2">
        <w:rPr>
          <w:rFonts w:asciiTheme="minorHAnsi" w:hAnsiTheme="minorHAnsi" w:cstheme="minorHAnsi"/>
          <w:b/>
        </w:rPr>
        <w:t xml:space="preserve"> model results. On the bottom (B), results of the</w:t>
      </w:r>
      <w:r w:rsidR="001538B2" w:rsidRPr="00834DEE">
        <w:rPr>
          <w:rFonts w:asciiTheme="minorHAnsi" w:hAnsiTheme="minorHAnsi" w:cstheme="minorHAnsi"/>
          <w:b/>
        </w:rPr>
        <w:t xml:space="preserve"> </w:t>
      </w:r>
      <w:r w:rsidR="001538B2" w:rsidRPr="00834DEE">
        <w:rPr>
          <w:rFonts w:ascii="Courier New" w:hAnsi="Courier New" w:cs="Courier New"/>
          <w:b/>
        </w:rPr>
        <w:t>ticktack</w:t>
      </w:r>
      <w:r w:rsidR="001538B2" w:rsidRPr="00834DEE">
        <w:rPr>
          <w:rFonts w:asciiTheme="minorHAnsi" w:hAnsiTheme="minorHAnsi" w:cstheme="minorHAnsi"/>
          <w:b/>
        </w:rPr>
        <w:t xml:space="preserve"> analysis</w:t>
      </w:r>
      <w:r w:rsidR="001538B2">
        <w:rPr>
          <w:rFonts w:asciiTheme="minorHAnsi" w:hAnsiTheme="minorHAnsi" w:cstheme="minorHAnsi"/>
          <w:b/>
        </w:rPr>
        <w:t xml:space="preserve"> over the same dataset, showing the surface distribution of the modelled posterior parameters.</w:t>
      </w:r>
      <w:r w:rsidR="001538B2" w:rsidRPr="00B96DFD">
        <w:rPr>
          <w:sz w:val="2"/>
          <w:szCs w:val="2"/>
        </w:rPr>
        <w:t xml:space="preserve"> </w:t>
      </w:r>
    </w:p>
    <w:p w14:paraId="0C304C6F" w14:textId="41CF211A" w:rsidR="00A756DE" w:rsidRPr="003F511D" w:rsidRDefault="00714080" w:rsidP="00714080">
      <w:pPr>
        <w:pStyle w:val="Heading3"/>
        <w:jc w:val="center"/>
      </w:pPr>
      <w:r w:rsidRPr="003F511D">
        <w:lastRenderedPageBreak/>
        <w:t xml:space="preserve">Supplementary Information </w:t>
      </w:r>
      <w:r w:rsidR="003E3098">
        <w:t>5</w:t>
      </w:r>
      <w:r w:rsidRPr="003F511D">
        <w:t xml:space="preserve"> (SI</w:t>
      </w:r>
      <w:r w:rsidR="003E3098">
        <w:t>5</w:t>
      </w:r>
      <w:r w:rsidRPr="003F511D">
        <w:t xml:space="preserve">): </w:t>
      </w:r>
    </w:p>
    <w:p w14:paraId="1ECE64C9" w14:textId="549CE0E6" w:rsidR="002955E2" w:rsidRPr="003F511D" w:rsidRDefault="002955E2" w:rsidP="00714080">
      <w:pPr>
        <w:pStyle w:val="Heading3"/>
        <w:jc w:val="center"/>
      </w:pPr>
      <w:r w:rsidRPr="003F511D">
        <w:t>Dendrochronology</w:t>
      </w:r>
      <w:r w:rsidR="005D06D5" w:rsidRPr="003F511D">
        <w:t xml:space="preserve"> of Historic England samples</w:t>
      </w:r>
    </w:p>
    <w:p w14:paraId="6D978988" w14:textId="77777777" w:rsidR="00714080" w:rsidRPr="003F511D" w:rsidRDefault="00714080" w:rsidP="00714080">
      <w:pPr>
        <w:rPr>
          <w:lang w:val="en-US" w:eastAsia="en-US"/>
        </w:rPr>
      </w:pPr>
    </w:p>
    <w:p w14:paraId="3CA4F178" w14:textId="77777777" w:rsidR="00EF082C" w:rsidRPr="003F511D" w:rsidRDefault="00EF082C" w:rsidP="00EF082C">
      <w:pPr>
        <w:rPr>
          <w:lang w:val="en-US"/>
        </w:rPr>
      </w:pPr>
      <w:r w:rsidRPr="003F511D">
        <w:rPr>
          <w:rFonts w:cs="Calibri"/>
          <w:lang w:val="en-US"/>
        </w:rPr>
        <w:t>R</w:t>
      </w:r>
      <w:r w:rsidRPr="003F511D">
        <w:rPr>
          <w:lang w:val="en-US"/>
        </w:rPr>
        <w:t>adiocarbon measurements were obtained from two timbers that had been previously sampled for ring-width dendrochronology. Both samples had been prepared for measurement and tree-ring analysis by polishing with a belt sander using progressively finer belts down to a fineness of 400 grit, and the annual growth rings had been marked out.  Dissection was undertaken by Alison Arnold and Robert Howard at the Nottingham Tree-Ring Dating Laboratory. Prior to sub-sampling the samples were checked against the tree-ring width data to ensure that the specimens contained the required rings.  Once this was determined the selected annual growth rings were split from the rest of the sample using a chisel or scalpel blade.  Each sample consisted of a complete annual growth ring, including both earlywood and latewood. The sub-sample was then weighed and placed in a labelled bag</w:t>
      </w:r>
      <w:r>
        <w:rPr>
          <w:lang w:val="en-US"/>
        </w:rPr>
        <w:t>.</w:t>
      </w:r>
    </w:p>
    <w:p w14:paraId="1ED0504D" w14:textId="77777777" w:rsidR="00EF082C" w:rsidRPr="003F511D" w:rsidRDefault="00EF082C" w:rsidP="00EF082C">
      <w:pPr>
        <w:pStyle w:val="Heading4"/>
        <w:rPr>
          <w:lang w:val="en-US"/>
        </w:rPr>
      </w:pPr>
      <w:r w:rsidRPr="003F511D">
        <w:rPr>
          <w:lang w:val="en-US"/>
        </w:rPr>
        <w:t>BIF-E19</w:t>
      </w:r>
    </w:p>
    <w:p w14:paraId="38A56D4B" w14:textId="77777777" w:rsidR="00EF082C" w:rsidRPr="003F511D" w:rsidRDefault="00EF082C" w:rsidP="00EF082C">
      <w:pPr>
        <w:rPr>
          <w:lang w:val="en-US"/>
        </w:rPr>
      </w:pPr>
      <w:r w:rsidRPr="003F511D">
        <w:rPr>
          <w:lang w:val="en-US"/>
        </w:rPr>
        <w:t xml:space="preserve">This sample consisted of a radial slice taken for dendrochronology from an oak beam removed in 2013 during underpinning works from beneath the presbytery wall of Furness Abbey, Barrow-in Furness, Cumbria, UK (54.14°N, 3.20°W). Timbers were removed from ‘slots’ beneath the wall, and off-cut baulk sections taken and stored on site. From these cross-sectional slices were taken for dendrochronology, which were subsequently reduced to radial slices. This oak timber contained 174 heartwood rings, spanning AD 983 – AD 1156 and ended at the heartwood/sapwood transition. </w:t>
      </w:r>
    </w:p>
    <w:p w14:paraId="3D5EAF7C" w14:textId="77777777" w:rsidR="00EF082C" w:rsidRPr="000A5A97" w:rsidRDefault="00EF082C" w:rsidP="00EF082C">
      <w:pPr>
        <w:rPr>
          <w:lang w:val="en-US"/>
        </w:rPr>
      </w:pPr>
      <w:r w:rsidRPr="003F511D">
        <w:rPr>
          <w:lang w:val="en-US"/>
        </w:rPr>
        <w:t xml:space="preserve">The tree-ring analysis of the timbers from the foundation raft of the presbytery wall at Furness Abbey has been fully reported by Arnold </w:t>
      </w:r>
      <w:r w:rsidRPr="003F511D">
        <w:rPr>
          <w:i/>
          <w:lang w:val="en-US"/>
        </w:rPr>
        <w:t>et al</w:t>
      </w:r>
      <w:r w:rsidRPr="003F511D">
        <w:rPr>
          <w:lang w:val="en-US"/>
        </w:rPr>
        <w:t xml:space="preserve"> (2015). Cross-sections were obtained from 43 oak timbers from the raft, of which 41 had ring-width series that could be measured reliably. These growth-ring widths were measured to a precision of 0.01 mm. The data of the measured samples were then compared with each other using the Litton/Zainodin grouping procedure (Laxton </w:t>
      </w:r>
      <w:r w:rsidRPr="003F511D">
        <w:rPr>
          <w:i/>
          <w:lang w:val="en-US"/>
        </w:rPr>
        <w:t xml:space="preserve">et al </w:t>
      </w:r>
      <w:r w:rsidRPr="003F511D">
        <w:rPr>
          <w:lang w:val="en-US"/>
        </w:rPr>
        <w:t xml:space="preserve">1988; Litton and Zainodin 1991). BIF-E19 crossmatched with 31 other samples at a minimum </w:t>
      </w:r>
      <w:r w:rsidRPr="003F511D">
        <w:rPr>
          <w:i/>
          <w:iCs/>
          <w:lang w:val="en-US"/>
        </w:rPr>
        <w:t>t</w:t>
      </w:r>
      <w:r w:rsidRPr="003F511D">
        <w:rPr>
          <w:lang w:val="en-US"/>
        </w:rPr>
        <w:t xml:space="preserve">-value of </w:t>
      </w:r>
      <w:r w:rsidRPr="003F511D">
        <w:rPr>
          <w:i/>
          <w:iCs/>
          <w:lang w:val="en-US"/>
        </w:rPr>
        <w:t>t</w:t>
      </w:r>
      <w:r w:rsidRPr="003F511D">
        <w:rPr>
          <w:lang w:val="en-US"/>
        </w:rPr>
        <w:t xml:space="preserve">=5.0, and their ring-width series were combined at their indicated offset positions to form BIFESQ01, a site chronology with an overall length of 182 rings. This site chronology is dated as spanning AD 975–1156 (Table </w:t>
      </w:r>
      <w:r>
        <w:rPr>
          <w:lang w:val="en-US"/>
        </w:rPr>
        <w:t>7-SI</w:t>
      </w:r>
      <w:r w:rsidRPr="003F511D">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1946"/>
        <w:gridCol w:w="841"/>
        <w:gridCol w:w="2676"/>
      </w:tblGrid>
      <w:tr w:rsidR="00EF082C" w:rsidRPr="003F511D" w14:paraId="275D7403" w14:textId="77777777" w:rsidTr="00A21CE2">
        <w:tc>
          <w:tcPr>
            <w:tcW w:w="3553" w:type="dxa"/>
            <w:shd w:val="clear" w:color="auto" w:fill="FFFFFF"/>
            <w:vAlign w:val="center"/>
          </w:tcPr>
          <w:p w14:paraId="747F0EB2"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Reference chronology</w:t>
            </w:r>
          </w:p>
        </w:tc>
        <w:tc>
          <w:tcPr>
            <w:tcW w:w="1946" w:type="dxa"/>
            <w:shd w:val="clear" w:color="auto" w:fill="FFFFFF"/>
            <w:vAlign w:val="center"/>
          </w:tcPr>
          <w:p w14:paraId="4963BD06"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Span of chronology</w:t>
            </w:r>
          </w:p>
        </w:tc>
        <w:tc>
          <w:tcPr>
            <w:tcW w:w="841" w:type="dxa"/>
            <w:shd w:val="clear" w:color="auto" w:fill="FFFFFF"/>
            <w:vAlign w:val="center"/>
          </w:tcPr>
          <w:p w14:paraId="12575A7C" w14:textId="77777777" w:rsidR="00EF082C" w:rsidRPr="003F511D" w:rsidRDefault="00EF082C" w:rsidP="00A21CE2">
            <w:pPr>
              <w:spacing w:after="0"/>
              <w:rPr>
                <w:rFonts w:asciiTheme="minorHAnsi" w:hAnsiTheme="minorHAnsi"/>
                <w:i/>
                <w:iCs/>
                <w:sz w:val="20"/>
                <w:szCs w:val="20"/>
                <w:lang w:val="en-US"/>
              </w:rPr>
            </w:pPr>
            <w:r w:rsidRPr="003F511D">
              <w:rPr>
                <w:rFonts w:asciiTheme="minorHAnsi" w:hAnsiTheme="minorHAnsi"/>
                <w:i/>
                <w:iCs/>
                <w:sz w:val="20"/>
                <w:szCs w:val="20"/>
                <w:lang w:val="en-US"/>
              </w:rPr>
              <w:t>t-</w:t>
            </w:r>
            <w:r w:rsidRPr="003F511D">
              <w:rPr>
                <w:rFonts w:asciiTheme="minorHAnsi" w:hAnsiTheme="minorHAnsi"/>
                <w:sz w:val="20"/>
                <w:szCs w:val="20"/>
                <w:lang w:val="en-US"/>
              </w:rPr>
              <w:t>value</w:t>
            </w:r>
          </w:p>
        </w:tc>
        <w:tc>
          <w:tcPr>
            <w:tcW w:w="2676" w:type="dxa"/>
            <w:shd w:val="clear" w:color="auto" w:fill="FFFFFF"/>
            <w:vAlign w:val="center"/>
          </w:tcPr>
          <w:p w14:paraId="3C370F94"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Reference</w:t>
            </w:r>
          </w:p>
        </w:tc>
      </w:tr>
      <w:tr w:rsidR="00EF082C" w:rsidRPr="003F511D" w14:paraId="42234ABC" w14:textId="77777777" w:rsidTr="00A21CE2">
        <w:tc>
          <w:tcPr>
            <w:tcW w:w="3553" w:type="dxa"/>
            <w:tcBorders>
              <w:top w:val="single" w:sz="4" w:space="0" w:color="auto"/>
              <w:left w:val="single" w:sz="4" w:space="0" w:color="auto"/>
              <w:bottom w:val="single" w:sz="4" w:space="0" w:color="auto"/>
              <w:right w:val="single" w:sz="4" w:space="0" w:color="auto"/>
            </w:tcBorders>
          </w:tcPr>
          <w:p w14:paraId="4738695C"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Eastgate, Beverley, Yorkshire</w:t>
            </w:r>
          </w:p>
        </w:tc>
        <w:tc>
          <w:tcPr>
            <w:tcW w:w="1946" w:type="dxa"/>
            <w:tcBorders>
              <w:top w:val="single" w:sz="4" w:space="0" w:color="auto"/>
              <w:left w:val="single" w:sz="4" w:space="0" w:color="auto"/>
              <w:bottom w:val="single" w:sz="4" w:space="0" w:color="auto"/>
              <w:right w:val="single" w:sz="4" w:space="0" w:color="auto"/>
            </w:tcBorders>
          </w:tcPr>
          <w:p w14:paraId="5A2ED932"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AD 858–1310</w:t>
            </w:r>
          </w:p>
        </w:tc>
        <w:tc>
          <w:tcPr>
            <w:tcW w:w="841" w:type="dxa"/>
            <w:tcBorders>
              <w:top w:val="single" w:sz="4" w:space="0" w:color="auto"/>
              <w:left w:val="single" w:sz="4" w:space="0" w:color="auto"/>
              <w:bottom w:val="single" w:sz="4" w:space="0" w:color="auto"/>
              <w:right w:val="single" w:sz="4" w:space="0" w:color="auto"/>
            </w:tcBorders>
          </w:tcPr>
          <w:p w14:paraId="524F26C9"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7.5</w:t>
            </w:r>
          </w:p>
        </w:tc>
        <w:tc>
          <w:tcPr>
            <w:tcW w:w="2676" w:type="dxa"/>
            <w:tcBorders>
              <w:top w:val="single" w:sz="4" w:space="0" w:color="auto"/>
              <w:left w:val="single" w:sz="4" w:space="0" w:color="auto"/>
              <w:bottom w:val="single" w:sz="4" w:space="0" w:color="auto"/>
              <w:right w:val="single" w:sz="4" w:space="0" w:color="auto"/>
            </w:tcBorders>
          </w:tcPr>
          <w:p w14:paraId="418FBBC5"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Groves 1992</w:t>
            </w:r>
          </w:p>
        </w:tc>
      </w:tr>
      <w:tr w:rsidR="00EF082C" w:rsidRPr="003F511D" w14:paraId="5CBD1CDE" w14:textId="77777777" w:rsidTr="00A21CE2">
        <w:tc>
          <w:tcPr>
            <w:tcW w:w="3553" w:type="dxa"/>
            <w:tcBorders>
              <w:top w:val="single" w:sz="4" w:space="0" w:color="auto"/>
              <w:left w:val="single" w:sz="4" w:space="0" w:color="auto"/>
              <w:bottom w:val="single" w:sz="4" w:space="0" w:color="auto"/>
              <w:right w:val="single" w:sz="4" w:space="0" w:color="auto"/>
            </w:tcBorders>
          </w:tcPr>
          <w:p w14:paraId="5EF6E3CA"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Lamb Hotel, Nantwich, Cheshire</w:t>
            </w:r>
          </w:p>
        </w:tc>
        <w:tc>
          <w:tcPr>
            <w:tcW w:w="1946" w:type="dxa"/>
            <w:tcBorders>
              <w:top w:val="single" w:sz="4" w:space="0" w:color="auto"/>
              <w:left w:val="single" w:sz="4" w:space="0" w:color="auto"/>
              <w:bottom w:val="single" w:sz="4" w:space="0" w:color="auto"/>
              <w:right w:val="single" w:sz="4" w:space="0" w:color="auto"/>
            </w:tcBorders>
          </w:tcPr>
          <w:p w14:paraId="408D9FE3"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AD 941–1276</w:t>
            </w:r>
          </w:p>
        </w:tc>
        <w:tc>
          <w:tcPr>
            <w:tcW w:w="841" w:type="dxa"/>
            <w:tcBorders>
              <w:top w:val="single" w:sz="4" w:space="0" w:color="auto"/>
              <w:left w:val="single" w:sz="4" w:space="0" w:color="auto"/>
              <w:bottom w:val="single" w:sz="4" w:space="0" w:color="auto"/>
              <w:right w:val="single" w:sz="4" w:space="0" w:color="auto"/>
            </w:tcBorders>
          </w:tcPr>
          <w:p w14:paraId="143BA9B3"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7.1</w:t>
            </w:r>
          </w:p>
        </w:tc>
        <w:tc>
          <w:tcPr>
            <w:tcW w:w="2676" w:type="dxa"/>
            <w:tcBorders>
              <w:top w:val="single" w:sz="4" w:space="0" w:color="auto"/>
              <w:left w:val="single" w:sz="4" w:space="0" w:color="auto"/>
              <w:bottom w:val="single" w:sz="4" w:space="0" w:color="auto"/>
              <w:right w:val="single" w:sz="4" w:space="0" w:color="auto"/>
            </w:tcBorders>
          </w:tcPr>
          <w:p w14:paraId="4FE9F086"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Tyers 2004a</w:t>
            </w:r>
          </w:p>
        </w:tc>
      </w:tr>
      <w:tr w:rsidR="00EF082C" w:rsidRPr="003F511D" w14:paraId="65772231" w14:textId="77777777" w:rsidTr="00A21CE2">
        <w:tc>
          <w:tcPr>
            <w:tcW w:w="3553" w:type="dxa"/>
            <w:tcBorders>
              <w:top w:val="single" w:sz="4" w:space="0" w:color="auto"/>
              <w:left w:val="single" w:sz="4" w:space="0" w:color="auto"/>
              <w:bottom w:val="single" w:sz="4" w:space="0" w:color="auto"/>
              <w:right w:val="single" w:sz="4" w:space="0" w:color="auto"/>
            </w:tcBorders>
          </w:tcPr>
          <w:p w14:paraId="5E0968D5"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Second Wood Street, Nantwich, Cheshire</w:t>
            </w:r>
          </w:p>
        </w:tc>
        <w:tc>
          <w:tcPr>
            <w:tcW w:w="1946" w:type="dxa"/>
            <w:tcBorders>
              <w:top w:val="single" w:sz="4" w:space="0" w:color="auto"/>
              <w:left w:val="single" w:sz="4" w:space="0" w:color="auto"/>
              <w:bottom w:val="single" w:sz="4" w:space="0" w:color="auto"/>
              <w:right w:val="single" w:sz="4" w:space="0" w:color="auto"/>
            </w:tcBorders>
          </w:tcPr>
          <w:p w14:paraId="2A079AB5"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AD 932–1509</w:t>
            </w:r>
          </w:p>
        </w:tc>
        <w:tc>
          <w:tcPr>
            <w:tcW w:w="841" w:type="dxa"/>
            <w:tcBorders>
              <w:top w:val="single" w:sz="4" w:space="0" w:color="auto"/>
              <w:left w:val="single" w:sz="4" w:space="0" w:color="auto"/>
              <w:bottom w:val="single" w:sz="4" w:space="0" w:color="auto"/>
              <w:right w:val="single" w:sz="4" w:space="0" w:color="auto"/>
            </w:tcBorders>
          </w:tcPr>
          <w:p w14:paraId="00C6D7BE"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6.8</w:t>
            </w:r>
          </w:p>
        </w:tc>
        <w:tc>
          <w:tcPr>
            <w:tcW w:w="2676" w:type="dxa"/>
            <w:tcBorders>
              <w:top w:val="single" w:sz="4" w:space="0" w:color="auto"/>
              <w:left w:val="single" w:sz="4" w:space="0" w:color="auto"/>
              <w:bottom w:val="single" w:sz="4" w:space="0" w:color="auto"/>
              <w:right w:val="single" w:sz="4" w:space="0" w:color="auto"/>
            </w:tcBorders>
          </w:tcPr>
          <w:p w14:paraId="674F3A29"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Tyers 2005</w:t>
            </w:r>
          </w:p>
        </w:tc>
      </w:tr>
      <w:tr w:rsidR="00EF082C" w:rsidRPr="003F511D" w14:paraId="33E1DF73" w14:textId="77777777" w:rsidTr="00A21CE2">
        <w:tc>
          <w:tcPr>
            <w:tcW w:w="3553" w:type="dxa"/>
            <w:tcBorders>
              <w:top w:val="single" w:sz="4" w:space="0" w:color="auto"/>
              <w:left w:val="single" w:sz="4" w:space="0" w:color="auto"/>
              <w:bottom w:val="single" w:sz="4" w:space="0" w:color="auto"/>
              <w:right w:val="single" w:sz="4" w:space="0" w:color="auto"/>
            </w:tcBorders>
          </w:tcPr>
          <w:p w14:paraId="26679B4D"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Annetwell Street, Carlisle, Cumbria</w:t>
            </w:r>
          </w:p>
        </w:tc>
        <w:tc>
          <w:tcPr>
            <w:tcW w:w="1946" w:type="dxa"/>
            <w:tcBorders>
              <w:top w:val="single" w:sz="4" w:space="0" w:color="auto"/>
              <w:left w:val="single" w:sz="4" w:space="0" w:color="auto"/>
              <w:bottom w:val="single" w:sz="4" w:space="0" w:color="auto"/>
              <w:right w:val="single" w:sz="4" w:space="0" w:color="auto"/>
            </w:tcBorders>
          </w:tcPr>
          <w:p w14:paraId="6FBDA938"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AD 930–1219</w:t>
            </w:r>
          </w:p>
        </w:tc>
        <w:tc>
          <w:tcPr>
            <w:tcW w:w="841" w:type="dxa"/>
            <w:tcBorders>
              <w:top w:val="single" w:sz="4" w:space="0" w:color="auto"/>
              <w:left w:val="single" w:sz="4" w:space="0" w:color="auto"/>
              <w:bottom w:val="single" w:sz="4" w:space="0" w:color="auto"/>
              <w:right w:val="single" w:sz="4" w:space="0" w:color="auto"/>
            </w:tcBorders>
          </w:tcPr>
          <w:p w14:paraId="5A11B7C9"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6.6</w:t>
            </w:r>
          </w:p>
        </w:tc>
        <w:tc>
          <w:tcPr>
            <w:tcW w:w="2676" w:type="dxa"/>
            <w:tcBorders>
              <w:top w:val="single" w:sz="4" w:space="0" w:color="auto"/>
              <w:left w:val="single" w:sz="4" w:space="0" w:color="auto"/>
              <w:bottom w:val="single" w:sz="4" w:space="0" w:color="auto"/>
              <w:right w:val="single" w:sz="4" w:space="0" w:color="auto"/>
            </w:tcBorders>
          </w:tcPr>
          <w:p w14:paraId="74C49054"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Groves 1990</w:t>
            </w:r>
          </w:p>
        </w:tc>
      </w:tr>
      <w:tr w:rsidR="00EF082C" w:rsidRPr="003F511D" w14:paraId="4F0CD5F1" w14:textId="77777777" w:rsidTr="00A21CE2">
        <w:tc>
          <w:tcPr>
            <w:tcW w:w="3553" w:type="dxa"/>
            <w:tcBorders>
              <w:top w:val="single" w:sz="4" w:space="0" w:color="auto"/>
              <w:left w:val="single" w:sz="4" w:space="0" w:color="auto"/>
              <w:bottom w:val="single" w:sz="4" w:space="0" w:color="auto"/>
              <w:right w:val="single" w:sz="4" w:space="0" w:color="auto"/>
            </w:tcBorders>
          </w:tcPr>
          <w:p w14:paraId="7B461F35"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Dundas Wharf, Bristol</w:t>
            </w:r>
          </w:p>
        </w:tc>
        <w:tc>
          <w:tcPr>
            <w:tcW w:w="1946" w:type="dxa"/>
            <w:tcBorders>
              <w:top w:val="single" w:sz="4" w:space="0" w:color="auto"/>
              <w:left w:val="single" w:sz="4" w:space="0" w:color="auto"/>
              <w:bottom w:val="single" w:sz="4" w:space="0" w:color="auto"/>
              <w:right w:val="single" w:sz="4" w:space="0" w:color="auto"/>
            </w:tcBorders>
          </w:tcPr>
          <w:p w14:paraId="4C282BB0"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 xml:space="preserve">AD 770–1202 </w:t>
            </w:r>
          </w:p>
        </w:tc>
        <w:tc>
          <w:tcPr>
            <w:tcW w:w="841" w:type="dxa"/>
            <w:tcBorders>
              <w:top w:val="single" w:sz="4" w:space="0" w:color="auto"/>
              <w:left w:val="single" w:sz="4" w:space="0" w:color="auto"/>
              <w:bottom w:val="single" w:sz="4" w:space="0" w:color="auto"/>
              <w:right w:val="single" w:sz="4" w:space="0" w:color="auto"/>
            </w:tcBorders>
          </w:tcPr>
          <w:p w14:paraId="3C20ED75"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6.6</w:t>
            </w:r>
          </w:p>
        </w:tc>
        <w:tc>
          <w:tcPr>
            <w:tcW w:w="2676" w:type="dxa"/>
            <w:tcBorders>
              <w:top w:val="single" w:sz="4" w:space="0" w:color="auto"/>
              <w:left w:val="single" w:sz="4" w:space="0" w:color="auto"/>
              <w:bottom w:val="single" w:sz="4" w:space="0" w:color="auto"/>
              <w:right w:val="single" w:sz="4" w:space="0" w:color="auto"/>
            </w:tcBorders>
          </w:tcPr>
          <w:p w14:paraId="56427845"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Nicholson and Hillam 1987</w:t>
            </w:r>
          </w:p>
        </w:tc>
      </w:tr>
      <w:tr w:rsidR="00EF082C" w:rsidRPr="003F511D" w14:paraId="1AEDCD82" w14:textId="77777777" w:rsidTr="00A21CE2">
        <w:tc>
          <w:tcPr>
            <w:tcW w:w="3553" w:type="dxa"/>
            <w:tcBorders>
              <w:top w:val="single" w:sz="4" w:space="0" w:color="auto"/>
              <w:left w:val="single" w:sz="4" w:space="0" w:color="auto"/>
              <w:bottom w:val="single" w:sz="4" w:space="0" w:color="auto"/>
              <w:right w:val="single" w:sz="4" w:space="0" w:color="auto"/>
            </w:tcBorders>
          </w:tcPr>
          <w:p w14:paraId="3A786773"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Peterborough Cathedral nave, Cambridgeshire</w:t>
            </w:r>
          </w:p>
        </w:tc>
        <w:tc>
          <w:tcPr>
            <w:tcW w:w="1946" w:type="dxa"/>
            <w:tcBorders>
              <w:top w:val="single" w:sz="4" w:space="0" w:color="auto"/>
              <w:left w:val="single" w:sz="4" w:space="0" w:color="auto"/>
              <w:bottom w:val="single" w:sz="4" w:space="0" w:color="auto"/>
              <w:right w:val="single" w:sz="4" w:space="0" w:color="auto"/>
            </w:tcBorders>
          </w:tcPr>
          <w:p w14:paraId="38258C02"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AD 887–1225</w:t>
            </w:r>
          </w:p>
        </w:tc>
        <w:tc>
          <w:tcPr>
            <w:tcW w:w="841" w:type="dxa"/>
            <w:tcBorders>
              <w:top w:val="single" w:sz="4" w:space="0" w:color="auto"/>
              <w:left w:val="single" w:sz="4" w:space="0" w:color="auto"/>
              <w:bottom w:val="single" w:sz="4" w:space="0" w:color="auto"/>
              <w:right w:val="single" w:sz="4" w:space="0" w:color="auto"/>
            </w:tcBorders>
          </w:tcPr>
          <w:p w14:paraId="1378EB6A"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6.2</w:t>
            </w:r>
          </w:p>
        </w:tc>
        <w:tc>
          <w:tcPr>
            <w:tcW w:w="2676" w:type="dxa"/>
            <w:tcBorders>
              <w:top w:val="single" w:sz="4" w:space="0" w:color="auto"/>
              <w:left w:val="single" w:sz="4" w:space="0" w:color="auto"/>
              <w:bottom w:val="single" w:sz="4" w:space="0" w:color="auto"/>
              <w:right w:val="single" w:sz="4" w:space="0" w:color="auto"/>
            </w:tcBorders>
          </w:tcPr>
          <w:p w14:paraId="20EC0E50"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Tyers 1999</w:t>
            </w:r>
          </w:p>
        </w:tc>
      </w:tr>
      <w:tr w:rsidR="00EF082C" w:rsidRPr="003F511D" w14:paraId="323C6910" w14:textId="77777777" w:rsidTr="00A21CE2">
        <w:tc>
          <w:tcPr>
            <w:tcW w:w="3553" w:type="dxa"/>
            <w:tcBorders>
              <w:top w:val="single" w:sz="4" w:space="0" w:color="auto"/>
              <w:left w:val="single" w:sz="4" w:space="0" w:color="auto"/>
              <w:bottom w:val="single" w:sz="4" w:space="0" w:color="auto"/>
              <w:right w:val="single" w:sz="4" w:space="0" w:color="auto"/>
            </w:tcBorders>
          </w:tcPr>
          <w:p w14:paraId="2FF1C1C7"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Peterborough Cathedral transepts, Cambridgeshire</w:t>
            </w:r>
          </w:p>
        </w:tc>
        <w:tc>
          <w:tcPr>
            <w:tcW w:w="1946" w:type="dxa"/>
            <w:tcBorders>
              <w:top w:val="single" w:sz="4" w:space="0" w:color="auto"/>
              <w:left w:val="single" w:sz="4" w:space="0" w:color="auto"/>
              <w:bottom w:val="single" w:sz="4" w:space="0" w:color="auto"/>
              <w:right w:val="single" w:sz="4" w:space="0" w:color="auto"/>
            </w:tcBorders>
          </w:tcPr>
          <w:p w14:paraId="68A3C90E"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AD 921–1194</w:t>
            </w:r>
          </w:p>
        </w:tc>
        <w:tc>
          <w:tcPr>
            <w:tcW w:w="841" w:type="dxa"/>
            <w:tcBorders>
              <w:top w:val="single" w:sz="4" w:space="0" w:color="auto"/>
              <w:left w:val="single" w:sz="4" w:space="0" w:color="auto"/>
              <w:bottom w:val="single" w:sz="4" w:space="0" w:color="auto"/>
              <w:right w:val="single" w:sz="4" w:space="0" w:color="auto"/>
            </w:tcBorders>
          </w:tcPr>
          <w:p w14:paraId="6E650F26"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6.2</w:t>
            </w:r>
          </w:p>
        </w:tc>
        <w:tc>
          <w:tcPr>
            <w:tcW w:w="2676" w:type="dxa"/>
            <w:tcBorders>
              <w:top w:val="single" w:sz="4" w:space="0" w:color="auto"/>
              <w:left w:val="single" w:sz="4" w:space="0" w:color="auto"/>
              <w:bottom w:val="single" w:sz="4" w:space="0" w:color="auto"/>
              <w:right w:val="single" w:sz="4" w:space="0" w:color="auto"/>
            </w:tcBorders>
          </w:tcPr>
          <w:p w14:paraId="360328AE"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Tyers 2004b</w:t>
            </w:r>
          </w:p>
        </w:tc>
      </w:tr>
      <w:tr w:rsidR="00EF082C" w:rsidRPr="003F511D" w14:paraId="61360D02" w14:textId="77777777" w:rsidTr="00A21CE2">
        <w:tc>
          <w:tcPr>
            <w:tcW w:w="3553" w:type="dxa"/>
            <w:tcBorders>
              <w:top w:val="single" w:sz="4" w:space="0" w:color="auto"/>
              <w:left w:val="single" w:sz="4" w:space="0" w:color="auto"/>
              <w:bottom w:val="single" w:sz="4" w:space="0" w:color="auto"/>
              <w:right w:val="single" w:sz="4" w:space="0" w:color="auto"/>
            </w:tcBorders>
          </w:tcPr>
          <w:p w14:paraId="52975A16"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Lancaster Castle, Lancashire</w:t>
            </w:r>
          </w:p>
        </w:tc>
        <w:tc>
          <w:tcPr>
            <w:tcW w:w="1946" w:type="dxa"/>
            <w:tcBorders>
              <w:top w:val="single" w:sz="4" w:space="0" w:color="auto"/>
              <w:left w:val="single" w:sz="4" w:space="0" w:color="auto"/>
              <w:bottom w:val="single" w:sz="4" w:space="0" w:color="auto"/>
              <w:right w:val="single" w:sz="4" w:space="0" w:color="auto"/>
            </w:tcBorders>
          </w:tcPr>
          <w:p w14:paraId="1367DE94"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AD 950–1404</w:t>
            </w:r>
          </w:p>
        </w:tc>
        <w:tc>
          <w:tcPr>
            <w:tcW w:w="841" w:type="dxa"/>
            <w:tcBorders>
              <w:top w:val="single" w:sz="4" w:space="0" w:color="auto"/>
              <w:left w:val="single" w:sz="4" w:space="0" w:color="auto"/>
              <w:bottom w:val="single" w:sz="4" w:space="0" w:color="auto"/>
              <w:right w:val="single" w:sz="4" w:space="0" w:color="auto"/>
            </w:tcBorders>
          </w:tcPr>
          <w:p w14:paraId="12D28C6A"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5.9</w:t>
            </w:r>
          </w:p>
        </w:tc>
        <w:tc>
          <w:tcPr>
            <w:tcW w:w="2676" w:type="dxa"/>
            <w:tcBorders>
              <w:top w:val="single" w:sz="4" w:space="0" w:color="auto"/>
              <w:left w:val="single" w:sz="4" w:space="0" w:color="auto"/>
              <w:bottom w:val="single" w:sz="4" w:space="0" w:color="auto"/>
              <w:right w:val="single" w:sz="4" w:space="0" w:color="auto"/>
            </w:tcBorders>
          </w:tcPr>
          <w:p w14:paraId="32617E46"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 xml:space="preserve">Arnold </w:t>
            </w:r>
            <w:r w:rsidRPr="003F511D">
              <w:rPr>
                <w:rFonts w:asciiTheme="minorHAnsi" w:hAnsiTheme="minorHAnsi"/>
                <w:i/>
                <w:sz w:val="20"/>
                <w:szCs w:val="20"/>
                <w:lang w:val="en-US"/>
              </w:rPr>
              <w:t>et al</w:t>
            </w:r>
            <w:r w:rsidRPr="003F511D">
              <w:rPr>
                <w:rFonts w:asciiTheme="minorHAnsi" w:hAnsiTheme="minorHAnsi"/>
                <w:sz w:val="20"/>
                <w:szCs w:val="20"/>
                <w:lang w:val="en-US"/>
              </w:rPr>
              <w:t xml:space="preserve"> 2016</w:t>
            </w:r>
          </w:p>
        </w:tc>
      </w:tr>
      <w:tr w:rsidR="00EF082C" w:rsidRPr="003F511D" w14:paraId="252B0330" w14:textId="77777777" w:rsidTr="00A21CE2">
        <w:tc>
          <w:tcPr>
            <w:tcW w:w="3553" w:type="dxa"/>
            <w:tcBorders>
              <w:top w:val="single" w:sz="4" w:space="0" w:color="auto"/>
              <w:left w:val="single" w:sz="4" w:space="0" w:color="auto"/>
              <w:bottom w:val="single" w:sz="4" w:space="0" w:color="auto"/>
              <w:right w:val="single" w:sz="4" w:space="0" w:color="auto"/>
            </w:tcBorders>
          </w:tcPr>
          <w:p w14:paraId="719DEDCD"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Oakham Castle, Oakham, Rutland</w:t>
            </w:r>
          </w:p>
        </w:tc>
        <w:tc>
          <w:tcPr>
            <w:tcW w:w="1946" w:type="dxa"/>
            <w:tcBorders>
              <w:top w:val="single" w:sz="4" w:space="0" w:color="auto"/>
              <w:left w:val="single" w:sz="4" w:space="0" w:color="auto"/>
              <w:bottom w:val="single" w:sz="4" w:space="0" w:color="auto"/>
              <w:right w:val="single" w:sz="4" w:space="0" w:color="auto"/>
            </w:tcBorders>
          </w:tcPr>
          <w:p w14:paraId="52B8B6C6"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 xml:space="preserve">AD 923–1153 </w:t>
            </w:r>
          </w:p>
        </w:tc>
        <w:tc>
          <w:tcPr>
            <w:tcW w:w="841" w:type="dxa"/>
            <w:tcBorders>
              <w:top w:val="single" w:sz="4" w:space="0" w:color="auto"/>
              <w:left w:val="single" w:sz="4" w:space="0" w:color="auto"/>
              <w:bottom w:val="single" w:sz="4" w:space="0" w:color="auto"/>
              <w:right w:val="single" w:sz="4" w:space="0" w:color="auto"/>
            </w:tcBorders>
          </w:tcPr>
          <w:p w14:paraId="1348B9F3"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5.8</w:t>
            </w:r>
          </w:p>
        </w:tc>
        <w:tc>
          <w:tcPr>
            <w:tcW w:w="2676" w:type="dxa"/>
            <w:tcBorders>
              <w:top w:val="single" w:sz="4" w:space="0" w:color="auto"/>
              <w:left w:val="single" w:sz="4" w:space="0" w:color="auto"/>
              <w:bottom w:val="single" w:sz="4" w:space="0" w:color="auto"/>
              <w:right w:val="single" w:sz="4" w:space="0" w:color="auto"/>
            </w:tcBorders>
          </w:tcPr>
          <w:p w14:paraId="681267F5"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Arnold and Howard 2013</w:t>
            </w:r>
          </w:p>
        </w:tc>
      </w:tr>
      <w:tr w:rsidR="00EF082C" w:rsidRPr="003F511D" w14:paraId="0155C2B3" w14:textId="77777777" w:rsidTr="00A21CE2">
        <w:tc>
          <w:tcPr>
            <w:tcW w:w="3553" w:type="dxa"/>
            <w:tcBorders>
              <w:top w:val="single" w:sz="4" w:space="0" w:color="auto"/>
              <w:left w:val="single" w:sz="4" w:space="0" w:color="auto"/>
              <w:bottom w:val="single" w:sz="4" w:space="0" w:color="auto"/>
              <w:right w:val="single" w:sz="4" w:space="0" w:color="auto"/>
            </w:tcBorders>
          </w:tcPr>
          <w:p w14:paraId="7E261277"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Hansacre Hall, Staffordshire</w:t>
            </w:r>
          </w:p>
        </w:tc>
        <w:tc>
          <w:tcPr>
            <w:tcW w:w="1946" w:type="dxa"/>
            <w:tcBorders>
              <w:top w:val="single" w:sz="4" w:space="0" w:color="auto"/>
              <w:left w:val="single" w:sz="4" w:space="0" w:color="auto"/>
              <w:bottom w:val="single" w:sz="4" w:space="0" w:color="auto"/>
              <w:right w:val="single" w:sz="4" w:space="0" w:color="auto"/>
            </w:tcBorders>
          </w:tcPr>
          <w:p w14:paraId="159F4AC1"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AD 965–1279</w:t>
            </w:r>
          </w:p>
        </w:tc>
        <w:tc>
          <w:tcPr>
            <w:tcW w:w="841" w:type="dxa"/>
            <w:tcBorders>
              <w:top w:val="single" w:sz="4" w:space="0" w:color="auto"/>
              <w:left w:val="single" w:sz="4" w:space="0" w:color="auto"/>
              <w:bottom w:val="single" w:sz="4" w:space="0" w:color="auto"/>
              <w:right w:val="single" w:sz="4" w:space="0" w:color="auto"/>
            </w:tcBorders>
          </w:tcPr>
          <w:p w14:paraId="1B039AC4"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5.5</w:t>
            </w:r>
          </w:p>
        </w:tc>
        <w:tc>
          <w:tcPr>
            <w:tcW w:w="2676" w:type="dxa"/>
            <w:tcBorders>
              <w:top w:val="single" w:sz="4" w:space="0" w:color="auto"/>
              <w:left w:val="single" w:sz="4" w:space="0" w:color="auto"/>
              <w:bottom w:val="single" w:sz="4" w:space="0" w:color="auto"/>
              <w:right w:val="single" w:sz="4" w:space="0" w:color="auto"/>
            </w:tcBorders>
          </w:tcPr>
          <w:p w14:paraId="74552412" w14:textId="77777777" w:rsidR="00EF082C" w:rsidRPr="003F511D" w:rsidRDefault="00EF082C" w:rsidP="00A21CE2">
            <w:pPr>
              <w:spacing w:after="0"/>
              <w:rPr>
                <w:rFonts w:asciiTheme="minorHAnsi" w:hAnsiTheme="minorHAnsi"/>
                <w:sz w:val="20"/>
                <w:szCs w:val="20"/>
                <w:lang w:val="en-US"/>
              </w:rPr>
            </w:pPr>
            <w:r w:rsidRPr="003F511D">
              <w:rPr>
                <w:rFonts w:asciiTheme="minorHAnsi" w:hAnsiTheme="minorHAnsi"/>
                <w:sz w:val="20"/>
                <w:szCs w:val="20"/>
                <w:lang w:val="en-US"/>
              </w:rPr>
              <w:t xml:space="preserve">Esling </w:t>
            </w:r>
            <w:r w:rsidRPr="003F511D">
              <w:rPr>
                <w:rFonts w:asciiTheme="minorHAnsi" w:hAnsiTheme="minorHAnsi"/>
                <w:i/>
                <w:sz w:val="20"/>
                <w:szCs w:val="20"/>
                <w:lang w:val="en-US"/>
              </w:rPr>
              <w:t>et al</w:t>
            </w:r>
            <w:r w:rsidRPr="003F511D">
              <w:rPr>
                <w:rFonts w:asciiTheme="minorHAnsi" w:hAnsiTheme="minorHAnsi"/>
                <w:sz w:val="20"/>
                <w:szCs w:val="20"/>
                <w:lang w:val="en-US"/>
              </w:rPr>
              <w:t xml:space="preserve"> 1990</w:t>
            </w:r>
          </w:p>
        </w:tc>
      </w:tr>
    </w:tbl>
    <w:p w14:paraId="521AFFC1" w14:textId="77777777" w:rsidR="00EF082C" w:rsidRPr="003F511D" w:rsidRDefault="00EF082C" w:rsidP="00EF082C">
      <w:pPr>
        <w:rPr>
          <w:lang w:val="en-US"/>
        </w:rPr>
      </w:pPr>
      <w:r w:rsidRPr="003F511D">
        <w:rPr>
          <w:i/>
          <w:sz w:val="20"/>
          <w:szCs w:val="20"/>
          <w:lang w:val="en-US"/>
        </w:rPr>
        <w:lastRenderedPageBreak/>
        <w:t xml:space="preserve">Table </w:t>
      </w:r>
      <w:r>
        <w:rPr>
          <w:i/>
          <w:sz w:val="20"/>
          <w:szCs w:val="20"/>
          <w:lang w:val="en-US"/>
        </w:rPr>
        <w:t>7-SI</w:t>
      </w:r>
      <w:r w:rsidRPr="003F511D">
        <w:rPr>
          <w:i/>
          <w:sz w:val="20"/>
          <w:szCs w:val="20"/>
          <w:lang w:val="en-US"/>
        </w:rPr>
        <w:t>: Results of the cross-matching of site sequence BIFESQ01 and relevant independent site reference chronologies when the first-ring date is AD 975 and the last-ring date is AD 1156 (</w:t>
      </w:r>
      <w:r w:rsidRPr="003F511D">
        <w:rPr>
          <w:sz w:val="20"/>
          <w:szCs w:val="20"/>
          <w:lang w:val="en-US"/>
        </w:rPr>
        <w:t>t</w:t>
      </w:r>
      <w:r w:rsidRPr="003F511D">
        <w:rPr>
          <w:i/>
          <w:sz w:val="20"/>
          <w:szCs w:val="20"/>
          <w:lang w:val="en-US"/>
        </w:rPr>
        <w:t>-values after Baillie and Pilcher 1973).</w:t>
      </w:r>
    </w:p>
    <w:p w14:paraId="70D267D4" w14:textId="77777777" w:rsidR="00EF082C" w:rsidRPr="003F511D" w:rsidRDefault="00EF082C" w:rsidP="00EF082C">
      <w:pPr>
        <w:rPr>
          <w:lang w:val="en-US"/>
        </w:rPr>
      </w:pPr>
      <w:r w:rsidRPr="003F511D">
        <w:rPr>
          <w:lang w:val="en-US"/>
        </w:rPr>
        <w:t xml:space="preserve">The raw ring-width data of all the measured samples from the foundation raft of the presbytery wall at Furness Abbey can be found in Arnold </w:t>
      </w:r>
      <w:r w:rsidRPr="003F511D">
        <w:rPr>
          <w:i/>
          <w:lang w:val="en-US"/>
        </w:rPr>
        <w:t>et al</w:t>
      </w:r>
      <w:r w:rsidRPr="003F511D">
        <w:rPr>
          <w:lang w:val="en-US"/>
        </w:rPr>
        <w:t xml:space="preserve"> (2015) and at </w:t>
      </w:r>
      <w:hyperlink r:id="rId13" w:history="1">
        <w:r w:rsidRPr="003F511D">
          <w:rPr>
            <w:rStyle w:val="Hyperlink"/>
            <w:lang w:val="en-US"/>
          </w:rPr>
          <w:t>https://www.ncei.noaa.gov/access/paleo-search/study/36973</w:t>
        </w:r>
      </w:hyperlink>
      <w:r w:rsidRPr="003F511D">
        <w:rPr>
          <w:lang w:val="en-US"/>
        </w:rPr>
        <w:t>.</w:t>
      </w:r>
    </w:p>
    <w:p w14:paraId="52E617B7" w14:textId="77777777" w:rsidR="00EF082C" w:rsidRPr="003F511D" w:rsidRDefault="00EF082C" w:rsidP="00EF082C">
      <w:pPr>
        <w:pStyle w:val="Heading4"/>
        <w:rPr>
          <w:lang w:val="en-US"/>
        </w:rPr>
      </w:pPr>
      <w:r w:rsidRPr="003F511D">
        <w:rPr>
          <w:lang w:val="en-US"/>
        </w:rPr>
        <w:t>APT-C02</w:t>
      </w:r>
    </w:p>
    <w:p w14:paraId="6028B04E" w14:textId="77777777" w:rsidR="00EF082C" w:rsidRPr="003F511D" w:rsidRDefault="00EF082C" w:rsidP="00EF082C">
      <w:pPr>
        <w:rPr>
          <w:lang w:val="en-US"/>
        </w:rPr>
      </w:pPr>
      <w:r w:rsidRPr="003F511D">
        <w:rPr>
          <w:lang w:val="en-US"/>
        </w:rPr>
        <w:t xml:space="preserve">This sample consisted of duplicate cores taken for dendrochronology from the tiebeam of truss 6, in the north aisle of the church of St Leonard, Apethorpe, Northamptonshire, UK (52.55°N, 0.49°W). This oak timber contained 181 heartwood rings, spanning AD 1211 – AD 1391 and ended at the heartwood/sapwood transition. </w:t>
      </w:r>
    </w:p>
    <w:p w14:paraId="14007E99" w14:textId="77777777" w:rsidR="00EF082C" w:rsidRPr="000A5A97" w:rsidRDefault="00EF082C" w:rsidP="00EF082C">
      <w:pPr>
        <w:rPr>
          <w:lang w:val="en-US"/>
        </w:rPr>
      </w:pPr>
      <w:r w:rsidRPr="003F511D">
        <w:rPr>
          <w:lang w:val="en-US"/>
        </w:rPr>
        <w:t>The tree-ring analysis of the roofs of the chancel and aisles of Apethorpe church has been fully reported by Arnold and Howard (2008</w:t>
      </w:r>
      <w:r>
        <w:rPr>
          <w:lang w:val="en-US"/>
        </w:rPr>
        <w:t>a</w:t>
      </w:r>
      <w:r w:rsidRPr="003F511D">
        <w:rPr>
          <w:lang w:val="en-US"/>
        </w:rPr>
        <w:t xml:space="preserve">). Core samples from 30 oak timbers were obtained from the roofs, of which 24 had sufficient (&gt; 54) rings to proceed with analysis. Their growth-ring widths were measured to a precision of 0.01 mm. The two ring-width series from APT-C02 cross-matched with a </w:t>
      </w:r>
      <w:r w:rsidRPr="003F511D">
        <w:rPr>
          <w:i/>
          <w:lang w:val="en-US"/>
        </w:rPr>
        <w:t>t</w:t>
      </w:r>
      <w:r w:rsidRPr="003F511D">
        <w:rPr>
          <w:lang w:val="en-US"/>
        </w:rPr>
        <w:t xml:space="preserve">-value of 41.5, and were combined before further analysis. The data of the measured samples were then compared with each other using the Litton/Zainodin grouping procedure (Laxton </w:t>
      </w:r>
      <w:r w:rsidRPr="003F511D">
        <w:rPr>
          <w:i/>
          <w:lang w:val="en-US"/>
        </w:rPr>
        <w:t xml:space="preserve">et al </w:t>
      </w:r>
      <w:r w:rsidRPr="003F511D">
        <w:rPr>
          <w:lang w:val="en-US"/>
        </w:rPr>
        <w:t xml:space="preserve">1988; Litton and Zainodin 1991). APT-C02 crossmatched with five other samples at a minimum </w:t>
      </w:r>
      <w:r w:rsidRPr="003F511D">
        <w:rPr>
          <w:i/>
          <w:iCs/>
          <w:lang w:val="en-US"/>
        </w:rPr>
        <w:t>t</w:t>
      </w:r>
      <w:r w:rsidRPr="003F511D">
        <w:rPr>
          <w:lang w:val="en-US"/>
        </w:rPr>
        <w:t xml:space="preserve">-value of </w:t>
      </w:r>
      <w:r w:rsidRPr="003F511D">
        <w:rPr>
          <w:i/>
          <w:iCs/>
          <w:lang w:val="en-US"/>
        </w:rPr>
        <w:t>t</w:t>
      </w:r>
      <w:r w:rsidRPr="003F511D">
        <w:rPr>
          <w:lang w:val="en-US"/>
        </w:rPr>
        <w:t xml:space="preserve">=4.5, and their ring-width series were combined at their indicated offset positions to form APTCSQ01, a site chronology with an overall length of 193 rings. This site chronology is dated as spanning AD 1211–1403 (Table </w:t>
      </w:r>
      <w:r>
        <w:rPr>
          <w:lang w:val="en-US"/>
        </w:rPr>
        <w:t>8-SI</w:t>
      </w:r>
      <w:r w:rsidRPr="003F511D">
        <w:rPr>
          <w:lang w:val="en-US"/>
        </w:rPr>
        <w:t>).</w:t>
      </w:r>
    </w:p>
    <w:tbl>
      <w:tblPr>
        <w:tblW w:w="487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00" w:fill="FFFFFF"/>
        <w:tblLayout w:type="fixed"/>
        <w:tblLook w:val="01E0" w:firstRow="1" w:lastRow="1" w:firstColumn="1" w:lastColumn="1" w:noHBand="0" w:noVBand="0"/>
      </w:tblPr>
      <w:tblGrid>
        <w:gridCol w:w="4109"/>
        <w:gridCol w:w="1561"/>
        <w:gridCol w:w="851"/>
        <w:gridCol w:w="2268"/>
      </w:tblGrid>
      <w:tr w:rsidR="00EF082C" w:rsidRPr="003F511D" w14:paraId="62AD8825" w14:textId="77777777" w:rsidTr="00A21CE2">
        <w:tc>
          <w:tcPr>
            <w:tcW w:w="2338" w:type="pct"/>
            <w:shd w:val="clear" w:color="FFFF00" w:fill="FFFFFF"/>
          </w:tcPr>
          <w:p w14:paraId="72057A63" w14:textId="77777777" w:rsidR="00EF082C" w:rsidRPr="003F511D" w:rsidRDefault="00EF082C" w:rsidP="00A21CE2">
            <w:pPr>
              <w:spacing w:after="0"/>
              <w:rPr>
                <w:sz w:val="20"/>
                <w:szCs w:val="20"/>
                <w:lang w:val="en-US"/>
              </w:rPr>
            </w:pPr>
            <w:r w:rsidRPr="003F511D">
              <w:rPr>
                <w:sz w:val="20"/>
                <w:szCs w:val="20"/>
                <w:lang w:val="en-US"/>
              </w:rPr>
              <w:t>Reference chronology</w:t>
            </w:r>
          </w:p>
        </w:tc>
        <w:tc>
          <w:tcPr>
            <w:tcW w:w="888" w:type="pct"/>
            <w:shd w:val="clear" w:color="FFFF00" w:fill="FFFFFF"/>
          </w:tcPr>
          <w:p w14:paraId="57351AC1" w14:textId="77777777" w:rsidR="00EF082C" w:rsidRPr="003F511D" w:rsidRDefault="00EF082C" w:rsidP="00A21CE2">
            <w:pPr>
              <w:spacing w:after="0"/>
              <w:rPr>
                <w:sz w:val="20"/>
                <w:szCs w:val="20"/>
                <w:lang w:val="en-US"/>
              </w:rPr>
            </w:pPr>
            <w:r w:rsidRPr="003F511D">
              <w:rPr>
                <w:sz w:val="20"/>
                <w:szCs w:val="20"/>
                <w:lang w:val="en-US"/>
              </w:rPr>
              <w:t>Span of chronology</w:t>
            </w:r>
          </w:p>
        </w:tc>
        <w:tc>
          <w:tcPr>
            <w:tcW w:w="484" w:type="pct"/>
            <w:shd w:val="clear" w:color="FFFF00" w:fill="FFFFFF"/>
          </w:tcPr>
          <w:p w14:paraId="2B504272" w14:textId="77777777" w:rsidR="00EF082C" w:rsidRPr="003F511D" w:rsidRDefault="00EF082C" w:rsidP="00A21CE2">
            <w:pPr>
              <w:spacing w:after="0"/>
              <w:rPr>
                <w:sz w:val="20"/>
                <w:szCs w:val="20"/>
                <w:lang w:val="en-US"/>
              </w:rPr>
            </w:pPr>
            <w:r w:rsidRPr="003F511D">
              <w:rPr>
                <w:i/>
                <w:sz w:val="20"/>
                <w:szCs w:val="20"/>
                <w:lang w:val="en-US"/>
              </w:rPr>
              <w:t>t</w:t>
            </w:r>
            <w:r w:rsidRPr="003F511D">
              <w:rPr>
                <w:sz w:val="20"/>
                <w:szCs w:val="20"/>
                <w:lang w:val="en-US"/>
              </w:rPr>
              <w:t>-value</w:t>
            </w:r>
          </w:p>
        </w:tc>
        <w:tc>
          <w:tcPr>
            <w:tcW w:w="1290" w:type="pct"/>
            <w:shd w:val="clear" w:color="FFFF00" w:fill="FFFFFF"/>
          </w:tcPr>
          <w:p w14:paraId="4111CB35" w14:textId="77777777" w:rsidR="00EF082C" w:rsidRPr="003F511D" w:rsidRDefault="00EF082C" w:rsidP="00A21CE2">
            <w:pPr>
              <w:spacing w:after="0"/>
              <w:rPr>
                <w:sz w:val="20"/>
                <w:szCs w:val="20"/>
                <w:lang w:val="en-US"/>
              </w:rPr>
            </w:pPr>
            <w:r w:rsidRPr="003F511D">
              <w:rPr>
                <w:sz w:val="20"/>
                <w:szCs w:val="20"/>
                <w:lang w:val="en-US"/>
              </w:rPr>
              <w:t>Publication</w:t>
            </w:r>
          </w:p>
        </w:tc>
      </w:tr>
      <w:tr w:rsidR="00EF082C" w:rsidRPr="003F511D" w14:paraId="435BA1BB" w14:textId="77777777" w:rsidTr="00A21CE2">
        <w:tc>
          <w:tcPr>
            <w:tcW w:w="2338" w:type="pct"/>
            <w:shd w:val="clear" w:color="FFFF00" w:fill="FFFFFF"/>
          </w:tcPr>
          <w:p w14:paraId="364CCFC1" w14:textId="77777777" w:rsidR="00EF082C" w:rsidRPr="003F511D" w:rsidRDefault="00EF082C" w:rsidP="00A21CE2">
            <w:pPr>
              <w:spacing w:after="0"/>
              <w:rPr>
                <w:sz w:val="20"/>
                <w:szCs w:val="20"/>
                <w:lang w:val="en-US"/>
              </w:rPr>
            </w:pPr>
            <w:r w:rsidRPr="003F511D">
              <w:rPr>
                <w:sz w:val="20"/>
                <w:szCs w:val="20"/>
                <w:lang w:val="en-US"/>
              </w:rPr>
              <w:t>Black Hostelry, Ely Cathedral, Cambridgeshire</w:t>
            </w:r>
          </w:p>
        </w:tc>
        <w:tc>
          <w:tcPr>
            <w:tcW w:w="888" w:type="pct"/>
            <w:shd w:val="clear" w:color="FFFF00" w:fill="FFFFFF"/>
          </w:tcPr>
          <w:p w14:paraId="3BCAF090" w14:textId="77777777" w:rsidR="00EF082C" w:rsidRPr="003F511D" w:rsidRDefault="00EF082C" w:rsidP="00A21CE2">
            <w:pPr>
              <w:spacing w:after="0"/>
              <w:rPr>
                <w:sz w:val="20"/>
                <w:szCs w:val="20"/>
                <w:lang w:val="en-US"/>
              </w:rPr>
            </w:pPr>
            <w:r w:rsidRPr="003F511D">
              <w:rPr>
                <w:sz w:val="20"/>
                <w:szCs w:val="20"/>
                <w:lang w:val="en-US"/>
              </w:rPr>
              <w:t>AD  1233–1376</w:t>
            </w:r>
          </w:p>
        </w:tc>
        <w:tc>
          <w:tcPr>
            <w:tcW w:w="484" w:type="pct"/>
            <w:shd w:val="clear" w:color="FFFF00" w:fill="FFFFFF"/>
          </w:tcPr>
          <w:p w14:paraId="737B88CB" w14:textId="77777777" w:rsidR="00EF082C" w:rsidRPr="003F511D" w:rsidRDefault="00EF082C" w:rsidP="00A21CE2">
            <w:pPr>
              <w:spacing w:after="0"/>
              <w:rPr>
                <w:sz w:val="20"/>
                <w:szCs w:val="20"/>
                <w:lang w:val="en-US"/>
              </w:rPr>
            </w:pPr>
            <w:r w:rsidRPr="003F511D">
              <w:rPr>
                <w:sz w:val="20"/>
                <w:szCs w:val="20"/>
                <w:lang w:val="en-US"/>
              </w:rPr>
              <w:t>10.0</w:t>
            </w:r>
          </w:p>
        </w:tc>
        <w:tc>
          <w:tcPr>
            <w:tcW w:w="1290" w:type="pct"/>
            <w:shd w:val="clear" w:color="FFFF00" w:fill="FFFFFF"/>
          </w:tcPr>
          <w:p w14:paraId="653BD4B2" w14:textId="77777777" w:rsidR="00EF082C" w:rsidRPr="003F511D" w:rsidRDefault="00EF082C" w:rsidP="00A21CE2">
            <w:pPr>
              <w:spacing w:after="0"/>
              <w:rPr>
                <w:sz w:val="20"/>
                <w:szCs w:val="20"/>
                <w:lang w:val="en-US"/>
              </w:rPr>
            </w:pPr>
            <w:r w:rsidRPr="003F511D">
              <w:rPr>
                <w:sz w:val="20"/>
                <w:szCs w:val="20"/>
                <w:lang w:val="en-US"/>
              </w:rPr>
              <w:t xml:space="preserve">Arnold </w:t>
            </w:r>
            <w:r w:rsidRPr="003F511D">
              <w:rPr>
                <w:i/>
                <w:sz w:val="20"/>
                <w:szCs w:val="20"/>
                <w:lang w:val="en-US"/>
              </w:rPr>
              <w:t>et al</w:t>
            </w:r>
            <w:r w:rsidRPr="003F511D">
              <w:rPr>
                <w:sz w:val="20"/>
                <w:szCs w:val="20"/>
                <w:lang w:val="en-US"/>
              </w:rPr>
              <w:t xml:space="preserve"> 2004 </w:t>
            </w:r>
          </w:p>
        </w:tc>
      </w:tr>
      <w:tr w:rsidR="00EF082C" w:rsidRPr="003F511D" w14:paraId="0354EF6E" w14:textId="77777777" w:rsidTr="00A21CE2">
        <w:tc>
          <w:tcPr>
            <w:tcW w:w="2338" w:type="pct"/>
            <w:shd w:val="clear" w:color="FFFF00" w:fill="FFFFFF"/>
          </w:tcPr>
          <w:p w14:paraId="2D586072" w14:textId="77777777" w:rsidR="00EF082C" w:rsidRPr="003F511D" w:rsidRDefault="00EF082C" w:rsidP="00A21CE2">
            <w:pPr>
              <w:spacing w:after="0"/>
              <w:rPr>
                <w:sz w:val="20"/>
                <w:szCs w:val="20"/>
                <w:lang w:val="en-US"/>
              </w:rPr>
            </w:pPr>
            <w:r w:rsidRPr="003F511D">
              <w:rPr>
                <w:sz w:val="20"/>
                <w:szCs w:val="20"/>
                <w:lang w:val="en-US"/>
              </w:rPr>
              <w:t>Reading Waterfront, Berkshire</w:t>
            </w:r>
          </w:p>
        </w:tc>
        <w:tc>
          <w:tcPr>
            <w:tcW w:w="888" w:type="pct"/>
            <w:shd w:val="clear" w:color="FFFF00" w:fill="FFFFFF"/>
          </w:tcPr>
          <w:p w14:paraId="3278C344" w14:textId="77777777" w:rsidR="00EF082C" w:rsidRPr="003F511D" w:rsidRDefault="00EF082C" w:rsidP="00A21CE2">
            <w:pPr>
              <w:spacing w:after="0"/>
              <w:rPr>
                <w:sz w:val="20"/>
                <w:szCs w:val="20"/>
                <w:lang w:val="en-US"/>
              </w:rPr>
            </w:pPr>
            <w:r w:rsidRPr="003F511D">
              <w:rPr>
                <w:sz w:val="20"/>
                <w:szCs w:val="20"/>
                <w:lang w:val="en-US"/>
              </w:rPr>
              <w:t>AD  1160–1407</w:t>
            </w:r>
          </w:p>
        </w:tc>
        <w:tc>
          <w:tcPr>
            <w:tcW w:w="484" w:type="pct"/>
            <w:shd w:val="clear" w:color="FFFF00" w:fill="FFFFFF"/>
          </w:tcPr>
          <w:p w14:paraId="5DE7D6FA" w14:textId="77777777" w:rsidR="00EF082C" w:rsidRPr="003F511D" w:rsidRDefault="00EF082C" w:rsidP="00A21CE2">
            <w:pPr>
              <w:spacing w:after="0"/>
              <w:rPr>
                <w:sz w:val="20"/>
                <w:szCs w:val="20"/>
                <w:lang w:val="en-US"/>
              </w:rPr>
            </w:pPr>
            <w:r w:rsidRPr="003F511D">
              <w:rPr>
                <w:sz w:val="20"/>
                <w:szCs w:val="20"/>
                <w:lang w:val="en-US"/>
              </w:rPr>
              <w:t>9.4</w:t>
            </w:r>
          </w:p>
        </w:tc>
        <w:tc>
          <w:tcPr>
            <w:tcW w:w="1290" w:type="pct"/>
            <w:shd w:val="clear" w:color="FFFF00" w:fill="FFFFFF"/>
          </w:tcPr>
          <w:p w14:paraId="222F1568" w14:textId="77777777" w:rsidR="00EF082C" w:rsidRPr="003F511D" w:rsidRDefault="00EF082C" w:rsidP="00A21CE2">
            <w:pPr>
              <w:spacing w:after="0"/>
              <w:rPr>
                <w:sz w:val="20"/>
                <w:szCs w:val="20"/>
                <w:lang w:val="en-US"/>
              </w:rPr>
            </w:pPr>
            <w:r w:rsidRPr="003F511D">
              <w:rPr>
                <w:sz w:val="20"/>
                <w:szCs w:val="20"/>
                <w:lang w:val="en-US"/>
              </w:rPr>
              <w:t xml:space="preserve">Groves </w:t>
            </w:r>
            <w:r w:rsidRPr="003F511D">
              <w:rPr>
                <w:i/>
                <w:sz w:val="20"/>
                <w:szCs w:val="20"/>
                <w:lang w:val="en-US"/>
              </w:rPr>
              <w:t>et al</w:t>
            </w:r>
            <w:r w:rsidRPr="003F511D">
              <w:rPr>
                <w:sz w:val="20"/>
                <w:szCs w:val="20"/>
                <w:lang w:val="en-US"/>
              </w:rPr>
              <w:t xml:space="preserve"> 1997</w:t>
            </w:r>
          </w:p>
        </w:tc>
      </w:tr>
      <w:tr w:rsidR="00EF082C" w:rsidRPr="003F511D" w14:paraId="7A279AD8" w14:textId="77777777" w:rsidTr="00A21CE2">
        <w:tc>
          <w:tcPr>
            <w:tcW w:w="2338" w:type="pct"/>
            <w:shd w:val="clear" w:color="FFFF00" w:fill="FFFFFF"/>
          </w:tcPr>
          <w:p w14:paraId="6C720EB9" w14:textId="77777777" w:rsidR="00EF082C" w:rsidRPr="003F511D" w:rsidRDefault="00EF082C" w:rsidP="00A21CE2">
            <w:pPr>
              <w:spacing w:after="0"/>
              <w:rPr>
                <w:sz w:val="20"/>
                <w:szCs w:val="20"/>
                <w:lang w:val="en-US"/>
              </w:rPr>
            </w:pPr>
            <w:r w:rsidRPr="003F511D">
              <w:rPr>
                <w:sz w:val="20"/>
                <w:szCs w:val="20"/>
                <w:lang w:val="en-US"/>
              </w:rPr>
              <w:t>Bede House, Lyddington, Rutland</w:t>
            </w:r>
          </w:p>
        </w:tc>
        <w:tc>
          <w:tcPr>
            <w:tcW w:w="888" w:type="pct"/>
            <w:shd w:val="clear" w:color="FFFF00" w:fill="FFFFFF"/>
          </w:tcPr>
          <w:p w14:paraId="6EABBF26" w14:textId="77777777" w:rsidR="00EF082C" w:rsidRPr="003F511D" w:rsidRDefault="00EF082C" w:rsidP="00A21CE2">
            <w:pPr>
              <w:spacing w:after="0"/>
              <w:rPr>
                <w:sz w:val="20"/>
                <w:szCs w:val="20"/>
                <w:lang w:val="en-US"/>
              </w:rPr>
            </w:pPr>
            <w:r w:rsidRPr="003F511D">
              <w:rPr>
                <w:sz w:val="20"/>
                <w:szCs w:val="20"/>
                <w:lang w:val="en-US"/>
              </w:rPr>
              <w:t xml:space="preserve">AD  1245–1494 </w:t>
            </w:r>
          </w:p>
        </w:tc>
        <w:tc>
          <w:tcPr>
            <w:tcW w:w="484" w:type="pct"/>
            <w:shd w:val="clear" w:color="FFFF00" w:fill="FFFFFF"/>
          </w:tcPr>
          <w:p w14:paraId="4DD113F5" w14:textId="77777777" w:rsidR="00EF082C" w:rsidRPr="003F511D" w:rsidRDefault="00EF082C" w:rsidP="00A21CE2">
            <w:pPr>
              <w:spacing w:after="0"/>
              <w:rPr>
                <w:sz w:val="20"/>
                <w:szCs w:val="20"/>
                <w:lang w:val="en-US"/>
              </w:rPr>
            </w:pPr>
            <w:r w:rsidRPr="003F511D">
              <w:rPr>
                <w:sz w:val="20"/>
                <w:szCs w:val="20"/>
                <w:lang w:val="en-US"/>
              </w:rPr>
              <w:t>9.2</w:t>
            </w:r>
          </w:p>
        </w:tc>
        <w:tc>
          <w:tcPr>
            <w:tcW w:w="1290" w:type="pct"/>
            <w:shd w:val="clear" w:color="FFFF00" w:fill="FFFFFF"/>
          </w:tcPr>
          <w:p w14:paraId="68F78148" w14:textId="77777777" w:rsidR="00EF082C" w:rsidRPr="003F511D" w:rsidRDefault="00EF082C" w:rsidP="00A21CE2">
            <w:pPr>
              <w:spacing w:after="0"/>
              <w:rPr>
                <w:sz w:val="20"/>
                <w:szCs w:val="20"/>
                <w:lang w:val="en-US"/>
              </w:rPr>
            </w:pPr>
            <w:r w:rsidRPr="003F511D">
              <w:rPr>
                <w:sz w:val="20"/>
                <w:szCs w:val="20"/>
                <w:lang w:val="en-US"/>
              </w:rPr>
              <w:t xml:space="preserve">Howard </w:t>
            </w:r>
            <w:r w:rsidRPr="003F511D">
              <w:rPr>
                <w:i/>
                <w:sz w:val="20"/>
                <w:szCs w:val="20"/>
                <w:lang w:val="en-US"/>
              </w:rPr>
              <w:t>et al</w:t>
            </w:r>
            <w:r w:rsidRPr="003F511D">
              <w:rPr>
                <w:sz w:val="20"/>
                <w:szCs w:val="20"/>
                <w:lang w:val="en-US"/>
              </w:rPr>
              <w:t xml:space="preserve"> 2015</w:t>
            </w:r>
          </w:p>
        </w:tc>
      </w:tr>
      <w:tr w:rsidR="00EF082C" w:rsidRPr="003F511D" w14:paraId="78182000" w14:textId="77777777" w:rsidTr="00A21CE2">
        <w:tc>
          <w:tcPr>
            <w:tcW w:w="2338" w:type="pct"/>
            <w:shd w:val="clear" w:color="FFFF00" w:fill="FFFFFF"/>
          </w:tcPr>
          <w:p w14:paraId="5C6C3BB1" w14:textId="77777777" w:rsidR="00EF082C" w:rsidRPr="003F511D" w:rsidRDefault="00EF082C" w:rsidP="00A21CE2">
            <w:pPr>
              <w:spacing w:after="0"/>
              <w:rPr>
                <w:sz w:val="20"/>
                <w:szCs w:val="20"/>
                <w:lang w:val="en-US"/>
              </w:rPr>
            </w:pPr>
            <w:r w:rsidRPr="003F511D">
              <w:rPr>
                <w:sz w:val="20"/>
                <w:szCs w:val="20"/>
                <w:lang w:val="en-US"/>
              </w:rPr>
              <w:t>19 Henley Street, Alcester, Warwickshire</w:t>
            </w:r>
          </w:p>
        </w:tc>
        <w:tc>
          <w:tcPr>
            <w:tcW w:w="888" w:type="pct"/>
            <w:shd w:val="clear" w:color="FFFF00" w:fill="FFFFFF"/>
          </w:tcPr>
          <w:p w14:paraId="3F3ACC71" w14:textId="77777777" w:rsidR="00EF082C" w:rsidRPr="003F511D" w:rsidRDefault="00EF082C" w:rsidP="00A21CE2">
            <w:pPr>
              <w:spacing w:after="0"/>
              <w:rPr>
                <w:sz w:val="20"/>
                <w:szCs w:val="20"/>
                <w:lang w:val="en-US"/>
              </w:rPr>
            </w:pPr>
            <w:r w:rsidRPr="003F511D">
              <w:rPr>
                <w:sz w:val="20"/>
                <w:szCs w:val="20"/>
                <w:lang w:val="en-US"/>
              </w:rPr>
              <w:t>AD  1322–1393</w:t>
            </w:r>
          </w:p>
        </w:tc>
        <w:tc>
          <w:tcPr>
            <w:tcW w:w="484" w:type="pct"/>
            <w:shd w:val="clear" w:color="FFFF00" w:fill="FFFFFF"/>
          </w:tcPr>
          <w:p w14:paraId="4DC1EE68" w14:textId="77777777" w:rsidR="00EF082C" w:rsidRPr="003F511D" w:rsidRDefault="00EF082C" w:rsidP="00A21CE2">
            <w:pPr>
              <w:spacing w:after="0"/>
              <w:rPr>
                <w:sz w:val="20"/>
                <w:szCs w:val="20"/>
                <w:lang w:val="en-US"/>
              </w:rPr>
            </w:pPr>
            <w:r w:rsidRPr="003F511D">
              <w:rPr>
                <w:sz w:val="20"/>
                <w:szCs w:val="20"/>
                <w:lang w:val="en-US"/>
              </w:rPr>
              <w:t>9.1</w:t>
            </w:r>
          </w:p>
        </w:tc>
        <w:tc>
          <w:tcPr>
            <w:tcW w:w="1290" w:type="pct"/>
            <w:shd w:val="clear" w:color="FFFF00" w:fill="FFFFFF"/>
          </w:tcPr>
          <w:p w14:paraId="23E3E014" w14:textId="77777777" w:rsidR="00EF082C" w:rsidRPr="003F511D" w:rsidRDefault="00EF082C" w:rsidP="00A21CE2">
            <w:pPr>
              <w:spacing w:after="0"/>
              <w:rPr>
                <w:sz w:val="20"/>
                <w:szCs w:val="20"/>
                <w:lang w:val="en-US"/>
              </w:rPr>
            </w:pPr>
            <w:r w:rsidRPr="003F511D">
              <w:rPr>
                <w:sz w:val="20"/>
                <w:szCs w:val="20"/>
                <w:lang w:val="en-US"/>
              </w:rPr>
              <w:t xml:space="preserve">Alcock </w:t>
            </w:r>
            <w:r w:rsidRPr="003F511D">
              <w:rPr>
                <w:i/>
                <w:sz w:val="20"/>
                <w:szCs w:val="20"/>
                <w:lang w:val="en-US"/>
              </w:rPr>
              <w:t>et al</w:t>
            </w:r>
            <w:r w:rsidRPr="003F511D">
              <w:rPr>
                <w:sz w:val="20"/>
                <w:szCs w:val="20"/>
                <w:lang w:val="en-US"/>
              </w:rPr>
              <w:t xml:space="preserve"> 1989</w:t>
            </w:r>
          </w:p>
        </w:tc>
      </w:tr>
      <w:tr w:rsidR="00EF082C" w:rsidRPr="003F511D" w14:paraId="468D698C" w14:textId="77777777" w:rsidTr="00A21CE2">
        <w:tc>
          <w:tcPr>
            <w:tcW w:w="2338" w:type="pct"/>
            <w:shd w:val="clear" w:color="FFFF00" w:fill="FFFFFF"/>
          </w:tcPr>
          <w:p w14:paraId="50909DCE" w14:textId="77777777" w:rsidR="00EF082C" w:rsidRPr="003F511D" w:rsidRDefault="00EF082C" w:rsidP="00A21CE2">
            <w:pPr>
              <w:spacing w:after="0"/>
              <w:rPr>
                <w:sz w:val="20"/>
                <w:szCs w:val="20"/>
                <w:lang w:val="en-US"/>
              </w:rPr>
            </w:pPr>
            <w:r w:rsidRPr="003F511D">
              <w:rPr>
                <w:sz w:val="20"/>
                <w:szCs w:val="20"/>
                <w:lang w:val="en-US"/>
              </w:rPr>
              <w:t>Ulverscroft Priory, Charnwood Forest, Leicestershire</w:t>
            </w:r>
          </w:p>
        </w:tc>
        <w:tc>
          <w:tcPr>
            <w:tcW w:w="888" w:type="pct"/>
            <w:shd w:val="clear" w:color="FFFF00" w:fill="FFFFFF"/>
          </w:tcPr>
          <w:p w14:paraId="5702C0C6" w14:textId="77777777" w:rsidR="00EF082C" w:rsidRPr="003F511D" w:rsidRDefault="00EF082C" w:rsidP="00A21CE2">
            <w:pPr>
              <w:spacing w:after="0"/>
              <w:rPr>
                <w:sz w:val="20"/>
                <w:szCs w:val="20"/>
                <w:lang w:val="en-US"/>
              </w:rPr>
            </w:pPr>
            <w:r w:rsidRPr="003F511D">
              <w:rPr>
                <w:sz w:val="20"/>
                <w:szCs w:val="20"/>
                <w:lang w:val="en-US"/>
              </w:rPr>
              <w:t>AD  1219–1463</w:t>
            </w:r>
          </w:p>
        </w:tc>
        <w:tc>
          <w:tcPr>
            <w:tcW w:w="484" w:type="pct"/>
            <w:shd w:val="clear" w:color="FFFF00" w:fill="FFFFFF"/>
          </w:tcPr>
          <w:p w14:paraId="1FAA5D13" w14:textId="77777777" w:rsidR="00EF082C" w:rsidRPr="003F511D" w:rsidRDefault="00EF082C" w:rsidP="00A21CE2">
            <w:pPr>
              <w:spacing w:after="0"/>
              <w:rPr>
                <w:sz w:val="20"/>
                <w:szCs w:val="20"/>
                <w:lang w:val="en-US"/>
              </w:rPr>
            </w:pPr>
            <w:r w:rsidRPr="003F511D">
              <w:rPr>
                <w:sz w:val="20"/>
                <w:szCs w:val="20"/>
                <w:lang w:val="en-US"/>
              </w:rPr>
              <w:t>8.8</w:t>
            </w:r>
          </w:p>
        </w:tc>
        <w:tc>
          <w:tcPr>
            <w:tcW w:w="1290" w:type="pct"/>
            <w:shd w:val="clear" w:color="FFFF00" w:fill="FFFFFF"/>
          </w:tcPr>
          <w:p w14:paraId="65C16004" w14:textId="77777777" w:rsidR="00EF082C" w:rsidRPr="003F511D" w:rsidRDefault="00EF082C" w:rsidP="00A21CE2">
            <w:pPr>
              <w:spacing w:after="0"/>
              <w:rPr>
                <w:sz w:val="20"/>
                <w:szCs w:val="20"/>
                <w:lang w:val="en-US"/>
              </w:rPr>
            </w:pPr>
            <w:r w:rsidRPr="003F511D">
              <w:rPr>
                <w:sz w:val="20"/>
                <w:szCs w:val="20"/>
                <w:lang w:val="en-US"/>
              </w:rPr>
              <w:t xml:space="preserve">Arnold </w:t>
            </w:r>
            <w:r w:rsidRPr="003F511D">
              <w:rPr>
                <w:i/>
                <w:sz w:val="20"/>
                <w:szCs w:val="20"/>
                <w:lang w:val="en-US"/>
              </w:rPr>
              <w:t>et al</w:t>
            </w:r>
            <w:r w:rsidRPr="003F511D">
              <w:rPr>
                <w:sz w:val="20"/>
                <w:szCs w:val="20"/>
                <w:lang w:val="en-US"/>
              </w:rPr>
              <w:t xml:space="preserve"> 2008 </w:t>
            </w:r>
          </w:p>
        </w:tc>
      </w:tr>
      <w:tr w:rsidR="00EF082C" w:rsidRPr="003F511D" w14:paraId="1DFAC4A7" w14:textId="77777777" w:rsidTr="00A21CE2">
        <w:tc>
          <w:tcPr>
            <w:tcW w:w="2338" w:type="pct"/>
            <w:shd w:val="clear" w:color="FFFF00" w:fill="FFFFFF"/>
          </w:tcPr>
          <w:p w14:paraId="3A16EF82" w14:textId="77777777" w:rsidR="00EF082C" w:rsidRPr="003F511D" w:rsidRDefault="00EF082C" w:rsidP="00A21CE2">
            <w:pPr>
              <w:spacing w:after="0"/>
              <w:rPr>
                <w:sz w:val="20"/>
                <w:szCs w:val="20"/>
                <w:lang w:val="en-US"/>
              </w:rPr>
            </w:pPr>
            <w:r w:rsidRPr="003F511D">
              <w:rPr>
                <w:sz w:val="20"/>
                <w:szCs w:val="20"/>
                <w:lang w:val="en-US"/>
              </w:rPr>
              <w:t>Flore’s House, Oakham, Rutland</w:t>
            </w:r>
          </w:p>
        </w:tc>
        <w:tc>
          <w:tcPr>
            <w:tcW w:w="888" w:type="pct"/>
            <w:shd w:val="clear" w:color="FFFF00" w:fill="FFFFFF"/>
          </w:tcPr>
          <w:p w14:paraId="1CEF2B4A" w14:textId="77777777" w:rsidR="00EF082C" w:rsidRPr="003F511D" w:rsidRDefault="00EF082C" w:rsidP="00A21CE2">
            <w:pPr>
              <w:spacing w:after="0"/>
              <w:rPr>
                <w:sz w:val="20"/>
                <w:szCs w:val="20"/>
                <w:lang w:val="en-US"/>
              </w:rPr>
            </w:pPr>
            <w:r w:rsidRPr="003F511D">
              <w:rPr>
                <w:sz w:val="20"/>
                <w:szCs w:val="20"/>
                <w:lang w:val="en-US"/>
              </w:rPr>
              <w:t xml:space="preserve">AD  1173–1392 </w:t>
            </w:r>
          </w:p>
        </w:tc>
        <w:tc>
          <w:tcPr>
            <w:tcW w:w="484" w:type="pct"/>
            <w:shd w:val="clear" w:color="FFFF00" w:fill="FFFFFF"/>
          </w:tcPr>
          <w:p w14:paraId="1E5C804A" w14:textId="77777777" w:rsidR="00EF082C" w:rsidRPr="003F511D" w:rsidRDefault="00EF082C" w:rsidP="00A21CE2">
            <w:pPr>
              <w:spacing w:after="0"/>
              <w:rPr>
                <w:sz w:val="20"/>
                <w:szCs w:val="20"/>
                <w:lang w:val="en-US"/>
              </w:rPr>
            </w:pPr>
            <w:r w:rsidRPr="003F511D">
              <w:rPr>
                <w:sz w:val="20"/>
                <w:szCs w:val="20"/>
                <w:lang w:val="en-US"/>
              </w:rPr>
              <w:t>8.7</w:t>
            </w:r>
          </w:p>
        </w:tc>
        <w:tc>
          <w:tcPr>
            <w:tcW w:w="1290" w:type="pct"/>
            <w:shd w:val="clear" w:color="FFFF00" w:fill="FFFFFF"/>
          </w:tcPr>
          <w:p w14:paraId="5DB25885" w14:textId="77777777" w:rsidR="00EF082C" w:rsidRPr="003F511D" w:rsidRDefault="00EF082C" w:rsidP="00A21CE2">
            <w:pPr>
              <w:spacing w:after="0"/>
              <w:rPr>
                <w:sz w:val="20"/>
                <w:szCs w:val="20"/>
                <w:lang w:val="en-US"/>
              </w:rPr>
            </w:pPr>
            <w:r w:rsidRPr="003F511D">
              <w:rPr>
                <w:color w:val="000000"/>
                <w:sz w:val="20"/>
                <w:szCs w:val="20"/>
                <w:lang w:val="en-US"/>
              </w:rPr>
              <w:t xml:space="preserve">Hurford </w:t>
            </w:r>
            <w:r w:rsidRPr="003F511D">
              <w:rPr>
                <w:i/>
                <w:color w:val="000000"/>
                <w:sz w:val="20"/>
                <w:szCs w:val="20"/>
                <w:lang w:val="en-US"/>
              </w:rPr>
              <w:t>et al</w:t>
            </w:r>
            <w:r w:rsidRPr="003F511D">
              <w:rPr>
                <w:color w:val="000000"/>
                <w:sz w:val="20"/>
                <w:szCs w:val="20"/>
                <w:lang w:val="en-US"/>
              </w:rPr>
              <w:t xml:space="preserve"> 2008</w:t>
            </w:r>
          </w:p>
        </w:tc>
      </w:tr>
      <w:tr w:rsidR="00EF082C" w:rsidRPr="003F511D" w14:paraId="7EC4E86B" w14:textId="77777777" w:rsidTr="00A21CE2">
        <w:tc>
          <w:tcPr>
            <w:tcW w:w="2338" w:type="pct"/>
            <w:shd w:val="clear" w:color="FFFF00" w:fill="FFFFFF"/>
          </w:tcPr>
          <w:p w14:paraId="38570872" w14:textId="77777777" w:rsidR="00EF082C" w:rsidRPr="003F511D" w:rsidRDefault="00EF082C" w:rsidP="00A21CE2">
            <w:pPr>
              <w:spacing w:after="0"/>
              <w:rPr>
                <w:sz w:val="20"/>
                <w:szCs w:val="20"/>
                <w:lang w:val="en-US"/>
              </w:rPr>
            </w:pPr>
            <w:r w:rsidRPr="003F511D">
              <w:rPr>
                <w:sz w:val="20"/>
                <w:szCs w:val="20"/>
                <w:lang w:val="en-US"/>
              </w:rPr>
              <w:t>Apethorpe Hall, Apethorpe, Northamptonshire</w:t>
            </w:r>
          </w:p>
        </w:tc>
        <w:tc>
          <w:tcPr>
            <w:tcW w:w="888" w:type="pct"/>
            <w:shd w:val="clear" w:color="FFFF00" w:fill="FFFFFF"/>
          </w:tcPr>
          <w:p w14:paraId="7DEBC5B7" w14:textId="77777777" w:rsidR="00EF082C" w:rsidRPr="003F511D" w:rsidRDefault="00EF082C" w:rsidP="00A21CE2">
            <w:pPr>
              <w:spacing w:after="0"/>
              <w:rPr>
                <w:sz w:val="20"/>
                <w:szCs w:val="20"/>
                <w:lang w:val="en-US"/>
              </w:rPr>
            </w:pPr>
            <w:r w:rsidRPr="003F511D">
              <w:rPr>
                <w:sz w:val="20"/>
                <w:szCs w:val="20"/>
                <w:lang w:val="en-US"/>
              </w:rPr>
              <w:t xml:space="preserve">AD  1292–1639 </w:t>
            </w:r>
          </w:p>
        </w:tc>
        <w:tc>
          <w:tcPr>
            <w:tcW w:w="484" w:type="pct"/>
            <w:shd w:val="clear" w:color="FFFF00" w:fill="FFFFFF"/>
          </w:tcPr>
          <w:p w14:paraId="590D088C" w14:textId="77777777" w:rsidR="00EF082C" w:rsidRPr="003F511D" w:rsidRDefault="00EF082C" w:rsidP="00A21CE2">
            <w:pPr>
              <w:spacing w:after="0"/>
              <w:rPr>
                <w:sz w:val="20"/>
                <w:szCs w:val="20"/>
                <w:lang w:val="en-US"/>
              </w:rPr>
            </w:pPr>
            <w:r w:rsidRPr="003F511D">
              <w:rPr>
                <w:sz w:val="20"/>
                <w:szCs w:val="20"/>
                <w:lang w:val="en-US"/>
              </w:rPr>
              <w:t>8.2</w:t>
            </w:r>
          </w:p>
        </w:tc>
        <w:tc>
          <w:tcPr>
            <w:tcW w:w="1290" w:type="pct"/>
            <w:shd w:val="clear" w:color="FFFF00" w:fill="FFFFFF"/>
          </w:tcPr>
          <w:p w14:paraId="640DC17E" w14:textId="77777777" w:rsidR="00EF082C" w:rsidRPr="003F511D" w:rsidRDefault="00EF082C" w:rsidP="00A21CE2">
            <w:pPr>
              <w:spacing w:after="0"/>
              <w:rPr>
                <w:sz w:val="20"/>
                <w:szCs w:val="20"/>
                <w:lang w:val="en-US"/>
              </w:rPr>
            </w:pPr>
            <w:r w:rsidRPr="003F511D">
              <w:rPr>
                <w:sz w:val="20"/>
                <w:szCs w:val="20"/>
                <w:lang w:val="en-US"/>
              </w:rPr>
              <w:t>Arnold and Howard 2008</w:t>
            </w:r>
            <w:r>
              <w:rPr>
                <w:sz w:val="20"/>
                <w:szCs w:val="20"/>
                <w:lang w:val="en-US"/>
              </w:rPr>
              <w:t>b</w:t>
            </w:r>
          </w:p>
        </w:tc>
      </w:tr>
      <w:tr w:rsidR="00EF082C" w:rsidRPr="003F511D" w14:paraId="0FF73FD1" w14:textId="77777777" w:rsidTr="00A21CE2">
        <w:tc>
          <w:tcPr>
            <w:tcW w:w="2338" w:type="pct"/>
            <w:shd w:val="clear" w:color="FFFF00" w:fill="FFFFFF"/>
          </w:tcPr>
          <w:p w14:paraId="6315556B" w14:textId="77777777" w:rsidR="00EF082C" w:rsidRPr="003F511D" w:rsidRDefault="00EF082C" w:rsidP="00A21CE2">
            <w:pPr>
              <w:spacing w:after="0"/>
              <w:rPr>
                <w:sz w:val="20"/>
                <w:szCs w:val="20"/>
                <w:lang w:val="en-US"/>
              </w:rPr>
            </w:pPr>
            <w:r w:rsidRPr="003F511D">
              <w:rPr>
                <w:sz w:val="20"/>
                <w:szCs w:val="20"/>
                <w:lang w:val="en-US"/>
              </w:rPr>
              <w:t>Abbey Farm Barns, Thetford, Norfolk</w:t>
            </w:r>
          </w:p>
        </w:tc>
        <w:tc>
          <w:tcPr>
            <w:tcW w:w="888" w:type="pct"/>
            <w:shd w:val="clear" w:color="FFFF00" w:fill="FFFFFF"/>
          </w:tcPr>
          <w:p w14:paraId="447AD026" w14:textId="77777777" w:rsidR="00EF082C" w:rsidRPr="003F511D" w:rsidRDefault="00EF082C" w:rsidP="00A21CE2">
            <w:pPr>
              <w:spacing w:after="0"/>
              <w:rPr>
                <w:sz w:val="20"/>
                <w:szCs w:val="20"/>
                <w:lang w:val="en-US"/>
              </w:rPr>
            </w:pPr>
            <w:r w:rsidRPr="003F511D">
              <w:rPr>
                <w:sz w:val="20"/>
                <w:szCs w:val="20"/>
                <w:lang w:val="en-US"/>
              </w:rPr>
              <w:t>AD  1237–1428</w:t>
            </w:r>
          </w:p>
        </w:tc>
        <w:tc>
          <w:tcPr>
            <w:tcW w:w="484" w:type="pct"/>
            <w:shd w:val="clear" w:color="FFFF00" w:fill="FFFFFF"/>
          </w:tcPr>
          <w:p w14:paraId="36901952" w14:textId="77777777" w:rsidR="00EF082C" w:rsidRPr="003F511D" w:rsidRDefault="00EF082C" w:rsidP="00A21CE2">
            <w:pPr>
              <w:spacing w:after="0"/>
              <w:rPr>
                <w:sz w:val="20"/>
                <w:szCs w:val="20"/>
                <w:lang w:val="en-US"/>
              </w:rPr>
            </w:pPr>
            <w:r w:rsidRPr="003F511D">
              <w:rPr>
                <w:sz w:val="20"/>
                <w:szCs w:val="20"/>
                <w:lang w:val="en-US"/>
              </w:rPr>
              <w:t>8.2</w:t>
            </w:r>
          </w:p>
        </w:tc>
        <w:tc>
          <w:tcPr>
            <w:tcW w:w="1290" w:type="pct"/>
            <w:shd w:val="clear" w:color="FFFF00" w:fill="FFFFFF"/>
          </w:tcPr>
          <w:p w14:paraId="51283E9F" w14:textId="77777777" w:rsidR="00EF082C" w:rsidRPr="003F511D" w:rsidRDefault="00EF082C" w:rsidP="00A21CE2">
            <w:pPr>
              <w:spacing w:after="0"/>
              <w:rPr>
                <w:sz w:val="20"/>
                <w:szCs w:val="20"/>
                <w:lang w:val="en-US"/>
              </w:rPr>
            </w:pPr>
            <w:r w:rsidRPr="003F511D">
              <w:rPr>
                <w:sz w:val="20"/>
                <w:szCs w:val="20"/>
                <w:lang w:val="en-US"/>
              </w:rPr>
              <w:t xml:space="preserve">Howard </w:t>
            </w:r>
            <w:r w:rsidRPr="003F511D">
              <w:rPr>
                <w:i/>
                <w:sz w:val="20"/>
                <w:szCs w:val="20"/>
                <w:lang w:val="en-US"/>
              </w:rPr>
              <w:t>et al</w:t>
            </w:r>
            <w:r w:rsidRPr="003F511D">
              <w:rPr>
                <w:sz w:val="20"/>
                <w:szCs w:val="20"/>
                <w:lang w:val="en-US"/>
              </w:rPr>
              <w:t xml:space="preserve"> 2000</w:t>
            </w:r>
          </w:p>
        </w:tc>
      </w:tr>
      <w:tr w:rsidR="00EF082C" w:rsidRPr="003F511D" w14:paraId="74E46C52" w14:textId="77777777" w:rsidTr="00A21CE2">
        <w:tc>
          <w:tcPr>
            <w:tcW w:w="2338" w:type="pct"/>
            <w:shd w:val="clear" w:color="FFFF00" w:fill="FFFFFF"/>
          </w:tcPr>
          <w:p w14:paraId="1B57F78A" w14:textId="77777777" w:rsidR="00EF082C" w:rsidRPr="003F511D" w:rsidRDefault="00EF082C" w:rsidP="00A21CE2">
            <w:pPr>
              <w:spacing w:after="0"/>
              <w:rPr>
                <w:sz w:val="20"/>
                <w:szCs w:val="20"/>
                <w:lang w:val="en-US"/>
              </w:rPr>
            </w:pPr>
            <w:r w:rsidRPr="003F511D">
              <w:rPr>
                <w:sz w:val="20"/>
                <w:szCs w:val="20"/>
                <w:lang w:val="en-US"/>
              </w:rPr>
              <w:t>Chicksands Priory, Chicksands, Bedfordshire</w:t>
            </w:r>
          </w:p>
        </w:tc>
        <w:tc>
          <w:tcPr>
            <w:tcW w:w="888" w:type="pct"/>
            <w:shd w:val="clear" w:color="FFFF00" w:fill="FFFFFF"/>
          </w:tcPr>
          <w:p w14:paraId="18C02EF8" w14:textId="77777777" w:rsidR="00EF082C" w:rsidRPr="003F511D" w:rsidRDefault="00EF082C" w:rsidP="00A21CE2">
            <w:pPr>
              <w:spacing w:after="0"/>
              <w:rPr>
                <w:sz w:val="20"/>
                <w:szCs w:val="20"/>
                <w:lang w:val="en-US"/>
              </w:rPr>
            </w:pPr>
            <w:r w:rsidRPr="003F511D">
              <w:rPr>
                <w:sz w:val="20"/>
                <w:szCs w:val="20"/>
                <w:lang w:val="en-US"/>
              </w:rPr>
              <w:t>AD  1200–1541</w:t>
            </w:r>
          </w:p>
        </w:tc>
        <w:tc>
          <w:tcPr>
            <w:tcW w:w="484" w:type="pct"/>
            <w:shd w:val="clear" w:color="FFFF00" w:fill="FFFFFF"/>
          </w:tcPr>
          <w:p w14:paraId="1FD69EA9" w14:textId="77777777" w:rsidR="00EF082C" w:rsidRPr="003F511D" w:rsidRDefault="00EF082C" w:rsidP="00A21CE2">
            <w:pPr>
              <w:spacing w:after="0"/>
              <w:rPr>
                <w:sz w:val="20"/>
                <w:szCs w:val="20"/>
                <w:lang w:val="en-US"/>
              </w:rPr>
            </w:pPr>
            <w:r w:rsidRPr="003F511D">
              <w:rPr>
                <w:sz w:val="20"/>
                <w:szCs w:val="20"/>
                <w:lang w:val="en-US"/>
              </w:rPr>
              <w:t>7.8</w:t>
            </w:r>
          </w:p>
        </w:tc>
        <w:tc>
          <w:tcPr>
            <w:tcW w:w="1290" w:type="pct"/>
            <w:shd w:val="clear" w:color="FFFF00" w:fill="FFFFFF"/>
          </w:tcPr>
          <w:p w14:paraId="07918693" w14:textId="77777777" w:rsidR="00EF082C" w:rsidRPr="003F511D" w:rsidRDefault="00EF082C" w:rsidP="00A21CE2">
            <w:pPr>
              <w:spacing w:after="0"/>
              <w:rPr>
                <w:sz w:val="20"/>
                <w:szCs w:val="20"/>
                <w:lang w:val="en-US"/>
              </w:rPr>
            </w:pPr>
            <w:r w:rsidRPr="003F511D">
              <w:rPr>
                <w:sz w:val="20"/>
                <w:szCs w:val="20"/>
                <w:lang w:val="en-US"/>
              </w:rPr>
              <w:t xml:space="preserve">Howard </w:t>
            </w:r>
            <w:r w:rsidRPr="003F511D">
              <w:rPr>
                <w:i/>
                <w:sz w:val="20"/>
                <w:szCs w:val="20"/>
                <w:lang w:val="en-US"/>
              </w:rPr>
              <w:t>et al</w:t>
            </w:r>
            <w:r w:rsidRPr="003F511D">
              <w:rPr>
                <w:sz w:val="20"/>
                <w:szCs w:val="20"/>
                <w:lang w:val="en-US"/>
              </w:rPr>
              <w:t xml:space="preserve"> 1998</w:t>
            </w:r>
          </w:p>
        </w:tc>
      </w:tr>
      <w:tr w:rsidR="00EF082C" w:rsidRPr="003F511D" w14:paraId="2C6AB8E5" w14:textId="77777777" w:rsidTr="00A21CE2">
        <w:tc>
          <w:tcPr>
            <w:tcW w:w="2338" w:type="pct"/>
            <w:shd w:val="clear" w:color="FFFF00" w:fill="FFFFFF"/>
          </w:tcPr>
          <w:p w14:paraId="7A1C8B75" w14:textId="77777777" w:rsidR="00EF082C" w:rsidRPr="003F511D" w:rsidRDefault="00EF082C" w:rsidP="00A21CE2">
            <w:pPr>
              <w:spacing w:after="0"/>
              <w:rPr>
                <w:sz w:val="20"/>
                <w:szCs w:val="20"/>
                <w:lang w:val="en-US"/>
              </w:rPr>
            </w:pPr>
            <w:r w:rsidRPr="003F511D">
              <w:rPr>
                <w:sz w:val="20"/>
                <w:szCs w:val="20"/>
                <w:lang w:val="en-US"/>
              </w:rPr>
              <w:t>Abbey Gatehouse, Kingswood, Gloucestershire</w:t>
            </w:r>
          </w:p>
        </w:tc>
        <w:tc>
          <w:tcPr>
            <w:tcW w:w="888" w:type="pct"/>
            <w:shd w:val="clear" w:color="FFFF00" w:fill="FFFFFF"/>
          </w:tcPr>
          <w:p w14:paraId="341F0981" w14:textId="77777777" w:rsidR="00EF082C" w:rsidRPr="003F511D" w:rsidRDefault="00EF082C" w:rsidP="00A21CE2">
            <w:pPr>
              <w:spacing w:after="0"/>
              <w:rPr>
                <w:sz w:val="20"/>
                <w:szCs w:val="20"/>
                <w:lang w:val="en-US"/>
              </w:rPr>
            </w:pPr>
            <w:r w:rsidRPr="003F511D">
              <w:rPr>
                <w:sz w:val="20"/>
                <w:szCs w:val="20"/>
                <w:lang w:val="en-US"/>
              </w:rPr>
              <w:t xml:space="preserve">AD  1307–1428 </w:t>
            </w:r>
          </w:p>
        </w:tc>
        <w:tc>
          <w:tcPr>
            <w:tcW w:w="484" w:type="pct"/>
            <w:shd w:val="clear" w:color="FFFF00" w:fill="FFFFFF"/>
          </w:tcPr>
          <w:p w14:paraId="25BC7966" w14:textId="77777777" w:rsidR="00EF082C" w:rsidRPr="003F511D" w:rsidRDefault="00EF082C" w:rsidP="00A21CE2">
            <w:pPr>
              <w:spacing w:after="0"/>
              <w:rPr>
                <w:sz w:val="20"/>
                <w:szCs w:val="20"/>
                <w:lang w:val="en-US"/>
              </w:rPr>
            </w:pPr>
            <w:r w:rsidRPr="003F511D">
              <w:rPr>
                <w:sz w:val="20"/>
                <w:szCs w:val="20"/>
                <w:lang w:val="en-US"/>
              </w:rPr>
              <w:t>7.4</w:t>
            </w:r>
          </w:p>
        </w:tc>
        <w:tc>
          <w:tcPr>
            <w:tcW w:w="1290" w:type="pct"/>
            <w:shd w:val="clear" w:color="FFFF00" w:fill="FFFFFF"/>
          </w:tcPr>
          <w:p w14:paraId="4A8A083C" w14:textId="77777777" w:rsidR="00EF082C" w:rsidRPr="003F511D" w:rsidRDefault="00EF082C" w:rsidP="00A21CE2">
            <w:pPr>
              <w:spacing w:after="0"/>
              <w:rPr>
                <w:sz w:val="20"/>
                <w:szCs w:val="20"/>
                <w:lang w:val="en-US"/>
              </w:rPr>
            </w:pPr>
            <w:r w:rsidRPr="003F511D">
              <w:rPr>
                <w:sz w:val="20"/>
                <w:szCs w:val="20"/>
                <w:lang w:val="en-US"/>
              </w:rPr>
              <w:t xml:space="preserve">Arnold </w:t>
            </w:r>
            <w:r w:rsidRPr="003F511D">
              <w:rPr>
                <w:i/>
                <w:sz w:val="20"/>
                <w:szCs w:val="20"/>
                <w:lang w:val="en-US"/>
              </w:rPr>
              <w:t>et al</w:t>
            </w:r>
            <w:r w:rsidRPr="003F511D">
              <w:rPr>
                <w:sz w:val="20"/>
                <w:szCs w:val="20"/>
                <w:lang w:val="en-US"/>
              </w:rPr>
              <w:t xml:space="preserve"> 2003</w:t>
            </w:r>
          </w:p>
        </w:tc>
      </w:tr>
    </w:tbl>
    <w:p w14:paraId="1543ED87" w14:textId="77777777" w:rsidR="00EF082C" w:rsidRPr="003F511D" w:rsidRDefault="00EF082C" w:rsidP="00EF082C">
      <w:pPr>
        <w:rPr>
          <w:lang w:val="en-US"/>
        </w:rPr>
      </w:pPr>
      <w:r w:rsidRPr="003F511D">
        <w:rPr>
          <w:i/>
          <w:sz w:val="20"/>
          <w:szCs w:val="20"/>
          <w:lang w:val="en-US"/>
        </w:rPr>
        <w:t xml:space="preserve">Table </w:t>
      </w:r>
      <w:r>
        <w:rPr>
          <w:i/>
          <w:sz w:val="20"/>
          <w:szCs w:val="20"/>
          <w:lang w:val="en-US"/>
        </w:rPr>
        <w:t>8-SI</w:t>
      </w:r>
      <w:r w:rsidRPr="003F511D">
        <w:rPr>
          <w:i/>
          <w:sz w:val="20"/>
          <w:szCs w:val="20"/>
          <w:lang w:val="en-US"/>
        </w:rPr>
        <w:t>: Results of the cross-matching of site sequence APTCSQ01 and relevant independent site reference chronologies when the first-ring date is AD 1211 and the last-ring date is AD 1403 (</w:t>
      </w:r>
      <w:r w:rsidRPr="003F511D">
        <w:rPr>
          <w:sz w:val="20"/>
          <w:szCs w:val="20"/>
          <w:lang w:val="en-US"/>
        </w:rPr>
        <w:t>t</w:t>
      </w:r>
      <w:r w:rsidRPr="003F511D">
        <w:rPr>
          <w:i/>
          <w:sz w:val="20"/>
          <w:szCs w:val="20"/>
          <w:lang w:val="en-US"/>
        </w:rPr>
        <w:t>-values after Baillie and Pilcher 1973).</w:t>
      </w:r>
    </w:p>
    <w:p w14:paraId="69FC20B1" w14:textId="77777777" w:rsidR="00EF082C" w:rsidRPr="003F511D" w:rsidRDefault="00EF082C" w:rsidP="00EF082C">
      <w:pPr>
        <w:rPr>
          <w:lang w:val="en-US"/>
        </w:rPr>
      </w:pPr>
      <w:r w:rsidRPr="003F511D">
        <w:rPr>
          <w:lang w:val="en-US"/>
        </w:rPr>
        <w:t>The raw ring-width data of all the measured samples from the roofs of the chancel and aisle of the church of St Leonard, Apethorpe can be found in Arnold and Howard (2008</w:t>
      </w:r>
      <w:r>
        <w:rPr>
          <w:lang w:val="en-US"/>
        </w:rPr>
        <w:t>a</w:t>
      </w:r>
      <w:r w:rsidRPr="003F511D">
        <w:rPr>
          <w:lang w:val="en-US"/>
        </w:rPr>
        <w:t xml:space="preserve">) and at </w:t>
      </w:r>
      <w:hyperlink r:id="rId14" w:history="1">
        <w:r w:rsidRPr="003F511D">
          <w:rPr>
            <w:rStyle w:val="Hyperlink"/>
            <w:lang w:val="en-US"/>
          </w:rPr>
          <w:t>https://www.ncei.noaa.gov/access/paleo-search/study/36974</w:t>
        </w:r>
      </w:hyperlink>
      <w:r w:rsidRPr="003F511D">
        <w:rPr>
          <w:lang w:val="en-US"/>
        </w:rPr>
        <w:t>.</w:t>
      </w:r>
    </w:p>
    <w:p w14:paraId="087F1F8A" w14:textId="77777777" w:rsidR="00EF082C" w:rsidRPr="003F511D" w:rsidRDefault="00EF082C" w:rsidP="00EF082C">
      <w:pPr>
        <w:spacing w:after="0" w:line="240" w:lineRule="auto"/>
        <w:rPr>
          <w:lang w:val="en-US"/>
        </w:rPr>
      </w:pPr>
    </w:p>
    <w:p w14:paraId="0FE9A091" w14:textId="77777777" w:rsidR="00EF082C" w:rsidRPr="003F511D" w:rsidRDefault="00EF082C" w:rsidP="00EF082C">
      <w:pPr>
        <w:rPr>
          <w:lang w:val="en-US"/>
        </w:rPr>
      </w:pPr>
    </w:p>
    <w:p w14:paraId="10C18D55" w14:textId="77777777" w:rsidR="00EF082C" w:rsidRPr="003F511D" w:rsidRDefault="00EF082C" w:rsidP="00EF082C">
      <w:pPr>
        <w:rPr>
          <w:b/>
          <w:bCs/>
          <w:lang w:val="en-US"/>
        </w:rPr>
      </w:pPr>
      <w:r w:rsidRPr="003F511D">
        <w:rPr>
          <w:b/>
          <w:bCs/>
          <w:lang w:val="en-US"/>
        </w:rPr>
        <w:lastRenderedPageBreak/>
        <w:t>References</w:t>
      </w:r>
    </w:p>
    <w:p w14:paraId="6C57A143" w14:textId="77777777" w:rsidR="00EF082C" w:rsidRPr="003F511D" w:rsidRDefault="00EF082C" w:rsidP="00EF082C">
      <w:pPr>
        <w:rPr>
          <w:lang w:val="en-US"/>
        </w:rPr>
      </w:pPr>
      <w:r w:rsidRPr="003F511D">
        <w:rPr>
          <w:lang w:val="en-US"/>
        </w:rPr>
        <w:t xml:space="preserve">Alcock, N W, Warwick University, Howard, R E, Laxton, R R, and Litton, C D, Nottingham University Tree-ring Dating Laboratory, and Miles, D H, 1989 List 31 no 8 – Leverhulme Cruck Project Results: 1988, </w:t>
      </w:r>
      <w:r w:rsidRPr="003F511D">
        <w:rPr>
          <w:i/>
          <w:lang w:val="en-US"/>
        </w:rPr>
        <w:t xml:space="preserve">Vernacular Architect, </w:t>
      </w:r>
      <w:r w:rsidRPr="003F511D">
        <w:rPr>
          <w:b/>
          <w:lang w:val="en-US"/>
        </w:rPr>
        <w:t>20</w:t>
      </w:r>
      <w:r w:rsidRPr="003F511D">
        <w:rPr>
          <w:lang w:val="en-US"/>
        </w:rPr>
        <w:t>, 43–5</w:t>
      </w:r>
    </w:p>
    <w:p w14:paraId="78D267B2" w14:textId="77777777" w:rsidR="00EF082C" w:rsidRPr="003F511D" w:rsidRDefault="00EF082C" w:rsidP="00EF082C">
      <w:pPr>
        <w:rPr>
          <w:lang w:val="en-US"/>
        </w:rPr>
      </w:pPr>
      <w:r w:rsidRPr="003F511D">
        <w:rPr>
          <w:lang w:val="en-US"/>
        </w:rPr>
        <w:t>Arnold, A, and Howard, R E, 2008</w:t>
      </w:r>
      <w:r>
        <w:rPr>
          <w:lang w:val="en-US"/>
        </w:rPr>
        <w:t>a</w:t>
      </w:r>
      <w:r w:rsidRPr="003F511D">
        <w:rPr>
          <w:lang w:val="en-US"/>
        </w:rPr>
        <w:t xml:space="preserve"> </w:t>
      </w:r>
      <w:r w:rsidRPr="003F511D">
        <w:rPr>
          <w:i/>
          <w:iCs/>
          <w:lang w:val="en-US"/>
        </w:rPr>
        <w:t>St Leonard’s Church, Main Street, Apethorpe, Northamptonshire: tree-ring analysis of timbers</w:t>
      </w:r>
      <w:r w:rsidRPr="003F511D">
        <w:rPr>
          <w:lang w:val="en-US"/>
        </w:rPr>
        <w:t xml:space="preserve">, English Heritage Research Department Report Series, </w:t>
      </w:r>
      <w:r w:rsidRPr="003F511D">
        <w:rPr>
          <w:b/>
          <w:bCs/>
          <w:lang w:val="en-US"/>
        </w:rPr>
        <w:t>85/2008</w:t>
      </w:r>
    </w:p>
    <w:p w14:paraId="3AE10848" w14:textId="104F6E6E" w:rsidR="00EF082C" w:rsidRPr="003F511D" w:rsidRDefault="00EF082C" w:rsidP="00EF082C">
      <w:pPr>
        <w:rPr>
          <w:b/>
          <w:lang w:val="en-US"/>
        </w:rPr>
      </w:pPr>
      <w:r w:rsidRPr="003F511D">
        <w:rPr>
          <w:rFonts w:cs="Arial"/>
          <w:lang w:val="en-US"/>
        </w:rPr>
        <w:t>Arnold, A J, and Howard, R E, 2008</w:t>
      </w:r>
      <w:r>
        <w:rPr>
          <w:rFonts w:cs="Arial"/>
          <w:lang w:val="en-US"/>
        </w:rPr>
        <w:t>b</w:t>
      </w:r>
      <w:r w:rsidRPr="003F511D">
        <w:rPr>
          <w:rFonts w:cs="Arial"/>
          <w:lang w:val="en-US"/>
        </w:rPr>
        <w:t xml:space="preserve"> </w:t>
      </w:r>
      <w:r w:rsidRPr="003F511D">
        <w:rPr>
          <w:rFonts w:cs="Arial"/>
          <w:i/>
          <w:lang w:val="en-US"/>
        </w:rPr>
        <w:t>Apethorpe Hall, Apethorpe, Northamptonshire: Tree-ring Analysis of Timbers</w:t>
      </w:r>
      <w:r w:rsidRPr="003F511D">
        <w:rPr>
          <w:rFonts w:cs="Arial"/>
          <w:lang w:val="en-US"/>
        </w:rPr>
        <w:t xml:space="preserve">, English Heritage Res Dep Rep Ser, </w:t>
      </w:r>
      <w:r w:rsidRPr="003F511D">
        <w:rPr>
          <w:rFonts w:cs="Arial"/>
          <w:b/>
          <w:lang w:val="en-US"/>
        </w:rPr>
        <w:t>87/2008</w:t>
      </w:r>
    </w:p>
    <w:p w14:paraId="66078C4B" w14:textId="77777777" w:rsidR="00EF082C" w:rsidRPr="003F511D" w:rsidRDefault="00EF082C" w:rsidP="00EF082C">
      <w:pPr>
        <w:spacing w:after="160" w:line="256" w:lineRule="auto"/>
        <w:rPr>
          <w:lang w:val="en-US"/>
        </w:rPr>
      </w:pPr>
      <w:r w:rsidRPr="003F511D">
        <w:rPr>
          <w:lang w:val="en-US"/>
        </w:rPr>
        <w:t xml:space="preserve">Arnold, A J, and Howard, R E, 2013 </w:t>
      </w:r>
      <w:r w:rsidRPr="003F511D">
        <w:rPr>
          <w:i/>
          <w:lang w:val="en-US"/>
        </w:rPr>
        <w:t>Oakham Castle, Oakham, Rutland, Tree-ring Analysis of Timbers</w:t>
      </w:r>
      <w:r w:rsidRPr="003F511D">
        <w:rPr>
          <w:lang w:val="en-US"/>
        </w:rPr>
        <w:t xml:space="preserve">, English Heritage Research Department Report Series, </w:t>
      </w:r>
      <w:r w:rsidRPr="003F511D">
        <w:rPr>
          <w:b/>
          <w:lang w:val="en-US"/>
        </w:rPr>
        <w:t>23/2013</w:t>
      </w:r>
    </w:p>
    <w:p w14:paraId="4A9E06CA" w14:textId="77777777" w:rsidR="00EF082C" w:rsidRPr="003F511D" w:rsidRDefault="00EF082C" w:rsidP="00EF082C">
      <w:pPr>
        <w:rPr>
          <w:lang w:val="en-US"/>
        </w:rPr>
      </w:pPr>
      <w:r w:rsidRPr="003F511D">
        <w:rPr>
          <w:lang w:val="en-US"/>
        </w:rPr>
        <w:t xml:space="preserve">Arnold, A, J, Howard, R E, and Litton C D, 2003 </w:t>
      </w:r>
      <w:r w:rsidRPr="003F511D">
        <w:rPr>
          <w:i/>
          <w:lang w:val="en-US"/>
        </w:rPr>
        <w:t>Tree-ring Analysis of Timbers from Kingswood Abbey Gatehouse, Kingswood, Gloucestershire</w:t>
      </w:r>
      <w:r w:rsidRPr="003F511D">
        <w:rPr>
          <w:lang w:val="en-US"/>
        </w:rPr>
        <w:t xml:space="preserve">, Centre for Archaeol Rep, </w:t>
      </w:r>
      <w:r w:rsidRPr="003F511D">
        <w:rPr>
          <w:b/>
          <w:lang w:val="en-US"/>
        </w:rPr>
        <w:t>21/2003</w:t>
      </w:r>
    </w:p>
    <w:p w14:paraId="2B7762A7" w14:textId="77777777" w:rsidR="00EF082C" w:rsidRPr="003F511D" w:rsidRDefault="00EF082C" w:rsidP="00EF082C">
      <w:pPr>
        <w:rPr>
          <w:lang w:val="en-US"/>
        </w:rPr>
      </w:pPr>
      <w:r w:rsidRPr="003F511D">
        <w:rPr>
          <w:lang w:val="en-US"/>
        </w:rPr>
        <w:t xml:space="preserve">Arnold, A J, Howard, R E, Laxton, R R, Litton, C D, and Simpson, W G 2004 – </w:t>
      </w:r>
      <w:r w:rsidRPr="003F511D">
        <w:rPr>
          <w:i/>
          <w:lang w:val="en-US"/>
        </w:rPr>
        <w:t>A Dendrochronological Study of the Monastic Buildings at Ely</w:t>
      </w:r>
      <w:r w:rsidRPr="003F511D">
        <w:rPr>
          <w:lang w:val="en-US"/>
        </w:rPr>
        <w:t xml:space="preserve">, Centre for Archaeol Rep, </w:t>
      </w:r>
      <w:r w:rsidRPr="003F511D">
        <w:rPr>
          <w:b/>
          <w:lang w:val="en-US"/>
        </w:rPr>
        <w:t>74/2004</w:t>
      </w:r>
    </w:p>
    <w:p w14:paraId="1E107065" w14:textId="77777777" w:rsidR="00EF082C" w:rsidRPr="003F511D" w:rsidRDefault="00EF082C" w:rsidP="00EF082C">
      <w:pPr>
        <w:rPr>
          <w:b/>
          <w:lang w:val="en-US"/>
        </w:rPr>
      </w:pPr>
      <w:r w:rsidRPr="003F511D">
        <w:rPr>
          <w:lang w:val="en-US"/>
        </w:rPr>
        <w:t xml:space="preserve">Arnold, A J, Howard, R E, and Tyers, C, 2008 </w:t>
      </w:r>
      <w:r w:rsidRPr="003F511D">
        <w:rPr>
          <w:i/>
          <w:lang w:val="en-US"/>
        </w:rPr>
        <w:t>Ulverscroft Priory, Ulverscroft, Charnwood Forest, Leicestershire, tree-ring analysis of timbers</w:t>
      </w:r>
      <w:r w:rsidRPr="003F511D">
        <w:rPr>
          <w:lang w:val="en-US"/>
        </w:rPr>
        <w:t xml:space="preserve">, English Heritage Research Department Report Series, </w:t>
      </w:r>
      <w:r w:rsidRPr="003F511D">
        <w:rPr>
          <w:b/>
          <w:lang w:val="en-US"/>
        </w:rPr>
        <w:t>48/2008</w:t>
      </w:r>
    </w:p>
    <w:p w14:paraId="77B4905B" w14:textId="77777777" w:rsidR="00EF082C" w:rsidRPr="003F511D" w:rsidRDefault="00EF082C" w:rsidP="00EF082C">
      <w:pPr>
        <w:rPr>
          <w:lang w:val="en-US"/>
        </w:rPr>
      </w:pPr>
      <w:r w:rsidRPr="003F511D">
        <w:rPr>
          <w:lang w:val="en-US"/>
        </w:rPr>
        <w:t xml:space="preserve">Arnold, A J, Howard, R E, Dunbar, E, Tyers, C, and Marshall, P, 2015 </w:t>
      </w:r>
      <w:r w:rsidRPr="003F511D">
        <w:rPr>
          <w:i/>
          <w:lang w:val="en-US"/>
        </w:rPr>
        <w:t>Furness Abbey, Barrow-in-Furness, Cumbria: tree-ring analysis and radiocarbon dating of the presbytery wall foundation raft timbers</w:t>
      </w:r>
      <w:r w:rsidRPr="003F511D">
        <w:rPr>
          <w:lang w:val="en-US"/>
        </w:rPr>
        <w:t xml:space="preserve">, Historic England Research Report Series, </w:t>
      </w:r>
      <w:r w:rsidRPr="003F511D">
        <w:rPr>
          <w:b/>
          <w:lang w:val="en-US"/>
        </w:rPr>
        <w:t>47/2015</w:t>
      </w:r>
    </w:p>
    <w:p w14:paraId="6512DFB4" w14:textId="77777777" w:rsidR="00EF082C" w:rsidRPr="003F511D" w:rsidRDefault="00EF082C" w:rsidP="00EF082C">
      <w:pPr>
        <w:spacing w:after="160" w:line="256" w:lineRule="auto"/>
        <w:rPr>
          <w:b/>
          <w:bCs/>
          <w:lang w:val="en-US"/>
        </w:rPr>
      </w:pPr>
      <w:r w:rsidRPr="003F511D">
        <w:rPr>
          <w:lang w:val="en-US"/>
        </w:rPr>
        <w:t xml:space="preserve">Arnold, A J, Howard, R E, and Tyers, C, 2016 </w:t>
      </w:r>
      <w:r w:rsidRPr="003F511D">
        <w:rPr>
          <w:i/>
          <w:lang w:val="en-US"/>
        </w:rPr>
        <w:t>Lancaster Castle, Castle Park, Lancaster, Tree-ring Analysis of Oak and Pine Timbers in the Keep and Gatehouse</w:t>
      </w:r>
      <w:r w:rsidRPr="003F511D">
        <w:rPr>
          <w:lang w:val="en-US"/>
        </w:rPr>
        <w:t xml:space="preserve">, Historic England Research Report Series, </w:t>
      </w:r>
      <w:r w:rsidRPr="003F511D">
        <w:rPr>
          <w:b/>
          <w:bCs/>
          <w:lang w:val="en-US"/>
        </w:rPr>
        <w:t>35/2016</w:t>
      </w:r>
    </w:p>
    <w:p w14:paraId="201CE4EB" w14:textId="77777777" w:rsidR="00EF082C" w:rsidRPr="003F511D" w:rsidRDefault="00EF082C" w:rsidP="00EF082C">
      <w:pPr>
        <w:rPr>
          <w:lang w:val="en-US"/>
        </w:rPr>
      </w:pPr>
      <w:r w:rsidRPr="003F511D">
        <w:rPr>
          <w:lang w:val="en-US"/>
        </w:rPr>
        <w:t xml:space="preserve">Baillie, M G L, and Pilcher, J R, 1973 A simple cross-dating program for tree-ring research, </w:t>
      </w:r>
      <w:r w:rsidRPr="003F511D">
        <w:rPr>
          <w:i/>
          <w:lang w:val="en-US"/>
        </w:rPr>
        <w:t>Tree-Ring Bull</w:t>
      </w:r>
      <w:r w:rsidRPr="003F511D">
        <w:rPr>
          <w:lang w:val="en-US"/>
        </w:rPr>
        <w:t xml:space="preserve">, </w:t>
      </w:r>
      <w:r w:rsidRPr="003F511D">
        <w:rPr>
          <w:b/>
          <w:lang w:val="en-US"/>
        </w:rPr>
        <w:t>33</w:t>
      </w:r>
      <w:r w:rsidRPr="003F511D">
        <w:rPr>
          <w:lang w:val="en-US"/>
        </w:rPr>
        <w:t>, 7–14</w:t>
      </w:r>
    </w:p>
    <w:p w14:paraId="0F86CDC3" w14:textId="77777777" w:rsidR="00EF082C" w:rsidRPr="003F511D" w:rsidRDefault="00EF082C" w:rsidP="00EF082C">
      <w:pPr>
        <w:rPr>
          <w:lang w:val="en-US"/>
        </w:rPr>
      </w:pPr>
      <w:r w:rsidRPr="003F511D">
        <w:rPr>
          <w:lang w:val="en-US"/>
        </w:rPr>
        <w:t xml:space="preserve">Esling, J, Howard, R E, Laxton, R R, Litton, C D, and Simpson, W G, 1990 List 33 no 8a/b – Nottingham University Tree-ring Dating Laboratory Results: general list, </w:t>
      </w:r>
      <w:r w:rsidRPr="003F511D">
        <w:rPr>
          <w:i/>
          <w:lang w:val="en-US"/>
        </w:rPr>
        <w:t>Vernacular Architect</w:t>
      </w:r>
      <w:r w:rsidRPr="003F511D">
        <w:rPr>
          <w:lang w:val="en-US"/>
        </w:rPr>
        <w:t xml:space="preserve">, </w:t>
      </w:r>
      <w:r w:rsidRPr="003F511D">
        <w:rPr>
          <w:b/>
          <w:lang w:val="en-US"/>
        </w:rPr>
        <w:t>21</w:t>
      </w:r>
      <w:r w:rsidRPr="003F511D">
        <w:rPr>
          <w:lang w:val="en-US"/>
        </w:rPr>
        <w:t xml:space="preserve">, 37–40 </w:t>
      </w:r>
    </w:p>
    <w:p w14:paraId="419062C5" w14:textId="77777777" w:rsidR="00EF082C" w:rsidRPr="003F511D" w:rsidRDefault="00EF082C" w:rsidP="00EF082C">
      <w:pPr>
        <w:rPr>
          <w:b/>
          <w:lang w:val="en-US"/>
        </w:rPr>
      </w:pPr>
      <w:r w:rsidRPr="003F511D">
        <w:rPr>
          <w:lang w:val="en-US"/>
        </w:rPr>
        <w:t xml:space="preserve">Groves, C, 1990 </w:t>
      </w:r>
      <w:r w:rsidRPr="003F511D">
        <w:rPr>
          <w:i/>
          <w:lang w:val="en-US"/>
        </w:rPr>
        <w:t>Tree-ring analysis and dating of timbers from Annetwell Street, Carlisle, Cumbria, 1981-84</w:t>
      </w:r>
      <w:r w:rsidRPr="003F511D">
        <w:rPr>
          <w:lang w:val="en-US"/>
        </w:rPr>
        <w:t xml:space="preserve">, English Heritage Ancient Monuments Laboratory Report, </w:t>
      </w:r>
      <w:r w:rsidRPr="003F511D">
        <w:rPr>
          <w:b/>
          <w:lang w:val="en-US"/>
        </w:rPr>
        <w:t>49/1990</w:t>
      </w:r>
    </w:p>
    <w:p w14:paraId="5B29EA7E" w14:textId="77777777" w:rsidR="00EF082C" w:rsidRPr="003F511D" w:rsidRDefault="00EF082C" w:rsidP="00EF082C">
      <w:pPr>
        <w:rPr>
          <w:lang w:val="en-US"/>
        </w:rPr>
      </w:pPr>
      <w:r w:rsidRPr="003F511D">
        <w:rPr>
          <w:lang w:val="en-US"/>
        </w:rPr>
        <w:t xml:space="preserve">Groves, C, 1992 Tree-ring analysis of timbers, in </w:t>
      </w:r>
      <w:r w:rsidRPr="003F511D">
        <w:rPr>
          <w:i/>
          <w:lang w:val="en-US"/>
        </w:rPr>
        <w:t>Excavations at 33-35 Eastgate, Beverley, 1983-86</w:t>
      </w:r>
      <w:r w:rsidRPr="003F511D">
        <w:rPr>
          <w:lang w:val="en-US"/>
        </w:rPr>
        <w:t xml:space="preserve"> (eds D H Evans and D G Tomlinson), Sheffield Excavation Report, </w:t>
      </w:r>
      <w:r w:rsidRPr="003F511D">
        <w:rPr>
          <w:b/>
          <w:lang w:val="en-US"/>
        </w:rPr>
        <w:t>3</w:t>
      </w:r>
      <w:r w:rsidRPr="003F511D">
        <w:rPr>
          <w:lang w:val="en-US"/>
        </w:rPr>
        <w:t>, 256–65</w:t>
      </w:r>
    </w:p>
    <w:p w14:paraId="7215D630" w14:textId="77777777" w:rsidR="00EF082C" w:rsidRPr="003F511D" w:rsidRDefault="00EF082C" w:rsidP="00EF082C">
      <w:pPr>
        <w:rPr>
          <w:lang w:val="en-US"/>
        </w:rPr>
      </w:pPr>
      <w:r w:rsidRPr="003F511D">
        <w:rPr>
          <w:lang w:val="en-US"/>
        </w:rPr>
        <w:t xml:space="preserve">Groves, C, Hillam, J, and Pelling-Fulford, F, 1997 Dendrochronology, in </w:t>
      </w:r>
      <w:r w:rsidRPr="003F511D">
        <w:rPr>
          <w:i/>
          <w:lang w:val="en-US"/>
        </w:rPr>
        <w:t>Excavations on Reading Waterfront sites 1979–1988</w:t>
      </w:r>
      <w:r w:rsidRPr="003F511D">
        <w:rPr>
          <w:lang w:val="en-US"/>
        </w:rPr>
        <w:t xml:space="preserve"> (eds J W Hawkes and P J Fasham), Wessex Archaeol Rep, </w:t>
      </w:r>
      <w:r w:rsidRPr="003F511D">
        <w:rPr>
          <w:b/>
          <w:lang w:val="en-US"/>
        </w:rPr>
        <w:t>5</w:t>
      </w:r>
      <w:r w:rsidRPr="003F511D">
        <w:rPr>
          <w:lang w:val="en-US"/>
        </w:rPr>
        <w:t>, 64–70</w:t>
      </w:r>
    </w:p>
    <w:p w14:paraId="4AC6D74A" w14:textId="77777777" w:rsidR="00EF082C" w:rsidRPr="003F511D" w:rsidRDefault="00EF082C" w:rsidP="00EF082C">
      <w:pPr>
        <w:rPr>
          <w:b/>
          <w:lang w:val="en-US"/>
        </w:rPr>
      </w:pPr>
      <w:r w:rsidRPr="003F511D">
        <w:rPr>
          <w:lang w:val="en-US"/>
        </w:rPr>
        <w:t xml:space="preserve">Howard, R E, Laxton, R R, and Litton, C D, 1998 </w:t>
      </w:r>
      <w:r w:rsidRPr="003F511D">
        <w:rPr>
          <w:i/>
          <w:lang w:val="en-US"/>
        </w:rPr>
        <w:t>Tree-ring analysis of timbers from Chicksands Priory, Chicksands, Bedfordshire,</w:t>
      </w:r>
      <w:r w:rsidRPr="003F511D">
        <w:rPr>
          <w:lang w:val="en-US"/>
        </w:rPr>
        <w:t xml:space="preserve"> English Heritage Ancient Monuments Laboratory Report, </w:t>
      </w:r>
      <w:r w:rsidRPr="003F511D">
        <w:rPr>
          <w:b/>
          <w:lang w:val="en-US"/>
        </w:rPr>
        <w:t>30/1998</w:t>
      </w:r>
    </w:p>
    <w:p w14:paraId="493E026E" w14:textId="77777777" w:rsidR="00EF082C" w:rsidRPr="003F511D" w:rsidRDefault="00EF082C" w:rsidP="00EF082C">
      <w:pPr>
        <w:rPr>
          <w:b/>
          <w:lang w:val="en-US"/>
        </w:rPr>
      </w:pPr>
      <w:r w:rsidRPr="003F511D">
        <w:rPr>
          <w:lang w:val="en-US"/>
        </w:rPr>
        <w:lastRenderedPageBreak/>
        <w:t xml:space="preserve">Howard, R E, Laxton, R R, and Litton, C D, 2000 </w:t>
      </w:r>
      <w:r w:rsidRPr="003F511D">
        <w:rPr>
          <w:i/>
          <w:lang w:val="en-US"/>
        </w:rPr>
        <w:t>Tree-ring analysis of timbers from the Barn and Cottage, Abbey Farm, Thetford, Norfolk,</w:t>
      </w:r>
      <w:r w:rsidRPr="003F511D">
        <w:rPr>
          <w:lang w:val="en-US"/>
        </w:rPr>
        <w:t xml:space="preserve"> English Heritage Ancient Monuments Laboratory Report, </w:t>
      </w:r>
      <w:r w:rsidRPr="003F511D">
        <w:rPr>
          <w:b/>
          <w:lang w:val="en-US"/>
        </w:rPr>
        <w:t>48/2000</w:t>
      </w:r>
    </w:p>
    <w:p w14:paraId="6AF019EA" w14:textId="77777777" w:rsidR="00EF082C" w:rsidRPr="003F511D" w:rsidRDefault="00EF082C" w:rsidP="00EF082C">
      <w:pPr>
        <w:rPr>
          <w:b/>
          <w:lang w:val="en-US"/>
        </w:rPr>
      </w:pPr>
      <w:r w:rsidRPr="003F511D">
        <w:rPr>
          <w:lang w:val="en-US"/>
        </w:rPr>
        <w:t xml:space="preserve">Howard, R E, Arnold, A J, and Tyers, C, 2015 </w:t>
      </w:r>
      <w:r w:rsidRPr="003F511D">
        <w:rPr>
          <w:i/>
          <w:lang w:val="en-US"/>
        </w:rPr>
        <w:t>The Bede House, Church Lane, Lyddington, Rutland</w:t>
      </w:r>
      <w:r w:rsidRPr="003F511D">
        <w:rPr>
          <w:rFonts w:cs="Arial"/>
          <w:bCs/>
          <w:i/>
          <w:lang w:val="en-US"/>
        </w:rPr>
        <w:t>:</w:t>
      </w:r>
      <w:r w:rsidRPr="003F511D">
        <w:rPr>
          <w:i/>
          <w:lang w:val="en-US"/>
        </w:rPr>
        <w:t xml:space="preserve"> Tree-ring Analysis of Oak Timbers</w:t>
      </w:r>
      <w:r w:rsidRPr="003F511D">
        <w:rPr>
          <w:lang w:val="en-US"/>
        </w:rPr>
        <w:t xml:space="preserve">, Historic England Res Rep Ser, </w:t>
      </w:r>
      <w:r w:rsidRPr="003F511D">
        <w:rPr>
          <w:b/>
          <w:lang w:val="en-US"/>
        </w:rPr>
        <w:t>37/2015</w:t>
      </w:r>
    </w:p>
    <w:p w14:paraId="181F0BB0" w14:textId="77777777" w:rsidR="00EF082C" w:rsidRPr="003F511D" w:rsidRDefault="00EF082C" w:rsidP="00EF082C">
      <w:pPr>
        <w:rPr>
          <w:b/>
          <w:lang w:val="en-US"/>
        </w:rPr>
      </w:pPr>
      <w:r w:rsidRPr="003F511D">
        <w:rPr>
          <w:color w:val="000000"/>
          <w:lang w:val="en-US"/>
        </w:rPr>
        <w:t xml:space="preserve">Hurford, M, Arnold, A J, Howard, R E, and Tyers, C 2008 </w:t>
      </w:r>
      <w:r w:rsidRPr="003F511D">
        <w:rPr>
          <w:i/>
          <w:color w:val="000000"/>
          <w:lang w:val="en-US"/>
        </w:rPr>
        <w:t>Tree-ring Analysis of Timbers from Flore’s House, High Street, Oakham, Rutland,</w:t>
      </w:r>
      <w:r w:rsidRPr="003F511D">
        <w:rPr>
          <w:color w:val="000000"/>
          <w:lang w:val="en-US"/>
        </w:rPr>
        <w:t xml:space="preserve"> English Heritage Res Dep Res Rep, </w:t>
      </w:r>
      <w:r w:rsidRPr="003F511D">
        <w:rPr>
          <w:b/>
          <w:color w:val="000000"/>
          <w:lang w:val="en-US"/>
        </w:rPr>
        <w:t>94/2008</w:t>
      </w:r>
    </w:p>
    <w:p w14:paraId="7A102524" w14:textId="77777777" w:rsidR="00EF082C" w:rsidRPr="003F511D" w:rsidRDefault="00EF082C" w:rsidP="00EF082C">
      <w:pPr>
        <w:rPr>
          <w:lang w:val="en-US"/>
        </w:rPr>
      </w:pPr>
      <w:r w:rsidRPr="003F511D">
        <w:rPr>
          <w:lang w:val="en-US"/>
        </w:rPr>
        <w:t xml:space="preserve">Laxon, R R, Litton, C D, and Zainodin, H J, 1988 An objective method for forming a master ring-width sequence, </w:t>
      </w:r>
      <w:r w:rsidRPr="003F511D">
        <w:rPr>
          <w:i/>
          <w:lang w:val="en-US"/>
        </w:rPr>
        <w:t>P A C T</w:t>
      </w:r>
      <w:r w:rsidRPr="003F511D">
        <w:rPr>
          <w:lang w:val="en-US"/>
        </w:rPr>
        <w:t xml:space="preserve">, </w:t>
      </w:r>
      <w:r w:rsidRPr="003F511D">
        <w:rPr>
          <w:b/>
          <w:lang w:val="en-US"/>
        </w:rPr>
        <w:t>22</w:t>
      </w:r>
      <w:r w:rsidRPr="003F511D">
        <w:rPr>
          <w:lang w:val="en-US"/>
        </w:rPr>
        <w:t>, 25–35</w:t>
      </w:r>
    </w:p>
    <w:p w14:paraId="586DDDD9" w14:textId="77777777" w:rsidR="00EF082C" w:rsidRPr="003F511D" w:rsidRDefault="00EF082C" w:rsidP="00EF082C">
      <w:pPr>
        <w:rPr>
          <w:lang w:val="en-US"/>
        </w:rPr>
      </w:pPr>
      <w:r w:rsidRPr="003F511D">
        <w:rPr>
          <w:lang w:val="en-US"/>
        </w:rPr>
        <w:t xml:space="preserve">Litton, C D, and Zainodin, H J, 1991 Statistical models of dendrochronology, </w:t>
      </w:r>
      <w:r w:rsidRPr="003F511D">
        <w:rPr>
          <w:i/>
          <w:lang w:val="en-US"/>
        </w:rPr>
        <w:t>J Archaeol Sci</w:t>
      </w:r>
      <w:r w:rsidRPr="003F511D">
        <w:rPr>
          <w:lang w:val="en-US"/>
        </w:rPr>
        <w:t>¸</w:t>
      </w:r>
      <w:r w:rsidRPr="003F511D">
        <w:rPr>
          <w:b/>
          <w:lang w:val="en-US"/>
        </w:rPr>
        <w:t>18</w:t>
      </w:r>
      <w:r w:rsidRPr="003F511D">
        <w:rPr>
          <w:lang w:val="en-US"/>
        </w:rPr>
        <w:t>, 29–40</w:t>
      </w:r>
    </w:p>
    <w:p w14:paraId="09E4ACC5" w14:textId="77777777" w:rsidR="00EF082C" w:rsidRPr="003F511D" w:rsidRDefault="00EF082C" w:rsidP="00EF082C">
      <w:pPr>
        <w:rPr>
          <w:b/>
          <w:lang w:val="en-US"/>
        </w:rPr>
      </w:pPr>
      <w:r w:rsidRPr="003F511D">
        <w:rPr>
          <w:lang w:val="en-US"/>
        </w:rPr>
        <w:t xml:space="preserve">Nicholson, R A, and Hillam, J, 1987 </w:t>
      </w:r>
      <w:r w:rsidRPr="003F511D">
        <w:rPr>
          <w:i/>
          <w:lang w:val="en-US"/>
        </w:rPr>
        <w:t>A dendrochronological analysis of oak timbers from Dundas Wharf, Bristol, 1982–83</w:t>
      </w:r>
      <w:r w:rsidRPr="003F511D">
        <w:rPr>
          <w:lang w:val="en-US"/>
        </w:rPr>
        <w:t xml:space="preserve">, English Heritage Ancient Monuments Laboratory Report, </w:t>
      </w:r>
      <w:r w:rsidRPr="003F511D">
        <w:rPr>
          <w:b/>
          <w:lang w:val="en-US"/>
        </w:rPr>
        <w:t>33/1987</w:t>
      </w:r>
    </w:p>
    <w:p w14:paraId="24C4BA5D" w14:textId="77777777" w:rsidR="00EF082C" w:rsidRPr="003F511D" w:rsidRDefault="00EF082C" w:rsidP="00EF082C">
      <w:pPr>
        <w:rPr>
          <w:b/>
          <w:lang w:val="en-US"/>
        </w:rPr>
      </w:pPr>
      <w:r w:rsidRPr="003F511D">
        <w:rPr>
          <w:lang w:val="en-US"/>
        </w:rPr>
        <w:t xml:space="preserve">Tyers, I, 1999 </w:t>
      </w:r>
      <w:r w:rsidRPr="003F511D">
        <w:rPr>
          <w:i/>
          <w:lang w:val="en-US"/>
        </w:rPr>
        <w:t>Tree-ring analysis of oak timber from Peterborough Cathedral, Peterborough, Cambridgeshire: Structural timbers from the Nave Roof and North-West Portico</w:t>
      </w:r>
      <w:r w:rsidRPr="003F511D">
        <w:rPr>
          <w:lang w:val="en-US"/>
        </w:rPr>
        <w:t xml:space="preserve">, English Heritage Ancient Monuments Laboratory Report, </w:t>
      </w:r>
      <w:r w:rsidRPr="003F511D">
        <w:rPr>
          <w:b/>
          <w:lang w:val="en-US"/>
        </w:rPr>
        <w:t>9/1999</w:t>
      </w:r>
    </w:p>
    <w:p w14:paraId="2A2E4F7D" w14:textId="77777777" w:rsidR="00EF082C" w:rsidRPr="003F511D" w:rsidRDefault="00EF082C" w:rsidP="00EF082C">
      <w:pPr>
        <w:rPr>
          <w:lang w:val="en-US"/>
        </w:rPr>
      </w:pPr>
      <w:r w:rsidRPr="003F511D">
        <w:rPr>
          <w:lang w:val="en-US"/>
        </w:rPr>
        <w:t xml:space="preserve">Tyers, I, 2004a </w:t>
      </w:r>
      <w:r w:rsidRPr="003F511D">
        <w:rPr>
          <w:i/>
          <w:lang w:val="en-US"/>
        </w:rPr>
        <w:t>Dendrochronological spot-dates of samples from the Lamb Hotel (site 11000), Nantwich, Cheshire</w:t>
      </w:r>
      <w:r w:rsidRPr="003F511D">
        <w:rPr>
          <w:lang w:val="en-US"/>
        </w:rPr>
        <w:t xml:space="preserve">, ARCUS Report, </w:t>
      </w:r>
      <w:r w:rsidRPr="003F511D">
        <w:rPr>
          <w:b/>
          <w:lang w:val="en-US"/>
        </w:rPr>
        <w:t>573v</w:t>
      </w:r>
    </w:p>
    <w:p w14:paraId="4DAC2FBF" w14:textId="77777777" w:rsidR="00EF082C" w:rsidRPr="003F511D" w:rsidRDefault="00EF082C" w:rsidP="00EF082C">
      <w:pPr>
        <w:rPr>
          <w:lang w:val="en-US"/>
        </w:rPr>
      </w:pPr>
      <w:r w:rsidRPr="003F511D">
        <w:rPr>
          <w:lang w:val="en-US"/>
        </w:rPr>
        <w:t xml:space="preserve">Tyers, I, 2004b </w:t>
      </w:r>
      <w:r w:rsidRPr="003F511D">
        <w:rPr>
          <w:i/>
          <w:lang w:val="en-US"/>
        </w:rPr>
        <w:t>Tree-ring analysis of oak boards and structural timbers from the Transepts, Presbytery, and Tower of Peterborough Cathedral, City of Peterborough</w:t>
      </w:r>
      <w:r w:rsidRPr="003F511D">
        <w:rPr>
          <w:lang w:val="en-US"/>
        </w:rPr>
        <w:t xml:space="preserve">, English Heritage Ancient Monuments Laboratory Report, </w:t>
      </w:r>
      <w:r w:rsidRPr="003F511D">
        <w:rPr>
          <w:b/>
          <w:lang w:val="en-US"/>
        </w:rPr>
        <w:t>77/2004</w:t>
      </w:r>
    </w:p>
    <w:p w14:paraId="2BCA61DA" w14:textId="77777777" w:rsidR="00EF082C" w:rsidRPr="00EF082C" w:rsidRDefault="00EF082C" w:rsidP="00EF082C">
      <w:pPr>
        <w:pStyle w:val="Heading3"/>
        <w:rPr>
          <w:rFonts w:ascii="Calibri" w:eastAsia="Calibri" w:hAnsi="Calibri"/>
          <w:b w:val="0"/>
          <w:i/>
          <w:color w:val="auto"/>
          <w:sz w:val="22"/>
          <w:szCs w:val="22"/>
          <w:lang w:eastAsia="en-GB"/>
        </w:rPr>
      </w:pPr>
      <w:r w:rsidRPr="00EF082C">
        <w:rPr>
          <w:rFonts w:ascii="Calibri" w:eastAsia="Calibri" w:hAnsi="Calibri"/>
          <w:b w:val="0"/>
          <w:i/>
          <w:color w:val="auto"/>
          <w:sz w:val="22"/>
          <w:szCs w:val="22"/>
          <w:lang w:eastAsia="en-GB"/>
        </w:rPr>
        <w:t xml:space="preserve">Tyers, I, 2005 Dendrochronological spot-dates of samples from Second Wood Street (site E696), Nantwich, Cheshire, ARCUS Report, </w:t>
      </w:r>
      <w:r w:rsidRPr="00EF082C">
        <w:rPr>
          <w:rFonts w:ascii="Calibri" w:eastAsia="Calibri" w:hAnsi="Calibri"/>
          <w:bCs/>
          <w:i/>
          <w:color w:val="auto"/>
          <w:sz w:val="22"/>
          <w:szCs w:val="22"/>
          <w:lang w:eastAsia="en-GB"/>
        </w:rPr>
        <w:t>573w</w:t>
      </w:r>
    </w:p>
    <w:p w14:paraId="23216C78" w14:textId="77777777" w:rsidR="00EF082C" w:rsidRDefault="00EF082C" w:rsidP="00EF082C">
      <w:pPr>
        <w:pStyle w:val="Heading3"/>
        <w:jc w:val="center"/>
      </w:pPr>
    </w:p>
    <w:p w14:paraId="2AA051AD" w14:textId="63F0ACC8" w:rsidR="006A6D95" w:rsidRPr="002A031A" w:rsidRDefault="006A6D95" w:rsidP="00EF082C">
      <w:pPr>
        <w:pStyle w:val="Heading3"/>
        <w:jc w:val="center"/>
      </w:pPr>
      <w:r w:rsidRPr="002A031A">
        <w:t xml:space="preserve">Supplementary Information </w:t>
      </w:r>
      <w:r w:rsidR="003E3098">
        <w:t>6</w:t>
      </w:r>
      <w:r w:rsidRPr="002A031A">
        <w:t xml:space="preserve"> (SI</w:t>
      </w:r>
      <w:r w:rsidR="003E3098">
        <w:t>6</w:t>
      </w:r>
      <w:r w:rsidRPr="002A031A">
        <w:t xml:space="preserve">): </w:t>
      </w:r>
    </w:p>
    <w:p w14:paraId="636A11AB" w14:textId="77777777" w:rsidR="006A6D95" w:rsidRPr="006D17E8" w:rsidRDefault="006A6D95" w:rsidP="006A6D95">
      <w:pPr>
        <w:pStyle w:val="Heading3"/>
        <w:jc w:val="center"/>
      </w:pPr>
      <w:r w:rsidRPr="006D17E8">
        <w:t>Dendrochronology Laboratory at BAAC</w:t>
      </w:r>
    </w:p>
    <w:p w14:paraId="7734B352" w14:textId="77777777" w:rsidR="006A6D95" w:rsidRPr="006D17E8" w:rsidRDefault="006A6D95" w:rsidP="006A6D95">
      <w:pPr>
        <w:rPr>
          <w:lang w:val="en-US" w:eastAsia="en-US"/>
        </w:rPr>
      </w:pPr>
    </w:p>
    <w:p w14:paraId="3BD047B3" w14:textId="77777777" w:rsidR="006A6D95" w:rsidRPr="001A61A2" w:rsidRDefault="006A6D95" w:rsidP="006A6D95">
      <w:pPr>
        <w:rPr>
          <w:lang w:val="en-US"/>
        </w:rPr>
      </w:pPr>
      <w:r>
        <w:rPr>
          <w:rFonts w:cs="Calibri"/>
          <w:lang w:val="en-US"/>
        </w:rPr>
        <w:t xml:space="preserve">This sample constitutes of an oak plank which was </w:t>
      </w:r>
      <w:r>
        <w:rPr>
          <w:lang w:val="en-US"/>
        </w:rPr>
        <w:t>part of the lining of a water well found at a site near present day Ruiselede in Belgium. The practical execution of tree-ring analysis on an archaeological timber find involves four steps: sampling, preparing the sample, measuring the tree-ring pattern and cross dating the measurement with the reference dataset. The sampling was executed by hand saw. The sequence of the growth rings is made visible by cutting a radial ‘runway’ from the inner to the outer growth ring with razor blades. The ring withs were measured microscopically on a measurement table of SCIEM (</w:t>
      </w:r>
      <w:hyperlink r:id="rId15" w:history="1">
        <w:r w:rsidRPr="00C24799">
          <w:rPr>
            <w:rStyle w:val="Hyperlink"/>
            <w:lang w:val="en-US"/>
          </w:rPr>
          <w:t>www.sciem.com</w:t>
        </w:r>
      </w:hyperlink>
      <w:r>
        <w:rPr>
          <w:lang w:val="en-US"/>
        </w:rPr>
        <w:t xml:space="preserve">) with a resolution of 0,01 mm and analyzed with PAST5, a dendrochronological software program. Dendrochronological matches are described numerically using the following statistical calculations: the percentage of Parallel Variation or </w:t>
      </w:r>
      <w:r>
        <w:rPr>
          <w:i/>
          <w:iCs/>
          <w:lang w:val="en-US"/>
        </w:rPr>
        <w:t xml:space="preserve">Gleichlaufigkeit </w:t>
      </w:r>
      <w:r>
        <w:rPr>
          <w:lang w:val="en-US"/>
        </w:rPr>
        <w:t xml:space="preserve">(%PV) and the </w:t>
      </w:r>
      <w:r>
        <w:rPr>
          <w:i/>
          <w:iCs/>
          <w:lang w:val="en-US"/>
        </w:rPr>
        <w:t>t-</w:t>
      </w:r>
      <w:r>
        <w:rPr>
          <w:lang w:val="en-US"/>
        </w:rPr>
        <w:t>value by Hollstein (1980).</w:t>
      </w:r>
    </w:p>
    <w:p w14:paraId="405B820F" w14:textId="77777777" w:rsidR="006A6D95" w:rsidRPr="003F511D" w:rsidRDefault="006A6D95" w:rsidP="006A6D95">
      <w:pPr>
        <w:pStyle w:val="Heading4"/>
        <w:rPr>
          <w:lang w:val="en-US"/>
        </w:rPr>
      </w:pPr>
      <w:r>
        <w:rPr>
          <w:lang w:val="en-US"/>
        </w:rPr>
        <w:lastRenderedPageBreak/>
        <w:t>14.0123.121</w:t>
      </w:r>
    </w:p>
    <w:p w14:paraId="11993FBC" w14:textId="77777777" w:rsidR="006A6D95" w:rsidRDefault="006A6D95" w:rsidP="006A6D95">
      <w:pPr>
        <w:rPr>
          <w:lang w:val="en-US"/>
        </w:rPr>
      </w:pPr>
      <w:r w:rsidRPr="003F511D">
        <w:rPr>
          <w:lang w:val="en-US"/>
        </w:rPr>
        <w:t>T</w:t>
      </w:r>
      <w:r>
        <w:rPr>
          <w:lang w:val="en-US"/>
        </w:rPr>
        <w:t>he</w:t>
      </w:r>
      <w:r w:rsidRPr="003F511D">
        <w:rPr>
          <w:lang w:val="en-US"/>
        </w:rPr>
        <w:t xml:space="preserve"> sample consist</w:t>
      </w:r>
      <w:r>
        <w:rPr>
          <w:lang w:val="en-US"/>
        </w:rPr>
        <w:t>s</w:t>
      </w:r>
      <w:r w:rsidRPr="003F511D">
        <w:rPr>
          <w:lang w:val="en-US"/>
        </w:rPr>
        <w:t xml:space="preserve"> of a radial from an oak </w:t>
      </w:r>
      <w:r>
        <w:rPr>
          <w:lang w:val="en-US"/>
        </w:rPr>
        <w:t>plank (find number 775) from a the lining of a water well (feature number 11104, structure number 52)</w:t>
      </w:r>
      <w:r w:rsidRPr="003F511D">
        <w:rPr>
          <w:lang w:val="en-US"/>
        </w:rPr>
        <w:t xml:space="preserve"> removed in </w:t>
      </w:r>
      <w:r>
        <w:rPr>
          <w:lang w:val="en-US"/>
        </w:rPr>
        <w:t>2014</w:t>
      </w:r>
      <w:r w:rsidRPr="003F511D">
        <w:rPr>
          <w:lang w:val="en-US"/>
        </w:rPr>
        <w:t xml:space="preserve"> during </w:t>
      </w:r>
      <w:r>
        <w:rPr>
          <w:lang w:val="en-US"/>
        </w:rPr>
        <w:t>archaeological excavations</w:t>
      </w:r>
      <w:r w:rsidRPr="003F511D">
        <w:rPr>
          <w:lang w:val="en-US"/>
        </w:rPr>
        <w:t xml:space="preserve"> works </w:t>
      </w:r>
      <w:r>
        <w:rPr>
          <w:lang w:val="en-US"/>
        </w:rPr>
        <w:t>at a site near present day Ruiselede in Belgium</w:t>
      </w:r>
      <w:r w:rsidRPr="003F511D">
        <w:rPr>
          <w:lang w:val="en-US"/>
        </w:rPr>
        <w:t xml:space="preserve"> </w:t>
      </w:r>
      <w:r w:rsidRPr="007B1FC5">
        <w:rPr>
          <w:rFonts w:asciiTheme="minorHAnsi" w:hAnsiTheme="minorHAnsi" w:cstheme="minorHAnsi"/>
        </w:rPr>
        <w:t>[</w:t>
      </w:r>
      <w:bookmarkStart w:id="0" w:name="_Hlk139914093"/>
      <w:r w:rsidRPr="007B1FC5">
        <w:rPr>
          <w:rFonts w:asciiTheme="minorHAnsi" w:hAnsiTheme="minorHAnsi" w:cstheme="minorHAnsi"/>
        </w:rPr>
        <w:t>51°2′0″N, 03°23′0″E</w:t>
      </w:r>
      <w:bookmarkEnd w:id="0"/>
      <w:r w:rsidRPr="007B1FC5">
        <w:rPr>
          <w:rFonts w:asciiTheme="minorHAnsi" w:hAnsiTheme="minorHAnsi" w:cstheme="minorHAnsi"/>
        </w:rPr>
        <w:t>]</w:t>
      </w:r>
      <w:r w:rsidRPr="003F511D">
        <w:rPr>
          <w:lang w:val="en-US"/>
        </w:rPr>
        <w:t>. Th</w:t>
      </w:r>
      <w:r>
        <w:rPr>
          <w:lang w:val="en-US"/>
        </w:rPr>
        <w:t>e</w:t>
      </w:r>
      <w:r w:rsidRPr="003F511D">
        <w:rPr>
          <w:lang w:val="en-US"/>
        </w:rPr>
        <w:t xml:space="preserve"> </w:t>
      </w:r>
      <w:r>
        <w:rPr>
          <w:lang w:val="en-US"/>
        </w:rPr>
        <w:t xml:space="preserve">measurement series of the </w:t>
      </w:r>
      <w:r w:rsidRPr="003F511D">
        <w:rPr>
          <w:lang w:val="en-US"/>
        </w:rPr>
        <w:t>timber</w:t>
      </w:r>
      <w:r>
        <w:rPr>
          <w:lang w:val="en-US"/>
        </w:rPr>
        <w:t xml:space="preserve"> is 14.013.121 and</w:t>
      </w:r>
      <w:r w:rsidRPr="003F511D">
        <w:rPr>
          <w:lang w:val="en-US"/>
        </w:rPr>
        <w:t xml:space="preserve"> contains 1</w:t>
      </w:r>
      <w:r>
        <w:rPr>
          <w:lang w:val="en-US"/>
        </w:rPr>
        <w:t>96</w:t>
      </w:r>
      <w:r w:rsidRPr="003F511D">
        <w:rPr>
          <w:lang w:val="en-US"/>
        </w:rPr>
        <w:t xml:space="preserve"> heartwood rings, spanning AD </w:t>
      </w:r>
      <w:r>
        <w:rPr>
          <w:lang w:val="en-US"/>
        </w:rPr>
        <w:t>451</w:t>
      </w:r>
      <w:r w:rsidRPr="003F511D">
        <w:rPr>
          <w:lang w:val="en-US"/>
        </w:rPr>
        <w:t xml:space="preserve"> – AD </w:t>
      </w:r>
      <w:r>
        <w:rPr>
          <w:lang w:val="en-US"/>
        </w:rPr>
        <w:t>646</w:t>
      </w:r>
      <w:r w:rsidRPr="003F511D">
        <w:rPr>
          <w:lang w:val="en-US"/>
        </w:rPr>
        <w:t xml:space="preserve">. </w:t>
      </w:r>
    </w:p>
    <w:p w14:paraId="3F2ED14F" w14:textId="77777777" w:rsidR="006A6D95" w:rsidRPr="000A5A97" w:rsidRDefault="006A6D95" w:rsidP="006A6D95">
      <w:pPr>
        <w:rPr>
          <w:lang w:val="en-US"/>
        </w:rPr>
      </w:pPr>
      <w:r w:rsidRPr="003F511D">
        <w:rPr>
          <w:lang w:val="en-US"/>
        </w:rPr>
        <w:t>The tree-ring analysis of the timber</w:t>
      </w:r>
      <w:r>
        <w:rPr>
          <w:lang w:val="en-US"/>
        </w:rPr>
        <w:t xml:space="preserve"> from the water well is </w:t>
      </w:r>
      <w:r w:rsidRPr="003F511D">
        <w:rPr>
          <w:lang w:val="en-US"/>
        </w:rPr>
        <w:t xml:space="preserve">fully reported by </w:t>
      </w:r>
      <w:r>
        <w:rPr>
          <w:lang w:val="en-US"/>
        </w:rPr>
        <w:t>Doeve</w:t>
      </w:r>
      <w:r w:rsidRPr="003F511D">
        <w:rPr>
          <w:lang w:val="en-US"/>
        </w:rPr>
        <w:t xml:space="preserve"> (201</w:t>
      </w:r>
      <w:r>
        <w:rPr>
          <w:lang w:val="en-US"/>
        </w:rPr>
        <w:t>7</w:t>
      </w:r>
      <w:r w:rsidRPr="003F511D">
        <w:rPr>
          <w:lang w:val="en-US"/>
        </w:rPr>
        <w:t xml:space="preserve">). </w:t>
      </w:r>
      <w:r>
        <w:rPr>
          <w:lang w:val="en-US"/>
        </w:rPr>
        <w:t>In total 15 timbers from five water wells were analyzed</w:t>
      </w:r>
      <w:r w:rsidRPr="003F511D">
        <w:rPr>
          <w:lang w:val="en-US"/>
        </w:rPr>
        <w:t>.</w:t>
      </w:r>
      <w:r>
        <w:rPr>
          <w:lang w:val="en-US"/>
        </w:rPr>
        <w:t xml:space="preserve"> The measurement series 14.0123.121 is one of eight series from oak planks which cross dated well into a tree group 14.0123.oakTG (</w:t>
      </w:r>
      <w:r>
        <w:rPr>
          <w:i/>
          <w:iCs/>
          <w:lang w:val="en-US"/>
        </w:rPr>
        <w:t>t-</w:t>
      </w:r>
      <w:r>
        <w:rPr>
          <w:lang w:val="en-US"/>
        </w:rPr>
        <w:t xml:space="preserve">value of </w:t>
      </w:r>
      <w:r>
        <w:rPr>
          <w:i/>
          <w:iCs/>
          <w:lang w:val="en-US"/>
        </w:rPr>
        <w:t>t</w:t>
      </w:r>
      <w:r>
        <w:rPr>
          <w:lang w:val="en-US"/>
        </w:rPr>
        <w:t xml:space="preserve">=10,03 and %PV=68,93). This group with a length of 296 tree ring crossmatched strongly with the reference chronologies NLVLAA01 </w:t>
      </w:r>
      <w:r w:rsidRPr="003F511D">
        <w:rPr>
          <w:lang w:val="en-US"/>
        </w:rPr>
        <w:t xml:space="preserve">(Table </w:t>
      </w:r>
      <w:r>
        <w:rPr>
          <w:lang w:val="en-US"/>
        </w:rPr>
        <w:t>8-SI</w:t>
      </w:r>
      <w:r w:rsidRPr="003F511D">
        <w:rPr>
          <w:lang w:val="en-US"/>
        </w:rPr>
        <w:t>).</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1946"/>
        <w:gridCol w:w="841"/>
        <w:gridCol w:w="841"/>
        <w:gridCol w:w="2676"/>
      </w:tblGrid>
      <w:tr w:rsidR="006A6D95" w:rsidRPr="003F511D" w14:paraId="52AD87FB" w14:textId="77777777" w:rsidTr="00D12C1A">
        <w:tc>
          <w:tcPr>
            <w:tcW w:w="3553" w:type="dxa"/>
            <w:shd w:val="clear" w:color="auto" w:fill="FFFFFF"/>
            <w:vAlign w:val="center"/>
          </w:tcPr>
          <w:p w14:paraId="02209E84" w14:textId="77777777" w:rsidR="006A6D95" w:rsidRPr="003F511D" w:rsidRDefault="006A6D95" w:rsidP="00D12C1A">
            <w:pPr>
              <w:spacing w:after="0"/>
              <w:rPr>
                <w:rFonts w:asciiTheme="minorHAnsi" w:hAnsiTheme="minorHAnsi"/>
                <w:sz w:val="20"/>
                <w:szCs w:val="20"/>
                <w:lang w:val="en-US"/>
              </w:rPr>
            </w:pPr>
            <w:r w:rsidRPr="003F511D">
              <w:rPr>
                <w:rFonts w:asciiTheme="minorHAnsi" w:hAnsiTheme="minorHAnsi"/>
                <w:sz w:val="20"/>
                <w:szCs w:val="20"/>
                <w:lang w:val="en-US"/>
              </w:rPr>
              <w:t>Reference chronology</w:t>
            </w:r>
          </w:p>
        </w:tc>
        <w:tc>
          <w:tcPr>
            <w:tcW w:w="1946" w:type="dxa"/>
            <w:shd w:val="clear" w:color="auto" w:fill="FFFFFF"/>
            <w:vAlign w:val="center"/>
          </w:tcPr>
          <w:p w14:paraId="386DE720" w14:textId="77777777" w:rsidR="006A6D95" w:rsidRPr="003F511D" w:rsidRDefault="006A6D95" w:rsidP="00D12C1A">
            <w:pPr>
              <w:spacing w:after="0"/>
              <w:rPr>
                <w:rFonts w:asciiTheme="minorHAnsi" w:hAnsiTheme="minorHAnsi"/>
                <w:sz w:val="20"/>
                <w:szCs w:val="20"/>
                <w:lang w:val="en-US"/>
              </w:rPr>
            </w:pPr>
            <w:r w:rsidRPr="003F511D">
              <w:rPr>
                <w:rFonts w:asciiTheme="minorHAnsi" w:hAnsiTheme="minorHAnsi"/>
                <w:sz w:val="20"/>
                <w:szCs w:val="20"/>
                <w:lang w:val="en-US"/>
              </w:rPr>
              <w:t>Span of chronology</w:t>
            </w:r>
          </w:p>
        </w:tc>
        <w:tc>
          <w:tcPr>
            <w:tcW w:w="841" w:type="dxa"/>
            <w:shd w:val="clear" w:color="auto" w:fill="FFFFFF"/>
            <w:vAlign w:val="center"/>
          </w:tcPr>
          <w:p w14:paraId="6B4880CE" w14:textId="77777777" w:rsidR="006A6D95" w:rsidRPr="003F511D" w:rsidRDefault="006A6D95" w:rsidP="00D12C1A">
            <w:pPr>
              <w:spacing w:after="0"/>
              <w:rPr>
                <w:rFonts w:asciiTheme="minorHAnsi" w:hAnsiTheme="minorHAnsi"/>
                <w:i/>
                <w:iCs/>
                <w:sz w:val="20"/>
                <w:szCs w:val="20"/>
                <w:lang w:val="en-US"/>
              </w:rPr>
            </w:pPr>
            <w:r w:rsidRPr="003F511D">
              <w:rPr>
                <w:rFonts w:asciiTheme="minorHAnsi" w:hAnsiTheme="minorHAnsi"/>
                <w:i/>
                <w:iCs/>
                <w:sz w:val="20"/>
                <w:szCs w:val="20"/>
                <w:lang w:val="en-US"/>
              </w:rPr>
              <w:t>t-</w:t>
            </w:r>
            <w:r w:rsidRPr="003F511D">
              <w:rPr>
                <w:rFonts w:asciiTheme="minorHAnsi" w:hAnsiTheme="minorHAnsi"/>
                <w:sz w:val="20"/>
                <w:szCs w:val="20"/>
                <w:lang w:val="en-US"/>
              </w:rPr>
              <w:t>value</w:t>
            </w:r>
          </w:p>
        </w:tc>
        <w:tc>
          <w:tcPr>
            <w:tcW w:w="841" w:type="dxa"/>
            <w:shd w:val="clear" w:color="auto" w:fill="FFFFFF"/>
            <w:vAlign w:val="center"/>
          </w:tcPr>
          <w:p w14:paraId="578248EF" w14:textId="77777777" w:rsidR="006A6D95" w:rsidRPr="003F511D" w:rsidRDefault="006A6D95" w:rsidP="00D12C1A">
            <w:pPr>
              <w:spacing w:after="0"/>
              <w:rPr>
                <w:rFonts w:asciiTheme="minorHAnsi" w:hAnsiTheme="minorHAnsi"/>
                <w:i/>
                <w:iCs/>
                <w:sz w:val="20"/>
                <w:szCs w:val="20"/>
                <w:lang w:val="en-US"/>
              </w:rPr>
            </w:pPr>
            <w:r>
              <w:rPr>
                <w:rFonts w:asciiTheme="minorHAnsi" w:hAnsiTheme="minorHAnsi"/>
                <w:i/>
                <w:iCs/>
                <w:sz w:val="20"/>
                <w:szCs w:val="20"/>
                <w:lang w:val="en-US"/>
              </w:rPr>
              <w:t>%PV</w:t>
            </w:r>
          </w:p>
        </w:tc>
        <w:tc>
          <w:tcPr>
            <w:tcW w:w="2676" w:type="dxa"/>
            <w:shd w:val="clear" w:color="auto" w:fill="FFFFFF"/>
            <w:vAlign w:val="center"/>
          </w:tcPr>
          <w:p w14:paraId="3C34DA75" w14:textId="77777777" w:rsidR="006A6D95" w:rsidRPr="003F511D" w:rsidRDefault="006A6D95" w:rsidP="00D12C1A">
            <w:pPr>
              <w:spacing w:after="0"/>
              <w:rPr>
                <w:rFonts w:asciiTheme="minorHAnsi" w:hAnsiTheme="minorHAnsi"/>
                <w:sz w:val="20"/>
                <w:szCs w:val="20"/>
                <w:lang w:val="en-US"/>
              </w:rPr>
            </w:pPr>
            <w:r w:rsidRPr="003F511D">
              <w:rPr>
                <w:rFonts w:asciiTheme="minorHAnsi" w:hAnsiTheme="minorHAnsi"/>
                <w:sz w:val="20"/>
                <w:szCs w:val="20"/>
                <w:lang w:val="en-US"/>
              </w:rPr>
              <w:t>Reference</w:t>
            </w:r>
          </w:p>
        </w:tc>
      </w:tr>
      <w:tr w:rsidR="006A6D95" w:rsidRPr="003F511D" w14:paraId="24A62B5B" w14:textId="77777777" w:rsidTr="00D12C1A">
        <w:tc>
          <w:tcPr>
            <w:tcW w:w="3553" w:type="dxa"/>
            <w:tcBorders>
              <w:top w:val="single" w:sz="4" w:space="0" w:color="auto"/>
              <w:left w:val="single" w:sz="4" w:space="0" w:color="auto"/>
              <w:bottom w:val="single" w:sz="4" w:space="0" w:color="auto"/>
              <w:right w:val="single" w:sz="4" w:space="0" w:color="auto"/>
            </w:tcBorders>
          </w:tcPr>
          <w:p w14:paraId="66467AFA" w14:textId="77777777" w:rsidR="006A6D95" w:rsidRPr="003F511D" w:rsidRDefault="006A6D95" w:rsidP="00D12C1A">
            <w:pPr>
              <w:spacing w:after="0"/>
              <w:rPr>
                <w:rFonts w:asciiTheme="minorHAnsi" w:hAnsiTheme="minorHAnsi"/>
                <w:sz w:val="20"/>
                <w:szCs w:val="20"/>
                <w:lang w:val="en-US"/>
              </w:rPr>
            </w:pPr>
            <w:r>
              <w:rPr>
                <w:rFonts w:asciiTheme="minorHAnsi" w:hAnsiTheme="minorHAnsi"/>
                <w:sz w:val="20"/>
                <w:szCs w:val="20"/>
                <w:lang w:val="en-US"/>
              </w:rPr>
              <w:t>NLVLAA01</w:t>
            </w:r>
          </w:p>
        </w:tc>
        <w:tc>
          <w:tcPr>
            <w:tcW w:w="1946" w:type="dxa"/>
            <w:tcBorders>
              <w:top w:val="single" w:sz="4" w:space="0" w:color="auto"/>
              <w:left w:val="single" w:sz="4" w:space="0" w:color="auto"/>
              <w:bottom w:val="single" w:sz="4" w:space="0" w:color="auto"/>
              <w:right w:val="single" w:sz="4" w:space="0" w:color="auto"/>
            </w:tcBorders>
          </w:tcPr>
          <w:p w14:paraId="38E8BE02" w14:textId="77777777" w:rsidR="006A6D95" w:rsidRPr="003F511D" w:rsidRDefault="006A6D95" w:rsidP="00D12C1A">
            <w:pPr>
              <w:spacing w:after="0"/>
              <w:rPr>
                <w:rFonts w:asciiTheme="minorHAnsi" w:hAnsiTheme="minorHAnsi"/>
                <w:sz w:val="20"/>
                <w:szCs w:val="20"/>
                <w:lang w:val="en-US"/>
              </w:rPr>
            </w:pPr>
            <w:r w:rsidRPr="003F511D">
              <w:rPr>
                <w:rFonts w:asciiTheme="minorHAnsi" w:hAnsiTheme="minorHAnsi"/>
                <w:sz w:val="20"/>
                <w:szCs w:val="20"/>
                <w:lang w:val="en-US"/>
              </w:rPr>
              <w:t xml:space="preserve">AD </w:t>
            </w:r>
            <w:r>
              <w:rPr>
                <w:rFonts w:asciiTheme="minorHAnsi" w:hAnsiTheme="minorHAnsi"/>
                <w:sz w:val="20"/>
                <w:szCs w:val="20"/>
                <w:lang w:val="en-US"/>
              </w:rPr>
              <w:t>-211</w:t>
            </w:r>
            <w:r w:rsidRPr="003F511D">
              <w:rPr>
                <w:rFonts w:asciiTheme="minorHAnsi" w:hAnsiTheme="minorHAnsi"/>
                <w:sz w:val="20"/>
                <w:szCs w:val="20"/>
                <w:lang w:val="en-US"/>
              </w:rPr>
              <w:t>–</w:t>
            </w:r>
            <w:r>
              <w:rPr>
                <w:rFonts w:asciiTheme="minorHAnsi" w:hAnsiTheme="minorHAnsi"/>
                <w:sz w:val="20"/>
                <w:szCs w:val="20"/>
                <w:lang w:val="en-US"/>
              </w:rPr>
              <w:t>1104</w:t>
            </w:r>
          </w:p>
        </w:tc>
        <w:tc>
          <w:tcPr>
            <w:tcW w:w="841" w:type="dxa"/>
            <w:tcBorders>
              <w:top w:val="single" w:sz="4" w:space="0" w:color="auto"/>
              <w:left w:val="single" w:sz="4" w:space="0" w:color="auto"/>
              <w:bottom w:val="single" w:sz="4" w:space="0" w:color="auto"/>
              <w:right w:val="single" w:sz="4" w:space="0" w:color="auto"/>
            </w:tcBorders>
          </w:tcPr>
          <w:p w14:paraId="53CE2FDD" w14:textId="77777777" w:rsidR="006A6D95" w:rsidRDefault="006A6D95" w:rsidP="00D12C1A">
            <w:pPr>
              <w:spacing w:after="0"/>
              <w:rPr>
                <w:rFonts w:asciiTheme="minorHAnsi" w:hAnsiTheme="minorHAnsi"/>
                <w:sz w:val="20"/>
                <w:szCs w:val="20"/>
                <w:lang w:val="en-US"/>
              </w:rPr>
            </w:pPr>
            <w:r>
              <w:rPr>
                <w:rFonts w:asciiTheme="minorHAnsi" w:hAnsiTheme="minorHAnsi"/>
                <w:sz w:val="20"/>
                <w:szCs w:val="20"/>
                <w:lang w:val="en-US"/>
              </w:rPr>
              <w:t>14</w:t>
            </w:r>
          </w:p>
        </w:tc>
        <w:tc>
          <w:tcPr>
            <w:tcW w:w="841" w:type="dxa"/>
            <w:tcBorders>
              <w:top w:val="single" w:sz="4" w:space="0" w:color="auto"/>
              <w:left w:val="single" w:sz="4" w:space="0" w:color="auto"/>
              <w:bottom w:val="single" w:sz="4" w:space="0" w:color="auto"/>
              <w:right w:val="single" w:sz="4" w:space="0" w:color="auto"/>
            </w:tcBorders>
          </w:tcPr>
          <w:p w14:paraId="280F02A9" w14:textId="77777777" w:rsidR="006A6D95" w:rsidRPr="003F511D" w:rsidRDefault="006A6D95" w:rsidP="00D12C1A">
            <w:pPr>
              <w:spacing w:after="0"/>
              <w:rPr>
                <w:rFonts w:asciiTheme="minorHAnsi" w:hAnsiTheme="minorHAnsi"/>
                <w:sz w:val="20"/>
                <w:szCs w:val="20"/>
                <w:lang w:val="en-US"/>
              </w:rPr>
            </w:pPr>
            <w:r>
              <w:rPr>
                <w:rFonts w:asciiTheme="minorHAnsi" w:hAnsiTheme="minorHAnsi"/>
                <w:sz w:val="20"/>
                <w:szCs w:val="20"/>
                <w:lang w:val="en-US"/>
              </w:rPr>
              <w:t>72,6</w:t>
            </w:r>
          </w:p>
        </w:tc>
        <w:tc>
          <w:tcPr>
            <w:tcW w:w="2676" w:type="dxa"/>
            <w:tcBorders>
              <w:top w:val="single" w:sz="4" w:space="0" w:color="auto"/>
              <w:left w:val="single" w:sz="4" w:space="0" w:color="auto"/>
              <w:bottom w:val="single" w:sz="4" w:space="0" w:color="auto"/>
              <w:right w:val="single" w:sz="4" w:space="0" w:color="auto"/>
            </w:tcBorders>
          </w:tcPr>
          <w:p w14:paraId="62E5CAE9" w14:textId="77777777" w:rsidR="006A6D95" w:rsidRPr="003F511D" w:rsidRDefault="006A6D95" w:rsidP="00D12C1A">
            <w:pPr>
              <w:spacing w:after="0"/>
              <w:rPr>
                <w:rFonts w:asciiTheme="minorHAnsi" w:hAnsiTheme="minorHAnsi"/>
                <w:sz w:val="20"/>
                <w:szCs w:val="20"/>
                <w:lang w:val="en-US"/>
              </w:rPr>
            </w:pPr>
            <w:r>
              <w:rPr>
                <w:rFonts w:asciiTheme="minorHAnsi" w:hAnsiTheme="minorHAnsi"/>
                <w:sz w:val="20"/>
                <w:szCs w:val="20"/>
                <w:lang w:val="en-US"/>
              </w:rPr>
              <w:t>Jansma &amp; Hanraets 2004</w:t>
            </w:r>
          </w:p>
        </w:tc>
      </w:tr>
    </w:tbl>
    <w:p w14:paraId="15DA0C51" w14:textId="77777777" w:rsidR="006A6D95" w:rsidRPr="003F511D" w:rsidRDefault="006A6D95" w:rsidP="006A6D95">
      <w:pPr>
        <w:rPr>
          <w:lang w:val="en-US"/>
        </w:rPr>
      </w:pPr>
      <w:r w:rsidRPr="003F511D">
        <w:rPr>
          <w:i/>
          <w:sz w:val="20"/>
          <w:szCs w:val="20"/>
          <w:lang w:val="en-US"/>
        </w:rPr>
        <w:t xml:space="preserve">Table </w:t>
      </w:r>
      <w:r>
        <w:rPr>
          <w:i/>
          <w:sz w:val="20"/>
          <w:szCs w:val="20"/>
          <w:lang w:val="en-US"/>
        </w:rPr>
        <w:t>8-SI</w:t>
      </w:r>
      <w:r w:rsidRPr="003F511D">
        <w:rPr>
          <w:i/>
          <w:sz w:val="20"/>
          <w:szCs w:val="20"/>
          <w:lang w:val="en-US"/>
        </w:rPr>
        <w:t xml:space="preserve">: Results of the cross-matching of site sequence </w:t>
      </w:r>
      <w:r>
        <w:rPr>
          <w:i/>
          <w:sz w:val="20"/>
          <w:szCs w:val="20"/>
          <w:lang w:val="en-US"/>
        </w:rPr>
        <w:t>14.0123.oakTG</w:t>
      </w:r>
      <w:r w:rsidRPr="003F511D">
        <w:rPr>
          <w:i/>
          <w:sz w:val="20"/>
          <w:szCs w:val="20"/>
          <w:lang w:val="en-US"/>
        </w:rPr>
        <w:t xml:space="preserve"> (</w:t>
      </w:r>
      <w:r w:rsidRPr="003F511D">
        <w:rPr>
          <w:sz w:val="20"/>
          <w:szCs w:val="20"/>
          <w:lang w:val="en-US"/>
        </w:rPr>
        <w:t>t</w:t>
      </w:r>
      <w:r w:rsidRPr="003F511D">
        <w:rPr>
          <w:i/>
          <w:sz w:val="20"/>
          <w:szCs w:val="20"/>
          <w:lang w:val="en-US"/>
        </w:rPr>
        <w:t xml:space="preserve">-values after </w:t>
      </w:r>
      <w:r>
        <w:rPr>
          <w:i/>
          <w:sz w:val="20"/>
          <w:szCs w:val="20"/>
          <w:lang w:val="en-US"/>
        </w:rPr>
        <w:t>Hollstein 1980</w:t>
      </w:r>
      <w:r w:rsidRPr="003F511D">
        <w:rPr>
          <w:i/>
          <w:sz w:val="20"/>
          <w:szCs w:val="20"/>
          <w:lang w:val="en-US"/>
        </w:rPr>
        <w:t>).</w:t>
      </w:r>
    </w:p>
    <w:p w14:paraId="69173320" w14:textId="77777777" w:rsidR="006A6D95" w:rsidRPr="003F511D" w:rsidRDefault="006A6D95" w:rsidP="006A6D95">
      <w:pPr>
        <w:rPr>
          <w:lang w:val="en-US"/>
        </w:rPr>
      </w:pPr>
      <w:r w:rsidRPr="003F511D">
        <w:rPr>
          <w:lang w:val="en-US"/>
        </w:rPr>
        <w:t xml:space="preserve">The raw ring-width data of all the measured samples from the </w:t>
      </w:r>
      <w:r>
        <w:rPr>
          <w:lang w:val="en-US"/>
        </w:rPr>
        <w:t>timbers c</w:t>
      </w:r>
      <w:r w:rsidRPr="003F511D">
        <w:rPr>
          <w:lang w:val="en-US"/>
        </w:rPr>
        <w:t xml:space="preserve">an be found in </w:t>
      </w:r>
      <w:r>
        <w:rPr>
          <w:lang w:val="en-US"/>
        </w:rPr>
        <w:t>Doeve</w:t>
      </w:r>
      <w:r w:rsidRPr="003F511D">
        <w:rPr>
          <w:lang w:val="en-US"/>
        </w:rPr>
        <w:t xml:space="preserve"> (20</w:t>
      </w:r>
      <w:r>
        <w:rPr>
          <w:lang w:val="en-US"/>
        </w:rPr>
        <w:t>17</w:t>
      </w:r>
      <w:r w:rsidRPr="003F511D">
        <w:rPr>
          <w:lang w:val="en-US"/>
        </w:rPr>
        <w:t xml:space="preserve">) and at </w:t>
      </w:r>
      <w:hyperlink r:id="rId16" w:history="1">
        <w:r w:rsidRPr="00DB61A9">
          <w:rPr>
            <w:rStyle w:val="Hyperlink"/>
            <w:rFonts w:eastAsia="Frutiger LT 55 Roman" w:cstheme="minorHAnsi"/>
            <w:lang w:val="en-US"/>
          </w:rPr>
          <w:t>https://doi.org/10.34894/8K5TOF</w:t>
        </w:r>
      </w:hyperlink>
      <w:r w:rsidRPr="00DB61A9">
        <w:rPr>
          <w:rFonts w:eastAsia="Frutiger LT 55 Roman" w:cstheme="minorHAnsi"/>
          <w:color w:val="000000"/>
          <w:lang w:val="en-US"/>
        </w:rPr>
        <w:t xml:space="preserve">. </w:t>
      </w:r>
    </w:p>
    <w:p w14:paraId="3A113934" w14:textId="77777777" w:rsidR="006A6D95" w:rsidRPr="00117F75" w:rsidRDefault="006A6D95" w:rsidP="006A6D95">
      <w:pPr>
        <w:rPr>
          <w:b/>
          <w:bCs/>
          <w:lang w:val="nl-NL"/>
        </w:rPr>
      </w:pPr>
      <w:r w:rsidRPr="00117F75">
        <w:rPr>
          <w:b/>
          <w:bCs/>
          <w:lang w:val="nl-NL"/>
        </w:rPr>
        <w:t>References</w:t>
      </w:r>
    </w:p>
    <w:p w14:paraId="41CC4CEB" w14:textId="77777777" w:rsidR="006A6D95" w:rsidRPr="00DB61A9" w:rsidRDefault="006A6D95" w:rsidP="006A6D95">
      <w:pPr>
        <w:rPr>
          <w:rFonts w:eastAsia="Frutiger LT 55 Roman" w:cstheme="minorHAnsi"/>
          <w:color w:val="000000"/>
          <w:lang w:val="nl-NL"/>
        </w:rPr>
      </w:pPr>
      <w:bookmarkStart w:id="1" w:name="_Hlk100225733"/>
      <w:r w:rsidRPr="00DB61A9">
        <w:rPr>
          <w:rFonts w:eastAsia="Frutiger LT 55 Roman" w:cstheme="minorHAnsi"/>
          <w:color w:val="000000"/>
          <w:lang w:val="nl-NL"/>
        </w:rPr>
        <w:t>Doeve, P</w:t>
      </w:r>
      <w:r>
        <w:rPr>
          <w:rFonts w:eastAsia="Frutiger LT 55 Roman" w:cstheme="minorHAnsi"/>
          <w:color w:val="000000"/>
          <w:lang w:val="nl-NL"/>
        </w:rPr>
        <w:t>.,</w:t>
      </w:r>
      <w:r w:rsidRPr="00DB61A9">
        <w:rPr>
          <w:rFonts w:eastAsia="Frutiger LT 55 Roman" w:cstheme="minorHAnsi"/>
          <w:color w:val="000000"/>
          <w:lang w:val="nl-NL"/>
        </w:rPr>
        <w:t xml:space="preserve"> 2017</w:t>
      </w:r>
      <w:r>
        <w:rPr>
          <w:rFonts w:eastAsia="Frutiger LT 55 Roman" w:cstheme="minorHAnsi"/>
          <w:color w:val="000000"/>
          <w:lang w:val="nl-NL"/>
        </w:rPr>
        <w:t>:</w:t>
      </w:r>
      <w:r w:rsidRPr="00DB61A9">
        <w:rPr>
          <w:rFonts w:eastAsia="Frutiger LT 55 Roman" w:cstheme="minorHAnsi"/>
          <w:color w:val="000000"/>
          <w:lang w:val="nl-NL"/>
        </w:rPr>
        <w:t xml:space="preserve"> </w:t>
      </w:r>
      <w:r w:rsidRPr="00DB61A9">
        <w:rPr>
          <w:rFonts w:eastAsia="Frutiger LT 55 Roman" w:cstheme="minorHAnsi"/>
          <w:i/>
          <w:iCs/>
          <w:color w:val="000000"/>
          <w:lang w:val="nl-NL"/>
        </w:rPr>
        <w:t>Dendrochronologische onderzoek Ruiselede waterputten</w:t>
      </w:r>
      <w:r w:rsidRPr="00DB61A9">
        <w:rPr>
          <w:rFonts w:eastAsia="Frutiger LT 55 Roman" w:cstheme="minorHAnsi"/>
          <w:color w:val="000000"/>
          <w:lang w:val="nl-NL"/>
        </w:rPr>
        <w:t xml:space="preserve"> (BAAC project 14.0123), https://doi.org/10.34894/8K5TOF, DataverseNL, V1</w:t>
      </w:r>
      <w:r>
        <w:rPr>
          <w:rFonts w:eastAsia="Frutiger LT 55 Roman" w:cstheme="minorHAnsi"/>
          <w:color w:val="000000"/>
          <w:lang w:val="nl-NL"/>
        </w:rPr>
        <w:t>.</w:t>
      </w:r>
    </w:p>
    <w:p w14:paraId="55AFA2B8" w14:textId="77777777" w:rsidR="006A6D95" w:rsidRDefault="006A6D95" w:rsidP="006A6D95">
      <w:pPr>
        <w:rPr>
          <w:rFonts w:eastAsia="Frutiger LT 55 Roman" w:cstheme="minorHAnsi"/>
          <w:color w:val="000000"/>
          <w:lang w:val="de-DE"/>
        </w:rPr>
      </w:pPr>
      <w:r w:rsidRPr="00DB61A9">
        <w:rPr>
          <w:rFonts w:eastAsia="Frutiger LT 55 Roman" w:cstheme="minorHAnsi"/>
          <w:color w:val="000000"/>
          <w:lang w:val="de-DE"/>
        </w:rPr>
        <w:t xml:space="preserve">Hollstein, E. 1980: Mitteleuropäische Eichenchronologie, in </w:t>
      </w:r>
      <w:r w:rsidRPr="00DB61A9">
        <w:rPr>
          <w:rFonts w:eastAsia="Frutiger LT 55 Roman" w:cstheme="minorHAnsi"/>
          <w:i/>
          <w:iCs/>
          <w:color w:val="000000"/>
          <w:lang w:val="de-DE"/>
        </w:rPr>
        <w:t>Trierer Grabungen und Forschungen, Band XI</w:t>
      </w:r>
      <w:r w:rsidRPr="00DB61A9">
        <w:rPr>
          <w:rFonts w:eastAsia="Frutiger LT 55 Roman" w:cstheme="minorHAnsi"/>
          <w:color w:val="000000"/>
          <w:lang w:val="de-DE"/>
        </w:rPr>
        <w:t xml:space="preserve"> Phillip Von Zabern, Mainz am Rhein.</w:t>
      </w:r>
    </w:p>
    <w:p w14:paraId="4E025465" w14:textId="2D60A69E" w:rsidR="006A6D95" w:rsidRPr="003F511D" w:rsidRDefault="006A6D95" w:rsidP="006A6D95">
      <w:pPr>
        <w:rPr>
          <w:lang w:val="en-US"/>
        </w:rPr>
      </w:pPr>
      <w:r w:rsidRPr="00DB61A9">
        <w:rPr>
          <w:rFonts w:eastAsia="Frutiger LT 55 Roman" w:cstheme="minorHAnsi"/>
          <w:color w:val="000000"/>
          <w:lang w:val="en-US"/>
        </w:rPr>
        <w:t xml:space="preserve">Jansma, E. </w:t>
      </w:r>
      <w:r>
        <w:rPr>
          <w:rFonts w:eastAsia="Frutiger LT 55 Roman" w:cstheme="minorHAnsi"/>
          <w:color w:val="000000"/>
          <w:lang w:val="en-US"/>
        </w:rPr>
        <w:t>&amp;</w:t>
      </w:r>
      <w:r w:rsidRPr="00DB61A9">
        <w:rPr>
          <w:rFonts w:eastAsia="Frutiger LT 55 Roman" w:cstheme="minorHAnsi"/>
          <w:color w:val="000000"/>
          <w:lang w:val="en-US"/>
        </w:rPr>
        <w:t xml:space="preserve"> E. Hanraets, 2004: Dating Flanders – towards a Flemish tree-ring chronology of oak. in Jansma E, Bräuning A, Gärtner H, Schleser G (eds.) (2004) </w:t>
      </w:r>
      <w:r w:rsidRPr="00DB61A9">
        <w:rPr>
          <w:rFonts w:eastAsia="Frutiger LT 55 Roman" w:cstheme="minorHAnsi"/>
          <w:i/>
          <w:iCs/>
          <w:color w:val="000000"/>
          <w:lang w:val="en-US"/>
        </w:rPr>
        <w:t>TRACE - Tree Rings in Archaeology, Climatology and Ecology, Vol. 2: Proceedings of the DENDROSYMPOSIUM 2003</w:t>
      </w:r>
      <w:r w:rsidRPr="00DB61A9">
        <w:rPr>
          <w:rFonts w:eastAsia="Frutiger LT 55 Roman" w:cstheme="minorHAnsi"/>
          <w:color w:val="000000"/>
          <w:lang w:val="en-US"/>
        </w:rPr>
        <w:t xml:space="preserve">, May 1st – 3rd 2003, Utrecht, the Netherlands. </w:t>
      </w:r>
      <w:r w:rsidRPr="00DB61A9">
        <w:rPr>
          <w:rFonts w:eastAsia="Frutiger LT 55 Roman" w:cstheme="minorHAnsi"/>
          <w:color w:val="000000"/>
          <w:lang w:val="de-DE"/>
        </w:rPr>
        <w:t xml:space="preserve">(Schriften des Forschungszentrums Jülich, Reihe Umwelt Vol. 44), 131 </w:t>
      </w:r>
      <w:r w:rsidR="00466BDB">
        <w:rPr>
          <w:rFonts w:eastAsia="Frutiger LT 55 Roman" w:cstheme="minorHAnsi"/>
          <w:color w:val="000000"/>
          <w:lang w:val="de-DE"/>
        </w:rPr>
        <w:t>–</w:t>
      </w:r>
      <w:r w:rsidRPr="00DB61A9">
        <w:rPr>
          <w:rFonts w:eastAsia="Frutiger LT 55 Roman" w:cstheme="minorHAnsi"/>
          <w:color w:val="000000"/>
          <w:lang w:val="de-DE"/>
        </w:rPr>
        <w:t xml:space="preserve"> 138</w:t>
      </w:r>
      <w:bookmarkEnd w:id="1"/>
      <w:r w:rsidR="00466BDB">
        <w:rPr>
          <w:rFonts w:eastAsia="Frutiger LT 55 Roman" w:cstheme="minorHAnsi"/>
          <w:color w:val="000000"/>
          <w:lang w:val="de-DE"/>
        </w:rPr>
        <w:t>.</w:t>
      </w:r>
    </w:p>
    <w:p w14:paraId="56943639" w14:textId="77777777" w:rsidR="002A2E59" w:rsidRPr="003F511D" w:rsidRDefault="002A2E59">
      <w:pPr>
        <w:rPr>
          <w:lang w:val="en-US"/>
        </w:rPr>
      </w:pPr>
    </w:p>
    <w:sectPr w:rsidR="002A2E59" w:rsidRPr="003F5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1"/>
    <w:family w:val="roman"/>
    <w:pitch w:val="variable"/>
    <w:sig w:usb0="E00002FF" w:usb1="400004FF" w:usb2="00000000" w:usb3="00000000" w:csb0="0000019F" w:csb1="00000000"/>
  </w:font>
  <w:font w:name="Gill Sans MT Light">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panose1 w:val="020B0604020202020204"/>
    <w:charset w:val="00"/>
    <w:family w:val="swiss"/>
    <w:pitch w:val="variable"/>
    <w:sig w:usb0="80000027"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5E2"/>
    <w:rsid w:val="0007055D"/>
    <w:rsid w:val="000A5A97"/>
    <w:rsid w:val="000C0F95"/>
    <w:rsid w:val="000E2A27"/>
    <w:rsid w:val="00114B8A"/>
    <w:rsid w:val="001538B2"/>
    <w:rsid w:val="00153F45"/>
    <w:rsid w:val="0017343D"/>
    <w:rsid w:val="0017668A"/>
    <w:rsid w:val="001B7C2F"/>
    <w:rsid w:val="001C48AD"/>
    <w:rsid w:val="001C63CA"/>
    <w:rsid w:val="001C74CE"/>
    <w:rsid w:val="001F758A"/>
    <w:rsid w:val="00243350"/>
    <w:rsid w:val="00243CED"/>
    <w:rsid w:val="002579D3"/>
    <w:rsid w:val="002955E2"/>
    <w:rsid w:val="002A2E59"/>
    <w:rsid w:val="002B0541"/>
    <w:rsid w:val="002B362A"/>
    <w:rsid w:val="002D4687"/>
    <w:rsid w:val="00317F3A"/>
    <w:rsid w:val="00323B1F"/>
    <w:rsid w:val="00326DBB"/>
    <w:rsid w:val="003429B0"/>
    <w:rsid w:val="00346F16"/>
    <w:rsid w:val="00363D2A"/>
    <w:rsid w:val="00394971"/>
    <w:rsid w:val="003E3098"/>
    <w:rsid w:val="003F511D"/>
    <w:rsid w:val="00400D9A"/>
    <w:rsid w:val="00414DD8"/>
    <w:rsid w:val="00422C3D"/>
    <w:rsid w:val="00426F42"/>
    <w:rsid w:val="0045238A"/>
    <w:rsid w:val="004529AB"/>
    <w:rsid w:val="00461022"/>
    <w:rsid w:val="00466BDB"/>
    <w:rsid w:val="00474A89"/>
    <w:rsid w:val="004773C6"/>
    <w:rsid w:val="0049201E"/>
    <w:rsid w:val="004B27C3"/>
    <w:rsid w:val="00514262"/>
    <w:rsid w:val="00515A66"/>
    <w:rsid w:val="00526815"/>
    <w:rsid w:val="00532BF8"/>
    <w:rsid w:val="005962ED"/>
    <w:rsid w:val="005A0851"/>
    <w:rsid w:val="005B0355"/>
    <w:rsid w:val="005D06D5"/>
    <w:rsid w:val="005F22AA"/>
    <w:rsid w:val="006320D1"/>
    <w:rsid w:val="0065383E"/>
    <w:rsid w:val="00657994"/>
    <w:rsid w:val="0066289C"/>
    <w:rsid w:val="0066682A"/>
    <w:rsid w:val="006675BC"/>
    <w:rsid w:val="00685C92"/>
    <w:rsid w:val="006A4C3F"/>
    <w:rsid w:val="006A6D95"/>
    <w:rsid w:val="006F7335"/>
    <w:rsid w:val="00705D7C"/>
    <w:rsid w:val="00710F6F"/>
    <w:rsid w:val="00714080"/>
    <w:rsid w:val="007244C3"/>
    <w:rsid w:val="0073078A"/>
    <w:rsid w:val="0074229C"/>
    <w:rsid w:val="00742788"/>
    <w:rsid w:val="00762BA8"/>
    <w:rsid w:val="00780033"/>
    <w:rsid w:val="00791C72"/>
    <w:rsid w:val="007A4193"/>
    <w:rsid w:val="007B0630"/>
    <w:rsid w:val="007B79E2"/>
    <w:rsid w:val="007D533D"/>
    <w:rsid w:val="007F0CFC"/>
    <w:rsid w:val="007F24FE"/>
    <w:rsid w:val="007F511D"/>
    <w:rsid w:val="00896037"/>
    <w:rsid w:val="008A19C9"/>
    <w:rsid w:val="008C3133"/>
    <w:rsid w:val="008D15C3"/>
    <w:rsid w:val="008E5719"/>
    <w:rsid w:val="0091253F"/>
    <w:rsid w:val="00915A8B"/>
    <w:rsid w:val="00932F90"/>
    <w:rsid w:val="00973F7E"/>
    <w:rsid w:val="00977BAD"/>
    <w:rsid w:val="00995E7E"/>
    <w:rsid w:val="009B79A3"/>
    <w:rsid w:val="009D5716"/>
    <w:rsid w:val="009E4F94"/>
    <w:rsid w:val="00A00968"/>
    <w:rsid w:val="00A030C7"/>
    <w:rsid w:val="00A113DC"/>
    <w:rsid w:val="00A45DA2"/>
    <w:rsid w:val="00A523D0"/>
    <w:rsid w:val="00A52F64"/>
    <w:rsid w:val="00A756DE"/>
    <w:rsid w:val="00A7706B"/>
    <w:rsid w:val="00A82CA5"/>
    <w:rsid w:val="00A83C26"/>
    <w:rsid w:val="00AB4860"/>
    <w:rsid w:val="00AC627B"/>
    <w:rsid w:val="00B11F7D"/>
    <w:rsid w:val="00B21E4F"/>
    <w:rsid w:val="00B373D5"/>
    <w:rsid w:val="00B771E7"/>
    <w:rsid w:val="00B93E24"/>
    <w:rsid w:val="00BB41E5"/>
    <w:rsid w:val="00BC15B0"/>
    <w:rsid w:val="00BD70AD"/>
    <w:rsid w:val="00BE3336"/>
    <w:rsid w:val="00C03478"/>
    <w:rsid w:val="00C30356"/>
    <w:rsid w:val="00C630C1"/>
    <w:rsid w:val="00CA5784"/>
    <w:rsid w:val="00CB6B49"/>
    <w:rsid w:val="00CC7BAF"/>
    <w:rsid w:val="00CD364A"/>
    <w:rsid w:val="00CD62DA"/>
    <w:rsid w:val="00CF5AD6"/>
    <w:rsid w:val="00D0690B"/>
    <w:rsid w:val="00D13E03"/>
    <w:rsid w:val="00D463C0"/>
    <w:rsid w:val="00D47E7D"/>
    <w:rsid w:val="00D75508"/>
    <w:rsid w:val="00DA6B44"/>
    <w:rsid w:val="00DB305B"/>
    <w:rsid w:val="00DC3C61"/>
    <w:rsid w:val="00DD4291"/>
    <w:rsid w:val="00DF2350"/>
    <w:rsid w:val="00E3142B"/>
    <w:rsid w:val="00E36B82"/>
    <w:rsid w:val="00E532AB"/>
    <w:rsid w:val="00E71306"/>
    <w:rsid w:val="00E91DDC"/>
    <w:rsid w:val="00E9558A"/>
    <w:rsid w:val="00EA1D84"/>
    <w:rsid w:val="00ED61FF"/>
    <w:rsid w:val="00ED6CD0"/>
    <w:rsid w:val="00EF082C"/>
    <w:rsid w:val="00F12279"/>
    <w:rsid w:val="00F313DF"/>
    <w:rsid w:val="00F52A92"/>
    <w:rsid w:val="00F57E46"/>
    <w:rsid w:val="00FB2D49"/>
    <w:rsid w:val="00FE50F5"/>
    <w:rsid w:val="00FE76CF"/>
    <w:rsid w:val="00FF0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38D2"/>
  <w15:docId w15:val="{D89104EE-D18E-4BC3-A000-F14AA9D1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unhideWhenUsed/>
    <w:qFormat/>
    <w:rsid w:val="002955E2"/>
    <w:pPr>
      <w:keepNext/>
      <w:keepLines/>
      <w:spacing w:before="40" w:after="0" w:line="259" w:lineRule="auto"/>
      <w:outlineLvl w:val="2"/>
    </w:pPr>
    <w:rPr>
      <w:rFonts w:ascii="Calibri Light" w:eastAsia="MS Gothic" w:hAnsi="Calibri Light"/>
      <w:b/>
      <w:color w:val="1F4D78"/>
      <w:sz w:val="24"/>
      <w:szCs w:val="24"/>
      <w:lang w:val="en-US" w:eastAsia="en-US"/>
    </w:rPr>
  </w:style>
  <w:style w:type="paragraph" w:styleId="Heading4">
    <w:name w:val="heading 4"/>
    <w:basedOn w:val="Normal"/>
    <w:next w:val="Normal"/>
    <w:link w:val="Heading4Char"/>
    <w:uiPriority w:val="9"/>
    <w:unhideWhenUsed/>
    <w:qFormat/>
    <w:rsid w:val="002955E2"/>
    <w:pPr>
      <w:keepNext/>
      <w:keepLines/>
      <w:spacing w:before="40" w:after="0" w:line="259" w:lineRule="auto"/>
      <w:outlineLvl w:val="3"/>
    </w:pPr>
    <w:rPr>
      <w:rFonts w:ascii="Calibri Light" w:eastAsia="MS Gothic" w:hAnsi="Calibri Light"/>
      <w:i/>
      <w:iCs/>
      <w:color w:val="2E74B5"/>
      <w:lang w:val="de-CH" w:eastAsia="en-US"/>
    </w:rPr>
  </w:style>
  <w:style w:type="paragraph" w:styleId="Heading5">
    <w:name w:val="heading 5"/>
    <w:basedOn w:val="Normal"/>
    <w:next w:val="Normal"/>
    <w:link w:val="Heading5Char"/>
    <w:uiPriority w:val="9"/>
    <w:semiHidden/>
    <w:unhideWhenUsed/>
    <w:qFormat/>
    <w:rsid w:val="00995E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030C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030C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55E2"/>
    <w:rPr>
      <w:rFonts w:ascii="Calibri Light" w:eastAsia="MS Gothic" w:hAnsi="Calibri Light"/>
      <w:b/>
      <w:color w:val="1F4D78"/>
      <w:sz w:val="24"/>
      <w:szCs w:val="24"/>
      <w:lang w:val="en-US" w:eastAsia="en-US"/>
    </w:rPr>
  </w:style>
  <w:style w:type="character" w:customStyle="1" w:styleId="Heading4Char">
    <w:name w:val="Heading 4 Char"/>
    <w:basedOn w:val="DefaultParagraphFont"/>
    <w:link w:val="Heading4"/>
    <w:uiPriority w:val="9"/>
    <w:rsid w:val="002955E2"/>
    <w:rPr>
      <w:rFonts w:ascii="Calibri Light" w:eastAsia="MS Gothic" w:hAnsi="Calibri Light"/>
      <w:i/>
      <w:iCs/>
      <w:color w:val="2E74B5"/>
      <w:sz w:val="22"/>
      <w:szCs w:val="22"/>
      <w:lang w:val="de-CH" w:eastAsia="en-US"/>
    </w:rPr>
  </w:style>
  <w:style w:type="character" w:styleId="Hyperlink">
    <w:name w:val="Hyperlink"/>
    <w:uiPriority w:val="99"/>
    <w:unhideWhenUsed/>
    <w:rsid w:val="002955E2"/>
    <w:rPr>
      <w:color w:val="0563C1"/>
      <w:u w:val="single"/>
    </w:rPr>
  </w:style>
  <w:style w:type="table" w:styleId="TableGrid">
    <w:name w:val="Table Grid"/>
    <w:basedOn w:val="TableNormal"/>
    <w:uiPriority w:val="39"/>
    <w:rsid w:val="002955E2"/>
    <w:rPr>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17F3A"/>
    <w:rPr>
      <w:rFonts w:ascii="Gill Sans MT Light" w:hAnsi="Gill Sans MT Light" w:cs="Gill Sans MT Light"/>
      <w:sz w:val="24"/>
      <w:szCs w:val="24"/>
      <w:lang w:val="en-GB" w:eastAsia="en-GB" w:bidi="ar-SA"/>
    </w:rPr>
  </w:style>
  <w:style w:type="paragraph" w:styleId="BalloonText">
    <w:name w:val="Balloon Text"/>
    <w:basedOn w:val="Normal"/>
    <w:link w:val="BalloonTextChar"/>
    <w:uiPriority w:val="99"/>
    <w:semiHidden/>
    <w:unhideWhenUsed/>
    <w:rsid w:val="00323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1F"/>
    <w:rPr>
      <w:rFonts w:ascii="Tahoma" w:hAnsi="Tahoma" w:cs="Tahoma"/>
      <w:sz w:val="16"/>
      <w:szCs w:val="16"/>
    </w:rPr>
  </w:style>
  <w:style w:type="character" w:customStyle="1" w:styleId="Heading6Char">
    <w:name w:val="Heading 6 Char"/>
    <w:basedOn w:val="DefaultParagraphFont"/>
    <w:link w:val="Heading6"/>
    <w:uiPriority w:val="9"/>
    <w:semiHidden/>
    <w:rsid w:val="00A030C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030C7"/>
    <w:rPr>
      <w:rFonts w:asciiTheme="majorHAnsi" w:eastAsiaTheme="majorEastAsia" w:hAnsiTheme="majorHAnsi" w:cstheme="majorBidi"/>
      <w:i/>
      <w:iCs/>
      <w:color w:val="243F60" w:themeColor="accent1" w:themeShade="7F"/>
      <w:sz w:val="22"/>
      <w:szCs w:val="22"/>
    </w:rPr>
  </w:style>
  <w:style w:type="character" w:customStyle="1" w:styleId="Heading5Char">
    <w:name w:val="Heading 5 Char"/>
    <w:basedOn w:val="DefaultParagraphFont"/>
    <w:link w:val="Heading5"/>
    <w:uiPriority w:val="9"/>
    <w:semiHidden/>
    <w:rsid w:val="00995E7E"/>
    <w:rPr>
      <w:rFonts w:asciiTheme="majorHAnsi" w:eastAsiaTheme="majorEastAsia" w:hAnsiTheme="majorHAnsi" w:cstheme="majorBidi"/>
      <w:color w:val="365F91" w:themeColor="accent1" w:themeShade="BF"/>
      <w:sz w:val="22"/>
      <w:szCs w:val="22"/>
    </w:rPr>
  </w:style>
  <w:style w:type="character" w:styleId="UnresolvedMention">
    <w:name w:val="Unresolved Mention"/>
    <w:basedOn w:val="DefaultParagraphFont"/>
    <w:uiPriority w:val="99"/>
    <w:semiHidden/>
    <w:unhideWhenUsed/>
    <w:rsid w:val="00326DBB"/>
    <w:rPr>
      <w:color w:val="605E5C"/>
      <w:shd w:val="clear" w:color="auto" w:fill="E1DFDD"/>
    </w:rPr>
  </w:style>
  <w:style w:type="paragraph" w:styleId="NormalWeb">
    <w:name w:val="Normal (Web)"/>
    <w:basedOn w:val="Normal"/>
    <w:uiPriority w:val="99"/>
    <w:unhideWhenUsed/>
    <w:rsid w:val="00CF5AD6"/>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CF5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s://www.ncei.noaa.gov/access/paleo-search/study/3697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4894/8K5TOF" TargetMode="Externa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hyperlink" Target="http://www.sciem.com"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ncei.noaa.gov/access/paleo-search/study/36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DC41F-1C4B-440F-8FB7-C6D6C0F5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BAYLISS, Alex</dc:creator>
  <cp:lastModifiedBy>Andrea Scifo</cp:lastModifiedBy>
  <cp:revision>3</cp:revision>
  <cp:lastPrinted>2021-03-03T18:26:00Z</cp:lastPrinted>
  <dcterms:created xsi:type="dcterms:W3CDTF">2024-03-19T15:24:00Z</dcterms:created>
  <dcterms:modified xsi:type="dcterms:W3CDTF">2024-03-20T12:46:00Z</dcterms:modified>
</cp:coreProperties>
</file>