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6CF6C" w14:textId="694E9DAE" w:rsidR="00F05361" w:rsidRDefault="00F05361" w:rsidP="00035BB3">
      <w:pPr>
        <w:jc w:val="center"/>
        <w:rPr>
          <w:rFonts w:ascii="Times New Roman" w:hAnsi="Times New Roman" w:cs="Times New Roman"/>
          <w:b/>
          <w:bCs/>
          <w:sz w:val="24"/>
          <w:szCs w:val="24"/>
        </w:rPr>
      </w:pPr>
      <w:r w:rsidRPr="00035BB3">
        <w:rPr>
          <w:rFonts w:ascii="Times New Roman" w:hAnsi="Times New Roman" w:cs="Times New Roman"/>
          <w:b/>
          <w:bCs/>
          <w:sz w:val="24"/>
          <w:szCs w:val="24"/>
        </w:rPr>
        <w:t>S</w:t>
      </w:r>
      <w:r w:rsidRPr="00035BB3">
        <w:rPr>
          <w:rFonts w:ascii="Times New Roman" w:eastAsia="等线" w:hAnsi="Times New Roman" w:cs="Times New Roman"/>
          <w:b/>
          <w:bCs/>
          <w:sz w:val="24"/>
          <w:szCs w:val="24"/>
          <w:lang w:eastAsia="zh-CN"/>
        </w:rPr>
        <w:t>u</w:t>
      </w:r>
      <w:r w:rsidRPr="00035BB3">
        <w:rPr>
          <w:rFonts w:ascii="Times New Roman" w:hAnsi="Times New Roman" w:cs="Times New Roman"/>
          <w:b/>
          <w:bCs/>
          <w:sz w:val="24"/>
          <w:szCs w:val="24"/>
        </w:rPr>
        <w:t>pplementary Methods</w:t>
      </w:r>
    </w:p>
    <w:p w14:paraId="5AA03B79" w14:textId="77777777" w:rsidR="00F05361" w:rsidRPr="000E1EBF" w:rsidRDefault="00F05361" w:rsidP="00035BB3">
      <w:pPr>
        <w:spacing w:line="480" w:lineRule="auto"/>
        <w:rPr>
          <w:rFonts w:ascii="Times New Roman" w:hAnsi="Times New Roman" w:cs="Times New Roman"/>
          <w:b/>
          <w:bCs/>
          <w:sz w:val="24"/>
          <w:szCs w:val="24"/>
        </w:rPr>
      </w:pPr>
      <w:r w:rsidRPr="000E1EBF">
        <w:rPr>
          <w:rFonts w:ascii="Times New Roman" w:hAnsi="Times New Roman" w:cs="Times New Roman"/>
          <w:b/>
          <w:bCs/>
          <w:sz w:val="24"/>
          <w:szCs w:val="24"/>
        </w:rPr>
        <w:t>DTI-ALPS index</w:t>
      </w:r>
    </w:p>
    <w:p w14:paraId="5016779C" w14:textId="77777777" w:rsidR="00F05361" w:rsidRDefault="00F05361" w:rsidP="00035BB3">
      <w:pPr>
        <w:pStyle w:val="a3"/>
        <w:spacing w:line="480" w:lineRule="auto"/>
        <w:rPr>
          <w:lang w:val="en-US"/>
        </w:rPr>
      </w:pPr>
      <w:r w:rsidRPr="000E1EBF">
        <w:rPr>
          <w:lang w:val="en-HK"/>
        </w:rPr>
        <w:t xml:space="preserve">The DTI-ALPS index, introduced by Taoka et al. (2017), quantifies glymphatic system function using diffusion MRI data by assessing water molecule movement along the perivascular space at the level of the lateral ventricle bodies. Here, perivascular water flow around medullary vessels </w:t>
      </w:r>
      <w:proofErr w:type="gramStart"/>
      <w:r w:rsidRPr="000E1EBF">
        <w:rPr>
          <w:lang w:val="en-HK"/>
        </w:rPr>
        <w:t>is</w:t>
      </w:r>
      <w:proofErr w:type="gramEnd"/>
      <w:r w:rsidRPr="000E1EBF">
        <w:rPr>
          <w:lang w:val="en-HK"/>
        </w:rPr>
        <w:t xml:space="preserve"> primarily perpendicular to the ventricular wall, aligning mostly with the right-left direction (x-axis in image coordinates). To compute the DTI-ALPS index, diffusivity coefficients were extracted from two key </w:t>
      </w:r>
      <w:proofErr w:type="spellStart"/>
      <w:r w:rsidRPr="000E1EBF">
        <w:rPr>
          <w:lang w:val="en-HK"/>
        </w:rPr>
        <w:t>fiber</w:t>
      </w:r>
      <w:proofErr w:type="spellEnd"/>
      <w:r w:rsidRPr="000E1EBF">
        <w:rPr>
          <w:lang w:val="en-HK"/>
        </w:rPr>
        <w:t xml:space="preserve"> bundles in the perivascular space: projection </w:t>
      </w:r>
      <w:proofErr w:type="spellStart"/>
      <w:r w:rsidRPr="000E1EBF">
        <w:rPr>
          <w:lang w:val="en-HK"/>
        </w:rPr>
        <w:t>fibers</w:t>
      </w:r>
      <w:proofErr w:type="spellEnd"/>
      <w:r w:rsidRPr="000E1EBF">
        <w:rPr>
          <w:lang w:val="en-HK"/>
        </w:rPr>
        <w:t xml:space="preserve"> running craniocaudally along the lateral ventricular wall (z-axis in image coordinates) and association </w:t>
      </w:r>
      <w:proofErr w:type="spellStart"/>
      <w:r w:rsidRPr="000E1EBF">
        <w:rPr>
          <w:lang w:val="en-HK"/>
        </w:rPr>
        <w:t>fibers</w:t>
      </w:r>
      <w:proofErr w:type="spellEnd"/>
      <w:r w:rsidRPr="000E1EBF">
        <w:rPr>
          <w:lang w:val="en-HK"/>
        </w:rPr>
        <w:t xml:space="preserve"> oriented in the anterior-posterior direction (y-axis in image coordinates) at a more lateral region. The x-axis diffusivity was defined as the mean tensor values in overlapping regions of the perivascular space with projection </w:t>
      </w:r>
      <w:proofErr w:type="spellStart"/>
      <w:r w:rsidRPr="000E1EBF">
        <w:rPr>
          <w:lang w:val="en-HK"/>
        </w:rPr>
        <w:t>fibers</w:t>
      </w:r>
      <w:proofErr w:type="spellEnd"/>
      <w:r w:rsidRPr="000E1EBF">
        <w:rPr>
          <w:lang w:val="en-HK"/>
        </w:rPr>
        <w:t xml:space="preserve"> (</w:t>
      </w:r>
      <w:proofErr w:type="spellStart"/>
      <w:r w:rsidRPr="000E1EBF">
        <w:rPr>
          <w:lang w:val="en-HK"/>
        </w:rPr>
        <w:t>Dxproj</w:t>
      </w:r>
      <w:proofErr w:type="spellEnd"/>
      <w:r w:rsidRPr="000E1EBF">
        <w:rPr>
          <w:lang w:val="en-HK"/>
        </w:rPr>
        <w:t xml:space="preserve">) or association </w:t>
      </w:r>
      <w:proofErr w:type="spellStart"/>
      <w:r w:rsidRPr="000E1EBF">
        <w:rPr>
          <w:lang w:val="en-HK"/>
        </w:rPr>
        <w:t>fibers</w:t>
      </w:r>
      <w:proofErr w:type="spellEnd"/>
      <w:r w:rsidRPr="000E1EBF">
        <w:rPr>
          <w:lang w:val="en-HK"/>
        </w:rPr>
        <w:t xml:space="preserve"> (</w:t>
      </w:r>
      <w:proofErr w:type="spellStart"/>
      <w:r w:rsidRPr="000E1EBF">
        <w:rPr>
          <w:lang w:val="en-HK"/>
        </w:rPr>
        <w:t>Dxassoc</w:t>
      </w:r>
      <w:proofErr w:type="spellEnd"/>
      <w:r w:rsidRPr="000E1EBF">
        <w:rPr>
          <w:lang w:val="en-HK"/>
        </w:rPr>
        <w:t xml:space="preserve">), derived from </w:t>
      </w:r>
      <w:proofErr w:type="spellStart"/>
      <w:r w:rsidRPr="000E1EBF">
        <w:rPr>
          <w:lang w:val="en-HK"/>
        </w:rPr>
        <w:t>preprocessed</w:t>
      </w:r>
      <w:proofErr w:type="spellEnd"/>
      <w:r w:rsidRPr="000E1EBF">
        <w:rPr>
          <w:lang w:val="en-HK"/>
        </w:rPr>
        <w:t xml:space="preserve"> </w:t>
      </w:r>
      <w:proofErr w:type="spellStart"/>
      <w:r w:rsidRPr="000E1EBF">
        <w:rPr>
          <w:lang w:val="en-HK"/>
        </w:rPr>
        <w:t>dMRI</w:t>
      </w:r>
      <w:proofErr w:type="spellEnd"/>
      <w:r w:rsidRPr="000E1EBF">
        <w:rPr>
          <w:lang w:val="en-HK"/>
        </w:rPr>
        <w:t xml:space="preserve"> data. For standardization, tensor values for projection </w:t>
      </w:r>
      <w:proofErr w:type="spellStart"/>
      <w:r w:rsidRPr="000E1EBF">
        <w:rPr>
          <w:lang w:val="en-HK"/>
        </w:rPr>
        <w:t>fibers</w:t>
      </w:r>
      <w:proofErr w:type="spellEnd"/>
      <w:r w:rsidRPr="000E1EBF">
        <w:rPr>
          <w:lang w:val="en-HK"/>
        </w:rPr>
        <w:t xml:space="preserve"> in the anterior-posterior direction (</w:t>
      </w:r>
      <w:proofErr w:type="spellStart"/>
      <w:r w:rsidRPr="000E1EBF">
        <w:rPr>
          <w:lang w:val="en-HK"/>
        </w:rPr>
        <w:t>Dyproj</w:t>
      </w:r>
      <w:proofErr w:type="spellEnd"/>
      <w:r w:rsidRPr="000E1EBF">
        <w:rPr>
          <w:lang w:val="en-HK"/>
        </w:rPr>
        <w:t xml:space="preserve">) and association </w:t>
      </w:r>
      <w:proofErr w:type="spellStart"/>
      <w:r w:rsidRPr="000E1EBF">
        <w:rPr>
          <w:lang w:val="en-HK"/>
        </w:rPr>
        <w:t>fibers</w:t>
      </w:r>
      <w:proofErr w:type="spellEnd"/>
      <w:r w:rsidRPr="000E1EBF">
        <w:rPr>
          <w:lang w:val="en-HK"/>
        </w:rPr>
        <w:t xml:space="preserve"> in the craniocaudal direction (Dzassoc) were also obtained. To minimize bias from manually defined regions of interest (ROIs) for projection and association </w:t>
      </w:r>
      <w:proofErr w:type="spellStart"/>
      <w:r w:rsidRPr="000E1EBF">
        <w:rPr>
          <w:lang w:val="en-HK"/>
        </w:rPr>
        <w:t>fibers</w:t>
      </w:r>
      <w:proofErr w:type="spellEnd"/>
      <w:r w:rsidRPr="000E1EBF">
        <w:rPr>
          <w:lang w:val="en-HK"/>
        </w:rPr>
        <w:t xml:space="preserve">, an atlas-based approach was employed </w:t>
      </w:r>
      <w:r>
        <w:rPr>
          <w:noProof/>
          <w:lang w:val="en-HK"/>
        </w:rPr>
        <w:t>(Siow et al., 2022; Yokota et al., 2019)</w:t>
      </w:r>
      <w:r w:rsidRPr="000E1EBF">
        <w:rPr>
          <w:lang w:val="en-HK"/>
        </w:rPr>
        <w:t xml:space="preserve">. Specifically, fractional anisotropy (FA) maps were transformed from native to standard MNI space, with ROIs derived from the ICBM-DTI-81 template. The ROI for projection </w:t>
      </w:r>
      <w:proofErr w:type="spellStart"/>
      <w:r w:rsidRPr="000E1EBF">
        <w:rPr>
          <w:lang w:val="en-HK"/>
        </w:rPr>
        <w:t>fibers</w:t>
      </w:r>
      <w:proofErr w:type="spellEnd"/>
      <w:r w:rsidRPr="000E1EBF">
        <w:rPr>
          <w:lang w:val="en-HK"/>
        </w:rPr>
        <w:t xml:space="preserve"> was set as the left superior and posterior corona radiata, and for association </w:t>
      </w:r>
      <w:proofErr w:type="spellStart"/>
      <w:r w:rsidRPr="000E1EBF">
        <w:rPr>
          <w:lang w:val="en-HK"/>
        </w:rPr>
        <w:t>fibers</w:t>
      </w:r>
      <w:proofErr w:type="spellEnd"/>
      <w:r w:rsidRPr="000E1EBF">
        <w:rPr>
          <w:lang w:val="en-HK"/>
        </w:rPr>
        <w:t xml:space="preserve">, the left superior longitudinal fasciculus, both from the ICBM-DTI-81 template (Fig. </w:t>
      </w:r>
      <w:r>
        <w:rPr>
          <w:lang w:val="en-HK"/>
        </w:rPr>
        <w:t>1</w:t>
      </w:r>
      <w:r w:rsidRPr="000E1EBF">
        <w:rPr>
          <w:lang w:val="en-HK"/>
        </w:rPr>
        <w:t>A). These ROIs were further restricted to areas perpendicular to the lateral ventricle bodies, and a mask with FA &gt; 0.2 was applied to exclude cerebrospinal fluid (CSF) voxels.</w:t>
      </w:r>
      <w:r>
        <w:rPr>
          <w:lang w:val="en-US"/>
        </w:rPr>
        <w:t xml:space="preserve"> Mean tensor values of these ROIs were extracted, and the DTI-ALPS index was then computed as follows </w:t>
      </w:r>
      <w:r>
        <w:rPr>
          <w:noProof/>
          <w:lang w:val="en-US"/>
        </w:rPr>
        <w:t>(Taoka et al., 2017)</w:t>
      </w:r>
      <w:r>
        <w:rPr>
          <w:lang w:val="en-US"/>
        </w:rPr>
        <w:t>:</w:t>
      </w:r>
    </w:p>
    <w:p w14:paraId="08F76FAC" w14:textId="77777777" w:rsidR="00F05361" w:rsidRDefault="00F05361" w:rsidP="00035BB3">
      <w:pPr>
        <w:pStyle w:val="a3"/>
        <w:spacing w:line="480" w:lineRule="auto"/>
        <w:rPr>
          <w:lang w:val="en-US"/>
        </w:rPr>
      </w:pPr>
      <m:oMathPara>
        <m:oMath>
          <m:r>
            <w:rPr>
              <w:rFonts w:ascii="Cambria Math" w:hAnsi="Cambria Math"/>
              <w:lang w:val="en-US"/>
            </w:rPr>
            <w:lastRenderedPageBreak/>
            <m:t xml:space="preserve">DTI-ALPS </m:t>
          </m:r>
          <m:r>
            <m:rPr>
              <m:nor/>
            </m:rPr>
            <w:rPr>
              <w:rFonts w:ascii="Cambria Math" w:hAnsi="Cambria Math"/>
              <w:lang w:val="en-US"/>
            </w:rPr>
            <m:t>index</m:t>
          </m:r>
          <m:r>
            <w:rPr>
              <w:rFonts w:ascii="Cambria Math" w:hAnsi="Cambria Math"/>
              <w:lang w:val="en-US"/>
            </w:rPr>
            <m:t xml:space="preserve">= </m:t>
          </m:r>
          <m:f>
            <m:fPr>
              <m:ctrlPr>
                <w:rPr>
                  <w:rFonts w:ascii="Cambria Math" w:hAnsi="Cambria Math"/>
                  <w:i/>
                  <w:lang w:val="en-US"/>
                </w:rPr>
              </m:ctrlPr>
            </m:fPr>
            <m:num>
              <m:r>
                <m:rPr>
                  <m:nor/>
                </m:rPr>
                <w:rPr>
                  <w:rFonts w:ascii="Cambria Math" w:hAnsi="Cambria Math"/>
                  <w:lang w:val="en-US"/>
                </w:rPr>
                <m:t>mean</m:t>
              </m:r>
              <m:r>
                <w:rPr>
                  <w:rFonts w:ascii="Cambria Math" w:hAnsi="Cambria Math"/>
                  <w:lang w:val="en-US"/>
                </w:rPr>
                <m:t>(</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xproj</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xassoc</m:t>
                  </m:r>
                </m:sub>
              </m:sSub>
              <m:r>
                <w:rPr>
                  <w:rFonts w:ascii="Cambria Math" w:hAnsi="Cambria Math"/>
                  <w:lang w:val="en-US"/>
                </w:rPr>
                <m:t>)</m:t>
              </m:r>
            </m:num>
            <m:den>
              <m:r>
                <m:rPr>
                  <m:nor/>
                </m:rPr>
                <w:rPr>
                  <w:rFonts w:ascii="Cambria Math" w:hAnsi="Cambria Math"/>
                  <w:lang w:val="en-US"/>
                </w:rPr>
                <m:t>mean</m:t>
              </m:r>
              <m:r>
                <w:rPr>
                  <w:rFonts w:ascii="Cambria Math" w:hAnsi="Cambria Math"/>
                  <w:lang w:val="en-US"/>
                </w:rPr>
                <m:t>(</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yproj</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zassoc</m:t>
                  </m:r>
                </m:sub>
              </m:sSub>
              <m:r>
                <w:rPr>
                  <w:rFonts w:ascii="Cambria Math" w:hAnsi="Cambria Math"/>
                  <w:lang w:val="en-US"/>
                </w:rPr>
                <m:t>)</m:t>
              </m:r>
            </m:den>
          </m:f>
        </m:oMath>
      </m:oMathPara>
    </w:p>
    <w:p w14:paraId="35C748EB" w14:textId="77777777" w:rsidR="006F46E9" w:rsidRDefault="006F46E9" w:rsidP="00035BB3">
      <w:pPr>
        <w:rPr>
          <w:rFonts w:ascii="Times New Roman" w:eastAsia="等线" w:hAnsi="Times New Roman" w:cs="Times New Roman"/>
          <w:b/>
          <w:bCs/>
          <w:sz w:val="24"/>
          <w:szCs w:val="24"/>
          <w:lang w:eastAsia="zh-CN"/>
        </w:rPr>
      </w:pPr>
    </w:p>
    <w:p w14:paraId="1BD1645C" w14:textId="60CF44A9" w:rsidR="006F46E9" w:rsidRPr="006F46E9" w:rsidRDefault="006F46E9" w:rsidP="00035BB3">
      <w:pPr>
        <w:rPr>
          <w:rFonts w:ascii="Times New Roman" w:eastAsia="等线" w:hAnsi="Times New Roman" w:cs="Times New Roman"/>
          <w:b/>
          <w:bCs/>
          <w:color w:val="0000FF"/>
          <w:sz w:val="24"/>
          <w:szCs w:val="24"/>
          <w:lang w:eastAsia="zh-CN"/>
        </w:rPr>
      </w:pPr>
      <w:r w:rsidRPr="006F46E9">
        <w:rPr>
          <w:rFonts w:ascii="Times New Roman" w:eastAsia="等线" w:hAnsi="Times New Roman" w:cs="Times New Roman" w:hint="eastAsia"/>
          <w:b/>
          <w:bCs/>
          <w:color w:val="0000FF"/>
          <w:sz w:val="24"/>
          <w:szCs w:val="24"/>
          <w:lang w:eastAsia="zh-CN"/>
        </w:rPr>
        <w:t>Coupling between structural and functional network</w:t>
      </w:r>
    </w:p>
    <w:p w14:paraId="6A232D88" w14:textId="3F9361CC" w:rsidR="006F46E9" w:rsidRPr="006F46E9" w:rsidRDefault="006F46E9" w:rsidP="006F46E9">
      <w:pPr>
        <w:spacing w:after="0" w:line="480" w:lineRule="auto"/>
        <w:rPr>
          <w:rFonts w:ascii="Times New Roman" w:eastAsia="等线" w:hAnsi="Times New Roman" w:cs="Times New Roman" w:hint="eastAsia"/>
          <w:b/>
          <w:bCs/>
          <w:color w:val="0000FF"/>
          <w:sz w:val="24"/>
          <w:lang w:eastAsia="zh-CN"/>
        </w:rPr>
      </w:pPr>
      <w:r w:rsidRPr="00364AAE">
        <w:rPr>
          <w:rFonts w:ascii="Times New Roman" w:eastAsia="等线" w:hAnsi="Times New Roman" w:cs="Times New Roman" w:hint="eastAsia"/>
          <w:color w:val="0000FF"/>
          <w:sz w:val="24"/>
        </w:rPr>
        <w:t xml:space="preserve">We calculated the </w:t>
      </w:r>
      <w:r w:rsidRPr="00364AAE">
        <w:rPr>
          <w:rFonts w:ascii="Times New Roman" w:eastAsia="等线" w:hAnsi="Times New Roman" w:cs="Times New Roman"/>
          <w:color w:val="0000FF"/>
          <w:sz w:val="24"/>
        </w:rPr>
        <w:t>coupling between functional and structural brain networks</w:t>
      </w:r>
      <w:r w:rsidRPr="00364AAE">
        <w:rPr>
          <w:rFonts w:ascii="Times New Roman" w:eastAsia="等线" w:hAnsi="Times New Roman" w:cs="Times New Roman" w:hint="eastAsia"/>
          <w:color w:val="0000FF"/>
          <w:sz w:val="24"/>
        </w:rPr>
        <w:t xml:space="preserve"> (SC-FC coupling) and explored its correlation with </w:t>
      </w:r>
      <w:r w:rsidRPr="00364AAE">
        <w:rPr>
          <w:rFonts w:ascii="Times New Roman" w:hAnsi="Times New Roman" w:cs="Times New Roman" w:hint="eastAsia"/>
          <w:color w:val="0000FF"/>
          <w:sz w:val="24"/>
        </w:rPr>
        <w:t xml:space="preserve">glymphatic </w:t>
      </w:r>
      <w:r w:rsidRPr="00364AAE">
        <w:rPr>
          <w:rFonts w:ascii="Times New Roman" w:eastAsia="等线" w:hAnsi="Times New Roman" w:cs="Times New Roman" w:hint="eastAsia"/>
          <w:color w:val="0000FF"/>
          <w:sz w:val="24"/>
        </w:rPr>
        <w:t xml:space="preserve">functioning and </w:t>
      </w:r>
      <w:proofErr w:type="spellStart"/>
      <w:r w:rsidRPr="00364AAE">
        <w:rPr>
          <w:rFonts w:ascii="Times New Roman" w:eastAsia="等线" w:hAnsi="Times New Roman" w:cs="Times New Roman" w:hint="eastAsia"/>
          <w:color w:val="0000FF"/>
          <w:sz w:val="24"/>
        </w:rPr>
        <w:t>behavioral</w:t>
      </w:r>
      <w:proofErr w:type="spellEnd"/>
      <w:r w:rsidRPr="00364AAE">
        <w:rPr>
          <w:rFonts w:ascii="Times New Roman" w:eastAsia="等线" w:hAnsi="Times New Roman" w:cs="Times New Roman" w:hint="eastAsia"/>
          <w:color w:val="0000FF"/>
          <w:sz w:val="24"/>
        </w:rPr>
        <w:t xml:space="preserve"> assessments (e.g., HAMD). First, </w:t>
      </w:r>
      <w:r w:rsidRPr="00364AAE">
        <w:rPr>
          <w:rFonts w:ascii="Times New Roman" w:hAnsi="Times New Roman" w:cs="Times New Roman" w:hint="eastAsia"/>
          <w:color w:val="0000FF"/>
          <w:sz w:val="24"/>
        </w:rPr>
        <w:t xml:space="preserve">we applied the deterministic tractography to construct structural connectivity (SC) on the </w:t>
      </w:r>
      <w:proofErr w:type="spellStart"/>
      <w:r w:rsidRPr="00364AAE">
        <w:rPr>
          <w:rFonts w:ascii="Times New Roman" w:hAnsi="Times New Roman" w:cs="Times New Roman" w:hint="eastAsia"/>
          <w:color w:val="0000FF"/>
          <w:sz w:val="24"/>
        </w:rPr>
        <w:t>preprocessed</w:t>
      </w:r>
      <w:proofErr w:type="spellEnd"/>
      <w:r w:rsidRPr="00364AAE">
        <w:rPr>
          <w:rFonts w:ascii="Times New Roman" w:hAnsi="Times New Roman" w:cs="Times New Roman" w:hint="eastAsia"/>
          <w:color w:val="0000FF"/>
          <w:sz w:val="24"/>
        </w:rPr>
        <w:t xml:space="preserve"> diffusion MRI data. Second, we computed the Spearman</w:t>
      </w:r>
      <w:r w:rsidRPr="00364AAE">
        <w:rPr>
          <w:rFonts w:ascii="Times New Roman" w:hAnsi="Times New Roman" w:cs="Times New Roman"/>
          <w:color w:val="0000FF"/>
          <w:sz w:val="24"/>
        </w:rPr>
        <w:t>’</w:t>
      </w:r>
      <w:r w:rsidRPr="00364AAE">
        <w:rPr>
          <w:rFonts w:ascii="Times New Roman" w:hAnsi="Times New Roman" w:cs="Times New Roman" w:hint="eastAsia"/>
          <w:color w:val="0000FF"/>
          <w:sz w:val="24"/>
        </w:rPr>
        <w:t xml:space="preserve">s correlation between the non-zero elements of the SC matrix and </w:t>
      </w:r>
      <w:r>
        <w:rPr>
          <w:rFonts w:ascii="Times New Roman" w:hAnsi="Times New Roman" w:cs="Times New Roman"/>
          <w:color w:val="0000FF"/>
          <w:sz w:val="24"/>
        </w:rPr>
        <w:t xml:space="preserve">the corresponding elements of the </w:t>
      </w:r>
      <w:r w:rsidRPr="00364AAE">
        <w:rPr>
          <w:rFonts w:ascii="Times New Roman" w:hAnsi="Times New Roman" w:cs="Times New Roman" w:hint="eastAsia"/>
          <w:color w:val="0000FF"/>
          <w:sz w:val="24"/>
        </w:rPr>
        <w:t xml:space="preserve">FC matrix. </w:t>
      </w:r>
      <w:r w:rsidRPr="00364AAE">
        <w:rPr>
          <w:rFonts w:ascii="Times New Roman" w:hAnsi="Times New Roman" w:cs="Times New Roman"/>
          <w:color w:val="0000FF"/>
          <w:sz w:val="24"/>
        </w:rPr>
        <w:t>T</w:t>
      </w:r>
      <w:r w:rsidRPr="00364AAE">
        <w:rPr>
          <w:rFonts w:ascii="Times New Roman" w:hAnsi="Times New Roman" w:cs="Times New Roman" w:hint="eastAsia"/>
          <w:color w:val="0000FF"/>
          <w:sz w:val="24"/>
        </w:rPr>
        <w:t>he</w:t>
      </w:r>
      <w:r w:rsidRPr="00364AAE">
        <w:rPr>
          <w:rFonts w:ascii="Times New Roman" w:eastAsia="等线" w:hAnsi="Times New Roman" w:cs="Times New Roman" w:hint="eastAsia"/>
          <w:color w:val="0000FF"/>
          <w:sz w:val="24"/>
        </w:rPr>
        <w:t xml:space="preserve"> </w:t>
      </w:r>
      <w:r w:rsidRPr="00364AAE">
        <w:rPr>
          <w:rFonts w:ascii="Times New Roman" w:hAnsi="Times New Roman" w:cs="Times New Roman" w:hint="eastAsia"/>
          <w:color w:val="0000FF"/>
          <w:sz w:val="24"/>
        </w:rPr>
        <w:t>Spearman</w:t>
      </w:r>
      <w:r w:rsidRPr="00364AAE">
        <w:rPr>
          <w:rFonts w:ascii="Times New Roman" w:hAnsi="Times New Roman" w:cs="Times New Roman"/>
          <w:color w:val="0000FF"/>
          <w:sz w:val="24"/>
        </w:rPr>
        <w:t>’</w:t>
      </w:r>
      <w:r w:rsidRPr="00364AAE">
        <w:rPr>
          <w:rFonts w:ascii="Times New Roman" w:hAnsi="Times New Roman" w:cs="Times New Roman" w:hint="eastAsia"/>
          <w:color w:val="0000FF"/>
          <w:sz w:val="24"/>
        </w:rPr>
        <w:t xml:space="preserve">s correlation coefficient was defined as the coupling between structural and functional network (SC-FC coupling) for each participant. After </w:t>
      </w:r>
      <w:r w:rsidRPr="00364AAE">
        <w:rPr>
          <w:rFonts w:ascii="Times New Roman" w:hAnsi="Times New Roman" w:cs="Times New Roman"/>
          <w:color w:val="0000FF"/>
          <w:sz w:val="24"/>
        </w:rPr>
        <w:t>calculating</w:t>
      </w:r>
      <w:r w:rsidRPr="00364AAE">
        <w:rPr>
          <w:rFonts w:ascii="Times New Roman" w:hAnsi="Times New Roman" w:cs="Times New Roman" w:hint="eastAsia"/>
          <w:color w:val="0000FF"/>
          <w:sz w:val="24"/>
        </w:rPr>
        <w:t xml:space="preserve"> the SC-FC coupling, we examined its association with DTI-ALPS or clinical assessments using partial correlation, controlling effect of sex and age.</w:t>
      </w:r>
    </w:p>
    <w:p w14:paraId="19F30DFD" w14:textId="77777777" w:rsidR="006F46E9" w:rsidRDefault="006F46E9" w:rsidP="00035BB3">
      <w:pPr>
        <w:rPr>
          <w:rFonts w:ascii="Times New Roman" w:eastAsia="等线" w:hAnsi="Times New Roman" w:cs="Times New Roman"/>
          <w:b/>
          <w:bCs/>
          <w:sz w:val="24"/>
          <w:szCs w:val="24"/>
          <w:lang w:eastAsia="zh-CN"/>
        </w:rPr>
      </w:pPr>
    </w:p>
    <w:p w14:paraId="1783BE5A" w14:textId="4C815DAA" w:rsidR="00F05361" w:rsidRDefault="00F05361" w:rsidP="00035BB3">
      <w:pPr>
        <w:rPr>
          <w:rFonts w:ascii="Times New Roman" w:hAnsi="Times New Roman" w:cs="Times New Roman"/>
          <w:b/>
          <w:bCs/>
          <w:sz w:val="24"/>
          <w:szCs w:val="24"/>
          <w:lang w:val="en-US"/>
        </w:rPr>
      </w:pPr>
      <w:r w:rsidRPr="000E1EBF">
        <w:rPr>
          <w:rFonts w:ascii="Times New Roman" w:hAnsi="Times New Roman" w:cs="Times New Roman"/>
          <w:b/>
          <w:bCs/>
          <w:sz w:val="24"/>
          <w:szCs w:val="24"/>
        </w:rPr>
        <w:t>Dynamic functional network state analysis</w:t>
      </w:r>
    </w:p>
    <w:p w14:paraId="63D45B01" w14:textId="6CFF954F" w:rsidR="00F67211" w:rsidRPr="00F67211" w:rsidRDefault="00F05361" w:rsidP="00F67211">
      <w:pPr>
        <w:spacing w:after="0" w:line="480" w:lineRule="auto"/>
        <w:rPr>
          <w:rFonts w:ascii="Times New Roman" w:hAnsi="Times New Roman" w:cs="Times New Roman"/>
          <w:color w:val="0000FF"/>
          <w:sz w:val="24"/>
          <w:szCs w:val="24"/>
        </w:rPr>
      </w:pPr>
      <w:r w:rsidRPr="00F67211">
        <w:rPr>
          <w:rFonts w:ascii="Times New Roman" w:hAnsi="Times New Roman" w:cs="Times New Roman"/>
          <w:sz w:val="24"/>
          <w:szCs w:val="24"/>
        </w:rPr>
        <w:t xml:space="preserve">With the constructed </w:t>
      </w:r>
      <w:proofErr w:type="spellStart"/>
      <w:r w:rsidRPr="00F67211">
        <w:rPr>
          <w:rFonts w:ascii="Times New Roman" w:hAnsi="Times New Roman" w:cs="Times New Roman"/>
          <w:sz w:val="24"/>
          <w:szCs w:val="24"/>
        </w:rPr>
        <w:t>dFCN</w:t>
      </w:r>
      <w:proofErr w:type="spellEnd"/>
      <w:r w:rsidRPr="00F67211">
        <w:rPr>
          <w:rFonts w:ascii="Times New Roman" w:hAnsi="Times New Roman" w:cs="Times New Roman"/>
          <w:sz w:val="24"/>
          <w:szCs w:val="24"/>
        </w:rPr>
        <w:t xml:space="preserve">, we further identified the recurrent </w:t>
      </w:r>
      <w:proofErr w:type="spellStart"/>
      <w:r w:rsidRPr="00F67211">
        <w:rPr>
          <w:rFonts w:ascii="Times New Roman" w:hAnsi="Times New Roman" w:cs="Times New Roman"/>
          <w:sz w:val="24"/>
          <w:szCs w:val="24"/>
        </w:rPr>
        <w:t>dFCN</w:t>
      </w:r>
      <w:proofErr w:type="spellEnd"/>
      <w:r w:rsidRPr="00F67211">
        <w:rPr>
          <w:rFonts w:ascii="Times New Roman" w:hAnsi="Times New Roman" w:cs="Times New Roman"/>
          <w:sz w:val="24"/>
          <w:szCs w:val="24"/>
        </w:rPr>
        <w:t xml:space="preserve"> states across the whole time series.</w:t>
      </w:r>
      <w:r w:rsidR="00F67211" w:rsidRPr="00F67211">
        <w:rPr>
          <w:rFonts w:ascii="Times New Roman" w:hAnsi="Times New Roman" w:cs="Times New Roman"/>
          <w:color w:val="0000FF"/>
          <w:sz w:val="24"/>
          <w:szCs w:val="24"/>
        </w:rPr>
        <w:t xml:space="preserve"> </w:t>
      </w:r>
      <w:r w:rsidR="00F67211" w:rsidRPr="00F67211">
        <w:rPr>
          <w:rFonts w:ascii="Times New Roman" w:hAnsi="Times New Roman" w:cs="Times New Roman"/>
          <w:color w:val="0000FF"/>
          <w:sz w:val="24"/>
          <w:szCs w:val="24"/>
        </w:rPr>
        <w:t xml:space="preserve">First, we calculated the pairwise Spearman’s correlation coefficients between the 246 </w:t>
      </w:r>
      <w:r w:rsidR="00F67211" w:rsidRPr="00F67211">
        <w:rPr>
          <w:rFonts w:ascii="Times New Roman" w:eastAsia="等线" w:hAnsi="Times New Roman" w:cs="Times New Roman"/>
          <w:color w:val="0000FF"/>
          <w:sz w:val="24"/>
          <w:szCs w:val="24"/>
        </w:rPr>
        <w:t xml:space="preserve">× 246 </w:t>
      </w:r>
      <w:proofErr w:type="spellStart"/>
      <w:r w:rsidR="00F67211" w:rsidRPr="00F67211">
        <w:rPr>
          <w:rFonts w:ascii="Times New Roman" w:hAnsi="Times New Roman" w:cs="Times New Roman"/>
          <w:color w:val="0000FF"/>
          <w:sz w:val="24"/>
          <w:szCs w:val="24"/>
        </w:rPr>
        <w:t>dFCN</w:t>
      </w:r>
      <w:proofErr w:type="spellEnd"/>
      <w:r w:rsidR="00F67211" w:rsidRPr="00F67211">
        <w:rPr>
          <w:rFonts w:ascii="Times New Roman" w:hAnsi="Times New Roman" w:cs="Times New Roman"/>
          <w:color w:val="0000FF"/>
          <w:sz w:val="24"/>
          <w:szCs w:val="24"/>
        </w:rPr>
        <w:t xml:space="preserve"> matrices among all the participants and timepoints. This resulted in a 21,600 </w:t>
      </w:r>
      <w:r w:rsidR="00F67211" w:rsidRPr="00F67211">
        <w:rPr>
          <w:rFonts w:ascii="Times New Roman" w:eastAsia="等线" w:hAnsi="Times New Roman" w:cs="Times New Roman"/>
          <w:color w:val="0000FF"/>
          <w:sz w:val="24"/>
          <w:szCs w:val="24"/>
        </w:rPr>
        <w:t xml:space="preserve">× 21,600 correlation matrix. Subsequently, the nonparametric Locally Adaptive Network </w:t>
      </w:r>
      <w:proofErr w:type="spellStart"/>
      <w:r w:rsidR="00F67211" w:rsidRPr="00F67211">
        <w:rPr>
          <w:rFonts w:ascii="Times New Roman" w:eastAsia="等线" w:hAnsi="Times New Roman" w:cs="Times New Roman"/>
          <w:color w:val="0000FF"/>
          <w:sz w:val="24"/>
          <w:szCs w:val="24"/>
        </w:rPr>
        <w:t>Sparsification</w:t>
      </w:r>
      <w:proofErr w:type="spellEnd"/>
      <w:r w:rsidR="00F67211" w:rsidRPr="00F67211">
        <w:rPr>
          <w:rFonts w:ascii="Times New Roman" w:eastAsia="等线" w:hAnsi="Times New Roman" w:cs="Times New Roman"/>
          <w:color w:val="0000FF"/>
          <w:sz w:val="24"/>
          <w:szCs w:val="24"/>
        </w:rPr>
        <w:t xml:space="preserve"> (LANS) method </w:t>
      </w:r>
      <w:r w:rsidR="00F67211" w:rsidRPr="00F67211">
        <w:rPr>
          <w:rFonts w:ascii="Times New Roman" w:eastAsia="等线" w:hAnsi="Times New Roman" w:cs="Times New Roman"/>
          <w:noProof/>
          <w:color w:val="0000FF"/>
          <w:sz w:val="24"/>
          <w:szCs w:val="24"/>
        </w:rPr>
        <w:t>(Foti et al., 2011)</w:t>
      </w:r>
      <w:r w:rsidR="00F67211" w:rsidRPr="00F67211">
        <w:rPr>
          <w:rFonts w:ascii="Times New Roman" w:eastAsia="等线" w:hAnsi="Times New Roman" w:cs="Times New Roman"/>
          <w:color w:val="0000FF"/>
          <w:sz w:val="24"/>
          <w:szCs w:val="24"/>
        </w:rPr>
        <w:t xml:space="preserve"> was used to derive a binary backbone network from the correlation matrix. Based on the binary backbone network, we applied a community detection algorithm to group the </w:t>
      </w:r>
      <w:proofErr w:type="spellStart"/>
      <w:r w:rsidR="00F67211" w:rsidRPr="00F67211">
        <w:rPr>
          <w:rFonts w:ascii="Times New Roman" w:hAnsi="Times New Roman" w:cs="Times New Roman"/>
          <w:color w:val="0000FF"/>
          <w:sz w:val="24"/>
          <w:szCs w:val="24"/>
        </w:rPr>
        <w:t>dFCN</w:t>
      </w:r>
      <w:proofErr w:type="spellEnd"/>
      <w:r w:rsidR="00F67211" w:rsidRPr="00F67211">
        <w:rPr>
          <w:rFonts w:ascii="Times New Roman" w:hAnsi="Times New Roman" w:cs="Times New Roman"/>
          <w:color w:val="0000FF"/>
          <w:sz w:val="24"/>
          <w:szCs w:val="24"/>
        </w:rPr>
        <w:t xml:space="preserve"> matrices into several states, each of which contained highly similar </w:t>
      </w:r>
      <w:proofErr w:type="spellStart"/>
      <w:r w:rsidR="00F67211" w:rsidRPr="00F67211">
        <w:rPr>
          <w:rFonts w:ascii="Times New Roman" w:hAnsi="Times New Roman" w:cs="Times New Roman"/>
          <w:color w:val="0000FF"/>
          <w:sz w:val="24"/>
          <w:szCs w:val="24"/>
        </w:rPr>
        <w:t>dFCN</w:t>
      </w:r>
      <w:proofErr w:type="spellEnd"/>
      <w:r w:rsidR="00F67211" w:rsidRPr="00F67211">
        <w:rPr>
          <w:rFonts w:ascii="Times New Roman" w:hAnsi="Times New Roman" w:cs="Times New Roman"/>
          <w:color w:val="0000FF"/>
          <w:sz w:val="24"/>
          <w:szCs w:val="24"/>
        </w:rPr>
        <w:t xml:space="preserve"> matrices. Here, we used the Louvain community detection algorithm </w:t>
      </w:r>
      <w:r w:rsidR="00F67211" w:rsidRPr="00F67211">
        <w:rPr>
          <w:rFonts w:ascii="Times New Roman" w:hAnsi="Times New Roman" w:cs="Times New Roman"/>
          <w:noProof/>
          <w:color w:val="0000FF"/>
          <w:sz w:val="24"/>
          <w:szCs w:val="24"/>
        </w:rPr>
        <w:t>(Rubinov &amp; Sporns, 2011)</w:t>
      </w:r>
      <w:r w:rsidR="00F67211" w:rsidRPr="00F67211">
        <w:rPr>
          <w:rFonts w:ascii="Times New Roman" w:hAnsi="Times New Roman" w:cs="Times New Roman"/>
          <w:color w:val="0000FF"/>
          <w:sz w:val="24"/>
          <w:szCs w:val="24"/>
        </w:rPr>
        <w:t xml:space="preserve">. For visualization and further analysis, a representative matrix for each state was generated by averaging the </w:t>
      </w:r>
      <w:proofErr w:type="spellStart"/>
      <w:r w:rsidR="00F67211" w:rsidRPr="00F67211">
        <w:rPr>
          <w:rFonts w:ascii="Times New Roman" w:hAnsi="Times New Roman" w:cs="Times New Roman"/>
          <w:color w:val="0000FF"/>
          <w:sz w:val="24"/>
          <w:szCs w:val="24"/>
        </w:rPr>
        <w:t>dFCN</w:t>
      </w:r>
      <w:proofErr w:type="spellEnd"/>
      <w:r w:rsidR="00F67211" w:rsidRPr="00F67211">
        <w:rPr>
          <w:rFonts w:ascii="Times New Roman" w:hAnsi="Times New Roman" w:cs="Times New Roman"/>
          <w:color w:val="0000FF"/>
          <w:sz w:val="24"/>
          <w:szCs w:val="24"/>
        </w:rPr>
        <w:t xml:space="preserve"> matrices within the same state. To characterize state transition patterns, we computed several transition metrics: (1) number </w:t>
      </w:r>
      <w:r w:rsidR="00F67211" w:rsidRPr="00F67211">
        <w:rPr>
          <w:rFonts w:ascii="Times New Roman" w:hAnsi="Times New Roman" w:cs="Times New Roman"/>
          <w:color w:val="0000FF"/>
          <w:sz w:val="24"/>
          <w:szCs w:val="24"/>
        </w:rPr>
        <w:lastRenderedPageBreak/>
        <w:t>of transitions (NT), reflecting the frequency of switches between states; (2) fractional time (FT), indicating the proportion of timepoints spent in each state; (3) mean dwell time (MDT), representing the average number of consecutive timepoints in each state; and (4) transition probability (TP), quantifying the likelihood of transitioning from one state to another.</w:t>
      </w:r>
    </w:p>
    <w:p w14:paraId="342A4442" w14:textId="64B41E69" w:rsidR="00F05361" w:rsidRPr="00F67211" w:rsidRDefault="00F05361" w:rsidP="00F936A1">
      <w:pPr>
        <w:pStyle w:val="a3"/>
        <w:spacing w:line="480" w:lineRule="auto"/>
        <w:rPr>
          <w:lang w:val="en-HK"/>
        </w:rPr>
      </w:pPr>
    </w:p>
    <w:p w14:paraId="54896F58" w14:textId="77777777" w:rsidR="00F05361" w:rsidRDefault="00F05361" w:rsidP="00035BB3">
      <w:pPr>
        <w:rPr>
          <w:rFonts w:ascii="Times New Roman" w:hAnsi="Times New Roman" w:cs="Times New Roman"/>
          <w:b/>
          <w:bCs/>
          <w:sz w:val="24"/>
          <w:szCs w:val="24"/>
        </w:rPr>
      </w:pPr>
      <w:r>
        <w:rPr>
          <w:rFonts w:ascii="Times New Roman" w:hAnsi="Times New Roman" w:cs="Times New Roman"/>
          <w:b/>
          <w:bCs/>
          <w:sz w:val="24"/>
          <w:szCs w:val="24"/>
        </w:rPr>
        <w:t>Neurotransmitter Maps</w:t>
      </w:r>
    </w:p>
    <w:p w14:paraId="378154DE" w14:textId="77777777" w:rsidR="00F05361" w:rsidRDefault="00F05361" w:rsidP="009D2F25">
      <w:pPr>
        <w:spacing w:after="0" w:line="480" w:lineRule="auto"/>
        <w:rPr>
          <w:rFonts w:ascii="Times New Roman" w:hAnsi="Times New Roman" w:cs="Times New Roman"/>
          <w:sz w:val="24"/>
          <w:szCs w:val="24"/>
        </w:rPr>
      </w:pPr>
      <w:r w:rsidRPr="009D2F25">
        <w:rPr>
          <w:rFonts w:ascii="Times New Roman" w:eastAsia="宋体" w:hAnsi="Times New Roman" w:cs="Times New Roman"/>
          <w:sz w:val="24"/>
          <w:szCs w:val="24"/>
          <w:lang w:val="en-US"/>
        </w:rPr>
        <w:t xml:space="preserve">The neurotransmitter maps include: </w:t>
      </w:r>
      <w:r w:rsidRPr="009D2F25">
        <w:rPr>
          <w:rFonts w:ascii="Times New Roman" w:hAnsi="Times New Roman" w:cs="Times New Roman"/>
          <w:sz w:val="24"/>
          <w:szCs w:val="24"/>
        </w:rPr>
        <w:t>a) serotonin (5HT1a_WAY_HC36, 5HT1a_cumi_hc8_beliveau</w:t>
      </w:r>
      <w:r w:rsidRPr="009D2F25">
        <w:rPr>
          <w:rFonts w:ascii="Times New Roman" w:eastAsia="等线" w:hAnsi="Times New Roman" w:cs="Times New Roman"/>
          <w:sz w:val="24"/>
          <w:szCs w:val="24"/>
        </w:rPr>
        <w:t>,</w:t>
      </w:r>
      <w:r w:rsidRPr="009D2F25">
        <w:rPr>
          <w:rFonts w:ascii="Times New Roman" w:hAnsi="Times New Roman" w:cs="Times New Roman"/>
          <w:sz w:val="24"/>
          <w:szCs w:val="24"/>
        </w:rPr>
        <w:t xml:space="preserve"> 5HT1b_P943_HC22, </w:t>
      </w:r>
      <w:bookmarkStart w:id="0" w:name="_Hlk203505902"/>
      <w:r w:rsidRPr="009D2F25">
        <w:rPr>
          <w:rFonts w:ascii="Times New Roman" w:hAnsi="Times New Roman" w:cs="Times New Roman"/>
          <w:sz w:val="24"/>
          <w:szCs w:val="24"/>
        </w:rPr>
        <w:t>5HT1b_az</w:t>
      </w:r>
      <w:bookmarkEnd w:id="0"/>
      <w:r w:rsidRPr="009D2F25">
        <w:rPr>
          <w:rFonts w:ascii="Times New Roman" w:hAnsi="Times New Roman" w:cs="Times New Roman"/>
          <w:sz w:val="24"/>
          <w:szCs w:val="24"/>
        </w:rPr>
        <w:t xml:space="preserve">_hc36_beliveau, </w:t>
      </w:r>
      <w:bookmarkStart w:id="1" w:name="_Hlk203555362"/>
      <w:r w:rsidRPr="009D2F25">
        <w:rPr>
          <w:rFonts w:ascii="Times New Roman" w:hAnsi="Times New Roman" w:cs="Times New Roman"/>
          <w:sz w:val="24"/>
          <w:szCs w:val="24"/>
        </w:rPr>
        <w:t>5HT2a_ALT</w:t>
      </w:r>
      <w:bookmarkEnd w:id="1"/>
      <w:r w:rsidRPr="009D2F25">
        <w:rPr>
          <w:rFonts w:ascii="Times New Roman" w:hAnsi="Times New Roman" w:cs="Times New Roman"/>
          <w:sz w:val="24"/>
          <w:szCs w:val="24"/>
        </w:rPr>
        <w:t xml:space="preserve">_HC19, </w:t>
      </w:r>
      <w:bookmarkStart w:id="2" w:name="_Hlk203555372"/>
      <w:r w:rsidRPr="009D2F25">
        <w:rPr>
          <w:rFonts w:ascii="Times New Roman" w:hAnsi="Times New Roman" w:cs="Times New Roman"/>
          <w:sz w:val="24"/>
          <w:szCs w:val="24"/>
        </w:rPr>
        <w:t>5HT2a_cimbi</w:t>
      </w:r>
      <w:bookmarkEnd w:id="2"/>
      <w:r w:rsidRPr="009D2F25">
        <w:rPr>
          <w:rFonts w:ascii="Times New Roman" w:hAnsi="Times New Roman" w:cs="Times New Roman"/>
          <w:sz w:val="24"/>
          <w:szCs w:val="24"/>
        </w:rPr>
        <w:t xml:space="preserve">_hc29_beliveau, 5HT4_sb20_hc59_beliveau, </w:t>
      </w:r>
      <w:bookmarkStart w:id="3" w:name="OLE_LINK16"/>
      <w:r w:rsidRPr="009D2F25">
        <w:rPr>
          <w:rFonts w:ascii="Times New Roman" w:hAnsi="Times New Roman" w:cs="Times New Roman"/>
          <w:sz w:val="24"/>
          <w:szCs w:val="24"/>
        </w:rPr>
        <w:t>SERT_DASB</w:t>
      </w:r>
      <w:bookmarkEnd w:id="3"/>
      <w:r w:rsidRPr="009D2F25">
        <w:rPr>
          <w:rFonts w:ascii="Times New Roman" w:hAnsi="Times New Roman" w:cs="Times New Roman"/>
          <w:sz w:val="24"/>
          <w:szCs w:val="24"/>
        </w:rPr>
        <w:t xml:space="preserve">_HC30, </w:t>
      </w:r>
      <w:bookmarkStart w:id="4" w:name="_Hlk203505375"/>
      <w:r w:rsidRPr="009D2F25">
        <w:rPr>
          <w:rFonts w:ascii="Times New Roman" w:hAnsi="Times New Roman" w:cs="Times New Roman"/>
          <w:sz w:val="24"/>
          <w:szCs w:val="24"/>
        </w:rPr>
        <w:t>SERT_MADAM</w:t>
      </w:r>
      <w:bookmarkEnd w:id="4"/>
      <w:r w:rsidRPr="009D2F25">
        <w:rPr>
          <w:rFonts w:ascii="Times New Roman" w:hAnsi="Times New Roman" w:cs="Times New Roman"/>
          <w:sz w:val="24"/>
          <w:szCs w:val="24"/>
        </w:rPr>
        <w:t xml:space="preserve">_c11, and </w:t>
      </w:r>
      <w:bookmarkStart w:id="5" w:name="_Hlk203505383"/>
      <w:r w:rsidRPr="009D2F25">
        <w:rPr>
          <w:rFonts w:ascii="Times New Roman" w:hAnsi="Times New Roman" w:cs="Times New Roman"/>
          <w:sz w:val="24"/>
          <w:szCs w:val="24"/>
        </w:rPr>
        <w:t>SERT_dasb</w:t>
      </w:r>
      <w:bookmarkEnd w:id="5"/>
      <w:r w:rsidRPr="009D2F25">
        <w:rPr>
          <w:rFonts w:ascii="Times New Roman" w:hAnsi="Times New Roman" w:cs="Times New Roman"/>
          <w:sz w:val="24"/>
          <w:szCs w:val="24"/>
        </w:rPr>
        <w:t xml:space="preserve">_hc100_beliveau); b) </w:t>
      </w:r>
      <w:bookmarkStart w:id="6" w:name="_Hlk203555388"/>
      <w:r w:rsidRPr="009D2F25">
        <w:rPr>
          <w:rFonts w:ascii="Times New Roman" w:hAnsi="Times New Roman" w:cs="Times New Roman"/>
          <w:sz w:val="24"/>
          <w:szCs w:val="24"/>
        </w:rPr>
        <w:t xml:space="preserve">cannabinoid </w:t>
      </w:r>
      <w:bookmarkEnd w:id="6"/>
      <w:r w:rsidRPr="009D2F25">
        <w:rPr>
          <w:rFonts w:ascii="Times New Roman" w:hAnsi="Times New Roman" w:cs="Times New Roman"/>
          <w:sz w:val="24"/>
          <w:szCs w:val="24"/>
        </w:rPr>
        <w:t xml:space="preserve">(CB1_FMPEPd2_hc22_laurikainen); c) </w:t>
      </w:r>
      <w:bookmarkStart w:id="7" w:name="_Hlk203555595"/>
      <w:r w:rsidRPr="009D2F25">
        <w:rPr>
          <w:rFonts w:ascii="Times New Roman" w:hAnsi="Times New Roman" w:cs="Times New Roman"/>
          <w:sz w:val="24"/>
          <w:szCs w:val="24"/>
        </w:rPr>
        <w:t xml:space="preserve">dopamine </w:t>
      </w:r>
      <w:bookmarkEnd w:id="7"/>
      <w:r w:rsidRPr="009D2F25">
        <w:rPr>
          <w:rFonts w:ascii="Times New Roman" w:hAnsi="Times New Roman" w:cs="Times New Roman"/>
          <w:sz w:val="24"/>
          <w:szCs w:val="24"/>
        </w:rPr>
        <w:t xml:space="preserve">(D1_SCH23390_c11, D2_RACLOPRIDE_c11, D2_fallypride_hc49_jaworska, </w:t>
      </w:r>
      <w:bookmarkStart w:id="8" w:name="_Hlk203555638"/>
      <w:r w:rsidRPr="009D2F25">
        <w:rPr>
          <w:rFonts w:ascii="Times New Roman" w:hAnsi="Times New Roman" w:cs="Times New Roman"/>
          <w:sz w:val="24"/>
          <w:szCs w:val="24"/>
        </w:rPr>
        <w:t>DAT_DATSPECT</w:t>
      </w:r>
      <w:bookmarkEnd w:id="8"/>
      <w:r w:rsidRPr="009D2F25">
        <w:rPr>
          <w:rFonts w:ascii="Times New Roman" w:hAnsi="Times New Roman" w:cs="Times New Roman"/>
          <w:sz w:val="24"/>
          <w:szCs w:val="24"/>
        </w:rPr>
        <w:t>,</w:t>
      </w:r>
      <w:r w:rsidRPr="009D2F25" w:rsidDel="00635D7A">
        <w:rPr>
          <w:rFonts w:ascii="Times New Roman" w:hAnsi="Times New Roman" w:cs="Times New Roman"/>
          <w:sz w:val="24"/>
          <w:szCs w:val="24"/>
        </w:rPr>
        <w:t xml:space="preserve"> </w:t>
      </w:r>
      <w:r w:rsidRPr="009D2F25">
        <w:rPr>
          <w:rFonts w:ascii="Times New Roman" w:hAnsi="Times New Roman" w:cs="Times New Roman"/>
          <w:sz w:val="24"/>
          <w:szCs w:val="24"/>
        </w:rPr>
        <w:t xml:space="preserve">and </w:t>
      </w:r>
      <w:bookmarkStart w:id="9" w:name="_Hlk203555649"/>
      <w:r w:rsidRPr="009D2F25">
        <w:rPr>
          <w:rFonts w:ascii="Times New Roman" w:hAnsi="Times New Roman" w:cs="Times New Roman"/>
          <w:sz w:val="24"/>
          <w:szCs w:val="24"/>
        </w:rPr>
        <w:t>FDOPA_f18</w:t>
      </w:r>
      <w:bookmarkEnd w:id="9"/>
      <w:r w:rsidRPr="009D2F25">
        <w:rPr>
          <w:rFonts w:ascii="Times New Roman" w:hAnsi="Times New Roman" w:cs="Times New Roman"/>
          <w:sz w:val="24"/>
          <w:szCs w:val="24"/>
        </w:rPr>
        <w:t>); d) gamma aminobutyric acid (GABA) (</w:t>
      </w:r>
      <w:bookmarkStart w:id="10" w:name="_Hlk203505573"/>
      <w:r w:rsidRPr="009D2F25">
        <w:rPr>
          <w:rFonts w:ascii="Times New Roman" w:hAnsi="Times New Roman" w:cs="Times New Roman"/>
          <w:sz w:val="24"/>
          <w:szCs w:val="24"/>
        </w:rPr>
        <w:t>GABAa_FLUMAZENIL</w:t>
      </w:r>
      <w:bookmarkEnd w:id="10"/>
      <w:r w:rsidRPr="009D2F25">
        <w:rPr>
          <w:rFonts w:ascii="Times New Roman" w:hAnsi="Times New Roman" w:cs="Times New Roman"/>
          <w:sz w:val="24"/>
          <w:szCs w:val="24"/>
        </w:rPr>
        <w:t xml:space="preserve">_c11 and </w:t>
      </w:r>
      <w:bookmarkStart w:id="11" w:name="_Hlk203505920"/>
      <w:r w:rsidRPr="009D2F25">
        <w:rPr>
          <w:rFonts w:ascii="Times New Roman" w:hAnsi="Times New Roman" w:cs="Times New Roman"/>
          <w:sz w:val="24"/>
          <w:szCs w:val="24"/>
        </w:rPr>
        <w:t>GABAa_flumazenial</w:t>
      </w:r>
      <w:bookmarkEnd w:id="11"/>
      <w:r w:rsidRPr="009D2F25">
        <w:rPr>
          <w:rFonts w:ascii="Times New Roman" w:hAnsi="Times New Roman" w:cs="Times New Roman"/>
          <w:sz w:val="24"/>
          <w:szCs w:val="24"/>
        </w:rPr>
        <w:t xml:space="preserve">_hc16_norgaard); e) </w:t>
      </w:r>
      <w:bookmarkStart w:id="12" w:name="_Hlk203505879"/>
      <w:r w:rsidRPr="009D2F25">
        <w:rPr>
          <w:rFonts w:ascii="Times New Roman" w:hAnsi="Times New Roman" w:cs="Times New Roman"/>
          <w:sz w:val="24"/>
          <w:szCs w:val="24"/>
        </w:rPr>
        <w:t xml:space="preserve">opioids </w:t>
      </w:r>
      <w:bookmarkEnd w:id="12"/>
      <w:r w:rsidRPr="009D2F25">
        <w:rPr>
          <w:rFonts w:ascii="Times New Roman" w:hAnsi="Times New Roman" w:cs="Times New Roman"/>
          <w:sz w:val="24"/>
          <w:szCs w:val="24"/>
        </w:rPr>
        <w:t xml:space="preserve">(MU_CARFENTANIL_c11 and MU_carfentanil_hc39_turtonen); f) </w:t>
      </w:r>
      <w:bookmarkStart w:id="13" w:name="_Hlk203555712"/>
      <w:r w:rsidRPr="009D2F25">
        <w:rPr>
          <w:rFonts w:ascii="Times New Roman" w:hAnsi="Times New Roman" w:cs="Times New Roman"/>
          <w:sz w:val="24"/>
          <w:szCs w:val="24"/>
        </w:rPr>
        <w:t xml:space="preserve">noradrenaline (NA) </w:t>
      </w:r>
      <w:bookmarkEnd w:id="13"/>
      <w:r w:rsidRPr="009D2F25">
        <w:rPr>
          <w:rFonts w:ascii="Times New Roman" w:hAnsi="Times New Roman" w:cs="Times New Roman"/>
          <w:sz w:val="24"/>
          <w:szCs w:val="24"/>
        </w:rPr>
        <w:t xml:space="preserve">(NAT_MRB_c11); g) acetylcholine (VAChT_feobv_hc18, VAChT_feobv_hc4, and VAChT_feobv_hc5); h) glutamate (mGluR5_abp_hc22, mGluR5_abp_hc28, and mGluR5_abp_hc73); and </w:t>
      </w:r>
      <w:proofErr w:type="spellStart"/>
      <w:r w:rsidRPr="009D2F25">
        <w:rPr>
          <w:rFonts w:ascii="Times New Roman" w:hAnsi="Times New Roman" w:cs="Times New Roman"/>
          <w:sz w:val="24"/>
          <w:szCs w:val="24"/>
        </w:rPr>
        <w:t>i</w:t>
      </w:r>
      <w:proofErr w:type="spellEnd"/>
      <w:r w:rsidRPr="009D2F25">
        <w:rPr>
          <w:rFonts w:ascii="Times New Roman" w:hAnsi="Times New Roman" w:cs="Times New Roman"/>
          <w:sz w:val="24"/>
          <w:szCs w:val="24"/>
        </w:rPr>
        <w:t xml:space="preserve">) </w:t>
      </w:r>
      <w:bookmarkStart w:id="14" w:name="_Hlk203555743"/>
      <w:r w:rsidRPr="009D2F25">
        <w:rPr>
          <w:rFonts w:ascii="Times New Roman" w:hAnsi="Times New Roman" w:cs="Times New Roman"/>
          <w:sz w:val="24"/>
          <w:szCs w:val="24"/>
        </w:rPr>
        <w:t>cerebral blood flow</w:t>
      </w:r>
      <w:bookmarkEnd w:id="14"/>
      <w:r w:rsidRPr="009D2F25">
        <w:rPr>
          <w:rFonts w:ascii="Times New Roman" w:hAnsi="Times New Roman" w:cs="Times New Roman"/>
          <w:sz w:val="24"/>
          <w:szCs w:val="24"/>
        </w:rPr>
        <w:t xml:space="preserve"> (CBF_ASL_MRI) </w:t>
      </w:r>
      <w:r w:rsidRPr="009D2F25">
        <w:rPr>
          <w:rFonts w:ascii="Times New Roman" w:hAnsi="Times New Roman" w:cs="Times New Roman"/>
          <w:noProof/>
          <w:sz w:val="24"/>
          <w:szCs w:val="24"/>
        </w:rPr>
        <w:t>(Alakurtti et al., 2015; Beliveau et al., 2017; Dukart et al., 2018; Fazio et al., 2016; García-Gómez et al., 2013; Hansen et al., 2022; Hesse et al., 2017; Holiga et al., 2018; Kaller et al., 2017; Kantonen et al., 2020; Nørgaard et al., 2021; Savli et al., 2012)</w:t>
      </w:r>
      <w:r w:rsidRPr="009D2F25">
        <w:rPr>
          <w:rFonts w:ascii="Times New Roman" w:hAnsi="Times New Roman" w:cs="Times New Roman"/>
          <w:sz w:val="24"/>
          <w:szCs w:val="24"/>
        </w:rPr>
        <w:t>.</w:t>
      </w:r>
    </w:p>
    <w:p w14:paraId="77A19094" w14:textId="77777777" w:rsidR="00F05361" w:rsidRDefault="00F05361" w:rsidP="009D2F25">
      <w:pPr>
        <w:spacing w:after="0" w:line="480" w:lineRule="auto"/>
        <w:rPr>
          <w:rFonts w:ascii="Times New Roman" w:hAnsi="Times New Roman" w:cs="Times New Roman"/>
          <w:sz w:val="24"/>
          <w:szCs w:val="24"/>
        </w:rPr>
      </w:pPr>
    </w:p>
    <w:p w14:paraId="0C3465FF" w14:textId="77777777" w:rsidR="00F05361" w:rsidRPr="00783235" w:rsidRDefault="00F05361" w:rsidP="00783235">
      <w:pPr>
        <w:spacing w:line="480" w:lineRule="auto"/>
        <w:rPr>
          <w:rFonts w:ascii="Times New Roman" w:hAnsi="Times New Roman" w:cs="Times New Roman"/>
          <w:b/>
          <w:bCs/>
          <w:sz w:val="24"/>
          <w:szCs w:val="24"/>
        </w:rPr>
      </w:pPr>
      <w:r w:rsidRPr="000E1EBF">
        <w:rPr>
          <w:rFonts w:ascii="Times New Roman" w:hAnsi="Times New Roman" w:cs="Times New Roman"/>
          <w:b/>
          <w:bCs/>
          <w:sz w:val="24"/>
          <w:szCs w:val="24"/>
        </w:rPr>
        <w:t>Statistical Analysis</w:t>
      </w:r>
    </w:p>
    <w:p w14:paraId="51398E39" w14:textId="59FF3F17" w:rsidR="00F05361" w:rsidRPr="00C72FB5" w:rsidRDefault="00F05361" w:rsidP="00783235">
      <w:pPr>
        <w:spacing w:line="480" w:lineRule="auto"/>
        <w:rPr>
          <w:rFonts w:ascii="Times New Roman" w:hAnsi="Times New Roman" w:cs="Times New Roman"/>
          <w:sz w:val="24"/>
          <w:szCs w:val="24"/>
        </w:rPr>
      </w:pPr>
      <w:bookmarkStart w:id="15" w:name="_Hlk208395245"/>
      <w:r>
        <w:rPr>
          <w:rFonts w:ascii="Times New Roman" w:hAnsi="Times New Roman" w:cs="Times New Roman"/>
          <w:sz w:val="24"/>
          <w:szCs w:val="24"/>
        </w:rPr>
        <w:lastRenderedPageBreak/>
        <w:t>Statistical</w:t>
      </w:r>
      <w:r w:rsidRPr="00C72FB5">
        <w:rPr>
          <w:rFonts w:ascii="Times New Roman" w:hAnsi="Times New Roman" w:cs="Times New Roman"/>
          <w:sz w:val="24"/>
          <w:szCs w:val="24"/>
        </w:rPr>
        <w:t xml:space="preserve"> analyses were performed using Matrix Laboratory (MATLAB) 2022a and SPSS v.28.</w:t>
      </w:r>
      <w:r>
        <w:rPr>
          <w:rFonts w:ascii="Times New Roman" w:hAnsi="Times New Roman" w:cs="Times New Roman"/>
          <w:sz w:val="24"/>
          <w:szCs w:val="24"/>
        </w:rPr>
        <w:t xml:space="preserve"> First, we tested the difference of glymphatic functioning between MDD and HC using independent sample t-test on the DTI-ALPS index. </w:t>
      </w:r>
      <w:r w:rsidRPr="00A507F7">
        <w:rPr>
          <w:rFonts w:ascii="Times New Roman" w:hAnsi="Times New Roman" w:cs="Times New Roman"/>
          <w:color w:val="0000FF"/>
          <w:sz w:val="24"/>
          <w:szCs w:val="24"/>
        </w:rPr>
        <w:t xml:space="preserve">Second, we examined the association between glymphatic functioning and ruminative tendency or depressive symptoms. Partial correlation analysis was performed between DTI-ALPS index and RRS scores, including total scores and subcomponent scores, or HAMD total scores, controlling the effect of age and sex. </w:t>
      </w:r>
      <w:bookmarkStart w:id="16" w:name="_Hlk218266695"/>
      <w:r w:rsidR="00A507F7" w:rsidRPr="00A507F7">
        <w:rPr>
          <w:rFonts w:ascii="Times New Roman" w:eastAsia="等线" w:hAnsi="Times New Roman" w:cs="Times New Roman"/>
          <w:color w:val="0000FF"/>
          <w:sz w:val="24"/>
        </w:rPr>
        <w:t>Multiple comparisons were corrected using the False Discovery Rate (FDR).</w:t>
      </w:r>
      <w:bookmarkEnd w:id="16"/>
      <w:r w:rsidR="00A507F7">
        <w:rPr>
          <w:rFonts w:ascii="Times New Roman" w:eastAsia="等线" w:hAnsi="Times New Roman" w:cs="Times New Roman" w:hint="eastAsia"/>
          <w:color w:val="0000FF"/>
          <w:sz w:val="24"/>
          <w:lang w:eastAsia="zh-CN"/>
        </w:rPr>
        <w:t xml:space="preserve"> </w:t>
      </w:r>
      <w:r>
        <w:rPr>
          <w:rFonts w:ascii="Times New Roman" w:hAnsi="Times New Roman" w:cs="Times New Roman"/>
          <w:sz w:val="24"/>
          <w:szCs w:val="24"/>
        </w:rPr>
        <w:t xml:space="preserve">Third, to test whether glymphatic system affects the overall depressive severity through ruminative tendency, </w:t>
      </w:r>
      <w:r w:rsidRPr="005C7623">
        <w:rPr>
          <w:rFonts w:ascii="Times New Roman" w:hAnsi="Times New Roman" w:cs="Times New Roman"/>
          <w:sz w:val="24"/>
          <w:szCs w:val="24"/>
        </w:rPr>
        <w:t>we conducted mediation analys</w:t>
      </w:r>
      <w:r>
        <w:rPr>
          <w:rFonts w:ascii="Times New Roman" w:hAnsi="Times New Roman" w:cs="Times New Roman"/>
          <w:sz w:val="24"/>
          <w:szCs w:val="24"/>
        </w:rPr>
        <w:t>i</w:t>
      </w:r>
      <w:r w:rsidRPr="005C7623">
        <w:rPr>
          <w:rFonts w:ascii="Times New Roman" w:hAnsi="Times New Roman" w:cs="Times New Roman"/>
          <w:sz w:val="24"/>
          <w:szCs w:val="24"/>
        </w:rPr>
        <w:t>s using the PROCESS macro implemented in SPSS (pre-set Model No.4)</w:t>
      </w:r>
      <w:r>
        <w:rPr>
          <w:rFonts w:ascii="Times New Roman" w:hAnsi="Times New Roman" w:cs="Times New Roman"/>
          <w:sz w:val="24"/>
          <w:szCs w:val="24"/>
        </w:rPr>
        <w:t xml:space="preserve">. </w:t>
      </w:r>
      <w:r w:rsidRPr="005C7623">
        <w:rPr>
          <w:rFonts w:ascii="Times New Roman" w:hAnsi="Times New Roman" w:cs="Times New Roman"/>
          <w:sz w:val="24"/>
          <w:szCs w:val="24"/>
        </w:rPr>
        <w:t xml:space="preserve"> A bootstrapping procedure with 5,000 iterations was implemented to evaluate the statistical significance of the mediation models</w:t>
      </w:r>
      <w:r>
        <w:rPr>
          <w:rFonts w:ascii="Times New Roman" w:hAnsi="Times New Roman" w:cs="Times New Roman"/>
          <w:sz w:val="24"/>
          <w:szCs w:val="24"/>
        </w:rPr>
        <w:t xml:space="preserve"> </w:t>
      </w:r>
      <w:r>
        <w:rPr>
          <w:rFonts w:ascii="Times New Roman" w:hAnsi="Times New Roman" w:cs="Times New Roman"/>
          <w:noProof/>
          <w:sz w:val="24"/>
          <w:szCs w:val="24"/>
        </w:rPr>
        <w:t>(Hayes, 2017)</w:t>
      </w:r>
      <w:r w:rsidRPr="005C7623">
        <w:rPr>
          <w:rFonts w:ascii="Times New Roman" w:hAnsi="Times New Roman" w:cs="Times New Roman"/>
          <w:sz w:val="24"/>
          <w:szCs w:val="24"/>
        </w:rPr>
        <w:t>. In the</w:t>
      </w:r>
      <w:r>
        <w:rPr>
          <w:rFonts w:ascii="Times New Roman" w:hAnsi="Times New Roman" w:cs="Times New Roman"/>
          <w:sz w:val="24"/>
          <w:szCs w:val="24"/>
        </w:rPr>
        <w:t xml:space="preserve"> mediation</w:t>
      </w:r>
      <w:r w:rsidRPr="005C7623">
        <w:rPr>
          <w:rFonts w:ascii="Times New Roman" w:hAnsi="Times New Roman" w:cs="Times New Roman"/>
          <w:sz w:val="24"/>
          <w:szCs w:val="24"/>
        </w:rPr>
        <w:t xml:space="preserve"> analys</w:t>
      </w:r>
      <w:r>
        <w:rPr>
          <w:rFonts w:ascii="Times New Roman" w:hAnsi="Times New Roman" w:cs="Times New Roman"/>
          <w:sz w:val="24"/>
          <w:szCs w:val="24"/>
        </w:rPr>
        <w:t>i</w:t>
      </w:r>
      <w:r w:rsidRPr="005C7623">
        <w:rPr>
          <w:rFonts w:ascii="Times New Roman" w:hAnsi="Times New Roman" w:cs="Times New Roman"/>
          <w:sz w:val="24"/>
          <w:szCs w:val="24"/>
        </w:rPr>
        <w:t xml:space="preserve">s, </w:t>
      </w:r>
      <w:r>
        <w:rPr>
          <w:rFonts w:ascii="Times New Roman" w:hAnsi="Times New Roman" w:cs="Times New Roman"/>
          <w:sz w:val="24"/>
          <w:szCs w:val="24"/>
        </w:rPr>
        <w:t xml:space="preserve">DTI-ALPS </w:t>
      </w:r>
      <w:r w:rsidRPr="005C7623">
        <w:rPr>
          <w:rFonts w:ascii="Times New Roman" w:hAnsi="Times New Roman" w:cs="Times New Roman"/>
          <w:sz w:val="24"/>
          <w:szCs w:val="24"/>
        </w:rPr>
        <w:t xml:space="preserve">served as the independent variable, while </w:t>
      </w:r>
      <w:r>
        <w:rPr>
          <w:rFonts w:ascii="Times New Roman" w:hAnsi="Times New Roman" w:cs="Times New Roman"/>
          <w:sz w:val="24"/>
          <w:szCs w:val="24"/>
        </w:rPr>
        <w:t>HAMD total scores</w:t>
      </w:r>
      <w:r w:rsidRPr="005C7623">
        <w:rPr>
          <w:rFonts w:ascii="Times New Roman" w:hAnsi="Times New Roman" w:cs="Times New Roman"/>
          <w:sz w:val="24"/>
          <w:szCs w:val="24"/>
        </w:rPr>
        <w:t xml:space="preserve"> were designated as the </w:t>
      </w:r>
      <w:bookmarkStart w:id="17" w:name="OLE_LINK36"/>
      <w:r w:rsidRPr="005C7623">
        <w:rPr>
          <w:rFonts w:ascii="Times New Roman" w:hAnsi="Times New Roman" w:cs="Times New Roman"/>
          <w:sz w:val="24"/>
          <w:szCs w:val="24"/>
        </w:rPr>
        <w:t xml:space="preserve">dependent </w:t>
      </w:r>
      <w:bookmarkEnd w:id="17"/>
      <w:r w:rsidRPr="005C7623">
        <w:rPr>
          <w:rFonts w:ascii="Times New Roman" w:hAnsi="Times New Roman" w:cs="Times New Roman"/>
          <w:sz w:val="24"/>
          <w:szCs w:val="24"/>
        </w:rPr>
        <w:t xml:space="preserve">variable, with </w:t>
      </w:r>
      <w:r>
        <w:rPr>
          <w:rFonts w:ascii="Times New Roman" w:hAnsi="Times New Roman" w:cs="Times New Roman"/>
          <w:sz w:val="24"/>
          <w:szCs w:val="24"/>
        </w:rPr>
        <w:t>RRS scores</w:t>
      </w:r>
      <w:r w:rsidRPr="005C7623">
        <w:rPr>
          <w:rFonts w:ascii="Times New Roman" w:hAnsi="Times New Roman" w:cs="Times New Roman"/>
          <w:sz w:val="24"/>
          <w:szCs w:val="24"/>
        </w:rPr>
        <w:t xml:space="preserve"> acting as the mediator. Covariates included age</w:t>
      </w:r>
      <w:r>
        <w:rPr>
          <w:rFonts w:ascii="Times New Roman" w:hAnsi="Times New Roman" w:cs="Times New Roman"/>
          <w:sz w:val="24"/>
          <w:szCs w:val="24"/>
        </w:rPr>
        <w:t xml:space="preserve"> and</w:t>
      </w:r>
      <w:r w:rsidRPr="005C7623">
        <w:rPr>
          <w:rFonts w:ascii="Times New Roman" w:hAnsi="Times New Roman" w:cs="Times New Roman"/>
          <w:sz w:val="24"/>
          <w:szCs w:val="24"/>
        </w:rPr>
        <w:t xml:space="preserve"> sex</w:t>
      </w:r>
      <w:r>
        <w:rPr>
          <w:rFonts w:ascii="Times New Roman" w:hAnsi="Times New Roman" w:cs="Times New Roman"/>
          <w:sz w:val="24"/>
          <w:szCs w:val="24"/>
        </w:rPr>
        <w:t xml:space="preserve"> </w:t>
      </w:r>
      <w:r w:rsidRPr="005C7623">
        <w:rPr>
          <w:rFonts w:ascii="Times New Roman" w:hAnsi="Times New Roman" w:cs="Times New Roman"/>
          <w:sz w:val="24"/>
          <w:szCs w:val="24"/>
        </w:rPr>
        <w:t>to account for potential confounding influences</w:t>
      </w:r>
      <w:r>
        <w:rPr>
          <w:rFonts w:ascii="Times New Roman" w:hAnsi="Times New Roman" w:cs="Times New Roman"/>
          <w:sz w:val="24"/>
          <w:szCs w:val="24"/>
        </w:rPr>
        <w:t>.</w:t>
      </w:r>
      <w:r w:rsidRPr="005C7623">
        <w:rPr>
          <w:rFonts w:ascii="Times New Roman" w:hAnsi="Times New Roman" w:cs="Times New Roman"/>
          <w:sz w:val="24"/>
          <w:szCs w:val="24"/>
        </w:rPr>
        <w:t xml:space="preserve"> </w:t>
      </w:r>
      <w:r>
        <w:rPr>
          <w:rFonts w:ascii="Times New Roman" w:hAnsi="Times New Roman" w:cs="Times New Roman"/>
          <w:sz w:val="24"/>
          <w:szCs w:val="24"/>
        </w:rPr>
        <w:t>Fourth, we examined the relationships between glymphatic functioning and static FCN, and between</w:t>
      </w:r>
      <w:r w:rsidRPr="00C72FB5">
        <w:rPr>
          <w:rFonts w:ascii="Times New Roman" w:hAnsi="Times New Roman" w:cs="Times New Roman"/>
          <w:sz w:val="24"/>
          <w:szCs w:val="24"/>
        </w:rPr>
        <w:t xml:space="preserve"> </w:t>
      </w:r>
      <w:r>
        <w:rPr>
          <w:rFonts w:ascii="Times New Roman" w:hAnsi="Times New Roman" w:cs="Times New Roman"/>
          <w:sz w:val="24"/>
          <w:szCs w:val="24"/>
        </w:rPr>
        <w:t xml:space="preserve">rumination and static FCN. To achieve this, </w:t>
      </w:r>
      <w:r w:rsidRPr="00C72FB5">
        <w:rPr>
          <w:rFonts w:ascii="Times New Roman" w:hAnsi="Times New Roman" w:cs="Times New Roman"/>
          <w:sz w:val="24"/>
          <w:szCs w:val="24"/>
        </w:rPr>
        <w:t>Network-Based Statistics (NBS)</w:t>
      </w:r>
      <w:r>
        <w:rPr>
          <w:rFonts w:ascii="Times New Roman" w:hAnsi="Times New Roman" w:cs="Times New Roman"/>
          <w:sz w:val="24"/>
          <w:szCs w:val="24"/>
        </w:rPr>
        <w:t xml:space="preserve"> analysis </w:t>
      </w:r>
      <w:r>
        <w:rPr>
          <w:rFonts w:ascii="Times New Roman" w:hAnsi="Times New Roman" w:cs="Times New Roman"/>
          <w:noProof/>
          <w:sz w:val="24"/>
          <w:szCs w:val="24"/>
        </w:rPr>
        <w:t>(Zalesky et al., 2010)</w:t>
      </w:r>
      <w:r>
        <w:rPr>
          <w:rFonts w:ascii="Times New Roman" w:hAnsi="Times New Roman" w:cs="Times New Roman"/>
          <w:sz w:val="24"/>
          <w:szCs w:val="24"/>
        </w:rPr>
        <w:t xml:space="preserve">, with age and sex as covariates, was conducted to test the correlation between DTI-ALPS index and static FCN, or between RRS and static FCN. Significant threshold of </w:t>
      </w:r>
      <w:r w:rsidRPr="005C7623">
        <w:rPr>
          <w:rFonts w:ascii="Times New Roman" w:hAnsi="Times New Roman" w:cs="Times New Roman"/>
          <w:sz w:val="24"/>
          <w:szCs w:val="24"/>
        </w:rPr>
        <w:t xml:space="preserve">individual-connection level was </w:t>
      </w:r>
      <w:r>
        <w:rPr>
          <w:rFonts w:ascii="Times New Roman" w:hAnsi="Times New Roman" w:cs="Times New Roman"/>
          <w:sz w:val="24"/>
          <w:szCs w:val="24"/>
        </w:rPr>
        <w:t>defined as</w:t>
      </w:r>
      <w:r w:rsidRPr="005C7623">
        <w:rPr>
          <w:rFonts w:ascii="Times New Roman" w:hAnsi="Times New Roman" w:cs="Times New Roman"/>
          <w:sz w:val="24"/>
          <w:szCs w:val="24"/>
        </w:rPr>
        <w:t xml:space="preserve"> </w:t>
      </w:r>
      <w:r w:rsidRPr="005C7623">
        <w:rPr>
          <w:rFonts w:ascii="Times New Roman" w:hAnsi="Times New Roman" w:cs="Times New Roman"/>
          <w:i/>
          <w:iCs/>
          <w:sz w:val="24"/>
          <w:szCs w:val="24"/>
        </w:rPr>
        <w:t>p</w:t>
      </w:r>
      <w:r w:rsidRPr="005C7623">
        <w:rPr>
          <w:rFonts w:ascii="Times New Roman" w:hAnsi="Times New Roman" w:cs="Times New Roman"/>
          <w:sz w:val="24"/>
          <w:szCs w:val="24"/>
        </w:rPr>
        <w:t xml:space="preserve"> &lt; </w:t>
      </w:r>
      <w:r>
        <w:rPr>
          <w:rFonts w:ascii="Times New Roman" w:hAnsi="Times New Roman" w:cs="Times New Roman"/>
          <w:sz w:val="24"/>
          <w:szCs w:val="24"/>
        </w:rPr>
        <w:t>0</w:t>
      </w:r>
      <w:r w:rsidRPr="005C7623">
        <w:rPr>
          <w:rFonts w:ascii="Times New Roman" w:hAnsi="Times New Roman" w:cs="Times New Roman"/>
          <w:sz w:val="24"/>
          <w:szCs w:val="24"/>
        </w:rPr>
        <w:t>.01 with an extent-based</w:t>
      </w:r>
      <w:r>
        <w:rPr>
          <w:rFonts w:ascii="Times New Roman" w:hAnsi="Times New Roman" w:cs="Times New Roman"/>
          <w:sz w:val="24"/>
          <w:szCs w:val="24"/>
        </w:rPr>
        <w:t xml:space="preserve"> </w:t>
      </w:r>
      <w:r w:rsidRPr="005C7623">
        <w:rPr>
          <w:rFonts w:ascii="Times New Roman" w:hAnsi="Times New Roman" w:cs="Times New Roman"/>
          <w:sz w:val="24"/>
          <w:szCs w:val="24"/>
        </w:rPr>
        <w:t xml:space="preserve">correction for multiple comparisons, </w:t>
      </w:r>
      <w:r>
        <w:rPr>
          <w:rFonts w:ascii="Times New Roman" w:hAnsi="Times New Roman" w:cs="Times New Roman"/>
          <w:sz w:val="24"/>
          <w:szCs w:val="24"/>
        </w:rPr>
        <w:t>5</w:t>
      </w:r>
      <w:r w:rsidRPr="005C7623">
        <w:rPr>
          <w:rFonts w:ascii="Times New Roman" w:hAnsi="Times New Roman" w:cs="Times New Roman"/>
          <w:sz w:val="24"/>
          <w:szCs w:val="24"/>
        </w:rPr>
        <w:t>000 permutations, and an</w:t>
      </w:r>
      <w:r>
        <w:rPr>
          <w:rFonts w:ascii="Times New Roman" w:hAnsi="Times New Roman" w:cs="Times New Roman"/>
          <w:sz w:val="24"/>
          <w:szCs w:val="24"/>
        </w:rPr>
        <w:t xml:space="preserve"> </w:t>
      </w:r>
      <w:r w:rsidRPr="005C7623">
        <w:rPr>
          <w:rFonts w:ascii="Times New Roman" w:hAnsi="Times New Roman" w:cs="Times New Roman"/>
          <w:sz w:val="24"/>
          <w:szCs w:val="24"/>
        </w:rPr>
        <w:t>overall corrected α &lt; 0.05.</w:t>
      </w:r>
      <w:r>
        <w:rPr>
          <w:rFonts w:ascii="Times New Roman" w:hAnsi="Times New Roman" w:cs="Times New Roman"/>
          <w:sz w:val="24"/>
          <w:szCs w:val="24"/>
        </w:rPr>
        <w:t xml:space="preserve"> Significant FC component was extracted for further analysis. Fifth, we would like to investigate the relationship between time-varying features of brain FC and glymphatic functioning or rumination. Partial correlation analysis with age and sex as covariates was first performed between state </w:t>
      </w:r>
      <w:r w:rsidRPr="003A6D59">
        <w:rPr>
          <w:rFonts w:ascii="Times New Roman" w:hAnsi="Times New Roman" w:cs="Times New Roman"/>
          <w:sz w:val="24"/>
          <w:szCs w:val="24"/>
        </w:rPr>
        <w:t>transition metrics</w:t>
      </w:r>
      <w:r>
        <w:rPr>
          <w:rFonts w:ascii="Times New Roman" w:hAnsi="Times New Roman" w:cs="Times New Roman"/>
          <w:sz w:val="24"/>
          <w:szCs w:val="24"/>
        </w:rPr>
        <w:t xml:space="preserve"> (e.g., NT and FT) and DTI-ALPS or RRS scores. Multiple comparisons were corrected by FDR. Then we </w:t>
      </w:r>
      <w:r w:rsidRPr="005C7623">
        <w:rPr>
          <w:rFonts w:ascii="Times New Roman" w:hAnsi="Times New Roman" w:cs="Times New Roman"/>
          <w:sz w:val="24"/>
          <w:szCs w:val="24"/>
        </w:rPr>
        <w:t>conducted mediation analys</w:t>
      </w:r>
      <w:r>
        <w:rPr>
          <w:rFonts w:ascii="Times New Roman" w:hAnsi="Times New Roman" w:cs="Times New Roman"/>
          <w:sz w:val="24"/>
          <w:szCs w:val="24"/>
        </w:rPr>
        <w:t>i</w:t>
      </w:r>
      <w:r w:rsidRPr="005C7623">
        <w:rPr>
          <w:rFonts w:ascii="Times New Roman" w:hAnsi="Times New Roman" w:cs="Times New Roman"/>
          <w:sz w:val="24"/>
          <w:szCs w:val="24"/>
        </w:rPr>
        <w:t>s</w:t>
      </w:r>
      <w:r>
        <w:rPr>
          <w:rFonts w:ascii="Times New Roman" w:hAnsi="Times New Roman" w:cs="Times New Roman"/>
          <w:sz w:val="24"/>
          <w:szCs w:val="24"/>
        </w:rPr>
        <w:t xml:space="preserve"> </w:t>
      </w:r>
      <w:r w:rsidRPr="005C7623">
        <w:rPr>
          <w:rFonts w:ascii="Times New Roman" w:hAnsi="Times New Roman" w:cs="Times New Roman"/>
          <w:sz w:val="24"/>
          <w:szCs w:val="24"/>
        </w:rPr>
        <w:t xml:space="preserve">(pre-set Model </w:t>
      </w:r>
      <w:r w:rsidRPr="005C7623">
        <w:rPr>
          <w:rFonts w:ascii="Times New Roman" w:hAnsi="Times New Roman" w:cs="Times New Roman"/>
          <w:sz w:val="24"/>
          <w:szCs w:val="24"/>
        </w:rPr>
        <w:lastRenderedPageBreak/>
        <w:t>No.4)</w:t>
      </w:r>
      <w:r>
        <w:rPr>
          <w:rFonts w:ascii="Times New Roman" w:hAnsi="Times New Roman" w:cs="Times New Roman"/>
          <w:sz w:val="24"/>
          <w:szCs w:val="24"/>
        </w:rPr>
        <w:t xml:space="preserve"> with </w:t>
      </w:r>
      <w:r w:rsidRPr="005C7623">
        <w:rPr>
          <w:rFonts w:ascii="Times New Roman" w:hAnsi="Times New Roman" w:cs="Times New Roman"/>
          <w:sz w:val="24"/>
          <w:szCs w:val="24"/>
        </w:rPr>
        <w:t>PROCESS macro</w:t>
      </w:r>
      <w:r>
        <w:rPr>
          <w:rFonts w:ascii="Times New Roman" w:hAnsi="Times New Roman" w:cs="Times New Roman"/>
          <w:sz w:val="24"/>
          <w:szCs w:val="24"/>
        </w:rPr>
        <w:t xml:space="preserve"> (</w:t>
      </w:r>
      <w:r w:rsidRPr="005C7623">
        <w:rPr>
          <w:rFonts w:ascii="Times New Roman" w:hAnsi="Times New Roman" w:cs="Times New Roman"/>
          <w:sz w:val="24"/>
          <w:szCs w:val="24"/>
        </w:rPr>
        <w:t>bootstrap</w:t>
      </w:r>
      <w:r>
        <w:rPr>
          <w:rFonts w:ascii="Times New Roman" w:hAnsi="Times New Roman" w:cs="Times New Roman"/>
          <w:sz w:val="24"/>
          <w:szCs w:val="24"/>
        </w:rPr>
        <w:t xml:space="preserve"> = 5000) to test whether time-varying features of brain FC can mediate the association between glymphatic functioning and rumination. In the mediation model, the significantly correlated state </w:t>
      </w:r>
      <w:r w:rsidRPr="003A6D59">
        <w:rPr>
          <w:rFonts w:ascii="Times New Roman" w:hAnsi="Times New Roman" w:cs="Times New Roman"/>
          <w:sz w:val="24"/>
          <w:szCs w:val="24"/>
        </w:rPr>
        <w:t>transition metrics</w:t>
      </w:r>
      <w:r>
        <w:rPr>
          <w:rFonts w:ascii="Times New Roman" w:hAnsi="Times New Roman" w:cs="Times New Roman"/>
          <w:sz w:val="24"/>
          <w:szCs w:val="24"/>
        </w:rPr>
        <w:t xml:space="preserve"> in above partial correlation were included as the mediator, while DTI-ALPS and RRS scores were included as the </w:t>
      </w:r>
      <w:r w:rsidRPr="005C7623">
        <w:rPr>
          <w:rFonts w:ascii="Times New Roman" w:hAnsi="Times New Roman" w:cs="Times New Roman"/>
          <w:sz w:val="24"/>
          <w:szCs w:val="24"/>
        </w:rPr>
        <w:t xml:space="preserve">independent </w:t>
      </w:r>
      <w:r>
        <w:rPr>
          <w:rFonts w:ascii="Times New Roman" w:hAnsi="Times New Roman" w:cs="Times New Roman"/>
          <w:sz w:val="24"/>
          <w:szCs w:val="24"/>
        </w:rPr>
        <w:t xml:space="preserve">and </w:t>
      </w:r>
      <w:r w:rsidRPr="005C7623">
        <w:rPr>
          <w:rFonts w:ascii="Times New Roman" w:hAnsi="Times New Roman" w:cs="Times New Roman"/>
          <w:sz w:val="24"/>
          <w:szCs w:val="24"/>
        </w:rPr>
        <w:t>dependent variable</w:t>
      </w:r>
      <w:r>
        <w:rPr>
          <w:rFonts w:ascii="Times New Roman" w:hAnsi="Times New Roman" w:cs="Times New Roman"/>
          <w:sz w:val="24"/>
          <w:szCs w:val="24"/>
        </w:rPr>
        <w:t xml:space="preserve">s respectively. To further explore whether this relationship is different between MDD and HC, we conducted </w:t>
      </w:r>
      <w:r w:rsidRPr="004E1BFD">
        <w:rPr>
          <w:rFonts w:ascii="Times New Roman" w:hAnsi="Times New Roman" w:cs="Times New Roman"/>
          <w:sz w:val="24"/>
          <w:szCs w:val="24"/>
        </w:rPr>
        <w:t xml:space="preserve">moderated mediation analyses using the PROCESS macro implemented in SPSS (pre-set Model No. </w:t>
      </w:r>
      <w:r>
        <w:rPr>
          <w:rFonts w:ascii="Times New Roman" w:hAnsi="Times New Roman" w:cs="Times New Roman"/>
          <w:sz w:val="24"/>
          <w:szCs w:val="24"/>
        </w:rPr>
        <w:t>58</w:t>
      </w:r>
      <w:r w:rsidRPr="004E1BFD">
        <w:rPr>
          <w:rFonts w:ascii="Times New Roman" w:hAnsi="Times New Roman" w:cs="Times New Roman"/>
          <w:sz w:val="24"/>
          <w:szCs w:val="24"/>
        </w:rPr>
        <w:t>).</w:t>
      </w:r>
      <w:r>
        <w:rPr>
          <w:rFonts w:ascii="Times New Roman" w:hAnsi="Times New Roman" w:cs="Times New Roman"/>
          <w:sz w:val="24"/>
          <w:szCs w:val="24"/>
        </w:rPr>
        <w:t xml:space="preserve"> Compared to the above mediation model, the current </w:t>
      </w:r>
      <w:r w:rsidRPr="004E1BFD">
        <w:rPr>
          <w:rFonts w:ascii="Times New Roman" w:hAnsi="Times New Roman" w:cs="Times New Roman"/>
          <w:sz w:val="24"/>
          <w:szCs w:val="24"/>
        </w:rPr>
        <w:t>moderated mediation</w:t>
      </w:r>
      <w:r>
        <w:rPr>
          <w:rFonts w:ascii="Times New Roman" w:hAnsi="Times New Roman" w:cs="Times New Roman"/>
          <w:sz w:val="24"/>
          <w:szCs w:val="24"/>
        </w:rPr>
        <w:t xml:space="preserve"> model additionally included group label of MDD or HC as a moderator.</w:t>
      </w:r>
    </w:p>
    <w:bookmarkEnd w:id="15"/>
    <w:p w14:paraId="57E79A73" w14:textId="77777777" w:rsidR="00F05361" w:rsidRPr="006F46E9" w:rsidRDefault="00F05361" w:rsidP="00035BB3">
      <w:pPr>
        <w:rPr>
          <w:rFonts w:ascii="Times New Roman" w:eastAsia="等线" w:hAnsi="Times New Roman" w:cs="Times New Roman" w:hint="eastAsia"/>
          <w:b/>
          <w:bCs/>
          <w:sz w:val="24"/>
          <w:szCs w:val="24"/>
          <w:lang w:val="en-US" w:eastAsia="zh-CN"/>
        </w:rPr>
      </w:pPr>
    </w:p>
    <w:p w14:paraId="6B1D084A" w14:textId="77777777" w:rsidR="00F05361" w:rsidRDefault="00F05361" w:rsidP="00035BB3">
      <w:pPr>
        <w:rPr>
          <w:rFonts w:ascii="Times New Roman" w:hAnsi="Times New Roman" w:cs="Times New Roman"/>
          <w:b/>
          <w:bCs/>
          <w:sz w:val="24"/>
          <w:szCs w:val="24"/>
          <w:lang w:val="en-US"/>
        </w:rPr>
      </w:pPr>
      <w:r>
        <w:rPr>
          <w:rFonts w:ascii="Times New Roman" w:hAnsi="Times New Roman" w:cs="Times New Roman"/>
          <w:b/>
          <w:bCs/>
          <w:sz w:val="24"/>
          <w:szCs w:val="24"/>
          <w:lang w:val="en-US"/>
        </w:rPr>
        <w:t>Reference</w:t>
      </w:r>
    </w:p>
    <w:p w14:paraId="53D3E8E8"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Alakurtti, K., Johansson, J. J., Joutsa, J., Laine, M., Bäckman, L., Nyberg, L., &amp; Rinne, J. O. (2015). Long-term test–retest reliability of striatal and extrastriatal dopamine D2/3 receptor binding: study with [11C] raclopride and high-resolution PET. </w:t>
      </w:r>
      <w:r w:rsidRPr="00A97787">
        <w:rPr>
          <w:rFonts w:ascii="Times New Roman" w:hAnsi="Times New Roman" w:cs="Times New Roman"/>
          <w:i/>
          <w:lang w:val="en-HK"/>
        </w:rPr>
        <w:t>Journal of Cerebral Blood Flow &amp; Metabolism</w:t>
      </w:r>
      <w:r w:rsidRPr="00A97787">
        <w:rPr>
          <w:rFonts w:ascii="Times New Roman" w:hAnsi="Times New Roman" w:cs="Times New Roman"/>
          <w:lang w:val="en-HK"/>
        </w:rPr>
        <w:t>,</w:t>
      </w:r>
      <w:r w:rsidRPr="00A97787">
        <w:rPr>
          <w:rFonts w:ascii="Times New Roman" w:hAnsi="Times New Roman" w:cs="Times New Roman"/>
          <w:i/>
          <w:lang w:val="en-HK"/>
        </w:rPr>
        <w:t xml:space="preserve"> 35</w:t>
      </w:r>
      <w:r w:rsidRPr="00A97787">
        <w:rPr>
          <w:rFonts w:ascii="Times New Roman" w:hAnsi="Times New Roman" w:cs="Times New Roman"/>
          <w:lang w:val="en-HK"/>
        </w:rPr>
        <w:t xml:space="preserve">(7), 1199-1205. </w:t>
      </w:r>
    </w:p>
    <w:p w14:paraId="039AE706"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Beliveau, V., Ganz, M., Feng, L., Ozenne, B., Højgaard, L., Fisher, P. M., Svarer, C., Greve, D. N., &amp; Knudsen, G. M. (2017). A high-resolution in vivo atlas of the human brain's serotonin system. </w:t>
      </w:r>
      <w:r w:rsidRPr="00A97787">
        <w:rPr>
          <w:rFonts w:ascii="Times New Roman" w:hAnsi="Times New Roman" w:cs="Times New Roman"/>
          <w:i/>
          <w:lang w:val="en-HK"/>
        </w:rPr>
        <w:t>Journal of Neuroscience</w:t>
      </w:r>
      <w:r w:rsidRPr="00A97787">
        <w:rPr>
          <w:rFonts w:ascii="Times New Roman" w:hAnsi="Times New Roman" w:cs="Times New Roman"/>
          <w:lang w:val="en-HK"/>
        </w:rPr>
        <w:t>,</w:t>
      </w:r>
      <w:r w:rsidRPr="00A97787">
        <w:rPr>
          <w:rFonts w:ascii="Times New Roman" w:hAnsi="Times New Roman" w:cs="Times New Roman"/>
          <w:i/>
          <w:lang w:val="en-HK"/>
        </w:rPr>
        <w:t xml:space="preserve"> 37</w:t>
      </w:r>
      <w:r w:rsidRPr="00A97787">
        <w:rPr>
          <w:rFonts w:ascii="Times New Roman" w:hAnsi="Times New Roman" w:cs="Times New Roman"/>
          <w:lang w:val="en-HK"/>
        </w:rPr>
        <w:t xml:space="preserve">(1), 120-128. </w:t>
      </w:r>
    </w:p>
    <w:p w14:paraId="689D8361"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Dukart, J., Holiga, Š., Chatham, C., Hawkins, P., Forsyth, A., McMillan, R., Myers, J., Lingford-Hughes, A. R., Nutt, D. J., &amp; Merlo-Pich, E. (2018). Cerebral blood flow predicts differential neurotransmitter activity. </w:t>
      </w:r>
      <w:r w:rsidRPr="00A97787">
        <w:rPr>
          <w:rFonts w:ascii="Times New Roman" w:hAnsi="Times New Roman" w:cs="Times New Roman"/>
          <w:i/>
          <w:lang w:val="en-HK"/>
        </w:rPr>
        <w:t>Scientific reports</w:t>
      </w:r>
      <w:r w:rsidRPr="00A97787">
        <w:rPr>
          <w:rFonts w:ascii="Times New Roman" w:hAnsi="Times New Roman" w:cs="Times New Roman"/>
          <w:lang w:val="en-HK"/>
        </w:rPr>
        <w:t>,</w:t>
      </w:r>
      <w:r w:rsidRPr="00A97787">
        <w:rPr>
          <w:rFonts w:ascii="Times New Roman" w:hAnsi="Times New Roman" w:cs="Times New Roman"/>
          <w:i/>
          <w:lang w:val="en-HK"/>
        </w:rPr>
        <w:t xml:space="preserve"> 8</w:t>
      </w:r>
      <w:r w:rsidRPr="00A97787">
        <w:rPr>
          <w:rFonts w:ascii="Times New Roman" w:hAnsi="Times New Roman" w:cs="Times New Roman"/>
          <w:lang w:val="en-HK"/>
        </w:rPr>
        <w:t xml:space="preserve">(1), 4074. </w:t>
      </w:r>
    </w:p>
    <w:p w14:paraId="7DC614E6"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Fazio, P., Schain, M., Varnäs, K., Halldin, C., Farde, L., &amp; Varrone, A. (2016). Mapping the distribution of serotonin transporter in the human brainstem with high-resolution PET: Validation using postmortem autoradiography data. </w:t>
      </w:r>
      <w:r w:rsidRPr="00A97787">
        <w:rPr>
          <w:rFonts w:ascii="Times New Roman" w:hAnsi="Times New Roman" w:cs="Times New Roman"/>
          <w:i/>
          <w:lang w:val="en-HK"/>
        </w:rPr>
        <w:t>Neuroimage</w:t>
      </w:r>
      <w:r w:rsidRPr="00A97787">
        <w:rPr>
          <w:rFonts w:ascii="Times New Roman" w:hAnsi="Times New Roman" w:cs="Times New Roman"/>
          <w:lang w:val="en-HK"/>
        </w:rPr>
        <w:t>,</w:t>
      </w:r>
      <w:r w:rsidRPr="00A97787">
        <w:rPr>
          <w:rFonts w:ascii="Times New Roman" w:hAnsi="Times New Roman" w:cs="Times New Roman"/>
          <w:i/>
          <w:lang w:val="en-HK"/>
        </w:rPr>
        <w:t xml:space="preserve"> 133</w:t>
      </w:r>
      <w:r w:rsidRPr="00A97787">
        <w:rPr>
          <w:rFonts w:ascii="Times New Roman" w:hAnsi="Times New Roman" w:cs="Times New Roman"/>
          <w:lang w:val="en-HK"/>
        </w:rPr>
        <w:t xml:space="preserve">, 313-320. </w:t>
      </w:r>
    </w:p>
    <w:p w14:paraId="331CB4A4"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lastRenderedPageBreak/>
        <w:t xml:space="preserve">Foti, N. J., Hughes, J. M., &amp; Rockmore, D. N. (2011). Nonparametric sparsification of complex multiscale networks. </w:t>
      </w:r>
      <w:r w:rsidRPr="00A97787">
        <w:rPr>
          <w:rFonts w:ascii="Times New Roman" w:hAnsi="Times New Roman" w:cs="Times New Roman"/>
          <w:i/>
          <w:lang w:val="en-HK"/>
        </w:rPr>
        <w:t>PLoS One</w:t>
      </w:r>
      <w:r w:rsidRPr="00A97787">
        <w:rPr>
          <w:rFonts w:ascii="Times New Roman" w:hAnsi="Times New Roman" w:cs="Times New Roman"/>
          <w:lang w:val="en-HK"/>
        </w:rPr>
        <w:t>,</w:t>
      </w:r>
      <w:r w:rsidRPr="00A97787">
        <w:rPr>
          <w:rFonts w:ascii="Times New Roman" w:hAnsi="Times New Roman" w:cs="Times New Roman"/>
          <w:i/>
          <w:lang w:val="en-HK"/>
        </w:rPr>
        <w:t xml:space="preserve"> 6</w:t>
      </w:r>
      <w:r w:rsidRPr="00A97787">
        <w:rPr>
          <w:rFonts w:ascii="Times New Roman" w:hAnsi="Times New Roman" w:cs="Times New Roman"/>
          <w:lang w:val="en-HK"/>
        </w:rPr>
        <w:t xml:space="preserve">(2), e16431. </w:t>
      </w:r>
    </w:p>
    <w:p w14:paraId="6F4ABF6F"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García-Gómez, F., García-Solís, D., Luis-Simón, F., Marín-Oyaga, V., Carrillo, F., Mir, P., &amp; Vázquez-Albertino, R. (2013). Elaboration of the SPM template for the standardization of SPECT images with 123I-Ioflupane. </w:t>
      </w:r>
      <w:r w:rsidRPr="00A97787">
        <w:rPr>
          <w:rFonts w:ascii="Times New Roman" w:hAnsi="Times New Roman" w:cs="Times New Roman"/>
          <w:i/>
          <w:lang w:val="en-HK"/>
        </w:rPr>
        <w:t>Revista Española de Medicina Nuclear e Imagen Molecular (English Edition)</w:t>
      </w:r>
      <w:r w:rsidRPr="00A97787">
        <w:rPr>
          <w:rFonts w:ascii="Times New Roman" w:hAnsi="Times New Roman" w:cs="Times New Roman"/>
          <w:lang w:val="en-HK"/>
        </w:rPr>
        <w:t>,</w:t>
      </w:r>
      <w:r w:rsidRPr="00A97787">
        <w:rPr>
          <w:rFonts w:ascii="Times New Roman" w:hAnsi="Times New Roman" w:cs="Times New Roman"/>
          <w:i/>
          <w:lang w:val="en-HK"/>
        </w:rPr>
        <w:t xml:space="preserve"> 32</w:t>
      </w:r>
      <w:r w:rsidRPr="00A97787">
        <w:rPr>
          <w:rFonts w:ascii="Times New Roman" w:hAnsi="Times New Roman" w:cs="Times New Roman"/>
          <w:lang w:val="en-HK"/>
        </w:rPr>
        <w:t xml:space="preserve">(6), 350-356. </w:t>
      </w:r>
    </w:p>
    <w:p w14:paraId="219EE695"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Hansen, J. Y., Shafiei, G., Markello, R. D., Smart, K., Cox, S. M., Nørgaard, M., Beliveau, V., Wu, Y., Gallezot, J.-D., &amp; Aumont, É. (2022). Mapping neurotransmitter systems to the structural and functional organization of the human neocortex. </w:t>
      </w:r>
      <w:r w:rsidRPr="00A97787">
        <w:rPr>
          <w:rFonts w:ascii="Times New Roman" w:hAnsi="Times New Roman" w:cs="Times New Roman"/>
          <w:i/>
          <w:lang w:val="en-HK"/>
        </w:rPr>
        <w:t>Nature neuroscience</w:t>
      </w:r>
      <w:r w:rsidRPr="00A97787">
        <w:rPr>
          <w:rFonts w:ascii="Times New Roman" w:hAnsi="Times New Roman" w:cs="Times New Roman"/>
          <w:lang w:val="en-HK"/>
        </w:rPr>
        <w:t>,</w:t>
      </w:r>
      <w:r w:rsidRPr="00A97787">
        <w:rPr>
          <w:rFonts w:ascii="Times New Roman" w:hAnsi="Times New Roman" w:cs="Times New Roman"/>
          <w:i/>
          <w:lang w:val="en-HK"/>
        </w:rPr>
        <w:t xml:space="preserve"> 25</w:t>
      </w:r>
      <w:r w:rsidRPr="00A97787">
        <w:rPr>
          <w:rFonts w:ascii="Times New Roman" w:hAnsi="Times New Roman" w:cs="Times New Roman"/>
          <w:lang w:val="en-HK"/>
        </w:rPr>
        <w:t xml:space="preserve">(11), 1569-1581. </w:t>
      </w:r>
    </w:p>
    <w:p w14:paraId="6800B346"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Hayes, A. F. (2017). </w:t>
      </w:r>
      <w:r w:rsidRPr="00A97787">
        <w:rPr>
          <w:rFonts w:ascii="Times New Roman" w:hAnsi="Times New Roman" w:cs="Times New Roman"/>
          <w:i/>
          <w:lang w:val="en-HK"/>
        </w:rPr>
        <w:t>Introduction to mediation, moderation, and conditional process analysis: A regression-based approach</w:t>
      </w:r>
      <w:r w:rsidRPr="00A97787">
        <w:rPr>
          <w:rFonts w:ascii="Times New Roman" w:hAnsi="Times New Roman" w:cs="Times New Roman"/>
          <w:lang w:val="en-HK"/>
        </w:rPr>
        <w:t xml:space="preserve">. Guilford publications. </w:t>
      </w:r>
    </w:p>
    <w:p w14:paraId="7DEA79C4"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Hesse, S., Becker, G.-A., Rullmann, M., Bresch, A., Luthardt, J., Hankir, M. K., Zientek, F., Reißig, G., Patt, M., &amp; Arelin, K. (2017). Central noradrenaline transporter availability in highly obese, non-depressed individuals. </w:t>
      </w:r>
      <w:r w:rsidRPr="00A97787">
        <w:rPr>
          <w:rFonts w:ascii="Times New Roman" w:hAnsi="Times New Roman" w:cs="Times New Roman"/>
          <w:i/>
          <w:lang w:val="en-HK"/>
        </w:rPr>
        <w:t>European journal of nuclear medicine and molecular imaging</w:t>
      </w:r>
      <w:r w:rsidRPr="00A97787">
        <w:rPr>
          <w:rFonts w:ascii="Times New Roman" w:hAnsi="Times New Roman" w:cs="Times New Roman"/>
          <w:lang w:val="en-HK"/>
        </w:rPr>
        <w:t>,</w:t>
      </w:r>
      <w:r w:rsidRPr="00A97787">
        <w:rPr>
          <w:rFonts w:ascii="Times New Roman" w:hAnsi="Times New Roman" w:cs="Times New Roman"/>
          <w:i/>
          <w:lang w:val="en-HK"/>
        </w:rPr>
        <w:t xml:space="preserve"> 44</w:t>
      </w:r>
      <w:r w:rsidRPr="00A97787">
        <w:rPr>
          <w:rFonts w:ascii="Times New Roman" w:hAnsi="Times New Roman" w:cs="Times New Roman"/>
          <w:lang w:val="en-HK"/>
        </w:rPr>
        <w:t xml:space="preserve">(6), 1056-1064. </w:t>
      </w:r>
    </w:p>
    <w:p w14:paraId="274E3F47"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Holiga, Š., Sambataro, F., Luzy, C., Greig, G., Sarkar, N., Renken, R. J., Marsman, J.-B. C., Schobel, S. A., Bertolino, A., &amp; Dukart, J. (2018). Test-retest reliability of task-based and resting-state blood oxygen level dependence and cerebral blood flow measures. </w:t>
      </w:r>
      <w:r w:rsidRPr="00A97787">
        <w:rPr>
          <w:rFonts w:ascii="Times New Roman" w:hAnsi="Times New Roman" w:cs="Times New Roman"/>
          <w:i/>
          <w:lang w:val="en-HK"/>
        </w:rPr>
        <w:t>PLoS One</w:t>
      </w:r>
      <w:r w:rsidRPr="00A97787">
        <w:rPr>
          <w:rFonts w:ascii="Times New Roman" w:hAnsi="Times New Roman" w:cs="Times New Roman"/>
          <w:lang w:val="en-HK"/>
        </w:rPr>
        <w:t>,</w:t>
      </w:r>
      <w:r w:rsidRPr="00A97787">
        <w:rPr>
          <w:rFonts w:ascii="Times New Roman" w:hAnsi="Times New Roman" w:cs="Times New Roman"/>
          <w:i/>
          <w:lang w:val="en-HK"/>
        </w:rPr>
        <w:t xml:space="preserve"> 13</w:t>
      </w:r>
      <w:r w:rsidRPr="00A97787">
        <w:rPr>
          <w:rFonts w:ascii="Times New Roman" w:hAnsi="Times New Roman" w:cs="Times New Roman"/>
          <w:lang w:val="en-HK"/>
        </w:rPr>
        <w:t xml:space="preserve">(11), e0206583. </w:t>
      </w:r>
    </w:p>
    <w:p w14:paraId="7FDE4FFF"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Kaller, S., Rullmann, M., Patt, M., Becker, G.-A., Luthardt, J., Girbardt, J., Meyer, P. M., Werner, P., Barthel, H., &amp; Bresch, A. (2017). Test–retest measurements of dopamine D1-type receptors using simultaneous PET/MRI imaging. </w:t>
      </w:r>
      <w:r w:rsidRPr="00A97787">
        <w:rPr>
          <w:rFonts w:ascii="Times New Roman" w:hAnsi="Times New Roman" w:cs="Times New Roman"/>
          <w:i/>
          <w:lang w:val="en-HK"/>
        </w:rPr>
        <w:t>European journal of nuclear medicine and molecular imaging</w:t>
      </w:r>
      <w:r w:rsidRPr="00A97787">
        <w:rPr>
          <w:rFonts w:ascii="Times New Roman" w:hAnsi="Times New Roman" w:cs="Times New Roman"/>
          <w:lang w:val="en-HK"/>
        </w:rPr>
        <w:t>,</w:t>
      </w:r>
      <w:r w:rsidRPr="00A97787">
        <w:rPr>
          <w:rFonts w:ascii="Times New Roman" w:hAnsi="Times New Roman" w:cs="Times New Roman"/>
          <w:i/>
          <w:lang w:val="en-HK"/>
        </w:rPr>
        <w:t xml:space="preserve"> 44</w:t>
      </w:r>
      <w:r w:rsidRPr="00A97787">
        <w:rPr>
          <w:rFonts w:ascii="Times New Roman" w:hAnsi="Times New Roman" w:cs="Times New Roman"/>
          <w:lang w:val="en-HK"/>
        </w:rPr>
        <w:t xml:space="preserve">(6), 1025-1032. </w:t>
      </w:r>
    </w:p>
    <w:p w14:paraId="0EAFD53D"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lastRenderedPageBreak/>
        <w:t xml:space="preserve">Kantonen, T., Karjalainen, T., Isojärvi, J., Nuutila, P., Tuisku, J., Rinne, J., Hietala, J., Kaasinen, V., Kalliokoski, K., &amp; Scheinin, H. (2020). Interindividual variability and lateralization of </w:t>
      </w:r>
      <w:r w:rsidRPr="00A97787">
        <w:rPr>
          <w:rFonts w:ascii="Times New Roman" w:hAnsi="Times New Roman" w:cs="Times New Roman"/>
        </w:rPr>
        <w:t>μ</w:t>
      </w:r>
      <w:r w:rsidRPr="00A97787">
        <w:rPr>
          <w:rFonts w:ascii="Times New Roman" w:hAnsi="Times New Roman" w:cs="Times New Roman"/>
          <w:lang w:val="en-HK"/>
        </w:rPr>
        <w:t xml:space="preserve">-opioid receptors in the human brain. </w:t>
      </w:r>
      <w:r w:rsidRPr="00A97787">
        <w:rPr>
          <w:rFonts w:ascii="Times New Roman" w:hAnsi="Times New Roman" w:cs="Times New Roman"/>
          <w:i/>
          <w:lang w:val="en-HK"/>
        </w:rPr>
        <w:t>Neuroimage</w:t>
      </w:r>
      <w:r w:rsidRPr="00A97787">
        <w:rPr>
          <w:rFonts w:ascii="Times New Roman" w:hAnsi="Times New Roman" w:cs="Times New Roman"/>
          <w:lang w:val="en-HK"/>
        </w:rPr>
        <w:t>,</w:t>
      </w:r>
      <w:r w:rsidRPr="00A97787">
        <w:rPr>
          <w:rFonts w:ascii="Times New Roman" w:hAnsi="Times New Roman" w:cs="Times New Roman"/>
          <w:i/>
          <w:lang w:val="en-HK"/>
        </w:rPr>
        <w:t xml:space="preserve"> 217</w:t>
      </w:r>
      <w:r w:rsidRPr="00A97787">
        <w:rPr>
          <w:rFonts w:ascii="Times New Roman" w:hAnsi="Times New Roman" w:cs="Times New Roman"/>
          <w:lang w:val="en-HK"/>
        </w:rPr>
        <w:t xml:space="preserve">, 116922. </w:t>
      </w:r>
    </w:p>
    <w:p w14:paraId="0A943258"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Nørgaard, M., Beliveau, V., Ganz, M., Svarer, C., Pinborg, L. H., Keller, S. H., Jensen, P. S., Greve, D. N., &amp; Knudsen, G. M. (2021). A high-resolution in vivo atlas of the human brain's benzodiazepine binding site of GABAA receptors. </w:t>
      </w:r>
      <w:r w:rsidRPr="00A97787">
        <w:rPr>
          <w:rFonts w:ascii="Times New Roman" w:hAnsi="Times New Roman" w:cs="Times New Roman"/>
          <w:i/>
          <w:lang w:val="en-HK"/>
        </w:rPr>
        <w:t>Neuroimage</w:t>
      </w:r>
      <w:r w:rsidRPr="00A97787">
        <w:rPr>
          <w:rFonts w:ascii="Times New Roman" w:hAnsi="Times New Roman" w:cs="Times New Roman"/>
          <w:lang w:val="en-HK"/>
        </w:rPr>
        <w:t>,</w:t>
      </w:r>
      <w:r w:rsidRPr="00A97787">
        <w:rPr>
          <w:rFonts w:ascii="Times New Roman" w:hAnsi="Times New Roman" w:cs="Times New Roman"/>
          <w:i/>
          <w:lang w:val="en-HK"/>
        </w:rPr>
        <w:t xml:space="preserve"> 232</w:t>
      </w:r>
      <w:r w:rsidRPr="00A97787">
        <w:rPr>
          <w:rFonts w:ascii="Times New Roman" w:hAnsi="Times New Roman" w:cs="Times New Roman"/>
          <w:lang w:val="en-HK"/>
        </w:rPr>
        <w:t xml:space="preserve">, 117878. </w:t>
      </w:r>
    </w:p>
    <w:p w14:paraId="725C21BF"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Rubinov, M., &amp; Sporns, O. (2011). Weight-conserving characterization of complex functional brain networks. </w:t>
      </w:r>
      <w:r w:rsidRPr="00A97787">
        <w:rPr>
          <w:rFonts w:ascii="Times New Roman" w:hAnsi="Times New Roman" w:cs="Times New Roman"/>
          <w:i/>
          <w:lang w:val="en-HK"/>
        </w:rPr>
        <w:t>Neuroimage</w:t>
      </w:r>
      <w:r w:rsidRPr="00A97787">
        <w:rPr>
          <w:rFonts w:ascii="Times New Roman" w:hAnsi="Times New Roman" w:cs="Times New Roman"/>
          <w:lang w:val="en-HK"/>
        </w:rPr>
        <w:t>,</w:t>
      </w:r>
      <w:r w:rsidRPr="00A97787">
        <w:rPr>
          <w:rFonts w:ascii="Times New Roman" w:hAnsi="Times New Roman" w:cs="Times New Roman"/>
          <w:i/>
          <w:lang w:val="en-HK"/>
        </w:rPr>
        <w:t xml:space="preserve"> 56</w:t>
      </w:r>
      <w:r w:rsidRPr="00A97787">
        <w:rPr>
          <w:rFonts w:ascii="Times New Roman" w:hAnsi="Times New Roman" w:cs="Times New Roman"/>
          <w:lang w:val="en-HK"/>
        </w:rPr>
        <w:t xml:space="preserve">(4), 2068-2079. </w:t>
      </w:r>
    </w:p>
    <w:p w14:paraId="53879D0A"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Savli, M., Bauer, A., Mitterhauser, M., Ding, Y.-S., Hahn, A., Kroll, T., Neumeister, A., Haeusler, D., Ungersboeck, J., &amp; Henry, S. (2012). Normative database of the serotonergic system in healthy subjects using multi-tracer PET. </w:t>
      </w:r>
      <w:r w:rsidRPr="00A97787">
        <w:rPr>
          <w:rFonts w:ascii="Times New Roman" w:hAnsi="Times New Roman" w:cs="Times New Roman"/>
          <w:i/>
          <w:lang w:val="en-HK"/>
        </w:rPr>
        <w:t>Neuroimage</w:t>
      </w:r>
      <w:r w:rsidRPr="00A97787">
        <w:rPr>
          <w:rFonts w:ascii="Times New Roman" w:hAnsi="Times New Roman" w:cs="Times New Roman"/>
          <w:lang w:val="en-HK"/>
        </w:rPr>
        <w:t>,</w:t>
      </w:r>
      <w:r w:rsidRPr="00A97787">
        <w:rPr>
          <w:rFonts w:ascii="Times New Roman" w:hAnsi="Times New Roman" w:cs="Times New Roman"/>
          <w:i/>
          <w:lang w:val="en-HK"/>
        </w:rPr>
        <w:t xml:space="preserve"> 63</w:t>
      </w:r>
      <w:r w:rsidRPr="00A97787">
        <w:rPr>
          <w:rFonts w:ascii="Times New Roman" w:hAnsi="Times New Roman" w:cs="Times New Roman"/>
          <w:lang w:val="en-HK"/>
        </w:rPr>
        <w:t xml:space="preserve">(1), 447-459. </w:t>
      </w:r>
    </w:p>
    <w:p w14:paraId="14A05DD4"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Siow, T. Y., Toh, C. H., Hsu, J.-L., Liu, G.-H., Lee, S.-H., Chen, N.-H., Fu, C. J., Castillo, M., &amp; Fang, J.-T. (2022). Association of sleep, neuropsychological performance, and gray matter volume with glymphatic function in community-dwelling older adults. </w:t>
      </w:r>
      <w:r w:rsidRPr="00A97787">
        <w:rPr>
          <w:rFonts w:ascii="Times New Roman" w:hAnsi="Times New Roman" w:cs="Times New Roman"/>
          <w:i/>
          <w:lang w:val="en-HK"/>
        </w:rPr>
        <w:t>Neurology</w:t>
      </w:r>
      <w:r w:rsidRPr="00A97787">
        <w:rPr>
          <w:rFonts w:ascii="Times New Roman" w:hAnsi="Times New Roman" w:cs="Times New Roman"/>
          <w:lang w:val="en-HK"/>
        </w:rPr>
        <w:t>,</w:t>
      </w:r>
      <w:r w:rsidRPr="00A97787">
        <w:rPr>
          <w:rFonts w:ascii="Times New Roman" w:hAnsi="Times New Roman" w:cs="Times New Roman"/>
          <w:i/>
          <w:lang w:val="en-HK"/>
        </w:rPr>
        <w:t xml:space="preserve"> 98</w:t>
      </w:r>
      <w:r w:rsidRPr="00A97787">
        <w:rPr>
          <w:rFonts w:ascii="Times New Roman" w:hAnsi="Times New Roman" w:cs="Times New Roman"/>
          <w:lang w:val="en-HK"/>
        </w:rPr>
        <w:t xml:space="preserve">(8), e829-e838. </w:t>
      </w:r>
    </w:p>
    <w:p w14:paraId="673C55A5"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Taoka, T., Masutani, Y., Kawai, H., Nakane, T., Matsuoka, K., Yasuno, F., Kishimoto, T., &amp; Naganawa, S. (2017). Evaluation of glymphatic system activity with the diffusion MR technique: diffusion tensor image analysis along the perivascular space (DTI-ALPS) in Alzheimer's disease cases. </w:t>
      </w:r>
      <w:r w:rsidRPr="00A97787">
        <w:rPr>
          <w:rFonts w:ascii="Times New Roman" w:hAnsi="Times New Roman" w:cs="Times New Roman"/>
          <w:i/>
          <w:lang w:val="en-HK"/>
        </w:rPr>
        <w:t>Jpn J Radiol</w:t>
      </w:r>
      <w:r w:rsidRPr="00A97787">
        <w:rPr>
          <w:rFonts w:ascii="Times New Roman" w:hAnsi="Times New Roman" w:cs="Times New Roman"/>
          <w:lang w:val="en-HK"/>
        </w:rPr>
        <w:t>,</w:t>
      </w:r>
      <w:r w:rsidRPr="00A97787">
        <w:rPr>
          <w:rFonts w:ascii="Times New Roman" w:hAnsi="Times New Roman" w:cs="Times New Roman"/>
          <w:i/>
          <w:lang w:val="en-HK"/>
        </w:rPr>
        <w:t xml:space="preserve"> 35</w:t>
      </w:r>
      <w:r w:rsidRPr="00A97787">
        <w:rPr>
          <w:rFonts w:ascii="Times New Roman" w:hAnsi="Times New Roman" w:cs="Times New Roman"/>
          <w:lang w:val="en-HK"/>
        </w:rPr>
        <w:t xml:space="preserve">(4), 172-178. https://doi.org/10.1007/s11604-017-0617-z </w:t>
      </w:r>
    </w:p>
    <w:p w14:paraId="10AE8DA9" w14:textId="77777777" w:rsidR="00F05361" w:rsidRPr="00A97787" w:rsidRDefault="00F05361" w:rsidP="00A97787">
      <w:pPr>
        <w:pStyle w:val="EndNoteBibliography"/>
        <w:spacing w:after="0" w:line="480" w:lineRule="auto"/>
        <w:ind w:left="720" w:hanging="720"/>
        <w:rPr>
          <w:rFonts w:ascii="Times New Roman" w:hAnsi="Times New Roman" w:cs="Times New Roman"/>
          <w:lang w:val="en-HK"/>
        </w:rPr>
      </w:pPr>
      <w:r w:rsidRPr="00A97787">
        <w:rPr>
          <w:rFonts w:ascii="Times New Roman" w:hAnsi="Times New Roman" w:cs="Times New Roman"/>
          <w:lang w:val="en-HK"/>
        </w:rPr>
        <w:t xml:space="preserve">Yokota, H., Vijayasarathi, A., Cekic, M., Hirata, Y., Linetsky, M., Ho, M., Kim, W., &amp; Salamon, N. (2019). Diagnostic performance of glymphatic system evaluation using diffusion tensor imaging in idiopathic normal pressure hydrocephalus and mimickers. </w:t>
      </w:r>
      <w:r w:rsidRPr="00A97787">
        <w:rPr>
          <w:rFonts w:ascii="Times New Roman" w:hAnsi="Times New Roman" w:cs="Times New Roman"/>
          <w:i/>
          <w:lang w:val="en-HK"/>
        </w:rPr>
        <w:t>Current Gerontology and Geriatrics Research</w:t>
      </w:r>
      <w:r w:rsidRPr="00A97787">
        <w:rPr>
          <w:rFonts w:ascii="Times New Roman" w:hAnsi="Times New Roman" w:cs="Times New Roman"/>
          <w:lang w:val="en-HK"/>
        </w:rPr>
        <w:t>,</w:t>
      </w:r>
      <w:r w:rsidRPr="00A97787">
        <w:rPr>
          <w:rFonts w:ascii="Times New Roman" w:hAnsi="Times New Roman" w:cs="Times New Roman"/>
          <w:i/>
          <w:lang w:val="en-HK"/>
        </w:rPr>
        <w:t xml:space="preserve"> 2019</w:t>
      </w:r>
      <w:r w:rsidRPr="00A97787">
        <w:rPr>
          <w:rFonts w:ascii="Times New Roman" w:hAnsi="Times New Roman" w:cs="Times New Roman"/>
          <w:lang w:val="en-HK"/>
        </w:rPr>
        <w:t xml:space="preserve">(1), 5675014. </w:t>
      </w:r>
    </w:p>
    <w:p w14:paraId="137D4365" w14:textId="77777777" w:rsidR="00F05361" w:rsidRPr="00A97787" w:rsidRDefault="00F05361" w:rsidP="00A97787">
      <w:pPr>
        <w:pStyle w:val="EndNoteBibliography"/>
        <w:spacing w:after="0" w:line="480" w:lineRule="auto"/>
        <w:ind w:left="720" w:hanging="720"/>
        <w:rPr>
          <w:rFonts w:ascii="Times New Roman" w:hAnsi="Times New Roman" w:cs="Times New Roman"/>
        </w:rPr>
      </w:pPr>
      <w:r w:rsidRPr="00A97787">
        <w:rPr>
          <w:rFonts w:ascii="Times New Roman" w:hAnsi="Times New Roman" w:cs="Times New Roman"/>
          <w:lang w:val="en-HK"/>
        </w:rPr>
        <w:lastRenderedPageBreak/>
        <w:t xml:space="preserve">Zalesky, A., Fornito, A., &amp; Bullmore, E. T. (2010). Network-based statistic: identifying differences in brain networks. </w:t>
      </w:r>
      <w:r w:rsidRPr="00A97787">
        <w:rPr>
          <w:rFonts w:ascii="Times New Roman" w:hAnsi="Times New Roman" w:cs="Times New Roman"/>
          <w:i/>
        </w:rPr>
        <w:t>Neuroimage</w:t>
      </w:r>
      <w:r w:rsidRPr="00A97787">
        <w:rPr>
          <w:rFonts w:ascii="Times New Roman" w:hAnsi="Times New Roman" w:cs="Times New Roman"/>
        </w:rPr>
        <w:t>,</w:t>
      </w:r>
      <w:r w:rsidRPr="00A97787">
        <w:rPr>
          <w:rFonts w:ascii="Times New Roman" w:hAnsi="Times New Roman" w:cs="Times New Roman"/>
          <w:i/>
        </w:rPr>
        <w:t xml:space="preserve"> 53</w:t>
      </w:r>
      <w:r w:rsidRPr="00A97787">
        <w:rPr>
          <w:rFonts w:ascii="Times New Roman" w:hAnsi="Times New Roman" w:cs="Times New Roman"/>
        </w:rPr>
        <w:t xml:space="preserve">(4), 1197-1207. https://doi.org/10.1016/j.neuroimage.2010.06.041 </w:t>
      </w:r>
    </w:p>
    <w:p w14:paraId="478F399B" w14:textId="77777777" w:rsidR="00F05361" w:rsidRPr="00035BB3" w:rsidRDefault="00F05361" w:rsidP="00035BB3">
      <w:pPr>
        <w:rPr>
          <w:rFonts w:ascii="Times New Roman" w:hAnsi="Times New Roman" w:cs="Times New Roman"/>
          <w:b/>
          <w:bCs/>
          <w:sz w:val="24"/>
          <w:szCs w:val="24"/>
          <w:lang w:val="en-US"/>
        </w:rPr>
      </w:pPr>
    </w:p>
    <w:p w14:paraId="5CA1C6D3" w14:textId="77777777" w:rsidR="007365DB" w:rsidRDefault="007365DB"/>
    <w:sectPr w:rsidR="007365DB" w:rsidSect="006F46E9">
      <w:footerReference w:type="default" r:id="rId6"/>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55480" w14:textId="77777777" w:rsidR="003B76C6" w:rsidRDefault="003B76C6" w:rsidP="00A33DEC">
      <w:pPr>
        <w:spacing w:after="0" w:line="240" w:lineRule="auto"/>
      </w:pPr>
      <w:r>
        <w:separator/>
      </w:r>
    </w:p>
  </w:endnote>
  <w:endnote w:type="continuationSeparator" w:id="0">
    <w:p w14:paraId="75C2105D" w14:textId="77777777" w:rsidR="003B76C6" w:rsidRDefault="003B76C6" w:rsidP="00A33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945760"/>
      <w:docPartObj>
        <w:docPartGallery w:val="Page Numbers (Bottom of Page)"/>
        <w:docPartUnique/>
      </w:docPartObj>
    </w:sdtPr>
    <w:sdtContent>
      <w:p w14:paraId="55F73DEE" w14:textId="3B04E2CC" w:rsidR="00A507F7" w:rsidRDefault="00A507F7">
        <w:pPr>
          <w:pStyle w:val="a9"/>
          <w:jc w:val="center"/>
        </w:pPr>
        <w:r>
          <w:fldChar w:fldCharType="begin"/>
        </w:r>
        <w:r>
          <w:instrText>PAGE   \* MERGEFORMAT</w:instrText>
        </w:r>
        <w:r>
          <w:fldChar w:fldCharType="separate"/>
        </w:r>
        <w:r>
          <w:rPr>
            <w:lang w:val="zh-CN" w:eastAsia="zh-CN"/>
          </w:rPr>
          <w:t>2</w:t>
        </w:r>
        <w:r>
          <w:fldChar w:fldCharType="end"/>
        </w:r>
      </w:p>
    </w:sdtContent>
  </w:sdt>
  <w:p w14:paraId="324CFA28" w14:textId="77777777" w:rsidR="00A507F7" w:rsidRDefault="00A507F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34F63" w14:textId="77777777" w:rsidR="003B76C6" w:rsidRDefault="003B76C6" w:rsidP="00A33DEC">
      <w:pPr>
        <w:spacing w:after="0" w:line="240" w:lineRule="auto"/>
      </w:pPr>
      <w:r>
        <w:separator/>
      </w:r>
    </w:p>
  </w:footnote>
  <w:footnote w:type="continuationSeparator" w:id="0">
    <w:p w14:paraId="20FB4D9D" w14:textId="77777777" w:rsidR="003B76C6" w:rsidRDefault="003B76C6" w:rsidP="00A33D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05361"/>
    <w:rsid w:val="0029115A"/>
    <w:rsid w:val="003B76C6"/>
    <w:rsid w:val="00644A71"/>
    <w:rsid w:val="006F46E9"/>
    <w:rsid w:val="007365DB"/>
    <w:rsid w:val="008255B2"/>
    <w:rsid w:val="00A33DEC"/>
    <w:rsid w:val="00A507F7"/>
    <w:rsid w:val="00A97787"/>
    <w:rsid w:val="00B0700A"/>
    <w:rsid w:val="00C34371"/>
    <w:rsid w:val="00D92885"/>
    <w:rsid w:val="00F05361"/>
    <w:rsid w:val="00F67211"/>
    <w:rsid w:val="00FC629E"/>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9FABA"/>
  <w15:chartTrackingRefBased/>
  <w15:docId w15:val="{890CCAAD-5153-4000-8A1A-A5149B3F3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HK"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3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qFormat/>
    <w:rsid w:val="00F05361"/>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paragraph" w:customStyle="1" w:styleId="EndNoteBibliographyTitle">
    <w:name w:val="EndNote Bibliography Title"/>
    <w:basedOn w:val="a"/>
    <w:link w:val="EndNoteBibliographyTitleChar"/>
    <w:rsid w:val="00F05361"/>
    <w:pPr>
      <w:spacing w:after="0"/>
      <w:jc w:val="center"/>
    </w:pPr>
    <w:rPr>
      <w:rFonts w:ascii="Calibri" w:eastAsia="Times New Roman" w:hAnsi="Calibri" w:cs="Calibri"/>
      <w:noProof/>
      <w:sz w:val="24"/>
      <w:szCs w:val="24"/>
      <w:lang w:val="zh-CN" w:eastAsia="zh-CN"/>
    </w:rPr>
  </w:style>
  <w:style w:type="character" w:customStyle="1" w:styleId="a4">
    <w:name w:val="普通(网站) 字符"/>
    <w:basedOn w:val="a0"/>
    <w:link w:val="a3"/>
    <w:uiPriority w:val="99"/>
    <w:rsid w:val="00F05361"/>
    <w:rPr>
      <w:rFonts w:ascii="Times New Roman" w:eastAsia="Times New Roman" w:hAnsi="Times New Roman" w:cs="Times New Roman"/>
      <w:sz w:val="24"/>
      <w:szCs w:val="24"/>
      <w:lang w:val="zh-CN" w:eastAsia="zh-CN"/>
    </w:rPr>
  </w:style>
  <w:style w:type="character" w:customStyle="1" w:styleId="EndNoteBibliographyTitleChar">
    <w:name w:val="EndNote Bibliography Title Char"/>
    <w:basedOn w:val="a4"/>
    <w:link w:val="EndNoteBibliographyTitle"/>
    <w:rsid w:val="00F05361"/>
    <w:rPr>
      <w:rFonts w:ascii="Calibri" w:eastAsia="Times New Roman" w:hAnsi="Calibri" w:cs="Calibri"/>
      <w:noProof/>
      <w:sz w:val="24"/>
      <w:szCs w:val="24"/>
      <w:lang w:val="zh-CN" w:eastAsia="zh-CN"/>
    </w:rPr>
  </w:style>
  <w:style w:type="paragraph" w:customStyle="1" w:styleId="EndNoteBibliography">
    <w:name w:val="EndNote Bibliography"/>
    <w:basedOn w:val="a"/>
    <w:link w:val="EndNoteBibliographyChar"/>
    <w:rsid w:val="00F05361"/>
    <w:pPr>
      <w:spacing w:line="240" w:lineRule="auto"/>
    </w:pPr>
    <w:rPr>
      <w:rFonts w:ascii="Calibri" w:eastAsia="Times New Roman" w:hAnsi="Calibri" w:cs="Calibri"/>
      <w:noProof/>
      <w:sz w:val="24"/>
      <w:szCs w:val="24"/>
      <w:lang w:val="zh-CN" w:eastAsia="zh-CN"/>
    </w:rPr>
  </w:style>
  <w:style w:type="character" w:customStyle="1" w:styleId="EndNoteBibliographyChar">
    <w:name w:val="EndNote Bibliography Char"/>
    <w:basedOn w:val="a4"/>
    <w:link w:val="EndNoteBibliography"/>
    <w:rsid w:val="00F05361"/>
    <w:rPr>
      <w:rFonts w:ascii="Calibri" w:eastAsia="Times New Roman" w:hAnsi="Calibri" w:cs="Calibri"/>
      <w:noProof/>
      <w:sz w:val="24"/>
      <w:szCs w:val="24"/>
      <w:lang w:val="zh-CN" w:eastAsia="zh-CN"/>
    </w:rPr>
  </w:style>
  <w:style w:type="character" w:styleId="a5">
    <w:name w:val="Hyperlink"/>
    <w:basedOn w:val="a0"/>
    <w:uiPriority w:val="99"/>
    <w:unhideWhenUsed/>
    <w:rsid w:val="00F05361"/>
    <w:rPr>
      <w:color w:val="0563C1" w:themeColor="hyperlink"/>
      <w:u w:val="single"/>
    </w:rPr>
  </w:style>
  <w:style w:type="character" w:styleId="a6">
    <w:name w:val="Unresolved Mention"/>
    <w:basedOn w:val="a0"/>
    <w:uiPriority w:val="99"/>
    <w:semiHidden/>
    <w:unhideWhenUsed/>
    <w:rsid w:val="00F05361"/>
    <w:rPr>
      <w:color w:val="605E5C"/>
      <w:shd w:val="clear" w:color="auto" w:fill="E1DFDD"/>
    </w:rPr>
  </w:style>
  <w:style w:type="paragraph" w:styleId="a7">
    <w:name w:val="header"/>
    <w:basedOn w:val="a"/>
    <w:link w:val="a8"/>
    <w:uiPriority w:val="99"/>
    <w:unhideWhenUsed/>
    <w:rsid w:val="00A33DEC"/>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A33DEC"/>
    <w:rPr>
      <w:sz w:val="18"/>
      <w:szCs w:val="18"/>
    </w:rPr>
  </w:style>
  <w:style w:type="paragraph" w:styleId="a9">
    <w:name w:val="footer"/>
    <w:basedOn w:val="a"/>
    <w:link w:val="aa"/>
    <w:uiPriority w:val="99"/>
    <w:unhideWhenUsed/>
    <w:rsid w:val="00A33DEC"/>
    <w:pPr>
      <w:tabs>
        <w:tab w:val="center" w:pos="4153"/>
        <w:tab w:val="right" w:pos="8306"/>
      </w:tabs>
      <w:snapToGrid w:val="0"/>
      <w:spacing w:line="240" w:lineRule="auto"/>
    </w:pPr>
    <w:rPr>
      <w:sz w:val="18"/>
      <w:szCs w:val="18"/>
    </w:rPr>
  </w:style>
  <w:style w:type="character" w:customStyle="1" w:styleId="aa">
    <w:name w:val="页脚 字符"/>
    <w:basedOn w:val="a0"/>
    <w:link w:val="a9"/>
    <w:uiPriority w:val="99"/>
    <w:rsid w:val="00A33DEC"/>
    <w:rPr>
      <w:sz w:val="18"/>
      <w:szCs w:val="18"/>
    </w:rPr>
  </w:style>
  <w:style w:type="character" w:styleId="ab">
    <w:name w:val="line number"/>
    <w:basedOn w:val="a0"/>
    <w:uiPriority w:val="99"/>
    <w:semiHidden/>
    <w:unhideWhenUsed/>
    <w:rsid w:val="006F4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1849</Words>
  <Characters>11539</Characters>
  <Application>Microsoft Office Word</Application>
  <DocSecurity>0</DocSecurity>
  <Lines>177</Lines>
  <Paragraphs>37</Paragraphs>
  <ScaleCrop>false</ScaleCrop>
  <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Junji Ma</dc:creator>
  <cp:keywords/>
  <dc:description/>
  <cp:lastModifiedBy>Junji MA</cp:lastModifiedBy>
  <cp:revision>4</cp:revision>
  <dcterms:created xsi:type="dcterms:W3CDTF">2026-01-26T08:52:00Z</dcterms:created>
  <dcterms:modified xsi:type="dcterms:W3CDTF">2026-01-30T07:49:00Z</dcterms:modified>
</cp:coreProperties>
</file>