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80" w:lineRule="auto"/>
        <w:jc w:val="center"/>
        <w:rPr>
          <w:rFonts w:hint="default"/>
          <w:sz w:val="36"/>
          <w:szCs w:val="36"/>
        </w:rPr>
      </w:pPr>
      <w:r>
        <w:rPr>
          <w:rFonts w:hint="default"/>
          <w:b/>
          <w:sz w:val="36"/>
          <w:szCs w:val="36"/>
        </w:rPr>
        <w:t>Supplementary materials</w:t>
      </w:r>
    </w:p>
    <w:p>
      <w:pPr>
        <w:spacing w:line="480" w:lineRule="auto"/>
        <w:rPr>
          <w:rFonts w:hint="default"/>
          <w:b/>
          <w:bCs/>
          <w:sz w:val="32"/>
          <w:szCs w:val="32"/>
        </w:rPr>
      </w:pPr>
      <w:r>
        <w:rPr>
          <w:b/>
          <w:bCs/>
          <w:sz w:val="32"/>
          <w:szCs w:val="32"/>
        </w:rPr>
        <w:t>Supplementary m</w:t>
      </w:r>
      <w:r>
        <w:rPr>
          <w:rFonts w:hint="default"/>
          <w:b/>
          <w:bCs/>
          <w:sz w:val="32"/>
          <w:szCs w:val="32"/>
        </w:rPr>
        <w:t>ethods</w:t>
      </w:r>
    </w:p>
    <w:p>
      <w:pPr>
        <w:widowControl/>
        <w:spacing w:line="480" w:lineRule="auto"/>
        <w:rPr>
          <w:rFonts w:hint="default"/>
          <w:b/>
          <w:bCs/>
          <w:sz w:val="24"/>
        </w:rPr>
      </w:pPr>
      <w:r>
        <w:rPr>
          <w:rFonts w:hint="default"/>
          <w:b/>
          <w:bCs/>
          <w:sz w:val="24"/>
        </w:rPr>
        <w:t>Study selection and classification</w:t>
      </w:r>
    </w:p>
    <w:p>
      <w:pPr>
        <w:widowControl/>
        <w:spacing w:line="480" w:lineRule="auto"/>
        <w:rPr>
          <w:rFonts w:hint="default" w:eastAsia="楷体"/>
          <w:sz w:val="24"/>
          <w:lang w:bidi="ar"/>
        </w:rPr>
      </w:pPr>
      <w:r>
        <w:rPr>
          <w:rFonts w:hint="default" w:eastAsia="楷体"/>
          <w:sz w:val="24"/>
          <w:lang w:bidi="ar"/>
        </w:rPr>
        <w:t xml:space="preserve">We </w:t>
      </w:r>
      <w:r>
        <w:rPr>
          <w:rFonts w:eastAsia="楷体"/>
          <w:sz w:val="24"/>
          <w:lang w:bidi="ar"/>
        </w:rPr>
        <w:t>performed</w:t>
      </w:r>
      <w:r>
        <w:rPr>
          <w:rFonts w:hint="default" w:eastAsia="楷体"/>
          <w:sz w:val="24"/>
          <w:lang w:bidi="ar"/>
        </w:rPr>
        <w:t xml:space="preserve"> </w:t>
      </w:r>
      <w:r>
        <w:rPr>
          <w:rFonts w:eastAsia="楷体"/>
          <w:sz w:val="24"/>
          <w:lang w:bidi="ar"/>
        </w:rPr>
        <w:t xml:space="preserve">a comprehensive and </w:t>
      </w:r>
      <w:r>
        <w:rPr>
          <w:rFonts w:hint="default" w:eastAsia="楷体"/>
          <w:sz w:val="24"/>
          <w:lang w:bidi="ar"/>
        </w:rPr>
        <w:t xml:space="preserve">systematic </w:t>
      </w:r>
      <w:r>
        <w:rPr>
          <w:rFonts w:eastAsia="楷体"/>
          <w:sz w:val="24"/>
          <w:lang w:bidi="ar"/>
        </w:rPr>
        <w:t>literature search</w:t>
      </w:r>
      <w:r>
        <w:rPr>
          <w:rFonts w:hint="default" w:eastAsia="楷体"/>
          <w:sz w:val="24"/>
          <w:lang w:bidi="ar"/>
        </w:rPr>
        <w:t xml:space="preserve"> </w:t>
      </w:r>
      <w:r>
        <w:rPr>
          <w:rFonts w:eastAsia="楷体"/>
          <w:sz w:val="24"/>
          <w:lang w:bidi="ar"/>
        </w:rPr>
        <w:t>in</w:t>
      </w:r>
      <w:r>
        <w:rPr>
          <w:rFonts w:hint="default" w:eastAsia="楷体"/>
          <w:sz w:val="24"/>
          <w:lang w:bidi="ar"/>
        </w:rPr>
        <w:t xml:space="preserve"> PubMed</w:t>
      </w:r>
      <w:r>
        <w:rPr>
          <w:rFonts w:eastAsia="楷体"/>
          <w:sz w:val="24"/>
          <w:lang w:bidi="ar"/>
        </w:rPr>
        <w:t xml:space="preserve"> </w:t>
      </w:r>
      <w:r>
        <w:rPr>
          <w:rFonts w:hint="default" w:eastAsia="楷体"/>
          <w:sz w:val="24"/>
          <w:lang w:bidi="ar"/>
        </w:rPr>
        <w:t xml:space="preserve">and Web of Science </w:t>
      </w:r>
      <w:r>
        <w:rPr>
          <w:rFonts w:eastAsia="楷体"/>
          <w:sz w:val="24"/>
          <w:lang w:bidi="ar"/>
        </w:rPr>
        <w:t>to identify</w:t>
      </w:r>
      <w:r>
        <w:rPr>
          <w:rFonts w:hint="default" w:eastAsia="楷体"/>
          <w:sz w:val="24"/>
          <w:lang w:bidi="ar"/>
        </w:rPr>
        <w:t xml:space="preserve"> </w:t>
      </w:r>
      <w:r>
        <w:rPr>
          <w:rFonts w:eastAsia="楷体"/>
          <w:sz w:val="24"/>
          <w:lang w:bidi="ar"/>
        </w:rPr>
        <w:t xml:space="preserve">relevant studies </w:t>
      </w:r>
      <w:bookmarkStart w:id="0" w:name="OLE_LINK2"/>
      <w:r>
        <w:rPr>
          <w:rFonts w:eastAsia="楷体"/>
          <w:sz w:val="24"/>
          <w:lang w:bidi="ar"/>
        </w:rPr>
        <w:t>examining brain functional or structural damage in SZ-</w:t>
      </w:r>
      <w:r>
        <w:rPr>
          <w:rFonts w:hint="default" w:eastAsia="楷体"/>
          <w:sz w:val="24"/>
          <w:lang w:bidi="ar"/>
        </w:rPr>
        <w:t xml:space="preserve"> </w:t>
      </w:r>
      <w:r>
        <w:rPr>
          <w:rFonts w:eastAsia="楷体"/>
          <w:sz w:val="24"/>
          <w:lang w:bidi="ar"/>
        </w:rPr>
        <w:t>or</w:t>
      </w:r>
      <w:r>
        <w:rPr>
          <w:rFonts w:hint="default" w:eastAsia="楷体"/>
          <w:sz w:val="24"/>
          <w:lang w:bidi="ar"/>
        </w:rPr>
        <w:t xml:space="preserve"> </w:t>
      </w:r>
      <w:r>
        <w:rPr>
          <w:rFonts w:eastAsia="楷体"/>
          <w:sz w:val="24"/>
          <w:lang w:bidi="ar"/>
        </w:rPr>
        <w:t>BD-RELs</w:t>
      </w:r>
      <w:bookmarkEnd w:id="0"/>
      <w:r>
        <w:rPr>
          <w:rFonts w:eastAsia="楷体"/>
          <w:sz w:val="24"/>
          <w:lang w:bidi="ar"/>
        </w:rPr>
        <w:t xml:space="preserve">, </w:t>
      </w:r>
      <w:r>
        <w:rPr>
          <w:rFonts w:hint="default" w:eastAsia="楷体"/>
          <w:sz w:val="24"/>
          <w:lang w:bidi="ar"/>
        </w:rPr>
        <w:t xml:space="preserve">published before </w:t>
      </w:r>
      <w:r>
        <w:rPr>
          <w:rFonts w:eastAsia="楷体"/>
          <w:sz w:val="24"/>
          <w:lang w:bidi="ar"/>
        </w:rPr>
        <w:t xml:space="preserve">1 </w:t>
      </w:r>
      <w:r>
        <w:rPr>
          <w:rFonts w:hint="default" w:eastAsia="楷体"/>
          <w:sz w:val="24"/>
          <w:lang w:bidi="ar"/>
        </w:rPr>
        <w:t>February 202</w:t>
      </w:r>
      <w:r>
        <w:rPr>
          <w:rFonts w:eastAsia="楷体"/>
          <w:sz w:val="24"/>
          <w:lang w:bidi="ar"/>
        </w:rPr>
        <w:t>3.</w:t>
      </w:r>
      <w:r>
        <w:rPr>
          <w:rFonts w:hint="default" w:eastAsia="楷体"/>
          <w:sz w:val="24"/>
          <w:lang w:bidi="ar"/>
        </w:rPr>
        <w:t xml:space="preserve"> We used a combination of the following keywords: (schizophrenia [Title/Abstract]) OR (bipolar disorder [Title/Abstract]) AND (relative OR genetic risk OR first-degree relatives OR twins OR offspring OR parents OR high risk OR genetic risk OR liability OR family study) AND (VBM [Title/Abstract] OR fMRI [Title/Abstract] OR magnetic resonance imaging [Title/Abstract] OR MRI [Title/Abstract] OR voxel-based morphometry [Title/Abstract]). </w:t>
      </w:r>
      <w:r>
        <w:rPr>
          <w:rFonts w:eastAsia="楷体"/>
          <w:sz w:val="24"/>
          <w:lang w:bidi="ar"/>
        </w:rPr>
        <w:t>The reference lists of relevant reviews and meta-analyses were hand-searched to identify studies that were missed by the database search.</w:t>
      </w:r>
      <w:r>
        <w:rPr>
          <w:rFonts w:hint="default" w:eastAsia="楷体"/>
          <w:sz w:val="24"/>
          <w:lang w:bidi="ar"/>
        </w:rPr>
        <w:t xml:space="preserve"> </w:t>
      </w:r>
      <w:r>
        <w:rPr>
          <w:rFonts w:eastAsia="楷体"/>
          <w:sz w:val="24"/>
          <w:lang w:bidi="ar"/>
        </w:rPr>
        <w:t>Studies were included if they</w:t>
      </w:r>
      <w:r>
        <w:rPr>
          <w:rFonts w:hint="default" w:eastAsia="楷体"/>
          <w:sz w:val="24"/>
          <w:lang w:bidi="ar"/>
        </w:rPr>
        <w:t xml:space="preserve"> </w:t>
      </w:r>
      <w:r>
        <w:rPr>
          <w:rFonts w:eastAsia="楷体"/>
          <w:sz w:val="24"/>
          <w:lang w:bidi="ar"/>
        </w:rPr>
        <w:t>1) were case-control studies; 2</w:t>
      </w:r>
      <w:r>
        <w:rPr>
          <w:rFonts w:hint="default" w:eastAsia="楷体"/>
          <w:sz w:val="24"/>
          <w:lang w:bidi="ar"/>
        </w:rPr>
        <w:t>) included a group of unaffected first</w:t>
      </w:r>
      <w:r>
        <w:rPr>
          <w:rFonts w:eastAsia="楷体"/>
          <w:sz w:val="24"/>
          <w:lang w:bidi="ar"/>
        </w:rPr>
        <w:t>-</w:t>
      </w:r>
      <w:r>
        <w:rPr>
          <w:rFonts w:hint="default" w:eastAsia="楷体"/>
          <w:sz w:val="24"/>
          <w:lang w:bidi="ar"/>
        </w:rPr>
        <w:t xml:space="preserve"> or second-degree RELs of patients with SZ or BD, matched for age and gender with a group of HCs; 3) employed functional and/or structural magnetic resonance imaging; 4) reported </w:t>
      </w:r>
      <w:r>
        <w:rPr>
          <w:rFonts w:eastAsia="楷体"/>
          <w:sz w:val="24"/>
          <w:lang w:bidi="ar"/>
        </w:rPr>
        <w:t>stereotaxic coordinates of</w:t>
      </w:r>
      <w:r>
        <w:rPr>
          <w:rFonts w:hint="default" w:eastAsia="楷体"/>
          <w:sz w:val="24"/>
          <w:lang w:bidi="ar"/>
        </w:rPr>
        <w:t xml:space="preserve"> the difference</w:t>
      </w:r>
      <w:r>
        <w:rPr>
          <w:rFonts w:eastAsia="楷体"/>
          <w:sz w:val="24"/>
          <w:lang w:bidi="ar"/>
        </w:rPr>
        <w:t>s</w:t>
      </w:r>
      <w:r>
        <w:rPr>
          <w:rFonts w:hint="default" w:eastAsia="楷体"/>
          <w:sz w:val="24"/>
          <w:lang w:bidi="ar"/>
        </w:rPr>
        <w:t xml:space="preserve"> in </w:t>
      </w:r>
      <w:bookmarkStart w:id="1" w:name="OLE_LINK1"/>
      <w:r>
        <w:rPr>
          <w:rFonts w:hint="default" w:eastAsia="楷体"/>
          <w:sz w:val="24"/>
          <w:lang w:bidi="ar"/>
        </w:rPr>
        <w:t>brain activation</w:t>
      </w:r>
      <w:r>
        <w:rPr>
          <w:rFonts w:eastAsia="楷体"/>
          <w:sz w:val="24"/>
          <w:lang w:bidi="ar"/>
        </w:rPr>
        <w:t xml:space="preserve"> or </w:t>
      </w:r>
      <w:r>
        <w:rPr>
          <w:rFonts w:hint="default" w:eastAsia="楷体"/>
          <w:sz w:val="24"/>
          <w:lang w:bidi="ar"/>
        </w:rPr>
        <w:t>volume</w:t>
      </w:r>
      <w:bookmarkEnd w:id="1"/>
      <w:r>
        <w:rPr>
          <w:rFonts w:hint="default" w:eastAsia="楷体"/>
          <w:sz w:val="24"/>
          <w:lang w:bidi="ar"/>
        </w:rPr>
        <w:t xml:space="preserve"> between RELs and HCs; 5) analyzed whole-brain activation</w:t>
      </w:r>
      <w:r>
        <w:rPr>
          <w:rFonts w:eastAsia="楷体"/>
          <w:sz w:val="24"/>
          <w:lang w:bidi="ar"/>
        </w:rPr>
        <w:t xml:space="preserve"> or</w:t>
      </w:r>
      <w:r>
        <w:rPr>
          <w:rFonts w:hint="default" w:eastAsia="楷体"/>
          <w:sz w:val="24"/>
          <w:lang w:bidi="ar"/>
        </w:rPr>
        <w:t xml:space="preserve"> volume. All selected </w:t>
      </w:r>
      <w:r>
        <w:rPr>
          <w:rFonts w:eastAsia="楷体"/>
          <w:sz w:val="24"/>
          <w:lang w:bidi="ar"/>
        </w:rPr>
        <w:t>studies</w:t>
      </w:r>
      <w:r>
        <w:rPr>
          <w:rFonts w:hint="default" w:eastAsia="楷体"/>
          <w:sz w:val="24"/>
          <w:lang w:bidi="ar"/>
        </w:rPr>
        <w:t xml:space="preserve"> were independently evaluated by two researchers. The initial search resulted in 5076 </w:t>
      </w:r>
      <w:r>
        <w:rPr>
          <w:rFonts w:eastAsia="楷体"/>
          <w:sz w:val="24"/>
          <w:lang w:bidi="ar"/>
        </w:rPr>
        <w:t>articles</w:t>
      </w:r>
      <w:r>
        <w:rPr>
          <w:rFonts w:hint="default" w:eastAsia="楷体"/>
          <w:sz w:val="24"/>
          <w:lang w:bidi="ar"/>
        </w:rPr>
        <w:t xml:space="preserve">. After removing duplicates and reviewing the abstracts of these articles, 581 studies were selected for full-text reading. No direct contacts were made with the authors, as all relevant full-text articles were available. 478 studies were also excluded because: 1) </w:t>
      </w:r>
      <w:r>
        <w:rPr>
          <w:rFonts w:eastAsia="楷体"/>
          <w:sz w:val="24"/>
          <w:lang w:bidi="ar"/>
        </w:rPr>
        <w:t>imaging modalities different from task fMRI or VBM were used</w:t>
      </w:r>
      <w:r>
        <w:rPr>
          <w:rFonts w:hint="default" w:eastAsia="楷体"/>
          <w:sz w:val="24"/>
          <w:lang w:bidi="ar"/>
        </w:rPr>
        <w:t xml:space="preserve">; 2) </w:t>
      </w:r>
      <w:r>
        <w:rPr>
          <w:rFonts w:eastAsia="楷体"/>
          <w:sz w:val="24"/>
          <w:lang w:bidi="ar"/>
        </w:rPr>
        <w:t>region of interest (</w:t>
      </w:r>
      <w:r>
        <w:rPr>
          <w:rFonts w:hint="default" w:eastAsia="楷体"/>
          <w:sz w:val="24"/>
          <w:lang w:bidi="ar"/>
        </w:rPr>
        <w:t>ROI</w:t>
      </w:r>
      <w:r>
        <w:rPr>
          <w:rFonts w:eastAsia="楷体"/>
          <w:sz w:val="24"/>
          <w:lang w:bidi="ar"/>
        </w:rPr>
        <w:t>)-based analyses were performed</w:t>
      </w:r>
      <w:r>
        <w:rPr>
          <w:rFonts w:hint="default" w:eastAsia="楷体"/>
          <w:sz w:val="24"/>
          <w:lang w:bidi="ar"/>
        </w:rPr>
        <w:t xml:space="preserve">; 3) </w:t>
      </w:r>
      <w:r>
        <w:rPr>
          <w:rFonts w:eastAsia="楷体"/>
          <w:sz w:val="24"/>
          <w:lang w:bidi="ar"/>
        </w:rPr>
        <w:t>participants were subjects</w:t>
      </w:r>
      <w:r>
        <w:rPr>
          <w:rFonts w:hint="default" w:eastAsia="楷体"/>
          <w:sz w:val="24"/>
          <w:lang w:bidi="ar"/>
        </w:rPr>
        <w:t xml:space="preserve"> at clinical risk for SZ or BD; 4) </w:t>
      </w:r>
      <w:r>
        <w:rPr>
          <w:rFonts w:eastAsia="楷体"/>
          <w:sz w:val="24"/>
          <w:lang w:bidi="ar"/>
        </w:rPr>
        <w:t>SZ- and BD-RELs or RELs and patients were analyzed together; 5</w:t>
      </w:r>
      <w:r>
        <w:rPr>
          <w:rFonts w:hint="default" w:eastAsia="楷体"/>
          <w:sz w:val="24"/>
          <w:lang w:bidi="ar"/>
        </w:rPr>
        <w:t xml:space="preserve">) </w:t>
      </w:r>
      <w:r>
        <w:rPr>
          <w:rFonts w:eastAsia="楷体"/>
          <w:sz w:val="24"/>
          <w:lang w:bidi="ar"/>
        </w:rPr>
        <w:t>n</w:t>
      </w:r>
      <w:r>
        <w:rPr>
          <w:rFonts w:hint="default" w:eastAsia="楷体"/>
          <w:sz w:val="24"/>
          <w:lang w:bidi="ar"/>
        </w:rPr>
        <w:t xml:space="preserve">o stereotaxic coordinates </w:t>
      </w:r>
      <w:r>
        <w:rPr>
          <w:rFonts w:eastAsia="楷体"/>
          <w:sz w:val="24"/>
          <w:lang w:bidi="ar"/>
        </w:rPr>
        <w:t>were provided</w:t>
      </w:r>
      <w:r>
        <w:rPr>
          <w:rFonts w:hint="default" w:eastAsia="楷体"/>
          <w:sz w:val="24"/>
          <w:lang w:bidi="ar"/>
        </w:rPr>
        <w:t>. A total of 103 studies were selected. The groups of the included studies were comparable and matched appropriately. The included studies had the following characteristics:</w:t>
      </w:r>
    </w:p>
    <w:p>
      <w:pPr>
        <w:widowControl/>
        <w:numPr>
          <w:ilvl w:val="0"/>
          <w:numId w:val="1"/>
        </w:numPr>
        <w:spacing w:line="480" w:lineRule="auto"/>
        <w:rPr>
          <w:rFonts w:hint="default"/>
          <w:b/>
          <w:sz w:val="24"/>
        </w:rPr>
      </w:pPr>
      <w:r>
        <w:rPr>
          <w:rFonts w:hint="default" w:eastAsia="楷体"/>
          <w:sz w:val="24"/>
          <w:lang w:bidi="ar"/>
        </w:rPr>
        <w:t>58 fMRI studies (1-57) on 1421 SZ-RELs (mean age 30.6 years) and 1907 HCs (mean age 28.8 years);</w:t>
      </w:r>
    </w:p>
    <w:p>
      <w:pPr>
        <w:widowControl/>
        <w:numPr>
          <w:ilvl w:val="0"/>
          <w:numId w:val="1"/>
        </w:numPr>
        <w:spacing w:line="480" w:lineRule="auto"/>
        <w:rPr>
          <w:rFonts w:hint="default"/>
          <w:b/>
          <w:sz w:val="24"/>
        </w:rPr>
      </w:pPr>
      <w:r>
        <w:rPr>
          <w:rFonts w:hint="default" w:eastAsia="楷体"/>
          <w:sz w:val="24"/>
          <w:lang w:bidi="ar"/>
        </w:rPr>
        <w:t>23 fMRI studies (58-80) on 592 BD-RELs (mean age 25.1 years) and 763 HCs (mean age 25.3 years);</w:t>
      </w:r>
    </w:p>
    <w:p>
      <w:pPr>
        <w:widowControl/>
        <w:numPr>
          <w:ilvl w:val="0"/>
          <w:numId w:val="1"/>
        </w:numPr>
        <w:spacing w:line="480" w:lineRule="auto"/>
        <w:rPr>
          <w:rFonts w:hint="default"/>
          <w:b/>
          <w:sz w:val="24"/>
        </w:rPr>
      </w:pPr>
      <w:r>
        <w:rPr>
          <w:rFonts w:hint="default" w:eastAsia="楷体"/>
          <w:sz w:val="24"/>
          <w:lang w:bidi="ar"/>
        </w:rPr>
        <w:t>16 VBM studies (81-95) on 943 SZ-RELs (mean age 25.2 years) and 1095 HCs (mean age 26.6 years);</w:t>
      </w:r>
    </w:p>
    <w:p>
      <w:pPr>
        <w:widowControl/>
        <w:numPr>
          <w:ilvl w:val="0"/>
          <w:numId w:val="1"/>
        </w:numPr>
        <w:spacing w:line="480" w:lineRule="auto"/>
        <w:rPr>
          <w:rFonts w:hint="default"/>
          <w:b/>
          <w:sz w:val="24"/>
        </w:rPr>
      </w:pPr>
      <w:r>
        <w:rPr>
          <w:rFonts w:hint="default" w:eastAsia="楷体"/>
          <w:sz w:val="24"/>
          <w:lang w:bidi="ar"/>
        </w:rPr>
        <w:t>10 VBM studies (69, 96-103) on 272 BD-RELs (mean age 30.8 years) and 349 HCs (mean age 30.6 years);</w:t>
      </w:r>
    </w:p>
    <w:p>
      <w:pPr>
        <w:widowControl/>
        <w:spacing w:line="480" w:lineRule="auto"/>
        <w:rPr>
          <w:rFonts w:hint="default" w:eastAsia="楷体"/>
          <w:sz w:val="24"/>
          <w:lang w:bidi="ar"/>
        </w:rPr>
      </w:pPr>
      <w:r>
        <w:rPr>
          <w:rFonts w:eastAsia="楷体"/>
          <w:sz w:val="24"/>
          <w:lang w:bidi="ar"/>
        </w:rPr>
        <w:t>Note that t</w:t>
      </w:r>
      <w:r>
        <w:rPr>
          <w:rFonts w:hint="default" w:eastAsia="楷体"/>
          <w:sz w:val="24"/>
          <w:lang w:bidi="ar"/>
        </w:rPr>
        <w:t>he studies by Callicott et al. (2003), Guo et al. (2014)</w:t>
      </w:r>
      <w:r>
        <w:rPr>
          <w:rFonts w:eastAsia="楷体"/>
          <w:sz w:val="24"/>
          <w:lang w:bidi="ar"/>
        </w:rPr>
        <w:t>,</w:t>
      </w:r>
      <w:r>
        <w:rPr>
          <w:rFonts w:hint="default" w:eastAsia="楷体"/>
          <w:sz w:val="24"/>
          <w:lang w:bidi="ar"/>
        </w:rPr>
        <w:t xml:space="preserve"> and Hajek et al. (2012) reported data from two different cohorts and </w:t>
      </w:r>
      <w:r>
        <w:rPr>
          <w:rFonts w:eastAsia="楷体"/>
          <w:sz w:val="24"/>
          <w:lang w:bidi="ar"/>
        </w:rPr>
        <w:t xml:space="preserve">were treated as independent studies. The study by </w:t>
      </w:r>
      <w:r>
        <w:rPr>
          <w:rFonts w:hint="default" w:eastAsia="楷体"/>
          <w:sz w:val="24"/>
          <w:lang w:bidi="ar"/>
        </w:rPr>
        <w:t>Frangou et al. (2012) i</w:t>
      </w:r>
      <w:r>
        <w:rPr>
          <w:rFonts w:hint="default"/>
          <w:sz w:val="24"/>
        </w:rPr>
        <w:t>nclude</w:t>
      </w:r>
      <w:r>
        <w:rPr>
          <w:sz w:val="24"/>
        </w:rPr>
        <w:t>d</w:t>
      </w:r>
      <w:r>
        <w:rPr>
          <w:rFonts w:hint="default"/>
          <w:sz w:val="24"/>
        </w:rPr>
        <w:t xml:space="preserve"> both </w:t>
      </w:r>
      <w:r>
        <w:rPr>
          <w:sz w:val="24"/>
        </w:rPr>
        <w:t>fMRI</w:t>
      </w:r>
      <w:r>
        <w:rPr>
          <w:rFonts w:hint="default"/>
          <w:sz w:val="24"/>
        </w:rPr>
        <w:t xml:space="preserve"> and VBM</w:t>
      </w:r>
      <w:r>
        <w:rPr>
          <w:sz w:val="24"/>
        </w:rPr>
        <w:t xml:space="preserve"> analyses that were</w:t>
      </w:r>
      <w:r>
        <w:rPr>
          <w:rFonts w:hint="default" w:eastAsia="楷体"/>
          <w:sz w:val="24"/>
          <w:lang w:bidi="ar"/>
        </w:rPr>
        <w:t xml:space="preserve"> </w:t>
      </w:r>
      <w:r>
        <w:rPr>
          <w:rFonts w:eastAsia="楷体"/>
          <w:sz w:val="24"/>
          <w:lang w:bidi="ar"/>
        </w:rPr>
        <w:t>also considered as individual studies</w:t>
      </w:r>
      <w:r>
        <w:rPr>
          <w:rFonts w:hint="default" w:eastAsia="楷体"/>
          <w:sz w:val="24"/>
          <w:lang w:bidi="ar"/>
        </w:rPr>
        <w:t>.</w:t>
      </w:r>
    </w:p>
    <w:p>
      <w:pPr>
        <w:widowControl/>
        <w:spacing w:line="480" w:lineRule="auto"/>
        <w:rPr>
          <w:rFonts w:hint="default" w:eastAsia="楷体"/>
          <w:sz w:val="22"/>
          <w:szCs w:val="22"/>
          <w:lang w:bidi="ar"/>
        </w:rPr>
      </w:pPr>
    </w:p>
    <w:p>
      <w:pPr>
        <w:widowControl/>
        <w:spacing w:line="480" w:lineRule="auto"/>
        <w:ind w:firstLine="440" w:firstLineChars="200"/>
        <w:rPr>
          <w:rFonts w:hint="default" w:eastAsia="楷体"/>
          <w:sz w:val="22"/>
          <w:szCs w:val="22"/>
          <w:lang w:bidi="ar"/>
        </w:rPr>
        <w:sectPr>
          <w:footerReference r:id="rId3" w:type="default"/>
          <w:pgSz w:w="11906" w:h="16838"/>
          <w:pgMar w:top="1440" w:right="1800" w:bottom="1440" w:left="1800" w:header="851" w:footer="992" w:gutter="0"/>
          <w:lnNumType w:countBy="1"/>
          <w:cols w:space="425" w:num="1"/>
          <w:docGrid w:type="lines" w:linePitch="312" w:charSpace="0"/>
        </w:sectPr>
      </w:pPr>
    </w:p>
    <w:p>
      <w:pPr>
        <w:spacing w:line="480" w:lineRule="auto"/>
        <w:rPr>
          <w:rFonts w:hint="default"/>
          <w:b/>
          <w:sz w:val="24"/>
        </w:rPr>
      </w:pPr>
      <w:r>
        <w:rPr>
          <w:rFonts w:hint="default"/>
          <w:b/>
          <w:sz w:val="24"/>
        </w:rPr>
        <w:t xml:space="preserve">Table S1. </w:t>
      </w:r>
      <w:r>
        <w:rPr>
          <w:b/>
          <w:sz w:val="24"/>
        </w:rPr>
        <w:t>Number</w:t>
      </w:r>
      <w:r>
        <w:rPr>
          <w:rFonts w:hint="default"/>
          <w:b/>
          <w:sz w:val="24"/>
        </w:rPr>
        <w:t xml:space="preserve"> and age of the </w:t>
      </w:r>
      <w:r>
        <w:rPr>
          <w:b/>
          <w:sz w:val="24"/>
        </w:rPr>
        <w:t>participants</w:t>
      </w:r>
      <w:r>
        <w:rPr>
          <w:rFonts w:hint="default"/>
          <w:b/>
          <w:sz w:val="24"/>
        </w:rPr>
        <w:t xml:space="preserve"> in the selected studies</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151"/>
        <w:gridCol w:w="1135"/>
        <w:gridCol w:w="1469"/>
        <w:gridCol w:w="1224"/>
        <w:gridCol w:w="1476"/>
        <w:gridCol w:w="1212"/>
        <w:gridCol w:w="1296"/>
        <w:gridCol w:w="1512"/>
        <w:gridCol w:w="1320"/>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Study</w:t>
            </w:r>
          </w:p>
        </w:tc>
        <w:tc>
          <w:tcPr>
            <w:tcW w:w="1151"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N of studies</w:t>
            </w:r>
          </w:p>
        </w:tc>
        <w:tc>
          <w:tcPr>
            <w:tcW w:w="2604" w:type="dxa"/>
            <w:gridSpan w:val="2"/>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SZ-R</w:t>
            </w:r>
            <w:r>
              <w:rPr>
                <w:b/>
                <w:sz w:val="22"/>
                <w:szCs w:val="22"/>
              </w:rPr>
              <w:t>EL</w:t>
            </w:r>
            <w:r>
              <w:rPr>
                <w:rFonts w:hint="default"/>
                <w:b/>
                <w:sz w:val="22"/>
                <w:szCs w:val="22"/>
              </w:rPr>
              <w:t>s</w:t>
            </w:r>
          </w:p>
        </w:tc>
        <w:tc>
          <w:tcPr>
            <w:tcW w:w="2700" w:type="dxa"/>
            <w:gridSpan w:val="2"/>
            <w:tcBorders>
              <w:top w:val="single" w:color="000000" w:sz="8" w:space="0"/>
              <w:left w:val="nil"/>
              <w:bottom w:val="nil"/>
              <w:right w:val="nil"/>
            </w:tcBorders>
            <w:vAlign w:val="center"/>
          </w:tcPr>
          <w:p>
            <w:pPr>
              <w:spacing w:line="480" w:lineRule="auto"/>
              <w:jc w:val="center"/>
              <w:rPr>
                <w:rFonts w:hint="default"/>
                <w:b/>
                <w:sz w:val="22"/>
                <w:szCs w:val="22"/>
              </w:rPr>
            </w:pPr>
            <w:r>
              <w:rPr>
                <w:b/>
                <w:sz w:val="22"/>
                <w:szCs w:val="22"/>
              </w:rPr>
              <w:t>HCs</w:t>
            </w:r>
          </w:p>
        </w:tc>
        <w:tc>
          <w:tcPr>
            <w:tcW w:w="1212"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N of studies</w:t>
            </w:r>
          </w:p>
        </w:tc>
        <w:tc>
          <w:tcPr>
            <w:tcW w:w="2808" w:type="dxa"/>
            <w:gridSpan w:val="2"/>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BD-R</w:t>
            </w:r>
            <w:r>
              <w:rPr>
                <w:b/>
                <w:sz w:val="22"/>
                <w:szCs w:val="22"/>
              </w:rPr>
              <w:t>EL</w:t>
            </w:r>
            <w:r>
              <w:rPr>
                <w:rFonts w:hint="default"/>
                <w:b/>
                <w:sz w:val="22"/>
                <w:szCs w:val="22"/>
              </w:rPr>
              <w:t>s</w:t>
            </w:r>
          </w:p>
        </w:tc>
        <w:tc>
          <w:tcPr>
            <w:tcW w:w="2731" w:type="dxa"/>
            <w:gridSpan w:val="2"/>
            <w:tcBorders>
              <w:top w:val="single" w:color="000000" w:sz="8" w:space="0"/>
              <w:left w:val="nil"/>
              <w:bottom w:val="nil"/>
              <w:right w:val="nil"/>
            </w:tcBorders>
            <w:vAlign w:val="center"/>
          </w:tcPr>
          <w:p>
            <w:pPr>
              <w:spacing w:line="480" w:lineRule="auto"/>
              <w:jc w:val="center"/>
              <w:rPr>
                <w:rFonts w:hint="default"/>
                <w:b/>
                <w:sz w:val="22"/>
                <w:szCs w:val="22"/>
              </w:rPr>
            </w:pPr>
            <w:r>
              <w:rPr>
                <w:b/>
                <w:sz w:val="22"/>
                <w:szCs w:val="22"/>
              </w:rPr>
              <w:t>HCs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968" w:type="dxa"/>
            <w:vMerge w:val="continue"/>
            <w:tcBorders>
              <w:top w:val="nil"/>
              <w:left w:val="nil"/>
              <w:bottom w:val="single" w:color="000000" w:sz="8" w:space="0"/>
              <w:right w:val="nil"/>
            </w:tcBorders>
            <w:vAlign w:val="center"/>
          </w:tcPr>
          <w:p>
            <w:pPr>
              <w:spacing w:line="480" w:lineRule="auto"/>
              <w:jc w:val="center"/>
              <w:rPr>
                <w:rFonts w:hint="default"/>
                <w:b/>
                <w:sz w:val="22"/>
                <w:szCs w:val="22"/>
              </w:rPr>
            </w:pPr>
          </w:p>
        </w:tc>
        <w:tc>
          <w:tcPr>
            <w:tcW w:w="1151" w:type="dxa"/>
            <w:vMerge w:val="continue"/>
            <w:tcBorders>
              <w:top w:val="nil"/>
              <w:left w:val="nil"/>
              <w:bottom w:val="single" w:color="000000" w:sz="8" w:space="0"/>
              <w:right w:val="nil"/>
            </w:tcBorders>
            <w:vAlign w:val="center"/>
          </w:tcPr>
          <w:p>
            <w:pPr>
              <w:spacing w:line="480" w:lineRule="auto"/>
              <w:jc w:val="center"/>
              <w:rPr>
                <w:rFonts w:hint="default"/>
                <w:b/>
                <w:sz w:val="22"/>
                <w:szCs w:val="22"/>
              </w:rPr>
            </w:pPr>
          </w:p>
        </w:tc>
        <w:tc>
          <w:tcPr>
            <w:tcW w:w="1135" w:type="dxa"/>
            <w:tcBorders>
              <w:top w:val="nil"/>
              <w:left w:val="nil"/>
              <w:bottom w:val="single" w:color="000000" w:sz="8" w:space="0"/>
              <w:right w:val="nil"/>
            </w:tcBorders>
            <w:vAlign w:val="center"/>
          </w:tcPr>
          <w:p>
            <w:pPr>
              <w:spacing w:line="480" w:lineRule="auto"/>
              <w:jc w:val="center"/>
              <w:rPr>
                <w:rFonts w:hint="default"/>
                <w:b/>
                <w:sz w:val="22"/>
                <w:szCs w:val="22"/>
              </w:rPr>
            </w:pPr>
            <w:r>
              <w:rPr>
                <w:rFonts w:hint="default"/>
                <w:b/>
                <w:sz w:val="22"/>
                <w:szCs w:val="22"/>
              </w:rPr>
              <w:t>N</w:t>
            </w:r>
          </w:p>
        </w:tc>
        <w:tc>
          <w:tcPr>
            <w:tcW w:w="1469" w:type="dxa"/>
            <w:tcBorders>
              <w:top w:val="nil"/>
              <w:left w:val="nil"/>
              <w:bottom w:val="single" w:color="000000" w:sz="8" w:space="0"/>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c>
          <w:tcPr>
            <w:tcW w:w="1224" w:type="dxa"/>
            <w:tcBorders>
              <w:top w:val="nil"/>
              <w:left w:val="nil"/>
              <w:bottom w:val="single" w:color="000000" w:sz="8" w:space="0"/>
              <w:right w:val="nil"/>
            </w:tcBorders>
            <w:vAlign w:val="center"/>
          </w:tcPr>
          <w:p>
            <w:pPr>
              <w:spacing w:line="480" w:lineRule="auto"/>
              <w:jc w:val="center"/>
              <w:rPr>
                <w:rFonts w:hint="default"/>
                <w:b/>
                <w:sz w:val="22"/>
                <w:szCs w:val="22"/>
              </w:rPr>
            </w:pPr>
            <w:r>
              <w:rPr>
                <w:rFonts w:hint="default"/>
                <w:b/>
                <w:sz w:val="22"/>
                <w:szCs w:val="22"/>
              </w:rPr>
              <w:t>N</w:t>
            </w:r>
          </w:p>
        </w:tc>
        <w:tc>
          <w:tcPr>
            <w:tcW w:w="1476" w:type="dxa"/>
            <w:tcBorders>
              <w:top w:val="nil"/>
              <w:left w:val="nil"/>
              <w:bottom w:val="single" w:color="000000" w:sz="8" w:space="0"/>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c>
          <w:tcPr>
            <w:tcW w:w="1212" w:type="dxa"/>
            <w:vMerge w:val="continue"/>
            <w:tcBorders>
              <w:top w:val="nil"/>
              <w:left w:val="nil"/>
              <w:bottom w:val="single" w:color="000000" w:sz="8" w:space="0"/>
              <w:right w:val="nil"/>
            </w:tcBorders>
            <w:vAlign w:val="center"/>
          </w:tcPr>
          <w:p>
            <w:pPr>
              <w:spacing w:line="480" w:lineRule="auto"/>
              <w:jc w:val="center"/>
              <w:rPr>
                <w:rFonts w:hint="default"/>
                <w:b/>
                <w:sz w:val="22"/>
                <w:szCs w:val="22"/>
              </w:rPr>
            </w:pPr>
          </w:p>
        </w:tc>
        <w:tc>
          <w:tcPr>
            <w:tcW w:w="1296" w:type="dxa"/>
            <w:tcBorders>
              <w:top w:val="nil"/>
              <w:left w:val="nil"/>
              <w:bottom w:val="single" w:color="000000" w:sz="8" w:space="0"/>
              <w:right w:val="nil"/>
            </w:tcBorders>
            <w:vAlign w:val="center"/>
          </w:tcPr>
          <w:p>
            <w:pPr>
              <w:spacing w:line="480" w:lineRule="auto"/>
              <w:jc w:val="center"/>
              <w:rPr>
                <w:rFonts w:hint="default"/>
                <w:b/>
                <w:sz w:val="22"/>
                <w:szCs w:val="22"/>
              </w:rPr>
            </w:pPr>
            <w:r>
              <w:rPr>
                <w:rFonts w:hint="default"/>
                <w:b/>
                <w:sz w:val="22"/>
                <w:szCs w:val="22"/>
              </w:rPr>
              <w:t>N</w:t>
            </w:r>
          </w:p>
        </w:tc>
        <w:tc>
          <w:tcPr>
            <w:tcW w:w="1512" w:type="dxa"/>
            <w:tcBorders>
              <w:top w:val="nil"/>
              <w:left w:val="nil"/>
              <w:bottom w:val="single" w:color="000000" w:sz="8" w:space="0"/>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c>
          <w:tcPr>
            <w:tcW w:w="1320" w:type="dxa"/>
            <w:tcBorders>
              <w:top w:val="nil"/>
              <w:left w:val="nil"/>
              <w:bottom w:val="single" w:color="000000" w:sz="8" w:space="0"/>
              <w:right w:val="nil"/>
            </w:tcBorders>
            <w:vAlign w:val="center"/>
          </w:tcPr>
          <w:p>
            <w:pPr>
              <w:spacing w:line="480" w:lineRule="auto"/>
              <w:jc w:val="center"/>
              <w:rPr>
                <w:rFonts w:hint="default"/>
                <w:b/>
                <w:sz w:val="22"/>
                <w:szCs w:val="22"/>
              </w:rPr>
            </w:pPr>
            <w:r>
              <w:rPr>
                <w:rFonts w:hint="default"/>
                <w:b/>
                <w:sz w:val="22"/>
                <w:szCs w:val="22"/>
              </w:rPr>
              <w:t>N</w:t>
            </w:r>
          </w:p>
        </w:tc>
        <w:tc>
          <w:tcPr>
            <w:tcW w:w="1411" w:type="dxa"/>
            <w:tcBorders>
              <w:top w:val="nil"/>
              <w:left w:val="nil"/>
              <w:bottom w:val="single" w:color="000000" w:sz="8" w:space="0"/>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tcBorders>
              <w:top w:val="single" w:color="000000" w:sz="8" w:space="0"/>
              <w:left w:val="nil"/>
              <w:bottom w:val="nil"/>
              <w:right w:val="nil"/>
            </w:tcBorders>
            <w:vAlign w:val="center"/>
          </w:tcPr>
          <w:p>
            <w:pPr>
              <w:spacing w:line="480" w:lineRule="auto"/>
              <w:jc w:val="center"/>
              <w:rPr>
                <w:rFonts w:hint="default"/>
              </w:rPr>
            </w:pPr>
            <w:r>
              <w:rPr>
                <w:rFonts w:hint="default"/>
              </w:rPr>
              <w:t>Task fMRI</w:t>
            </w:r>
          </w:p>
        </w:tc>
        <w:tc>
          <w:tcPr>
            <w:tcW w:w="1151" w:type="dxa"/>
            <w:tcBorders>
              <w:top w:val="single" w:color="000000" w:sz="8" w:space="0"/>
              <w:left w:val="nil"/>
              <w:bottom w:val="nil"/>
              <w:right w:val="nil"/>
            </w:tcBorders>
            <w:vAlign w:val="center"/>
          </w:tcPr>
          <w:p>
            <w:pPr>
              <w:spacing w:line="480" w:lineRule="auto"/>
              <w:jc w:val="center"/>
              <w:rPr>
                <w:rFonts w:hint="default"/>
              </w:rPr>
            </w:pPr>
            <w:r>
              <w:rPr>
                <w:rFonts w:hint="default"/>
              </w:rPr>
              <w:t>58</w:t>
            </w:r>
          </w:p>
        </w:tc>
        <w:tc>
          <w:tcPr>
            <w:tcW w:w="1135" w:type="dxa"/>
            <w:tcBorders>
              <w:top w:val="single" w:color="000000" w:sz="8" w:space="0"/>
              <w:left w:val="nil"/>
              <w:bottom w:val="nil"/>
              <w:right w:val="nil"/>
            </w:tcBorders>
            <w:vAlign w:val="center"/>
          </w:tcPr>
          <w:p>
            <w:pPr>
              <w:spacing w:line="480" w:lineRule="auto"/>
              <w:jc w:val="center"/>
              <w:rPr>
                <w:rFonts w:hint="default"/>
              </w:rPr>
            </w:pPr>
            <w:r>
              <w:rPr>
                <w:rFonts w:hint="default"/>
              </w:rPr>
              <w:t>1421</w:t>
            </w:r>
          </w:p>
        </w:tc>
        <w:tc>
          <w:tcPr>
            <w:tcW w:w="1469" w:type="dxa"/>
            <w:tcBorders>
              <w:top w:val="single" w:color="000000" w:sz="8" w:space="0"/>
              <w:left w:val="nil"/>
              <w:bottom w:val="nil"/>
              <w:right w:val="nil"/>
            </w:tcBorders>
            <w:vAlign w:val="center"/>
          </w:tcPr>
          <w:p>
            <w:pPr>
              <w:spacing w:line="480" w:lineRule="auto"/>
              <w:jc w:val="center"/>
              <w:rPr>
                <w:rFonts w:hint="default"/>
              </w:rPr>
            </w:pPr>
            <w:r>
              <w:rPr>
                <w:rFonts w:hint="default"/>
              </w:rPr>
              <w:t>30.6 (6.7)</w:t>
            </w:r>
          </w:p>
        </w:tc>
        <w:tc>
          <w:tcPr>
            <w:tcW w:w="1224" w:type="dxa"/>
            <w:tcBorders>
              <w:top w:val="single" w:color="000000" w:sz="8" w:space="0"/>
              <w:left w:val="nil"/>
              <w:bottom w:val="nil"/>
              <w:right w:val="nil"/>
            </w:tcBorders>
            <w:vAlign w:val="center"/>
          </w:tcPr>
          <w:p>
            <w:pPr>
              <w:spacing w:line="480" w:lineRule="auto"/>
              <w:jc w:val="center"/>
              <w:rPr>
                <w:rFonts w:hint="default"/>
              </w:rPr>
            </w:pPr>
            <w:r>
              <w:rPr>
                <w:rFonts w:hint="default"/>
              </w:rPr>
              <w:t>1907</w:t>
            </w:r>
          </w:p>
        </w:tc>
        <w:tc>
          <w:tcPr>
            <w:tcW w:w="1476" w:type="dxa"/>
            <w:tcBorders>
              <w:top w:val="single" w:color="000000" w:sz="8" w:space="0"/>
              <w:left w:val="nil"/>
              <w:bottom w:val="nil"/>
              <w:right w:val="nil"/>
            </w:tcBorders>
            <w:vAlign w:val="center"/>
          </w:tcPr>
          <w:p>
            <w:pPr>
              <w:spacing w:line="480" w:lineRule="auto"/>
              <w:jc w:val="center"/>
              <w:rPr>
                <w:rFonts w:hint="default"/>
              </w:rPr>
            </w:pPr>
            <w:r>
              <w:rPr>
                <w:rFonts w:hint="default"/>
              </w:rPr>
              <w:t>28.8 (6.4)</w:t>
            </w:r>
          </w:p>
        </w:tc>
        <w:tc>
          <w:tcPr>
            <w:tcW w:w="1212" w:type="dxa"/>
            <w:tcBorders>
              <w:top w:val="single" w:color="000000" w:sz="8" w:space="0"/>
              <w:left w:val="nil"/>
              <w:bottom w:val="nil"/>
              <w:right w:val="nil"/>
            </w:tcBorders>
            <w:vAlign w:val="center"/>
          </w:tcPr>
          <w:p>
            <w:pPr>
              <w:spacing w:line="480" w:lineRule="auto"/>
              <w:jc w:val="center"/>
              <w:rPr>
                <w:rFonts w:hint="default"/>
              </w:rPr>
            </w:pPr>
            <w:r>
              <w:rPr>
                <w:rFonts w:hint="default"/>
              </w:rPr>
              <w:t>23</w:t>
            </w:r>
          </w:p>
        </w:tc>
        <w:tc>
          <w:tcPr>
            <w:tcW w:w="1296" w:type="dxa"/>
            <w:tcBorders>
              <w:top w:val="single" w:color="000000" w:sz="8" w:space="0"/>
              <w:left w:val="nil"/>
              <w:bottom w:val="nil"/>
              <w:right w:val="nil"/>
            </w:tcBorders>
            <w:vAlign w:val="center"/>
          </w:tcPr>
          <w:p>
            <w:pPr>
              <w:spacing w:line="480" w:lineRule="auto"/>
              <w:jc w:val="center"/>
              <w:rPr>
                <w:rFonts w:hint="default"/>
              </w:rPr>
            </w:pPr>
            <w:r>
              <w:rPr>
                <w:rFonts w:hint="default"/>
              </w:rPr>
              <w:t>592</w:t>
            </w:r>
          </w:p>
        </w:tc>
        <w:tc>
          <w:tcPr>
            <w:tcW w:w="1512" w:type="dxa"/>
            <w:tcBorders>
              <w:top w:val="single" w:color="000000" w:sz="8" w:space="0"/>
              <w:left w:val="nil"/>
              <w:bottom w:val="nil"/>
              <w:right w:val="nil"/>
            </w:tcBorders>
            <w:vAlign w:val="center"/>
          </w:tcPr>
          <w:p>
            <w:pPr>
              <w:spacing w:line="480" w:lineRule="auto"/>
              <w:jc w:val="center"/>
              <w:rPr>
                <w:rFonts w:hint="default"/>
              </w:rPr>
            </w:pPr>
            <w:r>
              <w:rPr>
                <w:rFonts w:hint="default"/>
              </w:rPr>
              <w:t>25.1 (6.8)</w:t>
            </w:r>
          </w:p>
        </w:tc>
        <w:tc>
          <w:tcPr>
            <w:tcW w:w="1320" w:type="dxa"/>
            <w:tcBorders>
              <w:top w:val="single" w:color="000000" w:sz="8" w:space="0"/>
              <w:left w:val="nil"/>
              <w:bottom w:val="nil"/>
              <w:right w:val="nil"/>
            </w:tcBorders>
            <w:vAlign w:val="center"/>
          </w:tcPr>
          <w:p>
            <w:pPr>
              <w:spacing w:line="480" w:lineRule="auto"/>
              <w:jc w:val="center"/>
              <w:rPr>
                <w:rFonts w:hint="default"/>
              </w:rPr>
            </w:pPr>
            <w:r>
              <w:rPr>
                <w:rFonts w:hint="default"/>
              </w:rPr>
              <w:t>763</w:t>
            </w:r>
          </w:p>
        </w:tc>
        <w:tc>
          <w:tcPr>
            <w:tcW w:w="1411" w:type="dxa"/>
            <w:tcBorders>
              <w:top w:val="single" w:color="000000" w:sz="8" w:space="0"/>
              <w:left w:val="nil"/>
              <w:bottom w:val="nil"/>
              <w:right w:val="nil"/>
            </w:tcBorders>
            <w:vAlign w:val="center"/>
          </w:tcPr>
          <w:p>
            <w:pPr>
              <w:spacing w:line="480" w:lineRule="auto"/>
              <w:jc w:val="center"/>
              <w:rPr>
                <w:rFonts w:hint="default"/>
              </w:rPr>
            </w:pPr>
            <w:r>
              <w:rPr>
                <w:rFonts w:hint="default"/>
              </w:rPr>
              <w:t>25.3 (6.2)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68" w:type="dxa"/>
            <w:tcBorders>
              <w:top w:val="nil"/>
              <w:left w:val="nil"/>
              <w:bottom w:val="single" w:color="000000" w:sz="8" w:space="0"/>
              <w:right w:val="nil"/>
            </w:tcBorders>
            <w:vAlign w:val="center"/>
          </w:tcPr>
          <w:p>
            <w:pPr>
              <w:spacing w:line="480" w:lineRule="auto"/>
              <w:jc w:val="center"/>
              <w:rPr>
                <w:rFonts w:hint="default"/>
              </w:rPr>
            </w:pPr>
            <w:r>
              <w:rPr>
                <w:rFonts w:hint="default"/>
              </w:rPr>
              <w:t>VBM</w:t>
            </w:r>
          </w:p>
        </w:tc>
        <w:tc>
          <w:tcPr>
            <w:tcW w:w="1151" w:type="dxa"/>
            <w:tcBorders>
              <w:top w:val="nil"/>
              <w:left w:val="nil"/>
              <w:bottom w:val="single" w:color="000000" w:sz="8" w:space="0"/>
              <w:right w:val="nil"/>
            </w:tcBorders>
            <w:vAlign w:val="center"/>
          </w:tcPr>
          <w:p>
            <w:pPr>
              <w:spacing w:line="480" w:lineRule="auto"/>
              <w:jc w:val="center"/>
              <w:rPr>
                <w:rFonts w:hint="default"/>
              </w:rPr>
            </w:pPr>
            <w:r>
              <w:rPr>
                <w:rFonts w:hint="default"/>
              </w:rPr>
              <w:t>16</w:t>
            </w:r>
          </w:p>
        </w:tc>
        <w:tc>
          <w:tcPr>
            <w:tcW w:w="1135" w:type="dxa"/>
            <w:tcBorders>
              <w:top w:val="nil"/>
              <w:left w:val="nil"/>
              <w:bottom w:val="single" w:color="000000" w:sz="8" w:space="0"/>
              <w:right w:val="nil"/>
            </w:tcBorders>
            <w:vAlign w:val="center"/>
          </w:tcPr>
          <w:p>
            <w:pPr>
              <w:spacing w:line="480" w:lineRule="auto"/>
              <w:jc w:val="center"/>
              <w:rPr>
                <w:rFonts w:hint="default"/>
              </w:rPr>
            </w:pPr>
            <w:r>
              <w:rPr>
                <w:rFonts w:hint="default"/>
              </w:rPr>
              <w:t>943</w:t>
            </w:r>
          </w:p>
        </w:tc>
        <w:tc>
          <w:tcPr>
            <w:tcW w:w="1469" w:type="dxa"/>
            <w:tcBorders>
              <w:top w:val="nil"/>
              <w:left w:val="nil"/>
              <w:bottom w:val="single" w:color="000000" w:sz="8" w:space="0"/>
              <w:right w:val="nil"/>
            </w:tcBorders>
            <w:vAlign w:val="center"/>
          </w:tcPr>
          <w:p>
            <w:pPr>
              <w:spacing w:line="480" w:lineRule="auto"/>
              <w:jc w:val="center"/>
              <w:rPr>
                <w:rFonts w:hint="default"/>
              </w:rPr>
            </w:pPr>
            <w:r>
              <w:rPr>
                <w:rFonts w:hint="default"/>
              </w:rPr>
              <w:t>25.2 (4.7)</w:t>
            </w:r>
          </w:p>
        </w:tc>
        <w:tc>
          <w:tcPr>
            <w:tcW w:w="1224" w:type="dxa"/>
            <w:tcBorders>
              <w:top w:val="nil"/>
              <w:left w:val="nil"/>
              <w:bottom w:val="single" w:color="000000" w:sz="8" w:space="0"/>
              <w:right w:val="nil"/>
            </w:tcBorders>
            <w:vAlign w:val="center"/>
          </w:tcPr>
          <w:p>
            <w:pPr>
              <w:spacing w:line="480" w:lineRule="auto"/>
              <w:jc w:val="center"/>
              <w:rPr>
                <w:rFonts w:hint="default"/>
              </w:rPr>
            </w:pPr>
            <w:r>
              <w:rPr>
                <w:rFonts w:hint="default"/>
              </w:rPr>
              <w:t>1095</w:t>
            </w:r>
          </w:p>
        </w:tc>
        <w:tc>
          <w:tcPr>
            <w:tcW w:w="1476" w:type="dxa"/>
            <w:tcBorders>
              <w:top w:val="nil"/>
              <w:left w:val="nil"/>
              <w:bottom w:val="single" w:color="000000" w:sz="8" w:space="0"/>
              <w:right w:val="nil"/>
            </w:tcBorders>
            <w:vAlign w:val="center"/>
          </w:tcPr>
          <w:p>
            <w:pPr>
              <w:spacing w:line="480" w:lineRule="auto"/>
              <w:jc w:val="center"/>
              <w:rPr>
                <w:rFonts w:hint="default"/>
              </w:rPr>
            </w:pPr>
            <w:r>
              <w:rPr>
                <w:rFonts w:hint="default"/>
              </w:rPr>
              <w:t>26.6 (4.9)</w:t>
            </w:r>
          </w:p>
        </w:tc>
        <w:tc>
          <w:tcPr>
            <w:tcW w:w="1212" w:type="dxa"/>
            <w:tcBorders>
              <w:top w:val="nil"/>
              <w:left w:val="nil"/>
              <w:bottom w:val="single" w:color="000000" w:sz="8" w:space="0"/>
              <w:right w:val="nil"/>
            </w:tcBorders>
            <w:vAlign w:val="center"/>
          </w:tcPr>
          <w:p>
            <w:pPr>
              <w:spacing w:line="480" w:lineRule="auto"/>
              <w:jc w:val="center"/>
              <w:rPr>
                <w:rFonts w:hint="default"/>
              </w:rPr>
            </w:pPr>
            <w:r>
              <w:rPr>
                <w:rFonts w:hint="default"/>
              </w:rPr>
              <w:t>10</w:t>
            </w:r>
          </w:p>
        </w:tc>
        <w:tc>
          <w:tcPr>
            <w:tcW w:w="1296" w:type="dxa"/>
            <w:tcBorders>
              <w:top w:val="nil"/>
              <w:left w:val="nil"/>
              <w:bottom w:val="single" w:color="000000" w:sz="8" w:space="0"/>
              <w:right w:val="nil"/>
            </w:tcBorders>
            <w:vAlign w:val="center"/>
          </w:tcPr>
          <w:p>
            <w:pPr>
              <w:spacing w:line="480" w:lineRule="auto"/>
              <w:jc w:val="center"/>
              <w:rPr>
                <w:rFonts w:hint="default"/>
              </w:rPr>
            </w:pPr>
            <w:r>
              <w:rPr>
                <w:rFonts w:hint="default"/>
              </w:rPr>
              <w:t>272</w:t>
            </w:r>
          </w:p>
        </w:tc>
        <w:tc>
          <w:tcPr>
            <w:tcW w:w="1512" w:type="dxa"/>
            <w:tcBorders>
              <w:top w:val="nil"/>
              <w:left w:val="nil"/>
              <w:bottom w:val="single" w:color="000000" w:sz="8" w:space="0"/>
              <w:right w:val="nil"/>
            </w:tcBorders>
            <w:vAlign w:val="center"/>
          </w:tcPr>
          <w:p>
            <w:pPr>
              <w:spacing w:line="480" w:lineRule="auto"/>
              <w:jc w:val="center"/>
              <w:rPr>
                <w:rFonts w:hint="default"/>
              </w:rPr>
            </w:pPr>
            <w:r>
              <w:rPr>
                <w:rFonts w:hint="default"/>
              </w:rPr>
              <w:t>30.8 (9.2)</w:t>
            </w:r>
          </w:p>
        </w:tc>
        <w:tc>
          <w:tcPr>
            <w:tcW w:w="1320" w:type="dxa"/>
            <w:tcBorders>
              <w:top w:val="nil"/>
              <w:left w:val="nil"/>
              <w:bottom w:val="single" w:color="000000" w:sz="8" w:space="0"/>
              <w:right w:val="nil"/>
            </w:tcBorders>
            <w:vAlign w:val="center"/>
          </w:tcPr>
          <w:p>
            <w:pPr>
              <w:spacing w:line="480" w:lineRule="auto"/>
              <w:jc w:val="center"/>
              <w:rPr>
                <w:rFonts w:hint="default"/>
              </w:rPr>
            </w:pPr>
            <w:r>
              <w:rPr>
                <w:rFonts w:hint="default"/>
              </w:rPr>
              <w:t>349</w:t>
            </w:r>
          </w:p>
        </w:tc>
        <w:tc>
          <w:tcPr>
            <w:tcW w:w="1411" w:type="dxa"/>
            <w:tcBorders>
              <w:top w:val="nil"/>
              <w:left w:val="nil"/>
              <w:bottom w:val="single" w:color="000000" w:sz="8" w:space="0"/>
              <w:right w:val="nil"/>
            </w:tcBorders>
            <w:vAlign w:val="center"/>
          </w:tcPr>
          <w:p>
            <w:pPr>
              <w:spacing w:line="480" w:lineRule="auto"/>
              <w:jc w:val="center"/>
              <w:rPr>
                <w:rFonts w:hint="default"/>
              </w:rPr>
            </w:pPr>
            <w:r>
              <w:rPr>
                <w:rFonts w:hint="default"/>
              </w:rPr>
              <w:t>30.6 (8.3)</w:t>
            </w:r>
          </w:p>
        </w:tc>
      </w:tr>
    </w:tbl>
    <w:p>
      <w:pPr>
        <w:widowControl/>
        <w:spacing w:line="480" w:lineRule="auto"/>
        <w:rPr>
          <w:rFonts w:hint="default"/>
          <w:sz w:val="24"/>
        </w:rPr>
      </w:pPr>
      <w:r>
        <w:rPr>
          <w:sz w:val="24"/>
        </w:rPr>
        <w:t xml:space="preserve">Abbreviations: </w:t>
      </w:r>
      <w:r>
        <w:rPr>
          <w:rFonts w:hint="default"/>
          <w:sz w:val="24"/>
        </w:rPr>
        <w:t>BD</w:t>
      </w:r>
      <w:r>
        <w:rPr>
          <w:sz w:val="24"/>
        </w:rPr>
        <w:t>,</w:t>
      </w:r>
      <w:r>
        <w:rPr>
          <w:rFonts w:hint="default"/>
          <w:sz w:val="24"/>
        </w:rPr>
        <w:t xml:space="preserve"> bipolar disorder; </w:t>
      </w:r>
      <w:bookmarkStart w:id="2" w:name="OLE_LINK6"/>
      <w:r>
        <w:rPr>
          <w:sz w:val="24"/>
        </w:rPr>
        <w:t>fMRI, functional magnetic resonance imaging;</w:t>
      </w:r>
      <w:bookmarkEnd w:id="2"/>
      <w:r>
        <w:rPr>
          <w:sz w:val="24"/>
        </w:rPr>
        <w:t xml:space="preserve"> HCs, healthy controls; </w:t>
      </w:r>
      <w:r>
        <w:rPr>
          <w:rFonts w:hint="default"/>
          <w:sz w:val="24"/>
        </w:rPr>
        <w:t>N</w:t>
      </w:r>
      <w:r>
        <w:rPr>
          <w:sz w:val="24"/>
        </w:rPr>
        <w:t>,</w:t>
      </w:r>
      <w:r>
        <w:rPr>
          <w:rFonts w:hint="default"/>
          <w:sz w:val="24"/>
        </w:rPr>
        <w:t xml:space="preserve"> number</w:t>
      </w:r>
      <w:r>
        <w:rPr>
          <w:sz w:val="24"/>
        </w:rPr>
        <w:t xml:space="preserve">; RELs, relatives; SD, standard deviation; </w:t>
      </w:r>
      <w:r>
        <w:rPr>
          <w:rFonts w:hint="default"/>
          <w:sz w:val="24"/>
        </w:rPr>
        <w:t>SZ</w:t>
      </w:r>
      <w:r>
        <w:rPr>
          <w:sz w:val="24"/>
        </w:rPr>
        <w:t>,</w:t>
      </w:r>
      <w:r>
        <w:rPr>
          <w:rFonts w:hint="default"/>
          <w:sz w:val="24"/>
        </w:rPr>
        <w:t xml:space="preserve"> schizophrenia</w:t>
      </w:r>
      <w:r>
        <w:rPr>
          <w:sz w:val="24"/>
        </w:rPr>
        <w:t xml:space="preserve">; </w:t>
      </w:r>
      <w:bookmarkStart w:id="3" w:name="OLE_LINK7"/>
      <w:r>
        <w:rPr>
          <w:sz w:val="24"/>
        </w:rPr>
        <w:t>VBM, voxel-based morphometry</w:t>
      </w:r>
      <w:bookmarkEnd w:id="3"/>
      <w:r>
        <w:rPr>
          <w:sz w:val="24"/>
        </w:rPr>
        <w:t>.</w:t>
      </w:r>
    </w:p>
    <w:p>
      <w:pPr>
        <w:widowControl/>
        <w:spacing w:line="480" w:lineRule="auto"/>
        <w:rPr>
          <w:rFonts w:hint="default"/>
          <w:b/>
          <w:sz w:val="22"/>
          <w:szCs w:val="22"/>
        </w:rPr>
      </w:pPr>
      <w:r>
        <w:rPr>
          <w:rFonts w:hint="default"/>
          <w:b/>
          <w:sz w:val="24"/>
        </w:rPr>
        <w:br w:type="page"/>
      </w:r>
      <w:r>
        <w:rPr>
          <w:rFonts w:hint="default"/>
          <w:b/>
          <w:sz w:val="24"/>
        </w:rPr>
        <w:t xml:space="preserve">Table S2. </w:t>
      </w:r>
      <w:r>
        <w:rPr>
          <w:b/>
          <w:sz w:val="24"/>
        </w:rPr>
        <w:t xml:space="preserve">Sample information of the </w:t>
      </w:r>
      <w:r>
        <w:rPr>
          <w:rFonts w:hint="default"/>
          <w:b/>
          <w:sz w:val="24"/>
        </w:rPr>
        <w:t xml:space="preserve">fMRI studies </w:t>
      </w:r>
      <w:r>
        <w:rPr>
          <w:b/>
          <w:sz w:val="24"/>
        </w:rPr>
        <w:t>on</w:t>
      </w:r>
      <w:r>
        <w:rPr>
          <w:rFonts w:hint="default"/>
          <w:b/>
          <w:sz w:val="24"/>
        </w:rPr>
        <w:t xml:space="preserve"> SZ-RELs</w:t>
      </w:r>
    </w:p>
    <w:tbl>
      <w:tblPr>
        <w:tblStyle w:val="1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24"/>
        <w:gridCol w:w="1481"/>
        <w:gridCol w:w="634"/>
        <w:gridCol w:w="1234"/>
        <w:gridCol w:w="900"/>
        <w:gridCol w:w="617"/>
        <w:gridCol w:w="1277"/>
        <w:gridCol w:w="918"/>
        <w:gridCol w:w="438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24"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Study</w:t>
            </w:r>
          </w:p>
        </w:tc>
        <w:tc>
          <w:tcPr>
            <w:tcW w:w="1481"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Kinship with SZ</w:t>
            </w:r>
          </w:p>
        </w:tc>
        <w:tc>
          <w:tcPr>
            <w:tcW w:w="2768" w:type="dxa"/>
            <w:gridSpan w:val="3"/>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Relatives</w:t>
            </w:r>
          </w:p>
        </w:tc>
        <w:tc>
          <w:tcPr>
            <w:tcW w:w="2812" w:type="dxa"/>
            <w:gridSpan w:val="3"/>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 xml:space="preserve">Healthy </w:t>
            </w:r>
            <w:r>
              <w:rPr>
                <w:b/>
                <w:sz w:val="22"/>
                <w:szCs w:val="22"/>
              </w:rPr>
              <w:t>c</w:t>
            </w:r>
            <w:r>
              <w:rPr>
                <w:rFonts w:hint="default"/>
                <w:b/>
                <w:sz w:val="22"/>
                <w:szCs w:val="22"/>
              </w:rPr>
              <w:t>ontrols</w:t>
            </w:r>
          </w:p>
        </w:tc>
        <w:tc>
          <w:tcPr>
            <w:tcW w:w="4389"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vMerge w:val="continue"/>
            <w:tcBorders>
              <w:top w:val="nil"/>
              <w:left w:val="nil"/>
              <w:bottom w:val="nil"/>
              <w:right w:val="nil"/>
            </w:tcBorders>
            <w:vAlign w:val="center"/>
          </w:tcPr>
          <w:p>
            <w:pPr>
              <w:spacing w:line="480" w:lineRule="auto"/>
              <w:jc w:val="center"/>
              <w:rPr>
                <w:rFonts w:hint="default"/>
                <w:sz w:val="22"/>
                <w:szCs w:val="22"/>
              </w:rPr>
            </w:pPr>
          </w:p>
        </w:tc>
        <w:tc>
          <w:tcPr>
            <w:tcW w:w="1481" w:type="dxa"/>
            <w:vMerge w:val="continue"/>
            <w:tcBorders>
              <w:top w:val="nil"/>
              <w:left w:val="nil"/>
              <w:bottom w:val="nil"/>
              <w:right w:val="nil"/>
            </w:tcBorders>
            <w:vAlign w:val="center"/>
          </w:tcPr>
          <w:p>
            <w:pPr>
              <w:spacing w:line="480" w:lineRule="auto"/>
              <w:jc w:val="center"/>
              <w:rPr>
                <w:rFonts w:hint="default"/>
                <w:sz w:val="22"/>
                <w:szCs w:val="22"/>
              </w:rPr>
            </w:pPr>
          </w:p>
        </w:tc>
        <w:tc>
          <w:tcPr>
            <w:tcW w:w="634"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N</w:t>
            </w:r>
          </w:p>
        </w:tc>
        <w:tc>
          <w:tcPr>
            <w:tcW w:w="1234"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c>
          <w:tcPr>
            <w:tcW w:w="900"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M/F</w:t>
            </w:r>
          </w:p>
        </w:tc>
        <w:tc>
          <w:tcPr>
            <w:tcW w:w="617"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N</w:t>
            </w:r>
          </w:p>
        </w:tc>
        <w:tc>
          <w:tcPr>
            <w:tcW w:w="1277"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c>
          <w:tcPr>
            <w:tcW w:w="918"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M/F</w:t>
            </w:r>
          </w:p>
        </w:tc>
        <w:tc>
          <w:tcPr>
            <w:tcW w:w="4389" w:type="dxa"/>
            <w:vMerge w:val="continue"/>
            <w:tcBorders>
              <w:top w:val="nil"/>
              <w:left w:val="nil"/>
              <w:bottom w:val="nil"/>
              <w:right w:val="nil"/>
            </w:tcBorders>
            <w:vAlign w:val="center"/>
          </w:tcPr>
          <w:p>
            <w:pPr>
              <w:spacing w:line="480" w:lineRule="auto"/>
              <w:jc w:val="center"/>
              <w:rPr>
                <w:rFonts w:hint="default"/>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Altamura et al., 2012</w:t>
            </w:r>
          </w:p>
        </w:tc>
        <w:tc>
          <w:tcPr>
            <w:tcW w:w="1481"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18</w:t>
            </w:r>
          </w:p>
        </w:tc>
        <w:tc>
          <w:tcPr>
            <w:tcW w:w="1234"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33.3 (8.9)</w:t>
            </w:r>
          </w:p>
        </w:tc>
        <w:tc>
          <w:tcPr>
            <w:tcW w:w="900"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12/6</w:t>
            </w:r>
          </w:p>
        </w:tc>
        <w:tc>
          <w:tcPr>
            <w:tcW w:w="617"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24</w:t>
            </w:r>
          </w:p>
        </w:tc>
        <w:tc>
          <w:tcPr>
            <w:tcW w:w="1277"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33.3 (8.9)</w:t>
            </w:r>
          </w:p>
        </w:tc>
        <w:tc>
          <w:tcPr>
            <w:tcW w:w="918"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18/6</w:t>
            </w:r>
          </w:p>
        </w:tc>
        <w:tc>
          <w:tcPr>
            <w:tcW w:w="4389"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Visually paced variable attentional control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Avsar et al., 2011</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36.4 (15.4)</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35.4 (15.4)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4/4</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The visual delayed match-to-sample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Becker, Kerns, Macdonald &amp; Carter, 2008</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33.3 (10.8)</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6/11</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32.7 (7.8)</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10/7</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Stroop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Bonner-Jackson, Csernansky &amp; Barch, 2007</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21.1 (3.5)</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10/11</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38</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20.9 (3.5)</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10/28</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Encoding and recognition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Lo Bianco et al., 2013</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33.9 (8.7)</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8/15</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31.9 (3.3)</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14/10</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Emotional stimuli with negative valence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Brahmbhatt, Haut, Csernansky &amp; Barch, 2006</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20.7 (4.0)</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7/11</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72</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20.3 (3.5)</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34/38</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Callicott et al., 2003</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34.4 (9.0)</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6/17</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29.6 (7.0)</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11/7</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Callicott et al., 2003</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36.6 (9.0)</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11/14</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27.9 (8.0)</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6/9</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Choi et al., 2012</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20.7 (5.5)</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9/8</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21.4 (2.3)</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9/7</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Collin et al., 2021</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9.6 (2.0)</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5/10</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19</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9.3 (1.7)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9/10</w:t>
            </w:r>
          </w:p>
        </w:tc>
        <w:tc>
          <w:tcPr>
            <w:tcW w:w="4389" w:type="dxa"/>
            <w:tcBorders>
              <w:top w:val="nil"/>
              <w:left w:val="nil"/>
              <w:bottom w:val="nil"/>
              <w:right w:val="nil"/>
            </w:tcBorders>
            <w:vAlign w:val="center"/>
          </w:tcPr>
          <w:p>
            <w:pPr>
              <w:spacing w:line="480" w:lineRule="auto"/>
              <w:jc w:val="center"/>
              <w:rPr>
                <w:rFonts w:hint="default"/>
                <w:b/>
                <w:sz w:val="18"/>
                <w:szCs w:val="18"/>
              </w:rPr>
            </w:pPr>
            <w:r>
              <w:rPr>
                <w:rFonts w:hint="default"/>
                <w:sz w:val="18"/>
                <w:szCs w:val="18"/>
              </w:rPr>
              <w:t>Self-reference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Delawalla, Csernansky &amp; Barch, 2008</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30</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21.3 (3.5)</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16/14</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92</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20.2 (3.4)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39/53</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 xml:space="preserve">Continuous </w:t>
            </w:r>
            <w:r>
              <w:rPr>
                <w:sz w:val="18"/>
                <w:szCs w:val="18"/>
              </w:rPr>
              <w:t>p</w:t>
            </w:r>
            <w:r>
              <w:rPr>
                <w:rFonts w:hint="default"/>
                <w:sz w:val="18"/>
                <w:szCs w:val="18"/>
              </w:rPr>
              <w:t xml:space="preserve">erformance </w:t>
            </w:r>
            <w:r>
              <w:rPr>
                <w:sz w:val="18"/>
                <w:szCs w:val="18"/>
              </w:rPr>
              <w:t>t</w:t>
            </w:r>
            <w:r>
              <w:rPr>
                <w:rFonts w:hint="default"/>
                <w:sz w:val="18"/>
                <w:szCs w:val="18"/>
              </w:rPr>
              <w: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de Leeuw, Kahn, Zandbelt, Widschwendter &amp; Vink, 2013</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30.1 (4.2)</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14/9</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28.3 (5.4)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12/12</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de Leeuw, Kahn &amp; Vink, 2015</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31.7 (1.2)</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14/13</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30.3 (1.7)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12/17</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Monetary incentive delay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Dodell-Feder, DeLisi &amp; Hooker, 2014</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19</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27.4 (3.9)</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5/14</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26.2 (4.0)</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4/14</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Reasoning about a story character’s thoughts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Filbey, Russell, Morris, Murray &amp; McDonald, 2008</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53</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41</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5/3</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Sustained &amp; selective &amp; dual attention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Di Giorgio et al., 2013</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48</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36.3 (8.3)</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24/24</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53</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35.6 (7.5)</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25/28</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Encoding inrecognition memory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Grimm et al., 2014</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54</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33.6 (12.4)</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23/31</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80</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33.5 (9.9)</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39/41</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Monetary incentive delay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Gromann et al., 2014</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50</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33.9 (8.7)</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21/29</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33.4 (10.2)</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19/14</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Multi-round trust game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Hanssen et al., 2015</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94</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36.4 (10.1)</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41/53</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57</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32.2 (8.4)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32/25</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Monetary incentive delay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Hart et al., 2015</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14.4 (2.6)</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10/11</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14.1 (2.6)</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11/10</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Emotional oddball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Herold et al., 2017</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42.9 (10.5)</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6/6</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37.0 (9.1)</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5/7</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Irony and control tasks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Jiang et al., 2015</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parents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50.7 (5.0)</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11/9</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51.8 (5.9)</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10/10</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Karch et al., 2009</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33.6 (8.8)</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4/7</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33.8 (9.2)</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4/7</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Keshavan et al., 2002</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parents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13.3 (2.2)</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12.5 (3.5)</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Memory-guided saccade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Lehet et al., 2021</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31.1 (5.5)</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7/15</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31.9 (8.23)</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10/13</w:t>
            </w:r>
          </w:p>
        </w:tc>
        <w:tc>
          <w:tcPr>
            <w:tcW w:w="4389" w:type="dxa"/>
            <w:tcBorders>
              <w:top w:val="nil"/>
              <w:left w:val="nil"/>
              <w:bottom w:val="nil"/>
              <w:right w:val="nil"/>
            </w:tcBorders>
            <w:vAlign w:val="center"/>
          </w:tcPr>
          <w:p>
            <w:pPr>
              <w:spacing w:line="480" w:lineRule="auto"/>
              <w:jc w:val="center"/>
              <w:rPr>
                <w:rFonts w:hint="default"/>
                <w:b/>
                <w:sz w:val="18"/>
                <w:szCs w:val="18"/>
              </w:rPr>
            </w:pPr>
            <w:r>
              <w:rPr>
                <w:rFonts w:hint="default"/>
                <w:sz w:val="18"/>
                <w:szCs w:val="18"/>
              </w:rPr>
              <w:t>Saccadic stop-signal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H. J. Li et al., 2012</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31.3 (8.2)</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4/8</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29.3 (7.2)</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6/6</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Facial emotional valence discrimination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Li et al., 2016</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NA</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NA</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26</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NA</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NA</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Verbal spatial-memory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Li et al., 2007</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21.7 (6.1)</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7/8</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23.9 (5.2)</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7/8</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Visual lexical decision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Loeb et al., 2018</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30</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19.4 (0.8)</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13/17</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39</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20.0 (0.7)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18/21</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Lopez-Garcia et al., 2016</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57.1 (10.3)</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9/7</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32.7 (11.2)</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8/12</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Dot probe expectancy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MacDonald, Becker &amp; Carter, 2006</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33.2 (10.9)</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7/14</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33.4 (8.4)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10/10</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Stimulus-response incompatibility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McAllindon, Wilman, Purdon &amp; Tibbo, 2010</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34.7</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11/0</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NA</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Visual 2-choice reaction time experiment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Nielsen et al., 2023</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39.5 (11.3)</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16/18</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93</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41.3 (10.3)</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42/41</w:t>
            </w:r>
          </w:p>
        </w:tc>
        <w:tc>
          <w:tcPr>
            <w:tcW w:w="4389" w:type="dxa"/>
            <w:tcBorders>
              <w:top w:val="nil"/>
              <w:left w:val="nil"/>
              <w:bottom w:val="nil"/>
              <w:right w:val="nil"/>
            </w:tcBorders>
            <w:vAlign w:val="center"/>
          </w:tcPr>
          <w:p>
            <w:pPr>
              <w:spacing w:line="480" w:lineRule="auto"/>
              <w:jc w:val="center"/>
              <w:rPr>
                <w:rFonts w:hint="default"/>
                <w:b/>
                <w:sz w:val="18"/>
                <w:szCs w:val="18"/>
              </w:rPr>
            </w:pPr>
            <w:r>
              <w:rPr>
                <w:rFonts w:hint="default"/>
                <w:sz w:val="18"/>
                <w:szCs w:val="18"/>
              </w:rPr>
              <w:t>Monetary incentive delay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Nook et al., 2018</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27.3 (3.9)</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7/14</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19</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26.0 (3.9)</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5/14</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Expressed emotion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Oertel et al., 2019</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43.6 (14.3)</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NA</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34.2 (11.4)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NA</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Face–name association paradigm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Park et al., 2016</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23.9 (5.6)</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7/13</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23.1 (3.9)</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8/9</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Facial emotion recognition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Pirnia et al., 2015</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39.6 (11.8)</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5/9</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30</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29.3 (9.0)</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24/6</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Declarative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Pulkkinen et al., 2015</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51</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22.4 (0.8)</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20/31</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52</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22.3 (0.7)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20/32</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Facial emotion recognition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Raemaekers, Ramsey, Vink, van den Heuvel &amp; Kahn, 2006</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33.9 (11.3)</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8/8</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33.4 (13.6)</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8/8</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Prosaccades and antisaccades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Rajarethinam, Venkatesh, Peethala, Phan &amp; Keshavan, 2011</w:t>
            </w:r>
          </w:p>
        </w:tc>
        <w:tc>
          <w:tcPr>
            <w:tcW w:w="1481" w:type="dxa"/>
            <w:tcBorders>
              <w:top w:val="nil"/>
              <w:left w:val="nil"/>
              <w:bottom w:val="nil"/>
              <w:right w:val="nil"/>
            </w:tcBorders>
            <w:vAlign w:val="center"/>
          </w:tcPr>
          <w:p>
            <w:pPr>
              <w:widowControl/>
              <w:spacing w:line="480" w:lineRule="auto"/>
              <w:jc w:val="center"/>
              <w:rPr>
                <w:rFonts w:hint="default"/>
                <w:sz w:val="18"/>
                <w:szCs w:val="18"/>
              </w:rPr>
            </w:pPr>
            <w:r>
              <w:rPr>
                <w:rFonts w:hint="default"/>
                <w:sz w:val="18"/>
                <w:szCs w:val="18"/>
              </w:rPr>
              <w:t>offspring</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w:t>
            </w:r>
          </w:p>
        </w:tc>
        <w:tc>
          <w:tcPr>
            <w:tcW w:w="1234" w:type="dxa"/>
            <w:tcBorders>
              <w:top w:val="nil"/>
              <w:left w:val="nil"/>
              <w:bottom w:val="nil"/>
              <w:right w:val="nil"/>
            </w:tcBorders>
            <w:vAlign w:val="center"/>
          </w:tcPr>
          <w:p>
            <w:pPr>
              <w:widowControl/>
              <w:spacing w:line="480" w:lineRule="auto"/>
              <w:jc w:val="center"/>
              <w:rPr>
                <w:rFonts w:hint="default"/>
                <w:sz w:val="18"/>
                <w:szCs w:val="18"/>
              </w:rPr>
            </w:pPr>
            <w:r>
              <w:rPr>
                <w:rFonts w:hint="default"/>
                <w:sz w:val="18"/>
                <w:szCs w:val="18"/>
              </w:rPr>
              <w:t>15.1 (3.4)</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7/8</w:t>
            </w:r>
          </w:p>
        </w:tc>
        <w:tc>
          <w:tcPr>
            <w:tcW w:w="617" w:type="dxa"/>
            <w:tcBorders>
              <w:top w:val="nil"/>
              <w:left w:val="nil"/>
              <w:bottom w:val="nil"/>
              <w:right w:val="nil"/>
            </w:tcBorders>
            <w:vAlign w:val="center"/>
          </w:tcPr>
          <w:p>
            <w:pPr>
              <w:widowControl/>
              <w:spacing w:line="480" w:lineRule="auto"/>
              <w:jc w:val="center"/>
              <w:rPr>
                <w:rFonts w:hint="default"/>
                <w:sz w:val="18"/>
                <w:szCs w:val="18"/>
              </w:rPr>
            </w:pPr>
            <w:r>
              <w:rPr>
                <w:rFonts w:hint="default"/>
                <w:sz w:val="18"/>
                <w:szCs w:val="18"/>
              </w:rPr>
              <w:t>17</w:t>
            </w:r>
          </w:p>
        </w:tc>
        <w:tc>
          <w:tcPr>
            <w:tcW w:w="1277" w:type="dxa"/>
            <w:tcBorders>
              <w:top w:val="nil"/>
              <w:left w:val="nil"/>
              <w:bottom w:val="nil"/>
              <w:right w:val="nil"/>
            </w:tcBorders>
            <w:vAlign w:val="center"/>
          </w:tcPr>
          <w:p>
            <w:pPr>
              <w:widowControl/>
              <w:spacing w:line="480" w:lineRule="auto"/>
              <w:jc w:val="center"/>
              <w:rPr>
                <w:rFonts w:hint="default"/>
                <w:sz w:val="18"/>
                <w:szCs w:val="18"/>
              </w:rPr>
            </w:pPr>
            <w:r>
              <w:rPr>
                <w:rFonts w:hint="default"/>
                <w:sz w:val="18"/>
                <w:szCs w:val="18"/>
              </w:rPr>
              <w:t>14.5 (3.5)</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9/8</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Listen to 30 sec blocks of a story alternated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Rasetti et al., 2014</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65</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36.0 (1.2)</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27/38</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181</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34.9 (0.7)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86/95</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Declarative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Sambataro et al., 2013</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65</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36.6 (10.4)</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24/41</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235</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31.8 (9.6)</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113/122</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Flanker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Seidman et al., 2007</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34.8 (8.2)</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5/7</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36.9 (8.1)</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6/7</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Seidman et al., 2006</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19.9 (4.0)</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12/9</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18.1 (3.3)</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10/14</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Sepede et al., 2010</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34.4 (8.8)</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5/6</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32.0 (5.1)</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5/6</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Continuous performance test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Spilka &amp; Goghari, 2017</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41.2 (15.5)</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10/17</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40.7 (11.1)</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13/14</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Facial emotion recognition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Spilka, Arnold &amp; Goghari, 2015</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41.2 (15.5)</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10/17</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40.7 (11.1)</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13/14</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Passive viewing facial emotion perception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Stäblein et al., 2019</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42.7 (14.9)</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8/14</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34.9 (10.5)</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12/13</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Visual masked change detection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Stolz et al., 2012</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23.0 (5.1)</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6/10</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28</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26.9 (6.9)</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9/19</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Visual episodic memory encoding and retrieval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Thermenos et al., 2004</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35.5 (6.0)</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4/8</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32.2 (7.7)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6/6</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Auditory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Thermenos et al., 2007</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19.9 (4.0)</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12/9</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26</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18.0 (3.2)</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10/16</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Miller Selfridge context memory test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Thermenos et al., 2013</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43</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25.2 (3.1)</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12/31</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32</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24.6 (2.8)</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13/19</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Lexical decision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van Buuren, Vink &amp; Kahn, 2012</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27.9 (4.6)</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9/16</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27.5 (8.1)</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9/16</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Self-referential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van der Meer et al., 2014</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32.6 (8.6)</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11/9</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35.5 (11.7)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14/6</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Emotion regulation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b/>
                <w:sz w:val="18"/>
                <w:szCs w:val="18"/>
              </w:rPr>
            </w:pPr>
            <w:r>
              <w:rPr>
                <w:rFonts w:hint="default"/>
                <w:sz w:val="18"/>
                <w:szCs w:val="18"/>
              </w:rPr>
              <w:t>van Gool et al., 2022</w:t>
            </w:r>
          </w:p>
        </w:tc>
        <w:tc>
          <w:tcPr>
            <w:tcW w:w="1481" w:type="dxa"/>
            <w:tcBorders>
              <w:top w:val="nil"/>
              <w:left w:val="nil"/>
              <w:bottom w:val="nil"/>
              <w:right w:val="nil"/>
            </w:tcBorders>
            <w:vAlign w:val="center"/>
          </w:tcPr>
          <w:p>
            <w:pPr>
              <w:spacing w:line="480" w:lineRule="auto"/>
              <w:jc w:val="center"/>
              <w:rPr>
                <w:rFonts w:hint="default"/>
                <w:b/>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9.6 (2.1)</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6/9</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9.3 (1.7)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8/10</w:t>
            </w:r>
          </w:p>
        </w:tc>
        <w:tc>
          <w:tcPr>
            <w:tcW w:w="4389" w:type="dxa"/>
            <w:tcBorders>
              <w:top w:val="nil"/>
              <w:left w:val="nil"/>
              <w:bottom w:val="nil"/>
              <w:right w:val="nil"/>
            </w:tcBorders>
            <w:vAlign w:val="center"/>
          </w:tcPr>
          <w:p>
            <w:pPr>
              <w:spacing w:line="480" w:lineRule="auto"/>
              <w:jc w:val="center"/>
              <w:rPr>
                <w:rFonts w:hint="default"/>
                <w:b/>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7"/>
                <w:szCs w:val="17"/>
              </w:rPr>
              <w:t>Venkatasubramanian, Puthumana, Jayakumar &amp; Gangadhar, 2010</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25.2 (4.2)</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14/3</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24.4 (3.7)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14/2</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Facial emotion recognition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Whitfield-Gabrieli et al., 2009</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22.0 (2.9)</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10/3</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20.5 (3.3)</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8/5</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724"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Whyte et al., 2006</w:t>
            </w:r>
          </w:p>
        </w:tc>
        <w:tc>
          <w:tcPr>
            <w:tcW w:w="1481"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or 2</w:t>
            </w:r>
            <w:r>
              <w:rPr>
                <w:rFonts w:hint="default"/>
                <w:sz w:val="18"/>
                <w:szCs w:val="18"/>
                <w:vertAlign w:val="superscript"/>
              </w:rPr>
              <w:t>nd</w:t>
            </w:r>
            <w:r>
              <w:rPr>
                <w:rFonts w:hint="default"/>
                <w:sz w:val="18"/>
                <w:szCs w:val="18"/>
              </w:rPr>
              <w:t xml:space="preserve"> degree</w:t>
            </w:r>
          </w:p>
        </w:tc>
        <w:tc>
          <w:tcPr>
            <w:tcW w:w="634"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41</w:t>
            </w:r>
          </w:p>
        </w:tc>
        <w:tc>
          <w:tcPr>
            <w:tcW w:w="1234"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26.6 (3.3)</w:t>
            </w:r>
          </w:p>
        </w:tc>
        <w:tc>
          <w:tcPr>
            <w:tcW w:w="900"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18/23</w:t>
            </w:r>
          </w:p>
        </w:tc>
        <w:tc>
          <w:tcPr>
            <w:tcW w:w="617"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21</w:t>
            </w:r>
          </w:p>
        </w:tc>
        <w:tc>
          <w:tcPr>
            <w:tcW w:w="1277"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26.8 (2.7)</w:t>
            </w:r>
          </w:p>
        </w:tc>
        <w:tc>
          <w:tcPr>
            <w:tcW w:w="918"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13/8</w:t>
            </w:r>
          </w:p>
        </w:tc>
        <w:tc>
          <w:tcPr>
            <w:tcW w:w="4389"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Verbal classification and recognition task</w:t>
            </w:r>
          </w:p>
        </w:tc>
      </w:tr>
    </w:tbl>
    <w:p>
      <w:pPr>
        <w:spacing w:line="480" w:lineRule="auto"/>
        <w:rPr>
          <w:rFonts w:hint="default"/>
          <w:sz w:val="24"/>
        </w:rPr>
      </w:pPr>
      <w:r>
        <w:rPr>
          <w:sz w:val="24"/>
        </w:rPr>
        <w:t>Abbreviations:</w:t>
      </w:r>
      <w:r>
        <w:rPr>
          <w:rFonts w:hint="default"/>
          <w:sz w:val="24"/>
        </w:rPr>
        <w:t xml:space="preserve"> F</w:t>
      </w:r>
      <w:r>
        <w:rPr>
          <w:sz w:val="24"/>
        </w:rPr>
        <w:t>,</w:t>
      </w:r>
      <w:r>
        <w:rPr>
          <w:rFonts w:hint="default"/>
          <w:sz w:val="24"/>
        </w:rPr>
        <w:t xml:space="preserve"> female; </w:t>
      </w:r>
      <w:r>
        <w:rPr>
          <w:sz w:val="24"/>
        </w:rPr>
        <w:t xml:space="preserve">fMRI, functional magnetic resonance imaging; </w:t>
      </w:r>
      <w:r>
        <w:rPr>
          <w:rFonts w:hint="default"/>
          <w:sz w:val="24"/>
        </w:rPr>
        <w:t>M</w:t>
      </w:r>
      <w:r>
        <w:rPr>
          <w:sz w:val="24"/>
        </w:rPr>
        <w:t>,</w:t>
      </w:r>
      <w:r>
        <w:rPr>
          <w:rFonts w:hint="default"/>
          <w:sz w:val="24"/>
        </w:rPr>
        <w:t xml:space="preserve"> </w:t>
      </w:r>
      <w:r>
        <w:rPr>
          <w:sz w:val="24"/>
        </w:rPr>
        <w:t>male</w:t>
      </w:r>
      <w:r>
        <w:rPr>
          <w:rFonts w:hint="default"/>
          <w:sz w:val="24"/>
        </w:rPr>
        <w:t xml:space="preserve">; </w:t>
      </w:r>
      <w:r>
        <w:rPr>
          <w:sz w:val="24"/>
        </w:rPr>
        <w:t xml:space="preserve">N, number; </w:t>
      </w:r>
      <w:r>
        <w:rPr>
          <w:rFonts w:hint="default"/>
          <w:sz w:val="24"/>
        </w:rPr>
        <w:t>NA</w:t>
      </w:r>
      <w:r>
        <w:rPr>
          <w:sz w:val="24"/>
        </w:rPr>
        <w:t>,</w:t>
      </w:r>
      <w:r>
        <w:rPr>
          <w:rFonts w:hint="default"/>
          <w:sz w:val="24"/>
        </w:rPr>
        <w:t xml:space="preserve"> not available</w:t>
      </w:r>
      <w:r>
        <w:rPr>
          <w:sz w:val="24"/>
        </w:rPr>
        <w:t xml:space="preserve">; </w:t>
      </w:r>
      <w:r>
        <w:rPr>
          <w:rFonts w:hint="default"/>
          <w:sz w:val="24"/>
        </w:rPr>
        <w:t>SD</w:t>
      </w:r>
      <w:r>
        <w:rPr>
          <w:sz w:val="24"/>
        </w:rPr>
        <w:t>,</w:t>
      </w:r>
      <w:r>
        <w:rPr>
          <w:rFonts w:hint="default"/>
          <w:sz w:val="24"/>
        </w:rPr>
        <w:t xml:space="preserve"> standard deviation; SZ</w:t>
      </w:r>
      <w:r>
        <w:rPr>
          <w:sz w:val="24"/>
        </w:rPr>
        <w:t>,</w:t>
      </w:r>
      <w:r>
        <w:rPr>
          <w:rFonts w:hint="default"/>
          <w:sz w:val="24"/>
        </w:rPr>
        <w:t xml:space="preserve"> schizophrenia.</w:t>
      </w:r>
    </w:p>
    <w:p>
      <w:pPr>
        <w:widowControl/>
        <w:jc w:val="left"/>
        <w:rPr>
          <w:rFonts w:hint="default"/>
          <w:b/>
          <w:sz w:val="24"/>
        </w:rPr>
      </w:pPr>
      <w:r>
        <w:rPr>
          <w:rFonts w:hint="default"/>
          <w:sz w:val="24"/>
        </w:rPr>
        <w:br w:type="page"/>
      </w:r>
      <w:r>
        <w:rPr>
          <w:rFonts w:hint="default"/>
          <w:b/>
          <w:sz w:val="24"/>
        </w:rPr>
        <w:t xml:space="preserve">Table S3. </w:t>
      </w:r>
      <w:r>
        <w:rPr>
          <w:b/>
          <w:sz w:val="24"/>
        </w:rPr>
        <w:t xml:space="preserve">Sample information of the </w:t>
      </w:r>
      <w:r>
        <w:rPr>
          <w:rFonts w:hint="default"/>
          <w:b/>
          <w:sz w:val="24"/>
        </w:rPr>
        <w:t xml:space="preserve">fMRI studies </w:t>
      </w:r>
      <w:r>
        <w:rPr>
          <w:b/>
          <w:sz w:val="24"/>
        </w:rPr>
        <w:t>on</w:t>
      </w:r>
      <w:r>
        <w:rPr>
          <w:rFonts w:hint="default"/>
          <w:b/>
          <w:sz w:val="24"/>
        </w:rPr>
        <w:t xml:space="preserve"> BD-RELs</w:t>
      </w:r>
    </w:p>
    <w:tbl>
      <w:tblPr>
        <w:tblStyle w:val="1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24"/>
        <w:gridCol w:w="1481"/>
        <w:gridCol w:w="634"/>
        <w:gridCol w:w="1234"/>
        <w:gridCol w:w="900"/>
        <w:gridCol w:w="617"/>
        <w:gridCol w:w="1277"/>
        <w:gridCol w:w="918"/>
        <w:gridCol w:w="438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Study</w:t>
            </w:r>
          </w:p>
        </w:tc>
        <w:tc>
          <w:tcPr>
            <w:tcW w:w="1481"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Kinship with BD</w:t>
            </w:r>
          </w:p>
        </w:tc>
        <w:tc>
          <w:tcPr>
            <w:tcW w:w="2768" w:type="dxa"/>
            <w:gridSpan w:val="3"/>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Relatives</w:t>
            </w:r>
          </w:p>
        </w:tc>
        <w:tc>
          <w:tcPr>
            <w:tcW w:w="2812" w:type="dxa"/>
            <w:gridSpan w:val="3"/>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 xml:space="preserve">Healthy </w:t>
            </w:r>
            <w:r>
              <w:rPr>
                <w:b/>
                <w:sz w:val="22"/>
                <w:szCs w:val="22"/>
              </w:rPr>
              <w:t>c</w:t>
            </w:r>
            <w:r>
              <w:rPr>
                <w:rFonts w:hint="default"/>
                <w:b/>
                <w:sz w:val="22"/>
                <w:szCs w:val="22"/>
              </w:rPr>
              <w:t>ontrols</w:t>
            </w:r>
          </w:p>
        </w:tc>
        <w:tc>
          <w:tcPr>
            <w:tcW w:w="4389"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vMerge w:val="continue"/>
            <w:tcBorders>
              <w:top w:val="nil"/>
              <w:left w:val="nil"/>
              <w:bottom w:val="nil"/>
              <w:right w:val="nil"/>
            </w:tcBorders>
            <w:vAlign w:val="center"/>
          </w:tcPr>
          <w:p>
            <w:pPr>
              <w:spacing w:line="480" w:lineRule="auto"/>
              <w:jc w:val="center"/>
              <w:rPr>
                <w:rFonts w:hint="default"/>
                <w:sz w:val="22"/>
                <w:szCs w:val="22"/>
              </w:rPr>
            </w:pPr>
          </w:p>
        </w:tc>
        <w:tc>
          <w:tcPr>
            <w:tcW w:w="1481" w:type="dxa"/>
            <w:vMerge w:val="continue"/>
            <w:tcBorders>
              <w:top w:val="nil"/>
              <w:left w:val="nil"/>
              <w:bottom w:val="nil"/>
              <w:right w:val="nil"/>
            </w:tcBorders>
            <w:vAlign w:val="center"/>
          </w:tcPr>
          <w:p>
            <w:pPr>
              <w:spacing w:line="480" w:lineRule="auto"/>
              <w:jc w:val="center"/>
              <w:rPr>
                <w:rFonts w:hint="default"/>
                <w:sz w:val="22"/>
                <w:szCs w:val="22"/>
              </w:rPr>
            </w:pPr>
          </w:p>
        </w:tc>
        <w:tc>
          <w:tcPr>
            <w:tcW w:w="634"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N</w:t>
            </w:r>
          </w:p>
        </w:tc>
        <w:tc>
          <w:tcPr>
            <w:tcW w:w="1234"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c>
          <w:tcPr>
            <w:tcW w:w="900"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M/F</w:t>
            </w:r>
          </w:p>
        </w:tc>
        <w:tc>
          <w:tcPr>
            <w:tcW w:w="617"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N</w:t>
            </w:r>
          </w:p>
        </w:tc>
        <w:tc>
          <w:tcPr>
            <w:tcW w:w="1277"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c>
          <w:tcPr>
            <w:tcW w:w="918"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M/F</w:t>
            </w:r>
          </w:p>
        </w:tc>
        <w:tc>
          <w:tcPr>
            <w:tcW w:w="4389" w:type="dxa"/>
            <w:vMerge w:val="continue"/>
            <w:tcBorders>
              <w:top w:val="nil"/>
              <w:left w:val="nil"/>
              <w:bottom w:val="nil"/>
              <w:right w:val="nil"/>
            </w:tcBorders>
            <w:vAlign w:val="center"/>
          </w:tcPr>
          <w:p>
            <w:pPr>
              <w:spacing w:line="480" w:lineRule="auto"/>
              <w:jc w:val="center"/>
              <w:rPr>
                <w:rFonts w:hint="default"/>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Allin et al., 2010</w:t>
            </w:r>
          </w:p>
        </w:tc>
        <w:tc>
          <w:tcPr>
            <w:tcW w:w="1481"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19</w:t>
            </w:r>
          </w:p>
        </w:tc>
        <w:tc>
          <w:tcPr>
            <w:tcW w:w="1234"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40.5 (13.9)</w:t>
            </w:r>
          </w:p>
        </w:tc>
        <w:tc>
          <w:tcPr>
            <w:tcW w:w="900"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8/11</w:t>
            </w:r>
          </w:p>
        </w:tc>
        <w:tc>
          <w:tcPr>
            <w:tcW w:w="617"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19</w:t>
            </w:r>
          </w:p>
        </w:tc>
        <w:tc>
          <w:tcPr>
            <w:tcW w:w="1277"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39.9 (11.0)</w:t>
            </w:r>
          </w:p>
        </w:tc>
        <w:tc>
          <w:tcPr>
            <w:tcW w:w="918"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9/10</w:t>
            </w:r>
          </w:p>
        </w:tc>
        <w:tc>
          <w:tcPr>
            <w:tcW w:w="4389"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Verbal fluency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Alonso-Lana et al., 2016</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43.8 (11.1)</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6/14</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40</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42.4 (10.7)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11/29</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Chan et al., 2016</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43</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23.8 (2.5)</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24/19</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54</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23.0 (2.4)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21/33</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Explicit facial expression recognition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K. Chang et al., 2017</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50</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13.5 (2.9)</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29/21</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13.6 (2.8)</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15/14</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Facial expressions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Frangou, 2011</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48</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36.5 (13.8)</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25/23</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71</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39.8 (15.3)</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35/36</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Cognitive control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Kanske, Schönfelder, Forneck &amp; Wessa, 2015</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36.7 (16.3)</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8/9</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35.9 (15.6)</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8/9</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Facial emotion recognition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Kim et al., 2012</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13.9 (2.0)</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6/7</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13.7 (2.0)</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13/8</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Change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Linke et al., 2012</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28.0 (11.0)</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11/11</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28.0 (10.0)</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11/11</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Probabilistic reversal learning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Manelis et al., 2015</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13.8 (2.4)</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17/12</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13.7 (1.8)</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11/12</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Dynamic faces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Manelis et al., 2016</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13.8 (2.5)</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15/14</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28</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13.9 (2.4)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16/12</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Number guessing reward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Nimarko, Gorelik, Carta, Gorelik &amp; Singh, 2022</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40</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12.5 (2.8)</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14/26</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45</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13.2 (2.7)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18/27</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Monetary incentive delay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Nimarko et al., 2021</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13.0 (2.7)</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11/18</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28</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14.6 (2.5)</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12/16</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Implicit emotion perception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Olsavsky et al., 2012</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14.0 (2.4)</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7/6</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56</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14.0 (2.6)</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26/30</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Facial emotion recognition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Pagliaccio et al., 2017</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14.9 (3.5)</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15/14</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19.1 (3.8)</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9/15</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Global-local selective attention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Pompei et al., 2011</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35.0 (13.7)</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13/12</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48</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36.3 (12.8)</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25/23</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Stroop colour word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Roberts et al., 2013</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47</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24.6 (3.8)</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22/25</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49</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23.2 (3.4)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17/32</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Facial emotion go/no-go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Sepede et al., 2012</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31.5 (7.3)</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7/15</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32.5 (6.2)</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8/16</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Continuous performance test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Sugihara et al., 2017</w:t>
            </w:r>
          </w:p>
        </w:tc>
        <w:tc>
          <w:tcPr>
            <w:tcW w:w="1481" w:type="dxa"/>
            <w:tcBorders>
              <w:top w:val="nil"/>
              <w:left w:val="nil"/>
              <w:bottom w:val="nil"/>
              <w:right w:val="nil"/>
            </w:tcBorders>
            <w:vAlign w:val="center"/>
          </w:tcPr>
          <w:p>
            <w:pPr>
              <w:widowControl/>
              <w:spacing w:line="480" w:lineRule="auto"/>
              <w:jc w:val="center"/>
              <w:rPr>
                <w:rFonts w:hint="default"/>
                <w:sz w:val="18"/>
                <w:szCs w:val="18"/>
              </w:rPr>
            </w:pPr>
            <w:r>
              <w:rPr>
                <w:rFonts w:hint="default"/>
                <w:sz w:val="18"/>
                <w:szCs w:val="18"/>
              </w:rPr>
              <w:t>MZ twins</w:t>
            </w:r>
          </w:p>
        </w:tc>
        <w:tc>
          <w:tcPr>
            <w:tcW w:w="634" w:type="dxa"/>
            <w:tcBorders>
              <w:top w:val="nil"/>
              <w:left w:val="nil"/>
              <w:bottom w:val="nil"/>
              <w:right w:val="nil"/>
            </w:tcBorders>
            <w:vAlign w:val="center"/>
          </w:tcPr>
          <w:p>
            <w:pPr>
              <w:tabs>
                <w:tab w:val="left" w:pos="369"/>
              </w:tabs>
              <w:spacing w:line="480" w:lineRule="auto"/>
              <w:jc w:val="center"/>
              <w:rPr>
                <w:rFonts w:hint="default"/>
                <w:sz w:val="18"/>
                <w:szCs w:val="18"/>
              </w:rPr>
            </w:pPr>
            <w:r>
              <w:rPr>
                <w:rFonts w:hint="default"/>
                <w:sz w:val="18"/>
                <w:szCs w:val="18"/>
              </w:rPr>
              <w:t>14</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40.6 (14.5)</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3/11</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48</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35.6 (11.4)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10/38</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Surguladze et al., 2010</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43.0 (13.8)</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12/8</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41.9 (11.6)</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10/10</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Facial emotion recognition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Tseng et al., 2015</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13.7 (2.3)</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8/5</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14.4 (2.8)</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15/12</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Facial emotion recognition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Thermenos et al., 2011</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18.4 (4.2)</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5/5</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17.1 (1.4)</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5/5</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Thermenos et al., 2010</w:t>
            </w:r>
          </w:p>
        </w:tc>
        <w:tc>
          <w:tcPr>
            <w:tcW w:w="1481"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w:t>
            </w:r>
          </w:p>
        </w:tc>
        <w:tc>
          <w:tcPr>
            <w:tcW w:w="123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36.3 (2.6)</w:t>
            </w:r>
          </w:p>
        </w:tc>
        <w:tc>
          <w:tcPr>
            <w:tcW w:w="9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8/10</w:t>
            </w:r>
          </w:p>
        </w:tc>
        <w:tc>
          <w:tcPr>
            <w:tcW w:w="61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19</w:t>
            </w:r>
          </w:p>
        </w:tc>
        <w:tc>
          <w:tcPr>
            <w:tcW w:w="127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39.2 (2.7)</w:t>
            </w:r>
          </w:p>
        </w:tc>
        <w:tc>
          <w:tcPr>
            <w:tcW w:w="918"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9/10</w:t>
            </w:r>
          </w:p>
        </w:tc>
        <w:tc>
          <w:tcPr>
            <w:tcW w:w="4389"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N-back working memory task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24"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Wiggins et al., 2017</w:t>
            </w:r>
          </w:p>
        </w:tc>
        <w:tc>
          <w:tcPr>
            <w:tcW w:w="1481"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634"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22</w:t>
            </w:r>
          </w:p>
        </w:tc>
        <w:tc>
          <w:tcPr>
            <w:tcW w:w="1234"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15.7 (3.6)</w:t>
            </w:r>
          </w:p>
        </w:tc>
        <w:tc>
          <w:tcPr>
            <w:tcW w:w="900"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13/9</w:t>
            </w:r>
          </w:p>
        </w:tc>
        <w:tc>
          <w:tcPr>
            <w:tcW w:w="617"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41</w:t>
            </w:r>
          </w:p>
        </w:tc>
        <w:tc>
          <w:tcPr>
            <w:tcW w:w="1277"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17.3 (4.2)</w:t>
            </w:r>
          </w:p>
        </w:tc>
        <w:tc>
          <w:tcPr>
            <w:tcW w:w="918"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21/20</w:t>
            </w:r>
          </w:p>
        </w:tc>
        <w:tc>
          <w:tcPr>
            <w:tcW w:w="4389"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Face emotion labeling task</w:t>
            </w:r>
          </w:p>
        </w:tc>
      </w:tr>
    </w:tbl>
    <w:p>
      <w:pPr>
        <w:spacing w:line="480" w:lineRule="auto"/>
        <w:rPr>
          <w:rFonts w:hint="default"/>
          <w:sz w:val="24"/>
        </w:rPr>
      </w:pPr>
      <w:bookmarkStart w:id="4" w:name="OLE_LINK4"/>
      <w:r>
        <w:rPr>
          <w:sz w:val="24"/>
        </w:rPr>
        <w:t xml:space="preserve">Abbreviations: BD, bipolar disorder; </w:t>
      </w:r>
      <w:r>
        <w:rPr>
          <w:rFonts w:hint="default"/>
          <w:sz w:val="24"/>
        </w:rPr>
        <w:t>F</w:t>
      </w:r>
      <w:r>
        <w:rPr>
          <w:sz w:val="24"/>
        </w:rPr>
        <w:t>,</w:t>
      </w:r>
      <w:r>
        <w:rPr>
          <w:rFonts w:hint="default"/>
          <w:sz w:val="24"/>
        </w:rPr>
        <w:t xml:space="preserve"> female; </w:t>
      </w:r>
      <w:r>
        <w:rPr>
          <w:sz w:val="24"/>
        </w:rPr>
        <w:t xml:space="preserve">fMRI, functional magnetic resonance imaging; </w:t>
      </w:r>
      <w:r>
        <w:rPr>
          <w:rFonts w:hint="default"/>
          <w:sz w:val="24"/>
        </w:rPr>
        <w:t>M</w:t>
      </w:r>
      <w:r>
        <w:rPr>
          <w:sz w:val="24"/>
        </w:rPr>
        <w:t>,</w:t>
      </w:r>
      <w:r>
        <w:rPr>
          <w:rFonts w:hint="default"/>
          <w:sz w:val="24"/>
        </w:rPr>
        <w:t xml:space="preserve"> </w:t>
      </w:r>
      <w:r>
        <w:rPr>
          <w:sz w:val="24"/>
        </w:rPr>
        <w:t>male</w:t>
      </w:r>
      <w:r>
        <w:rPr>
          <w:rFonts w:hint="default"/>
          <w:sz w:val="24"/>
        </w:rPr>
        <w:t>; MZ twins</w:t>
      </w:r>
      <w:r>
        <w:rPr>
          <w:sz w:val="24"/>
        </w:rPr>
        <w:t xml:space="preserve">, monozygotic twins; N, number; </w:t>
      </w:r>
      <w:r>
        <w:rPr>
          <w:rFonts w:hint="default"/>
          <w:sz w:val="24"/>
        </w:rPr>
        <w:t>SD</w:t>
      </w:r>
      <w:r>
        <w:rPr>
          <w:sz w:val="24"/>
        </w:rPr>
        <w:t>,</w:t>
      </w:r>
      <w:r>
        <w:rPr>
          <w:rFonts w:hint="default"/>
          <w:sz w:val="24"/>
        </w:rPr>
        <w:t xml:space="preserve"> standard deviation</w:t>
      </w:r>
      <w:r>
        <w:rPr>
          <w:sz w:val="24"/>
        </w:rPr>
        <w:t>.</w:t>
      </w:r>
      <w:bookmarkEnd w:id="4"/>
    </w:p>
    <w:p>
      <w:pPr>
        <w:spacing w:line="480" w:lineRule="auto"/>
        <w:rPr>
          <w:rFonts w:hint="default"/>
          <w:b/>
          <w:sz w:val="24"/>
        </w:rPr>
      </w:pPr>
      <w:r>
        <w:rPr>
          <w:rFonts w:hint="default"/>
          <w:sz w:val="24"/>
        </w:rPr>
        <w:br w:type="page"/>
      </w:r>
      <w:r>
        <w:rPr>
          <w:rFonts w:hint="default"/>
          <w:b/>
          <w:sz w:val="24"/>
        </w:rPr>
        <w:t xml:space="preserve">Table S4. </w:t>
      </w:r>
      <w:r>
        <w:rPr>
          <w:b/>
          <w:sz w:val="24"/>
        </w:rPr>
        <w:t xml:space="preserve">Sample information of the </w:t>
      </w:r>
      <w:r>
        <w:rPr>
          <w:rFonts w:hint="default"/>
          <w:b/>
          <w:sz w:val="24"/>
        </w:rPr>
        <w:t xml:space="preserve">VBM studies </w:t>
      </w:r>
      <w:r>
        <w:rPr>
          <w:b/>
          <w:sz w:val="24"/>
        </w:rPr>
        <w:t>on</w:t>
      </w:r>
      <w:r>
        <w:rPr>
          <w:rFonts w:hint="default"/>
          <w:b/>
          <w:sz w:val="24"/>
        </w:rPr>
        <w:t xml:space="preserve"> SZ-RELs</w:t>
      </w:r>
    </w:p>
    <w:tbl>
      <w:tblPr>
        <w:tblStyle w:val="1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30"/>
        <w:gridCol w:w="2137"/>
        <w:gridCol w:w="914"/>
        <w:gridCol w:w="1780"/>
        <w:gridCol w:w="1300"/>
        <w:gridCol w:w="890"/>
        <w:gridCol w:w="1842"/>
        <w:gridCol w:w="132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3930"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Study</w:t>
            </w:r>
          </w:p>
        </w:tc>
        <w:tc>
          <w:tcPr>
            <w:tcW w:w="2137"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Kinship with SZ</w:t>
            </w:r>
          </w:p>
        </w:tc>
        <w:tc>
          <w:tcPr>
            <w:tcW w:w="3994" w:type="dxa"/>
            <w:gridSpan w:val="3"/>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Relatives</w:t>
            </w:r>
          </w:p>
        </w:tc>
        <w:tc>
          <w:tcPr>
            <w:tcW w:w="4057" w:type="dxa"/>
            <w:gridSpan w:val="3"/>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 xml:space="preserve">Healthy </w:t>
            </w:r>
            <w:r>
              <w:rPr>
                <w:b/>
                <w:sz w:val="22"/>
                <w:szCs w:val="22"/>
              </w:rPr>
              <w:t>c</w:t>
            </w:r>
            <w:r>
              <w:rPr>
                <w:rFonts w:hint="default"/>
                <w:b/>
                <w:sz w:val="22"/>
                <w:szCs w:val="22"/>
              </w:rPr>
              <w:t>ontrols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3930" w:type="dxa"/>
            <w:vMerge w:val="continue"/>
            <w:tcBorders>
              <w:top w:val="nil"/>
              <w:left w:val="nil"/>
              <w:bottom w:val="nil"/>
              <w:right w:val="nil"/>
            </w:tcBorders>
            <w:vAlign w:val="center"/>
          </w:tcPr>
          <w:p>
            <w:pPr>
              <w:spacing w:line="480" w:lineRule="auto"/>
              <w:jc w:val="center"/>
              <w:rPr>
                <w:rFonts w:hint="default"/>
                <w:b/>
                <w:sz w:val="22"/>
                <w:szCs w:val="22"/>
              </w:rPr>
            </w:pPr>
          </w:p>
        </w:tc>
        <w:tc>
          <w:tcPr>
            <w:tcW w:w="2137" w:type="dxa"/>
            <w:vMerge w:val="continue"/>
            <w:tcBorders>
              <w:top w:val="nil"/>
              <w:left w:val="nil"/>
              <w:bottom w:val="nil"/>
              <w:right w:val="nil"/>
            </w:tcBorders>
            <w:vAlign w:val="center"/>
          </w:tcPr>
          <w:p>
            <w:pPr>
              <w:spacing w:line="480" w:lineRule="auto"/>
              <w:jc w:val="center"/>
              <w:rPr>
                <w:rFonts w:hint="default"/>
                <w:b/>
                <w:sz w:val="22"/>
                <w:szCs w:val="22"/>
              </w:rPr>
            </w:pPr>
          </w:p>
        </w:tc>
        <w:tc>
          <w:tcPr>
            <w:tcW w:w="914"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N</w:t>
            </w:r>
          </w:p>
        </w:tc>
        <w:tc>
          <w:tcPr>
            <w:tcW w:w="1780"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c>
          <w:tcPr>
            <w:tcW w:w="1300"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M/F</w:t>
            </w:r>
          </w:p>
        </w:tc>
        <w:tc>
          <w:tcPr>
            <w:tcW w:w="890"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N</w:t>
            </w:r>
          </w:p>
        </w:tc>
        <w:tc>
          <w:tcPr>
            <w:tcW w:w="1842"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c>
          <w:tcPr>
            <w:tcW w:w="1325"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M/F</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3930"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M. Chang et al., 2016</w:t>
            </w:r>
          </w:p>
        </w:tc>
        <w:tc>
          <w:tcPr>
            <w:tcW w:w="2137"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914"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31</w:t>
            </w:r>
          </w:p>
        </w:tc>
        <w:tc>
          <w:tcPr>
            <w:tcW w:w="1780"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18.4 (3.8)</w:t>
            </w:r>
          </w:p>
        </w:tc>
        <w:tc>
          <w:tcPr>
            <w:tcW w:w="1300"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21/10</w:t>
            </w:r>
          </w:p>
        </w:tc>
        <w:tc>
          <w:tcPr>
            <w:tcW w:w="890"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71</w:t>
            </w:r>
          </w:p>
        </w:tc>
        <w:tc>
          <w:tcPr>
            <w:tcW w:w="1842"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20.6 (3.5)</w:t>
            </w:r>
          </w:p>
        </w:tc>
        <w:tc>
          <w:tcPr>
            <w:tcW w:w="1325"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27/44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Guo et al., 2014</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23.3 (3.4)</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14/6</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43</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23.7 (2.8)</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Guo et al., 2014</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23.0 (4.5)</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17/8</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43</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23.7 (2.8)</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Guo et al., 2015</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46</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23.0 (4.0)</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29/17</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46</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23.3 (2.3)</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Honea et al., 2008</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siblings</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213</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36.5 (9.8)</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89/114</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212</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33.3 (9.9)</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103/109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Hu et al., 2013</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45</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22.6 (3.9)</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29/16</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59</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23.2 (2.6)</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38/21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Ivleva et al., 2017</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200</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NA</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NA</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251</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36.9 (12.1)</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88/163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Job et al., 2003</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or 2</w:t>
            </w:r>
            <w:r>
              <w:rPr>
                <w:rFonts w:hint="default"/>
                <w:sz w:val="18"/>
                <w:szCs w:val="18"/>
                <w:vertAlign w:val="superscript"/>
              </w:rPr>
              <w:t>nd</w:t>
            </w:r>
            <w:r>
              <w:rPr>
                <w:rFonts w:hint="default"/>
                <w:sz w:val="18"/>
                <w:szCs w:val="18"/>
              </w:rPr>
              <w:t xml:space="preserve"> degree</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146</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21.2 (2.9)</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74/72</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36</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21.2 (2.4)</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X. Li et al., 2012</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21.1 (5.5)</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7/14</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48</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22.0 (5.1)</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B. Lin et al., 2022</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23.9 (4.8)</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5/13</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54</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25.9 (4.6)</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Lui et al., 2009</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parents</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41.4 (3.7)</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3/7</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43.2 (6.3)</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Marcelis et al., 2003</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32</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35.5 (10.0)</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14/18</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35.5 (9.8)</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Oertel-Knöchel et al., 2012</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15.1 (4.1)</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14/15</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37</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16.1 (2.6)</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Sugranyes et al., 2015</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38</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11.0 (3.3)</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25/13</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83</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11.8 (3.2)</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39/44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Tian et al., 2011</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parents</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55</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50.3 (5.1)</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27/28</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29</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51.8 (5.6)</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14/15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Wagshal et al., 2015</w:t>
            </w:r>
          </w:p>
        </w:tc>
        <w:tc>
          <w:tcPr>
            <w:tcW w:w="2137"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siblings</w:t>
            </w:r>
          </w:p>
        </w:tc>
        <w:tc>
          <w:tcPr>
            <w:tcW w:w="914"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14</w:t>
            </w:r>
          </w:p>
        </w:tc>
        <w:tc>
          <w:tcPr>
            <w:tcW w:w="1780"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12.1 (2.4)</w:t>
            </w:r>
          </w:p>
        </w:tc>
        <w:tc>
          <w:tcPr>
            <w:tcW w:w="1300"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6/8</w:t>
            </w:r>
          </w:p>
        </w:tc>
        <w:tc>
          <w:tcPr>
            <w:tcW w:w="890"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46</w:t>
            </w:r>
          </w:p>
        </w:tc>
        <w:tc>
          <w:tcPr>
            <w:tcW w:w="1842"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12.9 (2.6)</w:t>
            </w:r>
          </w:p>
        </w:tc>
        <w:tc>
          <w:tcPr>
            <w:tcW w:w="1325"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21/25</w:t>
            </w:r>
          </w:p>
        </w:tc>
      </w:tr>
    </w:tbl>
    <w:p>
      <w:pPr>
        <w:spacing w:line="480" w:lineRule="auto"/>
        <w:rPr>
          <w:rFonts w:hint="default"/>
          <w:b/>
          <w:sz w:val="24"/>
        </w:rPr>
      </w:pPr>
      <w:r>
        <w:rPr>
          <w:sz w:val="24"/>
        </w:rPr>
        <w:t xml:space="preserve">Abbreviations: </w:t>
      </w:r>
      <w:r>
        <w:rPr>
          <w:rFonts w:hint="default"/>
          <w:sz w:val="24"/>
        </w:rPr>
        <w:t>F</w:t>
      </w:r>
      <w:r>
        <w:rPr>
          <w:sz w:val="24"/>
        </w:rPr>
        <w:t>,</w:t>
      </w:r>
      <w:r>
        <w:rPr>
          <w:rFonts w:hint="default"/>
          <w:sz w:val="24"/>
        </w:rPr>
        <w:t xml:space="preserve"> female; M</w:t>
      </w:r>
      <w:r>
        <w:rPr>
          <w:sz w:val="24"/>
        </w:rPr>
        <w:t>,</w:t>
      </w:r>
      <w:r>
        <w:rPr>
          <w:rFonts w:hint="default"/>
          <w:sz w:val="24"/>
        </w:rPr>
        <w:t xml:space="preserve"> </w:t>
      </w:r>
      <w:r>
        <w:rPr>
          <w:sz w:val="24"/>
        </w:rPr>
        <w:t>male</w:t>
      </w:r>
      <w:r>
        <w:rPr>
          <w:rFonts w:hint="default"/>
          <w:sz w:val="24"/>
        </w:rPr>
        <w:t xml:space="preserve">; </w:t>
      </w:r>
      <w:r>
        <w:rPr>
          <w:sz w:val="24"/>
        </w:rPr>
        <w:t xml:space="preserve">N, number; N, number; </w:t>
      </w:r>
      <w:r>
        <w:rPr>
          <w:rFonts w:hint="default"/>
          <w:sz w:val="24"/>
        </w:rPr>
        <w:t>NA</w:t>
      </w:r>
      <w:r>
        <w:rPr>
          <w:sz w:val="24"/>
        </w:rPr>
        <w:t>,</w:t>
      </w:r>
      <w:r>
        <w:rPr>
          <w:rFonts w:hint="default"/>
          <w:sz w:val="24"/>
        </w:rPr>
        <w:t xml:space="preserve"> not available</w:t>
      </w:r>
      <w:r>
        <w:rPr>
          <w:sz w:val="24"/>
        </w:rPr>
        <w:t xml:space="preserve">; </w:t>
      </w:r>
      <w:r>
        <w:rPr>
          <w:rFonts w:hint="default"/>
          <w:sz w:val="24"/>
        </w:rPr>
        <w:t>SD</w:t>
      </w:r>
      <w:r>
        <w:rPr>
          <w:sz w:val="24"/>
        </w:rPr>
        <w:t>,</w:t>
      </w:r>
      <w:r>
        <w:rPr>
          <w:rFonts w:hint="default"/>
          <w:sz w:val="24"/>
        </w:rPr>
        <w:t xml:space="preserve"> standard deviation</w:t>
      </w:r>
      <w:r>
        <w:rPr>
          <w:sz w:val="24"/>
        </w:rPr>
        <w:t>; SZ, schizophrenia; VBM, voxel-based morphometry.</w:t>
      </w:r>
    </w:p>
    <w:p>
      <w:pPr>
        <w:widowControl/>
        <w:jc w:val="left"/>
        <w:rPr>
          <w:rFonts w:hint="default"/>
          <w:b/>
          <w:sz w:val="24"/>
        </w:rPr>
      </w:pPr>
      <w:r>
        <w:rPr>
          <w:rFonts w:hint="default"/>
          <w:b/>
          <w:sz w:val="24"/>
        </w:rPr>
        <w:br w:type="page"/>
      </w:r>
      <w:r>
        <w:rPr>
          <w:rFonts w:hint="default"/>
          <w:b/>
          <w:sz w:val="24"/>
        </w:rPr>
        <w:t xml:space="preserve">Table S5. </w:t>
      </w:r>
      <w:r>
        <w:rPr>
          <w:b/>
          <w:sz w:val="24"/>
        </w:rPr>
        <w:t xml:space="preserve">Sample information of the </w:t>
      </w:r>
      <w:r>
        <w:rPr>
          <w:rFonts w:hint="default"/>
          <w:b/>
          <w:sz w:val="24"/>
        </w:rPr>
        <w:t xml:space="preserve">VBM studies </w:t>
      </w:r>
      <w:r>
        <w:rPr>
          <w:b/>
          <w:sz w:val="24"/>
        </w:rPr>
        <w:t>on</w:t>
      </w:r>
      <w:r>
        <w:rPr>
          <w:rFonts w:hint="default"/>
          <w:b/>
          <w:sz w:val="24"/>
        </w:rPr>
        <w:t xml:space="preserve"> BD-RELs</w:t>
      </w:r>
    </w:p>
    <w:tbl>
      <w:tblPr>
        <w:tblStyle w:val="1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30"/>
        <w:gridCol w:w="2137"/>
        <w:gridCol w:w="914"/>
        <w:gridCol w:w="1780"/>
        <w:gridCol w:w="1300"/>
        <w:gridCol w:w="890"/>
        <w:gridCol w:w="1842"/>
        <w:gridCol w:w="132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3930"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Study</w:t>
            </w:r>
          </w:p>
        </w:tc>
        <w:tc>
          <w:tcPr>
            <w:tcW w:w="2137" w:type="dxa"/>
            <w:vMerge w:val="restart"/>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Kinship with BD</w:t>
            </w:r>
          </w:p>
        </w:tc>
        <w:tc>
          <w:tcPr>
            <w:tcW w:w="3994" w:type="dxa"/>
            <w:gridSpan w:val="3"/>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Relatives</w:t>
            </w:r>
          </w:p>
        </w:tc>
        <w:tc>
          <w:tcPr>
            <w:tcW w:w="4057" w:type="dxa"/>
            <w:gridSpan w:val="3"/>
            <w:tcBorders>
              <w:top w:val="single" w:color="000000" w:sz="8" w:space="0"/>
              <w:left w:val="nil"/>
              <w:bottom w:val="nil"/>
              <w:right w:val="nil"/>
            </w:tcBorders>
            <w:vAlign w:val="center"/>
          </w:tcPr>
          <w:p>
            <w:pPr>
              <w:spacing w:line="480" w:lineRule="auto"/>
              <w:jc w:val="center"/>
              <w:rPr>
                <w:rFonts w:hint="default"/>
                <w:b/>
                <w:sz w:val="22"/>
                <w:szCs w:val="22"/>
              </w:rPr>
            </w:pPr>
            <w:r>
              <w:rPr>
                <w:rFonts w:hint="default"/>
                <w:b/>
                <w:sz w:val="22"/>
                <w:szCs w:val="22"/>
              </w:rPr>
              <w:t xml:space="preserve">Healthy </w:t>
            </w:r>
            <w:r>
              <w:rPr>
                <w:b/>
                <w:sz w:val="22"/>
                <w:szCs w:val="22"/>
              </w:rPr>
              <w:t>c</w:t>
            </w:r>
            <w:r>
              <w:rPr>
                <w:rFonts w:hint="default"/>
                <w:b/>
                <w:sz w:val="22"/>
                <w:szCs w:val="22"/>
              </w:rPr>
              <w:t>ontrols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3930" w:type="dxa"/>
            <w:vMerge w:val="continue"/>
            <w:tcBorders>
              <w:top w:val="nil"/>
              <w:left w:val="nil"/>
              <w:bottom w:val="nil"/>
              <w:right w:val="nil"/>
            </w:tcBorders>
            <w:vAlign w:val="center"/>
          </w:tcPr>
          <w:p>
            <w:pPr>
              <w:spacing w:line="480" w:lineRule="auto"/>
              <w:jc w:val="center"/>
              <w:rPr>
                <w:rFonts w:hint="default"/>
                <w:b/>
                <w:sz w:val="22"/>
                <w:szCs w:val="22"/>
              </w:rPr>
            </w:pPr>
          </w:p>
        </w:tc>
        <w:tc>
          <w:tcPr>
            <w:tcW w:w="2137" w:type="dxa"/>
            <w:vMerge w:val="continue"/>
            <w:tcBorders>
              <w:top w:val="nil"/>
              <w:left w:val="nil"/>
              <w:bottom w:val="nil"/>
              <w:right w:val="nil"/>
            </w:tcBorders>
            <w:vAlign w:val="center"/>
          </w:tcPr>
          <w:p>
            <w:pPr>
              <w:spacing w:line="480" w:lineRule="auto"/>
              <w:jc w:val="center"/>
              <w:rPr>
                <w:rFonts w:hint="default"/>
                <w:b/>
                <w:sz w:val="22"/>
                <w:szCs w:val="22"/>
              </w:rPr>
            </w:pPr>
          </w:p>
        </w:tc>
        <w:tc>
          <w:tcPr>
            <w:tcW w:w="914"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N</w:t>
            </w:r>
          </w:p>
        </w:tc>
        <w:tc>
          <w:tcPr>
            <w:tcW w:w="1780"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c>
          <w:tcPr>
            <w:tcW w:w="1300"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M/F</w:t>
            </w:r>
          </w:p>
        </w:tc>
        <w:tc>
          <w:tcPr>
            <w:tcW w:w="890"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N</w:t>
            </w:r>
          </w:p>
        </w:tc>
        <w:tc>
          <w:tcPr>
            <w:tcW w:w="1842"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Age (ys)</w:t>
            </w:r>
          </w:p>
          <w:p>
            <w:pPr>
              <w:spacing w:line="480" w:lineRule="auto"/>
              <w:jc w:val="center"/>
              <w:rPr>
                <w:rFonts w:hint="default"/>
                <w:b/>
                <w:sz w:val="22"/>
                <w:szCs w:val="22"/>
              </w:rPr>
            </w:pPr>
            <w:r>
              <w:rPr>
                <w:b/>
                <w:sz w:val="22"/>
                <w:szCs w:val="22"/>
              </w:rPr>
              <w:t>mean</w:t>
            </w:r>
            <w:r>
              <w:rPr>
                <w:rFonts w:hint="default"/>
                <w:b/>
                <w:sz w:val="22"/>
                <w:szCs w:val="22"/>
              </w:rPr>
              <w:t xml:space="preserve"> (SD)</w:t>
            </w:r>
          </w:p>
        </w:tc>
        <w:tc>
          <w:tcPr>
            <w:tcW w:w="1325" w:type="dxa"/>
            <w:tcBorders>
              <w:top w:val="nil"/>
              <w:left w:val="nil"/>
              <w:bottom w:val="nil"/>
              <w:right w:val="nil"/>
            </w:tcBorders>
            <w:vAlign w:val="center"/>
          </w:tcPr>
          <w:p>
            <w:pPr>
              <w:spacing w:line="480" w:lineRule="auto"/>
              <w:jc w:val="center"/>
              <w:rPr>
                <w:rFonts w:hint="default"/>
                <w:b/>
                <w:sz w:val="22"/>
                <w:szCs w:val="22"/>
              </w:rPr>
            </w:pPr>
            <w:r>
              <w:rPr>
                <w:rFonts w:hint="default"/>
                <w:b/>
                <w:sz w:val="22"/>
                <w:szCs w:val="22"/>
              </w:rPr>
              <w:t>M/F</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3930"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Frangou, 2011</w:t>
            </w:r>
          </w:p>
        </w:tc>
        <w:tc>
          <w:tcPr>
            <w:tcW w:w="2137"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48</w:t>
            </w:r>
          </w:p>
        </w:tc>
        <w:tc>
          <w:tcPr>
            <w:tcW w:w="1780"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36.5 (13.8)</w:t>
            </w:r>
          </w:p>
        </w:tc>
        <w:tc>
          <w:tcPr>
            <w:tcW w:w="1300"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25/23</w:t>
            </w:r>
          </w:p>
        </w:tc>
        <w:tc>
          <w:tcPr>
            <w:tcW w:w="890"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71</w:t>
            </w:r>
          </w:p>
        </w:tc>
        <w:tc>
          <w:tcPr>
            <w:tcW w:w="1842"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39.8 (15.3)</w:t>
            </w:r>
          </w:p>
        </w:tc>
        <w:tc>
          <w:tcPr>
            <w:tcW w:w="1325"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36/35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Eker et al., 2014</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30</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34.7 (8.4)</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10/20</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28</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34.9 (9.4)</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Hajek et al., 2013</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30</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19.5 (3.1)</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10/20</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31</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20.6 (3.3)</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Hajek et al., 2013</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20.2 (4.2)</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9/11</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18</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23.0 (3.5)</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7/11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Hanford, Hall, Minuzzi &amp; Sassi, 2016</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12.5 (3.0)</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8/5</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13.3 (2.5)</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Kempton et al., 2009</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50</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33.8 (12.7)</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24/26</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52</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35.2 (13.0)</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K. Lin et al., 2015</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offspring</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26</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17.7 (5.4)</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11/15</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33</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15.9 (4.4)</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15/18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Matsubara et al., 2016</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54.8 (20.1)</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5/5</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27</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48.3 (13.0)</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10/17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Matsuo et al., 2012</w:t>
            </w:r>
          </w:p>
        </w:tc>
        <w:tc>
          <w:tcPr>
            <w:tcW w:w="213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w:t>
            </w:r>
          </w:p>
        </w:tc>
        <w:tc>
          <w:tcPr>
            <w:tcW w:w="178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46.2 (10.7)</w:t>
            </w:r>
          </w:p>
        </w:tc>
        <w:tc>
          <w:tcPr>
            <w:tcW w:w="130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16/8</w:t>
            </w:r>
          </w:p>
        </w:tc>
        <w:tc>
          <w:tcPr>
            <w:tcW w:w="890"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40</w:t>
            </w:r>
          </w:p>
        </w:tc>
        <w:tc>
          <w:tcPr>
            <w:tcW w:w="1842"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41.6 (9.1)</w:t>
            </w:r>
          </w:p>
        </w:tc>
        <w:tc>
          <w:tcPr>
            <w:tcW w:w="1325"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16/24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930" w:type="dxa"/>
            <w:tcBorders>
              <w:top w:val="nil"/>
              <w:left w:val="nil"/>
              <w:bottom w:val="single" w:color="auto" w:sz="4" w:space="0"/>
              <w:right w:val="nil"/>
            </w:tcBorders>
            <w:vAlign w:val="center"/>
          </w:tcPr>
          <w:p>
            <w:pPr>
              <w:spacing w:line="480" w:lineRule="auto"/>
              <w:jc w:val="center"/>
              <w:rPr>
                <w:rFonts w:hint="default"/>
                <w:sz w:val="18"/>
                <w:szCs w:val="18"/>
              </w:rPr>
            </w:pPr>
            <w:r>
              <w:rPr>
                <w:rFonts w:hint="default"/>
                <w:sz w:val="18"/>
                <w:szCs w:val="18"/>
              </w:rPr>
              <w:t>Sarıçiçek et al., 2015</w:t>
            </w:r>
          </w:p>
        </w:tc>
        <w:tc>
          <w:tcPr>
            <w:tcW w:w="2137" w:type="dxa"/>
            <w:tcBorders>
              <w:top w:val="nil"/>
              <w:left w:val="nil"/>
              <w:bottom w:val="single" w:color="auto" w:sz="4" w:space="0"/>
              <w:right w:val="nil"/>
            </w:tcBorders>
            <w:vAlign w:val="center"/>
          </w:tcPr>
          <w:p>
            <w:pPr>
              <w:spacing w:line="480" w:lineRule="auto"/>
              <w:jc w:val="center"/>
              <w:rPr>
                <w:rFonts w:hint="default"/>
                <w:sz w:val="18"/>
                <w:szCs w:val="18"/>
              </w:rPr>
            </w:pPr>
            <w:r>
              <w:rPr>
                <w:rFonts w:hint="default"/>
                <w:sz w:val="18"/>
                <w:szCs w:val="18"/>
              </w:rPr>
              <w:t>1</w:t>
            </w:r>
            <w:r>
              <w:rPr>
                <w:rFonts w:hint="default"/>
                <w:sz w:val="18"/>
                <w:szCs w:val="18"/>
                <w:vertAlign w:val="superscript"/>
              </w:rPr>
              <w:t>st</w:t>
            </w:r>
            <w:r>
              <w:rPr>
                <w:rFonts w:hint="default"/>
                <w:sz w:val="18"/>
                <w:szCs w:val="18"/>
              </w:rPr>
              <w:t xml:space="preserve"> degree</w:t>
            </w:r>
          </w:p>
        </w:tc>
        <w:tc>
          <w:tcPr>
            <w:tcW w:w="914" w:type="dxa"/>
            <w:tcBorders>
              <w:top w:val="nil"/>
              <w:left w:val="nil"/>
              <w:bottom w:val="single" w:color="auto" w:sz="4" w:space="0"/>
              <w:right w:val="nil"/>
            </w:tcBorders>
            <w:vAlign w:val="center"/>
          </w:tcPr>
          <w:p>
            <w:pPr>
              <w:spacing w:line="480" w:lineRule="auto"/>
              <w:jc w:val="center"/>
              <w:rPr>
                <w:rFonts w:hint="default"/>
                <w:sz w:val="18"/>
                <w:szCs w:val="18"/>
              </w:rPr>
            </w:pPr>
            <w:r>
              <w:rPr>
                <w:rFonts w:hint="default"/>
                <w:sz w:val="18"/>
                <w:szCs w:val="18"/>
              </w:rPr>
              <w:t>25</w:t>
            </w:r>
          </w:p>
        </w:tc>
        <w:tc>
          <w:tcPr>
            <w:tcW w:w="1780" w:type="dxa"/>
            <w:tcBorders>
              <w:top w:val="nil"/>
              <w:left w:val="nil"/>
              <w:bottom w:val="single" w:color="auto" w:sz="4" w:space="0"/>
              <w:right w:val="nil"/>
            </w:tcBorders>
            <w:vAlign w:val="center"/>
          </w:tcPr>
          <w:p>
            <w:pPr>
              <w:spacing w:line="480" w:lineRule="auto"/>
              <w:jc w:val="center"/>
              <w:rPr>
                <w:rFonts w:hint="default"/>
                <w:sz w:val="18"/>
                <w:szCs w:val="18"/>
              </w:rPr>
            </w:pPr>
            <w:r>
              <w:rPr>
                <w:rFonts w:hint="default"/>
                <w:sz w:val="18"/>
                <w:szCs w:val="18"/>
              </w:rPr>
              <w:t>32.1 (11.0)</w:t>
            </w:r>
          </w:p>
        </w:tc>
        <w:tc>
          <w:tcPr>
            <w:tcW w:w="1300" w:type="dxa"/>
            <w:tcBorders>
              <w:top w:val="nil"/>
              <w:left w:val="nil"/>
              <w:bottom w:val="single" w:color="auto" w:sz="4" w:space="0"/>
              <w:right w:val="nil"/>
            </w:tcBorders>
            <w:vAlign w:val="center"/>
          </w:tcPr>
          <w:p>
            <w:pPr>
              <w:spacing w:line="480" w:lineRule="auto"/>
              <w:jc w:val="center"/>
              <w:rPr>
                <w:rFonts w:hint="default"/>
                <w:sz w:val="18"/>
                <w:szCs w:val="18"/>
              </w:rPr>
            </w:pPr>
            <w:r>
              <w:rPr>
                <w:rFonts w:hint="default"/>
                <w:sz w:val="18"/>
                <w:szCs w:val="18"/>
              </w:rPr>
              <w:t>12/13</w:t>
            </w:r>
          </w:p>
        </w:tc>
        <w:tc>
          <w:tcPr>
            <w:tcW w:w="890" w:type="dxa"/>
            <w:tcBorders>
              <w:top w:val="nil"/>
              <w:left w:val="nil"/>
              <w:bottom w:val="single" w:color="auto" w:sz="4" w:space="0"/>
              <w:right w:val="nil"/>
            </w:tcBorders>
            <w:vAlign w:val="center"/>
          </w:tcPr>
          <w:p>
            <w:pPr>
              <w:spacing w:line="480" w:lineRule="auto"/>
              <w:jc w:val="center"/>
              <w:rPr>
                <w:rFonts w:hint="default"/>
                <w:sz w:val="18"/>
                <w:szCs w:val="18"/>
              </w:rPr>
            </w:pPr>
            <w:r>
              <w:rPr>
                <w:rFonts w:hint="default"/>
                <w:sz w:val="18"/>
                <w:szCs w:val="18"/>
              </w:rPr>
              <w:t>29</w:t>
            </w:r>
          </w:p>
        </w:tc>
        <w:tc>
          <w:tcPr>
            <w:tcW w:w="1842" w:type="dxa"/>
            <w:tcBorders>
              <w:top w:val="nil"/>
              <w:left w:val="nil"/>
              <w:bottom w:val="single" w:color="auto" w:sz="4" w:space="0"/>
              <w:right w:val="nil"/>
            </w:tcBorders>
            <w:vAlign w:val="center"/>
          </w:tcPr>
          <w:p>
            <w:pPr>
              <w:spacing w:line="480" w:lineRule="auto"/>
              <w:jc w:val="center"/>
              <w:rPr>
                <w:rFonts w:hint="default"/>
                <w:sz w:val="18"/>
                <w:szCs w:val="18"/>
              </w:rPr>
            </w:pPr>
            <w:r>
              <w:rPr>
                <w:rFonts w:hint="default"/>
                <w:sz w:val="18"/>
                <w:szCs w:val="18"/>
              </w:rPr>
              <w:t>33.6 (9.3)</w:t>
            </w:r>
          </w:p>
        </w:tc>
        <w:tc>
          <w:tcPr>
            <w:tcW w:w="1325" w:type="dxa"/>
            <w:tcBorders>
              <w:top w:val="nil"/>
              <w:left w:val="nil"/>
              <w:bottom w:val="single" w:color="auto" w:sz="4" w:space="0"/>
              <w:right w:val="nil"/>
            </w:tcBorders>
            <w:vAlign w:val="center"/>
          </w:tcPr>
          <w:p>
            <w:pPr>
              <w:spacing w:line="480" w:lineRule="auto"/>
              <w:jc w:val="center"/>
              <w:rPr>
                <w:rFonts w:hint="default"/>
                <w:sz w:val="18"/>
                <w:szCs w:val="18"/>
              </w:rPr>
            </w:pPr>
            <w:r>
              <w:rPr>
                <w:rFonts w:hint="default"/>
                <w:sz w:val="18"/>
                <w:szCs w:val="18"/>
              </w:rPr>
              <w:t>13/16</w:t>
            </w:r>
          </w:p>
        </w:tc>
      </w:tr>
    </w:tbl>
    <w:p>
      <w:pPr>
        <w:spacing w:line="480" w:lineRule="auto"/>
        <w:rPr>
          <w:rFonts w:hint="default"/>
          <w:b/>
          <w:sz w:val="24"/>
        </w:rPr>
      </w:pPr>
      <w:r>
        <w:rPr>
          <w:sz w:val="24"/>
        </w:rPr>
        <w:t xml:space="preserve">Abbreviations: BD, bipolar disorder; </w:t>
      </w:r>
      <w:r>
        <w:rPr>
          <w:rFonts w:hint="default"/>
          <w:sz w:val="24"/>
        </w:rPr>
        <w:t>F</w:t>
      </w:r>
      <w:r>
        <w:rPr>
          <w:sz w:val="24"/>
        </w:rPr>
        <w:t>,</w:t>
      </w:r>
      <w:r>
        <w:rPr>
          <w:rFonts w:hint="default"/>
          <w:sz w:val="24"/>
        </w:rPr>
        <w:t xml:space="preserve"> female; M</w:t>
      </w:r>
      <w:r>
        <w:rPr>
          <w:sz w:val="24"/>
        </w:rPr>
        <w:t>,</w:t>
      </w:r>
      <w:r>
        <w:rPr>
          <w:rFonts w:hint="default"/>
          <w:sz w:val="24"/>
        </w:rPr>
        <w:t xml:space="preserve"> </w:t>
      </w:r>
      <w:r>
        <w:rPr>
          <w:sz w:val="24"/>
        </w:rPr>
        <w:t>male</w:t>
      </w:r>
      <w:r>
        <w:rPr>
          <w:rFonts w:hint="default"/>
          <w:sz w:val="24"/>
        </w:rPr>
        <w:t xml:space="preserve">; </w:t>
      </w:r>
      <w:r>
        <w:rPr>
          <w:sz w:val="24"/>
        </w:rPr>
        <w:t xml:space="preserve">N, number; </w:t>
      </w:r>
      <w:r>
        <w:rPr>
          <w:rFonts w:hint="default"/>
          <w:sz w:val="24"/>
        </w:rPr>
        <w:t>SD</w:t>
      </w:r>
      <w:r>
        <w:rPr>
          <w:sz w:val="24"/>
        </w:rPr>
        <w:t>,</w:t>
      </w:r>
      <w:r>
        <w:rPr>
          <w:rFonts w:hint="default"/>
          <w:sz w:val="24"/>
        </w:rPr>
        <w:t xml:space="preserve"> standard deviation</w:t>
      </w:r>
      <w:r>
        <w:rPr>
          <w:sz w:val="24"/>
        </w:rPr>
        <w:t>; VBM, voxel-based morphometry.</w:t>
      </w:r>
    </w:p>
    <w:p>
      <w:pPr>
        <w:spacing w:line="480" w:lineRule="auto"/>
        <w:rPr>
          <w:rFonts w:hint="default"/>
          <w:b/>
          <w:sz w:val="24"/>
        </w:rPr>
        <w:sectPr>
          <w:pgSz w:w="16838" w:h="11906" w:orient="landscape"/>
          <w:pgMar w:top="1800" w:right="1440" w:bottom="1800" w:left="1440" w:header="851" w:footer="992" w:gutter="0"/>
          <w:lnNumType w:countBy="1"/>
          <w:cols w:space="720" w:num="1"/>
          <w:docGrid w:type="lines" w:linePitch="312" w:charSpace="0"/>
        </w:sectPr>
      </w:pPr>
    </w:p>
    <w:p>
      <w:pPr>
        <w:spacing w:line="480" w:lineRule="auto"/>
        <w:rPr>
          <w:rFonts w:hint="default"/>
          <w:b/>
          <w:sz w:val="24"/>
        </w:rPr>
      </w:pPr>
      <w:r>
        <w:rPr>
          <w:rFonts w:hint="default"/>
          <w:b/>
          <w:sz w:val="24"/>
        </w:rPr>
        <w:t>Table S6. Demographic information of AMUD and SALD</w:t>
      </w: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15"/>
        <w:gridCol w:w="1703"/>
        <w:gridCol w:w="1700"/>
        <w:gridCol w:w="1705"/>
        <w:gridCol w:w="1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1715" w:type="dxa"/>
            <w:tcBorders>
              <w:top w:val="single" w:color="000000" w:sz="8" w:space="0"/>
              <w:left w:val="nil"/>
              <w:bottom w:val="single" w:color="000000" w:sz="8" w:space="0"/>
              <w:right w:val="nil"/>
            </w:tcBorders>
          </w:tcPr>
          <w:p>
            <w:pPr>
              <w:spacing w:line="480" w:lineRule="auto"/>
              <w:jc w:val="center"/>
              <w:rPr>
                <w:rFonts w:hint="default"/>
                <w:b/>
                <w:sz w:val="22"/>
                <w:szCs w:val="22"/>
              </w:rPr>
            </w:pPr>
            <w:r>
              <w:rPr>
                <w:rFonts w:hint="default"/>
                <w:b/>
                <w:sz w:val="22"/>
                <w:szCs w:val="22"/>
              </w:rPr>
              <w:t>Dataset</w:t>
            </w:r>
          </w:p>
        </w:tc>
        <w:tc>
          <w:tcPr>
            <w:tcW w:w="1703" w:type="dxa"/>
            <w:tcBorders>
              <w:top w:val="single" w:color="000000" w:sz="8" w:space="0"/>
              <w:left w:val="nil"/>
              <w:bottom w:val="single" w:color="000000" w:sz="8" w:space="0"/>
              <w:right w:val="nil"/>
            </w:tcBorders>
          </w:tcPr>
          <w:p>
            <w:pPr>
              <w:spacing w:line="480" w:lineRule="auto"/>
              <w:jc w:val="center"/>
              <w:rPr>
                <w:rFonts w:hint="default"/>
                <w:b/>
                <w:sz w:val="22"/>
                <w:szCs w:val="22"/>
              </w:rPr>
            </w:pPr>
            <w:r>
              <w:rPr>
                <w:rFonts w:hint="default"/>
                <w:b/>
                <w:sz w:val="22"/>
                <w:szCs w:val="22"/>
              </w:rPr>
              <w:t>Sample size</w:t>
            </w:r>
          </w:p>
        </w:tc>
        <w:tc>
          <w:tcPr>
            <w:tcW w:w="1700" w:type="dxa"/>
            <w:tcBorders>
              <w:top w:val="single" w:color="000000" w:sz="8" w:space="0"/>
              <w:left w:val="nil"/>
              <w:bottom w:val="single" w:color="000000" w:sz="8" w:space="0"/>
              <w:right w:val="nil"/>
            </w:tcBorders>
          </w:tcPr>
          <w:p>
            <w:pPr>
              <w:spacing w:line="480" w:lineRule="auto"/>
              <w:jc w:val="center"/>
              <w:rPr>
                <w:rFonts w:hint="default"/>
                <w:b/>
                <w:sz w:val="22"/>
                <w:szCs w:val="22"/>
              </w:rPr>
            </w:pPr>
            <w:r>
              <w:rPr>
                <w:rFonts w:hint="default"/>
                <w:b/>
                <w:sz w:val="22"/>
                <w:szCs w:val="22"/>
              </w:rPr>
              <w:t>Age (years)</w:t>
            </w:r>
          </w:p>
        </w:tc>
        <w:tc>
          <w:tcPr>
            <w:tcW w:w="1705" w:type="dxa"/>
            <w:tcBorders>
              <w:top w:val="single" w:color="000000" w:sz="8" w:space="0"/>
              <w:left w:val="nil"/>
              <w:bottom w:val="single" w:color="000000" w:sz="8" w:space="0"/>
              <w:right w:val="nil"/>
            </w:tcBorders>
          </w:tcPr>
          <w:p>
            <w:pPr>
              <w:spacing w:line="480" w:lineRule="auto"/>
              <w:jc w:val="center"/>
              <w:rPr>
                <w:rFonts w:hint="default"/>
                <w:b/>
                <w:sz w:val="22"/>
                <w:szCs w:val="22"/>
              </w:rPr>
            </w:pPr>
            <w:r>
              <w:rPr>
                <w:rFonts w:hint="default"/>
                <w:b/>
                <w:sz w:val="22"/>
                <w:szCs w:val="22"/>
              </w:rPr>
              <w:t>Gender (F/M)</w:t>
            </w:r>
          </w:p>
        </w:tc>
        <w:tc>
          <w:tcPr>
            <w:tcW w:w="1694" w:type="dxa"/>
            <w:tcBorders>
              <w:top w:val="single" w:color="000000" w:sz="8" w:space="0"/>
              <w:left w:val="nil"/>
              <w:bottom w:val="single" w:color="000000" w:sz="8" w:space="0"/>
              <w:right w:val="nil"/>
            </w:tcBorders>
          </w:tcPr>
          <w:p>
            <w:pPr>
              <w:spacing w:line="480" w:lineRule="auto"/>
              <w:jc w:val="center"/>
              <w:rPr>
                <w:rFonts w:hint="default"/>
                <w:b/>
                <w:sz w:val="22"/>
                <w:szCs w:val="22"/>
              </w:rPr>
            </w:pPr>
            <w:r>
              <w:rPr>
                <w:rFonts w:hint="default"/>
                <w:b/>
                <w:sz w:val="22"/>
                <w:szCs w:val="22"/>
              </w:rPr>
              <w:t>FD (mm)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1715"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AMUD</w:t>
            </w:r>
          </w:p>
        </w:tc>
        <w:tc>
          <w:tcPr>
            <w:tcW w:w="1703"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656</w:t>
            </w:r>
          </w:p>
        </w:tc>
        <w:tc>
          <w:tcPr>
            <w:tcW w:w="1700"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26.57 (8.57)</w:t>
            </w:r>
          </w:p>
        </w:tc>
        <w:tc>
          <w:tcPr>
            <w:tcW w:w="1705"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396/260</w:t>
            </w:r>
          </w:p>
        </w:tc>
        <w:tc>
          <w:tcPr>
            <w:tcW w:w="1694"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0.12 (0.06)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1715"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SALD</w:t>
            </w:r>
          </w:p>
        </w:tc>
        <w:tc>
          <w:tcPr>
            <w:tcW w:w="1703"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329</w:t>
            </w:r>
          </w:p>
        </w:tc>
        <w:tc>
          <w:tcPr>
            <w:tcW w:w="1700"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37.81 (13.79)</w:t>
            </w:r>
          </w:p>
        </w:tc>
        <w:tc>
          <w:tcPr>
            <w:tcW w:w="1705"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207/122</w:t>
            </w:r>
          </w:p>
        </w:tc>
        <w:tc>
          <w:tcPr>
            <w:tcW w:w="1694"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0.15 (0.08)</w:t>
            </w:r>
          </w:p>
        </w:tc>
      </w:tr>
    </w:tbl>
    <w:p>
      <w:pPr>
        <w:widowControl/>
        <w:spacing w:line="480" w:lineRule="auto"/>
        <w:rPr>
          <w:rFonts w:hint="default"/>
          <w:sz w:val="24"/>
        </w:rPr>
      </w:pPr>
      <w:r>
        <w:rPr>
          <w:rFonts w:hint="default"/>
          <w:sz w:val="24"/>
        </w:rPr>
        <w:t xml:space="preserve">Age and FD are expressed as mean (standard deviation). Abbreviations: </w:t>
      </w:r>
      <w:bookmarkStart w:id="5" w:name="OLE_LINK5"/>
      <w:r>
        <w:rPr>
          <w:rFonts w:hint="default"/>
          <w:sz w:val="24"/>
        </w:rPr>
        <w:t>AMUD, Anhui Medical University Dataset;</w:t>
      </w:r>
      <w:bookmarkEnd w:id="5"/>
      <w:r>
        <w:rPr>
          <w:rFonts w:hint="default"/>
          <w:sz w:val="24"/>
        </w:rPr>
        <w:t xml:space="preserve"> F, female; FD, frame-wise displacement; M, male</w:t>
      </w:r>
      <w:r>
        <w:rPr>
          <w:sz w:val="24"/>
        </w:rPr>
        <w:t xml:space="preserve">; </w:t>
      </w:r>
      <w:r>
        <w:rPr>
          <w:rFonts w:hint="default"/>
          <w:sz w:val="24"/>
        </w:rPr>
        <w:t>SALD, Southwest University Adult Lifespan Dataset</w:t>
      </w:r>
      <w:r>
        <w:rPr>
          <w:sz w:val="24"/>
        </w:rPr>
        <w:t>.</w:t>
      </w:r>
    </w:p>
    <w:p>
      <w:pPr>
        <w:widowControl/>
        <w:spacing w:line="480" w:lineRule="auto"/>
        <w:rPr>
          <w:rFonts w:hint="default"/>
          <w:sz w:val="22"/>
        </w:rPr>
      </w:pPr>
    </w:p>
    <w:p>
      <w:pPr>
        <w:widowControl/>
        <w:spacing w:line="480" w:lineRule="auto"/>
        <w:rPr>
          <w:rFonts w:hint="default"/>
          <w:sz w:val="22"/>
        </w:rPr>
        <w:sectPr>
          <w:pgSz w:w="11906" w:h="16838"/>
          <w:pgMar w:top="1440" w:right="1800" w:bottom="1440" w:left="1800" w:header="851" w:footer="992" w:gutter="0"/>
          <w:lnNumType w:countBy="1"/>
          <w:cols w:space="720" w:num="1"/>
          <w:docGrid w:type="lines" w:linePitch="312" w:charSpace="0"/>
        </w:sectPr>
      </w:pPr>
    </w:p>
    <w:p>
      <w:pPr>
        <w:spacing w:line="480" w:lineRule="auto"/>
        <w:rPr>
          <w:rFonts w:hint="default"/>
          <w:b/>
          <w:sz w:val="24"/>
        </w:rPr>
      </w:pPr>
      <w:r>
        <w:rPr>
          <w:rFonts w:hint="default"/>
          <w:b/>
          <w:sz w:val="24"/>
        </w:rPr>
        <w:t xml:space="preserve">Table S7. Resting-state fMRI parameters </w:t>
      </w:r>
      <w:r>
        <w:rPr>
          <w:b/>
          <w:sz w:val="24"/>
        </w:rPr>
        <w:t>of AMUD and SALD</w:t>
      </w:r>
    </w:p>
    <w:tbl>
      <w:tblPr>
        <w:tblStyle w:val="15"/>
        <w:tblW w:w="8598" w:type="dxa"/>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84"/>
        <w:gridCol w:w="2857"/>
        <w:gridCol w:w="2857"/>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884" w:type="dxa"/>
            <w:tcBorders>
              <w:top w:val="single" w:color="000000" w:sz="8" w:space="0"/>
              <w:left w:val="nil"/>
              <w:bottom w:val="single" w:color="000000" w:sz="8" w:space="0"/>
              <w:right w:val="nil"/>
            </w:tcBorders>
            <w:vAlign w:val="center"/>
          </w:tcPr>
          <w:p>
            <w:pPr>
              <w:spacing w:line="480" w:lineRule="auto"/>
              <w:jc w:val="center"/>
              <w:rPr>
                <w:rFonts w:hint="default"/>
                <w:b/>
                <w:sz w:val="22"/>
                <w:szCs w:val="22"/>
              </w:rPr>
            </w:pPr>
            <w:r>
              <w:rPr>
                <w:rFonts w:hint="default"/>
                <w:b/>
                <w:sz w:val="22"/>
                <w:szCs w:val="22"/>
              </w:rPr>
              <w:t>Parameter</w:t>
            </w:r>
          </w:p>
        </w:tc>
        <w:tc>
          <w:tcPr>
            <w:tcW w:w="2857" w:type="dxa"/>
            <w:tcBorders>
              <w:top w:val="single" w:color="000000" w:sz="8" w:space="0"/>
              <w:left w:val="nil"/>
              <w:bottom w:val="single" w:color="000000" w:sz="8" w:space="0"/>
              <w:right w:val="nil"/>
            </w:tcBorders>
            <w:vAlign w:val="center"/>
          </w:tcPr>
          <w:p>
            <w:pPr>
              <w:spacing w:line="480" w:lineRule="auto"/>
              <w:jc w:val="center"/>
              <w:rPr>
                <w:rFonts w:hint="default"/>
                <w:b/>
                <w:sz w:val="22"/>
                <w:szCs w:val="22"/>
              </w:rPr>
            </w:pPr>
            <w:r>
              <w:rPr>
                <w:b/>
                <w:sz w:val="22"/>
                <w:szCs w:val="22"/>
              </w:rPr>
              <w:t>AMUD</w:t>
            </w:r>
          </w:p>
        </w:tc>
        <w:tc>
          <w:tcPr>
            <w:tcW w:w="2857" w:type="dxa"/>
            <w:tcBorders>
              <w:top w:val="single" w:color="000000" w:sz="8" w:space="0"/>
              <w:left w:val="nil"/>
              <w:bottom w:val="single" w:color="000000" w:sz="8" w:space="0"/>
              <w:right w:val="nil"/>
            </w:tcBorders>
            <w:vAlign w:val="center"/>
          </w:tcPr>
          <w:p>
            <w:pPr>
              <w:spacing w:line="480" w:lineRule="auto"/>
              <w:jc w:val="center"/>
              <w:rPr>
                <w:rFonts w:hint="default"/>
                <w:b/>
                <w:sz w:val="22"/>
                <w:szCs w:val="22"/>
              </w:rPr>
            </w:pPr>
            <w:r>
              <w:rPr>
                <w:rFonts w:hint="default"/>
                <w:b/>
                <w:sz w:val="22"/>
                <w:szCs w:val="22"/>
              </w:rPr>
              <w:t>SALD</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8" w:hRule="atLeast"/>
        </w:trPr>
        <w:tc>
          <w:tcPr>
            <w:tcW w:w="2884"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Scanner</w:t>
            </w:r>
          </w:p>
        </w:tc>
        <w:tc>
          <w:tcPr>
            <w:tcW w:w="2857"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3.0T General Electric Discovery MR750w</w:t>
            </w:r>
          </w:p>
        </w:tc>
        <w:tc>
          <w:tcPr>
            <w:tcW w:w="2857" w:type="dxa"/>
            <w:tcBorders>
              <w:top w:val="single" w:color="000000" w:sz="8" w:space="0"/>
              <w:left w:val="nil"/>
              <w:bottom w:val="nil"/>
              <w:right w:val="nil"/>
            </w:tcBorders>
            <w:vAlign w:val="center"/>
          </w:tcPr>
          <w:p>
            <w:pPr>
              <w:spacing w:line="480" w:lineRule="auto"/>
              <w:jc w:val="center"/>
              <w:rPr>
                <w:rFonts w:hint="default"/>
                <w:sz w:val="18"/>
                <w:szCs w:val="18"/>
              </w:rPr>
            </w:pPr>
            <w:r>
              <w:rPr>
                <w:rFonts w:hint="default"/>
                <w:sz w:val="18"/>
                <w:szCs w:val="18"/>
              </w:rPr>
              <w:t>3.0T Siemens Trio</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88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Sequence</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GRE-SS-EPI</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GRE-EPI</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88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TR (ms)</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2000</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2000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88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TE (ms)</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30</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88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FA (°)</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90</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90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88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FOV (mm2)</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220 × 220</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220 × 220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88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Matrix size</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64 × 64</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64 × 64</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88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Slice thickness (mm)</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88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Slice gap (mm)</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2884"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Slices</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35</w:t>
            </w:r>
          </w:p>
        </w:tc>
        <w:tc>
          <w:tcPr>
            <w:tcW w:w="2857" w:type="dxa"/>
            <w:tcBorders>
              <w:top w:val="nil"/>
              <w:left w:val="nil"/>
              <w:bottom w:val="nil"/>
              <w:right w:val="nil"/>
            </w:tcBorders>
            <w:vAlign w:val="center"/>
          </w:tcPr>
          <w:p>
            <w:pPr>
              <w:spacing w:line="480" w:lineRule="auto"/>
              <w:jc w:val="center"/>
              <w:rPr>
                <w:rFonts w:hint="default"/>
                <w:sz w:val="18"/>
                <w:szCs w:val="18"/>
              </w:rPr>
            </w:pPr>
            <w:r>
              <w:rPr>
                <w:rFonts w:hint="default"/>
                <w:sz w:val="18"/>
                <w:szCs w:val="18"/>
              </w:rPr>
              <w:t>32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884"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Time points</w:t>
            </w:r>
          </w:p>
        </w:tc>
        <w:tc>
          <w:tcPr>
            <w:tcW w:w="2857"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185</w:t>
            </w:r>
          </w:p>
        </w:tc>
        <w:tc>
          <w:tcPr>
            <w:tcW w:w="2857" w:type="dxa"/>
            <w:tcBorders>
              <w:top w:val="nil"/>
              <w:left w:val="nil"/>
              <w:bottom w:val="single" w:color="000000" w:sz="8" w:space="0"/>
              <w:right w:val="nil"/>
            </w:tcBorders>
            <w:vAlign w:val="center"/>
          </w:tcPr>
          <w:p>
            <w:pPr>
              <w:spacing w:line="480" w:lineRule="auto"/>
              <w:jc w:val="center"/>
              <w:rPr>
                <w:rFonts w:hint="default"/>
                <w:sz w:val="18"/>
                <w:szCs w:val="18"/>
              </w:rPr>
            </w:pPr>
            <w:r>
              <w:rPr>
                <w:rFonts w:hint="default"/>
                <w:sz w:val="18"/>
                <w:szCs w:val="18"/>
              </w:rPr>
              <w:t>242</w:t>
            </w:r>
          </w:p>
        </w:tc>
      </w:tr>
    </w:tbl>
    <w:p>
      <w:pPr>
        <w:widowControl/>
        <w:spacing w:line="480" w:lineRule="auto"/>
        <w:rPr>
          <w:rFonts w:hint="default"/>
          <w:sz w:val="24"/>
        </w:rPr>
      </w:pPr>
      <w:r>
        <w:rPr>
          <w:rFonts w:hint="default"/>
          <w:sz w:val="24"/>
        </w:rPr>
        <w:t>Abbreviations: AMUD, Anhui Medical University Dataset;</w:t>
      </w:r>
      <w:r>
        <w:rPr>
          <w:sz w:val="24"/>
        </w:rPr>
        <w:t xml:space="preserve"> </w:t>
      </w:r>
      <w:r>
        <w:rPr>
          <w:rFonts w:hint="default"/>
          <w:sz w:val="24"/>
        </w:rPr>
        <w:t>EPI, echo planar imaging; FA, flip angle; fMRI, functional magnetic resonance imaging; FOV, field of view; GRE, gradient echo; SALD, Southwest University Adult Lifespan Dataset; SS, single shot; TE, echo time; TR, repetition time</w:t>
      </w:r>
      <w:r>
        <w:rPr>
          <w:sz w:val="24"/>
        </w:rPr>
        <w:t>.</w:t>
      </w:r>
    </w:p>
    <w:p>
      <w:pPr>
        <w:widowControl/>
        <w:spacing w:line="480" w:lineRule="auto"/>
        <w:rPr>
          <w:rFonts w:hint="default"/>
          <w:sz w:val="22"/>
        </w:rPr>
      </w:pPr>
    </w:p>
    <w:p>
      <w:pPr>
        <w:widowControl/>
        <w:spacing w:line="480" w:lineRule="auto"/>
        <w:rPr>
          <w:rFonts w:hint="default"/>
          <w:sz w:val="22"/>
        </w:rPr>
        <w:sectPr>
          <w:pgSz w:w="11906" w:h="16838"/>
          <w:pgMar w:top="1440" w:right="1800" w:bottom="1440" w:left="1800" w:header="851" w:footer="992" w:gutter="0"/>
          <w:lnNumType w:countBy="1" w:restart="continuous"/>
          <w:cols w:space="720" w:num="1"/>
          <w:docGrid w:type="lines" w:linePitch="312" w:charSpace="0"/>
        </w:sectPr>
      </w:pPr>
    </w:p>
    <w:p>
      <w:pPr>
        <w:widowControl/>
        <w:spacing w:line="480" w:lineRule="auto"/>
        <w:rPr>
          <w:rFonts w:hint="default"/>
          <w:b/>
          <w:sz w:val="22"/>
          <w:szCs w:val="22"/>
        </w:rPr>
      </w:pPr>
      <w:r>
        <w:rPr>
          <w:rFonts w:hint="default"/>
        </w:rPr>
        <w:pict>
          <v:shape id="流程图: 可选过程 7" o:spid="_x0000_s1031" o:spt="176" type="#_x0000_t176" style="position:absolute;left:0pt;margin-left:34.25pt;margin-top:426.1pt;height:33.6pt;width:207.1pt;z-index:251664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">
            <v:path/>
            <v:fill focussize="0,0"/>
            <v:stroke joinstyle="miter"/>
            <v:imagedata o:title=""/>
            <o:lock v:ext="edit"/>
            <v:textbox>
              <w:txbxContent>
                <w:p>
                  <w:pPr>
                    <w:spacing w:line="360" w:lineRule="auto"/>
                    <w:jc w:val="center"/>
                    <w:rPr>
                      <w:rFonts w:hint="default" w:ascii="Arial" w:hAnsi="Arial" w:cs="Arial"/>
                      <w:sz w:val="18"/>
                      <w:szCs w:val="18"/>
                    </w:rPr>
                  </w:pPr>
                  <w:r>
                    <w:rPr>
                      <w:rFonts w:hint="default" w:ascii="Arial" w:hAnsi="Arial" w:cs="Arial"/>
                      <w:sz w:val="18"/>
                      <w:szCs w:val="18"/>
                    </w:rPr>
                    <w:t>Studies meeting all inclusion criteria = 103</w:t>
                  </w:r>
                </w:p>
              </w:txbxContent>
            </v:textbox>
          </v:shape>
        </w:pict>
      </w:r>
      <w:r>
        <w:rPr>
          <w:rFonts w:hint="default"/>
        </w:rPr>
        <w:pict>
          <v:line id="直接连接符 16" o:spid="_x0000_s1034" o:spt="20" style="position:absolute;left:0pt;flip:x;margin-left:126.1pt;margin-top:142pt;height:27pt;width:0.05pt;z-index:251667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">
            <v:path arrowok="t"/>
            <v:fill focussize="0,0"/>
            <v:stroke weight="1.25pt" endarrow="block"/>
            <v:imagedata o:title=""/>
            <o:lock v:ext="edit"/>
          </v:line>
        </w:pict>
      </w:r>
      <w:r>
        <w:rPr>
          <w:rFonts w:hint="default"/>
        </w:rPr>
        <w:pict>
          <v:shape id="流程图: 可选过程 17" o:spid="_x0000_s1028" o:spt="176" type="#_x0000_t176" style="position:absolute;left:0pt;margin-left:223.85pt;margin-top:140.25pt;height:29.4pt;width:136.9pt;z-index:251661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">
            <v:path/>
            <v:fill focussize="0,0"/>
            <v:stroke joinstyle="miter"/>
            <v:imagedata o:title=""/>
            <o:lock v:ext="edit"/>
            <v:textbox>
              <w:txbxContent>
                <w:p>
                  <w:pPr>
                    <w:spacing w:line="360" w:lineRule="auto"/>
                    <w:jc w:val="center"/>
                    <w:rPr>
                      <w:rFonts w:hint="default"/>
                      <w:sz w:val="18"/>
                      <w:szCs w:val="18"/>
                    </w:rPr>
                  </w:pPr>
                  <w:r>
                    <w:rPr>
                      <w:rFonts w:hint="default" w:ascii="Arial" w:hAnsi="Arial" w:cs="Arial"/>
                      <w:sz w:val="18"/>
                      <w:szCs w:val="18"/>
                    </w:rPr>
                    <w:t>Met exclusion criteria = 2624</w:t>
                  </w:r>
                </w:p>
              </w:txbxContent>
            </v:textbox>
          </v:shape>
        </w:pict>
      </w:r>
      <w:r>
        <w:rPr>
          <w:rFonts w:hint="default"/>
        </w:rPr>
        <w:pict>
          <v:line id="直接连接符 19" o:spid="_x0000_s1038" o:spt="20" style="position:absolute;left:0pt;margin-left:176.15pt;margin-top:111.7pt;height:85.8pt;width:0.05pt;rotation:-5898240f;z-index:2516715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">
            <v:path arrowok="t"/>
            <v:fill focussize="0,0"/>
            <v:stroke weight="1.25pt" endarrow="block" endarrowlength="long"/>
            <v:imagedata o:title=""/>
            <o:lock v:ext="edit"/>
          </v:line>
        </w:pict>
      </w:r>
      <w:r>
        <w:rPr>
          <w:rFonts w:hint="default"/>
        </w:rPr>
        <w:pict>
          <v:line id="直接连接符 20" o:spid="_x0000_s1036" o:spt="20" style="position:absolute;left:0pt;margin-left:124.85pt;margin-top:269.2pt;height:154.45pt;width:0.65pt;z-index:2516695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">
            <v:path arrowok="t"/>
            <v:fill focussize="0,0"/>
            <v:stroke weight="1.25pt" endarrow="block" endarrowlength="long"/>
            <v:imagedata o:title=""/>
            <o:lock v:ext="edit"/>
          </v:line>
        </w:pict>
      </w:r>
      <w:r>
        <w:rPr>
          <w:rFonts w:hint="default"/>
        </w:rPr>
        <w:pict>
          <v:line id="直接连接符 21" o:spid="_x0000_s1035" o:spt="20" style="position:absolute;left:0pt;margin-left:125.45pt;margin-top:206.8pt;height:25.2pt;width:0.05pt;z-index:2516684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">
            <v:path arrowok="t"/>
            <v:fill focussize="0,0"/>
            <v:stroke weight="1.25pt" endarrow="block"/>
            <v:imagedata o:title=""/>
            <o:lock v:ext="edit"/>
          </v:line>
        </w:pict>
      </w:r>
      <w:r>
        <w:rPr>
          <w:rFonts w:hint="default"/>
        </w:rPr>
        <w:pict>
          <v:line id="直接连接符 22" o:spid="_x0000_s1033" o:spt="20" style="position:absolute;left:0pt;margin-left:125.45pt;margin-top:80.2pt;height:25.2pt;width:0.05pt;z-index:251666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">
            <v:path arrowok="t"/>
            <v:fill focussize="0,0"/>
            <v:stroke weight="1.25pt" endarrow="block"/>
            <v:imagedata o:title=""/>
            <o:lock v:ext="edit"/>
          </v:line>
        </w:pict>
      </w:r>
      <w:r>
        <w:rPr>
          <w:rFonts w:hint="default"/>
        </w:rPr>
        <w:pict>
          <v:shape id="流程图: 可选过程 24" o:spid="_x0000_s1029" o:spt="176" type="#_x0000_t176" style="position:absolute;left:0pt;margin-left:9.6pt;margin-top:171.45pt;height:31.8pt;width:238.35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">
            <v:path/>
            <v:fill focussize="0,0"/>
            <v:stroke joinstyle="miter"/>
            <v:imagedata o:title=""/>
            <o:lock v:ext="edit"/>
            <v:textbox>
              <w:txbxContent>
                <w:p>
                  <w:pPr>
                    <w:spacing w:line="360" w:lineRule="auto"/>
                    <w:jc w:val="center"/>
                    <w:rPr>
                      <w:rFonts w:hint="default" w:ascii="Arial" w:hAnsi="Arial" w:cs="Arial"/>
                      <w:sz w:val="18"/>
                      <w:szCs w:val="18"/>
                    </w:rPr>
                  </w:pPr>
                  <w:r>
                    <w:rPr>
                      <w:rFonts w:hint="default" w:ascii="Arial" w:hAnsi="Arial" w:cs="Arial"/>
                      <w:sz w:val="18"/>
                      <w:szCs w:val="18"/>
                    </w:rPr>
                    <w:t>Publications potentially meeting inclusion criteria = 581</w:t>
                  </w:r>
                </w:p>
              </w:txbxContent>
            </v:textbox>
          </v:shape>
        </w:pict>
      </w:r>
      <w:r>
        <w:rPr>
          <w:rFonts w:hint="default"/>
        </w:rPr>
        <w:pict>
          <v:shape id="流程图: 可选过程 25" o:spid="_x0000_s1027" o:spt="176" type="#_x0000_t176" style="position:absolute;left:0pt;margin-left:36.05pt;margin-top:108.45pt;height:31.15pt;width:188.45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">
            <v:path/>
            <v:fill focussize="0,0"/>
            <v:stroke joinstyle="miter"/>
            <v:imagedata o:title=""/>
            <o:lock v:ext="edit"/>
            <v:textbox>
              <w:txbxContent>
                <w:p>
                  <w:pPr>
                    <w:spacing w:line="360" w:lineRule="auto"/>
                    <w:jc w:val="center"/>
                    <w:rPr>
                      <w:rFonts w:hint="default" w:ascii="Arial" w:hAnsi="Arial" w:cs="Arial"/>
                      <w:sz w:val="18"/>
                      <w:szCs w:val="18"/>
                    </w:rPr>
                  </w:pPr>
                  <w:r>
                    <w:rPr>
                      <w:rFonts w:hint="default" w:ascii="Arial" w:hAnsi="Arial" w:cs="Arial"/>
                      <w:sz w:val="18"/>
                      <w:szCs w:val="18"/>
                    </w:rPr>
                    <w:t>Records after duplicates removed = 3205</w:t>
                  </w:r>
                </w:p>
              </w:txbxContent>
            </v:textbox>
          </v:shape>
        </w:pict>
      </w:r>
      <w:r>
        <w:rPr>
          <w:rFonts w:hint="default"/>
        </w:rPr>
        <w:pict>
          <v:shape id="流程图: 可选过程 26" o:spid="_x0000_s1026" o:spt="176" type="#_x0000_t176" style="position:absolute;left:0pt;margin-left:18.05pt;margin-top:47.85pt;height:30pt;width:225.7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">
            <v:path/>
            <v:fill focussize="0,0"/>
            <v:stroke joinstyle="miter"/>
            <v:imagedata o:title=""/>
            <o:lock v:ext="edit"/>
            <v:textbox>
              <w:txbxContent>
                <w:p>
                  <w:pPr>
                    <w:spacing w:line="360" w:lineRule="auto"/>
                    <w:jc w:val="center"/>
                    <w:rPr>
                      <w:rFonts w:hint="default" w:ascii="Arial" w:hAnsi="Arial" w:cs="Arial"/>
                      <w:sz w:val="18"/>
                      <w:szCs w:val="18"/>
                    </w:rPr>
                  </w:pPr>
                  <w:r>
                    <w:rPr>
                      <w:rFonts w:hint="default" w:ascii="Arial" w:hAnsi="Arial" w:cs="Arial"/>
                      <w:sz w:val="18"/>
                      <w:szCs w:val="18"/>
                    </w:rPr>
                    <w:t>Records identified through database screens = 5076</w:t>
                  </w:r>
                </w:p>
              </w:txbxContent>
            </v:textbox>
          </v:shape>
        </w:pict>
      </w:r>
    </w:p>
    <w:p>
      <w:pPr>
        <w:widowControl/>
        <w:spacing w:line="480" w:lineRule="auto"/>
        <w:rPr>
          <w:rFonts w:hint="default"/>
          <w:b/>
          <w:sz w:val="22"/>
          <w:szCs w:val="22"/>
        </w:rPr>
      </w:pPr>
    </w:p>
    <w:p>
      <w:pPr>
        <w:widowControl/>
        <w:spacing w:line="480" w:lineRule="auto"/>
        <w:rPr>
          <w:rFonts w:hint="default"/>
          <w:b/>
          <w:sz w:val="22"/>
          <w:szCs w:val="22"/>
        </w:rPr>
      </w:pPr>
    </w:p>
    <w:p>
      <w:pPr>
        <w:widowControl/>
        <w:spacing w:line="480" w:lineRule="auto"/>
        <w:rPr>
          <w:rFonts w:hint="default"/>
          <w:b/>
          <w:sz w:val="22"/>
          <w:szCs w:val="22"/>
        </w:rPr>
      </w:pPr>
    </w:p>
    <w:p>
      <w:pPr>
        <w:widowControl/>
        <w:spacing w:line="480" w:lineRule="auto"/>
        <w:rPr>
          <w:rFonts w:hint="default"/>
          <w:b/>
          <w:sz w:val="22"/>
          <w:szCs w:val="22"/>
        </w:rPr>
      </w:pPr>
    </w:p>
    <w:p>
      <w:pPr>
        <w:widowControl/>
        <w:spacing w:line="480" w:lineRule="auto"/>
        <w:rPr>
          <w:rFonts w:hint="default"/>
          <w:b/>
          <w:sz w:val="22"/>
          <w:szCs w:val="22"/>
        </w:rPr>
      </w:pPr>
    </w:p>
    <w:p>
      <w:pPr>
        <w:widowControl/>
        <w:spacing w:line="480" w:lineRule="auto"/>
        <w:rPr>
          <w:rFonts w:hint="default"/>
          <w:b/>
          <w:sz w:val="22"/>
          <w:szCs w:val="22"/>
        </w:rPr>
      </w:pPr>
    </w:p>
    <w:p>
      <w:pPr>
        <w:widowControl/>
        <w:spacing w:line="480" w:lineRule="auto"/>
        <w:rPr>
          <w:rFonts w:hint="default"/>
          <w:b/>
          <w:sz w:val="22"/>
          <w:szCs w:val="22"/>
        </w:rPr>
      </w:pPr>
      <w:r>
        <w:rPr>
          <w:rFonts w:hint="default"/>
        </w:rPr>
        <w:pict>
          <v:shape id="流程图: 可选过程 23" o:spid="_x0000_s1030" o:spt="176" type="#_x0000_t176" style="position:absolute;left:0pt;margin-left:12.2pt;margin-top:16.8pt;height:30.65pt;width:232.85pt;z-index:2516633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">
            <v:path/>
            <v:fill focussize="0,0"/>
            <v:stroke joinstyle="miter"/>
            <v:imagedata o:title=""/>
            <o:lock v:ext="edit"/>
            <v:textbox>
              <w:txbxContent>
                <w:p>
                  <w:pPr>
                    <w:spacing w:line="360" w:lineRule="auto"/>
                    <w:jc w:val="center"/>
                    <w:rPr>
                      <w:rFonts w:hint="default" w:ascii="Arial" w:hAnsi="Arial" w:cs="Arial"/>
                      <w:sz w:val="18"/>
                      <w:szCs w:val="18"/>
                    </w:rPr>
                  </w:pPr>
                  <w:r>
                    <w:rPr>
                      <w:rFonts w:hint="default" w:ascii="Arial" w:hAnsi="Arial" w:cs="Arial"/>
                      <w:sz w:val="18"/>
                      <w:szCs w:val="18"/>
                    </w:rPr>
                    <w:t xml:space="preserve">Full-text publications assessed for eligibility = </w:t>
                  </w:r>
                  <w:r>
                    <w:rPr>
                      <w:rFonts w:ascii="Arial" w:hAnsi="Arial" w:cs="Arial"/>
                      <w:sz w:val="18"/>
                      <w:szCs w:val="18"/>
                    </w:rPr>
                    <w:t>5</w:t>
                  </w:r>
                  <w:r>
                    <w:rPr>
                      <w:rFonts w:hint="default" w:ascii="Arial" w:hAnsi="Arial" w:cs="Arial"/>
                      <w:sz w:val="18"/>
                      <w:szCs w:val="18"/>
                    </w:rPr>
                    <w:t>81</w:t>
                  </w:r>
                </w:p>
              </w:txbxContent>
            </v:textbox>
          </v:shape>
        </w:pict>
      </w:r>
    </w:p>
    <w:p>
      <w:pPr>
        <w:widowControl/>
        <w:spacing w:line="480" w:lineRule="auto"/>
        <w:rPr>
          <w:rFonts w:hint="default"/>
          <w:b/>
          <w:sz w:val="22"/>
          <w:szCs w:val="22"/>
        </w:rPr>
      </w:pPr>
      <w:r>
        <w:rPr>
          <w:rFonts w:hint="default"/>
        </w:rPr>
        <w:pict>
          <v:shape id="流程图: 可选过程 15" o:spid="_x0000_s1032" o:spt="176" type="#_x0000_t176" style="position:absolute;left:0pt;margin-left:175.85pt;margin-top:19.9pt;height:152.95pt;width:290.8pt;z-index:2516654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">
            <v:path/>
            <v:fill focussize="0,0"/>
            <v:stroke joinstyle="miter"/>
            <v:imagedata o:title=""/>
            <o:lock v:ext="edit"/>
            <v:textbox>
              <w:txbxContent>
                <w:p>
                  <w:pPr>
                    <w:spacing w:line="360" w:lineRule="auto"/>
                    <w:jc w:val="center"/>
                    <w:rPr>
                      <w:rFonts w:hint="default" w:ascii="Arial" w:hAnsi="Arial" w:cs="Arial"/>
                      <w:sz w:val="18"/>
                      <w:szCs w:val="18"/>
                    </w:rPr>
                  </w:pPr>
                  <w:r>
                    <w:rPr>
                      <w:rFonts w:hint="default" w:ascii="Arial" w:hAnsi="Arial" w:cs="Arial"/>
                      <w:sz w:val="18"/>
                      <w:szCs w:val="18"/>
                    </w:rPr>
                    <w:t>Excluded following studies = 478</w:t>
                  </w:r>
                </w:p>
                <w:p>
                  <w:pPr>
                    <w:numPr>
                      <w:ilvl w:val="0"/>
                      <w:numId w:val="2"/>
                    </w:numPr>
                    <w:spacing w:line="360" w:lineRule="auto"/>
                    <w:jc w:val="left"/>
                    <w:rPr>
                      <w:rFonts w:hint="default" w:ascii="Arial" w:hAnsi="Arial" w:cs="Arial"/>
                      <w:sz w:val="18"/>
                      <w:szCs w:val="18"/>
                    </w:rPr>
                  </w:pPr>
                  <w:r>
                    <w:rPr>
                      <w:rFonts w:hint="default" w:ascii="Arial" w:hAnsi="Arial" w:cs="Arial"/>
                      <w:sz w:val="18"/>
                      <w:szCs w:val="18"/>
                    </w:rPr>
                    <w:t>Imaging modalities different from task fMRI or VBM: 177</w:t>
                  </w:r>
                </w:p>
                <w:p>
                  <w:pPr>
                    <w:numPr>
                      <w:ilvl w:val="0"/>
                      <w:numId w:val="2"/>
                    </w:numPr>
                    <w:spacing w:line="360" w:lineRule="auto"/>
                    <w:jc w:val="left"/>
                    <w:rPr>
                      <w:rFonts w:hint="default" w:ascii="Arial" w:hAnsi="Arial" w:cs="Arial"/>
                      <w:sz w:val="18"/>
                      <w:szCs w:val="18"/>
                    </w:rPr>
                  </w:pPr>
                  <w:r>
                    <w:rPr>
                      <w:rFonts w:hint="default" w:ascii="Arial" w:hAnsi="Arial" w:cs="Arial"/>
                      <w:sz w:val="18"/>
                      <w:szCs w:val="18"/>
                    </w:rPr>
                    <w:t>ROI</w:t>
                  </w:r>
                  <w:r>
                    <w:rPr>
                      <w:rFonts w:ascii="Arial" w:hAnsi="Arial" w:cs="Arial"/>
                      <w:sz w:val="18"/>
                      <w:szCs w:val="18"/>
                    </w:rPr>
                    <w:t>-based</w:t>
                  </w:r>
                  <w:r>
                    <w:rPr>
                      <w:rFonts w:hint="default" w:ascii="Arial" w:hAnsi="Arial" w:cs="Arial"/>
                      <w:sz w:val="18"/>
                      <w:szCs w:val="18"/>
                    </w:rPr>
                    <w:t xml:space="preserve"> studies: 94</w:t>
                  </w:r>
                </w:p>
                <w:p>
                  <w:pPr>
                    <w:numPr>
                      <w:ilvl w:val="0"/>
                      <w:numId w:val="2"/>
                    </w:numPr>
                    <w:spacing w:line="360" w:lineRule="auto"/>
                    <w:jc w:val="left"/>
                    <w:rPr>
                      <w:rFonts w:hint="default" w:ascii="Arial" w:hAnsi="Arial" w:cs="Arial"/>
                      <w:sz w:val="18"/>
                      <w:szCs w:val="18"/>
                    </w:rPr>
                  </w:pPr>
                  <w:r>
                    <w:rPr>
                      <w:rFonts w:hint="default" w:ascii="Arial" w:hAnsi="Arial" w:cs="Arial"/>
                      <w:sz w:val="18"/>
                      <w:szCs w:val="18"/>
                    </w:rPr>
                    <w:t>Subjects at clinical risk for SZ or BD: 92</w:t>
                  </w:r>
                </w:p>
                <w:p>
                  <w:pPr>
                    <w:numPr>
                      <w:ilvl w:val="0"/>
                      <w:numId w:val="2"/>
                    </w:numPr>
                    <w:spacing w:line="360" w:lineRule="auto"/>
                    <w:jc w:val="left"/>
                    <w:rPr>
                      <w:rFonts w:hint="default" w:ascii="Arial" w:hAnsi="Arial" w:cs="Arial"/>
                      <w:sz w:val="18"/>
                      <w:szCs w:val="18"/>
                    </w:rPr>
                  </w:pPr>
                  <w:r>
                    <w:rPr>
                      <w:rFonts w:hint="default" w:ascii="Arial" w:hAnsi="Arial" w:cs="Arial"/>
                      <w:sz w:val="18"/>
                      <w:szCs w:val="18"/>
                    </w:rPr>
                    <w:t>SZ- and BD-RELs or RELs and patients analyzed together: 27</w:t>
                  </w:r>
                </w:p>
                <w:p>
                  <w:pPr>
                    <w:numPr>
                      <w:ilvl w:val="0"/>
                      <w:numId w:val="2"/>
                    </w:numPr>
                    <w:spacing w:line="360" w:lineRule="auto"/>
                    <w:jc w:val="left"/>
                    <w:rPr>
                      <w:rFonts w:hint="default" w:ascii="Arial" w:hAnsi="Arial" w:cs="Arial"/>
                      <w:sz w:val="18"/>
                      <w:szCs w:val="18"/>
                    </w:rPr>
                  </w:pPr>
                  <w:r>
                    <w:rPr>
                      <w:rFonts w:hint="default" w:ascii="Arial" w:hAnsi="Arial" w:cs="Arial"/>
                      <w:sz w:val="18"/>
                      <w:szCs w:val="18"/>
                    </w:rPr>
                    <w:t xml:space="preserve">No stereotaxic coordinates </w:t>
                  </w:r>
                  <w:r>
                    <w:rPr>
                      <w:rFonts w:ascii="Arial" w:hAnsi="Arial" w:cs="Arial"/>
                      <w:sz w:val="18"/>
                      <w:szCs w:val="18"/>
                    </w:rPr>
                    <w:t>were provided</w:t>
                  </w:r>
                  <w:r>
                    <w:rPr>
                      <w:rFonts w:hint="default" w:ascii="Arial" w:hAnsi="Arial" w:cs="Arial"/>
                      <w:sz w:val="18"/>
                      <w:szCs w:val="18"/>
                    </w:rPr>
                    <w:t>: 88</w:t>
                  </w:r>
                </w:p>
              </w:txbxContent>
            </v:textbox>
          </v:shape>
        </w:pict>
      </w:r>
    </w:p>
    <w:p>
      <w:pPr>
        <w:widowControl/>
        <w:spacing w:line="480" w:lineRule="auto"/>
        <w:rPr>
          <w:rFonts w:hint="default"/>
          <w:b/>
          <w:sz w:val="22"/>
          <w:szCs w:val="22"/>
        </w:rPr>
      </w:pPr>
    </w:p>
    <w:p>
      <w:pPr>
        <w:widowControl/>
        <w:spacing w:line="480" w:lineRule="auto"/>
        <w:rPr>
          <w:rFonts w:hint="default"/>
          <w:b/>
          <w:sz w:val="22"/>
          <w:szCs w:val="22"/>
        </w:rPr>
      </w:pPr>
    </w:p>
    <w:p>
      <w:pPr>
        <w:widowControl/>
        <w:spacing w:line="480" w:lineRule="auto"/>
        <w:rPr>
          <w:rFonts w:hint="default"/>
          <w:b/>
          <w:sz w:val="22"/>
          <w:szCs w:val="22"/>
        </w:rPr>
      </w:pPr>
      <w:r>
        <w:rPr>
          <w:rFonts w:hint="default"/>
        </w:rPr>
        <w:pict>
          <v:line id="直接连接符 18" o:spid="_x0000_s1037" o:spt="20" style="position:absolute;left:0pt;margin-left:151.55pt;margin-top:-17.45pt;height:41.4pt;width:0.05pt;rotation:-5898240f;z-index:2516705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">
            <v:path arrowok="t"/>
            <v:fill focussize="0,0"/>
            <v:stroke weight="1.25pt" endarrow="block"/>
            <v:imagedata o:title=""/>
            <o:lock v:ext="edit"/>
          </v:line>
        </w:pict>
      </w:r>
    </w:p>
    <w:p>
      <w:pPr>
        <w:widowControl/>
        <w:spacing w:line="480" w:lineRule="auto"/>
        <w:rPr>
          <w:rFonts w:hint="default"/>
          <w:b/>
          <w:sz w:val="22"/>
          <w:szCs w:val="22"/>
        </w:rPr>
      </w:pPr>
    </w:p>
    <w:p>
      <w:pPr>
        <w:widowControl/>
        <w:spacing w:line="480" w:lineRule="auto"/>
        <w:rPr>
          <w:rFonts w:hint="default"/>
          <w:b/>
          <w:sz w:val="22"/>
          <w:szCs w:val="22"/>
        </w:rPr>
      </w:pPr>
    </w:p>
    <w:p>
      <w:pPr>
        <w:widowControl/>
        <w:spacing w:line="480" w:lineRule="auto"/>
        <w:rPr>
          <w:rFonts w:hint="default"/>
          <w:b/>
          <w:sz w:val="22"/>
          <w:szCs w:val="22"/>
        </w:rPr>
      </w:pPr>
    </w:p>
    <w:p>
      <w:pPr>
        <w:widowControl/>
        <w:spacing w:line="480" w:lineRule="auto"/>
        <w:rPr>
          <w:rFonts w:hint="default"/>
          <w:sz w:val="24"/>
        </w:rPr>
      </w:pPr>
      <w:r>
        <w:rPr>
          <w:rFonts w:hint="default"/>
          <w:b/>
          <w:sz w:val="24"/>
        </w:rPr>
        <w:t xml:space="preserve">Figure S1. </w:t>
      </w:r>
      <w:r>
        <w:rPr>
          <w:rFonts w:hint="default"/>
          <w:bCs/>
          <w:sz w:val="24"/>
        </w:rPr>
        <w:t xml:space="preserve">The </w:t>
      </w:r>
      <w:r>
        <w:rPr>
          <w:bCs/>
          <w:sz w:val="24"/>
        </w:rPr>
        <w:t xml:space="preserve">study </w:t>
      </w:r>
      <w:r>
        <w:rPr>
          <w:rFonts w:hint="default"/>
          <w:bCs/>
          <w:sz w:val="24"/>
        </w:rPr>
        <w:t>selection process</w:t>
      </w:r>
      <w:r>
        <w:rPr>
          <w:bCs/>
          <w:sz w:val="24"/>
        </w:rPr>
        <w:t>.</w:t>
      </w:r>
      <w:r>
        <w:rPr>
          <w:rFonts w:hint="default"/>
          <w:bCs/>
          <w:sz w:val="24"/>
        </w:rPr>
        <w:t xml:space="preserve"> </w:t>
      </w:r>
      <w:r>
        <w:rPr>
          <w:rFonts w:hint="default" w:eastAsia="微软雅黑"/>
          <w:bCs/>
          <w:color w:val="2A2B2E"/>
          <w:sz w:val="24"/>
          <w:shd w:val="clear" w:color="auto" w:fill="FCFDFE"/>
          <w:lang w:bidi="ar"/>
        </w:rPr>
        <w:t>Abbreviations</w:t>
      </w:r>
      <w:r>
        <w:rPr>
          <w:rFonts w:hint="default" w:eastAsia="微软雅黑"/>
          <w:color w:val="2A2B2E"/>
          <w:sz w:val="24"/>
          <w:shd w:val="clear" w:color="auto" w:fill="FCFDFE"/>
          <w:lang w:bidi="ar"/>
        </w:rPr>
        <w:t xml:space="preserve">: </w:t>
      </w:r>
      <w:r>
        <w:rPr>
          <w:rFonts w:hint="default"/>
          <w:sz w:val="24"/>
        </w:rPr>
        <w:t>BD, bipolar disord</w:t>
      </w:r>
      <w:r>
        <w:rPr>
          <w:rFonts w:hint="default" w:eastAsia="楷体"/>
          <w:sz w:val="24"/>
          <w:lang w:bidi="ar"/>
        </w:rPr>
        <w:t xml:space="preserve">er; fMRI, functional magnetic resonance imaging; </w:t>
      </w:r>
      <w:r>
        <w:rPr>
          <w:rFonts w:eastAsia="楷体"/>
          <w:sz w:val="24"/>
          <w:lang w:bidi="ar"/>
        </w:rPr>
        <w:t xml:space="preserve">RELs, relatives; </w:t>
      </w:r>
      <w:r>
        <w:rPr>
          <w:rFonts w:hint="default" w:eastAsia="楷体"/>
          <w:sz w:val="24"/>
          <w:lang w:bidi="ar"/>
        </w:rPr>
        <w:t xml:space="preserve">ROI, </w:t>
      </w:r>
      <w:r>
        <w:rPr>
          <w:rFonts w:eastAsia="楷体"/>
          <w:sz w:val="24"/>
          <w:lang w:bidi="ar"/>
        </w:rPr>
        <w:t>r</w:t>
      </w:r>
      <w:r>
        <w:rPr>
          <w:rFonts w:hint="default" w:eastAsia="楷体"/>
          <w:sz w:val="24"/>
          <w:lang w:bidi="ar"/>
        </w:rPr>
        <w:t>egion of interest; SZ,</w:t>
      </w:r>
      <w:r>
        <w:rPr>
          <w:rFonts w:hint="default"/>
          <w:sz w:val="24"/>
        </w:rPr>
        <w:t xml:space="preserve"> schizophrenia; VBM, voxel-based morphometry</w:t>
      </w:r>
      <w:r>
        <w:rPr>
          <w:sz w:val="24"/>
        </w:rPr>
        <w:t>.</w:t>
      </w:r>
    </w:p>
    <w:p>
      <w:pPr>
        <w:widowControl/>
        <w:spacing w:line="480" w:lineRule="auto"/>
        <w:rPr>
          <w:rFonts w:hint="default"/>
          <w:sz w:val="22"/>
        </w:rPr>
      </w:pPr>
    </w:p>
    <w:p>
      <w:pPr>
        <w:widowControl/>
        <w:spacing w:line="480" w:lineRule="auto"/>
        <w:rPr>
          <w:rFonts w:hint="default"/>
          <w:sz w:val="22"/>
        </w:rPr>
        <w:sectPr>
          <w:pgSz w:w="11906" w:h="16838"/>
          <w:pgMar w:top="1440" w:right="1800" w:bottom="1440" w:left="1800" w:header="851" w:footer="992" w:gutter="0"/>
          <w:lnNumType w:countBy="1"/>
          <w:cols w:space="720" w:num="1"/>
          <w:docGrid w:type="lines" w:linePitch="312" w:charSpace="0"/>
        </w:sectPr>
      </w:pPr>
    </w:p>
    <w:p>
      <w:pPr>
        <w:widowControl/>
        <w:spacing w:line="480" w:lineRule="auto"/>
        <w:jc w:val="center"/>
        <w:rPr>
          <w:rFonts w:hint="default"/>
          <w:b/>
          <w:sz w:val="22"/>
          <w:szCs w:val="22"/>
        </w:rPr>
      </w:pPr>
      <w:r>
        <w:pict>
          <v:shape id="_x0000_i1025" o:spt="75" type="#_x0000_t75" style="height:453.8pt;width:254.75pt;" filled="f" o:preferrelative="t" stroked="f" coordsize="21600,21600">
            <v:path/>
            <v:fill on="f" focussize="0,0"/>
            <v:stroke on="f" joinstyle="miter"/>
            <v:imagedata r:id="rId5" o:title=""/>
            <o:lock v:ext="edit" aspectratio="t"/>
            <w10:wrap type="none"/>
            <w10:anchorlock/>
          </v:shape>
        </w:pict>
      </w:r>
    </w:p>
    <w:p>
      <w:pPr>
        <w:widowControl/>
        <w:spacing w:line="480" w:lineRule="auto"/>
        <w:rPr>
          <w:rFonts w:hint="default"/>
          <w:bCs/>
          <w:sz w:val="24"/>
        </w:rPr>
      </w:pPr>
      <w:r>
        <w:rPr>
          <w:rFonts w:hint="default"/>
          <w:b/>
          <w:sz w:val="24"/>
        </w:rPr>
        <w:t xml:space="preserve">Figure S2. </w:t>
      </w:r>
      <w:r>
        <w:rPr>
          <w:bCs/>
          <w:sz w:val="24"/>
        </w:rPr>
        <w:t xml:space="preserve">Schizophrenia and bipolar disorder susceptibility networks derived from the SALD dataset. Left panel: </w:t>
      </w:r>
      <w:r>
        <w:rPr>
          <w:rFonts w:hint="default"/>
          <w:bCs/>
          <w:sz w:val="24"/>
        </w:rPr>
        <w:t>SZ-</w:t>
      </w:r>
      <w:r>
        <w:rPr>
          <w:bCs/>
          <w:sz w:val="24"/>
        </w:rPr>
        <w:t xml:space="preserve">susceptibility </w:t>
      </w:r>
      <w:r>
        <w:rPr>
          <w:rFonts w:hint="default"/>
          <w:bCs/>
          <w:sz w:val="24"/>
        </w:rPr>
        <w:t xml:space="preserve">functional, structural, and combined brain damage networks. </w:t>
      </w:r>
      <w:bookmarkStart w:id="6" w:name="OLE_LINK13"/>
      <w:r>
        <w:rPr>
          <w:bCs/>
          <w:sz w:val="24"/>
        </w:rPr>
        <w:t>Middle panel: BD</w:t>
      </w:r>
      <w:r>
        <w:rPr>
          <w:rFonts w:hint="default"/>
          <w:bCs/>
          <w:sz w:val="24"/>
        </w:rPr>
        <w:t>-</w:t>
      </w:r>
      <w:r>
        <w:rPr>
          <w:bCs/>
          <w:sz w:val="24"/>
        </w:rPr>
        <w:t xml:space="preserve">susceptibility </w:t>
      </w:r>
      <w:bookmarkStart w:id="7" w:name="OLE_LINK14"/>
      <w:r>
        <w:rPr>
          <w:rFonts w:hint="default"/>
          <w:bCs/>
          <w:sz w:val="24"/>
        </w:rPr>
        <w:t>functional, structural, and combined brain damage</w:t>
      </w:r>
      <w:bookmarkEnd w:id="7"/>
      <w:r>
        <w:rPr>
          <w:rFonts w:hint="default"/>
          <w:bCs/>
          <w:sz w:val="24"/>
        </w:rPr>
        <w:t xml:space="preserve"> networks.</w:t>
      </w:r>
      <w:bookmarkEnd w:id="6"/>
      <w:r>
        <w:rPr>
          <w:bCs/>
          <w:sz w:val="24"/>
        </w:rPr>
        <w:t xml:space="preserve"> Right panel: spatial overlap between SZ- and BD-susceptibility networks. </w:t>
      </w:r>
      <w:r>
        <w:rPr>
          <w:rFonts w:hint="default"/>
          <w:bCs/>
          <w:sz w:val="24"/>
        </w:rPr>
        <w:t>Abbreviations: BD, bipolar disorder; SALD, Southwest University Adult Lifespan Dataset</w:t>
      </w:r>
      <w:r>
        <w:rPr>
          <w:bCs/>
          <w:sz w:val="24"/>
        </w:rPr>
        <w:t xml:space="preserve">; </w:t>
      </w:r>
      <w:r>
        <w:rPr>
          <w:rFonts w:hint="default"/>
          <w:bCs/>
          <w:sz w:val="24"/>
        </w:rPr>
        <w:t>SZ, schizophrenia</w:t>
      </w:r>
      <w:r>
        <w:rPr>
          <w:bCs/>
          <w:sz w:val="24"/>
        </w:rPr>
        <w:t>.</w:t>
      </w:r>
    </w:p>
    <w:p>
      <w:pPr>
        <w:widowControl/>
        <w:spacing w:line="480" w:lineRule="auto"/>
        <w:jc w:val="center"/>
        <w:rPr>
          <w:rFonts w:hint="default"/>
          <w:bCs/>
          <w:sz w:val="22"/>
          <w:szCs w:val="22"/>
        </w:rPr>
      </w:pPr>
      <w:r>
        <w:rPr>
          <w:rFonts w:hint="default"/>
          <w:bCs/>
          <w:sz w:val="22"/>
          <w:szCs w:val="22"/>
        </w:rPr>
        <w:br w:type="page"/>
      </w:r>
      <w:r>
        <w:pict>
          <v:shape id="_x0000_i1026" o:spt="75" type="#_x0000_t75" style="height:453.8pt;width:254.75pt;" filled="f" o:preferrelative="t" stroked="f" coordsize="21600,21600">
            <v:path/>
            <v:fill on="f" focussize="0,0"/>
            <v:stroke on="f" joinstyle="miter"/>
            <v:imagedata r:id="rId6" o:title=""/>
            <o:lock v:ext="edit" aspectratio="t"/>
            <w10:wrap type="none"/>
            <w10:anchorlock/>
          </v:shape>
        </w:pict>
      </w:r>
    </w:p>
    <w:p>
      <w:pPr>
        <w:widowControl/>
        <w:spacing w:line="480" w:lineRule="auto"/>
        <w:rPr>
          <w:rFonts w:hint="default"/>
          <w:bCs/>
          <w:sz w:val="24"/>
        </w:rPr>
      </w:pPr>
      <w:r>
        <w:rPr>
          <w:rFonts w:hint="default"/>
          <w:b/>
          <w:sz w:val="24"/>
        </w:rPr>
        <w:t xml:space="preserve">Figure S3. </w:t>
      </w:r>
      <w:r>
        <w:rPr>
          <w:bCs/>
          <w:sz w:val="24"/>
        </w:rPr>
        <w:t xml:space="preserve">Schizophrenia and bipolar disorder susceptibility networks based on 1-mm radius sphere. Left panel: </w:t>
      </w:r>
      <w:r>
        <w:rPr>
          <w:rFonts w:hint="default"/>
          <w:bCs/>
          <w:sz w:val="24"/>
        </w:rPr>
        <w:t>SZ-</w:t>
      </w:r>
      <w:r>
        <w:rPr>
          <w:bCs/>
          <w:sz w:val="24"/>
        </w:rPr>
        <w:t xml:space="preserve">susceptibility </w:t>
      </w:r>
      <w:r>
        <w:rPr>
          <w:rFonts w:hint="default"/>
          <w:bCs/>
          <w:sz w:val="24"/>
        </w:rPr>
        <w:t xml:space="preserve">functional, structural, and combined brain damage networks. </w:t>
      </w:r>
      <w:r>
        <w:rPr>
          <w:bCs/>
          <w:sz w:val="24"/>
        </w:rPr>
        <w:t>Middle panel: BD</w:t>
      </w:r>
      <w:r>
        <w:rPr>
          <w:rFonts w:hint="default"/>
          <w:bCs/>
          <w:sz w:val="24"/>
        </w:rPr>
        <w:t>-</w:t>
      </w:r>
      <w:r>
        <w:rPr>
          <w:bCs/>
          <w:sz w:val="24"/>
        </w:rPr>
        <w:t xml:space="preserve">susceptibility </w:t>
      </w:r>
      <w:r>
        <w:rPr>
          <w:rFonts w:hint="default"/>
          <w:bCs/>
          <w:sz w:val="24"/>
        </w:rPr>
        <w:t>functional, structural, and combined brain damage networks.</w:t>
      </w:r>
      <w:r>
        <w:rPr>
          <w:bCs/>
          <w:sz w:val="24"/>
        </w:rPr>
        <w:t xml:space="preserve"> Right panel: spatial overlap between SZ- and BD-susceptibility networks. </w:t>
      </w:r>
      <w:r>
        <w:rPr>
          <w:rFonts w:hint="default"/>
          <w:bCs/>
          <w:sz w:val="24"/>
        </w:rPr>
        <w:t>Abbreviations: BD, bipolar disorder; SZ, schizophrenia</w:t>
      </w:r>
      <w:r>
        <w:rPr>
          <w:bCs/>
          <w:sz w:val="24"/>
        </w:rPr>
        <w:t>.</w:t>
      </w:r>
    </w:p>
    <w:p>
      <w:pPr>
        <w:widowControl/>
        <w:spacing w:line="480" w:lineRule="auto"/>
        <w:rPr>
          <w:rFonts w:hint="default"/>
          <w:bCs/>
          <w:sz w:val="24"/>
        </w:rPr>
      </w:pPr>
    </w:p>
    <w:p>
      <w:pPr>
        <w:widowControl/>
        <w:spacing w:line="480" w:lineRule="auto"/>
        <w:rPr>
          <w:rFonts w:hint="default"/>
          <w:sz w:val="24"/>
        </w:rPr>
        <w:sectPr>
          <w:pgSz w:w="11906" w:h="16838"/>
          <w:pgMar w:top="1440" w:right="1800" w:bottom="1440" w:left="1800" w:header="851" w:footer="992" w:gutter="0"/>
          <w:lnNumType w:countBy="1"/>
          <w:cols w:space="720" w:num="1"/>
          <w:docGrid w:type="lines" w:linePitch="312" w:charSpace="0"/>
        </w:sectPr>
      </w:pPr>
    </w:p>
    <w:p>
      <w:pPr>
        <w:widowControl/>
        <w:spacing w:line="480" w:lineRule="auto"/>
        <w:jc w:val="center"/>
        <w:rPr>
          <w:rFonts w:hint="default"/>
          <w:b/>
          <w:sz w:val="22"/>
          <w:szCs w:val="22"/>
        </w:rPr>
      </w:pPr>
      <w:r>
        <w:pict>
          <v:shape id="_x0000_i1027" o:spt="75" type="#_x0000_t75" style="height:453.8pt;width:254.75pt;" filled="f" o:preferrelative="t" stroked="f" coordsize="21600,21600">
            <v:path/>
            <v:fill on="f" focussize="0,0"/>
            <v:stroke on="f" joinstyle="miter"/>
            <v:imagedata r:id="rId7" o:title=""/>
            <o:lock v:ext="edit" aspectratio="t"/>
            <w10:wrap type="none"/>
            <w10:anchorlock/>
          </v:shape>
        </w:pict>
      </w:r>
    </w:p>
    <w:p>
      <w:pPr>
        <w:widowControl/>
        <w:spacing w:line="480" w:lineRule="auto"/>
        <w:rPr>
          <w:rFonts w:hint="default"/>
          <w:bCs/>
          <w:sz w:val="24"/>
        </w:rPr>
      </w:pPr>
      <w:r>
        <w:rPr>
          <w:rFonts w:hint="default"/>
          <w:b/>
          <w:sz w:val="24"/>
        </w:rPr>
        <w:t xml:space="preserve">Figure S4. </w:t>
      </w:r>
      <w:r>
        <w:rPr>
          <w:bCs/>
          <w:sz w:val="24"/>
        </w:rPr>
        <w:t xml:space="preserve">Schizophrenia and bipolar disorder susceptibility networks based on 7-mm radius sphere. Left panel: </w:t>
      </w:r>
      <w:r>
        <w:rPr>
          <w:rFonts w:hint="default"/>
          <w:bCs/>
          <w:sz w:val="24"/>
        </w:rPr>
        <w:t>SZ-</w:t>
      </w:r>
      <w:r>
        <w:rPr>
          <w:bCs/>
          <w:sz w:val="24"/>
        </w:rPr>
        <w:t xml:space="preserve">susceptibility </w:t>
      </w:r>
      <w:r>
        <w:rPr>
          <w:rFonts w:hint="default"/>
          <w:bCs/>
          <w:sz w:val="24"/>
        </w:rPr>
        <w:t xml:space="preserve">functional, structural, and combined brain damage networks. </w:t>
      </w:r>
      <w:r>
        <w:rPr>
          <w:bCs/>
          <w:sz w:val="24"/>
        </w:rPr>
        <w:t>Middle panel: BD</w:t>
      </w:r>
      <w:r>
        <w:rPr>
          <w:rFonts w:hint="default"/>
          <w:bCs/>
          <w:sz w:val="24"/>
        </w:rPr>
        <w:t>-</w:t>
      </w:r>
      <w:r>
        <w:rPr>
          <w:bCs/>
          <w:sz w:val="24"/>
        </w:rPr>
        <w:t xml:space="preserve">susceptibility </w:t>
      </w:r>
      <w:r>
        <w:rPr>
          <w:rFonts w:hint="default"/>
          <w:bCs/>
          <w:sz w:val="24"/>
        </w:rPr>
        <w:t>functional, structural, and combined brain damage networks.</w:t>
      </w:r>
      <w:r>
        <w:rPr>
          <w:bCs/>
          <w:sz w:val="24"/>
        </w:rPr>
        <w:t xml:space="preserve"> Right panel: spatial overlap between SZ- and BD-susceptibility networks. </w:t>
      </w:r>
      <w:r>
        <w:rPr>
          <w:rFonts w:hint="default"/>
          <w:bCs/>
          <w:sz w:val="24"/>
        </w:rPr>
        <w:t>Abbreviations: BD, bipolar disorder; SZ, schizophrenia</w:t>
      </w:r>
      <w:r>
        <w:rPr>
          <w:bCs/>
          <w:sz w:val="24"/>
        </w:rPr>
        <w:t>.</w:t>
      </w:r>
      <w:bookmarkStart w:id="8" w:name="OLE_LINK3"/>
    </w:p>
    <w:p>
      <w:pPr>
        <w:rPr>
          <w:rFonts w:hint="default"/>
          <w:bCs/>
          <w:sz w:val="24"/>
        </w:rPr>
      </w:pPr>
      <w:r>
        <w:rPr>
          <w:bCs/>
          <w:sz w:val="24"/>
        </w:rPr>
        <w:br w:type="page"/>
      </w:r>
    </w:p>
    <w:p>
      <w:pPr>
        <w:widowControl/>
        <w:spacing w:line="480" w:lineRule="auto"/>
        <w:jc w:val="center"/>
        <w:rPr>
          <w:rFonts w:hint="default"/>
        </w:rPr>
      </w:pPr>
      <w:r>
        <w:drawing>
          <wp:inline distT="0" distB="0" distL="0" distR="0">
            <wp:extent cx="3238500" cy="5760720"/>
            <wp:effectExtent l="0" t="0" r="7620" b="0"/>
            <wp:docPr id="1234326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26078"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38500" cy="5760720"/>
                    </a:xfrm>
                    <a:prstGeom prst="rect">
                      <a:avLst/>
                    </a:prstGeom>
                    <a:noFill/>
                    <a:ln>
                      <a:noFill/>
                    </a:ln>
                  </pic:spPr>
                </pic:pic>
              </a:graphicData>
            </a:graphic>
          </wp:inline>
        </w:drawing>
      </w:r>
    </w:p>
    <w:p>
      <w:pPr>
        <w:widowControl/>
        <w:spacing w:line="480" w:lineRule="auto"/>
        <w:rPr>
          <w:rFonts w:hint="default"/>
          <w:b/>
          <w:sz w:val="32"/>
          <w:szCs w:val="32"/>
        </w:rPr>
      </w:pPr>
      <w:r>
        <w:rPr>
          <w:rFonts w:hint="default"/>
          <w:b/>
          <w:color w:val="auto"/>
          <w:sz w:val="24"/>
        </w:rPr>
        <w:t>Figure S</w:t>
      </w:r>
      <w:r>
        <w:rPr>
          <w:b/>
          <w:color w:val="auto"/>
          <w:sz w:val="24"/>
        </w:rPr>
        <w:t>5</w:t>
      </w:r>
      <w:r>
        <w:rPr>
          <w:rFonts w:hint="default"/>
          <w:b/>
          <w:color w:val="auto"/>
          <w:sz w:val="24"/>
        </w:rPr>
        <w:t xml:space="preserve">. </w:t>
      </w:r>
      <w:r>
        <w:rPr>
          <w:bCs/>
          <w:color w:val="auto"/>
          <w:sz w:val="24"/>
        </w:rPr>
        <w:t>Schizophrenia and bipolar disorder susceptibility networks derived from the young adults within an age range of 18-30 years. Left panel: SZ-susceptibility functional, structural, and com</w:t>
      </w:r>
      <w:bookmarkStart w:id="9" w:name="_GoBack"/>
      <w:bookmarkEnd w:id="9"/>
      <w:r>
        <w:rPr>
          <w:bCs/>
          <w:color w:val="auto"/>
          <w:sz w:val="24"/>
        </w:rPr>
        <w:t>bined brain damage networks. Middle panel: BD-susceptibility functional, structural, and combined brain damage networks. Right panel: spatial overlap between SZ- and BD-susceptibility networks. Abbreviations: BD, bipolar disorder; SZ, schizophrenia.</w:t>
      </w:r>
      <w:r>
        <w:rPr>
          <w:rFonts w:hint="default"/>
          <w:b/>
          <w:sz w:val="24"/>
        </w:rPr>
        <w:br w:type="page"/>
      </w:r>
      <w:bookmarkEnd w:id="8"/>
      <w:r>
        <w:rPr>
          <w:rFonts w:hint="default"/>
          <w:b/>
          <w:sz w:val="32"/>
          <w:szCs w:val="32"/>
        </w:rPr>
        <w:t>References</w:t>
      </w:r>
    </w:p>
    <w:p>
      <w:pPr>
        <w:pStyle w:val="38"/>
        <w:ind w:left="720" w:hanging="720"/>
        <w:jc w:val="both"/>
        <w:rPr>
          <w:rFonts w:hint="default"/>
        </w:rPr>
      </w:pPr>
      <w:r>
        <w:rPr>
          <w:rFonts w:hint="default"/>
        </w:rPr>
        <w:t xml:space="preserve">Allin M. P., Marshall N., Schulze K., Walshe M., Hall M. H., Picchioni M., ... McDonald C. (2010). A functional MRI study of verbal fluency in adults with bipolar disorder and their unaffected relatives. </w:t>
      </w:r>
      <w:r>
        <w:rPr>
          <w:rFonts w:hint="default"/>
          <w:i/>
        </w:rPr>
        <w:t>Psychol Med</w:t>
      </w:r>
      <w:r>
        <w:rPr>
          <w:rFonts w:hint="default"/>
        </w:rPr>
        <w:t>, 40(12), 2025-2035. doi:</w:t>
      </w:r>
      <w:r>
        <w:t xml:space="preserve"> </w:t>
      </w:r>
      <w:r>
        <w:rPr>
          <w:rFonts w:hint="default"/>
        </w:rPr>
        <w:t>10.1017/s0033291710000127</w:t>
      </w:r>
    </w:p>
    <w:p>
      <w:pPr>
        <w:pStyle w:val="38"/>
        <w:ind w:left="720" w:hanging="720"/>
        <w:jc w:val="both"/>
        <w:rPr>
          <w:rFonts w:hint="default"/>
        </w:rPr>
      </w:pPr>
      <w:r>
        <w:rPr>
          <w:rFonts w:hint="default"/>
        </w:rPr>
        <w:t xml:space="preserve">Alonso-Lana S., Valentí M., Romaguera A., Sarri C., Sarró S., Rodríguez-Martínez A., ... Pomarol-Clotet E. (2016). Brain functional changes in first-degree relatives of patients with bipolar disorder: evidence for default mode network dysfunction. </w:t>
      </w:r>
      <w:r>
        <w:rPr>
          <w:rFonts w:hint="default"/>
          <w:i/>
        </w:rPr>
        <w:t>Psychol Med</w:t>
      </w:r>
      <w:r>
        <w:rPr>
          <w:rFonts w:hint="default"/>
        </w:rPr>
        <w:t>, 46(12), 2513-2521. doi:</w:t>
      </w:r>
      <w:r>
        <w:t xml:space="preserve"> </w:t>
      </w:r>
      <w:r>
        <w:rPr>
          <w:rFonts w:hint="default"/>
        </w:rPr>
        <w:t>10.1017/s0033291716001148</w:t>
      </w:r>
    </w:p>
    <w:p>
      <w:pPr>
        <w:pStyle w:val="38"/>
        <w:ind w:left="720" w:hanging="720"/>
        <w:jc w:val="both"/>
        <w:rPr>
          <w:rFonts w:hint="default"/>
        </w:rPr>
      </w:pPr>
      <w:r>
        <w:rPr>
          <w:rFonts w:hint="default"/>
        </w:rPr>
        <w:t xml:space="preserve">Altamura M., Fazio L., De Salvia M., Petito A., Blasi G., Taurisano P., ... Bertolino A. (2012). Abnormal functional motor lateralization in healthy siblings of patients with schizophrenia. </w:t>
      </w:r>
      <w:r>
        <w:rPr>
          <w:rFonts w:hint="default"/>
          <w:i/>
        </w:rPr>
        <w:t>Psychiatry Res</w:t>
      </w:r>
      <w:r>
        <w:rPr>
          <w:rFonts w:hint="default"/>
        </w:rPr>
        <w:t>, 203(1), 54-60. doi:</w:t>
      </w:r>
      <w:r>
        <w:t xml:space="preserve"> </w:t>
      </w:r>
      <w:r>
        <w:rPr>
          <w:rFonts w:hint="default"/>
        </w:rPr>
        <w:t>10.1016/j.pscychresns.2012.02.008</w:t>
      </w:r>
    </w:p>
    <w:p>
      <w:pPr>
        <w:pStyle w:val="38"/>
        <w:ind w:left="720" w:hanging="720"/>
        <w:jc w:val="both"/>
        <w:rPr>
          <w:rFonts w:hint="default"/>
        </w:rPr>
      </w:pPr>
      <w:r>
        <w:rPr>
          <w:rFonts w:hint="default"/>
        </w:rPr>
        <w:t xml:space="preserve">Avsar K. B., Stoeckel L. E., Bolding M. S., White D. M., Tagamets M. A., Holcomb H. H., &amp; Lahti A. C. (2011). Aberrant visual circuitry associated with normal spatial match-to-sample accuracy in schizophrenia. </w:t>
      </w:r>
      <w:r>
        <w:rPr>
          <w:rFonts w:hint="default"/>
          <w:i/>
        </w:rPr>
        <w:t>Psychiatry Res</w:t>
      </w:r>
      <w:r>
        <w:rPr>
          <w:rFonts w:hint="default"/>
        </w:rPr>
        <w:t>, 193(3), 138-143. doi:</w:t>
      </w:r>
      <w:r>
        <w:t xml:space="preserve"> </w:t>
      </w:r>
      <w:r>
        <w:rPr>
          <w:rFonts w:hint="default"/>
        </w:rPr>
        <w:t>10.1016/j.pscychresns.2011.03.008</w:t>
      </w:r>
    </w:p>
    <w:p>
      <w:pPr>
        <w:pStyle w:val="38"/>
        <w:ind w:left="720" w:hanging="720"/>
        <w:jc w:val="both"/>
        <w:rPr>
          <w:rFonts w:hint="default"/>
        </w:rPr>
      </w:pPr>
      <w:r>
        <w:rPr>
          <w:rFonts w:hint="default"/>
        </w:rPr>
        <w:t xml:space="preserve">Becker T. M., Kerns J. G., Macdonald A. W., 3rd, &amp; Carter C. S. (2008). Prefrontal dysfunction in first-degree relatives of schizophrenia patients during a Stroop task. </w:t>
      </w:r>
      <w:r>
        <w:rPr>
          <w:rFonts w:hint="default"/>
          <w:i/>
        </w:rPr>
        <w:t>Neuropsychopharmacology</w:t>
      </w:r>
      <w:r>
        <w:rPr>
          <w:rFonts w:hint="default"/>
        </w:rPr>
        <w:t>, 33(11), 2619-2625. doi:</w:t>
      </w:r>
      <w:r>
        <w:t xml:space="preserve"> </w:t>
      </w:r>
      <w:r>
        <w:rPr>
          <w:rFonts w:hint="default"/>
        </w:rPr>
        <w:t>10.1038/sj.npp.1301673</w:t>
      </w:r>
    </w:p>
    <w:p>
      <w:pPr>
        <w:pStyle w:val="38"/>
        <w:ind w:left="720" w:hanging="720"/>
        <w:jc w:val="both"/>
        <w:rPr>
          <w:rFonts w:hint="default"/>
        </w:rPr>
      </w:pPr>
      <w:r>
        <w:rPr>
          <w:rFonts w:hint="default"/>
        </w:rPr>
        <w:t xml:space="preserve">Bonner-Jackson A., Csernansky J. G., &amp; Barch D. M. (2007). Levels-of-processing effects in first-degree relatives of individuals with schizophrenia. </w:t>
      </w:r>
      <w:r>
        <w:rPr>
          <w:rFonts w:hint="default"/>
          <w:i/>
        </w:rPr>
        <w:t>Biol Psychiatry</w:t>
      </w:r>
      <w:r>
        <w:rPr>
          <w:rFonts w:hint="default"/>
        </w:rPr>
        <w:t>, 61(10), 1141-1147. doi:</w:t>
      </w:r>
      <w:r>
        <w:t xml:space="preserve"> </w:t>
      </w:r>
      <w:r>
        <w:rPr>
          <w:rFonts w:hint="default"/>
        </w:rPr>
        <w:t>10.1016/j.biopsych.2006.07.006</w:t>
      </w:r>
    </w:p>
    <w:p>
      <w:pPr>
        <w:pStyle w:val="38"/>
        <w:ind w:left="720" w:hanging="720"/>
        <w:jc w:val="both"/>
        <w:rPr>
          <w:rFonts w:hint="default"/>
        </w:rPr>
      </w:pPr>
      <w:r>
        <w:rPr>
          <w:rFonts w:hint="default"/>
        </w:rPr>
        <w:t xml:space="preserve">Brahmbhatt S. B., Haut K., Csernansky J. G., &amp; Barch D. M. (2006). Neural correlates of verbal and nonverbal working memory deficits in individuals with schizophrenia and their high-risk siblings. </w:t>
      </w:r>
      <w:r>
        <w:rPr>
          <w:rFonts w:hint="default"/>
          <w:i/>
        </w:rPr>
        <w:t>Schizophr Res</w:t>
      </w:r>
      <w:r>
        <w:rPr>
          <w:rFonts w:hint="default"/>
        </w:rPr>
        <w:t>, 87(1-3), 191-204. doi:</w:t>
      </w:r>
      <w:r>
        <w:t xml:space="preserve"> </w:t>
      </w:r>
      <w:r>
        <w:rPr>
          <w:rFonts w:hint="default"/>
        </w:rPr>
        <w:t>10.1016/j.schres.2006.05.019</w:t>
      </w:r>
    </w:p>
    <w:p>
      <w:pPr>
        <w:pStyle w:val="38"/>
        <w:ind w:left="720" w:hanging="720"/>
        <w:jc w:val="both"/>
        <w:rPr>
          <w:rFonts w:hint="default"/>
        </w:rPr>
      </w:pPr>
      <w:r>
        <w:rPr>
          <w:rFonts w:hint="default"/>
        </w:rPr>
        <w:t xml:space="preserve">Callicott J. H., Egan M. F., Mattay V. S., Bertolino A., Bone A. D., Verchinksi B., &amp; Weinberger D. R. (2003). Abnormal fMRI response of the dorsolateral prefrontal cortex in cognitively intact siblings of patients with schizophrenia. </w:t>
      </w:r>
      <w:r>
        <w:rPr>
          <w:rFonts w:hint="default"/>
          <w:i/>
        </w:rPr>
        <w:t>Am J Psychiatry</w:t>
      </w:r>
      <w:r>
        <w:rPr>
          <w:rFonts w:hint="default"/>
        </w:rPr>
        <w:t>, 160(4), 709-719. doi:</w:t>
      </w:r>
      <w:r>
        <w:t xml:space="preserve"> </w:t>
      </w:r>
      <w:r>
        <w:rPr>
          <w:rFonts w:hint="default"/>
        </w:rPr>
        <w:t>10.1176/appi.ajp.160.4.709</w:t>
      </w:r>
    </w:p>
    <w:p>
      <w:pPr>
        <w:pStyle w:val="38"/>
        <w:ind w:left="720" w:hanging="720"/>
        <w:jc w:val="both"/>
        <w:rPr>
          <w:rFonts w:hint="default"/>
        </w:rPr>
      </w:pPr>
      <w:r>
        <w:rPr>
          <w:rFonts w:hint="default"/>
        </w:rPr>
        <w:t xml:space="preserve">Chan S. W., Sussmann J. E., Romaniuk L., Stewart T., Lawrie S. M., Hall J., ... Whalley H. C. (2016). Deactivation in anterior cingulate cortex during facial processing in young individuals with high familial risk and early development of depression: fMRI findings from the Scottish Bipolar Family Study. </w:t>
      </w:r>
      <w:r>
        <w:rPr>
          <w:rFonts w:hint="default"/>
          <w:i/>
        </w:rPr>
        <w:t>J Child Psychol Psychiatry</w:t>
      </w:r>
      <w:r>
        <w:rPr>
          <w:rFonts w:hint="default"/>
        </w:rPr>
        <w:t>, 57(11), 1277-1286. doi:</w:t>
      </w:r>
      <w:r>
        <w:t xml:space="preserve"> </w:t>
      </w:r>
      <w:r>
        <w:rPr>
          <w:rFonts w:hint="default"/>
        </w:rPr>
        <w:t>10.1111/jcpp.12591</w:t>
      </w:r>
    </w:p>
    <w:p>
      <w:pPr>
        <w:pStyle w:val="38"/>
        <w:ind w:left="720" w:hanging="720"/>
        <w:jc w:val="both"/>
        <w:rPr>
          <w:rFonts w:hint="default"/>
        </w:rPr>
      </w:pPr>
      <w:r>
        <w:rPr>
          <w:rFonts w:hint="default"/>
        </w:rPr>
        <w:t xml:space="preserve">Chang K., Garrett A., Kelley R., Howe M., Sanders E. M., Acquaye T., ... Reiss A. (2017). Anomalous prefrontal-limbic activation and connectivity in youth at high-risk for bipolar disorder. </w:t>
      </w:r>
      <w:r>
        <w:rPr>
          <w:rFonts w:hint="default"/>
          <w:i/>
        </w:rPr>
        <w:t>J Affect Disord</w:t>
      </w:r>
      <w:r>
        <w:rPr>
          <w:rFonts w:hint="default"/>
        </w:rPr>
        <w:t>, 222, 7-13. doi:</w:t>
      </w:r>
      <w:r>
        <w:t xml:space="preserve"> </w:t>
      </w:r>
      <w:r>
        <w:rPr>
          <w:rFonts w:hint="default"/>
        </w:rPr>
        <w:t>10.1016/j.jad.2017.05.051</w:t>
      </w:r>
    </w:p>
    <w:p>
      <w:pPr>
        <w:pStyle w:val="38"/>
        <w:ind w:left="720" w:hanging="720"/>
        <w:jc w:val="both"/>
        <w:rPr>
          <w:rFonts w:hint="default"/>
        </w:rPr>
      </w:pPr>
      <w:r>
        <w:rPr>
          <w:rFonts w:hint="default"/>
        </w:rPr>
        <w:t xml:space="preserve">Chang M., Womer F. Y., Bai C., Zhou Q., Wei S., Jiang X., ... Wang F. (2016). Voxel-Based Morphometry in Individuals at Genetic High Risk for Schizophrenia and Patients with Schizophrenia during Their First Episode of Psychosis. </w:t>
      </w:r>
      <w:r>
        <w:rPr>
          <w:rFonts w:hint="default"/>
          <w:i/>
        </w:rPr>
        <w:t>PLoS One</w:t>
      </w:r>
      <w:r>
        <w:rPr>
          <w:rFonts w:hint="default"/>
        </w:rPr>
        <w:t>, 11(10), e0163749. doi:</w:t>
      </w:r>
      <w:r>
        <w:t xml:space="preserve"> </w:t>
      </w:r>
      <w:r>
        <w:rPr>
          <w:rFonts w:hint="default"/>
        </w:rPr>
        <w:t>10.1371/journal.pone.0163749</w:t>
      </w:r>
    </w:p>
    <w:p>
      <w:pPr>
        <w:pStyle w:val="38"/>
        <w:ind w:left="720" w:hanging="720"/>
        <w:jc w:val="both"/>
        <w:rPr>
          <w:rFonts w:hint="default"/>
        </w:rPr>
      </w:pPr>
      <w:r>
        <w:rPr>
          <w:rFonts w:hint="default"/>
        </w:rPr>
        <w:t xml:space="preserve">Choi J. S., Park J. Y., Jung M. H., Jang J. H., Kang D. H., Jung W. H., ... Kwon J. S. (2012). Phase-specific brain change of spatial working memory processing in genetic and ultra-high risk groups of schizophrenia. </w:t>
      </w:r>
      <w:r>
        <w:rPr>
          <w:rFonts w:hint="default"/>
          <w:i/>
        </w:rPr>
        <w:t>Schizophr Bull</w:t>
      </w:r>
      <w:r>
        <w:rPr>
          <w:rFonts w:hint="default"/>
        </w:rPr>
        <w:t>, 38(6), 1189-1199. doi:</w:t>
      </w:r>
      <w:r>
        <w:t xml:space="preserve"> </w:t>
      </w:r>
      <w:r>
        <w:rPr>
          <w:rFonts w:hint="default"/>
        </w:rPr>
        <w:t>10.1093/schbul/sbr038</w:t>
      </w:r>
    </w:p>
    <w:p>
      <w:pPr>
        <w:pStyle w:val="38"/>
        <w:ind w:left="720" w:hanging="720"/>
        <w:jc w:val="both"/>
        <w:rPr>
          <w:rFonts w:hint="default"/>
        </w:rPr>
      </w:pPr>
      <w:r>
        <w:rPr>
          <w:rFonts w:hint="default"/>
        </w:rPr>
        <w:t xml:space="preserve">Collin G., Bauer C. C. C., Anteraper S. A., Gabrieli J. D. E., Molokotos E., Mesholam-Gately R., ... Whitfield-Gabrieli S. (2021). Hyperactivation of Posterior Default Mode Network During Self-Referential Processing in Children at Familial High-Risk for Psychosis. </w:t>
      </w:r>
      <w:r>
        <w:rPr>
          <w:rFonts w:hint="default"/>
          <w:i/>
        </w:rPr>
        <w:t>Front Psychiatry</w:t>
      </w:r>
      <w:r>
        <w:rPr>
          <w:rFonts w:hint="default"/>
        </w:rPr>
        <w:t>, 12, 613142. doi:</w:t>
      </w:r>
      <w:r>
        <w:t xml:space="preserve"> </w:t>
      </w:r>
      <w:r>
        <w:rPr>
          <w:rFonts w:hint="default"/>
        </w:rPr>
        <w:t>10.3389/fpsyt.2021.613142</w:t>
      </w:r>
    </w:p>
    <w:p>
      <w:pPr>
        <w:pStyle w:val="38"/>
        <w:ind w:left="720" w:hanging="720"/>
        <w:jc w:val="both"/>
        <w:rPr>
          <w:rFonts w:hint="default"/>
        </w:rPr>
      </w:pPr>
      <w:r>
        <w:rPr>
          <w:rFonts w:hint="default"/>
        </w:rPr>
        <w:t xml:space="preserve">de Leeuw M., Kahn R. S., &amp; Vink M. (2015). Fronto-striatal dysfunction during reward processing in unaffected siblings of schizophrenia patients. </w:t>
      </w:r>
      <w:r>
        <w:rPr>
          <w:rFonts w:hint="default"/>
          <w:i/>
        </w:rPr>
        <w:t>Schizophr Bull</w:t>
      </w:r>
      <w:r>
        <w:rPr>
          <w:rFonts w:hint="default"/>
        </w:rPr>
        <w:t>, 41(1), 94-103. doi:</w:t>
      </w:r>
      <w:r>
        <w:t xml:space="preserve"> </w:t>
      </w:r>
      <w:r>
        <w:rPr>
          <w:rFonts w:hint="default"/>
        </w:rPr>
        <w:t>10.1093/schbul/sbu153</w:t>
      </w:r>
    </w:p>
    <w:p>
      <w:pPr>
        <w:pStyle w:val="38"/>
        <w:ind w:left="720" w:hanging="720"/>
        <w:jc w:val="both"/>
        <w:rPr>
          <w:rFonts w:hint="default"/>
        </w:rPr>
      </w:pPr>
      <w:r>
        <w:rPr>
          <w:rFonts w:hint="default"/>
        </w:rPr>
        <w:t xml:space="preserve">de Leeuw M., Kahn R. S., Zandbelt B. B., Widschwendter C. G., &amp; Vink M. (2013). Working memory and default mode network abnormalities in unaffected siblings of schizophrenia patients. </w:t>
      </w:r>
      <w:r>
        <w:rPr>
          <w:rFonts w:hint="default"/>
          <w:i/>
        </w:rPr>
        <w:t>Schizophr Res</w:t>
      </w:r>
      <w:r>
        <w:rPr>
          <w:rFonts w:hint="default"/>
        </w:rPr>
        <w:t>, 150(2-3), 555-562. doi:</w:t>
      </w:r>
      <w:r>
        <w:t xml:space="preserve"> </w:t>
      </w:r>
      <w:r>
        <w:rPr>
          <w:rFonts w:hint="default"/>
        </w:rPr>
        <w:t>10.1016/j.schres.2013.08.016</w:t>
      </w:r>
    </w:p>
    <w:p>
      <w:pPr>
        <w:pStyle w:val="38"/>
        <w:ind w:left="720" w:hanging="720"/>
        <w:jc w:val="both"/>
        <w:rPr>
          <w:rFonts w:hint="default"/>
        </w:rPr>
      </w:pPr>
      <w:r>
        <w:rPr>
          <w:rFonts w:hint="default"/>
        </w:rPr>
        <w:t xml:space="preserve">Delawalla Z., Csernansky J. G., &amp; Barch D. M. (2008). Prefrontal cortex function in nonpsychotic siblings of individuals with schizophrenia. </w:t>
      </w:r>
      <w:r>
        <w:rPr>
          <w:rFonts w:hint="default"/>
          <w:i/>
        </w:rPr>
        <w:t>Biol Psychiatry</w:t>
      </w:r>
      <w:r>
        <w:rPr>
          <w:rFonts w:hint="default"/>
        </w:rPr>
        <w:t>, 63(5), 490-497. doi:</w:t>
      </w:r>
      <w:r>
        <w:t xml:space="preserve"> </w:t>
      </w:r>
      <w:r>
        <w:rPr>
          <w:rFonts w:hint="default"/>
        </w:rPr>
        <w:t>10.1016/j.biopsych.2007.05.007</w:t>
      </w:r>
    </w:p>
    <w:p>
      <w:pPr>
        <w:pStyle w:val="38"/>
        <w:ind w:left="720" w:hanging="720"/>
        <w:jc w:val="both"/>
        <w:rPr>
          <w:rFonts w:hint="default"/>
        </w:rPr>
      </w:pPr>
      <w:r>
        <w:rPr>
          <w:rFonts w:hint="default"/>
        </w:rPr>
        <w:t xml:space="preserve">Di Giorgio A., Gelao B., Caforio G., Romano R., Andriola I., D'Ambrosio E., ... Bertolino A. (2013). Evidence that hippocampal-parahippocampal dysfunction is related to genetic risk for schizophrenia. </w:t>
      </w:r>
      <w:r>
        <w:rPr>
          <w:rFonts w:hint="default"/>
          <w:i/>
        </w:rPr>
        <w:t>Psychol Med</w:t>
      </w:r>
      <w:r>
        <w:rPr>
          <w:rFonts w:hint="default"/>
        </w:rPr>
        <w:t>, 43(8), 1661-1671. doi:</w:t>
      </w:r>
      <w:r>
        <w:t xml:space="preserve"> </w:t>
      </w:r>
      <w:r>
        <w:rPr>
          <w:rFonts w:hint="default"/>
        </w:rPr>
        <w:t>10.1017/s0033291712002413</w:t>
      </w:r>
    </w:p>
    <w:p>
      <w:pPr>
        <w:pStyle w:val="38"/>
        <w:ind w:left="720" w:hanging="720"/>
        <w:jc w:val="both"/>
        <w:rPr>
          <w:rFonts w:hint="default"/>
        </w:rPr>
      </w:pPr>
      <w:r>
        <w:rPr>
          <w:rFonts w:hint="default"/>
        </w:rPr>
        <w:t xml:space="preserve">Dodell-Feder D., DeLisi L. E., &amp; Hooker C. I. (2014). Neural disruption to theory of mind predicts daily social functioning in individuals at familial high-risk for schizophrenia. </w:t>
      </w:r>
      <w:r>
        <w:rPr>
          <w:rFonts w:hint="default"/>
          <w:i/>
        </w:rPr>
        <w:t>Soc Cogn Affect Neurosci</w:t>
      </w:r>
      <w:r>
        <w:rPr>
          <w:rFonts w:hint="default"/>
        </w:rPr>
        <w:t>, 9(12), 1914-1925. doi:</w:t>
      </w:r>
      <w:r>
        <w:t xml:space="preserve"> </w:t>
      </w:r>
      <w:r>
        <w:rPr>
          <w:rFonts w:hint="default"/>
        </w:rPr>
        <w:t>10.1093/scan/nst186</w:t>
      </w:r>
    </w:p>
    <w:p>
      <w:pPr>
        <w:pStyle w:val="38"/>
        <w:ind w:left="720" w:hanging="720"/>
        <w:jc w:val="both"/>
        <w:rPr>
          <w:rFonts w:hint="default"/>
        </w:rPr>
      </w:pPr>
      <w:r>
        <w:rPr>
          <w:rFonts w:hint="default"/>
        </w:rPr>
        <w:t xml:space="preserve">Eker C., Simsek F., Yılmazer E. E., Kitis O., Cinar C., Eker O. D., ... Gonul A. S. (2014). Brain regions associated with risk and resistance for bipolar I disorder: a voxel-based MRI study of patients with bipolar disorder and their healthy siblings. </w:t>
      </w:r>
      <w:r>
        <w:rPr>
          <w:rFonts w:hint="default"/>
          <w:i/>
        </w:rPr>
        <w:t>Bipolar Disord</w:t>
      </w:r>
      <w:r>
        <w:rPr>
          <w:rFonts w:hint="default"/>
        </w:rPr>
        <w:t>, 16(3), 249-261. doi:</w:t>
      </w:r>
      <w:r>
        <w:t xml:space="preserve"> </w:t>
      </w:r>
      <w:r>
        <w:rPr>
          <w:rFonts w:hint="default"/>
        </w:rPr>
        <w:t>10.1111/bdi.12181</w:t>
      </w:r>
    </w:p>
    <w:p>
      <w:pPr>
        <w:pStyle w:val="38"/>
        <w:ind w:left="720" w:hanging="720"/>
        <w:jc w:val="both"/>
        <w:rPr>
          <w:rFonts w:hint="default"/>
        </w:rPr>
      </w:pPr>
      <w:r>
        <w:rPr>
          <w:rFonts w:hint="default"/>
        </w:rPr>
        <w:t xml:space="preserve">Filbey F. M., Russell T., Morris R. G., Murray R. M., &amp; McDonald C. (2008). Functional magnetic resonance imaging (fMRI) of attention processes in presumed obligate carriers of schizophrenia: preliminary findings. </w:t>
      </w:r>
      <w:r>
        <w:rPr>
          <w:rFonts w:hint="default"/>
          <w:i/>
        </w:rPr>
        <w:t>Ann Gen Psychiatry</w:t>
      </w:r>
      <w:r>
        <w:rPr>
          <w:rFonts w:hint="default"/>
        </w:rPr>
        <w:t>, 7, 18. doi:</w:t>
      </w:r>
      <w:r>
        <w:t xml:space="preserve"> </w:t>
      </w:r>
      <w:r>
        <w:rPr>
          <w:rFonts w:hint="default"/>
        </w:rPr>
        <w:t>10.1186/1744-859x-7-18</w:t>
      </w:r>
    </w:p>
    <w:p>
      <w:pPr>
        <w:pStyle w:val="38"/>
        <w:ind w:left="720" w:hanging="720"/>
        <w:jc w:val="both"/>
        <w:rPr>
          <w:rFonts w:hint="default"/>
        </w:rPr>
      </w:pPr>
      <w:r>
        <w:rPr>
          <w:rFonts w:hint="default"/>
        </w:rPr>
        <w:t xml:space="preserve">Frangou S. (2011). Brain structural and functional correlates of resilience to </w:t>
      </w:r>
      <w:r>
        <w:t>b</w:t>
      </w:r>
      <w:r>
        <w:rPr>
          <w:rFonts w:hint="default"/>
        </w:rPr>
        <w:t xml:space="preserve">ipolar </w:t>
      </w:r>
      <w:r>
        <w:t>d</w:t>
      </w:r>
      <w:r>
        <w:rPr>
          <w:rFonts w:hint="default"/>
        </w:rPr>
        <w:t xml:space="preserve">isorder. </w:t>
      </w:r>
      <w:r>
        <w:rPr>
          <w:rFonts w:hint="default"/>
          <w:i/>
        </w:rPr>
        <w:t>Front Hum Neurosci</w:t>
      </w:r>
      <w:r>
        <w:rPr>
          <w:rFonts w:hint="default"/>
        </w:rPr>
        <w:t>, 5, 184. doi:</w:t>
      </w:r>
      <w:r>
        <w:t xml:space="preserve"> </w:t>
      </w:r>
      <w:r>
        <w:rPr>
          <w:rFonts w:hint="default"/>
        </w:rPr>
        <w:t>10.3389/fnhum.2011.00184</w:t>
      </w:r>
    </w:p>
    <w:p>
      <w:pPr>
        <w:pStyle w:val="38"/>
        <w:ind w:left="720" w:hanging="720"/>
        <w:jc w:val="both"/>
        <w:rPr>
          <w:rFonts w:hint="default"/>
        </w:rPr>
      </w:pPr>
      <w:r>
        <w:rPr>
          <w:rFonts w:hint="default"/>
        </w:rPr>
        <w:t xml:space="preserve">Grimm O., Heinz A., Walter H., Kirsch P., Erk S., Haddad L., ... Meyer-Lindenberg A. (2014). Striatal response to reward anticipation: evidence for a systems-level intermediate phenotype for schizophrenia. </w:t>
      </w:r>
      <w:r>
        <w:rPr>
          <w:rFonts w:hint="default"/>
          <w:i/>
        </w:rPr>
        <w:t>JAMA Psychiatry</w:t>
      </w:r>
      <w:r>
        <w:rPr>
          <w:rFonts w:hint="default"/>
        </w:rPr>
        <w:t>, 71(5), 531-539. doi:</w:t>
      </w:r>
      <w:r>
        <w:t xml:space="preserve"> </w:t>
      </w:r>
      <w:r>
        <w:rPr>
          <w:rFonts w:hint="default"/>
        </w:rPr>
        <w:t>10.1001/jamapsychiatry.2014.9</w:t>
      </w:r>
    </w:p>
    <w:p>
      <w:pPr>
        <w:pStyle w:val="38"/>
        <w:ind w:left="720" w:hanging="720"/>
        <w:jc w:val="both"/>
        <w:rPr>
          <w:rFonts w:hint="default"/>
        </w:rPr>
      </w:pPr>
      <w:r>
        <w:rPr>
          <w:rFonts w:hint="default"/>
        </w:rPr>
        <w:t xml:space="preserve">Gromann P. M., Shergill S. S., de Haan L., Meewis D. G., Fett A. K., Korver-Nieberg N., &amp; Krabbendam L. (2014). Reduced brain reward response during cooperation in first-degree relatives of patients with psychosis: an fMRI study. </w:t>
      </w:r>
      <w:r>
        <w:rPr>
          <w:rFonts w:hint="default"/>
          <w:i/>
        </w:rPr>
        <w:t>Psychol Med</w:t>
      </w:r>
      <w:r>
        <w:rPr>
          <w:rFonts w:hint="default"/>
        </w:rPr>
        <w:t>, 44(16), 3445-3454. doi:</w:t>
      </w:r>
      <w:r>
        <w:t xml:space="preserve"> </w:t>
      </w:r>
      <w:r>
        <w:rPr>
          <w:rFonts w:hint="default"/>
        </w:rPr>
        <w:t>10.1017/s0033291714000737</w:t>
      </w:r>
    </w:p>
    <w:p>
      <w:pPr>
        <w:pStyle w:val="38"/>
        <w:ind w:left="720" w:hanging="720"/>
        <w:jc w:val="both"/>
        <w:rPr>
          <w:rFonts w:hint="default"/>
        </w:rPr>
      </w:pPr>
      <w:r>
        <w:rPr>
          <w:rFonts w:hint="default"/>
        </w:rPr>
        <w:t xml:space="preserve">Guo W., Hu M., Fan X., Liu F., Wu R., Chen J., ... Zhao J. (2014). Decreased gray matter volume in the left middle temporal gyrus as a candidate biomarker for schizophrenia: a study of drug naive, first-episode schizophrenia patients and unaffected siblings. </w:t>
      </w:r>
      <w:r>
        <w:rPr>
          <w:rFonts w:hint="default"/>
          <w:i/>
        </w:rPr>
        <w:t>Schizophr Res</w:t>
      </w:r>
      <w:r>
        <w:rPr>
          <w:rFonts w:hint="default"/>
        </w:rPr>
        <w:t>, 159(1), 43-50. doi:</w:t>
      </w:r>
      <w:r>
        <w:t xml:space="preserve"> </w:t>
      </w:r>
      <w:r>
        <w:rPr>
          <w:rFonts w:hint="default"/>
        </w:rPr>
        <w:t>10.1016/j.schres.2014.07.051</w:t>
      </w:r>
    </w:p>
    <w:p>
      <w:pPr>
        <w:pStyle w:val="38"/>
        <w:ind w:left="720" w:hanging="720"/>
        <w:jc w:val="both"/>
        <w:rPr>
          <w:rFonts w:hint="default"/>
        </w:rPr>
      </w:pPr>
      <w:r>
        <w:rPr>
          <w:rFonts w:hint="default"/>
        </w:rPr>
        <w:t xml:space="preserve">Guo W., Song Y., Liu F., Zhang Z., Zhang J., Yu M., ... Zhao J. (2015). Dissociation of functional and anatomical brain abnormalities in unaffected siblings of schizophrenia patients. </w:t>
      </w:r>
      <w:r>
        <w:rPr>
          <w:rFonts w:hint="default"/>
          <w:i/>
        </w:rPr>
        <w:t>Clin Neurophysiol</w:t>
      </w:r>
      <w:r>
        <w:rPr>
          <w:rFonts w:hint="default"/>
        </w:rPr>
        <w:t>, 126(5), 927-932. doi:</w:t>
      </w:r>
      <w:r>
        <w:t xml:space="preserve"> </w:t>
      </w:r>
      <w:r>
        <w:rPr>
          <w:rFonts w:hint="default"/>
        </w:rPr>
        <w:t>10.1016/j.clinph.2014.08.016</w:t>
      </w:r>
    </w:p>
    <w:p>
      <w:pPr>
        <w:pStyle w:val="38"/>
        <w:ind w:left="720" w:hanging="720"/>
        <w:jc w:val="both"/>
        <w:rPr>
          <w:rFonts w:hint="default"/>
        </w:rPr>
      </w:pPr>
      <w:r>
        <w:rPr>
          <w:rFonts w:hint="default"/>
        </w:rPr>
        <w:t xml:space="preserve">Hajek T., Cullis J., Novak T., Kopecek M., Blagdon R., Propper L., ... Alda M. (2013). Brain structural signature of familial predisposition for bipolar disorder: replicable evidence for involvement of the right inferior frontal gyrus. </w:t>
      </w:r>
      <w:r>
        <w:rPr>
          <w:rFonts w:hint="default"/>
          <w:i/>
        </w:rPr>
        <w:t>Biol Psychiatry</w:t>
      </w:r>
      <w:r>
        <w:rPr>
          <w:rFonts w:hint="default"/>
        </w:rPr>
        <w:t>, 73(2), 144-152. doi:</w:t>
      </w:r>
      <w:r>
        <w:t xml:space="preserve"> </w:t>
      </w:r>
      <w:r>
        <w:rPr>
          <w:rFonts w:hint="default"/>
        </w:rPr>
        <w:t>10.1016/j.biopsych.2012.06.015</w:t>
      </w:r>
    </w:p>
    <w:p>
      <w:pPr>
        <w:pStyle w:val="38"/>
        <w:ind w:left="720" w:hanging="720"/>
        <w:jc w:val="both"/>
        <w:rPr>
          <w:rFonts w:hint="default"/>
        </w:rPr>
      </w:pPr>
      <w:r>
        <w:rPr>
          <w:rFonts w:hint="default"/>
        </w:rPr>
        <w:t xml:space="preserve">Hanford L. C., Hall G. B., Minuzzi L., &amp; Sassi R. B. (2016). Gray matter volumes in symptomatic and asymptomatic offspring of parents diagnosed with bipolar disorder. </w:t>
      </w:r>
      <w:r>
        <w:rPr>
          <w:rFonts w:hint="default"/>
          <w:i/>
        </w:rPr>
        <w:t>Eur Child Adolesc Psychiatry</w:t>
      </w:r>
      <w:r>
        <w:rPr>
          <w:rFonts w:hint="default"/>
        </w:rPr>
        <w:t>, 25(9), 959-967. doi:</w:t>
      </w:r>
      <w:r>
        <w:t xml:space="preserve"> </w:t>
      </w:r>
      <w:r>
        <w:rPr>
          <w:rFonts w:hint="default"/>
        </w:rPr>
        <w:t>10.1007/s00787-015-0809-y</w:t>
      </w:r>
    </w:p>
    <w:p>
      <w:pPr>
        <w:pStyle w:val="38"/>
        <w:ind w:left="720" w:hanging="720"/>
        <w:jc w:val="both"/>
        <w:rPr>
          <w:rFonts w:hint="default"/>
        </w:rPr>
      </w:pPr>
      <w:r>
        <w:rPr>
          <w:rFonts w:hint="default"/>
        </w:rPr>
        <w:t xml:space="preserve">Hanssen E., van der Velde J., Gromann P. M., Shergill S. S., de Haan L., Bruggeman R., ... van Atteveldt N. (2015). Neural correlates of reward processing in healthy siblings of patients with schizophrenia. </w:t>
      </w:r>
      <w:r>
        <w:rPr>
          <w:rFonts w:hint="default"/>
          <w:i/>
        </w:rPr>
        <w:t>Front Hum Neurosci</w:t>
      </w:r>
      <w:r>
        <w:rPr>
          <w:rFonts w:hint="default"/>
        </w:rPr>
        <w:t>, 9, 504. doi:</w:t>
      </w:r>
      <w:r>
        <w:t xml:space="preserve"> </w:t>
      </w:r>
      <w:r>
        <w:rPr>
          <w:rFonts w:hint="default"/>
        </w:rPr>
        <w:t>10.3389/fnhum.2015.00504</w:t>
      </w:r>
    </w:p>
    <w:p>
      <w:pPr>
        <w:pStyle w:val="38"/>
        <w:ind w:left="720" w:hanging="720"/>
        <w:jc w:val="both"/>
        <w:rPr>
          <w:rFonts w:hint="default"/>
        </w:rPr>
      </w:pPr>
      <w:r>
        <w:rPr>
          <w:rFonts w:hint="default"/>
        </w:rPr>
        <w:t xml:space="preserve">Hart S. J., Shaffer J. J., Bizzell J., Weber M., McMahon M. A., Gu H., ... Belger A. (2015). Measurement of Fronto-limbic Activity Using an Emotional Oddball Task in Children with Familial High Risk for Schizophrenia. </w:t>
      </w:r>
      <w:r>
        <w:rPr>
          <w:rFonts w:hint="default"/>
          <w:i/>
        </w:rPr>
        <w:t>J Vis Exp</w:t>
      </w:r>
      <w:r>
        <w:rPr>
          <w:rFonts w:hint="default"/>
        </w:rPr>
        <w:t>(106). doi:</w:t>
      </w:r>
      <w:r>
        <w:t xml:space="preserve"> </w:t>
      </w:r>
      <w:r>
        <w:rPr>
          <w:rFonts w:hint="default"/>
        </w:rPr>
        <w:t>10.3791/51484</w:t>
      </w:r>
    </w:p>
    <w:p>
      <w:pPr>
        <w:pStyle w:val="38"/>
        <w:ind w:left="720" w:hanging="720"/>
        <w:jc w:val="both"/>
        <w:rPr>
          <w:rFonts w:hint="default"/>
        </w:rPr>
      </w:pPr>
      <w:r>
        <w:rPr>
          <w:rFonts w:hint="default"/>
        </w:rPr>
        <w:t xml:space="preserve">Herold R., Varga E., Hajnal A., Hamvas E., Berecz H., Tóth B., &amp; Tényi T. (2017). Altered Neural Activity during Irony Comprehension in Unaffected First-Degree Relatives of Schizophrenia Patients-An fMRI Study. </w:t>
      </w:r>
      <w:r>
        <w:rPr>
          <w:rFonts w:hint="default"/>
          <w:i/>
        </w:rPr>
        <w:t>Front Psychol</w:t>
      </w:r>
      <w:r>
        <w:rPr>
          <w:rFonts w:hint="default"/>
        </w:rPr>
        <w:t>, 8, 2309. doi:</w:t>
      </w:r>
      <w:r>
        <w:t xml:space="preserve"> </w:t>
      </w:r>
      <w:r>
        <w:rPr>
          <w:rFonts w:hint="default"/>
        </w:rPr>
        <w:t>10.3389/fpsyg.2017.02309</w:t>
      </w:r>
    </w:p>
    <w:p>
      <w:pPr>
        <w:pStyle w:val="38"/>
        <w:ind w:left="720" w:hanging="720"/>
        <w:jc w:val="both"/>
        <w:rPr>
          <w:rFonts w:hint="default"/>
        </w:rPr>
      </w:pPr>
      <w:r>
        <w:rPr>
          <w:rFonts w:hint="default"/>
        </w:rPr>
        <w:t xml:space="preserve">Honea R. A., Meyer-Lindenberg A., Hobbs K. B., Pezawas L., Mattay V. S., Egan M. F., ... Callicott J. H. (2008). Is gray matter volume an intermediate phenotype for schizophrenia? A voxel-based morphometry study of patients with schizophrenia and their healthy siblings. </w:t>
      </w:r>
      <w:r>
        <w:rPr>
          <w:rFonts w:hint="default"/>
          <w:i/>
        </w:rPr>
        <w:t>Biol Psychiatry</w:t>
      </w:r>
      <w:r>
        <w:rPr>
          <w:rFonts w:hint="default"/>
        </w:rPr>
        <w:t>, 63(5), 465-474. doi:</w:t>
      </w:r>
      <w:r>
        <w:t xml:space="preserve"> </w:t>
      </w:r>
      <w:r>
        <w:rPr>
          <w:rFonts w:hint="default"/>
        </w:rPr>
        <w:t>10.1016/j.biopsych.2007.05.027</w:t>
      </w:r>
    </w:p>
    <w:p>
      <w:pPr>
        <w:pStyle w:val="38"/>
        <w:ind w:left="720" w:hanging="720"/>
        <w:jc w:val="both"/>
        <w:rPr>
          <w:rFonts w:hint="default"/>
        </w:rPr>
      </w:pPr>
      <w:r>
        <w:rPr>
          <w:rFonts w:hint="default"/>
        </w:rPr>
        <w:t xml:space="preserve">Hu M., Li J., Eyler L., Guo X., Wei Q., Tang J., ... Zhao J. (2013). Decreased left middle temporal gyrus volume in antipsychotic drug-naive, first-episode schizophrenia patients and their healthy unaffected siblings. </w:t>
      </w:r>
      <w:r>
        <w:rPr>
          <w:rFonts w:hint="default"/>
          <w:i/>
        </w:rPr>
        <w:t>Schizophr Res</w:t>
      </w:r>
      <w:r>
        <w:rPr>
          <w:rFonts w:hint="default"/>
        </w:rPr>
        <w:t>, 144(1-3), 37-42. doi:</w:t>
      </w:r>
      <w:r>
        <w:t xml:space="preserve"> </w:t>
      </w:r>
      <w:r>
        <w:rPr>
          <w:rFonts w:hint="default"/>
        </w:rPr>
        <w:t>10.1016/j.schres.2012.12.018</w:t>
      </w:r>
    </w:p>
    <w:p>
      <w:pPr>
        <w:pStyle w:val="38"/>
        <w:ind w:left="720" w:hanging="720"/>
        <w:jc w:val="both"/>
        <w:rPr>
          <w:rFonts w:hint="default"/>
        </w:rPr>
      </w:pPr>
      <w:r>
        <w:rPr>
          <w:rFonts w:hint="default"/>
        </w:rPr>
        <w:t xml:space="preserve">Ivleva E. I., Clementz B. A., Dutcher A. M., Arnold S. J. M., Jeon-Slaughter H., Aslan S., ... Tamminga C. A. (2017). Brain Structure Biomarkers in the Psychosis Biotypes: Findings From the Bipolar-Schizophrenia Network for Intermediate Phenotypes. </w:t>
      </w:r>
      <w:r>
        <w:rPr>
          <w:rFonts w:hint="default"/>
          <w:i/>
        </w:rPr>
        <w:t>Biol Psychiatry</w:t>
      </w:r>
      <w:r>
        <w:rPr>
          <w:rFonts w:hint="default"/>
        </w:rPr>
        <w:t>, 82(1), 26-39. doi:</w:t>
      </w:r>
      <w:r>
        <w:t xml:space="preserve"> </w:t>
      </w:r>
      <w:r>
        <w:rPr>
          <w:rFonts w:hint="default"/>
        </w:rPr>
        <w:t>10.1016/j.biopsych.2016.08.030</w:t>
      </w:r>
    </w:p>
    <w:p>
      <w:pPr>
        <w:pStyle w:val="38"/>
        <w:ind w:left="720" w:hanging="720"/>
        <w:jc w:val="both"/>
        <w:rPr>
          <w:rFonts w:hint="default"/>
        </w:rPr>
      </w:pPr>
      <w:r>
        <w:rPr>
          <w:rFonts w:hint="default"/>
        </w:rPr>
        <w:t xml:space="preserve">Jiang S., Yan H., Chen Q., Tian L., Lu T., Tan H. Y., ... Zhang D. (2015). Cerebral Inefficient Activation in Schizophrenia Patients and Their Unaffected Parents during the N-Back Working Memory Task: A Family fMRI Study. </w:t>
      </w:r>
      <w:r>
        <w:rPr>
          <w:rFonts w:hint="default"/>
          <w:i/>
        </w:rPr>
        <w:t>PLoS One</w:t>
      </w:r>
      <w:r>
        <w:rPr>
          <w:rFonts w:hint="default"/>
        </w:rPr>
        <w:t>, 10(8), e0135468. doi:</w:t>
      </w:r>
      <w:r>
        <w:t xml:space="preserve"> </w:t>
      </w:r>
      <w:r>
        <w:rPr>
          <w:rFonts w:hint="default"/>
        </w:rPr>
        <w:t>10.1371/journal.pone.0135468</w:t>
      </w:r>
    </w:p>
    <w:p>
      <w:pPr>
        <w:pStyle w:val="38"/>
        <w:ind w:left="720" w:hanging="720"/>
        <w:jc w:val="both"/>
        <w:rPr>
          <w:rFonts w:hint="default"/>
        </w:rPr>
      </w:pPr>
      <w:r>
        <w:rPr>
          <w:rFonts w:hint="default"/>
        </w:rPr>
        <w:t xml:space="preserve">Job D. E., Whalley H. C., McConnell S., Glabus M., Johnstone E. C., &amp; Lawrie S. M. (2003). Voxel-based morphometry of grey matter densities in subjects at high risk of schizophrenia. </w:t>
      </w:r>
      <w:r>
        <w:rPr>
          <w:rFonts w:hint="default"/>
          <w:i/>
        </w:rPr>
        <w:t>Schizophr Res</w:t>
      </w:r>
      <w:r>
        <w:rPr>
          <w:rFonts w:hint="default"/>
        </w:rPr>
        <w:t>, 64(1), 1-13. doi:</w:t>
      </w:r>
      <w:r>
        <w:t xml:space="preserve"> </w:t>
      </w:r>
      <w:r>
        <w:rPr>
          <w:rFonts w:hint="default"/>
        </w:rPr>
        <w:t>10.1016/s0920-9964(03)00158-0</w:t>
      </w:r>
    </w:p>
    <w:p>
      <w:pPr>
        <w:pStyle w:val="38"/>
        <w:ind w:left="720" w:hanging="720"/>
        <w:jc w:val="both"/>
        <w:rPr>
          <w:rFonts w:hint="default"/>
        </w:rPr>
      </w:pPr>
      <w:r>
        <w:rPr>
          <w:rFonts w:hint="default"/>
        </w:rPr>
        <w:t xml:space="preserve">Kanske P., Schönfelder S., Forneck J., &amp; Wessa M. (2015). Impaired regulation of emotion: neural correlates of reappraisal and distraction in bipolar disorder and unaffected relatives. </w:t>
      </w:r>
      <w:r>
        <w:rPr>
          <w:rFonts w:hint="default"/>
          <w:i/>
        </w:rPr>
        <w:t>Transl Psychiatry</w:t>
      </w:r>
      <w:r>
        <w:rPr>
          <w:rFonts w:hint="default"/>
        </w:rPr>
        <w:t>, 5(1), e497. doi:</w:t>
      </w:r>
      <w:r>
        <w:t xml:space="preserve"> </w:t>
      </w:r>
      <w:r>
        <w:rPr>
          <w:rFonts w:hint="default"/>
        </w:rPr>
        <w:t>10.1038/tp.2014.137</w:t>
      </w:r>
    </w:p>
    <w:p>
      <w:pPr>
        <w:pStyle w:val="38"/>
        <w:ind w:left="720" w:hanging="720"/>
        <w:jc w:val="both"/>
        <w:rPr>
          <w:rFonts w:hint="default"/>
        </w:rPr>
      </w:pPr>
      <w:r>
        <w:rPr>
          <w:rFonts w:hint="default"/>
        </w:rPr>
        <w:t xml:space="preserve">Karch S., Leicht G., Giegling I., Lutz J., Kunz J., Buselmeier M., ... Mulert C. (2009). Inefficient neural activity in patients with schizophrenia and nonpsychotic relatives of schizophrenic patients: evidence from a working memory task. </w:t>
      </w:r>
      <w:r>
        <w:rPr>
          <w:rFonts w:hint="default"/>
          <w:i/>
        </w:rPr>
        <w:t>J Psychiatr Res</w:t>
      </w:r>
      <w:r>
        <w:rPr>
          <w:rFonts w:hint="default"/>
        </w:rPr>
        <w:t>, 43(15), 1185-1194. doi:</w:t>
      </w:r>
      <w:r>
        <w:t xml:space="preserve"> </w:t>
      </w:r>
      <w:r>
        <w:rPr>
          <w:rFonts w:hint="default"/>
        </w:rPr>
        <w:t>10.1016/j.jpsychires.2009.04.004</w:t>
      </w:r>
    </w:p>
    <w:p>
      <w:pPr>
        <w:pStyle w:val="38"/>
        <w:ind w:left="720" w:hanging="720"/>
        <w:jc w:val="both"/>
        <w:rPr>
          <w:rFonts w:hint="default"/>
        </w:rPr>
      </w:pPr>
      <w:r>
        <w:rPr>
          <w:rFonts w:hint="default"/>
        </w:rPr>
        <w:t xml:space="preserve">Kempton M. J., Haldane M., Jogia J., Grasby P. M., Collier D., &amp; Frangou S. (2009). Dissociable brain structural changes associated with predisposition, resilience, and disease expression in bipolar disorder. </w:t>
      </w:r>
      <w:r>
        <w:rPr>
          <w:rFonts w:hint="default"/>
          <w:i/>
        </w:rPr>
        <w:t>J Neurosci</w:t>
      </w:r>
      <w:r>
        <w:rPr>
          <w:rFonts w:hint="default"/>
        </w:rPr>
        <w:t>, 29(35), 10863-10868. doi:</w:t>
      </w:r>
      <w:r>
        <w:t xml:space="preserve"> </w:t>
      </w:r>
      <w:r>
        <w:rPr>
          <w:rFonts w:hint="default"/>
        </w:rPr>
        <w:t>10.1523/jneurosci.2204-09.2009</w:t>
      </w:r>
    </w:p>
    <w:p>
      <w:pPr>
        <w:pStyle w:val="38"/>
        <w:ind w:left="720" w:hanging="720"/>
        <w:jc w:val="both"/>
        <w:rPr>
          <w:rFonts w:hint="default"/>
        </w:rPr>
      </w:pPr>
      <w:r>
        <w:rPr>
          <w:rFonts w:hint="default"/>
        </w:rPr>
        <w:t xml:space="preserve">Keshavan M. S., Diwadkar V. A., Spencer S. M., Harenski K. A., Luna B., &amp; Sweeney J. A. (2002). A preliminary functional magnetic resonance imaging study in offspring of schizophrenic parents. </w:t>
      </w:r>
      <w:r>
        <w:rPr>
          <w:rFonts w:hint="default"/>
          <w:i/>
        </w:rPr>
        <w:t>Prog Neuropsychopharmacol Biol Psychiatry</w:t>
      </w:r>
      <w:r>
        <w:rPr>
          <w:rFonts w:hint="default"/>
        </w:rPr>
        <w:t>, 26(6), 1143-1149. doi:</w:t>
      </w:r>
      <w:r>
        <w:t xml:space="preserve"> </w:t>
      </w:r>
      <w:r>
        <w:rPr>
          <w:rFonts w:hint="default"/>
        </w:rPr>
        <w:t>10.1016/s0278-5846(02)00249-x</w:t>
      </w:r>
    </w:p>
    <w:p>
      <w:pPr>
        <w:pStyle w:val="38"/>
        <w:ind w:left="720" w:hanging="720"/>
        <w:jc w:val="both"/>
        <w:rPr>
          <w:rFonts w:hint="default"/>
        </w:rPr>
      </w:pPr>
      <w:r>
        <w:rPr>
          <w:rFonts w:hint="default"/>
        </w:rPr>
        <w:t xml:space="preserve">Kim P., Jenkins S. E., Connolly M. E., Deveney C. M., Fromm S. J., Brotman M. A., ... Leibenluft E. (2012). Neural correlates of cognitive flexibility in children at risk for bipolar disorder. </w:t>
      </w:r>
      <w:r>
        <w:rPr>
          <w:rFonts w:hint="default"/>
          <w:i/>
        </w:rPr>
        <w:t>J Psychiatr Res</w:t>
      </w:r>
      <w:r>
        <w:rPr>
          <w:rFonts w:hint="default"/>
        </w:rPr>
        <w:t>, 46(1), 22-30. doi:</w:t>
      </w:r>
      <w:r>
        <w:t xml:space="preserve"> </w:t>
      </w:r>
      <w:r>
        <w:rPr>
          <w:rFonts w:hint="default"/>
        </w:rPr>
        <w:t>10.1016/j.jpsychires.2011.09.015</w:t>
      </w:r>
    </w:p>
    <w:p>
      <w:pPr>
        <w:pStyle w:val="38"/>
        <w:ind w:left="720" w:hanging="720"/>
        <w:jc w:val="both"/>
        <w:rPr>
          <w:rFonts w:hint="default"/>
        </w:rPr>
      </w:pPr>
      <w:r>
        <w:rPr>
          <w:rFonts w:hint="default"/>
        </w:rPr>
        <w:t xml:space="preserve">Lehet M., Tso I. F., Park S., Neggers S. F. W., Thompson I. A., Kahn R. S., &amp; Thakkar K. N. (2021). Altered Effective Connectivity within an Oculomotor Control Network in Unaffected Relatives of Individuals with Schizophrenia. </w:t>
      </w:r>
      <w:r>
        <w:rPr>
          <w:rFonts w:hint="default"/>
          <w:i/>
        </w:rPr>
        <w:t>Brain Sci</w:t>
      </w:r>
      <w:r>
        <w:rPr>
          <w:rFonts w:hint="default"/>
        </w:rPr>
        <w:t>, 11(9). doi:</w:t>
      </w:r>
      <w:r>
        <w:t xml:space="preserve"> </w:t>
      </w:r>
      <w:r>
        <w:rPr>
          <w:rFonts w:hint="default"/>
        </w:rPr>
        <w:t>10.3390/brainsci11091228</w:t>
      </w:r>
    </w:p>
    <w:p>
      <w:pPr>
        <w:pStyle w:val="38"/>
        <w:ind w:left="720" w:hanging="720"/>
        <w:jc w:val="both"/>
        <w:rPr>
          <w:rFonts w:hint="default"/>
        </w:rPr>
      </w:pPr>
      <w:r>
        <w:rPr>
          <w:rFonts w:hint="default"/>
        </w:rPr>
        <w:t xml:space="preserve">Li H. J., Chan R. C., Gong Q. Y., Liu Y., Liu S. M., Shum D., &amp; Ma Z. L. (2012). Facial emotion processing in patients with schizophrenia and their non-psychotic siblings: a functional magnetic resonance imaging study. </w:t>
      </w:r>
      <w:r>
        <w:rPr>
          <w:rFonts w:hint="default"/>
          <w:i/>
        </w:rPr>
        <w:t>Schizophr Res</w:t>
      </w:r>
      <w:r>
        <w:rPr>
          <w:rFonts w:hint="default"/>
        </w:rPr>
        <w:t>, 134(2-3), 143-150. doi:</w:t>
      </w:r>
      <w:r>
        <w:t xml:space="preserve"> </w:t>
      </w:r>
      <w:r>
        <w:rPr>
          <w:rFonts w:hint="default"/>
        </w:rPr>
        <w:t>10.1016/j.schres.2011.10.019</w:t>
      </w:r>
    </w:p>
    <w:p>
      <w:pPr>
        <w:pStyle w:val="38"/>
        <w:ind w:left="720" w:hanging="720"/>
        <w:jc w:val="both"/>
        <w:rPr>
          <w:rFonts w:hint="default"/>
        </w:rPr>
      </w:pPr>
      <w:r>
        <w:rPr>
          <w:rFonts w:hint="default"/>
        </w:rPr>
        <w:t xml:space="preserve">Li X., Alapati V., Jackson C., Xia S., Bertisch H. C., Branch C. A., &amp; Delisi L. E. (2012). Structural abnormalities in language circuits in genetic high-risk subjects and schizophrenia patients. </w:t>
      </w:r>
      <w:r>
        <w:rPr>
          <w:rFonts w:hint="default"/>
          <w:i/>
        </w:rPr>
        <w:t>Psychiatry Res</w:t>
      </w:r>
      <w:r>
        <w:rPr>
          <w:rFonts w:hint="default"/>
        </w:rPr>
        <w:t>, 201(3), 182-189. doi:</w:t>
      </w:r>
      <w:r>
        <w:t xml:space="preserve"> </w:t>
      </w:r>
      <w:r>
        <w:rPr>
          <w:rFonts w:hint="default"/>
        </w:rPr>
        <w:t>10.1016/j.pscychresns.2011.07.017</w:t>
      </w:r>
    </w:p>
    <w:p>
      <w:pPr>
        <w:pStyle w:val="38"/>
        <w:ind w:left="720" w:hanging="720"/>
        <w:jc w:val="both"/>
        <w:rPr>
          <w:rFonts w:hint="default"/>
        </w:rPr>
      </w:pPr>
      <w:r>
        <w:rPr>
          <w:rFonts w:hint="default"/>
        </w:rPr>
        <w:t xml:space="preserve">Li X., Branch C. A., Bertisch H. C., Brown K., Szulc K. U., Ardekani B. A., &amp; DeLisi L. E. (2007). An fMRI study of language processing in people at high genetic risk for schizophrenia. </w:t>
      </w:r>
      <w:r>
        <w:rPr>
          <w:rFonts w:hint="default"/>
          <w:i/>
        </w:rPr>
        <w:t>Schizophr Res</w:t>
      </w:r>
      <w:r>
        <w:rPr>
          <w:rFonts w:hint="default"/>
        </w:rPr>
        <w:t>, 91(1-3), 62-72. doi:</w:t>
      </w:r>
      <w:r>
        <w:t xml:space="preserve"> </w:t>
      </w:r>
      <w:r>
        <w:rPr>
          <w:rFonts w:hint="default"/>
        </w:rPr>
        <w:t>10.1016/j.schres.2006.12.016</w:t>
      </w:r>
    </w:p>
    <w:p>
      <w:pPr>
        <w:pStyle w:val="38"/>
        <w:ind w:left="720" w:hanging="720"/>
        <w:jc w:val="both"/>
        <w:rPr>
          <w:rFonts w:hint="default"/>
        </w:rPr>
      </w:pPr>
      <w:r>
        <w:rPr>
          <w:rFonts w:hint="default"/>
        </w:rPr>
        <w:t xml:space="preserve">Li X., Thermenos H. W., Wu Z., Momura Y., Wu K., Keshavan M., ... DeLisi L. E. (2016). Abnormal interactions of verbal- and spatial-memory networks in young people at familial high-risk for schizophrenia. </w:t>
      </w:r>
      <w:r>
        <w:rPr>
          <w:rFonts w:hint="default"/>
          <w:i/>
        </w:rPr>
        <w:t>Schizophr Res</w:t>
      </w:r>
      <w:r>
        <w:rPr>
          <w:rFonts w:hint="default"/>
        </w:rPr>
        <w:t>, 176(2-3), 100-105. doi:</w:t>
      </w:r>
      <w:r>
        <w:t xml:space="preserve"> </w:t>
      </w:r>
      <w:r>
        <w:rPr>
          <w:rFonts w:hint="default"/>
        </w:rPr>
        <w:t>10.1016/j.schres.2016.07.022</w:t>
      </w:r>
    </w:p>
    <w:p>
      <w:pPr>
        <w:pStyle w:val="38"/>
        <w:ind w:left="720" w:hanging="720"/>
        <w:jc w:val="both"/>
        <w:rPr>
          <w:rFonts w:hint="default"/>
        </w:rPr>
      </w:pPr>
      <w:r>
        <w:rPr>
          <w:rFonts w:hint="default"/>
        </w:rPr>
        <w:t xml:space="preserve">Lin B., Li X. B., Ruan S., Wu Y. X., Zhang C. Y., Wang C. Y., &amp; Wang L. B. (2022). Convergent and divergent gray matter volume abnormalities in unaffected first-degree relatives and ultra-high risk individuals of schizophrenia. </w:t>
      </w:r>
      <w:r>
        <w:rPr>
          <w:rFonts w:hint="default"/>
          <w:i/>
        </w:rPr>
        <w:t>Schizophrenia (Heidelb)</w:t>
      </w:r>
      <w:r>
        <w:rPr>
          <w:rFonts w:hint="default"/>
        </w:rPr>
        <w:t>, 8(1), 55. doi:</w:t>
      </w:r>
      <w:r>
        <w:t xml:space="preserve"> </w:t>
      </w:r>
      <w:r>
        <w:rPr>
          <w:rFonts w:hint="default"/>
        </w:rPr>
        <w:t>10.1038/s41537-022-00261-9</w:t>
      </w:r>
    </w:p>
    <w:p>
      <w:pPr>
        <w:pStyle w:val="38"/>
        <w:ind w:left="720" w:hanging="720"/>
        <w:jc w:val="both"/>
        <w:rPr>
          <w:rFonts w:hint="default"/>
        </w:rPr>
      </w:pPr>
      <w:r>
        <w:rPr>
          <w:rFonts w:hint="default"/>
        </w:rPr>
        <w:t xml:space="preserve">Lin K., Xu G., Wong N. M., Wu H., Li T., Lu W., ... Lee T. M. (2015). A Multi-Dimensional and Integrative Approach to Examining the High-Risk and Ultra-High-Risk Stages of Bipolar Disorder. </w:t>
      </w:r>
      <w:r>
        <w:rPr>
          <w:rFonts w:hint="default"/>
          <w:i/>
        </w:rPr>
        <w:t>EBioMedicine</w:t>
      </w:r>
      <w:r>
        <w:rPr>
          <w:rFonts w:hint="default"/>
        </w:rPr>
        <w:t>, 2(8), 919-928. doi:</w:t>
      </w:r>
      <w:r>
        <w:t xml:space="preserve"> </w:t>
      </w:r>
      <w:r>
        <w:rPr>
          <w:rFonts w:hint="default"/>
        </w:rPr>
        <w:t>10.1016/j.ebiom.2015.06.027</w:t>
      </w:r>
    </w:p>
    <w:p>
      <w:pPr>
        <w:pStyle w:val="38"/>
        <w:ind w:left="720" w:hanging="720"/>
        <w:jc w:val="both"/>
        <w:rPr>
          <w:rFonts w:hint="default"/>
        </w:rPr>
      </w:pPr>
      <w:r>
        <w:rPr>
          <w:rFonts w:hint="default"/>
        </w:rPr>
        <w:t xml:space="preserve">Linke J., King A. V., Rietschel M., Strohmaier J., Hennerici M., Gass A., ... Wessa M. (2012). Increased medial orbitofrontal and amygdala activation: evidence for a systems-level endophenotype of bipolar I disorder. </w:t>
      </w:r>
      <w:r>
        <w:rPr>
          <w:rFonts w:hint="default"/>
          <w:i/>
        </w:rPr>
        <w:t>Am J Psychiatry</w:t>
      </w:r>
      <w:r>
        <w:rPr>
          <w:rFonts w:hint="default"/>
        </w:rPr>
        <w:t>, 169(3), 316-325. doi:</w:t>
      </w:r>
      <w:r>
        <w:t xml:space="preserve"> </w:t>
      </w:r>
      <w:r>
        <w:rPr>
          <w:rFonts w:hint="default"/>
        </w:rPr>
        <w:t>10.1176/appi.ajp.2011.11050711</w:t>
      </w:r>
    </w:p>
    <w:p>
      <w:pPr>
        <w:pStyle w:val="38"/>
        <w:ind w:left="720" w:hanging="720"/>
        <w:jc w:val="both"/>
        <w:rPr>
          <w:rFonts w:hint="default"/>
        </w:rPr>
      </w:pPr>
      <w:r>
        <w:rPr>
          <w:rFonts w:hint="default"/>
        </w:rPr>
        <w:t xml:space="preserve">Lo Bianco L., Blasi G., Taurisano P., Di Giorgio A., Ferrante F., Ursini G., ... Bertolino A. (2013). Interaction between catechol-O-methyltransferase (COMT) Val158Met genotype and genetic vulnerability to schizophrenia during explicit processing of aversive facial stimuli. </w:t>
      </w:r>
      <w:r>
        <w:rPr>
          <w:rFonts w:hint="default"/>
          <w:i/>
        </w:rPr>
        <w:t>Psychol Med</w:t>
      </w:r>
      <w:r>
        <w:rPr>
          <w:rFonts w:hint="default"/>
        </w:rPr>
        <w:t>, 43(2), 279-292. doi:</w:t>
      </w:r>
      <w:r>
        <w:t xml:space="preserve"> </w:t>
      </w:r>
      <w:r>
        <w:rPr>
          <w:rFonts w:hint="default"/>
        </w:rPr>
        <w:t>10.1017/s0033291712001134</w:t>
      </w:r>
    </w:p>
    <w:p>
      <w:pPr>
        <w:pStyle w:val="38"/>
        <w:ind w:left="720" w:hanging="720"/>
        <w:jc w:val="both"/>
        <w:rPr>
          <w:rFonts w:hint="default"/>
        </w:rPr>
      </w:pPr>
      <w:r>
        <w:rPr>
          <w:rFonts w:hint="default"/>
        </w:rPr>
        <w:t xml:space="preserve">Loeb F. F., Zhou X., Craddock K. E. S., Shora L., Broadnax D. D., Gochman P., ... Liu S. (2018). Reduced Functional Brain Activation and Connectivity During a Working Memory Task in Childhood-Onset Schizophrenia. </w:t>
      </w:r>
      <w:r>
        <w:rPr>
          <w:rFonts w:hint="default"/>
          <w:i/>
        </w:rPr>
        <w:t>J Am Acad Child Adolesc Psychiatry</w:t>
      </w:r>
      <w:r>
        <w:rPr>
          <w:rFonts w:hint="default"/>
        </w:rPr>
        <w:t>, 57(3), 166-174. doi:</w:t>
      </w:r>
      <w:r>
        <w:t xml:space="preserve"> </w:t>
      </w:r>
      <w:r>
        <w:rPr>
          <w:rFonts w:hint="default"/>
        </w:rPr>
        <w:t>10.1016/j.jaac.2017.12.009</w:t>
      </w:r>
    </w:p>
    <w:p>
      <w:pPr>
        <w:pStyle w:val="38"/>
        <w:ind w:left="720" w:hanging="720"/>
        <w:jc w:val="both"/>
        <w:rPr>
          <w:rFonts w:hint="default"/>
        </w:rPr>
      </w:pPr>
      <w:r>
        <w:rPr>
          <w:rFonts w:hint="default"/>
        </w:rPr>
        <w:t xml:space="preserve">Lopez-Garcia P., Cristobal-Huerta A., Young Espinoza L., Molero P., Ortuño Sanchez-Pedreño F., &amp; Hernández-Tamames J. A. (2016). The influence of the COMT genotype in the underlying functional brain activity of context processing in schizophrenia and in relatives. </w:t>
      </w:r>
      <w:r>
        <w:rPr>
          <w:rFonts w:hint="default"/>
          <w:i/>
        </w:rPr>
        <w:t>Prog Neuropsychopharmacol Biol Psychiatry</w:t>
      </w:r>
      <w:r>
        <w:rPr>
          <w:rFonts w:hint="default"/>
        </w:rPr>
        <w:t>, 71, 176-182. doi:</w:t>
      </w:r>
      <w:r>
        <w:t xml:space="preserve"> </w:t>
      </w:r>
      <w:r>
        <w:rPr>
          <w:rFonts w:hint="default"/>
        </w:rPr>
        <w:t>10.1016/j.pnpbp.2016.07.005</w:t>
      </w:r>
    </w:p>
    <w:p>
      <w:pPr>
        <w:pStyle w:val="38"/>
        <w:ind w:left="720" w:hanging="720"/>
        <w:jc w:val="both"/>
        <w:rPr>
          <w:rFonts w:hint="default"/>
        </w:rPr>
      </w:pPr>
      <w:r>
        <w:rPr>
          <w:rFonts w:hint="default"/>
        </w:rPr>
        <w:t xml:space="preserve">Lui S., Deng W., Huang X., Jiang L., Ouyang L., Borgwardt S. J., ... Gong Q. (2009). Neuroanatomical differences between familial and sporadic schizophrenia and their parents: an optimized voxel-based morphometry study. </w:t>
      </w:r>
      <w:r>
        <w:rPr>
          <w:rFonts w:hint="default"/>
          <w:i/>
        </w:rPr>
        <w:t>Psychiatry Res</w:t>
      </w:r>
      <w:r>
        <w:rPr>
          <w:rFonts w:hint="default"/>
        </w:rPr>
        <w:t>, 171(2), 71-81. doi:</w:t>
      </w:r>
      <w:r>
        <w:t xml:space="preserve"> </w:t>
      </w:r>
      <w:r>
        <w:rPr>
          <w:rFonts w:hint="default"/>
        </w:rPr>
        <w:t>10.1016/j.pscychresns.2008.02.004</w:t>
      </w:r>
    </w:p>
    <w:p>
      <w:pPr>
        <w:pStyle w:val="38"/>
        <w:ind w:left="720" w:hanging="720"/>
        <w:jc w:val="both"/>
        <w:rPr>
          <w:rFonts w:hint="default"/>
        </w:rPr>
      </w:pPr>
      <w:r>
        <w:rPr>
          <w:rFonts w:hint="default"/>
        </w:rPr>
        <w:t xml:space="preserve">MacDonald A. W., 3rd, Becker T. M., &amp; Carter C. S. (2006). Functional magnetic resonance imaging study of cognitive control in the healthy relatives of schizophrenia patients. </w:t>
      </w:r>
      <w:r>
        <w:rPr>
          <w:rFonts w:hint="default"/>
          <w:i/>
        </w:rPr>
        <w:t>Biol Psychiatry</w:t>
      </w:r>
      <w:r>
        <w:rPr>
          <w:rFonts w:hint="default"/>
        </w:rPr>
        <w:t>, 60(11), 1241-1249. doi:</w:t>
      </w:r>
      <w:r>
        <w:t xml:space="preserve"> </w:t>
      </w:r>
      <w:r>
        <w:rPr>
          <w:rFonts w:hint="default"/>
        </w:rPr>
        <w:t>10.1016/j.biopsych.2006.04.041</w:t>
      </w:r>
    </w:p>
    <w:p>
      <w:pPr>
        <w:pStyle w:val="38"/>
        <w:ind w:left="720" w:hanging="720"/>
        <w:jc w:val="both"/>
        <w:rPr>
          <w:rFonts w:hint="default"/>
        </w:rPr>
      </w:pPr>
      <w:r>
        <w:rPr>
          <w:rFonts w:hint="default"/>
        </w:rPr>
        <w:t xml:space="preserve">Manelis A., Ladouceur C. D., Graur S., Monk K., Bonar L. K., Hickey M. B., ... Phillips M. L. (2016). Altered functioning of reward circuitry in youth offspring of parents with bipolar disorder. </w:t>
      </w:r>
      <w:r>
        <w:rPr>
          <w:rFonts w:hint="default"/>
          <w:i/>
        </w:rPr>
        <w:t>Psychol Med</w:t>
      </w:r>
      <w:r>
        <w:rPr>
          <w:rFonts w:hint="default"/>
        </w:rPr>
        <w:t>, 46(1), 197-208. doi:</w:t>
      </w:r>
      <w:r>
        <w:t xml:space="preserve"> </w:t>
      </w:r>
      <w:r>
        <w:rPr>
          <w:rFonts w:hint="default"/>
        </w:rPr>
        <w:t>10.1017/s003329171500166x</w:t>
      </w:r>
    </w:p>
    <w:p>
      <w:pPr>
        <w:pStyle w:val="38"/>
        <w:ind w:left="720" w:hanging="720"/>
        <w:jc w:val="both"/>
        <w:rPr>
          <w:rFonts w:hint="default"/>
        </w:rPr>
      </w:pPr>
      <w:r>
        <w:rPr>
          <w:rFonts w:hint="default"/>
        </w:rPr>
        <w:t xml:space="preserve">Manelis A., Ladouceur C. D., Graur S., Monk K., Bonar L. K., Hickey M. B., ... Phillips M. L. (2015). Altered amygdala-prefrontal response to facial emotion in offspring of parents with bipolar disorder. </w:t>
      </w:r>
      <w:r>
        <w:rPr>
          <w:rFonts w:hint="default"/>
          <w:i/>
        </w:rPr>
        <w:t>Brain</w:t>
      </w:r>
      <w:r>
        <w:rPr>
          <w:rFonts w:hint="default"/>
        </w:rPr>
        <w:t>, 138(Pt 9), 2777-2790. doi:</w:t>
      </w:r>
      <w:r>
        <w:t xml:space="preserve"> </w:t>
      </w:r>
      <w:r>
        <w:rPr>
          <w:rFonts w:hint="default"/>
        </w:rPr>
        <w:t>10.1093/brain/awv176</w:t>
      </w:r>
    </w:p>
    <w:p>
      <w:pPr>
        <w:pStyle w:val="38"/>
        <w:ind w:left="720" w:hanging="720"/>
        <w:jc w:val="both"/>
        <w:rPr>
          <w:rFonts w:hint="default"/>
        </w:rPr>
      </w:pPr>
      <w:r>
        <w:rPr>
          <w:rFonts w:hint="default"/>
        </w:rPr>
        <w:t xml:space="preserve">Marcelis M., Suckling J., Woodruff P., Hofman P., Bullmore E., &amp; van Os J. (2003). Searching for a structural endophenotype in psychosis using computational morphometry. </w:t>
      </w:r>
      <w:r>
        <w:rPr>
          <w:rFonts w:hint="default"/>
          <w:i/>
        </w:rPr>
        <w:t>Psychiatry Res</w:t>
      </w:r>
      <w:r>
        <w:rPr>
          <w:rFonts w:hint="default"/>
        </w:rPr>
        <w:t>, 122(3), 153-167. doi:</w:t>
      </w:r>
      <w:r>
        <w:t xml:space="preserve"> </w:t>
      </w:r>
      <w:r>
        <w:rPr>
          <w:rFonts w:hint="default"/>
        </w:rPr>
        <w:t>10.1016/s0925-4927(02)00125-7</w:t>
      </w:r>
    </w:p>
    <w:p>
      <w:pPr>
        <w:pStyle w:val="38"/>
        <w:ind w:left="720" w:hanging="720"/>
        <w:jc w:val="both"/>
        <w:rPr>
          <w:rFonts w:hint="default"/>
        </w:rPr>
      </w:pPr>
      <w:r>
        <w:rPr>
          <w:rFonts w:hint="default"/>
        </w:rPr>
        <w:t xml:space="preserve">Matsubara T., Matsuo K., Harada K., Nakano M., Nakashima M., Watanuki T., ... Watanabe Y. (2016). Distinct and Shared Endophenotypes of Neural Substrates in Bipolar and Major Depressive Disorders. </w:t>
      </w:r>
      <w:r>
        <w:rPr>
          <w:rFonts w:hint="default"/>
          <w:i/>
        </w:rPr>
        <w:t>PLoS One</w:t>
      </w:r>
      <w:r>
        <w:rPr>
          <w:rFonts w:hint="default"/>
        </w:rPr>
        <w:t>, 11(12), e0168493. doi:</w:t>
      </w:r>
      <w:r>
        <w:t xml:space="preserve"> </w:t>
      </w:r>
      <w:r>
        <w:rPr>
          <w:rFonts w:hint="default"/>
        </w:rPr>
        <w:t>10.1371/journal.pone.0168493</w:t>
      </w:r>
    </w:p>
    <w:p>
      <w:pPr>
        <w:pStyle w:val="38"/>
        <w:ind w:left="720" w:hanging="720"/>
        <w:jc w:val="both"/>
        <w:rPr>
          <w:rFonts w:hint="default"/>
        </w:rPr>
      </w:pPr>
      <w:r>
        <w:rPr>
          <w:rFonts w:hint="default"/>
        </w:rPr>
        <w:t xml:space="preserve">Matsuo K., Kopecek M., Nicoletti M. A., Hatch J. P., Watanabe Y., Nery F. G., ... Soares J. C. (2012). New structural brain imaging endophenotype in bipolar disorder. </w:t>
      </w:r>
      <w:r>
        <w:rPr>
          <w:rFonts w:hint="default"/>
          <w:i/>
        </w:rPr>
        <w:t>Mol Psychiatry</w:t>
      </w:r>
      <w:r>
        <w:rPr>
          <w:rFonts w:hint="default"/>
        </w:rPr>
        <w:t>, 17(4), 412-420. doi:</w:t>
      </w:r>
      <w:r>
        <w:t xml:space="preserve"> </w:t>
      </w:r>
      <w:r>
        <w:rPr>
          <w:rFonts w:hint="default"/>
        </w:rPr>
        <w:t>10.1038/mp.2011.3</w:t>
      </w:r>
    </w:p>
    <w:p>
      <w:pPr>
        <w:pStyle w:val="38"/>
        <w:ind w:left="720" w:hanging="720"/>
        <w:jc w:val="both"/>
        <w:rPr>
          <w:rFonts w:hint="default"/>
        </w:rPr>
      </w:pPr>
      <w:r>
        <w:rPr>
          <w:rFonts w:hint="default"/>
        </w:rPr>
        <w:t xml:space="preserve">McAllindon D. P., Wilman A. H., Purdon S. E., &amp; Tibbo P. G. (2010). Functional magnetic resonance imaging of choice reaction time in chronic schizophrenia and first-degree relatives. </w:t>
      </w:r>
      <w:r>
        <w:rPr>
          <w:rFonts w:hint="default"/>
          <w:i/>
        </w:rPr>
        <w:t>Schizophr Res</w:t>
      </w:r>
      <w:r>
        <w:rPr>
          <w:rFonts w:hint="default"/>
        </w:rPr>
        <w:t>, 120(1-3), 232-233. doi:</w:t>
      </w:r>
      <w:r>
        <w:t xml:space="preserve"> </w:t>
      </w:r>
      <w:r>
        <w:rPr>
          <w:rFonts w:hint="default"/>
        </w:rPr>
        <w:t>10.1016/j.schres.2010.01.015</w:t>
      </w:r>
    </w:p>
    <w:p>
      <w:pPr>
        <w:pStyle w:val="38"/>
        <w:ind w:left="720" w:hanging="720"/>
        <w:jc w:val="both"/>
        <w:rPr>
          <w:rFonts w:hint="default"/>
        </w:rPr>
      </w:pPr>
      <w:r>
        <w:rPr>
          <w:rFonts w:hint="default"/>
        </w:rPr>
        <w:t xml:space="preserve">Nielsen M., Rostrup E., Hilker R., Legind C., Anhøj S., Robbins T. W., ... Glenthøj B. (2023). Reward Processing as an Indicator of Vulnerability or Compensatory Resilience in Psychoses? Results From a Twin Study. </w:t>
      </w:r>
      <w:r>
        <w:rPr>
          <w:rFonts w:hint="default"/>
          <w:i/>
        </w:rPr>
        <w:t>Biol Psychiatry Glob Open Sci</w:t>
      </w:r>
      <w:r>
        <w:rPr>
          <w:rFonts w:hint="default"/>
        </w:rPr>
        <w:t>, 3(1), 47-55. doi:</w:t>
      </w:r>
      <w:r>
        <w:t xml:space="preserve"> </w:t>
      </w:r>
      <w:r>
        <w:rPr>
          <w:rFonts w:hint="default"/>
        </w:rPr>
        <w:t>10.1016/j.bpsgos.2022.01.002</w:t>
      </w:r>
    </w:p>
    <w:p>
      <w:pPr>
        <w:pStyle w:val="38"/>
        <w:ind w:left="720" w:hanging="720"/>
        <w:jc w:val="both"/>
        <w:rPr>
          <w:rFonts w:hint="default"/>
        </w:rPr>
      </w:pPr>
      <w:r>
        <w:rPr>
          <w:rFonts w:hint="default"/>
        </w:rPr>
        <w:t xml:space="preserve">Nimarko A. F., Fischer A. S., Hagan K. E., Gorelik A. J., Lu Y., Young C. J., &amp; Singh M. K. (2021). Neural Correlates of Positive Emotion Processing That Distinguish Healthy Youths at Familial Risk for Bipolar Versus Major Depressive Disorder. </w:t>
      </w:r>
      <w:r>
        <w:rPr>
          <w:rFonts w:hint="default"/>
          <w:i/>
        </w:rPr>
        <w:t>J Am Acad Child Adolesc Psychiatry</w:t>
      </w:r>
      <w:r>
        <w:rPr>
          <w:rFonts w:hint="default"/>
        </w:rPr>
        <w:t>, 60(7), 887-901. doi:</w:t>
      </w:r>
      <w:r>
        <w:t xml:space="preserve"> </w:t>
      </w:r>
      <w:r>
        <w:rPr>
          <w:rFonts w:hint="default"/>
        </w:rPr>
        <w:t>10.1016/j.jaac.2020.07.890</w:t>
      </w:r>
    </w:p>
    <w:p>
      <w:pPr>
        <w:pStyle w:val="38"/>
        <w:ind w:left="720" w:hanging="720"/>
        <w:jc w:val="both"/>
        <w:rPr>
          <w:rFonts w:hint="default"/>
        </w:rPr>
      </w:pPr>
      <w:r>
        <w:rPr>
          <w:rFonts w:hint="default"/>
        </w:rPr>
        <w:t xml:space="preserve">Nimarko A. F., Gorelik A. J., Carta K. E., Gorelik M. G., &amp; Singh M. K. (2022). Neural correlates of reward processing distinguish healthy youth at familial risk for bipolar disorder from youth at familial risk for major depressive disorder. </w:t>
      </w:r>
      <w:r>
        <w:rPr>
          <w:rFonts w:hint="default"/>
          <w:i/>
        </w:rPr>
        <w:t>Transl Psychiatry</w:t>
      </w:r>
      <w:r>
        <w:rPr>
          <w:rFonts w:hint="default"/>
        </w:rPr>
        <w:t>, 12(1), 31. doi:</w:t>
      </w:r>
      <w:r>
        <w:t xml:space="preserve"> </w:t>
      </w:r>
      <w:r>
        <w:rPr>
          <w:rFonts w:hint="default"/>
        </w:rPr>
        <w:t>10.1038/s41398-022-01800-9</w:t>
      </w:r>
    </w:p>
    <w:p>
      <w:pPr>
        <w:pStyle w:val="38"/>
        <w:ind w:left="720" w:hanging="720"/>
        <w:jc w:val="both"/>
        <w:rPr>
          <w:rFonts w:hint="default"/>
        </w:rPr>
      </w:pPr>
      <w:r>
        <w:rPr>
          <w:rFonts w:hint="default"/>
        </w:rPr>
        <w:t xml:space="preserve">Nook E. C., Dodell-Feder D., Germine L. T., Hooley J. M., DeLisi L. E., &amp; Hooker C. I. (2018). Weak dorsolateral prefrontal response to social criticism predicts worsened mood and symptoms following social conflict in people at familial risk for schizophrenia. </w:t>
      </w:r>
      <w:r>
        <w:rPr>
          <w:rFonts w:hint="default"/>
          <w:i/>
        </w:rPr>
        <w:t>Neuroimage Clin</w:t>
      </w:r>
      <w:r>
        <w:rPr>
          <w:rFonts w:hint="default"/>
        </w:rPr>
        <w:t>, 18, 40-50. doi:</w:t>
      </w:r>
      <w:r>
        <w:t xml:space="preserve"> </w:t>
      </w:r>
      <w:r>
        <w:rPr>
          <w:rFonts w:hint="default"/>
        </w:rPr>
        <w:t>10.1016/j.nicl.2018.01.004</w:t>
      </w:r>
    </w:p>
    <w:p>
      <w:pPr>
        <w:pStyle w:val="38"/>
        <w:ind w:left="720" w:hanging="720"/>
        <w:jc w:val="both"/>
        <w:rPr>
          <w:rFonts w:hint="default"/>
        </w:rPr>
      </w:pPr>
      <w:r>
        <w:rPr>
          <w:rFonts w:hint="default"/>
        </w:rPr>
        <w:t xml:space="preserve">Oertel-Knöchel V., Knöchel C., Matura S., Rotarska-Jagiela A., Magerkurth J., Prvulovic D., ... Linden D. E. (2012). Cortical-basal ganglia imbalance in schizophrenia patients and unaffected first-degree relatives. </w:t>
      </w:r>
      <w:r>
        <w:rPr>
          <w:rFonts w:hint="default"/>
          <w:i/>
        </w:rPr>
        <w:t>Schizophr Res</w:t>
      </w:r>
      <w:r>
        <w:rPr>
          <w:rFonts w:hint="default"/>
        </w:rPr>
        <w:t>, 138(2-3), 120-127. doi:</w:t>
      </w:r>
      <w:r>
        <w:t xml:space="preserve"> </w:t>
      </w:r>
      <w:r>
        <w:rPr>
          <w:rFonts w:hint="default"/>
        </w:rPr>
        <w:t>10.1016/j.schres.2012.02.029</w:t>
      </w:r>
    </w:p>
    <w:p>
      <w:pPr>
        <w:pStyle w:val="38"/>
        <w:ind w:left="720" w:hanging="720"/>
        <w:jc w:val="both"/>
        <w:rPr>
          <w:rFonts w:hint="default"/>
        </w:rPr>
      </w:pPr>
      <w:r>
        <w:rPr>
          <w:rFonts w:hint="default"/>
        </w:rPr>
        <w:t xml:space="preserve">Oertel V., Kraft D., Alves G., Knöchel C., Ghinea D., Storchak H., ... Stäblein M. (2019). Associative Memory Impairments Are Associated </w:t>
      </w:r>
      <w:r>
        <w:t>w</w:t>
      </w:r>
      <w:r>
        <w:rPr>
          <w:rFonts w:hint="default"/>
        </w:rPr>
        <w:t xml:space="preserve">ith Functional Alterations Within the Memory Network in Schizophrenia Patients and Their Unaffected First-Degree Relatives: An fMRI Study. </w:t>
      </w:r>
      <w:r>
        <w:rPr>
          <w:rFonts w:hint="default"/>
          <w:i/>
        </w:rPr>
        <w:t>Front Psychiatry</w:t>
      </w:r>
      <w:r>
        <w:rPr>
          <w:rFonts w:hint="default"/>
        </w:rPr>
        <w:t>, 10, 33. doi:</w:t>
      </w:r>
      <w:r>
        <w:t xml:space="preserve"> </w:t>
      </w:r>
      <w:r>
        <w:rPr>
          <w:rFonts w:hint="default"/>
        </w:rPr>
        <w:t>10.3389/fpsyt.2019.00033</w:t>
      </w:r>
    </w:p>
    <w:p>
      <w:pPr>
        <w:pStyle w:val="38"/>
        <w:ind w:left="720" w:hanging="720"/>
        <w:jc w:val="both"/>
        <w:rPr>
          <w:rFonts w:hint="default"/>
        </w:rPr>
      </w:pPr>
      <w:r>
        <w:rPr>
          <w:rFonts w:hint="default"/>
        </w:rPr>
        <w:t xml:space="preserve">Olsavsky A. K., Brotman M. A., Rutenberg J. G., Muhrer E. J., Deveney C. M., Fromm S. J., ... Leibenluft E. (2012). Amygdala hyperactivation during face emotion processing in unaffected youth at risk for bipolar disorder. </w:t>
      </w:r>
      <w:r>
        <w:rPr>
          <w:rFonts w:hint="default"/>
          <w:i/>
        </w:rPr>
        <w:t>J Am Acad Child Adolesc Psychiatry</w:t>
      </w:r>
      <w:r>
        <w:rPr>
          <w:rFonts w:hint="default"/>
        </w:rPr>
        <w:t>, 51(3), 294-303. doi:</w:t>
      </w:r>
      <w:r>
        <w:t xml:space="preserve"> </w:t>
      </w:r>
      <w:r>
        <w:rPr>
          <w:rFonts w:hint="default"/>
        </w:rPr>
        <w:t>10.1016/j.jaac.2011.12.008</w:t>
      </w:r>
    </w:p>
    <w:p>
      <w:pPr>
        <w:pStyle w:val="38"/>
        <w:ind w:left="720" w:hanging="720"/>
        <w:jc w:val="both"/>
        <w:rPr>
          <w:rFonts w:hint="default"/>
        </w:rPr>
      </w:pPr>
      <w:r>
        <w:rPr>
          <w:rFonts w:hint="default"/>
        </w:rPr>
        <w:t xml:space="preserve">Pagliaccio D., Wiggins J. L., Adleman N. E., Harkins E., Curhan A., Towbin K. E., ... Leibenluft E. (2017). Behavioral and Neural Sustained Attention Deficits in Bipolar Disorder and Familial Risk of Bipolar Disorder. </w:t>
      </w:r>
      <w:r>
        <w:rPr>
          <w:rFonts w:hint="default"/>
          <w:i/>
        </w:rPr>
        <w:t>Biol Psychiatry</w:t>
      </w:r>
      <w:r>
        <w:rPr>
          <w:rFonts w:hint="default"/>
        </w:rPr>
        <w:t>, 82(9), 669-678. doi:</w:t>
      </w:r>
      <w:r>
        <w:t xml:space="preserve"> </w:t>
      </w:r>
      <w:r>
        <w:rPr>
          <w:rFonts w:hint="default"/>
        </w:rPr>
        <w:t>10.1016/j.biopsych.2016.09.006</w:t>
      </w:r>
    </w:p>
    <w:p>
      <w:pPr>
        <w:pStyle w:val="38"/>
        <w:ind w:left="720" w:hanging="720"/>
        <w:jc w:val="both"/>
        <w:rPr>
          <w:rFonts w:hint="default"/>
        </w:rPr>
      </w:pPr>
      <w:r>
        <w:rPr>
          <w:rFonts w:hint="default"/>
        </w:rPr>
        <w:t xml:space="preserve">Park H. Y., Yun J. Y., Shin N. Y., Kim S. Y., Jung W. H., Shin Y. S., ... Kwon J. S. (2016). Decreased neural response for facial emotion processing in subjects with high genetic load for schizophrenia. </w:t>
      </w:r>
      <w:r>
        <w:rPr>
          <w:rFonts w:hint="default"/>
          <w:i/>
        </w:rPr>
        <w:t>Prog Neuropsychopharmacol Biol Psychiatry</w:t>
      </w:r>
      <w:r>
        <w:rPr>
          <w:rFonts w:hint="default"/>
        </w:rPr>
        <w:t>, 71, 90-96. doi:</w:t>
      </w:r>
      <w:r>
        <w:t xml:space="preserve"> </w:t>
      </w:r>
      <w:r>
        <w:rPr>
          <w:rFonts w:hint="default"/>
        </w:rPr>
        <w:t>10.1016/j.pnpbp.2016.06.014</w:t>
      </w:r>
    </w:p>
    <w:p>
      <w:pPr>
        <w:pStyle w:val="38"/>
        <w:ind w:left="720" w:hanging="720"/>
        <w:jc w:val="both"/>
        <w:rPr>
          <w:rFonts w:hint="default"/>
        </w:rPr>
      </w:pPr>
      <w:r>
        <w:rPr>
          <w:rFonts w:hint="default"/>
        </w:rPr>
        <w:t xml:space="preserve">Pirnia T., Woods R. P., Hamilton L. S., Lyden H., Joshi S. H., Asarnow R. F., ... Narr K. L. (2015). Hippocampal dysfunction during declarative memory encoding in schizophrenia and effects of genetic liability. </w:t>
      </w:r>
      <w:r>
        <w:rPr>
          <w:rFonts w:hint="default"/>
          <w:i/>
        </w:rPr>
        <w:t>Schizophr Res</w:t>
      </w:r>
      <w:r>
        <w:rPr>
          <w:rFonts w:hint="default"/>
        </w:rPr>
        <w:t>, 161(2-3), 357-366. doi:</w:t>
      </w:r>
      <w:r>
        <w:t xml:space="preserve"> </w:t>
      </w:r>
      <w:r>
        <w:rPr>
          <w:rFonts w:hint="default"/>
        </w:rPr>
        <w:t>10.1016/j.schres.2014.11.030</w:t>
      </w:r>
    </w:p>
    <w:p>
      <w:pPr>
        <w:pStyle w:val="38"/>
        <w:ind w:left="720" w:hanging="720"/>
        <w:jc w:val="both"/>
        <w:rPr>
          <w:rFonts w:hint="default"/>
        </w:rPr>
      </w:pPr>
      <w:r>
        <w:rPr>
          <w:rFonts w:hint="default"/>
        </w:rPr>
        <w:t xml:space="preserve">Pompei F., Jogia J., Tatarelli R., Girardi P., Rubia K., Kumari V., &amp; Frangou S. (2011). Familial and disease specific abnormalities in the neural correlates of the Stroop Task in Bipolar Disorder. </w:t>
      </w:r>
      <w:r>
        <w:rPr>
          <w:rFonts w:hint="default"/>
          <w:i/>
        </w:rPr>
        <w:t>Neuroimage</w:t>
      </w:r>
      <w:r>
        <w:rPr>
          <w:rFonts w:hint="default"/>
        </w:rPr>
        <w:t>, 56(3), 1677-1684. doi:</w:t>
      </w:r>
      <w:r>
        <w:t xml:space="preserve"> </w:t>
      </w:r>
      <w:r>
        <w:rPr>
          <w:rFonts w:hint="default"/>
        </w:rPr>
        <w:t>10.1016/j.neuroimage.2011.02.052</w:t>
      </w:r>
    </w:p>
    <w:p>
      <w:pPr>
        <w:pStyle w:val="38"/>
        <w:ind w:left="720" w:hanging="720"/>
        <w:jc w:val="both"/>
        <w:rPr>
          <w:rFonts w:hint="default"/>
        </w:rPr>
      </w:pPr>
      <w:r>
        <w:rPr>
          <w:rFonts w:hint="default"/>
        </w:rPr>
        <w:t xml:space="preserve">Pulkkinen J., Nikkinen J., Kiviniemi V., Mäki P., Miettunen J., Koivukangas J., ... Veijola J. (2015). Functional mapping of dynamic happy and fearful facial expressions in young adults with familial risk for psychosis - Oulu Brain and Mind Study. </w:t>
      </w:r>
      <w:r>
        <w:rPr>
          <w:rFonts w:hint="default"/>
          <w:i/>
        </w:rPr>
        <w:t>Schizophr Res</w:t>
      </w:r>
      <w:r>
        <w:rPr>
          <w:rFonts w:hint="default"/>
        </w:rPr>
        <w:t>, 164(1-3), 242-249. doi:</w:t>
      </w:r>
      <w:r>
        <w:t xml:space="preserve"> </w:t>
      </w:r>
      <w:r>
        <w:rPr>
          <w:rFonts w:hint="default"/>
        </w:rPr>
        <w:t>10.1016/j.schres.2015.01.039</w:t>
      </w:r>
    </w:p>
    <w:p>
      <w:pPr>
        <w:pStyle w:val="38"/>
        <w:ind w:left="720" w:hanging="720"/>
        <w:jc w:val="both"/>
        <w:rPr>
          <w:rFonts w:hint="default"/>
        </w:rPr>
      </w:pPr>
      <w:r>
        <w:rPr>
          <w:rFonts w:hint="default"/>
        </w:rPr>
        <w:t xml:space="preserve">Raemaekers M., Ramsey N. F., Vink M., van den Heuvel M. P., &amp; Kahn R. S. (2006). Brain activation during antisaccades in unaffected relatives of schizophrenic patients. </w:t>
      </w:r>
      <w:r>
        <w:rPr>
          <w:rFonts w:hint="default"/>
          <w:i/>
        </w:rPr>
        <w:t>Biol Psychiatry</w:t>
      </w:r>
      <w:r>
        <w:rPr>
          <w:rFonts w:hint="default"/>
        </w:rPr>
        <w:t>, 59(6), 530-535. doi:</w:t>
      </w:r>
      <w:r>
        <w:t xml:space="preserve"> </w:t>
      </w:r>
      <w:r>
        <w:rPr>
          <w:rFonts w:hint="default"/>
        </w:rPr>
        <w:t>10.1016/j.biopsych.2005.07.030</w:t>
      </w:r>
    </w:p>
    <w:p>
      <w:pPr>
        <w:pStyle w:val="38"/>
        <w:ind w:left="720" w:hanging="720"/>
        <w:jc w:val="both"/>
        <w:rPr>
          <w:rFonts w:hint="default"/>
        </w:rPr>
      </w:pPr>
      <w:r>
        <w:rPr>
          <w:rFonts w:hint="default"/>
        </w:rPr>
        <w:t xml:space="preserve">Rajarethinam R., Venkatesh B. K., Peethala R., Phan K. L., &amp; Keshavan M. (2011). Reduced activation of superior temporal gyrus during auditory comprehension in young offspring of patients with schizophrenia. </w:t>
      </w:r>
      <w:r>
        <w:rPr>
          <w:rFonts w:hint="default"/>
          <w:i/>
        </w:rPr>
        <w:t>Schizophr Res</w:t>
      </w:r>
      <w:r>
        <w:rPr>
          <w:rFonts w:hint="default"/>
        </w:rPr>
        <w:t>, 130(1-3), 101-105. doi:</w:t>
      </w:r>
      <w:r>
        <w:t xml:space="preserve"> </w:t>
      </w:r>
      <w:r>
        <w:rPr>
          <w:rFonts w:hint="default"/>
        </w:rPr>
        <w:t>10.1016/j.schres.2011.05.025</w:t>
      </w:r>
    </w:p>
    <w:p>
      <w:pPr>
        <w:pStyle w:val="38"/>
        <w:ind w:left="720" w:hanging="720"/>
        <w:jc w:val="both"/>
        <w:rPr>
          <w:rFonts w:hint="default"/>
        </w:rPr>
      </w:pPr>
      <w:r>
        <w:rPr>
          <w:rFonts w:hint="default"/>
        </w:rPr>
        <w:t xml:space="preserve">Rasetti R., Mattay V. S., White M. G., Sambataro F., Podell J. E., Zoltick B., ... Weinberger D. R. (2014). Altered hippocampal-parahippocampal function during stimulus encoding: a potential indicator of genetic liability for schizophrenia. </w:t>
      </w:r>
      <w:r>
        <w:rPr>
          <w:rFonts w:hint="default"/>
          <w:i/>
        </w:rPr>
        <w:t>JAMA Psychiatry</w:t>
      </w:r>
      <w:r>
        <w:rPr>
          <w:rFonts w:hint="default"/>
        </w:rPr>
        <w:t>, 71(3), 236-247. doi:</w:t>
      </w:r>
      <w:r>
        <w:t xml:space="preserve"> </w:t>
      </w:r>
      <w:r>
        <w:rPr>
          <w:rFonts w:hint="default"/>
        </w:rPr>
        <w:t>10.1001/jamapsychiatry.2013.3911</w:t>
      </w:r>
    </w:p>
    <w:p>
      <w:pPr>
        <w:pStyle w:val="38"/>
        <w:ind w:left="720" w:hanging="720"/>
        <w:jc w:val="both"/>
        <w:rPr>
          <w:rFonts w:hint="default"/>
        </w:rPr>
      </w:pPr>
      <w:r>
        <w:rPr>
          <w:rFonts w:hint="default"/>
        </w:rPr>
        <w:t xml:space="preserve">Roberts G., Green M. J., Breakspear M., McCormack C., Frankland A., Wright A., ... Mitchell P. B. (2013). Reduced inferior frontal gyrus activation during response inhibition to emotional stimuli in youth at high risk of bipolar disorder. </w:t>
      </w:r>
      <w:r>
        <w:rPr>
          <w:rFonts w:hint="default"/>
          <w:i/>
        </w:rPr>
        <w:t>Biol Psychiatry</w:t>
      </w:r>
      <w:r>
        <w:rPr>
          <w:rFonts w:hint="default"/>
        </w:rPr>
        <w:t>, 74(1), 55-61. doi:</w:t>
      </w:r>
      <w:r>
        <w:t xml:space="preserve"> </w:t>
      </w:r>
      <w:r>
        <w:rPr>
          <w:rFonts w:hint="default"/>
        </w:rPr>
        <w:t>10.1016/j.biopsych.2012.11.004</w:t>
      </w:r>
    </w:p>
    <w:p>
      <w:pPr>
        <w:pStyle w:val="38"/>
        <w:ind w:left="720" w:hanging="720"/>
        <w:jc w:val="both"/>
        <w:rPr>
          <w:rFonts w:hint="default"/>
        </w:rPr>
      </w:pPr>
      <w:r>
        <w:rPr>
          <w:rFonts w:hint="default"/>
        </w:rPr>
        <w:t xml:space="preserve">Sambataro F., Mattay V. S., Thurin K., Safrin M., Rasetti R., Blasi G., ... Weinberger D. R. (2013). Altered cerebral response during cognitive control: a potential indicator of genetic liability for schizophrenia. </w:t>
      </w:r>
      <w:r>
        <w:rPr>
          <w:rFonts w:hint="default"/>
          <w:i/>
        </w:rPr>
        <w:t>Neuropsychopharmacology</w:t>
      </w:r>
      <w:r>
        <w:rPr>
          <w:rFonts w:hint="default"/>
        </w:rPr>
        <w:t>, 38(5), 846-853. doi:</w:t>
      </w:r>
      <w:r>
        <w:t xml:space="preserve"> </w:t>
      </w:r>
      <w:r>
        <w:rPr>
          <w:rFonts w:hint="default"/>
        </w:rPr>
        <w:t>10.1038/npp.2012.250</w:t>
      </w:r>
    </w:p>
    <w:p>
      <w:pPr>
        <w:pStyle w:val="38"/>
        <w:ind w:left="720" w:hanging="720"/>
        <w:jc w:val="both"/>
        <w:rPr>
          <w:rFonts w:hint="default"/>
        </w:rPr>
      </w:pPr>
      <w:r>
        <w:rPr>
          <w:rFonts w:hint="default"/>
        </w:rPr>
        <w:t xml:space="preserve">Sarıçiçek A., Yalın N., Hıdıroğlu C., Çavuşoğlu B., Taş C., Ceylan D., ... Özerdem A. (2015). Neuroanatomical correlates of genetic risk for bipolar disorder: A voxel-based morphometry study in bipolar type I patients and healthy first degree relatives. </w:t>
      </w:r>
      <w:r>
        <w:rPr>
          <w:rFonts w:hint="default"/>
          <w:i/>
        </w:rPr>
        <w:t>J Affect Disord</w:t>
      </w:r>
      <w:r>
        <w:rPr>
          <w:rFonts w:hint="default"/>
        </w:rPr>
        <w:t>, 186, 110-118. doi:</w:t>
      </w:r>
      <w:r>
        <w:t xml:space="preserve"> </w:t>
      </w:r>
      <w:r>
        <w:rPr>
          <w:rFonts w:hint="default"/>
        </w:rPr>
        <w:t>10.1016/j.jad.2015.06.055</w:t>
      </w:r>
    </w:p>
    <w:p>
      <w:pPr>
        <w:pStyle w:val="38"/>
        <w:ind w:left="720" w:hanging="720"/>
        <w:jc w:val="both"/>
        <w:rPr>
          <w:rFonts w:hint="default"/>
        </w:rPr>
      </w:pPr>
      <w:r>
        <w:rPr>
          <w:rFonts w:hint="default"/>
        </w:rPr>
        <w:t xml:space="preserve">Seidman L. J., Thermenos H. W., Koch J. K., Ward M., Breiter H., Goldstein J. M., ... Tsuang M. T. (2007). Auditory verbal working memory load and thalamic activation in nonpsychotic relatives of persons with schizophrenia: an fMRI replication. </w:t>
      </w:r>
      <w:r>
        <w:rPr>
          <w:rFonts w:hint="default"/>
          <w:i/>
        </w:rPr>
        <w:t>Neuropsychology</w:t>
      </w:r>
      <w:r>
        <w:rPr>
          <w:rFonts w:hint="default"/>
        </w:rPr>
        <w:t>, 21(5), 599-610. doi:</w:t>
      </w:r>
      <w:r>
        <w:t xml:space="preserve"> </w:t>
      </w:r>
      <w:r>
        <w:rPr>
          <w:rFonts w:hint="default"/>
        </w:rPr>
        <w:t>10.1037/0894-4105.21.5.599</w:t>
      </w:r>
    </w:p>
    <w:p>
      <w:pPr>
        <w:pStyle w:val="38"/>
        <w:ind w:left="720" w:hanging="720"/>
        <w:jc w:val="both"/>
        <w:rPr>
          <w:rFonts w:hint="default"/>
        </w:rPr>
      </w:pPr>
      <w:r>
        <w:rPr>
          <w:rFonts w:hint="default"/>
        </w:rPr>
        <w:t xml:space="preserve">Seidman L. J., Thermenos H. W., Poldrack R. A., Peace N. K., Koch J. K., Faraone S. V., &amp; Tsuang M. T. (2006). Altered brain activation in dorsolateral prefrontal cortex in adolescents and young adults at genetic risk for schizophrenia: an fMRI study of working memory. </w:t>
      </w:r>
      <w:r>
        <w:rPr>
          <w:rFonts w:hint="default"/>
          <w:i/>
        </w:rPr>
        <w:t>Schizophr Res</w:t>
      </w:r>
      <w:r>
        <w:rPr>
          <w:rFonts w:hint="default"/>
        </w:rPr>
        <w:t>, 85(1-3), 58-72. doi:</w:t>
      </w:r>
      <w:r>
        <w:t xml:space="preserve"> </w:t>
      </w:r>
      <w:r>
        <w:rPr>
          <w:rFonts w:hint="default"/>
        </w:rPr>
        <w:t>10.1016/j.schres.2006.03.019</w:t>
      </w:r>
    </w:p>
    <w:p>
      <w:pPr>
        <w:pStyle w:val="38"/>
        <w:ind w:left="720" w:hanging="720"/>
        <w:jc w:val="both"/>
        <w:rPr>
          <w:rFonts w:hint="default"/>
        </w:rPr>
      </w:pPr>
      <w:r>
        <w:rPr>
          <w:rFonts w:hint="default"/>
        </w:rPr>
        <w:t xml:space="preserve">Sepede G., De Berardis D., Campanella D., Perrucci M. G., Ferretti A., Serroni N., ... Gambi F. (2012). Impaired sustained attention in euthymic bipolar disorder patients and non-affected relatives: an fMRI study. </w:t>
      </w:r>
      <w:r>
        <w:rPr>
          <w:rFonts w:hint="default"/>
          <w:i/>
        </w:rPr>
        <w:t>Bipolar Disord</w:t>
      </w:r>
      <w:r>
        <w:rPr>
          <w:rFonts w:hint="default"/>
        </w:rPr>
        <w:t>, 14(7), 764-779. doi:</w:t>
      </w:r>
      <w:r>
        <w:t xml:space="preserve"> </w:t>
      </w:r>
      <w:r>
        <w:rPr>
          <w:rFonts w:hint="default"/>
        </w:rPr>
        <w:t>10.1111/bdi.12007</w:t>
      </w:r>
    </w:p>
    <w:p>
      <w:pPr>
        <w:pStyle w:val="38"/>
        <w:ind w:left="720" w:hanging="720"/>
        <w:jc w:val="both"/>
        <w:rPr>
          <w:rFonts w:hint="default"/>
        </w:rPr>
      </w:pPr>
      <w:r>
        <w:rPr>
          <w:rFonts w:hint="default"/>
        </w:rPr>
        <w:t xml:space="preserve">Sepede G., Ferretti A., Perrucci M. G., Gambi F., Di Donato F., Nuccetelli F., ... Romani G. L. (2010). Altered brain response without behavioral attention deficits in healthy siblings of schizophrenic patients: an event-related fMRI study. </w:t>
      </w:r>
      <w:r>
        <w:rPr>
          <w:rFonts w:hint="default"/>
          <w:i/>
        </w:rPr>
        <w:t>Neuroimage</w:t>
      </w:r>
      <w:r>
        <w:rPr>
          <w:rFonts w:hint="default"/>
        </w:rPr>
        <w:t>, 49(1), 1080-1090. doi:</w:t>
      </w:r>
      <w:r>
        <w:t xml:space="preserve"> </w:t>
      </w:r>
      <w:r>
        <w:rPr>
          <w:rFonts w:hint="default"/>
        </w:rPr>
        <w:t>10.1016/j.neuroimage.2009.07.053</w:t>
      </w:r>
    </w:p>
    <w:p>
      <w:pPr>
        <w:pStyle w:val="38"/>
        <w:ind w:left="720" w:hanging="720"/>
        <w:jc w:val="both"/>
        <w:rPr>
          <w:rFonts w:hint="default"/>
        </w:rPr>
      </w:pPr>
      <w:r>
        <w:rPr>
          <w:rFonts w:hint="default"/>
        </w:rPr>
        <w:t xml:space="preserve">Spilka M. J., Arnold A. E., &amp; Goghari V. M. (2015). Functional activation abnormalities during facial emotion perception in schizophrenia patients and nonpsychotic relatives. </w:t>
      </w:r>
      <w:r>
        <w:rPr>
          <w:rFonts w:hint="default"/>
          <w:i/>
        </w:rPr>
        <w:t>Schizophr Res</w:t>
      </w:r>
      <w:r>
        <w:rPr>
          <w:rFonts w:hint="default"/>
        </w:rPr>
        <w:t>, 168(1-2), 330-337. doi:</w:t>
      </w:r>
      <w:r>
        <w:t xml:space="preserve"> </w:t>
      </w:r>
      <w:r>
        <w:rPr>
          <w:rFonts w:hint="default"/>
        </w:rPr>
        <w:t>10.1016/j.schres.2015.07.012</w:t>
      </w:r>
    </w:p>
    <w:p>
      <w:pPr>
        <w:pStyle w:val="38"/>
        <w:ind w:left="720" w:hanging="720"/>
        <w:jc w:val="both"/>
        <w:rPr>
          <w:rFonts w:hint="default"/>
        </w:rPr>
      </w:pPr>
      <w:r>
        <w:rPr>
          <w:rFonts w:hint="default"/>
        </w:rPr>
        <w:t xml:space="preserve">Spilka M. J., &amp; Goghari V. M. (2017). Similar patterns of brain activation abnormalities during emotional and non-emotional judgments of faces in a schizophrenia family study. </w:t>
      </w:r>
      <w:r>
        <w:rPr>
          <w:rFonts w:hint="default"/>
          <w:i/>
        </w:rPr>
        <w:t>Neuropsychologia</w:t>
      </w:r>
      <w:r>
        <w:rPr>
          <w:rFonts w:hint="default"/>
        </w:rPr>
        <w:t>, 96, 164-174. doi:</w:t>
      </w:r>
      <w:r>
        <w:t xml:space="preserve"> </w:t>
      </w:r>
      <w:r>
        <w:rPr>
          <w:rFonts w:hint="default"/>
        </w:rPr>
        <w:t>10.1016/j.neuropsychologia.2017.01.014</w:t>
      </w:r>
    </w:p>
    <w:p>
      <w:pPr>
        <w:pStyle w:val="38"/>
        <w:ind w:left="720" w:hanging="720"/>
        <w:jc w:val="both"/>
        <w:rPr>
          <w:rFonts w:hint="default"/>
        </w:rPr>
      </w:pPr>
      <w:r>
        <w:rPr>
          <w:rFonts w:hint="default"/>
        </w:rPr>
        <w:t xml:space="preserve">Stäblein M., Storchak H., Ghinea D., Kraft D., Knöchel C., Prvulovic D., ... Oertel-Knöchel V. (2019). Visual working memory encoding in schizophrenia and first-degree relatives: neurofunctional abnormalities and impaired consolidation. </w:t>
      </w:r>
      <w:r>
        <w:rPr>
          <w:rFonts w:hint="default"/>
          <w:i/>
        </w:rPr>
        <w:t>Psychol Med</w:t>
      </w:r>
      <w:r>
        <w:rPr>
          <w:rFonts w:hint="default"/>
        </w:rPr>
        <w:t>, 49(1), 75-83. doi:</w:t>
      </w:r>
      <w:r>
        <w:t xml:space="preserve"> </w:t>
      </w:r>
      <w:r>
        <w:rPr>
          <w:rFonts w:hint="default"/>
        </w:rPr>
        <w:t>10.1017/s003329171800051x</w:t>
      </w:r>
    </w:p>
    <w:p>
      <w:pPr>
        <w:pStyle w:val="38"/>
        <w:ind w:left="720" w:hanging="720"/>
        <w:jc w:val="both"/>
        <w:rPr>
          <w:rFonts w:hint="default"/>
        </w:rPr>
      </w:pPr>
      <w:r>
        <w:rPr>
          <w:rFonts w:hint="default"/>
        </w:rPr>
        <w:t xml:space="preserve">Stolz E., Pancholi K. M., Goradia D. D., Paul S., Keshavan M. S., Nimgaonkar V. L., &amp; Prasad K. M. (2012). Brain activation patterns during visual episodic memory processing among first-degree relatives of schizophrenia subjects. </w:t>
      </w:r>
      <w:r>
        <w:rPr>
          <w:rFonts w:hint="default"/>
          <w:i/>
        </w:rPr>
        <w:t>Neuroimage</w:t>
      </w:r>
      <w:r>
        <w:rPr>
          <w:rFonts w:hint="default"/>
        </w:rPr>
        <w:t>, 63(3), 1154-1161. doi:</w:t>
      </w:r>
      <w:r>
        <w:t xml:space="preserve"> </w:t>
      </w:r>
      <w:r>
        <w:rPr>
          <w:rFonts w:hint="default"/>
        </w:rPr>
        <w:t>10.1016/j.neuroimage.2012.08.030</w:t>
      </w:r>
    </w:p>
    <w:p>
      <w:pPr>
        <w:pStyle w:val="38"/>
        <w:ind w:left="720" w:hanging="720"/>
        <w:jc w:val="both"/>
        <w:rPr>
          <w:rFonts w:hint="default"/>
        </w:rPr>
      </w:pPr>
      <w:r>
        <w:rPr>
          <w:rFonts w:hint="default"/>
        </w:rPr>
        <w:t xml:space="preserve">Sugihara G., Kane F., Picchioni M. M., Chaddock C. A., Kravariti E., Kalidindi S., ... McGuire P. (2017). Effects of risk for bipolar disorder on brain function: A twin and family study. </w:t>
      </w:r>
      <w:r>
        <w:rPr>
          <w:rFonts w:hint="default"/>
          <w:i/>
        </w:rPr>
        <w:t>Eur Neuropsychopharmacol</w:t>
      </w:r>
      <w:r>
        <w:rPr>
          <w:rFonts w:hint="default"/>
        </w:rPr>
        <w:t>, 27(5), 494-503. doi:</w:t>
      </w:r>
      <w:r>
        <w:t xml:space="preserve"> </w:t>
      </w:r>
      <w:r>
        <w:rPr>
          <w:rFonts w:hint="default"/>
        </w:rPr>
        <w:t>10.1016/j.euroneuro.2017.03.001</w:t>
      </w:r>
    </w:p>
    <w:p>
      <w:pPr>
        <w:pStyle w:val="38"/>
        <w:ind w:left="720" w:hanging="720"/>
        <w:jc w:val="both"/>
        <w:rPr>
          <w:rFonts w:hint="default"/>
        </w:rPr>
      </w:pPr>
      <w:r>
        <w:rPr>
          <w:rFonts w:hint="default"/>
        </w:rPr>
        <w:t xml:space="preserve">Sugranyes G., de la Serna E., Romero S., Sanchez-Gistau V., Calvo A., Moreno D., ... Castro-Fornieles J. (2015). Gray Matter Volume Decrease Distinguishes Schizophrenia </w:t>
      </w:r>
      <w:r>
        <w:t>f</w:t>
      </w:r>
      <w:r>
        <w:rPr>
          <w:rFonts w:hint="default"/>
        </w:rPr>
        <w:t xml:space="preserve">rom Bipolar Offspring During Childhood and Adolescence. </w:t>
      </w:r>
      <w:r>
        <w:rPr>
          <w:rFonts w:hint="default"/>
          <w:i/>
        </w:rPr>
        <w:t>J Am Acad Child Adolesc Psychiatry</w:t>
      </w:r>
      <w:r>
        <w:rPr>
          <w:rFonts w:hint="default"/>
        </w:rPr>
        <w:t>, 54(8), 677-684.e672. doi:</w:t>
      </w:r>
      <w:r>
        <w:t xml:space="preserve"> </w:t>
      </w:r>
      <w:r>
        <w:rPr>
          <w:rFonts w:hint="default"/>
        </w:rPr>
        <w:t>10.1016/j.jaac.2015.05.003</w:t>
      </w:r>
    </w:p>
    <w:p>
      <w:pPr>
        <w:pStyle w:val="38"/>
        <w:ind w:left="720" w:hanging="720"/>
        <w:jc w:val="both"/>
        <w:rPr>
          <w:rFonts w:hint="default"/>
        </w:rPr>
      </w:pPr>
      <w:r>
        <w:rPr>
          <w:rFonts w:hint="default"/>
        </w:rPr>
        <w:t xml:space="preserve">Surguladze S. A., Marshall N., Schulze K., Hall M. H., Walshe M., Bramon E., ... McDonald C. (2010). Exaggerated neural response to emotional faces in patients with bipolar disorder and their first-degree relatives. </w:t>
      </w:r>
      <w:r>
        <w:rPr>
          <w:rFonts w:hint="default"/>
          <w:i/>
        </w:rPr>
        <w:t>Neuroimage</w:t>
      </w:r>
      <w:r>
        <w:rPr>
          <w:rFonts w:hint="default"/>
        </w:rPr>
        <w:t>, 53(1), 58-64. doi:</w:t>
      </w:r>
      <w:r>
        <w:t xml:space="preserve"> </w:t>
      </w:r>
      <w:r>
        <w:rPr>
          <w:rFonts w:hint="default"/>
        </w:rPr>
        <w:t>10.1016/j.neuroimage.2010.05.069</w:t>
      </w:r>
    </w:p>
    <w:p>
      <w:pPr>
        <w:pStyle w:val="38"/>
        <w:ind w:left="720" w:hanging="720"/>
        <w:jc w:val="both"/>
        <w:rPr>
          <w:rFonts w:hint="default"/>
        </w:rPr>
      </w:pPr>
      <w:r>
        <w:rPr>
          <w:rFonts w:hint="default"/>
        </w:rPr>
        <w:t xml:space="preserve">Thermenos H. W., Goldstein J. M., Milanovic S. M., Whitfield-Gabrieli S., Makris N., Laviolette P., ... Seidman L. J. (2010). An fMRI study of working memory in persons with bipolar disorder or at genetic risk for bipolar disorder. </w:t>
      </w:r>
      <w:r>
        <w:rPr>
          <w:rFonts w:hint="default"/>
          <w:i/>
        </w:rPr>
        <w:t>Am J Med Genet B Neuropsychiatr Genet</w:t>
      </w:r>
      <w:r>
        <w:rPr>
          <w:rFonts w:hint="default"/>
        </w:rPr>
        <w:t>, 153b(1), 120-131. doi:</w:t>
      </w:r>
      <w:r>
        <w:t xml:space="preserve"> </w:t>
      </w:r>
      <w:r>
        <w:rPr>
          <w:rFonts w:hint="default"/>
        </w:rPr>
        <w:t>10.1002/ajmg.b.30964</w:t>
      </w:r>
    </w:p>
    <w:p>
      <w:pPr>
        <w:pStyle w:val="38"/>
        <w:ind w:left="720" w:hanging="720"/>
        <w:jc w:val="both"/>
        <w:rPr>
          <w:rFonts w:hint="default"/>
        </w:rPr>
      </w:pPr>
      <w:r>
        <w:rPr>
          <w:rFonts w:hint="default"/>
        </w:rPr>
        <w:t xml:space="preserve">Thermenos H. W., Makris N., Whitfield-Gabrieli S., Brown A. B., Giuliano A. J., Lee E. H., ... Seidman L. J. (2011). A functional MRI study of working memory in adolescents and young adults at genetic risk for bipolar disorder: preliminary findings. </w:t>
      </w:r>
      <w:r>
        <w:rPr>
          <w:rFonts w:hint="default"/>
          <w:i/>
        </w:rPr>
        <w:t>Bipolar Disord</w:t>
      </w:r>
      <w:r>
        <w:rPr>
          <w:rFonts w:hint="default"/>
        </w:rPr>
        <w:t>, 13(3), 272-286. doi:</w:t>
      </w:r>
      <w:r>
        <w:t xml:space="preserve"> </w:t>
      </w:r>
      <w:r>
        <w:rPr>
          <w:rFonts w:hint="default"/>
        </w:rPr>
        <w:t>10.1111/j.1399-5618.2011.00920.x</w:t>
      </w:r>
    </w:p>
    <w:p>
      <w:pPr>
        <w:pStyle w:val="38"/>
        <w:ind w:left="720" w:hanging="720"/>
        <w:jc w:val="both"/>
        <w:rPr>
          <w:rFonts w:hint="default"/>
        </w:rPr>
      </w:pPr>
      <w:r>
        <w:rPr>
          <w:rFonts w:hint="default"/>
        </w:rPr>
        <w:t xml:space="preserve">Thermenos H. W., Seidman L. J., Breiter H., Goldstein J. M., Goodman J. M., Poldrack R., ... Tsuang M. T. (2004). Functional magnetic resonance imaging during auditory verbal working memory in nonpsychotic relatives of persons with schizophrenia: a pilot study. </w:t>
      </w:r>
      <w:r>
        <w:rPr>
          <w:rFonts w:hint="default"/>
          <w:i/>
        </w:rPr>
        <w:t>Biol Psychiatry</w:t>
      </w:r>
      <w:r>
        <w:rPr>
          <w:rFonts w:hint="default"/>
        </w:rPr>
        <w:t>, 55(5), 490-500. doi:</w:t>
      </w:r>
      <w:r>
        <w:t xml:space="preserve"> </w:t>
      </w:r>
      <w:r>
        <w:rPr>
          <w:rFonts w:hint="default"/>
        </w:rPr>
        <w:t>10.1016/j.biopsych.2003.11.014</w:t>
      </w:r>
    </w:p>
    <w:p>
      <w:pPr>
        <w:pStyle w:val="38"/>
        <w:ind w:left="720" w:hanging="720"/>
        <w:jc w:val="both"/>
        <w:rPr>
          <w:rFonts w:hint="default"/>
        </w:rPr>
      </w:pPr>
      <w:r>
        <w:rPr>
          <w:rFonts w:hint="default"/>
        </w:rPr>
        <w:t xml:space="preserve">Thermenos H. W., Seidman L. J., Poldrack R. A., Peace N. K., Koch J. K., Faraone S. V., &amp; Tsuang M. T. (2007). Elaborative verbal encoding and altered anterior parahippocampal activation in adolescents and young adults at genetic risk for schizophrenia using FMRI. </w:t>
      </w:r>
      <w:r>
        <w:rPr>
          <w:rFonts w:hint="default"/>
          <w:i/>
        </w:rPr>
        <w:t>Biol Psychiatry</w:t>
      </w:r>
      <w:r>
        <w:rPr>
          <w:rFonts w:hint="default"/>
        </w:rPr>
        <w:t>, 61(4), 564-574. doi:</w:t>
      </w:r>
      <w:r>
        <w:t xml:space="preserve"> </w:t>
      </w:r>
      <w:r>
        <w:rPr>
          <w:rFonts w:hint="default"/>
        </w:rPr>
        <w:t>10.1016/j.biopsych.2006.04.044</w:t>
      </w:r>
    </w:p>
    <w:p>
      <w:pPr>
        <w:pStyle w:val="38"/>
        <w:ind w:left="720" w:hanging="720"/>
        <w:jc w:val="both"/>
        <w:rPr>
          <w:rFonts w:hint="default"/>
        </w:rPr>
      </w:pPr>
      <w:r>
        <w:rPr>
          <w:rFonts w:hint="default"/>
        </w:rPr>
        <w:t xml:space="preserve">Thermenos H. W., Whitfield-Gabrieli S., Seidman L. J., Kuperberg G., Juelich R. J., Divatia S., ... DeLisi L. E. (2013). Altered language network activity in young people at familial high-risk for schizophrenia. </w:t>
      </w:r>
      <w:r>
        <w:rPr>
          <w:rFonts w:hint="default"/>
          <w:i/>
        </w:rPr>
        <w:t>Schizophr Res</w:t>
      </w:r>
      <w:r>
        <w:rPr>
          <w:rFonts w:hint="default"/>
        </w:rPr>
        <w:t>, 151(1-3), 229-237. doi:</w:t>
      </w:r>
      <w:r>
        <w:t xml:space="preserve"> </w:t>
      </w:r>
      <w:r>
        <w:rPr>
          <w:rFonts w:hint="default"/>
        </w:rPr>
        <w:t>10.1016/j.schres.2013.09.023</w:t>
      </w:r>
    </w:p>
    <w:p>
      <w:pPr>
        <w:pStyle w:val="38"/>
        <w:ind w:left="720" w:hanging="720"/>
        <w:jc w:val="both"/>
        <w:rPr>
          <w:rFonts w:hint="default"/>
        </w:rPr>
      </w:pPr>
      <w:r>
        <w:rPr>
          <w:rFonts w:hint="default"/>
        </w:rPr>
        <w:t xml:space="preserve">Tian L., Meng C., Yan H., Zhao Q., Liu Q., Yan J., ... Zhang D. (2011). Convergent evidence from multimodal imaging reveals amygdala abnormalities in schizophrenic patients and their first-degree relatives. </w:t>
      </w:r>
      <w:r>
        <w:rPr>
          <w:rFonts w:hint="default"/>
          <w:i/>
        </w:rPr>
        <w:t>PLoS One</w:t>
      </w:r>
      <w:r>
        <w:rPr>
          <w:rFonts w:hint="default"/>
        </w:rPr>
        <w:t>, 6(12), e28794. doi:</w:t>
      </w:r>
      <w:r>
        <w:t xml:space="preserve"> </w:t>
      </w:r>
      <w:r>
        <w:rPr>
          <w:rFonts w:hint="default"/>
        </w:rPr>
        <w:t>10.1371/journal.pone.0028794</w:t>
      </w:r>
    </w:p>
    <w:p>
      <w:pPr>
        <w:pStyle w:val="38"/>
        <w:ind w:left="720" w:hanging="720"/>
        <w:jc w:val="both"/>
        <w:rPr>
          <w:rFonts w:hint="default"/>
        </w:rPr>
      </w:pPr>
      <w:r>
        <w:rPr>
          <w:rFonts w:hint="default"/>
        </w:rPr>
        <w:t xml:space="preserve">Tseng W. L., Bones B. L., Kayser R. R., Olsavsky A. K., Fromm S. J., Pine D. S., ... Brotman M. A. (2015). An fMRI study of emotional face encoding in youth at risk for bipolar disorder. </w:t>
      </w:r>
      <w:r>
        <w:rPr>
          <w:rFonts w:hint="default"/>
          <w:i/>
        </w:rPr>
        <w:t>Eur Psychiatry</w:t>
      </w:r>
      <w:r>
        <w:rPr>
          <w:rFonts w:hint="default"/>
        </w:rPr>
        <w:t>, 30(1), 94-98. doi:</w:t>
      </w:r>
      <w:r>
        <w:t xml:space="preserve"> </w:t>
      </w:r>
      <w:r>
        <w:rPr>
          <w:rFonts w:hint="default"/>
        </w:rPr>
        <w:t>10.1016/j.eurpsy.2014.05.004</w:t>
      </w:r>
    </w:p>
    <w:p>
      <w:pPr>
        <w:pStyle w:val="38"/>
        <w:ind w:left="720" w:hanging="720"/>
        <w:jc w:val="both"/>
        <w:rPr>
          <w:rFonts w:hint="default"/>
        </w:rPr>
      </w:pPr>
      <w:r>
        <w:rPr>
          <w:rFonts w:hint="default"/>
        </w:rPr>
        <w:t xml:space="preserve">van Buuren M., Vink M., &amp; Kahn R. S. (2012). Default-mode network dysfunction and self-referential processing in healthy siblings of schizophrenia patients. </w:t>
      </w:r>
      <w:r>
        <w:rPr>
          <w:rFonts w:hint="default"/>
          <w:i/>
        </w:rPr>
        <w:t>Schizophr Res</w:t>
      </w:r>
      <w:r>
        <w:rPr>
          <w:rFonts w:hint="default"/>
        </w:rPr>
        <w:t>, 142(1-3), 237-243. doi:</w:t>
      </w:r>
      <w:r>
        <w:t xml:space="preserve"> </w:t>
      </w:r>
      <w:r>
        <w:rPr>
          <w:rFonts w:hint="default"/>
        </w:rPr>
        <w:t>10.1016/j.schres.2012.09.017</w:t>
      </w:r>
    </w:p>
    <w:p>
      <w:pPr>
        <w:pStyle w:val="38"/>
        <w:ind w:left="720" w:hanging="720"/>
        <w:jc w:val="both"/>
        <w:rPr>
          <w:rFonts w:hint="default"/>
        </w:rPr>
      </w:pPr>
      <w:r>
        <w:rPr>
          <w:rFonts w:hint="default"/>
        </w:rPr>
        <w:t xml:space="preserve">van der Meer L., Swart M., van der Velde J., Pijnenborg G., Wiersma D., Bruggeman R., &amp; Aleman A. (2014). Neural correlates of emotion regulation in patients with schizophrenia and non-affected siblings. </w:t>
      </w:r>
      <w:r>
        <w:rPr>
          <w:rFonts w:hint="default"/>
          <w:i/>
        </w:rPr>
        <w:t>PLoS One</w:t>
      </w:r>
      <w:r>
        <w:rPr>
          <w:rFonts w:hint="default"/>
        </w:rPr>
        <w:t>, 9(6), e99667. doi:</w:t>
      </w:r>
      <w:r>
        <w:t xml:space="preserve"> </w:t>
      </w:r>
      <w:r>
        <w:rPr>
          <w:rFonts w:hint="default"/>
        </w:rPr>
        <w:t>10.1371/journal.pone.0099667</w:t>
      </w:r>
    </w:p>
    <w:p>
      <w:pPr>
        <w:pStyle w:val="38"/>
        <w:ind w:left="720" w:hanging="720"/>
        <w:jc w:val="both"/>
        <w:rPr>
          <w:rFonts w:hint="default"/>
        </w:rPr>
      </w:pPr>
      <w:r>
        <w:rPr>
          <w:rFonts w:hint="default"/>
        </w:rPr>
        <w:t xml:space="preserve">van Gool K. C. A., Collin G., Bauer C. C. C., Molokotos E., Mesholam-Gately R. I., Thermenos H. W., ... Keshavan M. S. (2022). Altered working memory-related brain activity in children at familial high risk for psychosis: A preliminary study. </w:t>
      </w:r>
      <w:r>
        <w:rPr>
          <w:rFonts w:hint="default"/>
          <w:i/>
        </w:rPr>
        <w:t>Schizophr Res</w:t>
      </w:r>
      <w:r>
        <w:rPr>
          <w:rFonts w:hint="default"/>
        </w:rPr>
        <w:t>, 240, 186-192. doi:</w:t>
      </w:r>
      <w:r>
        <w:t xml:space="preserve"> </w:t>
      </w:r>
      <w:r>
        <w:rPr>
          <w:rFonts w:hint="default"/>
        </w:rPr>
        <w:t>10.1016/j.schres.2021.12.030</w:t>
      </w:r>
    </w:p>
    <w:p>
      <w:pPr>
        <w:pStyle w:val="38"/>
        <w:ind w:left="720" w:hanging="720"/>
        <w:jc w:val="both"/>
        <w:rPr>
          <w:rFonts w:hint="default"/>
        </w:rPr>
      </w:pPr>
      <w:r>
        <w:rPr>
          <w:rFonts w:hint="default"/>
        </w:rPr>
        <w:t xml:space="preserve">Venkatasubramanian G., Puthumana D. T., Jayakumar P. N., &amp; Gangadhar B. N. (2010). A functional Magnetic Resonance Imaging study of neurohemodynamic abnormalities during emotion processing in subjects at high risk for schizophrenia. </w:t>
      </w:r>
      <w:r>
        <w:rPr>
          <w:rFonts w:hint="default"/>
          <w:i/>
        </w:rPr>
        <w:t>Indian J Psychiatry</w:t>
      </w:r>
      <w:r>
        <w:rPr>
          <w:rFonts w:hint="default"/>
        </w:rPr>
        <w:t>, 52(4), 308-315. doi:</w:t>
      </w:r>
      <w:r>
        <w:t xml:space="preserve"> </w:t>
      </w:r>
      <w:r>
        <w:rPr>
          <w:rFonts w:hint="default"/>
        </w:rPr>
        <w:t>10.4103/0019-5545.74304</w:t>
      </w:r>
    </w:p>
    <w:p>
      <w:pPr>
        <w:pStyle w:val="38"/>
        <w:ind w:left="720" w:hanging="720"/>
        <w:jc w:val="both"/>
        <w:rPr>
          <w:rFonts w:hint="default"/>
        </w:rPr>
      </w:pPr>
      <w:r>
        <w:rPr>
          <w:rFonts w:hint="default"/>
        </w:rPr>
        <w:t xml:space="preserve">Wagshal D., Knowlton B. J., Cohen J. R., Bookheimer S. Y., Bilder R. M., Fernandez V. G., &amp; Asarnow R. F. (2015). Cognitive correlates of gray matter abnormalities in adolescent siblings of patients with childhood-onset schizophrenia. </w:t>
      </w:r>
      <w:r>
        <w:rPr>
          <w:rFonts w:hint="default"/>
          <w:i/>
        </w:rPr>
        <w:t>Schizophr Res</w:t>
      </w:r>
      <w:r>
        <w:rPr>
          <w:rFonts w:hint="default"/>
        </w:rPr>
        <w:t>, 161(2-3), 345-350. doi:</w:t>
      </w:r>
      <w:r>
        <w:t xml:space="preserve"> </w:t>
      </w:r>
      <w:r>
        <w:rPr>
          <w:rFonts w:hint="default"/>
        </w:rPr>
        <w:t>10.1016/j.schres.2014.12.006</w:t>
      </w:r>
    </w:p>
    <w:p>
      <w:pPr>
        <w:pStyle w:val="38"/>
        <w:ind w:left="720" w:hanging="720"/>
        <w:jc w:val="both"/>
        <w:rPr>
          <w:rFonts w:hint="default"/>
        </w:rPr>
      </w:pPr>
      <w:r>
        <w:rPr>
          <w:rFonts w:hint="default"/>
        </w:rPr>
        <w:t xml:space="preserve">Whitfield-Gabrieli S., Thermenos H. W., Milanovic S., Tsuang M. T., Faraone S. V., McCarley R. W., ... Seidman L. J. (2009). Hyperactivity and hyperconnectivity of the default network in schizophrenia and in first-degree relatives of persons with schizophrenia. </w:t>
      </w:r>
      <w:r>
        <w:rPr>
          <w:rFonts w:hint="default"/>
          <w:i/>
        </w:rPr>
        <w:t>Proc Natl Acad Sci U S A</w:t>
      </w:r>
      <w:r>
        <w:rPr>
          <w:rFonts w:hint="default"/>
        </w:rPr>
        <w:t>, 106(4), 1279-1284. doi:</w:t>
      </w:r>
      <w:r>
        <w:t xml:space="preserve"> </w:t>
      </w:r>
      <w:r>
        <w:rPr>
          <w:rFonts w:hint="default"/>
        </w:rPr>
        <w:t>10.1073/pnas.0809141106</w:t>
      </w:r>
    </w:p>
    <w:p>
      <w:pPr>
        <w:pStyle w:val="38"/>
        <w:ind w:left="720" w:hanging="720"/>
        <w:jc w:val="both"/>
        <w:rPr>
          <w:rFonts w:hint="default"/>
        </w:rPr>
      </w:pPr>
      <w:r>
        <w:rPr>
          <w:rFonts w:hint="default"/>
        </w:rPr>
        <w:t xml:space="preserve">Whyte M. C., Whalley H. C., Simonotto E., Flett S., Shillcock R., Marshall I., ... Lawrie S. M. (2006). Event-related fMRI of word classification and successful word recognition in subjects at genetically enhanced risk of schizophrenia. </w:t>
      </w:r>
      <w:r>
        <w:rPr>
          <w:rFonts w:hint="default"/>
          <w:i/>
        </w:rPr>
        <w:t>Psychol Med</w:t>
      </w:r>
      <w:r>
        <w:rPr>
          <w:rFonts w:hint="default"/>
        </w:rPr>
        <w:t>, 36(10), 1427-1439. doi:</w:t>
      </w:r>
      <w:r>
        <w:t xml:space="preserve"> </w:t>
      </w:r>
      <w:r>
        <w:rPr>
          <w:rFonts w:hint="default"/>
        </w:rPr>
        <w:t>10.1017/s0033291706008178</w:t>
      </w:r>
    </w:p>
    <w:p>
      <w:pPr>
        <w:pStyle w:val="38"/>
        <w:ind w:left="720" w:hanging="720"/>
        <w:jc w:val="both"/>
        <w:rPr>
          <w:rFonts w:hint="default"/>
        </w:rPr>
      </w:pPr>
      <w:r>
        <w:rPr>
          <w:rFonts w:hint="default"/>
        </w:rPr>
        <w:t xml:space="preserve">Wiggins J. L., Brotman M. A., Adleman N. E., Kim P., Wambach C. G., Reynolds R. C., ... Leibenluft E. (2017). Neural Markers in Pediatric Bipolar Disorder and Familial Risk for Bipolar Disorder. </w:t>
      </w:r>
      <w:r>
        <w:rPr>
          <w:rFonts w:hint="default"/>
          <w:i/>
        </w:rPr>
        <w:t>J Am Acad Child Adolesc Psychiatry</w:t>
      </w:r>
      <w:r>
        <w:rPr>
          <w:rFonts w:hint="default"/>
        </w:rPr>
        <w:t>, 56(1), 67-78. doi:</w:t>
      </w:r>
      <w:r>
        <w:t xml:space="preserve"> </w:t>
      </w:r>
      <w:r>
        <w:rPr>
          <w:rFonts w:hint="default"/>
        </w:rPr>
        <w:t>10.1016/j.jaac.2016.10.009</w:t>
      </w:r>
    </w:p>
    <w:sectPr>
      <w:pgSz w:w="11906" w:h="16838"/>
      <w:pgMar w:top="1440" w:right="1800" w:bottom="1440" w:left="1800" w:header="851" w:footer="992" w:gutter="0"/>
      <w:lnNumType w:countBy="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2</w:t>
    </w:r>
    <w:r>
      <w:fldChar w:fldCharType="end"/>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6BCD14"/>
    <w:multiLevelType w:val="multilevel"/>
    <w:tmpl w:val="EF6BCD14"/>
    <w:lvl w:ilvl="0" w:tentative="0">
      <w:start w:val="1"/>
      <w:numFmt w:val="decimal"/>
      <w:suff w:val="space"/>
      <w:lvlText w:val="%1."/>
      <w:lvlJc w:val="left"/>
      <w:rPr>
        <w:rFonts w:hint="default" w:cs="Times New Roman"/>
        <w:u w:val="none"/>
      </w:rPr>
    </w:lvl>
    <w:lvl w:ilvl="1" w:tentative="0">
      <w:start w:val="1"/>
      <w:numFmt w:val="decimal"/>
      <w:lvlText w:val=""/>
      <w:lvlJc w:val="left"/>
      <w:rPr>
        <w:rFonts w:hint="default" w:cs="Times New Roman"/>
        <w:u w:val="none"/>
      </w:rPr>
    </w:lvl>
    <w:lvl w:ilvl="2" w:tentative="0">
      <w:start w:val="1"/>
      <w:numFmt w:val="decimal"/>
      <w:lvlText w:val=""/>
      <w:lvlJc w:val="left"/>
      <w:rPr>
        <w:rFonts w:hint="default" w:cs="Times New Roman"/>
        <w:u w:val="none"/>
      </w:rPr>
    </w:lvl>
    <w:lvl w:ilvl="3" w:tentative="0">
      <w:start w:val="1"/>
      <w:numFmt w:val="decimal"/>
      <w:lvlText w:val=""/>
      <w:lvlJc w:val="left"/>
      <w:rPr>
        <w:rFonts w:hint="default" w:cs="Times New Roman"/>
        <w:u w:val="none"/>
      </w:rPr>
    </w:lvl>
    <w:lvl w:ilvl="4" w:tentative="0">
      <w:start w:val="1"/>
      <w:numFmt w:val="decimal"/>
      <w:lvlText w:val=""/>
      <w:lvlJc w:val="left"/>
      <w:rPr>
        <w:rFonts w:hint="default" w:cs="Times New Roman"/>
        <w:u w:val="none"/>
      </w:rPr>
    </w:lvl>
    <w:lvl w:ilvl="5" w:tentative="0">
      <w:start w:val="1"/>
      <w:numFmt w:val="decimal"/>
      <w:lvlText w:val=""/>
      <w:lvlJc w:val="left"/>
      <w:rPr>
        <w:rFonts w:hint="default" w:cs="Times New Roman"/>
        <w:u w:val="none"/>
      </w:rPr>
    </w:lvl>
    <w:lvl w:ilvl="6" w:tentative="0">
      <w:start w:val="1"/>
      <w:numFmt w:val="decimal"/>
      <w:lvlText w:val=""/>
      <w:lvlJc w:val="left"/>
      <w:rPr>
        <w:rFonts w:hint="default" w:cs="Times New Roman"/>
        <w:u w:val="none"/>
      </w:rPr>
    </w:lvl>
    <w:lvl w:ilvl="7" w:tentative="0">
      <w:start w:val="1"/>
      <w:numFmt w:val="decimal"/>
      <w:lvlText w:val=""/>
      <w:lvlJc w:val="left"/>
      <w:rPr>
        <w:rFonts w:hint="default" w:cs="Times New Roman"/>
        <w:u w:val="none"/>
      </w:rPr>
    </w:lvl>
    <w:lvl w:ilvl="8" w:tentative="0">
      <w:start w:val="1"/>
      <w:numFmt w:val="decimal"/>
      <w:lvlText w:val=""/>
      <w:lvlJc w:val="left"/>
      <w:rPr>
        <w:rFonts w:hint="default" w:cs="Times New Roman"/>
        <w:u w:val="none"/>
      </w:rPr>
    </w:lvl>
  </w:abstractNum>
  <w:abstractNum w:abstractNumId="1">
    <w:nsid w:val="F601B7D5"/>
    <w:multiLevelType w:val="multilevel"/>
    <w:tmpl w:val="F601B7D5"/>
    <w:lvl w:ilvl="0" w:tentative="0">
      <w:start w:val="1"/>
      <w:numFmt w:val="decimal"/>
      <w:suff w:val="space"/>
      <w:lvlText w:val="%1."/>
      <w:lvlJc w:val="left"/>
      <w:rPr>
        <w:rFonts w:hint="default" w:cs="Times New Roman"/>
        <w:u w:val="none"/>
      </w:rPr>
    </w:lvl>
    <w:lvl w:ilvl="1" w:tentative="0">
      <w:start w:val="1"/>
      <w:numFmt w:val="decimal"/>
      <w:lvlText w:val=""/>
      <w:lvlJc w:val="left"/>
      <w:rPr>
        <w:rFonts w:hint="default" w:cs="Times New Roman"/>
        <w:u w:val="none"/>
      </w:rPr>
    </w:lvl>
    <w:lvl w:ilvl="2" w:tentative="0">
      <w:start w:val="1"/>
      <w:numFmt w:val="decimal"/>
      <w:lvlText w:val=""/>
      <w:lvlJc w:val="left"/>
      <w:rPr>
        <w:rFonts w:hint="default" w:cs="Times New Roman"/>
        <w:u w:val="none"/>
      </w:rPr>
    </w:lvl>
    <w:lvl w:ilvl="3" w:tentative="0">
      <w:start w:val="1"/>
      <w:numFmt w:val="decimal"/>
      <w:lvlText w:val=""/>
      <w:lvlJc w:val="left"/>
      <w:rPr>
        <w:rFonts w:hint="default" w:cs="Times New Roman"/>
        <w:u w:val="none"/>
      </w:rPr>
    </w:lvl>
    <w:lvl w:ilvl="4" w:tentative="0">
      <w:start w:val="1"/>
      <w:numFmt w:val="decimal"/>
      <w:lvlText w:val=""/>
      <w:lvlJc w:val="left"/>
      <w:rPr>
        <w:rFonts w:hint="default" w:cs="Times New Roman"/>
        <w:u w:val="none"/>
      </w:rPr>
    </w:lvl>
    <w:lvl w:ilvl="5" w:tentative="0">
      <w:start w:val="1"/>
      <w:numFmt w:val="decimal"/>
      <w:lvlText w:val=""/>
      <w:lvlJc w:val="left"/>
      <w:rPr>
        <w:rFonts w:hint="default" w:cs="Times New Roman"/>
        <w:u w:val="none"/>
      </w:rPr>
    </w:lvl>
    <w:lvl w:ilvl="6" w:tentative="0">
      <w:start w:val="1"/>
      <w:numFmt w:val="decimal"/>
      <w:lvlText w:val=""/>
      <w:lvlJc w:val="left"/>
      <w:rPr>
        <w:rFonts w:hint="default" w:cs="Times New Roman"/>
        <w:u w:val="none"/>
      </w:rPr>
    </w:lvl>
    <w:lvl w:ilvl="7" w:tentative="0">
      <w:start w:val="1"/>
      <w:numFmt w:val="decimal"/>
      <w:lvlText w:val=""/>
      <w:lvlJc w:val="left"/>
      <w:rPr>
        <w:rFonts w:hint="default" w:cs="Times New Roman"/>
        <w:u w:val="none"/>
      </w:rPr>
    </w:lvl>
    <w:lvl w:ilvl="8" w:tentative="0">
      <w:start w:val="1"/>
      <w:numFmt w:val="decimal"/>
      <w:lvlText w:val=""/>
      <w:lvlJc w:val="left"/>
      <w:rPr>
        <w:rFonts w:hint="default" w:cs="Times New Roman"/>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lODM2MDkyYjA0ZjE2MTA0MmEzZWUzMzYyOThiZmMifQ=="/>
    <w:docVar w:name="EN.InstantFormat" w:val="&lt;ENInstantFormat&gt;&lt;Enabled&gt;1&lt;/Enabled&gt;&lt;ScanUnformatted&gt;1&lt;/ScanUnformatted&gt;&lt;ScanChanges&gt;1&lt;/ScanChanges&gt;&lt;Suspended&gt;1&lt;/Suspended&gt;&lt;/ENInstantFormat&gt;"/>
  </w:docVars>
  <w:rsids>
    <w:rsidRoot w:val="00A17B8D"/>
    <w:rsid w:val="00075977"/>
    <w:rsid w:val="000A1368"/>
    <w:rsid w:val="000D0BAB"/>
    <w:rsid w:val="00152608"/>
    <w:rsid w:val="001842C1"/>
    <w:rsid w:val="0018597D"/>
    <w:rsid w:val="003D2ADE"/>
    <w:rsid w:val="003F7A63"/>
    <w:rsid w:val="00874D2E"/>
    <w:rsid w:val="00A17B8D"/>
    <w:rsid w:val="00A70749"/>
    <w:rsid w:val="00DC3909"/>
    <w:rsid w:val="00F44A9A"/>
    <w:rsid w:val="05502988"/>
    <w:rsid w:val="06D9549C"/>
    <w:rsid w:val="0EDD63CB"/>
    <w:rsid w:val="1D8376AC"/>
    <w:rsid w:val="20344E23"/>
    <w:rsid w:val="2E9A4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Times New Roman" w:hAnsi="Times New Roman" w:eastAsia="宋体" w:cs="Times New Roman"/>
      <w:kern w:val="2"/>
      <w:sz w:val="21"/>
      <w:szCs w:val="24"/>
      <w:lang w:val="en-US" w:eastAsia="zh-CN" w:bidi="ar-SA"/>
    </w:rPr>
  </w:style>
  <w:style w:type="paragraph" w:styleId="2">
    <w:name w:val="heading 1"/>
    <w:basedOn w:val="1"/>
    <w:next w:val="1"/>
    <w:link w:val="18"/>
    <w:autoRedefine/>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9"/>
    <w:autoRedefine/>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0"/>
    <w:autoRedefine/>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1"/>
    <w:autoRedefine/>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2"/>
    <w:autoRedefine/>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3"/>
    <w:autoRedefine/>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4"/>
    <w:autoRedefine/>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autoRedefine/>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11">
    <w:name w:val="footer"/>
    <w:basedOn w:val="1"/>
    <w:link w:val="36"/>
    <w:autoRedefine/>
    <w:qFormat/>
    <w:uiPriority w:val="99"/>
    <w:pPr>
      <w:tabs>
        <w:tab w:val="center" w:pos="4153"/>
        <w:tab w:val="right" w:pos="8306"/>
      </w:tabs>
      <w:snapToGrid w:val="0"/>
      <w:jc w:val="left"/>
    </w:pPr>
    <w:rPr>
      <w:rFonts w:hint="default"/>
      <w:sz w:val="18"/>
      <w:szCs w:val="18"/>
    </w:rPr>
  </w:style>
  <w:style w:type="paragraph" w:styleId="12">
    <w:name w:val="header"/>
    <w:basedOn w:val="1"/>
    <w:link w:val="37"/>
    <w:autoRedefine/>
    <w:qFormat/>
    <w:uiPriority w:val="0"/>
    <w:pPr>
      <w:tabs>
        <w:tab w:val="center" w:pos="4153"/>
        <w:tab w:val="right" w:pos="8306"/>
      </w:tabs>
      <w:snapToGrid w:val="0"/>
      <w:jc w:val="center"/>
    </w:pPr>
    <w:rPr>
      <w:rFonts w:hint="default"/>
      <w:sz w:val="18"/>
      <w:szCs w:val="18"/>
    </w:rPr>
  </w:style>
  <w:style w:type="paragraph" w:styleId="13">
    <w:name w:val="Subtitle"/>
    <w:basedOn w:val="1"/>
    <w:next w:val="1"/>
    <w:link w:val="28"/>
    <w:autoRedefine/>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autoRedefine/>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7">
    <w:name w:val="line number"/>
    <w:basedOn w:val="16"/>
    <w:autoRedefine/>
    <w:semiHidden/>
    <w:unhideWhenUsed/>
    <w:uiPriority w:val="99"/>
  </w:style>
  <w:style w:type="character" w:customStyle="1" w:styleId="18">
    <w:name w:val="标题 1 字符"/>
    <w:basedOn w:val="16"/>
    <w:link w:val="2"/>
    <w:autoRedefine/>
    <w:qFormat/>
    <w:uiPriority w:val="9"/>
    <w:rPr>
      <w:rFonts w:asciiTheme="majorHAnsi" w:hAnsiTheme="majorHAnsi" w:eastAsiaTheme="majorEastAsia" w:cstheme="majorBidi"/>
      <w:color w:val="2F5597" w:themeColor="accent1" w:themeShade="BF"/>
      <w:sz w:val="48"/>
      <w:szCs w:val="48"/>
    </w:rPr>
  </w:style>
  <w:style w:type="character" w:customStyle="1" w:styleId="19">
    <w:name w:val="标题 2 字符"/>
    <w:basedOn w:val="16"/>
    <w:link w:val="3"/>
    <w:autoRedefine/>
    <w:semiHidden/>
    <w:qFormat/>
    <w:uiPriority w:val="9"/>
    <w:rPr>
      <w:rFonts w:asciiTheme="majorHAnsi" w:hAnsiTheme="majorHAnsi" w:eastAsiaTheme="majorEastAsia" w:cstheme="majorBidi"/>
      <w:color w:val="2F5597" w:themeColor="accent1" w:themeShade="BF"/>
      <w:sz w:val="40"/>
      <w:szCs w:val="40"/>
    </w:rPr>
  </w:style>
  <w:style w:type="character" w:customStyle="1" w:styleId="20">
    <w:name w:val="标题 3 字符"/>
    <w:basedOn w:val="16"/>
    <w:link w:val="4"/>
    <w:autoRedefine/>
    <w:semiHidden/>
    <w:qFormat/>
    <w:uiPriority w:val="9"/>
    <w:rPr>
      <w:rFonts w:asciiTheme="majorHAnsi" w:hAnsiTheme="majorHAnsi" w:eastAsiaTheme="majorEastAsia" w:cstheme="majorBidi"/>
      <w:color w:val="2F5597" w:themeColor="accent1" w:themeShade="BF"/>
      <w:sz w:val="32"/>
      <w:szCs w:val="32"/>
    </w:rPr>
  </w:style>
  <w:style w:type="character" w:customStyle="1" w:styleId="21">
    <w:name w:val="标题 4 字符"/>
    <w:basedOn w:val="16"/>
    <w:link w:val="5"/>
    <w:autoRedefine/>
    <w:semiHidden/>
    <w:qFormat/>
    <w:uiPriority w:val="9"/>
    <w:rPr>
      <w:rFonts w:cstheme="majorBidi"/>
      <w:color w:val="2F5597" w:themeColor="accent1" w:themeShade="BF"/>
      <w:sz w:val="28"/>
      <w:szCs w:val="28"/>
    </w:rPr>
  </w:style>
  <w:style w:type="character" w:customStyle="1" w:styleId="22">
    <w:name w:val="标题 5 字符"/>
    <w:basedOn w:val="16"/>
    <w:link w:val="6"/>
    <w:autoRedefine/>
    <w:semiHidden/>
    <w:qFormat/>
    <w:uiPriority w:val="9"/>
    <w:rPr>
      <w:rFonts w:cstheme="majorBidi"/>
      <w:color w:val="2F5597" w:themeColor="accent1" w:themeShade="BF"/>
      <w:sz w:val="24"/>
    </w:rPr>
  </w:style>
  <w:style w:type="character" w:customStyle="1" w:styleId="23">
    <w:name w:val="标题 6 字符"/>
    <w:basedOn w:val="16"/>
    <w:link w:val="7"/>
    <w:autoRedefine/>
    <w:semiHidden/>
    <w:uiPriority w:val="9"/>
    <w:rPr>
      <w:rFonts w:cstheme="majorBidi"/>
      <w:b/>
      <w:bCs/>
      <w:color w:val="2F5597" w:themeColor="accent1" w:themeShade="BF"/>
    </w:rPr>
  </w:style>
  <w:style w:type="character" w:customStyle="1" w:styleId="24">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6"/>
    <w:link w:val="9"/>
    <w:autoRedefine/>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6"/>
    <w:link w:val="10"/>
    <w:autoRedefine/>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6"/>
    <w:link w:val="14"/>
    <w:autoRedefine/>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6"/>
    <w:link w:val="13"/>
    <w:autoRedefine/>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autoRedefine/>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6"/>
    <w:link w:val="29"/>
    <w:autoRedefine/>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autoRedefine/>
    <w:qFormat/>
    <w:uiPriority w:val="34"/>
    <w:pPr>
      <w:ind w:left="720"/>
      <w:contextualSpacing/>
    </w:pPr>
  </w:style>
  <w:style w:type="character" w:customStyle="1" w:styleId="32">
    <w:name w:val="明显强调1"/>
    <w:basedOn w:val="16"/>
    <w:autoRedefine/>
    <w:qFormat/>
    <w:uiPriority w:val="21"/>
    <w:rPr>
      <w:i/>
      <w:iCs/>
      <w:color w:val="2F5597" w:themeColor="accent1" w:themeShade="BF"/>
    </w:rPr>
  </w:style>
  <w:style w:type="paragraph" w:styleId="33">
    <w:name w:val="Intense Quote"/>
    <w:basedOn w:val="1"/>
    <w:next w:val="1"/>
    <w:link w:val="34"/>
    <w:autoRedefine/>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明显引用 字符"/>
    <w:basedOn w:val="16"/>
    <w:link w:val="33"/>
    <w:autoRedefine/>
    <w:qFormat/>
    <w:uiPriority w:val="30"/>
    <w:rPr>
      <w:i/>
      <w:iCs/>
      <w:color w:val="2F5597" w:themeColor="accent1" w:themeShade="BF"/>
    </w:rPr>
  </w:style>
  <w:style w:type="character" w:customStyle="1" w:styleId="35">
    <w:name w:val="明显参考1"/>
    <w:basedOn w:val="16"/>
    <w:autoRedefine/>
    <w:qFormat/>
    <w:uiPriority w:val="32"/>
    <w:rPr>
      <w:b/>
      <w:bCs/>
      <w:smallCaps/>
      <w:color w:val="2F5597" w:themeColor="accent1" w:themeShade="BF"/>
      <w:spacing w:val="5"/>
    </w:rPr>
  </w:style>
  <w:style w:type="character" w:customStyle="1" w:styleId="36">
    <w:name w:val="页脚 字符"/>
    <w:link w:val="11"/>
    <w:autoRedefine/>
    <w:qFormat/>
    <w:uiPriority w:val="99"/>
    <w:rPr>
      <w:rFonts w:ascii="Times New Roman" w:hAnsi="Times New Roman" w:eastAsia="宋体" w:cs="Times New Roman"/>
      <w:sz w:val="18"/>
      <w:szCs w:val="18"/>
      <w14:ligatures w14:val="none"/>
    </w:rPr>
  </w:style>
  <w:style w:type="character" w:customStyle="1" w:styleId="37">
    <w:name w:val="页眉 字符"/>
    <w:link w:val="12"/>
    <w:autoRedefine/>
    <w:qFormat/>
    <w:uiPriority w:val="0"/>
    <w:rPr>
      <w:rFonts w:ascii="Times New Roman" w:hAnsi="Times New Roman" w:eastAsia="宋体" w:cs="Times New Roman"/>
      <w:sz w:val="18"/>
      <w:szCs w:val="18"/>
      <w14:ligatures w14:val="none"/>
    </w:rPr>
  </w:style>
  <w:style w:type="paragraph" w:customStyle="1" w:styleId="38">
    <w:name w:val="EndNote Bibliography"/>
    <w:basedOn w:val="1"/>
    <w:autoRedefine/>
    <w:unhideWhenUsed/>
    <w:qFormat/>
    <w:uiPriority w:val="0"/>
    <w:pPr>
      <w:jc w:val="left"/>
    </w:pPr>
    <w:rPr>
      <w:sz w:val="20"/>
    </w:rPr>
  </w:style>
  <w:style w:type="paragraph" w:customStyle="1" w:styleId="39">
    <w:name w:val="EndNote Bibliography Title"/>
    <w:basedOn w:val="1"/>
    <w:link w:val="40"/>
    <w:autoRedefine/>
    <w:qFormat/>
    <w:uiPriority w:val="0"/>
    <w:pPr>
      <w:jc w:val="center"/>
    </w:pPr>
    <w:rPr>
      <w:rFonts w:hint="default"/>
      <w:sz w:val="20"/>
    </w:rPr>
  </w:style>
  <w:style w:type="character" w:customStyle="1" w:styleId="40">
    <w:name w:val="EndNote Bibliography Title 字符"/>
    <w:link w:val="39"/>
    <w:autoRedefine/>
    <w:qFormat/>
    <w:uiPriority w:val="0"/>
    <w:rPr>
      <w:rFonts w:ascii="Times New Roman" w:hAnsi="Times New Roman" w:eastAsia="宋体" w:cs="Times New Roman"/>
      <w:sz w:val="20"/>
      <w14:ligatures w14: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tif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31"/>
    <customShpInfo spid="_x0000_s1034"/>
    <customShpInfo spid="_x0000_s1028"/>
    <customShpInfo spid="_x0000_s1038"/>
    <customShpInfo spid="_x0000_s1036"/>
    <customShpInfo spid="_x0000_s1035"/>
    <customShpInfo spid="_x0000_s1033"/>
    <customShpInfo spid="_x0000_s1029"/>
    <customShpInfo spid="_x0000_s1027"/>
    <customShpInfo spid="_x0000_s1026"/>
    <customShpInfo spid="_x0000_s1030"/>
    <customShpInfo spid="_x0000_s1032"/>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6981</Words>
  <Characters>40073</Characters>
  <Lines>1602</Lines>
  <Paragraphs>1425</Paragraphs>
  <TotalTime>30</TotalTime>
  <ScaleCrop>false</ScaleCrop>
  <LinksUpToDate>false</LinksUpToDate>
  <CharactersWithSpaces>45629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2025-07-06T23:06:00Z</dcterms:created>
  <dc:creator>1 1</dc:creator>
  <cp:lastModifiedBy>。</cp:lastModifiedBy>
  <dcterms:modified xsi:type="dcterms:W3CDTF">2025-07-11T15:01:07Z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7C789B1F47D84D04B4AA2D43613C5975_12</vt:lpwstr>
  </property>
</Properties>
</file>