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FB4A1CE" w14:textId="77777777" w:rsidR="00FD058C" w:rsidRPr="0021796D" w:rsidRDefault="00FD058C" w:rsidP="006A6F51">
      <w:pPr>
        <w:spacing w:line="480" w:lineRule="auto"/>
        <w:jc w:val="center"/>
        <w:rPr>
          <w:rFonts w:ascii="Arial" w:hAnsi="Arial" w:cs="Arial"/>
          <w:b/>
          <w:bCs/>
          <w:sz w:val="28"/>
          <w:szCs w:val="28"/>
        </w:rPr>
      </w:pPr>
      <w:r w:rsidRPr="0021796D">
        <w:rPr>
          <w:rFonts w:ascii="Arial" w:hAnsi="Arial" w:cs="Arial"/>
          <w:b/>
          <w:bCs/>
          <w:sz w:val="28"/>
          <w:szCs w:val="28"/>
        </w:rPr>
        <w:t>Supplementary Material</w:t>
      </w:r>
    </w:p>
    <w:p w14:paraId="5FB02C4F" w14:textId="77777777" w:rsidR="00FD058C" w:rsidRPr="0021796D" w:rsidRDefault="00FD058C" w:rsidP="006A6F51">
      <w:pPr>
        <w:spacing w:line="480" w:lineRule="auto"/>
        <w:jc w:val="center"/>
        <w:rPr>
          <w:rFonts w:ascii="Arial" w:hAnsi="Arial" w:cs="Arial"/>
          <w:b/>
          <w:bCs/>
        </w:rPr>
      </w:pPr>
      <w:r w:rsidRPr="0021796D">
        <w:rPr>
          <w:rFonts w:ascii="Arial" w:hAnsi="Arial" w:cs="Arial"/>
          <w:b/>
          <w:bCs/>
        </w:rPr>
        <w:t>Why is electroconvulsive therapy for depression more effective in older age? A causal mediation analysis</w:t>
      </w:r>
    </w:p>
    <w:p w14:paraId="04A0AFB0" w14:textId="77777777" w:rsidR="00FD058C" w:rsidRPr="0021796D" w:rsidRDefault="00FD058C" w:rsidP="006A6F51">
      <w:pPr>
        <w:spacing w:line="480" w:lineRule="auto"/>
        <w:jc w:val="center"/>
        <w:rPr>
          <w:rFonts w:ascii="Arial" w:hAnsi="Arial" w:cs="Arial"/>
          <w:b/>
          <w:bCs/>
        </w:rPr>
      </w:pPr>
    </w:p>
    <w:p w14:paraId="2380B660" w14:textId="77777777" w:rsidR="00FD058C" w:rsidRPr="0021796D" w:rsidRDefault="00FD058C" w:rsidP="00187510">
      <w:pPr>
        <w:spacing w:line="480" w:lineRule="auto"/>
        <w:rPr>
          <w:rFonts w:ascii="Arial" w:hAnsi="Arial" w:cs="Arial"/>
          <w:b/>
          <w:bCs/>
          <w:sz w:val="21"/>
          <w:szCs w:val="21"/>
        </w:rPr>
      </w:pPr>
      <w:r w:rsidRPr="0021796D">
        <w:rPr>
          <w:rFonts w:ascii="Arial" w:hAnsi="Arial" w:cs="Arial"/>
          <w:sz w:val="21"/>
          <w:szCs w:val="21"/>
        </w:rPr>
        <w:t xml:space="preserve">The EFFECT-Dep Trial </w:t>
      </w:r>
      <w:r w:rsidRPr="0021796D">
        <w:rPr>
          <w:rFonts w:ascii="Arial" w:hAnsi="Arial" w:cs="Arial"/>
          <w:noProof/>
          <w:sz w:val="21"/>
          <w:szCs w:val="21"/>
        </w:rPr>
        <w:t>(Semkovska et al., 2016)</w:t>
      </w:r>
      <w:r w:rsidRPr="0021796D">
        <w:rPr>
          <w:rFonts w:ascii="Arial" w:hAnsi="Arial" w:cs="Arial"/>
          <w:sz w:val="21"/>
          <w:szCs w:val="21"/>
        </w:rPr>
        <w:t xml:space="preserve"> was a randomised controlled non-inferiority trial of high-dose right unilateral versus bitemporal ECT. The KEEP-WELL Trial </w:t>
      </w:r>
      <w:r w:rsidRPr="0021796D">
        <w:rPr>
          <w:rFonts w:ascii="Arial" w:hAnsi="Arial" w:cs="Arial"/>
          <w:noProof/>
          <w:sz w:val="21"/>
          <w:szCs w:val="21"/>
        </w:rPr>
        <w:t>(Finnegan et al., 2019)</w:t>
      </w:r>
      <w:r w:rsidRPr="0021796D">
        <w:rPr>
          <w:rFonts w:ascii="Arial" w:hAnsi="Arial" w:cs="Arial"/>
          <w:sz w:val="21"/>
          <w:szCs w:val="21"/>
        </w:rPr>
        <w:t xml:space="preserve"> was a pilot trial of intravenous ketamine versus midazolam for post-ECT relapse prevention; the data used in the present mediation analysis were from the non-interventional phase of this study. The aims of the AMBER-Dep </w:t>
      </w:r>
      <w:r w:rsidRPr="0021796D">
        <w:rPr>
          <w:rFonts w:ascii="Arial" w:hAnsi="Arial" w:cs="Arial"/>
          <w:noProof/>
          <w:sz w:val="21"/>
          <w:szCs w:val="21"/>
        </w:rPr>
        <w:t>(Whooley et al., 2024)</w:t>
      </w:r>
      <w:r w:rsidRPr="0021796D">
        <w:rPr>
          <w:rFonts w:ascii="Arial" w:hAnsi="Arial" w:cs="Arial"/>
          <w:sz w:val="21"/>
          <w:szCs w:val="21"/>
        </w:rPr>
        <w:t xml:space="preserve"> and CARE-Dep (unpublished) prospective cohort studies were to examine retrograde amnesia and clinical factors associated with ECT response, respectively. Details of all four studies are presented in Table S1 below.</w:t>
      </w:r>
    </w:p>
    <w:p w14:paraId="1BE146A3" w14:textId="77777777" w:rsidR="00FD058C" w:rsidRPr="0021796D" w:rsidRDefault="00FD058C" w:rsidP="008648ED">
      <w:pPr>
        <w:spacing w:after="240" w:line="276" w:lineRule="auto"/>
        <w:rPr>
          <w:rFonts w:ascii="Arial" w:hAnsi="Arial" w:cs="Arial"/>
          <w:b/>
          <w:bCs/>
          <w:sz w:val="21"/>
          <w:szCs w:val="21"/>
        </w:rPr>
      </w:pPr>
    </w:p>
    <w:p w14:paraId="2C5F92D0" w14:textId="77777777" w:rsidR="00FD058C" w:rsidRPr="0021796D" w:rsidRDefault="00FD058C" w:rsidP="008648ED">
      <w:pPr>
        <w:spacing w:after="240" w:line="276" w:lineRule="auto"/>
        <w:rPr>
          <w:rFonts w:ascii="Arial" w:hAnsi="Arial" w:cs="Arial"/>
          <w:b/>
          <w:bCs/>
          <w:sz w:val="21"/>
          <w:szCs w:val="21"/>
        </w:rPr>
      </w:pPr>
    </w:p>
    <w:p w14:paraId="699006DC" w14:textId="77777777" w:rsidR="00FD058C" w:rsidRPr="0021796D" w:rsidRDefault="00FD058C" w:rsidP="008648ED">
      <w:pPr>
        <w:spacing w:after="240" w:line="276" w:lineRule="auto"/>
        <w:rPr>
          <w:rFonts w:ascii="Arial" w:hAnsi="Arial" w:cs="Arial"/>
          <w:b/>
          <w:bCs/>
          <w:sz w:val="21"/>
          <w:szCs w:val="21"/>
        </w:rPr>
      </w:pPr>
    </w:p>
    <w:p w14:paraId="556402D5" w14:textId="77777777" w:rsidR="00FD058C" w:rsidRPr="0021796D" w:rsidRDefault="00FD058C" w:rsidP="008648ED">
      <w:pPr>
        <w:spacing w:after="240" w:line="276" w:lineRule="auto"/>
        <w:rPr>
          <w:rFonts w:ascii="Arial" w:hAnsi="Arial" w:cs="Arial"/>
          <w:b/>
          <w:bCs/>
          <w:sz w:val="21"/>
          <w:szCs w:val="21"/>
        </w:rPr>
      </w:pPr>
    </w:p>
    <w:p w14:paraId="78CD8835" w14:textId="77777777" w:rsidR="00FD058C" w:rsidRPr="0021796D" w:rsidRDefault="00FD058C" w:rsidP="008648ED">
      <w:pPr>
        <w:spacing w:after="240" w:line="276" w:lineRule="auto"/>
        <w:rPr>
          <w:rFonts w:ascii="Arial" w:hAnsi="Arial" w:cs="Arial"/>
          <w:b/>
          <w:bCs/>
          <w:sz w:val="21"/>
          <w:szCs w:val="21"/>
        </w:rPr>
      </w:pPr>
    </w:p>
    <w:p w14:paraId="7FEF497E" w14:textId="77777777" w:rsidR="00FD058C" w:rsidRPr="0021796D" w:rsidRDefault="00FD058C" w:rsidP="008648ED">
      <w:pPr>
        <w:spacing w:after="240" w:line="276" w:lineRule="auto"/>
        <w:rPr>
          <w:rFonts w:ascii="Arial" w:hAnsi="Arial" w:cs="Arial"/>
          <w:b/>
          <w:bCs/>
          <w:sz w:val="21"/>
          <w:szCs w:val="21"/>
        </w:rPr>
      </w:pPr>
    </w:p>
    <w:p w14:paraId="19E36ABA" w14:textId="77777777" w:rsidR="00FD058C" w:rsidRPr="0021796D" w:rsidRDefault="00FD058C" w:rsidP="008648ED">
      <w:pPr>
        <w:spacing w:after="240" w:line="276" w:lineRule="auto"/>
        <w:rPr>
          <w:rFonts w:ascii="Arial" w:hAnsi="Arial" w:cs="Arial"/>
          <w:b/>
          <w:bCs/>
          <w:sz w:val="21"/>
          <w:szCs w:val="21"/>
        </w:rPr>
      </w:pPr>
    </w:p>
    <w:p w14:paraId="4482101A" w14:textId="77777777" w:rsidR="00FD058C" w:rsidRPr="0021796D" w:rsidRDefault="00FD058C" w:rsidP="008648ED">
      <w:pPr>
        <w:spacing w:after="240" w:line="276" w:lineRule="auto"/>
        <w:rPr>
          <w:rFonts w:ascii="Arial" w:hAnsi="Arial" w:cs="Arial"/>
          <w:b/>
          <w:bCs/>
          <w:sz w:val="21"/>
          <w:szCs w:val="21"/>
        </w:rPr>
      </w:pPr>
    </w:p>
    <w:p w14:paraId="4CB08791" w14:textId="77777777" w:rsidR="00FD058C" w:rsidRPr="0021796D" w:rsidRDefault="00FD058C" w:rsidP="008648ED">
      <w:pPr>
        <w:spacing w:after="240" w:line="276" w:lineRule="auto"/>
        <w:rPr>
          <w:rFonts w:ascii="Arial" w:hAnsi="Arial" w:cs="Arial"/>
          <w:b/>
          <w:bCs/>
          <w:sz w:val="21"/>
          <w:szCs w:val="21"/>
        </w:rPr>
      </w:pPr>
    </w:p>
    <w:p w14:paraId="2B4DA283" w14:textId="77777777" w:rsidR="00FD058C" w:rsidRPr="0021796D" w:rsidRDefault="00FD058C" w:rsidP="008648ED">
      <w:pPr>
        <w:spacing w:after="240" w:line="276" w:lineRule="auto"/>
        <w:rPr>
          <w:rFonts w:ascii="Arial" w:hAnsi="Arial" w:cs="Arial"/>
          <w:b/>
          <w:bCs/>
          <w:sz w:val="21"/>
          <w:szCs w:val="21"/>
        </w:rPr>
      </w:pPr>
    </w:p>
    <w:p w14:paraId="5C605773" w14:textId="77777777" w:rsidR="00FD058C" w:rsidRPr="0021796D" w:rsidRDefault="00FD058C" w:rsidP="008648ED">
      <w:pPr>
        <w:spacing w:after="240" w:line="276" w:lineRule="auto"/>
        <w:rPr>
          <w:rFonts w:ascii="Arial" w:hAnsi="Arial" w:cs="Arial"/>
          <w:b/>
          <w:bCs/>
          <w:sz w:val="21"/>
          <w:szCs w:val="21"/>
        </w:rPr>
      </w:pPr>
    </w:p>
    <w:p w14:paraId="7707CB23" w14:textId="77777777" w:rsidR="00FD058C" w:rsidRPr="0021796D" w:rsidRDefault="00FD058C" w:rsidP="008648ED">
      <w:pPr>
        <w:spacing w:after="240" w:line="276" w:lineRule="auto"/>
        <w:rPr>
          <w:rFonts w:ascii="Arial" w:hAnsi="Arial" w:cs="Arial"/>
          <w:b/>
          <w:bCs/>
          <w:sz w:val="21"/>
          <w:szCs w:val="21"/>
        </w:rPr>
        <w:sectPr w:rsidR="00FD058C" w:rsidRPr="0021796D" w:rsidSect="00FD058C">
          <w:footerReference w:type="even" r:id="rId5"/>
          <w:footerReference w:type="default" r:id="rId6"/>
          <w:pgSz w:w="11906" w:h="16838"/>
          <w:pgMar w:top="1440" w:right="1440" w:bottom="1440" w:left="1440" w:header="708" w:footer="708" w:gutter="0"/>
          <w:cols w:space="708"/>
          <w:docGrid w:linePitch="360"/>
        </w:sectPr>
      </w:pPr>
    </w:p>
    <w:p w14:paraId="0109014B" w14:textId="77777777" w:rsidR="00FD058C" w:rsidRPr="0021796D" w:rsidRDefault="00FD058C" w:rsidP="008648ED">
      <w:pPr>
        <w:spacing w:after="240" w:line="276" w:lineRule="auto"/>
        <w:rPr>
          <w:rFonts w:ascii="Arial" w:hAnsi="Arial" w:cs="Arial"/>
          <w:sz w:val="21"/>
          <w:szCs w:val="21"/>
        </w:rPr>
      </w:pPr>
      <w:r w:rsidRPr="0021796D">
        <w:rPr>
          <w:rFonts w:ascii="Arial" w:hAnsi="Arial" w:cs="Arial"/>
          <w:b/>
          <w:bCs/>
          <w:sz w:val="21"/>
          <w:szCs w:val="21"/>
        </w:rPr>
        <w:lastRenderedPageBreak/>
        <w:t>Table S1</w:t>
      </w:r>
      <w:r w:rsidRPr="0021796D">
        <w:rPr>
          <w:rFonts w:ascii="Arial" w:hAnsi="Arial" w:cs="Arial"/>
          <w:sz w:val="21"/>
          <w:szCs w:val="21"/>
        </w:rPr>
        <w:t>. Characteristics of ECT studies conducted at St Patrick’s University Hospital, Ireland since 2008</w:t>
      </w:r>
    </w:p>
    <w:tbl>
      <w:tblPr>
        <w:tblStyle w:val="TableGrid"/>
        <w:tblW w:w="16161" w:type="dxa"/>
        <w:tblInd w:w="-431" w:type="dxa"/>
        <w:tblLook w:val="04A0" w:firstRow="1" w:lastRow="0" w:firstColumn="1" w:lastColumn="0" w:noHBand="0" w:noVBand="1"/>
      </w:tblPr>
      <w:tblGrid>
        <w:gridCol w:w="1415"/>
        <w:gridCol w:w="1969"/>
        <w:gridCol w:w="1720"/>
        <w:gridCol w:w="3941"/>
        <w:gridCol w:w="7116"/>
      </w:tblGrid>
      <w:tr w:rsidR="00FD058C" w:rsidRPr="0021796D" w14:paraId="5E5B7A2B" w14:textId="77777777" w:rsidTr="003C1AF2">
        <w:trPr>
          <w:trHeight w:val="217"/>
        </w:trPr>
        <w:tc>
          <w:tcPr>
            <w:tcW w:w="1415" w:type="dxa"/>
          </w:tcPr>
          <w:p w14:paraId="51834C39" w14:textId="77777777" w:rsidR="00FD058C" w:rsidRPr="0021796D" w:rsidRDefault="00FD058C" w:rsidP="003B1759">
            <w:pPr>
              <w:spacing w:before="240" w:after="240" w:line="276" w:lineRule="auto"/>
              <w:rPr>
                <w:rFonts w:ascii="Arial" w:hAnsi="Arial" w:cs="Arial"/>
                <w:b/>
                <w:bCs/>
                <w:sz w:val="18"/>
                <w:szCs w:val="18"/>
              </w:rPr>
            </w:pPr>
            <w:r w:rsidRPr="0021796D">
              <w:rPr>
                <w:rFonts w:ascii="Arial" w:hAnsi="Arial" w:cs="Arial"/>
                <w:b/>
                <w:bCs/>
                <w:sz w:val="18"/>
                <w:szCs w:val="18"/>
              </w:rPr>
              <w:t>Study</w:t>
            </w:r>
          </w:p>
        </w:tc>
        <w:tc>
          <w:tcPr>
            <w:tcW w:w="1969" w:type="dxa"/>
          </w:tcPr>
          <w:p w14:paraId="35100678" w14:textId="77777777" w:rsidR="00FD058C" w:rsidRPr="0021796D" w:rsidRDefault="00FD058C" w:rsidP="003B1759">
            <w:pPr>
              <w:spacing w:before="240" w:after="240" w:line="276" w:lineRule="auto"/>
              <w:rPr>
                <w:rFonts w:ascii="Arial" w:hAnsi="Arial" w:cs="Arial"/>
                <w:b/>
                <w:bCs/>
                <w:sz w:val="18"/>
                <w:szCs w:val="18"/>
              </w:rPr>
            </w:pPr>
            <w:r w:rsidRPr="0021796D">
              <w:rPr>
                <w:rFonts w:ascii="Arial" w:hAnsi="Arial" w:cs="Arial"/>
                <w:b/>
                <w:bCs/>
                <w:sz w:val="18"/>
                <w:szCs w:val="18"/>
              </w:rPr>
              <w:t>Recruitment period</w:t>
            </w:r>
          </w:p>
        </w:tc>
        <w:tc>
          <w:tcPr>
            <w:tcW w:w="1720" w:type="dxa"/>
          </w:tcPr>
          <w:p w14:paraId="42D4EDC7" w14:textId="77777777" w:rsidR="00FD058C" w:rsidRPr="0021796D" w:rsidRDefault="00FD058C" w:rsidP="003B1759">
            <w:pPr>
              <w:spacing w:before="240" w:after="240" w:line="276" w:lineRule="auto"/>
              <w:rPr>
                <w:rFonts w:ascii="Arial" w:hAnsi="Arial" w:cs="Arial"/>
                <w:b/>
                <w:bCs/>
                <w:sz w:val="18"/>
                <w:szCs w:val="18"/>
              </w:rPr>
            </w:pPr>
            <w:r w:rsidRPr="0021796D">
              <w:rPr>
                <w:rFonts w:ascii="Arial" w:hAnsi="Arial" w:cs="Arial"/>
                <w:b/>
                <w:bCs/>
                <w:sz w:val="18"/>
                <w:szCs w:val="18"/>
              </w:rPr>
              <w:t>Study design</w:t>
            </w:r>
          </w:p>
        </w:tc>
        <w:tc>
          <w:tcPr>
            <w:tcW w:w="3941" w:type="dxa"/>
          </w:tcPr>
          <w:p w14:paraId="7DB2D05E" w14:textId="77777777" w:rsidR="00FD058C" w:rsidRPr="0021796D" w:rsidRDefault="00FD058C" w:rsidP="003B1759">
            <w:pPr>
              <w:spacing w:before="240" w:after="240" w:line="276" w:lineRule="auto"/>
              <w:rPr>
                <w:rFonts w:ascii="Arial" w:hAnsi="Arial" w:cs="Arial"/>
                <w:b/>
                <w:bCs/>
                <w:sz w:val="18"/>
                <w:szCs w:val="18"/>
              </w:rPr>
            </w:pPr>
            <w:r w:rsidRPr="0021796D">
              <w:rPr>
                <w:rFonts w:ascii="Arial" w:hAnsi="Arial" w:cs="Arial"/>
                <w:b/>
                <w:bCs/>
                <w:sz w:val="18"/>
                <w:szCs w:val="18"/>
              </w:rPr>
              <w:t>Inclusion criteria</w:t>
            </w:r>
          </w:p>
        </w:tc>
        <w:tc>
          <w:tcPr>
            <w:tcW w:w="7116" w:type="dxa"/>
          </w:tcPr>
          <w:p w14:paraId="4FF0A7A0" w14:textId="77777777" w:rsidR="00FD058C" w:rsidRPr="0021796D" w:rsidRDefault="00FD058C" w:rsidP="003B1759">
            <w:pPr>
              <w:spacing w:before="240" w:after="240" w:line="276" w:lineRule="auto"/>
              <w:rPr>
                <w:rFonts w:ascii="Arial" w:hAnsi="Arial" w:cs="Arial"/>
                <w:b/>
                <w:bCs/>
                <w:sz w:val="18"/>
                <w:szCs w:val="18"/>
              </w:rPr>
            </w:pPr>
            <w:r w:rsidRPr="0021796D">
              <w:rPr>
                <w:rFonts w:ascii="Arial" w:hAnsi="Arial" w:cs="Arial"/>
                <w:b/>
                <w:bCs/>
                <w:sz w:val="18"/>
                <w:szCs w:val="18"/>
              </w:rPr>
              <w:t>Exclusion criteria</w:t>
            </w:r>
          </w:p>
        </w:tc>
      </w:tr>
      <w:tr w:rsidR="00FD058C" w:rsidRPr="0021796D" w14:paraId="2E9D9981" w14:textId="77777777" w:rsidTr="003B1759">
        <w:tc>
          <w:tcPr>
            <w:tcW w:w="1415" w:type="dxa"/>
          </w:tcPr>
          <w:p w14:paraId="766AA3AD" w14:textId="77777777" w:rsidR="00FD058C" w:rsidRPr="0021796D" w:rsidRDefault="00FD058C" w:rsidP="003B1759">
            <w:pPr>
              <w:spacing w:before="240" w:after="240" w:line="276" w:lineRule="auto"/>
              <w:rPr>
                <w:rFonts w:ascii="Arial" w:hAnsi="Arial" w:cs="Arial"/>
                <w:sz w:val="18"/>
                <w:szCs w:val="18"/>
              </w:rPr>
            </w:pPr>
            <w:r w:rsidRPr="0021796D">
              <w:rPr>
                <w:rFonts w:ascii="Arial" w:hAnsi="Arial" w:cs="Arial"/>
                <w:sz w:val="18"/>
                <w:szCs w:val="18"/>
              </w:rPr>
              <w:t xml:space="preserve">EFFECT-Dep </w:t>
            </w:r>
            <w:r w:rsidRPr="0021796D">
              <w:rPr>
                <w:rFonts w:ascii="Arial" w:hAnsi="Arial" w:cs="Arial"/>
                <w:noProof/>
                <w:sz w:val="18"/>
                <w:szCs w:val="18"/>
              </w:rPr>
              <w:t>(Semkovska et al., 2016)</w:t>
            </w:r>
          </w:p>
        </w:tc>
        <w:tc>
          <w:tcPr>
            <w:tcW w:w="1969" w:type="dxa"/>
          </w:tcPr>
          <w:p w14:paraId="74161ECD" w14:textId="77777777" w:rsidR="00FD058C" w:rsidRPr="0021796D" w:rsidRDefault="00FD058C" w:rsidP="003B1759">
            <w:pPr>
              <w:spacing w:before="240" w:after="240" w:line="276" w:lineRule="auto"/>
              <w:rPr>
                <w:rFonts w:ascii="Arial" w:hAnsi="Arial" w:cs="Arial"/>
                <w:sz w:val="18"/>
                <w:szCs w:val="18"/>
              </w:rPr>
            </w:pPr>
            <w:r w:rsidRPr="0021796D">
              <w:rPr>
                <w:rFonts w:ascii="Arial" w:hAnsi="Arial" w:cs="Arial"/>
                <w:sz w:val="18"/>
                <w:szCs w:val="18"/>
              </w:rPr>
              <w:t>2008-2012</w:t>
            </w:r>
          </w:p>
        </w:tc>
        <w:tc>
          <w:tcPr>
            <w:tcW w:w="1720" w:type="dxa"/>
          </w:tcPr>
          <w:p w14:paraId="0FA8A187" w14:textId="77777777" w:rsidR="00FD058C" w:rsidRPr="0021796D" w:rsidRDefault="00FD058C" w:rsidP="003B1759">
            <w:pPr>
              <w:spacing w:before="240" w:after="240" w:line="276" w:lineRule="auto"/>
              <w:rPr>
                <w:rFonts w:ascii="Arial" w:hAnsi="Arial" w:cs="Arial"/>
                <w:sz w:val="18"/>
                <w:szCs w:val="18"/>
              </w:rPr>
            </w:pPr>
            <w:r w:rsidRPr="0021796D">
              <w:rPr>
                <w:rFonts w:ascii="Arial" w:hAnsi="Arial" w:cs="Arial"/>
                <w:sz w:val="18"/>
                <w:szCs w:val="18"/>
              </w:rPr>
              <w:t>Randomised controlled trial</w:t>
            </w:r>
          </w:p>
        </w:tc>
        <w:tc>
          <w:tcPr>
            <w:tcW w:w="3941" w:type="dxa"/>
          </w:tcPr>
          <w:p w14:paraId="53495FAE" w14:textId="77777777" w:rsidR="00FD058C" w:rsidRPr="0021796D" w:rsidRDefault="00FD058C" w:rsidP="003B1759">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 xml:space="preserve">Age </w:t>
            </w:r>
            <w:r w:rsidRPr="0021796D">
              <w:rPr>
                <w:rFonts w:ascii="Arial" w:hAnsi="Arial" w:cs="Arial"/>
                <w:sz w:val="18"/>
                <w:szCs w:val="18"/>
                <w:lang w:val="en-IE"/>
              </w:rPr>
              <w:sym w:font="Symbol" w:char="F0B3"/>
            </w:r>
            <w:r w:rsidRPr="0021796D">
              <w:rPr>
                <w:rFonts w:ascii="Arial" w:hAnsi="Arial" w:cs="Arial"/>
                <w:sz w:val="18"/>
                <w:szCs w:val="18"/>
                <w:lang w:val="en-IE"/>
              </w:rPr>
              <w:t>18 years</w:t>
            </w:r>
          </w:p>
          <w:p w14:paraId="40E8736C" w14:textId="77777777" w:rsidR="00FD058C" w:rsidRPr="0021796D" w:rsidRDefault="00FD058C" w:rsidP="003B1759">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Met DSM-IV diagnostic criteria for major depressive episode (unipolar or bipolar) confirmed using the Structured Clinical Interview for DSM Disorders (SCID)</w:t>
            </w:r>
          </w:p>
          <w:p w14:paraId="30A0CE93" w14:textId="77777777" w:rsidR="00FD058C" w:rsidRPr="0021796D" w:rsidRDefault="00FD058C" w:rsidP="003B1759">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 xml:space="preserve">Scored </w:t>
            </w:r>
            <w:r w:rsidRPr="0021796D">
              <w:rPr>
                <w:rFonts w:ascii="Arial" w:hAnsi="Arial" w:cs="Arial"/>
                <w:sz w:val="18"/>
                <w:szCs w:val="18"/>
                <w:lang w:val="en-IE"/>
              </w:rPr>
              <w:sym w:font="Symbol" w:char="F0B3"/>
            </w:r>
            <w:r w:rsidRPr="0021796D">
              <w:rPr>
                <w:rFonts w:ascii="Arial" w:hAnsi="Arial" w:cs="Arial"/>
                <w:sz w:val="18"/>
                <w:szCs w:val="18"/>
                <w:lang w:val="en-IE"/>
              </w:rPr>
              <w:t>21 on the 24-item Hamilton Depression Rating Scale (HAM-D) at pre-ECT baseline</w:t>
            </w:r>
          </w:p>
        </w:tc>
        <w:tc>
          <w:tcPr>
            <w:tcW w:w="7116" w:type="dxa"/>
          </w:tcPr>
          <w:p w14:paraId="2421BD2A"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Medical conditions rendering patients unﬁt for general anaesthesia or ECT</w:t>
            </w:r>
          </w:p>
          <w:p w14:paraId="3D62ACFB"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ECT in the previous six months</w:t>
            </w:r>
          </w:p>
          <w:p w14:paraId="0D92DFEB"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History of schizophrenia, schizoaffective disorder or dementia</w:t>
            </w:r>
          </w:p>
          <w:p w14:paraId="56A4FFD4"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Alcohol/substance abuse in the previous six months</w:t>
            </w:r>
          </w:p>
          <w:p w14:paraId="12F75078"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Involuntary status</w:t>
            </w:r>
          </w:p>
          <w:p w14:paraId="34D6C703"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Inability or refusal to consent</w:t>
            </w:r>
          </w:p>
        </w:tc>
      </w:tr>
      <w:tr w:rsidR="00FD058C" w:rsidRPr="0021796D" w14:paraId="1D5DDE13" w14:textId="77777777" w:rsidTr="003B1759">
        <w:tc>
          <w:tcPr>
            <w:tcW w:w="1415" w:type="dxa"/>
          </w:tcPr>
          <w:p w14:paraId="6F16B46A" w14:textId="77777777" w:rsidR="00FD058C" w:rsidRPr="0021796D" w:rsidRDefault="00FD058C" w:rsidP="003B1759">
            <w:pPr>
              <w:spacing w:before="240" w:after="240" w:line="276" w:lineRule="auto"/>
              <w:rPr>
                <w:rFonts w:ascii="Arial" w:hAnsi="Arial" w:cs="Arial"/>
                <w:sz w:val="18"/>
                <w:szCs w:val="18"/>
              </w:rPr>
            </w:pPr>
            <w:r w:rsidRPr="0021796D">
              <w:rPr>
                <w:rFonts w:ascii="Arial" w:hAnsi="Arial" w:cs="Arial"/>
                <w:sz w:val="18"/>
                <w:szCs w:val="18"/>
              </w:rPr>
              <w:t xml:space="preserve">KEEP-WELL </w:t>
            </w:r>
            <w:r w:rsidRPr="0021796D">
              <w:rPr>
                <w:rFonts w:ascii="Arial" w:hAnsi="Arial" w:cs="Arial"/>
                <w:noProof/>
                <w:sz w:val="18"/>
                <w:szCs w:val="18"/>
              </w:rPr>
              <w:t>(Finnegan et al., 2019)</w:t>
            </w:r>
          </w:p>
        </w:tc>
        <w:tc>
          <w:tcPr>
            <w:tcW w:w="1969" w:type="dxa"/>
          </w:tcPr>
          <w:p w14:paraId="55143C72" w14:textId="77777777" w:rsidR="00FD058C" w:rsidRPr="0021796D" w:rsidRDefault="00FD058C" w:rsidP="003B1759">
            <w:pPr>
              <w:spacing w:before="240" w:after="240" w:line="276" w:lineRule="auto"/>
              <w:rPr>
                <w:rFonts w:ascii="Arial" w:hAnsi="Arial" w:cs="Arial"/>
                <w:sz w:val="18"/>
                <w:szCs w:val="18"/>
              </w:rPr>
            </w:pPr>
            <w:r w:rsidRPr="0021796D">
              <w:rPr>
                <w:rFonts w:ascii="Arial" w:hAnsi="Arial" w:cs="Arial"/>
                <w:sz w:val="18"/>
                <w:szCs w:val="18"/>
              </w:rPr>
              <w:t>2015-2017</w:t>
            </w:r>
          </w:p>
        </w:tc>
        <w:tc>
          <w:tcPr>
            <w:tcW w:w="1720" w:type="dxa"/>
          </w:tcPr>
          <w:p w14:paraId="045FB783" w14:textId="77777777" w:rsidR="00FD058C" w:rsidRPr="0021796D" w:rsidRDefault="00FD058C" w:rsidP="003B1759">
            <w:pPr>
              <w:spacing w:before="240" w:after="240" w:line="276" w:lineRule="auto"/>
              <w:rPr>
                <w:rFonts w:ascii="Arial" w:hAnsi="Arial" w:cs="Arial"/>
                <w:sz w:val="18"/>
                <w:szCs w:val="18"/>
              </w:rPr>
            </w:pPr>
            <w:r w:rsidRPr="0021796D">
              <w:rPr>
                <w:rFonts w:ascii="Arial" w:hAnsi="Arial" w:cs="Arial"/>
                <w:sz w:val="18"/>
                <w:szCs w:val="18"/>
              </w:rPr>
              <w:t>Observational run-in period during ECT course (prospective cohort study); randomised controlled trial during post-ECT relapse prevention phase</w:t>
            </w:r>
          </w:p>
        </w:tc>
        <w:tc>
          <w:tcPr>
            <w:tcW w:w="3941" w:type="dxa"/>
          </w:tcPr>
          <w:p w14:paraId="670FC4C0" w14:textId="77777777" w:rsidR="00FD058C" w:rsidRPr="0021796D" w:rsidRDefault="00FD058C" w:rsidP="000667AD">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 xml:space="preserve">Age </w:t>
            </w:r>
            <w:r w:rsidRPr="0021796D">
              <w:rPr>
                <w:rFonts w:ascii="Arial" w:hAnsi="Arial" w:cs="Arial"/>
                <w:sz w:val="18"/>
                <w:szCs w:val="18"/>
                <w:lang w:val="en-IE"/>
              </w:rPr>
              <w:sym w:font="Symbol" w:char="F0B3"/>
            </w:r>
            <w:r w:rsidRPr="0021796D">
              <w:rPr>
                <w:rFonts w:ascii="Arial" w:hAnsi="Arial" w:cs="Arial"/>
                <w:sz w:val="18"/>
                <w:szCs w:val="18"/>
                <w:lang w:val="en-IE"/>
              </w:rPr>
              <w:t>18 years</w:t>
            </w:r>
          </w:p>
          <w:p w14:paraId="62FBE160" w14:textId="77777777" w:rsidR="00FD058C" w:rsidRPr="0021796D" w:rsidRDefault="00FD058C" w:rsidP="000667AD">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Met DSM-IV diagnostic criteria for unipolar major depressive episode confirmed using the SCID</w:t>
            </w:r>
          </w:p>
          <w:p w14:paraId="740201BA" w14:textId="77777777" w:rsidR="00FD058C" w:rsidRPr="0021796D" w:rsidRDefault="00FD058C" w:rsidP="000667AD">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 xml:space="preserve">Scored </w:t>
            </w:r>
            <w:r w:rsidRPr="0021796D">
              <w:rPr>
                <w:rFonts w:ascii="Arial" w:hAnsi="Arial" w:cs="Arial"/>
                <w:sz w:val="18"/>
                <w:szCs w:val="18"/>
                <w:lang w:val="en-IE"/>
              </w:rPr>
              <w:sym w:font="Symbol" w:char="F0B3"/>
            </w:r>
            <w:r w:rsidRPr="0021796D">
              <w:rPr>
                <w:rFonts w:ascii="Arial" w:hAnsi="Arial" w:cs="Arial"/>
                <w:sz w:val="18"/>
                <w:szCs w:val="18"/>
                <w:lang w:val="en-IE"/>
              </w:rPr>
              <w:t>21 on the 24-item HAM-D at pre-ECT baseline</w:t>
            </w:r>
          </w:p>
        </w:tc>
        <w:tc>
          <w:tcPr>
            <w:tcW w:w="7116" w:type="dxa"/>
          </w:tcPr>
          <w:p w14:paraId="0C094551"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Allergy/sensitivity to study medications or their ingredients.</w:t>
            </w:r>
          </w:p>
          <w:p w14:paraId="5AB4FAEF"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Subjects who have participated in another study and received any other investigational agent within 6 months.</w:t>
            </w:r>
          </w:p>
          <w:p w14:paraId="6C0B79BD"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Any condition rendering patient medically unfit for ECT, general anaesthesia, ketamine or midazolam - assessed by physical examination, routine haematology and biochemistry investigations prior to enrolment.</w:t>
            </w:r>
          </w:p>
          <w:p w14:paraId="0F4A3C7A"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Medications that may significantly alter the pharmacokinetics of ketamine (e.g. ketoconazole, clarithromycin) are contraindicated during the trial, and participants taking any of these medications at screening will be excluded from the trial.</w:t>
            </w:r>
          </w:p>
          <w:p w14:paraId="2DFECEB1"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Subjects who have a history of drug or alcohol use that, in the opinion of the investigator, would interfere with adherence to study requirements.</w:t>
            </w:r>
          </w:p>
          <w:p w14:paraId="234C22E3"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Known history of, or documented positive hepatitis B or C or HIV infection, advanced malignancy or terminal illness.</w:t>
            </w:r>
          </w:p>
          <w:p w14:paraId="3AE315FD"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Scheduled for non-trial procedures requiring general anaesthesia during the study.</w:t>
            </w:r>
          </w:p>
          <w:p w14:paraId="34CF553D"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lastRenderedPageBreak/>
              <w:t>Active suicidal intent.</w:t>
            </w:r>
          </w:p>
          <w:p w14:paraId="1105E632"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Dementia, intellectual disability or a score of &lt;24 on the standardised Mini Mental State Examination.</w:t>
            </w:r>
          </w:p>
          <w:p w14:paraId="2A5CC842"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Lifetime history of bipolar affective disorder.</w:t>
            </w:r>
          </w:p>
          <w:p w14:paraId="447B5961"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Current post-traumatic stress disorder.</w:t>
            </w:r>
          </w:p>
          <w:p w14:paraId="4B20AA11"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Other Axis I diagnosis (DSM-IV).</w:t>
            </w:r>
          </w:p>
          <w:p w14:paraId="3F29211F"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ECT in the six months prior to recruitment.</w:t>
            </w:r>
          </w:p>
          <w:p w14:paraId="27E87F06" w14:textId="77777777" w:rsidR="00FD058C" w:rsidRPr="0021796D" w:rsidRDefault="00FD058C" w:rsidP="00160950">
            <w:pPr>
              <w:pStyle w:val="ListParagraph"/>
              <w:numPr>
                <w:ilvl w:val="0"/>
                <w:numId w:val="6"/>
              </w:numPr>
              <w:spacing w:before="240" w:after="240"/>
              <w:rPr>
                <w:rFonts w:ascii="Arial" w:hAnsi="Arial" w:cs="Arial"/>
                <w:sz w:val="18"/>
                <w:szCs w:val="18"/>
                <w:lang w:val="en-IE"/>
              </w:rPr>
            </w:pPr>
            <w:r w:rsidRPr="0021796D">
              <w:rPr>
                <w:rFonts w:ascii="Arial" w:hAnsi="Arial" w:cs="Arial"/>
                <w:sz w:val="18"/>
                <w:szCs w:val="18"/>
                <w:lang w:val="en-IE"/>
              </w:rPr>
              <w:t>14. Currently a prisoner or residing in a nursing home.</w:t>
            </w:r>
          </w:p>
        </w:tc>
      </w:tr>
      <w:tr w:rsidR="00FD058C" w:rsidRPr="0021796D" w14:paraId="570318C3" w14:textId="77777777" w:rsidTr="003B1759">
        <w:tc>
          <w:tcPr>
            <w:tcW w:w="1415" w:type="dxa"/>
          </w:tcPr>
          <w:p w14:paraId="351D5106" w14:textId="77777777" w:rsidR="00FD058C" w:rsidRPr="0021796D" w:rsidRDefault="00FD058C" w:rsidP="003B1759">
            <w:pPr>
              <w:spacing w:before="240" w:after="240" w:line="276" w:lineRule="auto"/>
              <w:rPr>
                <w:rFonts w:ascii="Arial" w:hAnsi="Arial" w:cs="Arial"/>
                <w:sz w:val="18"/>
                <w:szCs w:val="18"/>
              </w:rPr>
            </w:pPr>
            <w:r w:rsidRPr="0021796D">
              <w:rPr>
                <w:rFonts w:ascii="Arial" w:hAnsi="Arial" w:cs="Arial"/>
                <w:sz w:val="18"/>
                <w:szCs w:val="18"/>
              </w:rPr>
              <w:lastRenderedPageBreak/>
              <w:t xml:space="preserve">AMBER-Dep </w:t>
            </w:r>
            <w:r w:rsidRPr="0021796D">
              <w:rPr>
                <w:rFonts w:ascii="Arial" w:hAnsi="Arial" w:cs="Arial"/>
                <w:noProof/>
                <w:sz w:val="18"/>
                <w:szCs w:val="18"/>
              </w:rPr>
              <w:t>(Whooley et al., 2024)</w:t>
            </w:r>
          </w:p>
        </w:tc>
        <w:tc>
          <w:tcPr>
            <w:tcW w:w="1969" w:type="dxa"/>
          </w:tcPr>
          <w:p w14:paraId="40BA3004" w14:textId="77777777" w:rsidR="00FD058C" w:rsidRPr="0021796D" w:rsidRDefault="00FD058C" w:rsidP="003B1759">
            <w:pPr>
              <w:spacing w:before="240" w:after="240" w:line="276" w:lineRule="auto"/>
              <w:rPr>
                <w:rFonts w:ascii="Arial" w:hAnsi="Arial" w:cs="Arial"/>
                <w:sz w:val="18"/>
                <w:szCs w:val="18"/>
              </w:rPr>
            </w:pPr>
            <w:r w:rsidRPr="0021796D">
              <w:rPr>
                <w:rFonts w:ascii="Arial" w:hAnsi="Arial" w:cs="Arial"/>
                <w:sz w:val="18"/>
                <w:szCs w:val="18"/>
              </w:rPr>
              <w:t>2017-2019</w:t>
            </w:r>
          </w:p>
        </w:tc>
        <w:tc>
          <w:tcPr>
            <w:tcW w:w="1720" w:type="dxa"/>
          </w:tcPr>
          <w:p w14:paraId="41D0E551" w14:textId="77777777" w:rsidR="00FD058C" w:rsidRPr="0021796D" w:rsidRDefault="00FD058C" w:rsidP="003B1759">
            <w:pPr>
              <w:spacing w:before="240" w:after="240" w:line="276" w:lineRule="auto"/>
              <w:rPr>
                <w:rFonts w:ascii="Arial" w:hAnsi="Arial" w:cs="Arial"/>
                <w:sz w:val="18"/>
                <w:szCs w:val="18"/>
              </w:rPr>
            </w:pPr>
            <w:r w:rsidRPr="0021796D">
              <w:rPr>
                <w:rFonts w:ascii="Arial" w:hAnsi="Arial" w:cs="Arial"/>
                <w:sz w:val="18"/>
                <w:szCs w:val="18"/>
              </w:rPr>
              <w:t>Prospective cohort study</w:t>
            </w:r>
          </w:p>
        </w:tc>
        <w:tc>
          <w:tcPr>
            <w:tcW w:w="3941" w:type="dxa"/>
          </w:tcPr>
          <w:p w14:paraId="05FA226E" w14:textId="77777777" w:rsidR="00FD058C" w:rsidRPr="0021796D" w:rsidRDefault="00FD058C" w:rsidP="003B1759">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 xml:space="preserve">Age </w:t>
            </w:r>
            <w:r w:rsidRPr="0021796D">
              <w:rPr>
                <w:rFonts w:ascii="Arial" w:hAnsi="Arial" w:cs="Arial"/>
                <w:sz w:val="18"/>
                <w:szCs w:val="18"/>
                <w:lang w:val="en-IE"/>
              </w:rPr>
              <w:sym w:font="Symbol" w:char="F0B3"/>
            </w:r>
            <w:r w:rsidRPr="0021796D">
              <w:rPr>
                <w:rFonts w:ascii="Arial" w:hAnsi="Arial" w:cs="Arial"/>
                <w:sz w:val="18"/>
                <w:szCs w:val="18"/>
                <w:lang w:val="en-IE"/>
              </w:rPr>
              <w:t>18 years</w:t>
            </w:r>
          </w:p>
          <w:p w14:paraId="68078CCE" w14:textId="77777777" w:rsidR="00FD058C" w:rsidRPr="0021796D" w:rsidRDefault="00FD058C" w:rsidP="003B1759">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Met ICD-10 clinical criteria for a depressive episode (unipolar or bipolar)</w:t>
            </w:r>
          </w:p>
          <w:p w14:paraId="04B1B98B" w14:textId="77777777" w:rsidR="00FD058C" w:rsidRPr="0021796D" w:rsidRDefault="00FD058C" w:rsidP="003B1759">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 xml:space="preserve">Scored </w:t>
            </w:r>
            <w:r w:rsidRPr="0021796D">
              <w:rPr>
                <w:rFonts w:ascii="Arial" w:hAnsi="Arial" w:cs="Arial"/>
                <w:sz w:val="18"/>
                <w:szCs w:val="18"/>
                <w:lang w:val="en-IE"/>
              </w:rPr>
              <w:sym w:font="Symbol" w:char="F0B3"/>
            </w:r>
            <w:r w:rsidRPr="0021796D">
              <w:rPr>
                <w:rFonts w:ascii="Arial" w:hAnsi="Arial" w:cs="Arial"/>
                <w:sz w:val="18"/>
                <w:szCs w:val="18"/>
                <w:lang w:val="en-IE"/>
              </w:rPr>
              <w:t>21 on the 24-item HAM-D at pre-ECT baseline</w:t>
            </w:r>
          </w:p>
        </w:tc>
        <w:tc>
          <w:tcPr>
            <w:tcW w:w="7116" w:type="dxa"/>
          </w:tcPr>
          <w:p w14:paraId="3127C2E4"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Conditions rendering patients unﬁt for general anaesthesia or ECT</w:t>
            </w:r>
          </w:p>
          <w:p w14:paraId="5D6C83E9"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ECT in the previous six months</w:t>
            </w:r>
          </w:p>
          <w:p w14:paraId="270D6EBE"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History of schizophrenia, schizoaffective disorder or neurological disorder</w:t>
            </w:r>
          </w:p>
          <w:p w14:paraId="495E347B"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Alcohol/substance abuse in the previous six months</w:t>
            </w:r>
          </w:p>
          <w:p w14:paraId="3E103B22"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Involuntary status</w:t>
            </w:r>
          </w:p>
          <w:p w14:paraId="0FB96923"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Inability or refusal to consent</w:t>
            </w:r>
          </w:p>
        </w:tc>
      </w:tr>
      <w:tr w:rsidR="00FD058C" w:rsidRPr="0021796D" w14:paraId="5C9F5A76" w14:textId="77777777" w:rsidTr="003B1759">
        <w:tc>
          <w:tcPr>
            <w:tcW w:w="1415" w:type="dxa"/>
          </w:tcPr>
          <w:p w14:paraId="2CD9E1C2" w14:textId="77777777" w:rsidR="00FD058C" w:rsidRPr="0021796D" w:rsidRDefault="00FD058C" w:rsidP="003B1759">
            <w:pPr>
              <w:spacing w:before="240" w:after="240" w:line="276" w:lineRule="auto"/>
              <w:rPr>
                <w:rFonts w:ascii="Arial" w:hAnsi="Arial" w:cs="Arial"/>
                <w:sz w:val="18"/>
                <w:szCs w:val="18"/>
              </w:rPr>
            </w:pPr>
            <w:r w:rsidRPr="0021796D">
              <w:rPr>
                <w:rFonts w:ascii="Arial" w:hAnsi="Arial" w:cs="Arial"/>
                <w:sz w:val="18"/>
                <w:szCs w:val="18"/>
              </w:rPr>
              <w:t>CARE-Dep (unpublished)</w:t>
            </w:r>
          </w:p>
        </w:tc>
        <w:tc>
          <w:tcPr>
            <w:tcW w:w="1969" w:type="dxa"/>
          </w:tcPr>
          <w:p w14:paraId="3DB69F0D" w14:textId="77777777" w:rsidR="00FD058C" w:rsidRPr="0021796D" w:rsidRDefault="00FD058C" w:rsidP="003B1759">
            <w:pPr>
              <w:spacing w:before="240" w:after="240" w:line="276" w:lineRule="auto"/>
              <w:rPr>
                <w:rFonts w:ascii="Arial" w:hAnsi="Arial" w:cs="Arial"/>
                <w:sz w:val="18"/>
                <w:szCs w:val="18"/>
              </w:rPr>
            </w:pPr>
            <w:r w:rsidRPr="0021796D">
              <w:rPr>
                <w:rFonts w:ascii="Arial" w:hAnsi="Arial" w:cs="Arial"/>
                <w:sz w:val="18"/>
                <w:szCs w:val="18"/>
              </w:rPr>
              <w:t>2023-2024</w:t>
            </w:r>
          </w:p>
        </w:tc>
        <w:tc>
          <w:tcPr>
            <w:tcW w:w="1720" w:type="dxa"/>
          </w:tcPr>
          <w:p w14:paraId="22008BD1" w14:textId="77777777" w:rsidR="00FD058C" w:rsidRPr="0021796D" w:rsidRDefault="00FD058C" w:rsidP="003B1759">
            <w:pPr>
              <w:spacing w:before="240" w:after="240" w:line="276" w:lineRule="auto"/>
              <w:rPr>
                <w:rFonts w:ascii="Arial" w:hAnsi="Arial" w:cs="Arial"/>
                <w:sz w:val="18"/>
                <w:szCs w:val="18"/>
              </w:rPr>
            </w:pPr>
            <w:r w:rsidRPr="0021796D">
              <w:rPr>
                <w:rFonts w:ascii="Arial" w:hAnsi="Arial" w:cs="Arial"/>
                <w:sz w:val="18"/>
                <w:szCs w:val="18"/>
              </w:rPr>
              <w:t>Prospective cohort study</w:t>
            </w:r>
          </w:p>
        </w:tc>
        <w:tc>
          <w:tcPr>
            <w:tcW w:w="3941" w:type="dxa"/>
          </w:tcPr>
          <w:p w14:paraId="0A009F74" w14:textId="77777777" w:rsidR="00FD058C" w:rsidRPr="0021796D" w:rsidRDefault="00FD058C" w:rsidP="003B1759">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 xml:space="preserve">Age </w:t>
            </w:r>
            <w:r w:rsidRPr="0021796D">
              <w:rPr>
                <w:rFonts w:ascii="Arial" w:hAnsi="Arial" w:cs="Arial"/>
                <w:sz w:val="18"/>
                <w:szCs w:val="18"/>
                <w:lang w:val="en-IE"/>
              </w:rPr>
              <w:sym w:font="Symbol" w:char="F0B3"/>
            </w:r>
            <w:r w:rsidRPr="0021796D">
              <w:rPr>
                <w:rFonts w:ascii="Arial" w:hAnsi="Arial" w:cs="Arial"/>
                <w:sz w:val="18"/>
                <w:szCs w:val="18"/>
                <w:lang w:val="en-IE"/>
              </w:rPr>
              <w:t>18 years</w:t>
            </w:r>
          </w:p>
          <w:p w14:paraId="54F1E667" w14:textId="77777777" w:rsidR="00FD058C" w:rsidRPr="0021796D" w:rsidRDefault="00FD058C" w:rsidP="003B1759">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Met DSM-5 diagnostic criteria for a major depressive episode (unipolar or bipolar) confirmed using the SCID</w:t>
            </w:r>
          </w:p>
          <w:p w14:paraId="5F20DF46" w14:textId="77777777" w:rsidR="00FD058C" w:rsidRPr="0021796D" w:rsidRDefault="00FD058C" w:rsidP="003B1759">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 xml:space="preserve">Scored </w:t>
            </w:r>
            <w:r w:rsidRPr="0021796D">
              <w:rPr>
                <w:rFonts w:ascii="Arial" w:hAnsi="Arial" w:cs="Arial"/>
                <w:sz w:val="18"/>
                <w:szCs w:val="18"/>
                <w:lang w:val="en-IE"/>
              </w:rPr>
              <w:sym w:font="Symbol" w:char="F0B3"/>
            </w:r>
            <w:r w:rsidRPr="0021796D">
              <w:rPr>
                <w:rFonts w:ascii="Arial" w:hAnsi="Arial" w:cs="Arial"/>
                <w:sz w:val="18"/>
                <w:szCs w:val="18"/>
                <w:lang w:val="en-IE"/>
              </w:rPr>
              <w:t>21 on the 24-item HAM-D at pre-ECT baseline</w:t>
            </w:r>
          </w:p>
        </w:tc>
        <w:tc>
          <w:tcPr>
            <w:tcW w:w="7116" w:type="dxa"/>
          </w:tcPr>
          <w:p w14:paraId="0B2262D0"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Lifetime diagnosis of schizoaffective disorder or schizophrenia</w:t>
            </w:r>
          </w:p>
          <w:p w14:paraId="41358BFF"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Active psychiatric comorbidity in the past six months (except anxiety disorders if deemed secondary to depression)</w:t>
            </w:r>
          </w:p>
          <w:p w14:paraId="3E488596"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Substance use disorder in the past six months</w:t>
            </w:r>
          </w:p>
          <w:p w14:paraId="7F399E0F"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Acute course of ECT in the past three months (maintenance ECT in the past three months is permitted)</w:t>
            </w:r>
          </w:p>
          <w:p w14:paraId="6071AC18"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lastRenderedPageBreak/>
              <w:t>Neurological or active/unstable major medical condition that may affect memory function</w:t>
            </w:r>
          </w:p>
          <w:p w14:paraId="03E3FE4C" w14:textId="77777777" w:rsidR="00FD058C" w:rsidRPr="0021796D" w:rsidRDefault="00FD058C" w:rsidP="00160950">
            <w:pPr>
              <w:pStyle w:val="ListParagraph"/>
              <w:numPr>
                <w:ilvl w:val="0"/>
                <w:numId w:val="5"/>
              </w:numPr>
              <w:spacing w:before="240" w:after="240"/>
              <w:rPr>
                <w:rFonts w:ascii="Arial" w:hAnsi="Arial" w:cs="Arial"/>
                <w:sz w:val="18"/>
                <w:szCs w:val="18"/>
                <w:lang w:val="en-IE"/>
              </w:rPr>
            </w:pPr>
            <w:r w:rsidRPr="0021796D">
              <w:rPr>
                <w:rFonts w:ascii="Arial" w:hAnsi="Arial" w:cs="Arial"/>
                <w:sz w:val="18"/>
                <w:szCs w:val="18"/>
                <w:lang w:val="en-IE"/>
              </w:rPr>
              <w:t>Lack of capacity to consent to research or involuntary status</w:t>
            </w:r>
          </w:p>
        </w:tc>
      </w:tr>
    </w:tbl>
    <w:p w14:paraId="685E4B30" w14:textId="77777777" w:rsidR="00FD058C" w:rsidRPr="0021796D" w:rsidRDefault="00FD058C" w:rsidP="008648ED">
      <w:pPr>
        <w:spacing w:before="240" w:after="240" w:line="276" w:lineRule="auto"/>
        <w:rPr>
          <w:rFonts w:ascii="Arial" w:hAnsi="Arial" w:cs="Arial"/>
          <w:sz w:val="18"/>
          <w:szCs w:val="18"/>
        </w:rPr>
      </w:pPr>
    </w:p>
    <w:p w14:paraId="047766FA" w14:textId="77777777" w:rsidR="00FD058C" w:rsidRPr="0021796D" w:rsidRDefault="00FD058C" w:rsidP="00366F0D">
      <w:pPr>
        <w:spacing w:after="240" w:line="276" w:lineRule="auto"/>
        <w:rPr>
          <w:rFonts w:ascii="Arial" w:hAnsi="Arial" w:cs="Arial"/>
          <w:sz w:val="21"/>
          <w:szCs w:val="21"/>
        </w:rPr>
      </w:pPr>
      <w:r w:rsidRPr="0021796D">
        <w:rPr>
          <w:rFonts w:ascii="Arial" w:hAnsi="Arial" w:cs="Arial"/>
          <w:b/>
          <w:bCs/>
          <w:sz w:val="22"/>
          <w:szCs w:val="22"/>
        </w:rPr>
        <w:br w:type="page"/>
      </w:r>
      <w:r w:rsidRPr="0021796D">
        <w:rPr>
          <w:rFonts w:ascii="Arial" w:hAnsi="Arial" w:cs="Arial"/>
          <w:b/>
          <w:bCs/>
          <w:sz w:val="21"/>
          <w:szCs w:val="21"/>
        </w:rPr>
        <w:lastRenderedPageBreak/>
        <w:t>Table S2</w:t>
      </w:r>
      <w:r w:rsidRPr="0021796D">
        <w:rPr>
          <w:rFonts w:ascii="Arial" w:hAnsi="Arial" w:cs="Arial"/>
          <w:sz w:val="21"/>
          <w:szCs w:val="21"/>
        </w:rPr>
        <w:t>. Summaries of HAM-D scores and change in HAM-D scores by ECT study</w:t>
      </w:r>
    </w:p>
    <w:tbl>
      <w:tblPr>
        <w:tblStyle w:val="TableGrid"/>
        <w:tblW w:w="15527" w:type="dxa"/>
        <w:tblLook w:val="04A0" w:firstRow="1" w:lastRow="0" w:firstColumn="1" w:lastColumn="0" w:noHBand="0" w:noVBand="1"/>
      </w:tblPr>
      <w:tblGrid>
        <w:gridCol w:w="3143"/>
        <w:gridCol w:w="2476"/>
        <w:gridCol w:w="2477"/>
        <w:gridCol w:w="2477"/>
        <w:gridCol w:w="2477"/>
        <w:gridCol w:w="2477"/>
      </w:tblGrid>
      <w:tr w:rsidR="00FD058C" w:rsidRPr="0021796D" w14:paraId="5698E3C7" w14:textId="77777777" w:rsidTr="00917FA3">
        <w:trPr>
          <w:trHeight w:val="884"/>
        </w:trPr>
        <w:tc>
          <w:tcPr>
            <w:tcW w:w="3143" w:type="dxa"/>
            <w:vAlign w:val="center"/>
          </w:tcPr>
          <w:p w14:paraId="73B645EE" w14:textId="77777777" w:rsidR="00FD058C" w:rsidRPr="0021796D" w:rsidRDefault="00FD058C" w:rsidP="00917FA3">
            <w:pPr>
              <w:spacing w:line="360" w:lineRule="auto"/>
              <w:rPr>
                <w:rFonts w:ascii="Arial" w:hAnsi="Arial" w:cs="Arial"/>
                <w:b/>
                <w:bCs/>
                <w:sz w:val="21"/>
                <w:szCs w:val="21"/>
              </w:rPr>
            </w:pPr>
            <w:r w:rsidRPr="0021796D">
              <w:rPr>
                <w:rFonts w:ascii="Arial" w:hAnsi="Arial" w:cs="Arial"/>
                <w:b/>
                <w:bCs/>
                <w:sz w:val="21"/>
                <w:szCs w:val="21"/>
              </w:rPr>
              <w:t>Variable</w:t>
            </w:r>
          </w:p>
        </w:tc>
        <w:tc>
          <w:tcPr>
            <w:tcW w:w="2476" w:type="dxa"/>
            <w:vAlign w:val="center"/>
          </w:tcPr>
          <w:p w14:paraId="32A5B5BF" w14:textId="77777777" w:rsidR="00FD058C" w:rsidRPr="0021796D" w:rsidRDefault="00FD058C" w:rsidP="00917FA3">
            <w:pPr>
              <w:spacing w:line="360" w:lineRule="auto"/>
              <w:jc w:val="center"/>
              <w:rPr>
                <w:rFonts w:ascii="Arial" w:hAnsi="Arial" w:cs="Arial"/>
                <w:b/>
                <w:bCs/>
                <w:sz w:val="21"/>
                <w:szCs w:val="21"/>
              </w:rPr>
            </w:pPr>
            <w:r w:rsidRPr="0021796D">
              <w:rPr>
                <w:rFonts w:ascii="Arial" w:hAnsi="Arial" w:cs="Arial"/>
                <w:b/>
                <w:bCs/>
                <w:sz w:val="21"/>
                <w:szCs w:val="21"/>
              </w:rPr>
              <w:t>Total sample                 (</w:t>
            </w:r>
            <w:r w:rsidRPr="009014F6">
              <w:rPr>
                <w:rFonts w:ascii="Arial" w:hAnsi="Arial" w:cs="Arial"/>
                <w:b/>
                <w:bCs/>
                <w:i/>
                <w:iCs/>
                <w:sz w:val="21"/>
                <w:szCs w:val="21"/>
              </w:rPr>
              <w:t>n</w:t>
            </w:r>
            <w:r w:rsidRPr="0021796D">
              <w:rPr>
                <w:rFonts w:ascii="Arial" w:hAnsi="Arial" w:cs="Arial"/>
                <w:b/>
                <w:bCs/>
                <w:sz w:val="21"/>
                <w:szCs w:val="21"/>
              </w:rPr>
              <w:t xml:space="preserve"> = 256)</w:t>
            </w:r>
          </w:p>
        </w:tc>
        <w:tc>
          <w:tcPr>
            <w:tcW w:w="2477" w:type="dxa"/>
            <w:vAlign w:val="center"/>
          </w:tcPr>
          <w:p w14:paraId="1A3A24A6" w14:textId="77777777" w:rsidR="00FD058C" w:rsidRPr="0021796D" w:rsidRDefault="00FD058C" w:rsidP="00917FA3">
            <w:pPr>
              <w:spacing w:line="360" w:lineRule="auto"/>
              <w:jc w:val="center"/>
              <w:rPr>
                <w:rFonts w:ascii="Arial" w:hAnsi="Arial" w:cs="Arial"/>
                <w:b/>
                <w:bCs/>
                <w:sz w:val="21"/>
                <w:szCs w:val="21"/>
              </w:rPr>
            </w:pPr>
            <w:r w:rsidRPr="0021796D">
              <w:rPr>
                <w:rFonts w:ascii="Arial" w:hAnsi="Arial" w:cs="Arial"/>
                <w:b/>
                <w:bCs/>
                <w:sz w:val="21"/>
                <w:szCs w:val="21"/>
              </w:rPr>
              <w:t>EFFECT-Dep                 (</w:t>
            </w:r>
            <w:r w:rsidRPr="009014F6">
              <w:rPr>
                <w:rFonts w:ascii="Arial" w:hAnsi="Arial" w:cs="Arial"/>
                <w:b/>
                <w:bCs/>
                <w:i/>
                <w:iCs/>
                <w:sz w:val="21"/>
                <w:szCs w:val="21"/>
              </w:rPr>
              <w:t>n</w:t>
            </w:r>
            <w:r w:rsidRPr="0021796D">
              <w:rPr>
                <w:rFonts w:ascii="Arial" w:hAnsi="Arial" w:cs="Arial"/>
                <w:b/>
                <w:bCs/>
                <w:sz w:val="21"/>
                <w:szCs w:val="21"/>
              </w:rPr>
              <w:t xml:space="preserve"> = 134)</w:t>
            </w:r>
          </w:p>
        </w:tc>
        <w:tc>
          <w:tcPr>
            <w:tcW w:w="2477" w:type="dxa"/>
            <w:vAlign w:val="center"/>
          </w:tcPr>
          <w:p w14:paraId="439CB9FD" w14:textId="77777777" w:rsidR="00FD058C" w:rsidRPr="0021796D" w:rsidRDefault="00FD058C" w:rsidP="00917FA3">
            <w:pPr>
              <w:spacing w:line="360" w:lineRule="auto"/>
              <w:jc w:val="center"/>
              <w:rPr>
                <w:rFonts w:ascii="Arial" w:hAnsi="Arial" w:cs="Arial"/>
                <w:b/>
                <w:bCs/>
                <w:sz w:val="21"/>
                <w:szCs w:val="21"/>
              </w:rPr>
            </w:pPr>
            <w:r w:rsidRPr="0021796D">
              <w:rPr>
                <w:rFonts w:ascii="Arial" w:hAnsi="Arial" w:cs="Arial"/>
                <w:b/>
                <w:bCs/>
                <w:sz w:val="21"/>
                <w:szCs w:val="21"/>
              </w:rPr>
              <w:t>KEEP-WELL                  (</w:t>
            </w:r>
            <w:r w:rsidRPr="009014F6">
              <w:rPr>
                <w:rFonts w:ascii="Arial" w:hAnsi="Arial" w:cs="Arial"/>
                <w:b/>
                <w:bCs/>
                <w:i/>
                <w:iCs/>
                <w:sz w:val="21"/>
                <w:szCs w:val="21"/>
              </w:rPr>
              <w:t>n</w:t>
            </w:r>
            <w:r w:rsidRPr="0021796D">
              <w:rPr>
                <w:rFonts w:ascii="Arial" w:hAnsi="Arial" w:cs="Arial"/>
                <w:b/>
                <w:bCs/>
                <w:sz w:val="21"/>
                <w:szCs w:val="21"/>
              </w:rPr>
              <w:t xml:space="preserve"> = 46)</w:t>
            </w:r>
          </w:p>
        </w:tc>
        <w:tc>
          <w:tcPr>
            <w:tcW w:w="2477" w:type="dxa"/>
            <w:vAlign w:val="center"/>
          </w:tcPr>
          <w:p w14:paraId="6E97F5E6" w14:textId="77777777" w:rsidR="00FD058C" w:rsidRPr="0021796D" w:rsidRDefault="00FD058C" w:rsidP="00917FA3">
            <w:pPr>
              <w:spacing w:line="360" w:lineRule="auto"/>
              <w:jc w:val="center"/>
              <w:rPr>
                <w:rFonts w:ascii="Arial" w:hAnsi="Arial" w:cs="Arial"/>
                <w:b/>
                <w:bCs/>
                <w:sz w:val="21"/>
                <w:szCs w:val="21"/>
              </w:rPr>
            </w:pPr>
            <w:r w:rsidRPr="0021796D">
              <w:rPr>
                <w:rFonts w:ascii="Arial" w:hAnsi="Arial" w:cs="Arial"/>
                <w:b/>
                <w:bCs/>
                <w:sz w:val="21"/>
                <w:szCs w:val="21"/>
              </w:rPr>
              <w:t>AMBER-Dep                  (</w:t>
            </w:r>
            <w:r w:rsidRPr="009014F6">
              <w:rPr>
                <w:rFonts w:ascii="Arial" w:hAnsi="Arial" w:cs="Arial"/>
                <w:b/>
                <w:bCs/>
                <w:i/>
                <w:iCs/>
                <w:sz w:val="21"/>
                <w:szCs w:val="21"/>
              </w:rPr>
              <w:t>n</w:t>
            </w:r>
            <w:r w:rsidRPr="0021796D">
              <w:rPr>
                <w:rFonts w:ascii="Arial" w:hAnsi="Arial" w:cs="Arial"/>
                <w:b/>
                <w:bCs/>
                <w:sz w:val="21"/>
                <w:szCs w:val="21"/>
              </w:rPr>
              <w:t xml:space="preserve"> = 38)</w:t>
            </w:r>
          </w:p>
        </w:tc>
        <w:tc>
          <w:tcPr>
            <w:tcW w:w="2477" w:type="dxa"/>
            <w:vAlign w:val="center"/>
          </w:tcPr>
          <w:p w14:paraId="56C17456" w14:textId="77777777" w:rsidR="00FD058C" w:rsidRPr="0021796D" w:rsidRDefault="00FD058C" w:rsidP="00917FA3">
            <w:pPr>
              <w:spacing w:line="360" w:lineRule="auto"/>
              <w:jc w:val="center"/>
              <w:rPr>
                <w:rFonts w:ascii="Arial" w:hAnsi="Arial" w:cs="Arial"/>
                <w:b/>
                <w:bCs/>
                <w:sz w:val="21"/>
                <w:szCs w:val="21"/>
              </w:rPr>
            </w:pPr>
            <w:r w:rsidRPr="0021796D">
              <w:rPr>
                <w:rFonts w:ascii="Arial" w:hAnsi="Arial" w:cs="Arial"/>
                <w:b/>
                <w:bCs/>
                <w:sz w:val="21"/>
                <w:szCs w:val="21"/>
              </w:rPr>
              <w:t>CARE-Dep                    (</w:t>
            </w:r>
            <w:r w:rsidRPr="009014F6">
              <w:rPr>
                <w:rFonts w:ascii="Arial" w:hAnsi="Arial" w:cs="Arial"/>
                <w:b/>
                <w:bCs/>
                <w:i/>
                <w:iCs/>
                <w:sz w:val="21"/>
                <w:szCs w:val="21"/>
              </w:rPr>
              <w:t>n</w:t>
            </w:r>
            <w:r w:rsidRPr="0021796D">
              <w:rPr>
                <w:rFonts w:ascii="Arial" w:hAnsi="Arial" w:cs="Arial"/>
                <w:b/>
                <w:bCs/>
                <w:sz w:val="21"/>
                <w:szCs w:val="21"/>
              </w:rPr>
              <w:t xml:space="preserve"> = 38)</w:t>
            </w:r>
          </w:p>
        </w:tc>
      </w:tr>
      <w:tr w:rsidR="00FD058C" w:rsidRPr="0021796D" w14:paraId="05EADA41" w14:textId="77777777" w:rsidTr="003F053E">
        <w:trPr>
          <w:trHeight w:val="520"/>
        </w:trPr>
        <w:tc>
          <w:tcPr>
            <w:tcW w:w="3143" w:type="dxa"/>
            <w:vAlign w:val="center"/>
          </w:tcPr>
          <w:p w14:paraId="42672FA5" w14:textId="77777777" w:rsidR="00FD058C" w:rsidRPr="0021796D" w:rsidRDefault="00FD058C" w:rsidP="00160950">
            <w:pPr>
              <w:spacing w:line="360" w:lineRule="auto"/>
              <w:rPr>
                <w:rFonts w:ascii="Arial" w:hAnsi="Arial" w:cs="Arial"/>
                <w:sz w:val="21"/>
                <w:szCs w:val="21"/>
              </w:rPr>
            </w:pPr>
            <w:r w:rsidRPr="0021796D">
              <w:rPr>
                <w:rFonts w:ascii="Arial" w:hAnsi="Arial" w:cs="Arial"/>
                <w:sz w:val="21"/>
                <w:szCs w:val="21"/>
              </w:rPr>
              <w:t>Pre-ECT HAM-D, mean (SD)</w:t>
            </w:r>
          </w:p>
        </w:tc>
        <w:tc>
          <w:tcPr>
            <w:tcW w:w="2476" w:type="dxa"/>
            <w:vAlign w:val="center"/>
          </w:tcPr>
          <w:p w14:paraId="0B9BAB6E"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29.0 (6.1)</w:t>
            </w:r>
          </w:p>
        </w:tc>
        <w:tc>
          <w:tcPr>
            <w:tcW w:w="2477" w:type="dxa"/>
            <w:vAlign w:val="center"/>
          </w:tcPr>
          <w:p w14:paraId="6E0C504F"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29.9 (6.3)</w:t>
            </w:r>
          </w:p>
        </w:tc>
        <w:tc>
          <w:tcPr>
            <w:tcW w:w="2477" w:type="dxa"/>
            <w:vAlign w:val="center"/>
          </w:tcPr>
          <w:p w14:paraId="6971CD20"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30.0 (7.4)</w:t>
            </w:r>
          </w:p>
        </w:tc>
        <w:tc>
          <w:tcPr>
            <w:tcW w:w="2477" w:type="dxa"/>
            <w:vAlign w:val="center"/>
          </w:tcPr>
          <w:p w14:paraId="4DD72A27"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26.3 (3.7)</w:t>
            </w:r>
          </w:p>
        </w:tc>
        <w:tc>
          <w:tcPr>
            <w:tcW w:w="2477" w:type="dxa"/>
            <w:vAlign w:val="center"/>
          </w:tcPr>
          <w:p w14:paraId="5278F8BA"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27.0 (4.4)</w:t>
            </w:r>
          </w:p>
        </w:tc>
      </w:tr>
      <w:tr w:rsidR="00FD058C" w:rsidRPr="0021796D" w14:paraId="59D2E0D6" w14:textId="77777777" w:rsidTr="003F053E">
        <w:trPr>
          <w:trHeight w:val="500"/>
        </w:trPr>
        <w:tc>
          <w:tcPr>
            <w:tcW w:w="3143" w:type="dxa"/>
            <w:vAlign w:val="center"/>
          </w:tcPr>
          <w:p w14:paraId="1DC3AB8F" w14:textId="77777777" w:rsidR="00FD058C" w:rsidRPr="0021796D" w:rsidRDefault="00FD058C" w:rsidP="00160950">
            <w:pPr>
              <w:spacing w:line="360" w:lineRule="auto"/>
              <w:rPr>
                <w:rFonts w:ascii="Arial" w:hAnsi="Arial" w:cs="Arial"/>
                <w:sz w:val="21"/>
                <w:szCs w:val="21"/>
              </w:rPr>
            </w:pPr>
            <w:r w:rsidRPr="0021796D">
              <w:rPr>
                <w:rFonts w:ascii="Arial" w:hAnsi="Arial" w:cs="Arial"/>
                <w:sz w:val="21"/>
                <w:szCs w:val="21"/>
              </w:rPr>
              <w:t>Post-ECT HAM-D, mean (SD)</w:t>
            </w:r>
          </w:p>
        </w:tc>
        <w:tc>
          <w:tcPr>
            <w:tcW w:w="2476" w:type="dxa"/>
            <w:vAlign w:val="center"/>
          </w:tcPr>
          <w:p w14:paraId="76994C69"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11.6 (8.9)</w:t>
            </w:r>
          </w:p>
        </w:tc>
        <w:tc>
          <w:tcPr>
            <w:tcW w:w="2477" w:type="dxa"/>
            <w:vAlign w:val="center"/>
          </w:tcPr>
          <w:p w14:paraId="72155293"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11.8 (8.4)</w:t>
            </w:r>
          </w:p>
        </w:tc>
        <w:tc>
          <w:tcPr>
            <w:tcW w:w="2477" w:type="dxa"/>
            <w:vAlign w:val="center"/>
          </w:tcPr>
          <w:p w14:paraId="370DC9F6"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13.0 (10.9)</w:t>
            </w:r>
          </w:p>
        </w:tc>
        <w:tc>
          <w:tcPr>
            <w:tcW w:w="2477" w:type="dxa"/>
            <w:vAlign w:val="center"/>
          </w:tcPr>
          <w:p w14:paraId="2709C640"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11.0 (7.4)</w:t>
            </w:r>
          </w:p>
        </w:tc>
        <w:tc>
          <w:tcPr>
            <w:tcW w:w="2477" w:type="dxa"/>
            <w:vAlign w:val="center"/>
          </w:tcPr>
          <w:p w14:paraId="3D073D99"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9.5 (9.3)</w:t>
            </w:r>
          </w:p>
        </w:tc>
      </w:tr>
      <w:tr w:rsidR="00FD058C" w:rsidRPr="0021796D" w14:paraId="43F92427" w14:textId="77777777" w:rsidTr="003F053E">
        <w:trPr>
          <w:trHeight w:val="500"/>
        </w:trPr>
        <w:tc>
          <w:tcPr>
            <w:tcW w:w="3143" w:type="dxa"/>
            <w:vAlign w:val="center"/>
          </w:tcPr>
          <w:p w14:paraId="0A084BCF" w14:textId="77777777" w:rsidR="00FD058C" w:rsidRPr="0021796D" w:rsidRDefault="00FD058C" w:rsidP="00160950">
            <w:pPr>
              <w:spacing w:line="360" w:lineRule="auto"/>
              <w:rPr>
                <w:rFonts w:ascii="Arial" w:hAnsi="Arial" w:cs="Arial"/>
                <w:sz w:val="21"/>
                <w:szCs w:val="21"/>
              </w:rPr>
            </w:pPr>
            <w:r w:rsidRPr="0021796D">
              <w:rPr>
                <w:rFonts w:ascii="Arial" w:hAnsi="Arial" w:cs="Arial"/>
                <w:sz w:val="21"/>
                <w:szCs w:val="21"/>
              </w:rPr>
              <w:t>Change in HAM-D, mean (SD)</w:t>
            </w:r>
          </w:p>
        </w:tc>
        <w:tc>
          <w:tcPr>
            <w:tcW w:w="2476" w:type="dxa"/>
            <w:vAlign w:val="center"/>
          </w:tcPr>
          <w:p w14:paraId="7B510469"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-17.4 (10.0)</w:t>
            </w:r>
          </w:p>
        </w:tc>
        <w:tc>
          <w:tcPr>
            <w:tcW w:w="2477" w:type="dxa"/>
            <w:vAlign w:val="center"/>
          </w:tcPr>
          <w:p w14:paraId="6E232388"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-18.2 (10.3)</w:t>
            </w:r>
          </w:p>
        </w:tc>
        <w:tc>
          <w:tcPr>
            <w:tcW w:w="2477" w:type="dxa"/>
            <w:vAlign w:val="center"/>
          </w:tcPr>
          <w:p w14:paraId="55170E1E"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-16.9 (12.5)</w:t>
            </w:r>
          </w:p>
        </w:tc>
        <w:tc>
          <w:tcPr>
            <w:tcW w:w="2477" w:type="dxa"/>
            <w:vAlign w:val="center"/>
          </w:tcPr>
          <w:p w14:paraId="70857C86"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-15.3 (6.6)</w:t>
            </w:r>
          </w:p>
        </w:tc>
        <w:tc>
          <w:tcPr>
            <w:tcW w:w="2477" w:type="dxa"/>
            <w:vAlign w:val="center"/>
          </w:tcPr>
          <w:p w14:paraId="4C070289" w14:textId="77777777" w:rsidR="00FD058C" w:rsidRPr="0021796D" w:rsidRDefault="00FD058C" w:rsidP="00160950">
            <w:pPr>
              <w:spacing w:line="360" w:lineRule="auto"/>
              <w:jc w:val="center"/>
              <w:rPr>
                <w:rFonts w:ascii="Arial" w:hAnsi="Arial" w:cs="Arial"/>
                <w:sz w:val="21"/>
                <w:szCs w:val="21"/>
              </w:rPr>
            </w:pPr>
            <w:r w:rsidRPr="0021796D">
              <w:rPr>
                <w:rFonts w:ascii="Arial" w:hAnsi="Arial" w:cs="Arial"/>
                <w:sz w:val="21"/>
                <w:szCs w:val="21"/>
              </w:rPr>
              <w:t>-17.5 (7.6)</w:t>
            </w:r>
          </w:p>
        </w:tc>
      </w:tr>
    </w:tbl>
    <w:p w14:paraId="47ECB29A" w14:textId="77777777" w:rsidR="00FD058C" w:rsidRPr="0021796D" w:rsidRDefault="00FD058C" w:rsidP="00160950">
      <w:pPr>
        <w:spacing w:after="240" w:line="276" w:lineRule="auto"/>
        <w:rPr>
          <w:rFonts w:ascii="Arial" w:hAnsi="Arial" w:cs="Arial"/>
          <w:b/>
          <w:bCs/>
          <w:sz w:val="21"/>
          <w:szCs w:val="21"/>
        </w:rPr>
        <w:sectPr w:rsidR="00FD058C" w:rsidRPr="0021796D" w:rsidSect="00FD058C">
          <w:pgSz w:w="16838" w:h="11906" w:orient="landscape"/>
          <w:pgMar w:top="720" w:right="720" w:bottom="720" w:left="720" w:header="708" w:footer="708" w:gutter="0"/>
          <w:cols w:space="708"/>
          <w:docGrid w:linePitch="360"/>
        </w:sectPr>
      </w:pPr>
    </w:p>
    <w:p w14:paraId="5E8C8DE4" w14:textId="77777777" w:rsidR="00FD058C" w:rsidRPr="0021796D" w:rsidRDefault="00FD058C" w:rsidP="007D5E63">
      <w:pPr>
        <w:spacing w:after="240" w:line="480" w:lineRule="auto"/>
        <w:rPr>
          <w:rFonts w:ascii="Arial" w:hAnsi="Arial" w:cs="Arial"/>
          <w:b/>
          <w:bCs/>
          <w:sz w:val="22"/>
          <w:szCs w:val="22"/>
        </w:rPr>
      </w:pPr>
      <w:r w:rsidRPr="0021796D">
        <w:rPr>
          <w:rFonts w:ascii="Arial" w:hAnsi="Arial" w:cs="Arial"/>
          <w:b/>
          <w:bCs/>
          <w:sz w:val="22"/>
          <w:szCs w:val="22"/>
        </w:rPr>
        <w:lastRenderedPageBreak/>
        <w:t>References</w:t>
      </w:r>
    </w:p>
    <w:p w14:paraId="512C5CC3" w14:textId="6BF2C720" w:rsidR="00FD058C" w:rsidRPr="0021796D" w:rsidRDefault="00FD058C" w:rsidP="00A64EF0">
      <w:pPr>
        <w:pStyle w:val="EndNoteBibliography"/>
        <w:ind w:left="720" w:hanging="720"/>
        <w:rPr>
          <w:noProof/>
          <w:lang w:val="en-IE"/>
        </w:rPr>
      </w:pPr>
      <w:r w:rsidRPr="0021796D">
        <w:rPr>
          <w:noProof/>
          <w:lang w:val="en-IE"/>
        </w:rPr>
        <w:t xml:space="preserve">Finnegan, M., Galligan, T., Ryan, K., Shanahan, E., Harkin, A., Daly, L., &amp; McLoughlin, D. M. (2019). Ketamine versus midazolam for depression relapse prevention following successful electroconvulsive therapy: a randomized controlled pilot trial. </w:t>
      </w:r>
      <w:r w:rsidRPr="0021796D">
        <w:rPr>
          <w:i/>
          <w:noProof/>
          <w:lang w:val="en-IE"/>
        </w:rPr>
        <w:t>J ECT</w:t>
      </w:r>
      <w:r w:rsidRPr="0021796D">
        <w:rPr>
          <w:noProof/>
          <w:lang w:val="en-IE"/>
        </w:rPr>
        <w:t>,</w:t>
      </w:r>
      <w:r w:rsidRPr="0021796D">
        <w:rPr>
          <w:i/>
          <w:noProof/>
          <w:lang w:val="en-IE"/>
        </w:rPr>
        <w:t xml:space="preserve"> 35</w:t>
      </w:r>
      <w:r w:rsidRPr="0021796D">
        <w:rPr>
          <w:noProof/>
          <w:lang w:val="en-IE"/>
        </w:rPr>
        <w:t xml:space="preserve">(2), 115-121. </w:t>
      </w:r>
      <w:hyperlink r:id="rId7" w:history="1">
        <w:r w:rsidR="0003318C" w:rsidRPr="00F83DB6">
          <w:rPr>
            <w:rStyle w:val="Hyperlink"/>
            <w:noProof/>
            <w:lang w:val="en-IE"/>
          </w:rPr>
          <w:t>https://doi.org/10.1097/YCT.0000000000000560</w:t>
        </w:r>
      </w:hyperlink>
      <w:r w:rsidR="0003318C">
        <w:rPr>
          <w:noProof/>
          <w:lang w:val="en-IE"/>
        </w:rPr>
        <w:t xml:space="preserve"> </w:t>
      </w:r>
      <w:r w:rsidRPr="0021796D">
        <w:rPr>
          <w:noProof/>
          <w:lang w:val="en-IE"/>
        </w:rPr>
        <w:t xml:space="preserve"> </w:t>
      </w:r>
    </w:p>
    <w:p w14:paraId="2DEF8520" w14:textId="67CB1F47" w:rsidR="00FD058C" w:rsidRPr="0021796D" w:rsidRDefault="00FD058C" w:rsidP="00A64EF0">
      <w:pPr>
        <w:pStyle w:val="EndNoteBibliography"/>
        <w:ind w:left="720" w:hanging="720"/>
        <w:rPr>
          <w:noProof/>
          <w:lang w:val="en-IE"/>
        </w:rPr>
      </w:pPr>
      <w:r w:rsidRPr="0021796D">
        <w:rPr>
          <w:noProof/>
          <w:lang w:val="en-IE"/>
        </w:rPr>
        <w:t xml:space="preserve">Semkovska, M., Landau, S., Dunne, R., Kolshus, E., Kavanagh, A., Jelovac, A., Noone, M., Carton, M., Lambe, S., McHugh, C., &amp; McLoughlin, D. M. (2016). Bitemporal versus high-dose unilateral twice-weekly electroconvulsive therapy for depression (EFFECT-Dep): a pragmatic, randomized, non-inferiority trial. </w:t>
      </w:r>
      <w:r w:rsidRPr="0021796D">
        <w:rPr>
          <w:i/>
          <w:noProof/>
          <w:lang w:val="en-IE"/>
        </w:rPr>
        <w:t>Am J Psychiatry</w:t>
      </w:r>
      <w:r w:rsidRPr="0021796D">
        <w:rPr>
          <w:noProof/>
          <w:lang w:val="en-IE"/>
        </w:rPr>
        <w:t>,</w:t>
      </w:r>
      <w:r w:rsidRPr="0021796D">
        <w:rPr>
          <w:i/>
          <w:noProof/>
          <w:lang w:val="en-IE"/>
        </w:rPr>
        <w:t xml:space="preserve"> 173</w:t>
      </w:r>
      <w:r w:rsidRPr="0021796D">
        <w:rPr>
          <w:noProof/>
          <w:lang w:val="en-IE"/>
        </w:rPr>
        <w:t xml:space="preserve">(4), 408-417. </w:t>
      </w:r>
      <w:hyperlink r:id="rId8" w:history="1">
        <w:r w:rsidR="0003318C" w:rsidRPr="00F83DB6">
          <w:rPr>
            <w:rStyle w:val="Hyperlink"/>
            <w:noProof/>
            <w:lang w:val="en-IE"/>
          </w:rPr>
          <w:t>https://doi.org/10.1176/appi.ajp.2015.15030372</w:t>
        </w:r>
      </w:hyperlink>
      <w:r w:rsidR="0003318C">
        <w:rPr>
          <w:noProof/>
          <w:lang w:val="en-IE"/>
        </w:rPr>
        <w:t xml:space="preserve"> </w:t>
      </w:r>
      <w:r w:rsidRPr="0021796D">
        <w:rPr>
          <w:noProof/>
          <w:lang w:val="en-IE"/>
        </w:rPr>
        <w:t xml:space="preserve"> </w:t>
      </w:r>
    </w:p>
    <w:p w14:paraId="58D2DFC2" w14:textId="132D6633" w:rsidR="00FD058C" w:rsidRPr="0021796D" w:rsidRDefault="00FD058C" w:rsidP="00A64EF0">
      <w:pPr>
        <w:pStyle w:val="EndNoteBibliography"/>
        <w:ind w:left="720" w:hanging="720"/>
        <w:rPr>
          <w:noProof/>
          <w:lang w:val="en-IE"/>
        </w:rPr>
      </w:pPr>
      <w:r w:rsidRPr="0021796D">
        <w:rPr>
          <w:noProof/>
          <w:lang w:val="en-IE"/>
        </w:rPr>
        <w:t xml:space="preserve">Whooley, E., Gusciute, G., Kavanagh, K., McDonagh, K., McCaffrey, C., Doody, E., Jelovac, A., &amp; McLoughlin, D. M. (2024). Reliable change indices and minimum detectable change for the Montreal Cognitive Assessment in electroconvulsive therapy for depression. </w:t>
      </w:r>
      <w:r w:rsidRPr="0021796D">
        <w:rPr>
          <w:i/>
          <w:noProof/>
          <w:lang w:val="en-IE"/>
        </w:rPr>
        <w:t>J ECT</w:t>
      </w:r>
      <w:r w:rsidRPr="0021796D">
        <w:rPr>
          <w:noProof/>
          <w:lang w:val="en-IE"/>
        </w:rPr>
        <w:t xml:space="preserve">. </w:t>
      </w:r>
      <w:hyperlink r:id="rId9" w:history="1">
        <w:r w:rsidR="0003318C" w:rsidRPr="00F83DB6">
          <w:rPr>
            <w:rStyle w:val="Hyperlink"/>
            <w:noProof/>
            <w:lang w:val="en-IE"/>
          </w:rPr>
          <w:t>https://doi.org/10.1097/YCT.0000000000001043</w:t>
        </w:r>
      </w:hyperlink>
      <w:r w:rsidR="0003318C">
        <w:rPr>
          <w:noProof/>
          <w:lang w:val="en-IE"/>
        </w:rPr>
        <w:t xml:space="preserve"> </w:t>
      </w:r>
      <w:r w:rsidRPr="0021796D">
        <w:rPr>
          <w:noProof/>
          <w:lang w:val="en-IE"/>
        </w:rPr>
        <w:t xml:space="preserve"> </w:t>
      </w:r>
    </w:p>
    <w:p w14:paraId="2CDF0C17" w14:textId="77777777" w:rsidR="00FD058C" w:rsidRPr="0021796D" w:rsidRDefault="00FD058C" w:rsidP="008648ED">
      <w:pPr>
        <w:spacing w:before="240" w:after="240"/>
        <w:rPr>
          <w:rFonts w:ascii="Arial" w:hAnsi="Arial" w:cs="Arial"/>
          <w:sz w:val="18"/>
          <w:szCs w:val="18"/>
        </w:rPr>
      </w:pPr>
    </w:p>
    <w:p w14:paraId="03DF9671" w14:textId="77777777" w:rsidR="000A6186" w:rsidRDefault="000A6186"/>
    <w:sectPr w:rsidR="000A6186" w:rsidSect="00FD058C">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2025212275"/>
      <w:docPartObj>
        <w:docPartGallery w:val="Page Numbers (Bottom of Page)"/>
        <w:docPartUnique/>
      </w:docPartObj>
    </w:sdtPr>
    <w:sdtContent>
      <w:p w14:paraId="1A0A1415" w14:textId="77777777" w:rsidR="00000000" w:rsidRDefault="00000000" w:rsidP="003C3FEE">
        <w:pPr>
          <w:pStyle w:val="Footer"/>
          <w:framePr w:wrap="none" w:vAnchor="text" w:hAnchor="margin" w:xAlign="center" w:y="1"/>
          <w:rPr>
            <w:rStyle w:val="PageNumber"/>
          </w:rPr>
        </w:pP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sdtContent>
  </w:sdt>
  <w:p w14:paraId="0FB1188A" w14:textId="77777777" w:rsidR="00000000" w:rsidRDefault="0000000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rPr>
        <w:rStyle w:val="PageNumber"/>
      </w:rPr>
      <w:id w:val="-442073108"/>
      <w:docPartObj>
        <w:docPartGallery w:val="Page Numbers (Bottom of Page)"/>
        <w:docPartUnique/>
      </w:docPartObj>
    </w:sdtPr>
    <w:sdtContent>
      <w:p w14:paraId="61BF1ABE" w14:textId="77777777" w:rsidR="00000000" w:rsidRDefault="00000000" w:rsidP="003C3FEE">
        <w:pPr>
          <w:pStyle w:val="Footer"/>
          <w:framePr w:wrap="none" w:vAnchor="text" w:hAnchor="margin" w:xAlign="center" w:y="1"/>
          <w:rPr>
            <w:rStyle w:val="PageNumber"/>
          </w:rPr>
        </w:pPr>
        <w:r w:rsidRPr="00BE375A">
          <w:rPr>
            <w:rStyle w:val="PageNumber"/>
            <w:rFonts w:ascii="Arial" w:hAnsi="Arial" w:cs="Arial"/>
            <w:sz w:val="21"/>
            <w:szCs w:val="21"/>
          </w:rPr>
          <w:fldChar w:fldCharType="begin"/>
        </w:r>
        <w:r w:rsidRPr="00BE375A">
          <w:rPr>
            <w:rStyle w:val="PageNumber"/>
            <w:rFonts w:ascii="Arial" w:hAnsi="Arial" w:cs="Arial"/>
            <w:sz w:val="21"/>
            <w:szCs w:val="21"/>
          </w:rPr>
          <w:instrText xml:space="preserve"> PAGE </w:instrText>
        </w:r>
        <w:r w:rsidRPr="00BE375A">
          <w:rPr>
            <w:rStyle w:val="PageNumber"/>
            <w:rFonts w:ascii="Arial" w:hAnsi="Arial" w:cs="Arial"/>
            <w:sz w:val="21"/>
            <w:szCs w:val="21"/>
          </w:rPr>
          <w:fldChar w:fldCharType="separate"/>
        </w:r>
        <w:r w:rsidRPr="00BE375A">
          <w:rPr>
            <w:rStyle w:val="PageNumber"/>
            <w:rFonts w:ascii="Arial" w:hAnsi="Arial" w:cs="Arial"/>
            <w:noProof/>
            <w:sz w:val="21"/>
            <w:szCs w:val="21"/>
          </w:rPr>
          <w:t>1</w:t>
        </w:r>
        <w:r w:rsidRPr="00BE375A">
          <w:rPr>
            <w:rStyle w:val="PageNumber"/>
            <w:rFonts w:ascii="Arial" w:hAnsi="Arial" w:cs="Arial"/>
            <w:sz w:val="21"/>
            <w:szCs w:val="21"/>
          </w:rPr>
          <w:fldChar w:fldCharType="end"/>
        </w:r>
      </w:p>
    </w:sdtContent>
  </w:sdt>
  <w:p w14:paraId="7B71C8C1" w14:textId="77777777" w:rsidR="00000000" w:rsidRDefault="00000000">
    <w:pPr>
      <w:pStyle w:val="Footer"/>
    </w:pPr>
  </w:p>
</w:ft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116E93"/>
    <w:multiLevelType w:val="hybridMultilevel"/>
    <w:tmpl w:val="845EB37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84F00BD"/>
    <w:multiLevelType w:val="hybridMultilevel"/>
    <w:tmpl w:val="0DE4560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D7C06A8"/>
    <w:multiLevelType w:val="hybridMultilevel"/>
    <w:tmpl w:val="52248F6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31DD1B79"/>
    <w:multiLevelType w:val="hybridMultilevel"/>
    <w:tmpl w:val="30ACA2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4F2807F7"/>
    <w:multiLevelType w:val="hybridMultilevel"/>
    <w:tmpl w:val="76B2185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5DD03C31"/>
    <w:multiLevelType w:val="hybridMultilevel"/>
    <w:tmpl w:val="6362358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6FD21FC5"/>
    <w:multiLevelType w:val="hybridMultilevel"/>
    <w:tmpl w:val="C044AC3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num w:numId="1" w16cid:durableId="546992380">
    <w:abstractNumId w:val="2"/>
  </w:num>
  <w:num w:numId="2" w16cid:durableId="511190406">
    <w:abstractNumId w:val="3"/>
  </w:num>
  <w:num w:numId="3" w16cid:durableId="1722094114">
    <w:abstractNumId w:val="6"/>
  </w:num>
  <w:num w:numId="4" w16cid:durableId="1796407772">
    <w:abstractNumId w:val="1"/>
  </w:num>
  <w:num w:numId="5" w16cid:durableId="1689403137">
    <w:abstractNumId w:val="4"/>
  </w:num>
  <w:num w:numId="6" w16cid:durableId="1434588521">
    <w:abstractNumId w:val="0"/>
  </w:num>
  <w:num w:numId="7" w16cid:durableId="808279644">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62"/>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1&lt;/Enabled&gt;&lt;ScanUnformatted&gt;1&lt;/ScanUnformatted&gt;&lt;ScanChanges&gt;1&lt;/ScanChanges&gt;&lt;Suspended&gt;1&lt;/Suspended&gt;&lt;/ENInstantFormat&gt;"/>
  </w:docVars>
  <w:rsids>
    <w:rsidRoot w:val="00FD058C"/>
    <w:rsid w:val="0003318C"/>
    <w:rsid w:val="0003565E"/>
    <w:rsid w:val="000A6186"/>
    <w:rsid w:val="000F6DC7"/>
    <w:rsid w:val="00187811"/>
    <w:rsid w:val="001A2611"/>
    <w:rsid w:val="002164CE"/>
    <w:rsid w:val="00346133"/>
    <w:rsid w:val="00466DC8"/>
    <w:rsid w:val="004E3C8B"/>
    <w:rsid w:val="00557ADC"/>
    <w:rsid w:val="00632536"/>
    <w:rsid w:val="00634475"/>
    <w:rsid w:val="00654C15"/>
    <w:rsid w:val="0066702E"/>
    <w:rsid w:val="006E1709"/>
    <w:rsid w:val="00775FCA"/>
    <w:rsid w:val="0080550C"/>
    <w:rsid w:val="00931AFA"/>
    <w:rsid w:val="009F2EE7"/>
    <w:rsid w:val="009F6ADE"/>
    <w:rsid w:val="00A54A14"/>
    <w:rsid w:val="00A6289C"/>
    <w:rsid w:val="00A94D2F"/>
    <w:rsid w:val="00AA299B"/>
    <w:rsid w:val="00AC47CF"/>
    <w:rsid w:val="00B0155E"/>
    <w:rsid w:val="00C10083"/>
    <w:rsid w:val="00C350C7"/>
    <w:rsid w:val="00C87E8C"/>
    <w:rsid w:val="00CD7057"/>
    <w:rsid w:val="00D3007A"/>
    <w:rsid w:val="00DC4EEF"/>
    <w:rsid w:val="00DD43FC"/>
    <w:rsid w:val="00E556AD"/>
    <w:rsid w:val="00E82905"/>
    <w:rsid w:val="00E909A6"/>
    <w:rsid w:val="00EE7577"/>
    <w:rsid w:val="00F46481"/>
    <w:rsid w:val="00F51135"/>
    <w:rsid w:val="00F51346"/>
    <w:rsid w:val="00FA0607"/>
    <w:rsid w:val="00FB5EE5"/>
    <w:rsid w:val="00FD058C"/>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decimalSymbol w:val="."/>
  <w:listSeparator w:val=","/>
  <w14:docId w14:val="04786FBD"/>
  <w15:chartTrackingRefBased/>
  <w15:docId w15:val="{7F3AE96B-6430-414E-A44D-E53C679531A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IE"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D058C"/>
    <w:pPr>
      <w:spacing w:after="0" w:line="240" w:lineRule="auto"/>
    </w:pPr>
  </w:style>
  <w:style w:type="paragraph" w:styleId="Heading1">
    <w:name w:val="heading 1"/>
    <w:basedOn w:val="Normal"/>
    <w:next w:val="Normal"/>
    <w:link w:val="Heading1Char"/>
    <w:uiPriority w:val="9"/>
    <w:qFormat/>
    <w:rsid w:val="00FD058C"/>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FD058C"/>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FD058C"/>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FD058C"/>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FD058C"/>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FD058C"/>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FD058C"/>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FD058C"/>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FD058C"/>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rsid w:val="00FD058C"/>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FD058C"/>
  </w:style>
  <w:style w:type="character" w:customStyle="1" w:styleId="Heading1Char">
    <w:name w:val="Heading 1 Char"/>
    <w:basedOn w:val="DefaultParagraphFont"/>
    <w:link w:val="Heading1"/>
    <w:uiPriority w:val="9"/>
    <w:rsid w:val="00FD058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FD058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FD058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FD058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FD058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FD058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FD058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FD058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FD058C"/>
    <w:rPr>
      <w:rFonts w:eastAsiaTheme="majorEastAsia" w:cstheme="majorBidi"/>
      <w:color w:val="272727" w:themeColor="text1" w:themeTint="D8"/>
    </w:rPr>
  </w:style>
  <w:style w:type="paragraph" w:styleId="Title">
    <w:name w:val="Title"/>
    <w:basedOn w:val="Normal"/>
    <w:next w:val="Normal"/>
    <w:link w:val="TitleChar"/>
    <w:uiPriority w:val="10"/>
    <w:qFormat/>
    <w:rsid w:val="00FD058C"/>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FD058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FD058C"/>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FD058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FD058C"/>
    <w:pPr>
      <w:spacing w:before="160"/>
      <w:jc w:val="center"/>
    </w:pPr>
    <w:rPr>
      <w:i/>
      <w:iCs/>
      <w:color w:val="404040" w:themeColor="text1" w:themeTint="BF"/>
    </w:rPr>
  </w:style>
  <w:style w:type="character" w:customStyle="1" w:styleId="QuoteChar">
    <w:name w:val="Quote Char"/>
    <w:basedOn w:val="DefaultParagraphFont"/>
    <w:link w:val="Quote"/>
    <w:uiPriority w:val="29"/>
    <w:rsid w:val="00FD058C"/>
    <w:rPr>
      <w:i/>
      <w:iCs/>
      <w:color w:val="404040" w:themeColor="text1" w:themeTint="BF"/>
    </w:rPr>
  </w:style>
  <w:style w:type="paragraph" w:styleId="ListParagraph">
    <w:name w:val="List Paragraph"/>
    <w:basedOn w:val="Normal"/>
    <w:uiPriority w:val="34"/>
    <w:qFormat/>
    <w:rsid w:val="00FD058C"/>
    <w:pPr>
      <w:spacing w:before="200" w:after="200" w:line="276" w:lineRule="auto"/>
      <w:ind w:left="720"/>
    </w:pPr>
    <w:rPr>
      <w:rFonts w:ascii="Calibri" w:eastAsia="Times New Roman" w:hAnsi="Calibri" w:cs="Times New Roman"/>
      <w:kern w:val="0"/>
      <w:sz w:val="20"/>
      <w:szCs w:val="20"/>
      <w:lang w:val="en-US" w:bidi="en-US"/>
      <w14:ligatures w14:val="none"/>
    </w:rPr>
  </w:style>
  <w:style w:type="character" w:styleId="IntenseEmphasis">
    <w:name w:val="Intense Emphasis"/>
    <w:basedOn w:val="DefaultParagraphFont"/>
    <w:uiPriority w:val="21"/>
    <w:qFormat/>
    <w:rsid w:val="00FD058C"/>
    <w:rPr>
      <w:i/>
      <w:iCs/>
      <w:color w:val="0F4761" w:themeColor="accent1" w:themeShade="BF"/>
    </w:rPr>
  </w:style>
  <w:style w:type="paragraph" w:styleId="IntenseQuote">
    <w:name w:val="Intense Quote"/>
    <w:basedOn w:val="Normal"/>
    <w:next w:val="Normal"/>
    <w:link w:val="IntenseQuoteChar"/>
    <w:uiPriority w:val="30"/>
    <w:qFormat/>
    <w:rsid w:val="00FD058C"/>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FD058C"/>
    <w:rPr>
      <w:i/>
      <w:iCs/>
      <w:color w:val="0F4761" w:themeColor="accent1" w:themeShade="BF"/>
    </w:rPr>
  </w:style>
  <w:style w:type="character" w:styleId="IntenseReference">
    <w:name w:val="Intense Reference"/>
    <w:basedOn w:val="DefaultParagraphFont"/>
    <w:uiPriority w:val="32"/>
    <w:qFormat/>
    <w:rsid w:val="00FD058C"/>
    <w:rPr>
      <w:b/>
      <w:bCs/>
      <w:smallCaps/>
      <w:color w:val="0F4761" w:themeColor="accent1" w:themeShade="BF"/>
      <w:spacing w:val="5"/>
    </w:rPr>
  </w:style>
  <w:style w:type="table" w:styleId="TableGrid">
    <w:name w:val="Table Grid"/>
    <w:basedOn w:val="TableNormal"/>
    <w:uiPriority w:val="39"/>
    <w:rsid w:val="00FD058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EndNoteBibliographyTitle">
    <w:name w:val="EndNote Bibliography Title"/>
    <w:basedOn w:val="Normal"/>
    <w:link w:val="EndNoteBibliographyTitleChar"/>
    <w:rsid w:val="00FD058C"/>
    <w:pPr>
      <w:jc w:val="center"/>
    </w:pPr>
    <w:rPr>
      <w:rFonts w:ascii="Arial" w:hAnsi="Arial" w:cs="Arial"/>
      <w:sz w:val="20"/>
      <w:lang w:val="en-US"/>
    </w:rPr>
  </w:style>
  <w:style w:type="character" w:customStyle="1" w:styleId="EndNoteBibliographyTitleChar">
    <w:name w:val="EndNote Bibliography Title Char"/>
    <w:basedOn w:val="DefaultParagraphFont"/>
    <w:link w:val="EndNoteBibliographyTitle"/>
    <w:rsid w:val="00FD058C"/>
    <w:rPr>
      <w:rFonts w:ascii="Arial" w:hAnsi="Arial" w:cs="Arial"/>
      <w:sz w:val="20"/>
      <w:lang w:val="en-US"/>
    </w:rPr>
  </w:style>
  <w:style w:type="paragraph" w:customStyle="1" w:styleId="EndNoteBibliography">
    <w:name w:val="EndNote Bibliography"/>
    <w:basedOn w:val="Normal"/>
    <w:link w:val="EndNoteBibliographyChar"/>
    <w:rsid w:val="00FD058C"/>
    <w:pPr>
      <w:spacing w:line="480" w:lineRule="auto"/>
    </w:pPr>
    <w:rPr>
      <w:rFonts w:ascii="Arial" w:hAnsi="Arial" w:cs="Arial"/>
      <w:sz w:val="20"/>
      <w:lang w:val="en-US"/>
    </w:rPr>
  </w:style>
  <w:style w:type="character" w:customStyle="1" w:styleId="EndNoteBibliographyChar">
    <w:name w:val="EndNote Bibliography Char"/>
    <w:basedOn w:val="DefaultParagraphFont"/>
    <w:link w:val="EndNoteBibliography"/>
    <w:rsid w:val="00FD058C"/>
    <w:rPr>
      <w:rFonts w:ascii="Arial" w:hAnsi="Arial" w:cs="Arial"/>
      <w:sz w:val="20"/>
      <w:lang w:val="en-US"/>
    </w:rPr>
  </w:style>
  <w:style w:type="character" w:styleId="Hyperlink">
    <w:name w:val="Hyperlink"/>
    <w:basedOn w:val="DefaultParagraphFont"/>
    <w:uiPriority w:val="99"/>
    <w:unhideWhenUsed/>
    <w:rsid w:val="00FD058C"/>
    <w:rPr>
      <w:color w:val="467886" w:themeColor="hyperlink"/>
      <w:u w:val="single"/>
    </w:rPr>
  </w:style>
  <w:style w:type="character" w:styleId="UnresolvedMention">
    <w:name w:val="Unresolved Mention"/>
    <w:basedOn w:val="DefaultParagraphFont"/>
    <w:uiPriority w:val="99"/>
    <w:semiHidden/>
    <w:unhideWhenUsed/>
    <w:rsid w:val="00FD058C"/>
    <w:rPr>
      <w:color w:val="605E5C"/>
      <w:shd w:val="clear" w:color="auto" w:fill="E1DFDD"/>
    </w:rPr>
  </w:style>
  <w:style w:type="paragraph" w:styleId="Footer">
    <w:name w:val="footer"/>
    <w:basedOn w:val="Normal"/>
    <w:link w:val="FooterChar"/>
    <w:uiPriority w:val="99"/>
    <w:unhideWhenUsed/>
    <w:rsid w:val="00FD058C"/>
    <w:pPr>
      <w:tabs>
        <w:tab w:val="center" w:pos="4513"/>
        <w:tab w:val="right" w:pos="9026"/>
      </w:tabs>
    </w:pPr>
  </w:style>
  <w:style w:type="character" w:customStyle="1" w:styleId="FooterChar">
    <w:name w:val="Footer Char"/>
    <w:basedOn w:val="DefaultParagraphFont"/>
    <w:link w:val="Footer"/>
    <w:uiPriority w:val="99"/>
    <w:rsid w:val="00FD058C"/>
  </w:style>
  <w:style w:type="character" w:styleId="PageNumber">
    <w:name w:val="page number"/>
    <w:basedOn w:val="DefaultParagraphFont"/>
    <w:uiPriority w:val="99"/>
    <w:semiHidden/>
    <w:unhideWhenUsed/>
    <w:rsid w:val="00FD058C"/>
  </w:style>
  <w:style w:type="paragraph" w:styleId="Header">
    <w:name w:val="header"/>
    <w:basedOn w:val="Normal"/>
    <w:link w:val="HeaderChar"/>
    <w:uiPriority w:val="99"/>
    <w:unhideWhenUsed/>
    <w:rsid w:val="00FD058C"/>
    <w:pPr>
      <w:tabs>
        <w:tab w:val="center" w:pos="4513"/>
        <w:tab w:val="right" w:pos="9026"/>
      </w:tabs>
    </w:pPr>
  </w:style>
  <w:style w:type="character" w:customStyle="1" w:styleId="HeaderChar">
    <w:name w:val="Header Char"/>
    <w:basedOn w:val="DefaultParagraphFont"/>
    <w:link w:val="Header"/>
    <w:uiPriority w:val="99"/>
    <w:rsid w:val="00FD058C"/>
  </w:style>
  <w:style w:type="paragraph" w:styleId="Revision">
    <w:name w:val="Revision"/>
    <w:hidden/>
    <w:uiPriority w:val="99"/>
    <w:semiHidden/>
    <w:rsid w:val="00FD058C"/>
    <w:pPr>
      <w:spacing w:after="0" w:line="240" w:lineRule="auto"/>
    </w:pPr>
  </w:style>
  <w:style w:type="character" w:styleId="CommentReference">
    <w:name w:val="annotation reference"/>
    <w:basedOn w:val="DefaultParagraphFont"/>
    <w:uiPriority w:val="99"/>
    <w:semiHidden/>
    <w:unhideWhenUsed/>
    <w:rsid w:val="00FD058C"/>
    <w:rPr>
      <w:sz w:val="16"/>
      <w:szCs w:val="16"/>
    </w:rPr>
  </w:style>
  <w:style w:type="paragraph" w:styleId="CommentText">
    <w:name w:val="annotation text"/>
    <w:basedOn w:val="Normal"/>
    <w:link w:val="CommentTextChar"/>
    <w:uiPriority w:val="99"/>
    <w:unhideWhenUsed/>
    <w:rsid w:val="00FD058C"/>
    <w:rPr>
      <w:sz w:val="20"/>
      <w:szCs w:val="20"/>
    </w:rPr>
  </w:style>
  <w:style w:type="character" w:customStyle="1" w:styleId="CommentTextChar">
    <w:name w:val="Comment Text Char"/>
    <w:basedOn w:val="DefaultParagraphFont"/>
    <w:link w:val="CommentText"/>
    <w:uiPriority w:val="99"/>
    <w:rsid w:val="00FD058C"/>
    <w:rPr>
      <w:sz w:val="20"/>
      <w:szCs w:val="20"/>
    </w:rPr>
  </w:style>
  <w:style w:type="paragraph" w:styleId="CommentSubject">
    <w:name w:val="annotation subject"/>
    <w:basedOn w:val="CommentText"/>
    <w:next w:val="CommentText"/>
    <w:link w:val="CommentSubjectChar"/>
    <w:uiPriority w:val="99"/>
    <w:semiHidden/>
    <w:unhideWhenUsed/>
    <w:rsid w:val="00FD058C"/>
    <w:rPr>
      <w:b/>
      <w:bCs/>
    </w:rPr>
  </w:style>
  <w:style w:type="character" w:customStyle="1" w:styleId="CommentSubjectChar">
    <w:name w:val="Comment Subject Char"/>
    <w:basedOn w:val="CommentTextChar"/>
    <w:link w:val="CommentSubject"/>
    <w:uiPriority w:val="99"/>
    <w:semiHidden/>
    <w:rsid w:val="00FD058C"/>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doi.org/10.1176/appi.ajp.2015.15030372" TargetMode="External"/><Relationship Id="rId3" Type="http://schemas.openxmlformats.org/officeDocument/2006/relationships/settings" Target="settings.xml"/><Relationship Id="rId7" Type="http://schemas.openxmlformats.org/officeDocument/2006/relationships/hyperlink" Target="https://doi.org/10.1097/YCT.0000000000000560"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er" Target="footer2.xml"/><Relationship Id="rId11" Type="http://schemas.openxmlformats.org/officeDocument/2006/relationships/theme" Target="theme/theme1.xml"/><Relationship Id="rId5" Type="http://schemas.openxmlformats.org/officeDocument/2006/relationships/footer" Target="footer1.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s://doi.org/10.1097/YCT.0000000000001043"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922</Words>
  <Characters>5259</Characters>
  <Application>Microsoft Office Word</Application>
  <DocSecurity>0</DocSecurity>
  <Lines>43</Lines>
  <Paragraphs>12</Paragraphs>
  <ScaleCrop>false</ScaleCrop>
  <Company/>
  <LinksUpToDate>false</LinksUpToDate>
  <CharactersWithSpaces>6169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Ana Jelovac</dc:creator>
  <cp:keywords/>
  <dc:description/>
  <cp:lastModifiedBy>Ana Jelovac</cp:lastModifiedBy>
  <cp:revision>2</cp:revision>
  <dcterms:created xsi:type="dcterms:W3CDTF">2025-01-08T08:29:00Z</dcterms:created>
  <dcterms:modified xsi:type="dcterms:W3CDTF">2025-01-08T08:29:00Z</dcterms:modified>
</cp:coreProperties>
</file>