
<file path=[Content_Types].xml><?xml version="1.0" encoding="utf-8"?>
<Types xmlns="http://schemas.openxmlformats.org/package/2006/content-types">
  <Default Extension="tiff" ContentType="image/tif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E0D73">
      <w:pPr>
        <w:jc w:val="center"/>
        <w:rPr>
          <w:rFonts w:ascii="Times New Roman" w:hAnsi="Times New Roman" w:eastAsia="等线" w:cs="Times New Roman"/>
          <w:b/>
          <w:color w:val="000000"/>
          <w:sz w:val="32"/>
          <w:szCs w:val="32"/>
        </w:rPr>
      </w:pPr>
    </w:p>
    <w:p w14:paraId="65506EA6">
      <w:pPr>
        <w:pStyle w:val="32"/>
        <w:spacing w:line="480" w:lineRule="auto"/>
        <w:jc w:val="center"/>
        <w:rPr>
          <w:b/>
          <w:bCs/>
          <w:iCs/>
          <w:sz w:val="32"/>
          <w:szCs w:val="32"/>
          <w:lang w:eastAsia="de-CH"/>
        </w:rPr>
      </w:pPr>
      <w:r>
        <w:rPr>
          <w:rFonts w:hint="eastAsia" w:eastAsiaTheme="minorEastAsia"/>
          <w:b/>
          <w:bCs/>
          <w:sz w:val="32"/>
          <w:szCs w:val="32"/>
        </w:rPr>
        <w:t>Medial p</w:t>
      </w:r>
      <w:r>
        <w:rPr>
          <w:b/>
          <w:bCs/>
          <w:sz w:val="32"/>
          <w:szCs w:val="32"/>
        </w:rPr>
        <w:t xml:space="preserve">arietal transcranial alternating current stimulation for </w:t>
      </w:r>
      <w:r>
        <w:rPr>
          <w:rFonts w:hint="eastAsia"/>
          <w:b/>
          <w:bCs/>
          <w:sz w:val="32"/>
          <w:szCs w:val="32"/>
        </w:rPr>
        <w:t xml:space="preserve">chronic </w:t>
      </w:r>
      <w:r>
        <w:rPr>
          <w:b/>
          <w:bCs/>
          <w:sz w:val="32"/>
          <w:szCs w:val="32"/>
        </w:rPr>
        <w:t>insomnia</w:t>
      </w:r>
      <w:r>
        <w:rPr>
          <w:rFonts w:eastAsiaTheme="minorEastAsia"/>
          <w:b/>
          <w:bCs/>
          <w:sz w:val="32"/>
          <w:szCs w:val="32"/>
        </w:rPr>
        <w:t>: a randomized</w:t>
      </w:r>
      <w:r>
        <w:rPr>
          <w:rFonts w:hint="eastAsia" w:eastAsiaTheme="minorEastAsia"/>
          <w:b/>
          <w:bCs/>
          <w:sz w:val="32"/>
          <w:szCs w:val="32"/>
        </w:rPr>
        <w:t xml:space="preserve"> </w:t>
      </w:r>
      <w:r>
        <w:rPr>
          <w:rFonts w:eastAsiaTheme="minorEastAsia"/>
          <w:b/>
          <w:bCs/>
          <w:sz w:val="32"/>
          <w:szCs w:val="32"/>
        </w:rPr>
        <w:t>controlled trial</w:t>
      </w:r>
    </w:p>
    <w:p w14:paraId="785236C3">
      <w:pPr>
        <w:jc w:val="center"/>
        <w:rPr>
          <w:rFonts w:ascii="Times New Roman" w:hAnsi="Times New Roman" w:eastAsia="等线" w:cs="Times New Roman"/>
          <w:b/>
          <w:color w:val="000000"/>
          <w:sz w:val="30"/>
          <w:szCs w:val="30"/>
        </w:rPr>
      </w:pPr>
    </w:p>
    <w:p w14:paraId="714A7C83">
      <w:pPr>
        <w:jc w:val="center"/>
        <w:rPr>
          <w:rFonts w:ascii="Times New Roman" w:hAnsi="Times New Roman" w:cs="Times New Roman"/>
          <w:sz w:val="28"/>
          <w:szCs w:val="28"/>
        </w:rPr>
      </w:pPr>
      <w:r>
        <w:rPr>
          <w:rFonts w:ascii="Times New Roman" w:hAnsi="Times New Roman" w:cs="Times New Roman"/>
          <w:sz w:val="28"/>
          <w:szCs w:val="28"/>
        </w:rPr>
        <w:t>Version 1.</w:t>
      </w:r>
      <w:r>
        <w:rPr>
          <w:rFonts w:hint="eastAsia" w:ascii="Times New Roman" w:hAnsi="Times New Roman" w:cs="Times New Roman"/>
          <w:sz w:val="28"/>
          <w:szCs w:val="28"/>
        </w:rPr>
        <w:t>0</w:t>
      </w:r>
      <w:r>
        <w:rPr>
          <w:rFonts w:ascii="Times New Roman" w:hAnsi="Times New Roman" w:cs="Times New Roman"/>
          <w:sz w:val="28"/>
          <w:szCs w:val="28"/>
        </w:rPr>
        <w:t xml:space="preserve"> (January, 2022)</w:t>
      </w:r>
    </w:p>
    <w:p w14:paraId="51A3421A">
      <w:pPr>
        <w:rPr>
          <w:rFonts w:ascii="Times New Roman" w:hAnsi="Times New Roman" w:cs="Times New Roman"/>
          <w:sz w:val="28"/>
          <w:szCs w:val="28"/>
        </w:rPr>
      </w:pPr>
    </w:p>
    <w:p w14:paraId="104DE33C">
      <w:pPr>
        <w:jc w:val="center"/>
        <w:rPr>
          <w:rFonts w:ascii="Times New Roman" w:hAnsi="Times New Roman" w:cs="Times New Roman"/>
          <w:sz w:val="28"/>
          <w:szCs w:val="28"/>
        </w:rPr>
      </w:pPr>
      <w:r>
        <w:rPr>
          <w:rFonts w:ascii="Times New Roman" w:hAnsi="Times New Roman" w:cs="Times New Roman"/>
          <w:sz w:val="28"/>
          <w:szCs w:val="28"/>
        </w:rPr>
        <w:t>Principal Investigator</w:t>
      </w:r>
      <w:r>
        <w:rPr>
          <w:rFonts w:hint="eastAsia" w:ascii="Times New Roman" w:hAnsi="Times New Roman" w:cs="Times New Roman"/>
          <w:sz w:val="28"/>
          <w:szCs w:val="28"/>
        </w:rPr>
        <w:t>s</w:t>
      </w:r>
      <w:r>
        <w:rPr>
          <w:rFonts w:ascii="Times New Roman" w:hAnsi="Times New Roman" w:cs="Times New Roman"/>
          <w:sz w:val="28"/>
          <w:szCs w:val="28"/>
        </w:rPr>
        <w:t>:</w:t>
      </w:r>
    </w:p>
    <w:p w14:paraId="02792B20">
      <w:pPr>
        <w:jc w:val="center"/>
        <w:rPr>
          <w:rFonts w:ascii="Times New Roman" w:hAnsi="Times New Roman" w:cs="Times New Roman"/>
          <w:sz w:val="28"/>
          <w:szCs w:val="28"/>
        </w:rPr>
      </w:pPr>
      <w:r>
        <w:rPr>
          <w:rFonts w:ascii="Times New Roman" w:hAnsi="Times New Roman" w:cs="Times New Roman"/>
          <w:sz w:val="28"/>
          <w:szCs w:val="28"/>
        </w:rPr>
        <w:t>Kun Wang, MD</w:t>
      </w:r>
    </w:p>
    <w:p w14:paraId="266C2068">
      <w:pPr>
        <w:jc w:val="center"/>
        <w:rPr>
          <w:rFonts w:ascii="Times New Roman" w:hAnsi="Times New Roman" w:cs="Times New Roman"/>
          <w:sz w:val="28"/>
          <w:szCs w:val="28"/>
        </w:rPr>
      </w:pPr>
      <w:r>
        <w:rPr>
          <w:rFonts w:ascii="Times New Roman" w:hAnsi="Times New Roman" w:cs="Times New Roman"/>
          <w:sz w:val="28"/>
          <w:szCs w:val="28"/>
        </w:rPr>
        <w:t>Department of Neurology,</w:t>
      </w:r>
      <w:r>
        <w:rPr>
          <w:rFonts w:hint="eastAsia" w:ascii="Times New Roman" w:hAnsi="Times New Roman" w:cs="Times New Roman"/>
          <w:sz w:val="28"/>
          <w:szCs w:val="28"/>
        </w:rPr>
        <w:t xml:space="preserve"> </w:t>
      </w:r>
      <w:r>
        <w:rPr>
          <w:rFonts w:ascii="Times New Roman" w:hAnsi="Times New Roman" w:cs="Times New Roman"/>
          <w:sz w:val="28"/>
          <w:szCs w:val="28"/>
        </w:rPr>
        <w:t>Beijing Puren Hospital</w:t>
      </w:r>
    </w:p>
    <w:p w14:paraId="559E00E9">
      <w:pPr>
        <w:jc w:val="center"/>
        <w:rPr>
          <w:rFonts w:ascii="Times New Roman" w:hAnsi="Times New Roman" w:cs="Times New Roman"/>
          <w:sz w:val="28"/>
          <w:szCs w:val="28"/>
        </w:rPr>
      </w:pPr>
      <w:r>
        <w:rPr>
          <w:rFonts w:ascii="Times New Roman" w:hAnsi="Times New Roman" w:cs="Times New Roman"/>
          <w:sz w:val="28"/>
          <w:szCs w:val="28"/>
        </w:rPr>
        <w:t>No. 100, Chongwai Street,</w:t>
      </w:r>
      <w:r>
        <w:rPr>
          <w:rFonts w:hint="eastAsia" w:ascii="Times New Roman" w:hAnsi="Times New Roman" w:cs="Times New Roman"/>
          <w:sz w:val="28"/>
          <w:szCs w:val="28"/>
        </w:rPr>
        <w:t xml:space="preserve"> </w:t>
      </w:r>
      <w:r>
        <w:rPr>
          <w:rFonts w:ascii="Times New Roman" w:hAnsi="Times New Roman" w:cs="Times New Roman"/>
          <w:sz w:val="28"/>
          <w:szCs w:val="28"/>
        </w:rPr>
        <w:t>Dongcheng District</w:t>
      </w:r>
      <w:r>
        <w:rPr>
          <w:rFonts w:hint="eastAsia" w:ascii="Times New Roman" w:hAnsi="Times New Roman" w:cs="Times New Roman"/>
          <w:sz w:val="28"/>
          <w:szCs w:val="28"/>
        </w:rPr>
        <w:t>,</w:t>
      </w:r>
      <w:r>
        <w:rPr>
          <w:rFonts w:ascii="Times New Roman" w:hAnsi="Times New Roman" w:cs="Times New Roman"/>
          <w:sz w:val="28"/>
          <w:szCs w:val="28"/>
        </w:rPr>
        <w:t xml:space="preserve"> Beijing, 100062, China</w:t>
      </w:r>
    </w:p>
    <w:p w14:paraId="57BAC626">
      <w:pPr>
        <w:jc w:val="center"/>
        <w:rPr>
          <w:rFonts w:ascii="Times New Roman" w:hAnsi="Times New Roman" w:cs="Times New Roman"/>
          <w:sz w:val="28"/>
          <w:szCs w:val="28"/>
        </w:rPr>
      </w:pPr>
      <w:r>
        <w:fldChar w:fldCharType="begin"/>
      </w:r>
      <w:r>
        <w:instrText xml:space="preserve"> HYPERLINK "mailto:1962774045@qq.com" </w:instrText>
      </w:r>
      <w:r>
        <w:fldChar w:fldCharType="separate"/>
      </w:r>
      <w:r>
        <w:rPr>
          <w:rFonts w:ascii="Times New Roman" w:hAnsi="Times New Roman" w:cs="Times New Roman"/>
          <w:sz w:val="28"/>
          <w:szCs w:val="28"/>
        </w:rPr>
        <w:t>1962774045@qq.com</w:t>
      </w:r>
      <w:r>
        <w:rPr>
          <w:rFonts w:ascii="Times New Roman" w:hAnsi="Times New Roman" w:cs="Times New Roman"/>
          <w:sz w:val="28"/>
          <w:szCs w:val="28"/>
        </w:rPr>
        <w:fldChar w:fldCharType="end"/>
      </w:r>
    </w:p>
    <w:p w14:paraId="7FB87767">
      <w:pPr>
        <w:ind w:firstLine="2520" w:firstLineChars="900"/>
        <w:jc w:val="center"/>
        <w:rPr>
          <w:rFonts w:ascii="Times New Roman" w:hAnsi="Times New Roman" w:cs="Times New Roman"/>
          <w:sz w:val="28"/>
          <w:szCs w:val="28"/>
        </w:rPr>
      </w:pPr>
    </w:p>
    <w:p w14:paraId="19E448F1">
      <w:pPr>
        <w:jc w:val="center"/>
        <w:rPr>
          <w:rFonts w:ascii="Times New Roman" w:hAnsi="Times New Roman" w:cs="Times New Roman"/>
          <w:sz w:val="28"/>
          <w:szCs w:val="28"/>
        </w:rPr>
      </w:pPr>
      <w:r>
        <w:rPr>
          <w:rFonts w:ascii="Times New Roman" w:hAnsi="Times New Roman" w:cs="Times New Roman"/>
          <w:sz w:val="28"/>
          <w:szCs w:val="28"/>
        </w:rPr>
        <w:t>Li Wang, PhD, MD</w:t>
      </w:r>
    </w:p>
    <w:p w14:paraId="76EEDC00">
      <w:pPr>
        <w:jc w:val="center"/>
        <w:rPr>
          <w:rFonts w:ascii="Times New Roman" w:hAnsi="Times New Roman" w:cs="Times New Roman"/>
          <w:sz w:val="28"/>
          <w:szCs w:val="28"/>
        </w:rPr>
      </w:pPr>
      <w:r>
        <w:rPr>
          <w:rFonts w:ascii="Times New Roman" w:hAnsi="Times New Roman" w:cs="Times New Roman"/>
          <w:sz w:val="28"/>
          <w:szCs w:val="28"/>
        </w:rPr>
        <w:t>School of Medical Technology,</w:t>
      </w:r>
      <w:r>
        <w:rPr>
          <w:rFonts w:hint="eastAsia" w:ascii="Times New Roman" w:hAnsi="Times New Roman" w:cs="Times New Roman"/>
          <w:sz w:val="28"/>
          <w:szCs w:val="28"/>
        </w:rPr>
        <w:t xml:space="preserve"> </w:t>
      </w:r>
      <w:r>
        <w:rPr>
          <w:rFonts w:ascii="Times New Roman" w:hAnsi="Times New Roman" w:cs="Times New Roman"/>
          <w:sz w:val="28"/>
          <w:szCs w:val="28"/>
        </w:rPr>
        <w:t>Beijing Institute of Technology</w:t>
      </w:r>
    </w:p>
    <w:p w14:paraId="4CA7E77E">
      <w:pPr>
        <w:jc w:val="center"/>
        <w:rPr>
          <w:rFonts w:ascii="Times New Roman" w:hAnsi="Times New Roman" w:cs="Times New Roman"/>
          <w:sz w:val="28"/>
          <w:szCs w:val="28"/>
        </w:rPr>
      </w:pPr>
      <w:r>
        <w:rPr>
          <w:rFonts w:ascii="Times New Roman" w:hAnsi="Times New Roman" w:cs="Times New Roman"/>
          <w:sz w:val="28"/>
          <w:szCs w:val="28"/>
        </w:rPr>
        <w:t>No. 5, South Street, Zhongguancun, Haidian District</w:t>
      </w:r>
    </w:p>
    <w:p w14:paraId="2AB74F6D">
      <w:pPr>
        <w:jc w:val="center"/>
        <w:rPr>
          <w:rFonts w:ascii="Times New Roman" w:hAnsi="Times New Roman" w:cs="Times New Roman"/>
          <w:sz w:val="28"/>
          <w:szCs w:val="28"/>
        </w:rPr>
      </w:pPr>
      <w:r>
        <w:rPr>
          <w:rFonts w:ascii="Times New Roman" w:hAnsi="Times New Roman" w:cs="Times New Roman"/>
          <w:sz w:val="28"/>
          <w:szCs w:val="28"/>
        </w:rPr>
        <w:t>wleewell@qq.com</w:t>
      </w:r>
    </w:p>
    <w:p w14:paraId="20DE5527">
      <w:pPr>
        <w:rPr>
          <w:rFonts w:ascii="Times New Roman" w:hAnsi="Times New Roman" w:eastAsia="等线" w:cs="Times New Roman"/>
          <w:b/>
          <w:color w:val="000000"/>
          <w:sz w:val="28"/>
          <w:szCs w:val="28"/>
        </w:rPr>
      </w:pPr>
    </w:p>
    <w:p w14:paraId="538EE9E7">
      <w:pPr>
        <w:rPr>
          <w:rFonts w:ascii="Times New Roman" w:hAnsi="Times New Roman" w:eastAsia="等线" w:cs="Times New Roman"/>
          <w:b/>
          <w:color w:val="000000"/>
          <w:sz w:val="28"/>
          <w:szCs w:val="28"/>
        </w:rPr>
      </w:pPr>
    </w:p>
    <w:p w14:paraId="162C1F72">
      <w:pPr>
        <w:rPr>
          <w:rFonts w:ascii="Times New Roman" w:hAnsi="Times New Roman" w:cs="Times New Roman"/>
          <w:b/>
          <w:sz w:val="24"/>
          <w:szCs w:val="24"/>
        </w:rPr>
      </w:pPr>
      <w:r>
        <w:rPr>
          <w:rFonts w:ascii="Times New Roman" w:hAnsi="Times New Roman" w:cs="Times New Roman"/>
          <w:b/>
          <w:sz w:val="24"/>
          <w:szCs w:val="24"/>
        </w:rPr>
        <w:br w:type="page"/>
      </w:r>
    </w:p>
    <w:p w14:paraId="1E8A4DA8">
      <w:pPr>
        <w:widowControl/>
        <w:jc w:val="left"/>
        <w:rPr>
          <w:rFonts w:ascii="Times New Roman" w:hAnsi="Times New Roman" w:cs="Times New Roman"/>
          <w:b/>
          <w:color w:val="4F81BD" w:themeColor="accent1"/>
          <w:sz w:val="28"/>
          <w14:textFill>
            <w14:solidFill>
              <w14:schemeClr w14:val="accent1"/>
            </w14:solidFill>
          </w14:textFill>
        </w:rPr>
      </w:pPr>
      <w:bookmarkStart w:id="0" w:name="_Toc42077421"/>
      <w:r>
        <w:rPr>
          <w:rFonts w:hint="eastAsia" w:ascii="Times New Roman" w:hAnsi="Times New Roman" w:cs="Times New Roman"/>
          <w:b/>
          <w:color w:val="4F81BD" w:themeColor="accent1"/>
          <w:sz w:val="28"/>
          <w14:textFill>
            <w14:solidFill>
              <w14:schemeClr w14:val="accent1"/>
            </w14:solidFill>
          </w14:textFill>
        </w:rPr>
        <w:t>S</w:t>
      </w:r>
      <w:r>
        <w:rPr>
          <w:rFonts w:ascii="Times New Roman" w:hAnsi="Times New Roman" w:cs="Times New Roman"/>
          <w:b/>
          <w:color w:val="4F81BD" w:themeColor="accent1"/>
          <w:sz w:val="28"/>
          <w14:textFill>
            <w14:solidFill>
              <w14:schemeClr w14:val="accent1"/>
            </w14:solidFill>
          </w14:textFill>
        </w:rPr>
        <w:t>tudy Synopsis</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6004"/>
      </w:tblGrid>
      <w:tr w14:paraId="705B3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688F9230">
            <w:pPr>
              <w:keepNext w:val="0"/>
              <w:keepLines w:val="0"/>
              <w:widowControl/>
              <w:suppressLineNumbers w:val="0"/>
              <w:spacing w:before="0" w:beforeAutospacing="0" w:after="0" w:afterAutospacing="0"/>
              <w:ind w:left="0" w:right="0"/>
              <w:jc w:val="left"/>
              <w:rPr>
                <w:rFonts w:hint="default" w:ascii="Times New Roman" w:hAnsi="Times New Roman" w:cs="Times New Roman"/>
                <w:b/>
                <w:color w:val="4F81BD" w:themeColor="accent1"/>
                <w:sz w:val="20"/>
                <w:szCs w:val="20"/>
                <w14:textFill>
                  <w14:solidFill>
                    <w14:schemeClr w14:val="accent1"/>
                  </w14:solidFill>
                </w14:textFill>
              </w:rPr>
            </w:pPr>
            <w:r>
              <w:rPr>
                <w:rFonts w:hint="default" w:ascii="Times New Roman" w:hAnsi="Times New Roman" w:cs="Times New Roman"/>
                <w:sz w:val="20"/>
                <w:szCs w:val="20"/>
              </w:rPr>
              <w:t>Full Title</w:t>
            </w:r>
          </w:p>
        </w:tc>
        <w:tc>
          <w:tcPr>
            <w:tcW w:w="6004" w:type="dxa"/>
          </w:tcPr>
          <w:p w14:paraId="4585AD5B">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Parietal transcranial alternating current stimulation for primary insomnia</w:t>
            </w:r>
          </w:p>
        </w:tc>
      </w:tr>
      <w:tr w14:paraId="02D46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2CBE5DE6">
            <w:pPr>
              <w:keepNext w:val="0"/>
              <w:keepLines w:val="0"/>
              <w:widowControl/>
              <w:suppressLineNumbers w:val="0"/>
              <w:spacing w:before="0" w:beforeAutospacing="0" w:after="0" w:afterAutospacing="0"/>
              <w:ind w:left="0" w:right="0"/>
              <w:jc w:val="left"/>
              <w:rPr>
                <w:rFonts w:hint="default" w:ascii="Times New Roman" w:hAnsi="Times New Roman" w:cs="Times New Roman"/>
                <w:b/>
                <w:color w:val="4F81BD" w:themeColor="accent1"/>
                <w:sz w:val="20"/>
                <w:szCs w:val="20"/>
                <w14:textFill>
                  <w14:solidFill>
                    <w14:schemeClr w14:val="accent1"/>
                  </w14:solidFill>
                </w14:textFill>
              </w:rPr>
            </w:pPr>
            <w:r>
              <w:rPr>
                <w:rFonts w:hint="default" w:ascii="Times New Roman" w:hAnsi="Times New Roman" w:cs="Times New Roman"/>
                <w:sz w:val="20"/>
                <w:szCs w:val="20"/>
              </w:rPr>
              <w:t>Protocol Version and Date</w:t>
            </w:r>
          </w:p>
        </w:tc>
        <w:tc>
          <w:tcPr>
            <w:tcW w:w="6004" w:type="dxa"/>
          </w:tcPr>
          <w:p w14:paraId="6DD04206">
            <w:pPr>
              <w:keepNext w:val="0"/>
              <w:keepLines w:val="0"/>
              <w:suppressLineNumbers w:val="0"/>
              <w:spacing w:before="0" w:beforeAutospacing="0" w:after="0" w:afterAutospacing="0"/>
              <w:ind w:left="0" w:right="0"/>
              <w:rPr>
                <w:rFonts w:hint="default" w:ascii="Times New Roman" w:hAnsi="Times New Roman" w:cs="Times New Roman"/>
                <w:sz w:val="20"/>
                <w:szCs w:val="20"/>
              </w:rPr>
            </w:pPr>
            <w:r>
              <w:rPr>
                <w:rFonts w:hint="default" w:ascii="Times New Roman" w:hAnsi="Times New Roman" w:cs="Times New Roman"/>
                <w:sz w:val="20"/>
                <w:szCs w:val="20"/>
              </w:rPr>
              <w:t>Version 1.0 (January, 2022)</w:t>
            </w:r>
          </w:p>
        </w:tc>
      </w:tr>
      <w:tr w14:paraId="3A084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098DED8F">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Study Duration</w:t>
            </w:r>
          </w:p>
        </w:tc>
        <w:tc>
          <w:tcPr>
            <w:tcW w:w="6004" w:type="dxa"/>
          </w:tcPr>
          <w:p w14:paraId="5D23A841">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18 months</w:t>
            </w:r>
          </w:p>
        </w:tc>
      </w:tr>
      <w:tr w14:paraId="70C84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08272C03">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Study Type</w:t>
            </w:r>
          </w:p>
        </w:tc>
        <w:tc>
          <w:tcPr>
            <w:tcW w:w="6004" w:type="dxa"/>
          </w:tcPr>
          <w:p w14:paraId="0C4FF2C7">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Sham-Controlled Clinical Investigation</w:t>
            </w:r>
          </w:p>
        </w:tc>
      </w:tr>
      <w:tr w14:paraId="481A4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2841744B">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Design</w:t>
            </w:r>
          </w:p>
        </w:tc>
        <w:tc>
          <w:tcPr>
            <w:tcW w:w="6004" w:type="dxa"/>
          </w:tcPr>
          <w:p w14:paraId="377D590B">
            <w:pPr>
              <w:keepNext w:val="0"/>
              <w:keepLines w:val="0"/>
              <w:widowControl/>
              <w:suppressLineNumbers w:val="0"/>
              <w:spacing w:before="0" w:beforeAutospacing="0" w:after="0" w:afterAutospacing="0"/>
              <w:ind w:left="0" w:right="0"/>
              <w:jc w:val="left"/>
              <w:rPr>
                <w:rFonts w:hint="default" w:ascii="Times New Roman" w:hAnsi="Times New Roman" w:eastAsia="等线" w:cs="Times New Roman"/>
                <w:sz w:val="20"/>
                <w:szCs w:val="20"/>
                <w:lang w:bidi="ar"/>
              </w:rPr>
            </w:pPr>
            <w:r>
              <w:rPr>
                <w:rFonts w:hint="default" w:ascii="Times New Roman" w:hAnsi="Times New Roman" w:cs="Times New Roman"/>
                <w:sz w:val="20"/>
                <w:szCs w:val="20"/>
              </w:rPr>
              <w:t>The objective of the study is to evaluate the efficacy and safety of alpha-tACS applied over medial parietal cortex in treatment of chronic primary insomnia with a randomized clinical trial setting. Fifty-six outpatients aged 18-65 years with chronic primary insomnia were enrolled and randomized in a 1:1 ratio to receive either active or sham tACS. The participants were assessed at baseline (week 0), treatment endpoint (week 2), week 4 (week 4), and week 6 (week 6) with respect to sleep symptoms, depressive and anxiety symptoms, and cogniti</w:t>
            </w:r>
            <w:r>
              <w:rPr>
                <w:rFonts w:hint="eastAsia" w:ascii="Times New Roman" w:hAnsi="Times New Roman" w:cs="Times New Roman"/>
                <w:sz w:val="20"/>
                <w:szCs w:val="20"/>
              </w:rPr>
              <w:t>ve deficits</w:t>
            </w:r>
            <w:r>
              <w:rPr>
                <w:rFonts w:hint="default" w:ascii="Times New Roman" w:hAnsi="Times New Roman" w:cs="Times New Roman"/>
                <w:sz w:val="20"/>
                <w:szCs w:val="20"/>
              </w:rPr>
              <w:t>.</w:t>
            </w:r>
          </w:p>
        </w:tc>
      </w:tr>
      <w:tr w14:paraId="4FA22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790C3201">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Sponsor</w:t>
            </w:r>
          </w:p>
        </w:tc>
        <w:tc>
          <w:tcPr>
            <w:tcW w:w="6004" w:type="dxa"/>
          </w:tcPr>
          <w:p w14:paraId="08D09BEB">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Dongcheng District Health Science and Technology Plan Project Fund of Beijing (2022-4), Science and Technology Innovation Project of Puren Hospital (2022-1), Beijing Institute of Technology Research Fund Program for Young Scholars (3160012222109)</w:t>
            </w:r>
          </w:p>
        </w:tc>
      </w:tr>
      <w:tr w14:paraId="03681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217B49EC">
            <w:pPr>
              <w:keepNext w:val="0"/>
              <w:keepLines w:val="0"/>
              <w:widowControl/>
              <w:suppressLineNumbers w:val="0"/>
              <w:tabs>
                <w:tab w:val="left" w:pos="4"/>
              </w:tabs>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Chief Investigator</w:t>
            </w:r>
          </w:p>
        </w:tc>
        <w:tc>
          <w:tcPr>
            <w:tcW w:w="6004" w:type="dxa"/>
          </w:tcPr>
          <w:p w14:paraId="34D0556E">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Kun Wang and Li Wang</w:t>
            </w:r>
          </w:p>
        </w:tc>
      </w:tr>
      <w:tr w14:paraId="645AF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019C7B44">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Objectives</w:t>
            </w:r>
          </w:p>
        </w:tc>
        <w:tc>
          <w:tcPr>
            <w:tcW w:w="6004" w:type="dxa"/>
          </w:tcPr>
          <w:p w14:paraId="569EC671">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To evaluate the efficacy and safety of alpha-tACS over medial parietal cortex in the treatment of chronic primary insomnia in a randomized clinical trial setting</w:t>
            </w:r>
          </w:p>
        </w:tc>
      </w:tr>
      <w:tr w14:paraId="4E346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15989D29">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Number of Subjects</w:t>
            </w:r>
          </w:p>
        </w:tc>
        <w:tc>
          <w:tcPr>
            <w:tcW w:w="6004" w:type="dxa"/>
          </w:tcPr>
          <w:p w14:paraId="54BA8938">
            <w:pPr>
              <w:keepNext w:val="0"/>
              <w:keepLines w:val="0"/>
              <w:widowControl/>
              <w:suppressLineNumbers w:val="0"/>
              <w:spacing w:before="0" w:beforeAutospacing="0" w:after="0" w:afterAutospacing="0"/>
              <w:ind w:left="0" w:right="0"/>
              <w:jc w:val="left"/>
              <w:rPr>
                <w:rFonts w:hint="default" w:ascii="Times New Roman" w:hAnsi="Times New Roman" w:cs="Times New Roman"/>
                <w:b/>
                <w:color w:val="4F81BD" w:themeColor="accent1"/>
                <w:sz w:val="20"/>
                <w:szCs w:val="20"/>
                <w14:textFill>
                  <w14:solidFill>
                    <w14:schemeClr w14:val="accent1"/>
                  </w14:solidFill>
                </w14:textFill>
              </w:rPr>
            </w:pPr>
            <w:r>
              <w:rPr>
                <w:rFonts w:hint="default" w:ascii="Times New Roman" w:hAnsi="Times New Roman" w:cs="Times New Roman"/>
                <w:sz w:val="20"/>
                <w:szCs w:val="20"/>
              </w:rPr>
              <w:t>56 patients with chronic primary insomnia</w:t>
            </w:r>
          </w:p>
        </w:tc>
      </w:tr>
      <w:tr w14:paraId="270C4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7D372FC9">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Main Inclusion Criteria</w:t>
            </w:r>
          </w:p>
        </w:tc>
        <w:tc>
          <w:tcPr>
            <w:tcW w:w="6004" w:type="dxa"/>
          </w:tcPr>
          <w:p w14:paraId="244CB7EE">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Diagnosis of chronic primary insomnia, 18-65 years, total score of the Pittsburgh Sleep Quality Index (PSQI)&gt;8; daytime functional impairments (i.e., ≥2 on PSQI daily disturbance scores).</w:t>
            </w:r>
          </w:p>
        </w:tc>
      </w:tr>
      <w:tr w14:paraId="3E22E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14:paraId="4EC3DFF2">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Statistical Methodology and Analysis</w:t>
            </w:r>
          </w:p>
        </w:tc>
        <w:tc>
          <w:tcPr>
            <w:tcW w:w="6004" w:type="dxa"/>
          </w:tcPr>
          <w:p w14:paraId="5001E2CD">
            <w:pPr>
              <w:keepNext w:val="0"/>
              <w:keepLines w:val="0"/>
              <w:widowControl/>
              <w:suppressLineNumbers w:val="0"/>
              <w:spacing w:before="0" w:beforeAutospacing="0" w:after="0" w:afterAutospacing="0"/>
              <w:ind w:left="0" w:right="0"/>
              <w:jc w:val="left"/>
              <w:rPr>
                <w:rFonts w:hint="default" w:ascii="Times New Roman" w:hAnsi="Times New Roman" w:cs="Times New Roman"/>
                <w:sz w:val="20"/>
                <w:szCs w:val="20"/>
              </w:rPr>
            </w:pPr>
            <w:r>
              <w:rPr>
                <w:rFonts w:hint="default" w:ascii="Times New Roman" w:hAnsi="Times New Roman" w:cs="Times New Roman"/>
                <w:sz w:val="20"/>
                <w:szCs w:val="20"/>
              </w:rPr>
              <w:t>The data will be analyzed based on the intention-to-treat sample. For the categorical variables, the relative risk (RR) with 95% confidence interval will be calculated using the log-binomial model. The mixed effects model will be used to determine treatment-attributable changes in the outcome measures.</w:t>
            </w:r>
          </w:p>
        </w:tc>
      </w:tr>
    </w:tbl>
    <w:p w14:paraId="6156A2EB">
      <w:pPr>
        <w:widowControl/>
        <w:jc w:val="left"/>
        <w:rPr>
          <w:rFonts w:ascii="Times New Roman" w:hAnsi="Times New Roman" w:cs="Times New Roman"/>
          <w:b/>
          <w:color w:val="4F81BD" w:themeColor="accent1"/>
          <w:sz w:val="28"/>
          <w14:textFill>
            <w14:solidFill>
              <w14:schemeClr w14:val="accent1"/>
            </w14:solidFill>
          </w14:textFill>
        </w:rPr>
      </w:pPr>
    </w:p>
    <w:p w14:paraId="25C16BFF">
      <w:pPr>
        <w:widowControl/>
        <w:jc w:val="left"/>
        <w:rPr>
          <w:rFonts w:ascii="Times New Roman" w:hAnsi="Times New Roman" w:cs="Times New Roman"/>
          <w:b/>
          <w:color w:val="4F81BD" w:themeColor="accent1"/>
          <w:sz w:val="28"/>
          <w:szCs w:val="24"/>
          <w14:textFill>
            <w14:solidFill>
              <w14:schemeClr w14:val="accent1"/>
            </w14:solidFill>
          </w14:textFill>
        </w:rPr>
      </w:pPr>
      <w:r>
        <w:rPr>
          <w:rFonts w:ascii="Times New Roman" w:hAnsi="Times New Roman" w:cs="Times New Roman"/>
          <w:b/>
          <w:color w:val="4F81BD" w:themeColor="accent1"/>
          <w:sz w:val="28"/>
          <w14:textFill>
            <w14:solidFill>
              <w14:schemeClr w14:val="accent1"/>
            </w14:solidFill>
          </w14:textFill>
        </w:rPr>
        <w:br w:type="page"/>
      </w:r>
    </w:p>
    <w:p w14:paraId="0431E716">
      <w:pPr>
        <w:pStyle w:val="11"/>
        <w:shd w:val="clear" w:color="auto" w:fill="FFFFFF"/>
        <w:spacing w:before="0" w:beforeAutospacing="0" w:after="0" w:afterAutospacing="0" w:line="360" w:lineRule="auto"/>
        <w:jc w:val="both"/>
        <w:rPr>
          <w:rFonts w:ascii="Times New Roman" w:hAnsi="Times New Roman" w:eastAsia="等线" w:cs="Times New Roman"/>
          <w:b/>
          <w:color w:val="000000" w:themeColor="text1"/>
          <w:kern w:val="2"/>
          <w:sz w:val="20"/>
          <w:szCs w:val="20"/>
          <w14:textFill>
            <w14:solidFill>
              <w14:schemeClr w14:val="tx1"/>
            </w14:solidFill>
          </w14:textFill>
        </w:rPr>
      </w:pPr>
      <w:r>
        <w:rPr>
          <w:rFonts w:hint="eastAsia" w:ascii="Times New Roman" w:hAnsi="Times New Roman" w:cs="Times New Roman" w:eastAsiaTheme="minorEastAsia"/>
          <w:b/>
          <w:color w:val="4F81BD" w:themeColor="accent1"/>
          <w:kern w:val="2"/>
          <w:sz w:val="20"/>
          <w:szCs w:val="20"/>
          <w14:textFill>
            <w14:solidFill>
              <w14:schemeClr w14:val="accent1"/>
            </w14:solidFill>
          </w14:textFill>
        </w:rPr>
        <w:t xml:space="preserve">Table of </w:t>
      </w:r>
      <w:r>
        <w:rPr>
          <w:rFonts w:ascii="Times New Roman" w:hAnsi="Times New Roman" w:cs="Times New Roman" w:eastAsiaTheme="minorEastAsia"/>
          <w:b/>
          <w:color w:val="4F81BD" w:themeColor="accent1"/>
          <w:kern w:val="2"/>
          <w:sz w:val="20"/>
          <w:szCs w:val="20"/>
          <w14:textFill>
            <w14:solidFill>
              <w14:schemeClr w14:val="accent1"/>
            </w14:solidFill>
          </w14:textFill>
        </w:rPr>
        <w:t>Contents</w:t>
      </w:r>
    </w:p>
    <w:p w14:paraId="260A6854">
      <w:pPr>
        <w:pStyle w:val="11"/>
        <w:numPr>
          <w:ilvl w:val="0"/>
          <w:numId w:val="1"/>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Abbreviations……………………………………………………………………..………………</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4</w:t>
      </w:r>
    </w:p>
    <w:p w14:paraId="1D95BFC1">
      <w:pPr>
        <w:pStyle w:val="11"/>
        <w:numPr>
          <w:ilvl w:val="0"/>
          <w:numId w:val="1"/>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Trial Summary………………………………………………………..……………………………5</w:t>
      </w:r>
    </w:p>
    <w:p w14:paraId="39EECD7D">
      <w:pPr>
        <w:pStyle w:val="11"/>
        <w:numPr>
          <w:ilvl w:val="0"/>
          <w:numId w:val="1"/>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Background…………………………………………………………….….………</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………6</w:t>
      </w:r>
    </w:p>
    <w:p w14:paraId="1CF1D45B">
      <w:pPr>
        <w:pStyle w:val="11"/>
        <w:numPr>
          <w:ilvl w:val="0"/>
          <w:numId w:val="1"/>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Design and Objective …………………………………………………………………...……….6</w:t>
      </w:r>
    </w:p>
    <w:p w14:paraId="6A455052">
      <w:pPr>
        <w:pStyle w:val="11"/>
        <w:numPr>
          <w:ilvl w:val="0"/>
          <w:numId w:val="1"/>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Participants…………………………………………………………………</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……………8</w:t>
      </w:r>
    </w:p>
    <w:p w14:paraId="4F02B4FB">
      <w:pPr>
        <w:pStyle w:val="11"/>
        <w:numPr>
          <w:ilvl w:val="1"/>
          <w:numId w:val="2"/>
        </w:numPr>
        <w:shd w:val="clear" w:color="auto" w:fill="FFFFFF"/>
        <w:spacing w:before="0" w:beforeAutospacing="0" w:after="0" w:afterAutospacing="0"/>
        <w:jc w:val="distribute"/>
        <w:rPr>
          <w:rFonts w:ascii="Times New Roman" w:hAnsi="Times New Roman" w:cs="Times New Roman"/>
          <w:b/>
          <w:bCs/>
          <w:color w:val="000000"/>
          <w:sz w:val="20"/>
          <w:szCs w:val="20"/>
        </w:rPr>
      </w:pPr>
      <w:r>
        <w:rPr>
          <w:rFonts w:ascii="Times New Roman" w:hAnsi="Times New Roman" w:cs="Times New Roman"/>
          <w:b/>
          <w:bCs/>
          <w:color w:val="000000"/>
          <w:sz w:val="20"/>
          <w:szCs w:val="20"/>
        </w:rPr>
        <w:t>Recruitment</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……...…8</w:t>
      </w:r>
    </w:p>
    <w:p w14:paraId="7BFE2444">
      <w:pPr>
        <w:pStyle w:val="11"/>
        <w:numPr>
          <w:ilvl w:val="1"/>
          <w:numId w:val="2"/>
        </w:numPr>
        <w:shd w:val="clear" w:color="auto" w:fill="FFFFFF"/>
        <w:spacing w:before="0" w:beforeAutospacing="0" w:after="0" w:afterAutospacing="0"/>
        <w:jc w:val="distribute"/>
        <w:rPr>
          <w:rFonts w:ascii="Times New Roman" w:hAnsi="Times New Roman" w:cs="Times New Roman"/>
          <w:b/>
          <w:bCs/>
          <w:color w:val="000000"/>
          <w:sz w:val="20"/>
          <w:szCs w:val="20"/>
        </w:rPr>
      </w:pPr>
      <w:r>
        <w:rPr>
          <w:rFonts w:ascii="Times New Roman" w:hAnsi="Times New Roman" w:cs="Times New Roman"/>
          <w:b/>
          <w:color w:val="000000"/>
          <w:sz w:val="20"/>
          <w:szCs w:val="20"/>
        </w:rPr>
        <w:t>Inclusion criteria</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……...…8</w:t>
      </w:r>
    </w:p>
    <w:p w14:paraId="39AA1712">
      <w:pPr>
        <w:pStyle w:val="11"/>
        <w:numPr>
          <w:ilvl w:val="1"/>
          <w:numId w:val="2"/>
        </w:numPr>
        <w:shd w:val="clear" w:color="auto" w:fill="FFFFFF"/>
        <w:spacing w:before="0" w:beforeAutospacing="0" w:after="0" w:afterAutospacing="0"/>
        <w:jc w:val="distribute"/>
        <w:rPr>
          <w:rFonts w:ascii="Times New Roman" w:hAnsi="Times New Roman" w:cs="Times New Roman"/>
          <w:b/>
          <w:color w:val="000000"/>
          <w:sz w:val="20"/>
          <w:szCs w:val="20"/>
        </w:rPr>
      </w:pPr>
      <w:r>
        <w:rPr>
          <w:rFonts w:ascii="Times New Roman" w:hAnsi="Times New Roman" w:cs="Times New Roman"/>
          <w:b/>
          <w:bCs/>
          <w:color w:val="000000"/>
          <w:sz w:val="20"/>
          <w:szCs w:val="20"/>
        </w:rPr>
        <w:t>Exclusion criteria</w:t>
      </w:r>
      <w:r>
        <w:rPr>
          <w:rFonts w:ascii="Times New Roman" w:hAnsi="Times New Roman" w:eastAsia="等线" w:cs="Times New Roman"/>
          <w:b/>
          <w:kern w:val="2"/>
          <w:sz w:val="20"/>
          <w:szCs w:val="20"/>
        </w:rPr>
        <w:t>……………………………………………………………………………8</w:t>
      </w:r>
    </w:p>
    <w:p w14:paraId="264C3002">
      <w:pPr>
        <w:pStyle w:val="11"/>
        <w:numPr>
          <w:ilvl w:val="1"/>
          <w:numId w:val="2"/>
        </w:numPr>
        <w:shd w:val="clear" w:color="auto" w:fill="FFFFFF"/>
        <w:spacing w:before="0" w:beforeAutospacing="0" w:after="0" w:afterAutospacing="0"/>
        <w:jc w:val="distribute"/>
        <w:rPr>
          <w:rFonts w:ascii="Times New Roman" w:hAnsi="Times New Roman" w:cs="Times New Roman"/>
          <w:b/>
          <w:color w:val="000000"/>
          <w:sz w:val="20"/>
          <w:szCs w:val="20"/>
        </w:rPr>
      </w:pPr>
      <w:r>
        <w:rPr>
          <w:rFonts w:ascii="Times New Roman" w:hAnsi="Times New Roman" w:cs="Times New Roman"/>
          <w:b/>
          <w:color w:val="000000"/>
          <w:sz w:val="20"/>
          <w:szCs w:val="20"/>
        </w:rPr>
        <w:t>Sample size calculation</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..8</w:t>
      </w:r>
    </w:p>
    <w:p w14:paraId="6FACC676">
      <w:pPr>
        <w:pStyle w:val="11"/>
        <w:numPr>
          <w:ilvl w:val="0"/>
          <w:numId w:val="2"/>
        </w:numPr>
        <w:shd w:val="clear" w:color="auto" w:fill="FFFFFF"/>
        <w:spacing w:before="0" w:beforeAutospacing="0" w:after="0" w:afterAutospacing="0"/>
        <w:jc w:val="distribute"/>
        <w:rPr>
          <w:rFonts w:ascii="Times New Roman" w:hAnsi="Times New Roman" w:cs="Times New Roman"/>
          <w:b/>
          <w:color w:val="000000"/>
          <w:sz w:val="20"/>
          <w:szCs w:val="20"/>
        </w:rPr>
      </w:pPr>
      <w:r>
        <w:rPr>
          <w:rFonts w:ascii="Times New Roman" w:hAnsi="Times New Roman" w:eastAsia="等线" w:cs="Times New Roman"/>
          <w:b/>
          <w:kern w:val="2"/>
          <w:sz w:val="20"/>
          <w:szCs w:val="20"/>
        </w:rPr>
        <w:t>Intervention………………………………………………………………………</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………………9</w:t>
      </w:r>
    </w:p>
    <w:p w14:paraId="2DB6DAAD">
      <w:pPr>
        <w:pStyle w:val="11"/>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7   Assessments and Outcomes………………………………………………………………</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..…..…9</w:t>
      </w:r>
    </w:p>
    <w:p w14:paraId="3869929C">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7.1 Assessments……………………………………………………………………….…….</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……9</w:t>
      </w:r>
    </w:p>
    <w:p w14:paraId="09A6515D">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7.2 Outcomes…………………………………………………………………………</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……..….10</w:t>
      </w:r>
    </w:p>
    <w:p w14:paraId="3906E01D">
      <w:pPr>
        <w:pStyle w:val="11"/>
        <w:numPr>
          <w:ilvl w:val="0"/>
          <w:numId w:val="3"/>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color w:val="000000" w:themeColor="text1"/>
          <w:kern w:val="2"/>
          <w:sz w:val="20"/>
          <w:szCs w:val="20"/>
          <w14:textFill>
            <w14:solidFill>
              <w14:schemeClr w14:val="tx1"/>
            </w14:solidFill>
          </w14:textFill>
        </w:rPr>
        <w:t>Safety indicators</w:t>
      </w:r>
      <w:r>
        <w:rPr>
          <w:rFonts w:ascii="Times New Roman" w:hAnsi="Times New Roman" w:eastAsia="等线" w:cs="Times New Roman"/>
          <w:b/>
          <w:kern w:val="2"/>
          <w:sz w:val="20"/>
          <w:szCs w:val="20"/>
        </w:rPr>
        <w:t>……………………………………….…………………………………..……10</w:t>
      </w:r>
    </w:p>
    <w:p w14:paraId="687C37B9">
      <w:pPr>
        <w:pStyle w:val="11"/>
        <w:numPr>
          <w:ilvl w:val="0"/>
          <w:numId w:val="3"/>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Randomization and Blinding…………………………………………………………………...10</w:t>
      </w:r>
    </w:p>
    <w:p w14:paraId="2EB2DAFB">
      <w:pPr>
        <w:pStyle w:val="11"/>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10 Ethics Consideration………………………………………………………………....10</w:t>
      </w:r>
    </w:p>
    <w:p w14:paraId="4603E20D">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10.1 Informed consent procedure……….………………………………………………….....10</w:t>
      </w:r>
    </w:p>
    <w:p w14:paraId="126B0D41">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10.2 Potential risks………………………………………………………………………………11</w:t>
      </w:r>
    </w:p>
    <w:p w14:paraId="0226368B">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10.3 Potential benefits……………………………………………………………………………11</w:t>
      </w:r>
    </w:p>
    <w:p w14:paraId="5221439D">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10.4 Rights of subject………………………………………………………………………….11</w:t>
      </w:r>
    </w:p>
    <w:p w14:paraId="1B7E9A37">
      <w:pPr>
        <w:pStyle w:val="11"/>
        <w:shd w:val="clear" w:color="auto" w:fill="FFFFFF"/>
        <w:spacing w:before="0" w:beforeAutospacing="0" w:after="0" w:afterAutospacing="0"/>
        <w:ind w:firstLine="400" w:firstLineChars="20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10.5 Confidential………………………………………………………………………….…....11</w:t>
      </w:r>
    </w:p>
    <w:p w14:paraId="435DA902">
      <w:pPr>
        <w:pStyle w:val="11"/>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11  Data Management………………………………………………………………...…</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…….……11</w:t>
      </w:r>
    </w:p>
    <w:p w14:paraId="626A0FFE">
      <w:pPr>
        <w:pStyle w:val="11"/>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 xml:space="preserve">12  </w:t>
      </w:r>
      <w:r>
        <w:rPr>
          <w:rFonts w:hint="eastAsia" w:ascii="Times New Roman" w:hAnsi="Times New Roman" w:eastAsia="等线" w:cs="Times New Roman"/>
          <w:b/>
          <w:kern w:val="2"/>
          <w:sz w:val="20"/>
          <w:szCs w:val="20"/>
        </w:rPr>
        <w:t>Statistical</w:t>
      </w:r>
      <w:r>
        <w:rPr>
          <w:rFonts w:ascii="Times New Roman" w:hAnsi="Times New Roman" w:eastAsia="等线" w:cs="Times New Roman"/>
          <w:b/>
          <w:kern w:val="2"/>
          <w:sz w:val="20"/>
          <w:szCs w:val="20"/>
        </w:rPr>
        <w:t xml:space="preserve"> Analysis Plan……………………………………………………………………….....11</w:t>
      </w:r>
    </w:p>
    <w:p w14:paraId="2112937B">
      <w:pPr>
        <w:pStyle w:val="11"/>
        <w:numPr>
          <w:ilvl w:val="0"/>
          <w:numId w:val="4"/>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 xml:space="preserve"> Availability of Data………………………………………………………………………….…</w:t>
      </w:r>
      <w:r>
        <w:rPr>
          <w:rFonts w:hint="eastAsia" w:ascii="Times New Roman" w:hAnsi="Times New Roman" w:eastAsia="等线" w:cs="Times New Roman"/>
          <w:b/>
          <w:kern w:val="2"/>
          <w:sz w:val="20"/>
          <w:szCs w:val="20"/>
        </w:rPr>
        <w:t>1</w:t>
      </w:r>
      <w:r>
        <w:rPr>
          <w:rFonts w:ascii="Times New Roman" w:hAnsi="Times New Roman" w:eastAsia="等线" w:cs="Times New Roman"/>
          <w:b/>
          <w:kern w:val="2"/>
          <w:sz w:val="20"/>
          <w:szCs w:val="20"/>
        </w:rPr>
        <w:t>2</w:t>
      </w:r>
    </w:p>
    <w:p w14:paraId="3D5CAEBC">
      <w:pPr>
        <w:pStyle w:val="11"/>
        <w:numPr>
          <w:ilvl w:val="0"/>
          <w:numId w:val="4"/>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 xml:space="preserve"> Substudy………………</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………12</w:t>
      </w:r>
    </w:p>
    <w:p w14:paraId="5FA59451">
      <w:pPr>
        <w:pStyle w:val="11"/>
        <w:numPr>
          <w:ilvl w:val="0"/>
          <w:numId w:val="4"/>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hint="eastAsia" w:ascii="Times New Roman" w:hAnsi="Times New Roman" w:eastAsia="等线" w:cs="Times New Roman"/>
          <w:b/>
          <w:kern w:val="2"/>
          <w:sz w:val="20"/>
          <w:szCs w:val="20"/>
        </w:rPr>
        <w:t xml:space="preserve"> </w:t>
      </w:r>
      <w:r>
        <w:rPr>
          <w:rFonts w:ascii="Times New Roman" w:hAnsi="Times New Roman" w:eastAsia="等线" w:cs="Times New Roman"/>
          <w:b/>
          <w:kern w:val="2"/>
          <w:sz w:val="20"/>
          <w:szCs w:val="20"/>
        </w:rPr>
        <w:t>Competing Interests………………………………………………………………</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1</w:t>
      </w:r>
      <w:r>
        <w:rPr>
          <w:rFonts w:ascii="Times New Roman" w:hAnsi="Times New Roman" w:eastAsia="等线" w:cs="Times New Roman"/>
          <w:b/>
          <w:kern w:val="2"/>
          <w:sz w:val="20"/>
          <w:szCs w:val="20"/>
        </w:rPr>
        <w:t>2</w:t>
      </w:r>
    </w:p>
    <w:p w14:paraId="2921C2ED">
      <w:pPr>
        <w:pStyle w:val="11"/>
        <w:numPr>
          <w:ilvl w:val="0"/>
          <w:numId w:val="4"/>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 xml:space="preserve"> Funding……………………………………………………………………………………</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1</w:t>
      </w:r>
      <w:r>
        <w:rPr>
          <w:rFonts w:ascii="Times New Roman" w:hAnsi="Times New Roman" w:eastAsia="等线" w:cs="Times New Roman"/>
          <w:b/>
          <w:kern w:val="2"/>
          <w:sz w:val="20"/>
          <w:szCs w:val="20"/>
        </w:rPr>
        <w:t>2</w:t>
      </w:r>
    </w:p>
    <w:p w14:paraId="18F9797A">
      <w:pPr>
        <w:pStyle w:val="11"/>
        <w:numPr>
          <w:ilvl w:val="0"/>
          <w:numId w:val="4"/>
        </w:numPr>
        <w:shd w:val="clear" w:color="auto" w:fill="FFFFFF"/>
        <w:spacing w:before="0" w:beforeAutospacing="0" w:after="0" w:afterAutospacing="0"/>
        <w:jc w:val="distribute"/>
        <w:rPr>
          <w:rFonts w:ascii="Times New Roman" w:hAnsi="Times New Roman" w:eastAsia="等线" w:cs="Times New Roman"/>
          <w:b/>
          <w:kern w:val="2"/>
          <w:sz w:val="20"/>
          <w:szCs w:val="20"/>
        </w:rPr>
      </w:pPr>
      <w:r>
        <w:rPr>
          <w:rFonts w:ascii="Times New Roman" w:hAnsi="Times New Roman" w:eastAsia="等线" w:cs="Times New Roman"/>
          <w:b/>
          <w:kern w:val="2"/>
          <w:sz w:val="20"/>
          <w:szCs w:val="20"/>
        </w:rPr>
        <w:t xml:space="preserve"> Reference…………………………………………………………………………</w:t>
      </w:r>
      <w:r>
        <w:rPr>
          <w:rFonts w:hint="eastAsia" w:ascii="Times New Roman" w:hAnsi="Times New Roman" w:eastAsia="等线" w:cs="Times New Roman"/>
          <w:b/>
          <w:kern w:val="2"/>
          <w:sz w:val="20"/>
          <w:szCs w:val="20"/>
        </w:rPr>
        <w:t>..</w:t>
      </w:r>
      <w:r>
        <w:rPr>
          <w:rFonts w:ascii="Times New Roman" w:hAnsi="Times New Roman" w:eastAsia="等线" w:cs="Times New Roman"/>
          <w:b/>
          <w:kern w:val="2"/>
          <w:sz w:val="20"/>
          <w:szCs w:val="20"/>
        </w:rPr>
        <w:t>……...……</w:t>
      </w:r>
      <w:r>
        <w:rPr>
          <w:rFonts w:hint="eastAsia" w:ascii="Times New Roman" w:hAnsi="Times New Roman" w:eastAsia="等线" w:cs="Times New Roman"/>
          <w:b/>
          <w:kern w:val="2"/>
          <w:sz w:val="20"/>
          <w:szCs w:val="20"/>
        </w:rPr>
        <w:t>1</w:t>
      </w:r>
      <w:r>
        <w:rPr>
          <w:rFonts w:ascii="Times New Roman" w:hAnsi="Times New Roman" w:eastAsia="等线" w:cs="Times New Roman"/>
          <w:b/>
          <w:kern w:val="2"/>
          <w:sz w:val="20"/>
          <w:szCs w:val="20"/>
        </w:rPr>
        <w:t>3</w:t>
      </w:r>
    </w:p>
    <w:p w14:paraId="24435C86">
      <w:pPr>
        <w:widowControl/>
        <w:jc w:val="left"/>
        <w:rPr>
          <w:rFonts w:ascii="Times New Roman" w:hAnsi="Times New Roman" w:cs="Times New Roman"/>
          <w:b/>
          <w:color w:val="4F81BD" w:themeColor="accent1"/>
          <w:sz w:val="20"/>
          <w:szCs w:val="20"/>
          <w14:textFill>
            <w14:solidFill>
              <w14:schemeClr w14:val="accent1"/>
            </w14:solidFill>
          </w14:textFill>
        </w:rPr>
      </w:pPr>
      <w:r>
        <w:rPr>
          <w:rFonts w:ascii="Times New Roman" w:hAnsi="Times New Roman" w:cs="Times New Roman"/>
          <w:b/>
          <w:color w:val="4F81BD" w:themeColor="accent1"/>
          <w:sz w:val="20"/>
          <w:szCs w:val="20"/>
          <w14:textFill>
            <w14:solidFill>
              <w14:schemeClr w14:val="accent1"/>
            </w14:solidFill>
          </w14:textFill>
        </w:rPr>
        <w:br w:type="page"/>
      </w:r>
    </w:p>
    <w:p w14:paraId="1796F517">
      <w:pPr>
        <w:widowControl/>
        <w:jc w:val="left"/>
        <w:rPr>
          <w:rFonts w:ascii="Times New Roman" w:hAnsi="Times New Roman" w:cs="Times New Roman"/>
          <w:b/>
          <w:color w:val="4F81BD" w:themeColor="accent1"/>
          <w:sz w:val="24"/>
          <w:szCs w:val="24"/>
          <w14:textFill>
            <w14:solidFill>
              <w14:schemeClr w14:val="accent1"/>
            </w14:solidFill>
          </w14:textFill>
        </w:rPr>
      </w:pPr>
      <w:r>
        <w:rPr>
          <w:rFonts w:ascii="Times New Roman" w:hAnsi="Times New Roman" w:cs="Times New Roman"/>
          <w:b/>
          <w:color w:val="4F81BD" w:themeColor="accent1"/>
          <w:sz w:val="24"/>
          <w:szCs w:val="24"/>
          <w14:textFill>
            <w14:solidFill>
              <w14:schemeClr w14:val="accent1"/>
            </w14:solidFill>
          </w14:textFill>
        </w:rPr>
        <w:t xml:space="preserve">1. </w:t>
      </w:r>
      <w:r>
        <w:rPr>
          <w:rFonts w:hint="eastAsia" w:ascii="Times New Roman" w:hAnsi="Times New Roman" w:cs="Times New Roman"/>
          <w:b/>
          <w:color w:val="4F81BD" w:themeColor="accent1"/>
          <w:sz w:val="24"/>
          <w:szCs w:val="24"/>
          <w14:textFill>
            <w14:solidFill>
              <w14:schemeClr w14:val="accent1"/>
            </w14:solidFill>
          </w14:textFill>
        </w:rPr>
        <w:t xml:space="preserve"> </w:t>
      </w:r>
      <w:r>
        <w:rPr>
          <w:rFonts w:ascii="Times New Roman" w:hAnsi="Times New Roman" w:cs="Times New Roman"/>
          <w:b/>
          <w:color w:val="4F81BD" w:themeColor="accent1"/>
          <w:sz w:val="24"/>
          <w:szCs w:val="24"/>
          <w14:textFill>
            <w14:solidFill>
              <w14:schemeClr w14:val="accent1"/>
            </w14:solidFill>
          </w14:textFill>
        </w:rPr>
        <w:t>Key Abbreviations</w:t>
      </w:r>
      <w:bookmarkEnd w:id="0"/>
    </w:p>
    <w:p w14:paraId="4E904D9D">
      <w:pPr>
        <w:widowControl/>
        <w:spacing w:line="360" w:lineRule="auto"/>
        <w:rPr>
          <w:rFonts w:ascii="Times New Roman" w:hAnsi="Times New Roman" w:cs="Times New Roman"/>
          <w:sz w:val="20"/>
          <w:szCs w:val="20"/>
        </w:rPr>
      </w:pPr>
      <w:r>
        <w:rPr>
          <w:rFonts w:ascii="Times New Roman" w:hAnsi="Times New Roman" w:cs="Times New Roman"/>
          <w:sz w:val="20"/>
          <w:szCs w:val="20"/>
        </w:rPr>
        <w:t>NIBS = Non-Invasive Brain Stimulation</w:t>
      </w:r>
    </w:p>
    <w:p w14:paraId="098C3209">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tDCS = Transcranial Direct Current Stimulation </w:t>
      </w:r>
    </w:p>
    <w:p w14:paraId="4EE0D6A5">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rTMS = Repetitive Transcranial Magnetic Stimulation </w:t>
      </w:r>
    </w:p>
    <w:p w14:paraId="2602FDF9">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tACS = Transcranial Alternating Current Stimulation </w:t>
      </w:r>
    </w:p>
    <w:p w14:paraId="18ED50D4">
      <w:pPr>
        <w:widowControl/>
        <w:spacing w:line="360" w:lineRule="auto"/>
        <w:rPr>
          <w:rFonts w:ascii="Times New Roman" w:hAnsi="Times New Roman" w:cs="Times New Roman"/>
          <w:sz w:val="20"/>
          <w:szCs w:val="20"/>
        </w:rPr>
      </w:pPr>
      <w:r>
        <w:rPr>
          <w:rFonts w:ascii="Times New Roman" w:hAnsi="Times New Roman" w:cs="Times New Roman"/>
          <w:color w:val="000000"/>
          <w:sz w:val="20"/>
          <w:szCs w:val="20"/>
        </w:rPr>
        <w:t xml:space="preserve">DLPFC = Dorsolateral Prefrontal Cortex </w:t>
      </w:r>
    </w:p>
    <w:p w14:paraId="706378A9">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DMN = Default Mode Network </w:t>
      </w:r>
    </w:p>
    <w:p w14:paraId="29E3E12B">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MPC = Medial Parietal Cortex </w:t>
      </w:r>
    </w:p>
    <w:p w14:paraId="2A7B6E5C">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HDRS = Hamilton Depression Rating Scale </w:t>
      </w:r>
    </w:p>
    <w:p w14:paraId="2F4A9E52">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HARS = Hamilton Anxiety Rating Scale </w:t>
      </w:r>
    </w:p>
    <w:p w14:paraId="79D15451">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PDQ-D = Perceived Deficits Questionnaire - Depression </w:t>
      </w:r>
    </w:p>
    <w:p w14:paraId="30080400">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MNI = Montreal Neurological Institute </w:t>
      </w:r>
    </w:p>
    <w:p w14:paraId="68013826">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TR = Repetition Time </w:t>
      </w:r>
    </w:p>
    <w:p w14:paraId="20CFA5B8">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TE = Echo Time </w:t>
      </w:r>
    </w:p>
    <w:p w14:paraId="12D43E46">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IQR = Interquartile Range </w:t>
      </w:r>
    </w:p>
    <w:p w14:paraId="76D5C9E9">
      <w:pPr>
        <w:widowControl/>
        <w:spacing w:line="360" w:lineRule="auto"/>
        <w:rPr>
          <w:rFonts w:ascii="Times New Roman" w:hAnsi="Times New Roman" w:cs="Times New Roman"/>
          <w:sz w:val="20"/>
          <w:szCs w:val="20"/>
        </w:rPr>
      </w:pPr>
      <w:r>
        <w:rPr>
          <w:rFonts w:ascii="Times New Roman" w:hAnsi="Times New Roman" w:cs="Times New Roman"/>
          <w:sz w:val="20"/>
          <w:szCs w:val="20"/>
        </w:rPr>
        <w:t xml:space="preserve">ITT = Intention-To-Treat </w:t>
      </w:r>
    </w:p>
    <w:p w14:paraId="405DC181">
      <w:pPr>
        <w:widowControl/>
        <w:spacing w:line="360" w:lineRule="auto"/>
        <w:rPr>
          <w:rFonts w:ascii="Times New Roman" w:hAnsi="Times New Roman" w:cs="Times New Roman"/>
          <w:sz w:val="20"/>
          <w:szCs w:val="20"/>
        </w:rPr>
      </w:pPr>
      <w:r>
        <w:rPr>
          <w:rFonts w:ascii="Times New Roman" w:hAnsi="Times New Roman" w:cs="Times New Roman"/>
          <w:sz w:val="20"/>
          <w:szCs w:val="20"/>
        </w:rPr>
        <w:t>RR = Risk Ratio</w:t>
      </w:r>
    </w:p>
    <w:p w14:paraId="08549382">
      <w:pPr>
        <w:widowControl/>
        <w:spacing w:line="360" w:lineRule="auto"/>
        <w:rPr>
          <w:rFonts w:ascii="Times New Roman" w:hAnsi="Times New Roman" w:cs="Times New Roman"/>
          <w:sz w:val="20"/>
          <w:szCs w:val="20"/>
        </w:rPr>
      </w:pPr>
      <w:r>
        <w:rPr>
          <w:rFonts w:ascii="Times New Roman" w:hAnsi="Times New Roman" w:cs="Times New Roman"/>
          <w:sz w:val="20"/>
          <w:szCs w:val="20"/>
        </w:rPr>
        <w:t>CI = Confidence Interval</w:t>
      </w:r>
    </w:p>
    <w:p w14:paraId="4167B3EB">
      <w:pPr>
        <w:widowControl/>
        <w:spacing w:line="360" w:lineRule="auto"/>
        <w:rPr>
          <w:rFonts w:ascii="Times New Roman" w:hAnsi="Times New Roman" w:cs="Times New Roman"/>
          <w:sz w:val="20"/>
          <w:szCs w:val="20"/>
        </w:rPr>
      </w:pPr>
      <w:r>
        <w:rPr>
          <w:rFonts w:ascii="Times New Roman" w:hAnsi="Times New Roman" w:cs="Times New Roman"/>
          <w:sz w:val="20"/>
          <w:szCs w:val="20"/>
        </w:rPr>
        <w:t>RD = Risk Difference</w:t>
      </w:r>
    </w:p>
    <w:p w14:paraId="69252E07">
      <w:pPr>
        <w:widowControl/>
        <w:jc w:val="left"/>
        <w:rPr>
          <w:rFonts w:ascii="Times New Roman" w:hAnsi="Times New Roman" w:cs="Times New Roman"/>
          <w:sz w:val="22"/>
        </w:rPr>
      </w:pPr>
      <w:r>
        <w:rPr>
          <w:rFonts w:ascii="Times New Roman" w:hAnsi="Times New Roman" w:cs="Times New Roman"/>
          <w:sz w:val="22"/>
        </w:rPr>
        <w:br w:type="page"/>
      </w:r>
    </w:p>
    <w:p w14:paraId="164B4EC0">
      <w:pPr>
        <w:pStyle w:val="29"/>
        <w:widowControl/>
        <w:numPr>
          <w:ilvl w:val="0"/>
          <w:numId w:val="5"/>
        </w:numPr>
        <w:ind w:firstLineChars="0"/>
        <w:rPr>
          <w:rFonts w:ascii="Times New Roman" w:hAnsi="Times New Roman" w:cs="Times New Roman"/>
          <w:b/>
          <w:color w:val="4F81BD" w:themeColor="accent1"/>
          <w:sz w:val="24"/>
          <w:szCs w:val="24"/>
          <w14:textFill>
            <w14:solidFill>
              <w14:schemeClr w14:val="accent1"/>
            </w14:solidFill>
          </w14:textFill>
        </w:rPr>
      </w:pPr>
      <w:r>
        <w:rPr>
          <w:rFonts w:ascii="Times New Roman" w:hAnsi="Times New Roman" w:cs="Times New Roman"/>
          <w:b/>
          <w:color w:val="4F81BD" w:themeColor="accent1"/>
          <w:sz w:val="24"/>
          <w:szCs w:val="24"/>
          <w14:textFill>
            <w14:solidFill>
              <w14:schemeClr w14:val="accent1"/>
            </w14:solidFill>
          </w14:textFill>
        </w:rPr>
        <w:t>Trial Summary</w:t>
      </w:r>
    </w:p>
    <w:p w14:paraId="0C068ADD">
      <w:pPr>
        <w:widowControl/>
        <w:rPr>
          <w:rFonts w:ascii="Times New Roman" w:hAnsi="Times New Roman" w:cs="Times New Roman"/>
          <w:sz w:val="20"/>
          <w:szCs w:val="20"/>
        </w:rPr>
      </w:pPr>
      <w:r>
        <w:rPr>
          <w:rFonts w:ascii="Times New Roman" w:hAnsi="Times New Roman" w:cs="Times New Roman"/>
          <w:b/>
          <w:sz w:val="20"/>
          <w:szCs w:val="20"/>
        </w:rPr>
        <w:t>Background</w:t>
      </w:r>
      <w:r>
        <w:rPr>
          <w:rFonts w:ascii="Times New Roman" w:hAnsi="Times New Roman" w:cs="Times New Roman"/>
          <w:sz w:val="20"/>
          <w:szCs w:val="20"/>
        </w:rPr>
        <w:t>:</w:t>
      </w:r>
      <w:r>
        <w:rPr>
          <w:rFonts w:hint="eastAsia" w:ascii="Times New Roman" w:hAnsi="Times New Roman" w:cs="Times New Roman"/>
          <w:sz w:val="20"/>
          <w:szCs w:val="20"/>
        </w:rPr>
        <w:t xml:space="preserve"> </w:t>
      </w:r>
      <w:r>
        <w:rPr>
          <w:rFonts w:ascii="Times New Roman" w:hAnsi="Times New Roman" w:eastAsia="等线" w:cs="Times New Roman"/>
          <w:color w:val="000000"/>
          <w:sz w:val="20"/>
          <w:szCs w:val="20"/>
          <w:lang w:bidi="ar"/>
        </w:rPr>
        <w:t xml:space="preserve">Primary insomnia is a highly prevalent sleep disorder. </w:t>
      </w:r>
      <w:r>
        <w:rPr>
          <w:rFonts w:ascii="Times New Roman" w:hAnsi="Times New Roman" w:eastAsia="宋体" w:cs="Times New Roman"/>
          <w:sz w:val="20"/>
          <w:szCs w:val="20"/>
        </w:rPr>
        <w:t xml:space="preserve">There are many bottleneck issues with </w:t>
      </w:r>
      <w:r>
        <w:rPr>
          <w:rFonts w:ascii="Times New Roman" w:hAnsi="Times New Roman" w:eastAsia="等线" w:cs="Times New Roman"/>
          <w:color w:val="000000"/>
          <w:sz w:val="20"/>
          <w:szCs w:val="20"/>
          <w:lang w:bidi="ar"/>
        </w:rPr>
        <w:t>pharma</w:t>
      </w:r>
      <w:r>
        <w:rPr>
          <w:rFonts w:ascii="Times New Roman" w:hAnsi="Times New Roman" w:eastAsia="等线" w:cs="Times New Roman"/>
          <w:color w:val="000000"/>
          <w:sz w:val="20"/>
          <w:szCs w:val="20"/>
        </w:rPr>
        <w:t>cotherapy</w:t>
      </w:r>
      <w:r>
        <w:rPr>
          <w:rFonts w:ascii="Times New Roman" w:hAnsi="Times New Roman" w:eastAsia="等线" w:cs="Times New Roman"/>
          <w:color w:val="000000"/>
          <w:sz w:val="20"/>
          <w:szCs w:val="20"/>
          <w:lang w:bidi="ar"/>
        </w:rPr>
        <w:t xml:space="preserve"> and cognitive behavioral therapy, calling for novel identification in treatment avenues. </w:t>
      </w:r>
      <w:r>
        <w:rPr>
          <w:rFonts w:ascii="Times New Roman" w:hAnsi="Times New Roman" w:cs="Times New Roman"/>
          <w:sz w:val="20"/>
          <w:szCs w:val="20"/>
        </w:rPr>
        <w:t>Patients with p</w:t>
      </w:r>
      <w:r>
        <w:rPr>
          <w:rFonts w:ascii="Times New Roman" w:hAnsi="Times New Roman" w:eastAsia="等线" w:cs="Times New Roman"/>
          <w:color w:val="000000"/>
          <w:sz w:val="20"/>
          <w:szCs w:val="20"/>
          <w:lang w:bidi="ar"/>
        </w:rPr>
        <w:t>rimary insomnia</w:t>
      </w:r>
      <w:r>
        <w:rPr>
          <w:rFonts w:ascii="Times New Roman" w:hAnsi="Times New Roman" w:cs="Times New Roman"/>
          <w:sz w:val="20"/>
          <w:szCs w:val="20"/>
        </w:rPr>
        <w:t xml:space="preserve"> have alterations in the default network and alpha oscillations, for which the medial parietal cortex (MPC) is a key node and thus a potential target for interventions. Transcranial alternating current stimulation (tACS) is emerging as a new non-invasive intervention. </w:t>
      </w:r>
      <w:r>
        <w:rPr>
          <w:rFonts w:ascii="Times New Roman" w:hAnsi="Times New Roman" w:cs="Times New Roman"/>
          <w:b/>
          <w:sz w:val="20"/>
          <w:szCs w:val="20"/>
        </w:rPr>
        <w:t>The hypothesis</w:t>
      </w:r>
      <w:r>
        <w:rPr>
          <w:rFonts w:ascii="Times New Roman" w:hAnsi="Times New Roman" w:cs="Times New Roman"/>
          <w:sz w:val="20"/>
          <w:szCs w:val="20"/>
        </w:rPr>
        <w:t xml:space="preserve">: </w:t>
      </w:r>
      <w:r>
        <w:rPr>
          <w:rFonts w:ascii="Times New Roman" w:hAnsi="Times New Roman" w:eastAsia="等线" w:cs="Times New Roman"/>
          <w:color w:val="000000"/>
          <w:sz w:val="20"/>
          <w:szCs w:val="20"/>
          <w:lang w:bidi="ar"/>
        </w:rPr>
        <w:t>We hypothesized that tACS would induce a comprehensive improvement of sleep symptoms and associated mood and cognitive deficits.</w:t>
      </w:r>
    </w:p>
    <w:p w14:paraId="2029E1E8">
      <w:pPr>
        <w:rPr>
          <w:rFonts w:ascii="Times New Roman" w:hAnsi="Times New Roman" w:cs="Times New Roman"/>
          <w:sz w:val="20"/>
          <w:szCs w:val="20"/>
        </w:rPr>
      </w:pPr>
      <w:r>
        <w:rPr>
          <w:rFonts w:ascii="Times New Roman" w:hAnsi="Times New Roman" w:cs="Times New Roman"/>
          <w:b/>
          <w:sz w:val="20"/>
          <w:szCs w:val="20"/>
        </w:rPr>
        <w:t>Methods</w:t>
      </w:r>
      <w:r>
        <w:rPr>
          <w:rFonts w:ascii="Times New Roman" w:hAnsi="Times New Roman" w:cs="Times New Roman"/>
          <w:sz w:val="20"/>
          <w:szCs w:val="20"/>
        </w:rPr>
        <w:t xml:space="preserve">: This is a 6-week randomized sham-controlled study. </w:t>
      </w:r>
      <w:r>
        <w:rPr>
          <w:rFonts w:ascii="Times New Roman" w:hAnsi="Times New Roman" w:eastAsia="等线" w:cs="Times New Roman"/>
          <w:sz w:val="20"/>
          <w:szCs w:val="20"/>
          <w:lang w:bidi="ar"/>
        </w:rPr>
        <w:t>Fifty-six outpatients with chronic primary insomnia</w:t>
      </w:r>
      <w:r>
        <w:rPr>
          <w:rFonts w:ascii="Times New Roman" w:hAnsi="Times New Roman" w:cs="Times New Roman"/>
          <w:sz w:val="20"/>
          <w:szCs w:val="20"/>
        </w:rPr>
        <w:t xml:space="preserve"> aged 18-65 years will be enrolled to receive 30 min, 10 Hz, 2 mA, 10 daily sessions of active or sham tACS targeting over the MPC for two consecutive weeks (week 2), followed by 4-week and 6-week clinical visits. The primary outcome measure is </w:t>
      </w:r>
      <w:r>
        <w:rPr>
          <w:rFonts w:ascii="Times New Roman" w:hAnsi="Times New Roman" w:eastAsia="等线" w:cs="Times New Roman"/>
          <w:sz w:val="20"/>
          <w:szCs w:val="20"/>
          <w:lang w:bidi="ar"/>
        </w:rPr>
        <w:t xml:space="preserve">the response rate at week 6, defined as </w:t>
      </w:r>
      <w:r>
        <w:rPr>
          <w:rFonts w:ascii="Times New Roman" w:hAnsi="Times New Roman" w:cs="Times New Roman"/>
          <w:color w:val="333333"/>
          <w:sz w:val="20"/>
          <w:szCs w:val="20"/>
          <w:shd w:val="clear" w:color="auto" w:fill="FFFFFF"/>
        </w:rPr>
        <w:t>≥</w:t>
      </w:r>
      <w:r>
        <w:rPr>
          <w:rFonts w:ascii="Times New Roman" w:hAnsi="Times New Roman" w:eastAsia="等线" w:cs="Times New Roman"/>
          <w:color w:val="333333"/>
          <w:sz w:val="20"/>
          <w:szCs w:val="20"/>
          <w:shd w:val="clear" w:color="auto" w:fill="FFFFFF"/>
        </w:rPr>
        <w:t xml:space="preserve"> </w:t>
      </w:r>
      <w:r>
        <w:rPr>
          <w:rFonts w:ascii="Times New Roman" w:hAnsi="Times New Roman" w:eastAsia="等线" w:cs="Times New Roman"/>
          <w:sz w:val="20"/>
          <w:szCs w:val="20"/>
        </w:rPr>
        <w:t xml:space="preserve">50% reduction in the </w:t>
      </w:r>
      <w:r>
        <w:rPr>
          <w:rFonts w:ascii="Times New Roman" w:hAnsi="Times New Roman" w:eastAsia="等线" w:cs="Times New Roman"/>
          <w:sz w:val="20"/>
          <w:szCs w:val="20"/>
          <w:lang w:bidi="ar"/>
        </w:rPr>
        <w:t>total PSQI. The secondary outcomes included response rates at week</w:t>
      </w:r>
      <w:r>
        <w:rPr>
          <w:rFonts w:ascii="Times New Roman" w:hAnsi="Times New Roman" w:eastAsia="等线" w:cs="Times New Roman"/>
          <w:sz w:val="20"/>
          <w:szCs w:val="20"/>
        </w:rPr>
        <w:t xml:space="preserve">s 2 and 4; remission rate at each visit, defined as </w:t>
      </w:r>
      <w:r>
        <w:rPr>
          <w:rFonts w:ascii="Times New Roman" w:hAnsi="Times New Roman" w:eastAsia="等线" w:cs="Times New Roman"/>
          <w:sz w:val="20"/>
          <w:szCs w:val="20"/>
          <w:lang w:bidi="ar"/>
        </w:rPr>
        <w:t xml:space="preserve">total PSQI &lt; 5; </w:t>
      </w:r>
      <w:r>
        <w:rPr>
          <w:rFonts w:ascii="Times New Roman" w:hAnsi="Times New Roman" w:eastAsia="等线" w:cs="Times New Roman"/>
          <w:sz w:val="20"/>
          <w:szCs w:val="20"/>
        </w:rPr>
        <w:t xml:space="preserve">and changes in </w:t>
      </w:r>
      <w:r>
        <w:rPr>
          <w:rFonts w:ascii="Times New Roman" w:hAnsi="Times New Roman" w:eastAsia="等线" w:cs="Times New Roman"/>
          <w:sz w:val="20"/>
          <w:szCs w:val="20"/>
          <w:lang w:bidi="ar"/>
        </w:rPr>
        <w:t>sleep symptoms (total scores and components of the PSQI, i.e., SOL, TST, sleep efficiency, sleep quality, and daily disturbance), mood symptoms [</w:t>
      </w:r>
      <w:r>
        <w:rPr>
          <w:rFonts w:ascii="Times New Roman" w:hAnsi="Times New Roman" w:cs="Times New Roman"/>
          <w:sz w:val="20"/>
          <w:szCs w:val="20"/>
          <w:lang w:bidi="ar"/>
        </w:rPr>
        <w:t>17</w:t>
      </w:r>
      <w:r>
        <w:rPr>
          <w:rFonts w:ascii="Times New Roman" w:hAnsi="Times New Roman" w:cs="Times New Roman"/>
          <w:color w:val="333333"/>
          <w:sz w:val="20"/>
          <w:szCs w:val="20"/>
          <w:shd w:val="clear" w:color="auto" w:fill="FFFFFF"/>
        </w:rPr>
        <w:t>-</w:t>
      </w:r>
      <w:r>
        <w:rPr>
          <w:rFonts w:ascii="Times New Roman" w:hAnsi="Times New Roman" w:cs="Times New Roman"/>
          <w:sz w:val="20"/>
          <w:szCs w:val="20"/>
          <w:lang w:bidi="ar"/>
        </w:rPr>
        <w:t>item Hamilton Depression Rating Scale (HDRS</w:t>
      </w:r>
      <w:r>
        <w:rPr>
          <w:rFonts w:ascii="Times New Roman" w:hAnsi="Times New Roman" w:cs="Times New Roman"/>
          <w:sz w:val="20"/>
          <w:szCs w:val="20"/>
          <w:vertAlign w:val="subscript"/>
          <w:lang w:bidi="ar"/>
        </w:rPr>
        <w:t>17</w:t>
      </w:r>
      <w:r>
        <w:rPr>
          <w:rFonts w:ascii="Times New Roman" w:hAnsi="Times New Roman" w:cs="Times New Roman"/>
          <w:sz w:val="20"/>
          <w:szCs w:val="20"/>
          <w:lang w:bidi="ar"/>
        </w:rPr>
        <w:t>)</w:t>
      </w:r>
      <w:r>
        <w:rPr>
          <w:rFonts w:ascii="Times New Roman" w:hAnsi="Times New Roman" w:eastAsia="等线" w:cs="Times New Roman"/>
          <w:sz w:val="20"/>
          <w:szCs w:val="20"/>
          <w:lang w:bidi="ar"/>
        </w:rPr>
        <w:t xml:space="preserve">, </w:t>
      </w:r>
      <w:r>
        <w:rPr>
          <w:rFonts w:ascii="Times New Roman" w:hAnsi="Times New Roman" w:cs="Times New Roman"/>
          <w:sz w:val="20"/>
          <w:szCs w:val="20"/>
          <w:lang w:bidi="ar"/>
        </w:rPr>
        <w:t>Hamilton Anxiety Rating Scale (HAR</w:t>
      </w:r>
      <w:r>
        <w:rPr>
          <w:rFonts w:ascii="Times New Roman" w:hAnsi="Times New Roman" w:eastAsia="等线" w:cs="Times New Roman"/>
          <w:sz w:val="20"/>
          <w:szCs w:val="20"/>
          <w:lang w:bidi="ar"/>
        </w:rPr>
        <w:t>S)</w:t>
      </w:r>
      <w:r>
        <w:rPr>
          <w:rFonts w:hint="eastAsia" w:ascii="Times New Roman" w:hAnsi="Times New Roman" w:eastAsia="等线" w:cs="Times New Roman"/>
          <w:sz w:val="20"/>
          <w:szCs w:val="20"/>
          <w:lang w:bidi="ar"/>
        </w:rPr>
        <w:t>]</w:t>
      </w:r>
      <w:r>
        <w:rPr>
          <w:rFonts w:ascii="Times New Roman" w:hAnsi="Times New Roman" w:eastAsia="等线" w:cs="Times New Roman"/>
          <w:sz w:val="20"/>
          <w:szCs w:val="20"/>
          <w:lang w:bidi="ar"/>
        </w:rPr>
        <w:t>, cognitive deficits [Perceived Deficits Questionnaire-Depression (PDQ-D)]</w:t>
      </w:r>
      <w:r>
        <w:rPr>
          <w:rFonts w:hint="eastAsia" w:ascii="Times New Roman" w:hAnsi="Times New Roman" w:eastAsia="等线" w:cs="Times New Roman"/>
          <w:sz w:val="20"/>
          <w:szCs w:val="20"/>
          <w:lang w:val="en-US" w:eastAsia="zh-CN" w:bidi="ar"/>
        </w:rPr>
        <w:t xml:space="preserve">, and </w:t>
      </w:r>
      <w:r>
        <w:rPr>
          <w:rFonts w:hint="default" w:ascii="Times New Roman" w:hAnsi="Times New Roman" w:eastAsia="等线" w:cs="Times New Roman"/>
          <w:kern w:val="2"/>
          <w:sz w:val="21"/>
          <w:szCs w:val="21"/>
          <w:lang w:val="en-US" w:eastAsia="zh-CN" w:bidi="ar"/>
        </w:rPr>
        <w:t xml:space="preserve">rumination </w:t>
      </w:r>
      <w:r>
        <w:rPr>
          <w:rFonts w:hint="eastAsia" w:ascii="Times New Roman" w:hAnsi="Times New Roman" w:eastAsia="等线" w:cs="Times New Roman"/>
          <w:kern w:val="2"/>
          <w:sz w:val="21"/>
          <w:szCs w:val="21"/>
          <w:lang w:val="en-US" w:eastAsia="zh-CN" w:bidi="ar"/>
        </w:rPr>
        <w:t>[</w:t>
      </w:r>
      <w:r>
        <w:rPr>
          <w:rFonts w:hint="default" w:ascii="Times New Roman" w:hAnsi="Times New Roman" w:eastAsia="等线" w:cs="Times New Roman"/>
          <w:kern w:val="2"/>
          <w:sz w:val="21"/>
          <w:szCs w:val="21"/>
          <w:lang w:val="en-US" w:eastAsia="zh-CN" w:bidi="ar"/>
        </w:rPr>
        <w:t>Cognitive Emotion Regulation Questionnaire (CERQ)</w:t>
      </w:r>
      <w:r>
        <w:rPr>
          <w:rFonts w:hint="eastAsia" w:ascii="Times New Roman" w:hAnsi="Times New Roman" w:eastAsia="等线" w:cs="Times New Roman"/>
          <w:kern w:val="2"/>
          <w:sz w:val="21"/>
          <w:szCs w:val="21"/>
          <w:lang w:val="en-US" w:eastAsia="zh-CN" w:bidi="ar"/>
        </w:rPr>
        <w:t>].</w:t>
      </w:r>
      <w:r>
        <w:rPr>
          <w:rFonts w:ascii="Times New Roman" w:hAnsi="Times New Roman" w:eastAsia="等线" w:cs="Times New Roman"/>
          <w:sz w:val="20"/>
          <w:szCs w:val="20"/>
          <w:lang w:bidi="ar"/>
        </w:rPr>
        <w:t xml:space="preserve"> Adverse events were recorded using a transcranial electrical stimulation adverse reaction questionnaire.</w:t>
      </w:r>
    </w:p>
    <w:p w14:paraId="1E9B226E">
      <w:pPr>
        <w:pStyle w:val="11"/>
        <w:shd w:val="clear" w:color="auto" w:fill="FFFFFF"/>
        <w:spacing w:before="0" w:beforeAutospacing="0" w:after="0" w:afterAutospacing="0"/>
        <w:jc w:val="both"/>
        <w:rPr>
          <w:rFonts w:ascii="Times New Roman" w:hAnsi="Times New Roman" w:cs="Times New Roman" w:eastAsiaTheme="minorEastAsia"/>
          <w:kern w:val="2"/>
          <w:sz w:val="20"/>
          <w:szCs w:val="20"/>
        </w:rPr>
      </w:pPr>
      <w:r>
        <w:rPr>
          <w:rFonts w:ascii="Times New Roman" w:hAnsi="Times New Roman" w:cs="Times New Roman" w:eastAsiaTheme="minorEastAsia"/>
          <w:b/>
          <w:kern w:val="2"/>
          <w:sz w:val="20"/>
          <w:szCs w:val="20"/>
        </w:rPr>
        <w:t>Discussion</w:t>
      </w:r>
      <w:r>
        <w:rPr>
          <w:rFonts w:ascii="Times New Roman" w:hAnsi="Times New Roman" w:cs="Times New Roman" w:eastAsiaTheme="minorEastAsia"/>
          <w:kern w:val="2"/>
          <w:sz w:val="20"/>
          <w:szCs w:val="20"/>
        </w:rPr>
        <w:t>: The data will determine whether alpha-tACS applied over MPC is an effective and safe treatment for chronic primary insomnia.</w:t>
      </w:r>
    </w:p>
    <w:p w14:paraId="7D47BB35">
      <w:pPr>
        <w:pStyle w:val="11"/>
        <w:shd w:val="clear" w:color="auto" w:fill="FFFFFF"/>
        <w:spacing w:before="0" w:beforeAutospacing="0" w:after="0" w:afterAutospacing="0"/>
        <w:rPr>
          <w:rFonts w:ascii="Times New Roman" w:hAnsi="Times New Roman" w:cs="Times New Roman" w:eastAsiaTheme="minorEastAsia"/>
          <w:kern w:val="2"/>
          <w:sz w:val="20"/>
          <w:szCs w:val="20"/>
        </w:rPr>
      </w:pPr>
      <w:r>
        <w:rPr>
          <w:rFonts w:ascii="Times New Roman" w:hAnsi="Times New Roman" w:cs="Times New Roman" w:eastAsiaTheme="minorEastAsia"/>
          <w:b/>
          <w:kern w:val="2"/>
          <w:sz w:val="20"/>
          <w:szCs w:val="20"/>
        </w:rPr>
        <w:t>Trial registration</w:t>
      </w:r>
      <w:r>
        <w:rPr>
          <w:rFonts w:ascii="Times New Roman" w:hAnsi="Times New Roman" w:cs="Times New Roman" w:eastAsiaTheme="minorEastAsia"/>
          <w:kern w:val="2"/>
          <w:sz w:val="20"/>
          <w:szCs w:val="20"/>
        </w:rPr>
        <w:t>: Chinese Clinical Trial Registry (ChiCTR2200057847), Registered March 19, 2022.</w:t>
      </w:r>
    </w:p>
    <w:p w14:paraId="415EE6AD">
      <w:pPr>
        <w:pStyle w:val="11"/>
        <w:shd w:val="clear" w:color="auto" w:fill="FFFFFF"/>
        <w:spacing w:before="0" w:beforeAutospacing="0" w:after="0" w:afterAutospacing="0"/>
        <w:jc w:val="both"/>
        <w:rPr>
          <w:rFonts w:ascii="Times New Roman" w:hAnsi="Times New Roman" w:cs="Times New Roman" w:eastAsiaTheme="minorEastAsia"/>
          <w:kern w:val="2"/>
          <w:sz w:val="20"/>
          <w:szCs w:val="20"/>
        </w:rPr>
      </w:pPr>
      <w:r>
        <w:rPr>
          <w:rFonts w:ascii="Times New Roman" w:hAnsi="Times New Roman" w:cs="Times New Roman" w:eastAsiaTheme="minorEastAsia"/>
          <w:b/>
          <w:kern w:val="2"/>
          <w:sz w:val="20"/>
          <w:szCs w:val="20"/>
        </w:rPr>
        <w:t>Keywords</w:t>
      </w:r>
      <w:r>
        <w:rPr>
          <w:rFonts w:ascii="Times New Roman" w:hAnsi="Times New Roman" w:cs="Times New Roman" w:eastAsiaTheme="minorEastAsia"/>
          <w:kern w:val="2"/>
          <w:sz w:val="20"/>
          <w:szCs w:val="20"/>
        </w:rPr>
        <w:t>: primary insomnia · transcranial alternating current stimulation · default mode network · alpha oscillations · functional magnetic resonance imaging</w:t>
      </w:r>
    </w:p>
    <w:p w14:paraId="6A77635D">
      <w:pPr>
        <w:rPr>
          <w:rFonts w:ascii="Times New Roman" w:hAnsi="Times New Roman" w:cs="Times New Roman"/>
        </w:rPr>
      </w:pPr>
    </w:p>
    <w:p w14:paraId="06E110E9">
      <w:pPr>
        <w:widowControl/>
        <w:numPr>
          <w:ilvl w:val="0"/>
          <w:numId w:val="5"/>
        </w:numPr>
        <w:jc w:val="left"/>
        <w:rPr>
          <w:rFonts w:ascii="Times New Roman" w:hAnsi="Times New Roman" w:cs="Times New Roman"/>
          <w:b/>
          <w:color w:val="4F81BD" w:themeColor="accent1"/>
          <w:sz w:val="24"/>
          <w:szCs w:val="24"/>
          <w14:textFill>
            <w14:solidFill>
              <w14:schemeClr w14:val="accent1"/>
            </w14:solidFill>
          </w14:textFill>
        </w:rPr>
      </w:pPr>
      <w:r>
        <w:rPr>
          <w:rFonts w:ascii="Times New Roman" w:hAnsi="Times New Roman" w:cs="Times New Roman"/>
          <w:b/>
        </w:rPr>
        <w:br w:type="page"/>
      </w:r>
      <w:r>
        <w:rPr>
          <w:rFonts w:ascii="Times New Roman" w:hAnsi="Times New Roman" w:cs="Times New Roman"/>
          <w:b/>
          <w:color w:val="4F81BD" w:themeColor="accent1"/>
          <w:sz w:val="24"/>
          <w:szCs w:val="24"/>
          <w14:textFill>
            <w14:solidFill>
              <w14:schemeClr w14:val="accent1"/>
            </w14:solidFill>
          </w14:textFill>
        </w:rPr>
        <w:t>Background</w:t>
      </w:r>
    </w:p>
    <w:p w14:paraId="60724CB1">
      <w:pPr>
        <w:rPr>
          <w:rFonts w:ascii="Times New Roman" w:hAnsi="Times New Roman" w:eastAsia="等线" w:cs="Times New Roman"/>
          <w:color w:val="000000"/>
          <w:sz w:val="20"/>
          <w:szCs w:val="20"/>
        </w:rPr>
      </w:pPr>
      <w:bookmarkStart w:id="1" w:name="_Toc460500634"/>
      <w:bookmarkEnd w:id="1"/>
      <w:r>
        <w:rPr>
          <w:rFonts w:ascii="Times New Roman" w:hAnsi="Times New Roman" w:eastAsia="等线" w:cs="Times New Roman"/>
          <w:color w:val="000000"/>
          <w:sz w:val="20"/>
          <w:szCs w:val="20"/>
        </w:rPr>
        <w:t>Primary insomnia is a highly prevalent sleep disorder</w:t>
      </w:r>
      <w:r>
        <w:rPr>
          <w:rFonts w:ascii="Times New Roman" w:hAnsi="Times New Roman" w:cs="Times New Roman"/>
          <w:sz w:val="20"/>
          <w:szCs w:val="20"/>
        </w:rPr>
        <w:t xml:space="preserve">, </w:t>
      </w:r>
      <w:r>
        <w:rPr>
          <w:rFonts w:ascii="Times New Roman" w:hAnsi="Times New Roman" w:eastAsia="等线" w:cs="Times New Roman"/>
          <w:color w:val="000000"/>
          <w:sz w:val="20"/>
          <w:szCs w:val="20"/>
        </w:rPr>
        <w:t xml:space="preserve">associated with a constellation of physical and mental negative outcomes [1, 2]. </w:t>
      </w:r>
      <w:r>
        <w:rPr>
          <w:rFonts w:ascii="Times New Roman" w:hAnsi="Times New Roman" w:cs="Times New Roman"/>
          <w:sz w:val="20"/>
          <w:szCs w:val="20"/>
        </w:rPr>
        <w:t xml:space="preserve">There are many bottleneck issues with </w:t>
      </w:r>
      <w:r>
        <w:rPr>
          <w:rFonts w:ascii="Times New Roman" w:hAnsi="Times New Roman" w:eastAsia="等线" w:cs="Times New Roman"/>
          <w:color w:val="000000"/>
          <w:sz w:val="20"/>
          <w:szCs w:val="20"/>
        </w:rPr>
        <w:t>pharmacotherapy and cognitive behavioral therapy [3, 4], calling for novel identification in treatment avenues.</w:t>
      </w:r>
    </w:p>
    <w:p w14:paraId="15011F79">
      <w:pPr>
        <w:rPr>
          <w:rFonts w:ascii="Times New Roman" w:hAnsi="Times New Roman" w:eastAsia="等线" w:cs="Times New Roman"/>
          <w:color w:val="000000"/>
          <w:sz w:val="20"/>
          <w:szCs w:val="20"/>
        </w:rPr>
      </w:pPr>
      <w:r>
        <w:rPr>
          <w:rFonts w:ascii="Times New Roman" w:hAnsi="Times New Roman" w:eastAsia="等线" w:cs="Times New Roman"/>
          <w:color w:val="000000"/>
          <w:sz w:val="20"/>
          <w:szCs w:val="20"/>
        </w:rPr>
        <w:t>Non-invasive brain stimulation (NIBS) is showing promise in the treatment of insomnia. Evidence</w:t>
      </w:r>
      <w:r>
        <w:rPr>
          <w:rFonts w:ascii="Times New Roman" w:hAnsi="Times New Roman" w:cs="Times New Roman"/>
          <w:color w:val="000000"/>
          <w:sz w:val="20"/>
          <w:szCs w:val="20"/>
        </w:rPr>
        <w:t xml:space="preserve"> </w:t>
      </w:r>
      <w:r>
        <w:rPr>
          <w:rFonts w:ascii="Times New Roman" w:hAnsi="Times New Roman" w:eastAsia="等线" w:cs="Times New Roman"/>
          <w:color w:val="000000"/>
          <w:sz w:val="20"/>
          <w:szCs w:val="20"/>
        </w:rPr>
        <w:t xml:space="preserve">on repetitive transcranial magnetic stimulation (rTMS) and transcranial direct current stimulation (tDCS) yielded uncertain and limited efficacy in insomnia [5-9]. As a novel technology of NIBS, transcranial alternating current stimulation (tACS) has unique advantage over TMS or tDCS in modulating neural oscillations by delivering periodically changing microcurrents to </w:t>
      </w:r>
      <w:r>
        <w:rPr>
          <w:rFonts w:hint="eastAsia" w:ascii="Times New Roman" w:hAnsi="Times New Roman" w:eastAsia="等线" w:cs="Times New Roman"/>
          <w:color w:val="000000"/>
          <w:sz w:val="20"/>
          <w:szCs w:val="20"/>
        </w:rPr>
        <w:t xml:space="preserve">the </w:t>
      </w:r>
      <w:r>
        <w:rPr>
          <w:rFonts w:ascii="Times New Roman" w:hAnsi="Times New Roman" w:eastAsia="等线" w:cs="Times New Roman"/>
          <w:color w:val="000000"/>
          <w:sz w:val="20"/>
          <w:szCs w:val="20"/>
        </w:rPr>
        <w:t>cortical sites [10].</w:t>
      </w:r>
    </w:p>
    <w:p w14:paraId="7F37B111">
      <w:pPr>
        <w:rPr>
          <w:rFonts w:ascii="Times New Roman" w:hAnsi="Times New Roman" w:eastAsia="等线" w:cs="Times New Roman"/>
          <w:color w:val="000000"/>
          <w:sz w:val="20"/>
          <w:szCs w:val="20"/>
        </w:rPr>
      </w:pPr>
      <w:r>
        <w:rPr>
          <w:rFonts w:ascii="Times New Roman" w:hAnsi="Times New Roman" w:eastAsia="等线" w:cs="Times New Roman"/>
          <w:color w:val="000000"/>
          <w:sz w:val="20"/>
          <w:szCs w:val="20"/>
        </w:rPr>
        <w:t>Increased neuroimaging evidence informs potential intervention targets for NIBS. The default mode network (DMN), embracing the medial prefrontal and parietal cortex (MPC), dominates resting brain activity and serves advanced mental functions [11, 12]. The MPC [i.e., precuneus/posterior cingulate cortex (PCC)] plays a crucial role in the processing of consciousness [11, 12], and is regulated by alpha oscillations (8–12 Hz), a primary rhythm of intrinsic brain [13, 14]. Insomnia and sleep deprivation have paralleled reduced alpha activity and damaged anterior-posterior DMN integration [15-17]. Intervening MPC is therefore a viable way for tACS interventions against insomnia</w:t>
      </w:r>
      <w:bookmarkStart w:id="2" w:name="_Hlk120117709"/>
      <w:bookmarkEnd w:id="2"/>
      <w:r>
        <w:rPr>
          <w:rFonts w:ascii="Times New Roman" w:hAnsi="Times New Roman" w:eastAsia="等线" w:cs="Times New Roman"/>
          <w:color w:val="000000"/>
          <w:sz w:val="20"/>
          <w:szCs w:val="20"/>
        </w:rPr>
        <w:t xml:space="preserve"> and alpha oscillation may be a prime candidate for interventions.</w:t>
      </w:r>
    </w:p>
    <w:p w14:paraId="67CDA829">
      <w:pPr>
        <w:pStyle w:val="11"/>
        <w:shd w:val="clear" w:color="auto" w:fill="FFFFFF"/>
        <w:spacing w:before="0" w:beforeAutospacing="0" w:after="0" w:afterAutospacing="0"/>
        <w:jc w:val="both"/>
        <w:rPr>
          <w:rFonts w:ascii="Times New Roman" w:hAnsi="Times New Roman" w:eastAsia="等线" w:cs="Times New Roman"/>
          <w:color w:val="000000"/>
          <w:kern w:val="2"/>
          <w:sz w:val="20"/>
          <w:szCs w:val="20"/>
        </w:rPr>
      </w:pPr>
      <w:r>
        <w:rPr>
          <w:rFonts w:ascii="Times New Roman" w:hAnsi="Times New Roman" w:eastAsia="等线" w:cs="Times New Roman"/>
          <w:color w:val="000000"/>
          <w:kern w:val="2"/>
          <w:sz w:val="20"/>
          <w:szCs w:val="20"/>
        </w:rPr>
        <w:t>We planned this study to evaluate the efficacy and safety of alpha-tACS over MPC in treatment of insomnia in a randomized clinical trial setting. Here, we describe the pre-specified protocol and statistical analysis plan. According to our preliminary experiment, we hypothesize that tACS would outperform its sham control on a comprehensive symptom and functional improvements. Accomplishing these aims will inform us to report alpha-tACS over MPC as a promising treatment for insomnia.</w:t>
      </w:r>
    </w:p>
    <w:p w14:paraId="0C644FB4">
      <w:pPr>
        <w:pStyle w:val="11"/>
        <w:numPr>
          <w:ilvl w:val="0"/>
          <w:numId w:val="5"/>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Design and Objective</w:t>
      </w:r>
    </w:p>
    <w:p w14:paraId="6FC217A9">
      <w:pPr>
        <w:pStyle w:val="11"/>
        <w:shd w:val="clear" w:color="auto" w:fill="FFFFFF"/>
        <w:spacing w:before="0" w:beforeAutospacing="0" w:after="0" w:afterAutospacing="0"/>
        <w:jc w:val="both"/>
        <w:rPr>
          <w:rFonts w:ascii="Times New Roman" w:hAnsi="Times New Roman" w:cs="Times New Roman" w:eastAsiaTheme="minorEastAsia"/>
          <w:color w:val="000000"/>
          <w:kern w:val="2"/>
          <w:sz w:val="20"/>
          <w:szCs w:val="20"/>
        </w:rPr>
      </w:pPr>
      <w:r>
        <w:rPr>
          <w:rFonts w:ascii="Times New Roman" w:hAnsi="Times New Roman" w:cs="Times New Roman" w:eastAsiaTheme="minorEastAsia"/>
          <w:color w:val="000000"/>
          <w:kern w:val="2"/>
          <w:sz w:val="20"/>
          <w:szCs w:val="20"/>
        </w:rPr>
        <w:t xml:space="preserve">This is a randomized sham-controlled trial to be conducted at the Department of Neurology, Beijing Puren Hospital (Beijing, China), with a one-year period of subject recruitment. The study was approved by local ethics committee of Beijing Puren Hospital, Beijing, China (approval number: pr11-2021-1) on January 26, 2022, in accordance with the principles of the Declaration of Helsinki. The study includes a 2-week intervention phase (week 2) and clinical follow-ups at 4 weeks (week 4) and 6 weeks (week 6) (See Figure 1 for flow diagram). Fifty-six participants will be randomized in a 1:1 ratio to receive active or sham tACS. They will undergo a scale evaluation of sleep and related symptoms. All screening, clinical assessment and examinations, as well as the time points, are shown in Table 1. </w:t>
      </w:r>
      <w:r>
        <w:rPr>
          <w:rFonts w:hint="eastAsia" w:ascii="Times New Roman" w:hAnsi="Times New Roman" w:cs="Times New Roman" w:eastAsiaTheme="minorEastAsia"/>
          <w:color w:val="000000"/>
          <w:kern w:val="2"/>
          <w:sz w:val="20"/>
          <w:szCs w:val="20"/>
        </w:rPr>
        <w:t xml:space="preserve">For patients who have received </w:t>
      </w:r>
      <w:r>
        <w:rPr>
          <w:rFonts w:hint="eastAsia" w:ascii="Times New Roman" w:hAnsi="Times New Roman" w:cs="Times New Roman" w:eastAsiaTheme="minorEastAsia"/>
          <w:color w:val="000000"/>
          <w:kern w:val="2"/>
          <w:sz w:val="20"/>
          <w:szCs w:val="20"/>
          <w:lang w:val="en-US" w:eastAsia="zh-CN"/>
        </w:rPr>
        <w:t>sham</w:t>
      </w:r>
      <w:r>
        <w:rPr>
          <w:rFonts w:hint="eastAsia" w:ascii="Times New Roman" w:hAnsi="Times New Roman" w:cs="Times New Roman" w:eastAsiaTheme="minorEastAsia"/>
          <w:color w:val="000000"/>
          <w:kern w:val="2"/>
          <w:sz w:val="20"/>
          <w:szCs w:val="20"/>
        </w:rPr>
        <w:t xml:space="preserve"> stimulation, after unblinding the study, if they wish, they can also receive </w:t>
      </w:r>
      <w:r>
        <w:rPr>
          <w:rFonts w:hint="eastAsia" w:ascii="Times New Roman" w:hAnsi="Times New Roman" w:cs="Times New Roman" w:eastAsiaTheme="minorEastAsia"/>
          <w:color w:val="000000"/>
          <w:kern w:val="2"/>
          <w:sz w:val="20"/>
          <w:szCs w:val="20"/>
          <w:lang w:val="en-US" w:eastAsia="zh-CN"/>
        </w:rPr>
        <w:t>active</w:t>
      </w:r>
      <w:r>
        <w:rPr>
          <w:rFonts w:hint="eastAsia" w:ascii="Times New Roman" w:hAnsi="Times New Roman" w:cs="Times New Roman" w:eastAsiaTheme="minorEastAsia"/>
          <w:color w:val="000000"/>
          <w:kern w:val="2"/>
          <w:sz w:val="20"/>
          <w:szCs w:val="20"/>
        </w:rPr>
        <w:t xml:space="preserve"> stimulation therapy and related brain function </w:t>
      </w:r>
      <w:r>
        <w:rPr>
          <w:rFonts w:hint="eastAsia" w:ascii="Times New Roman" w:hAnsi="Times New Roman" w:cs="Times New Roman" w:eastAsiaTheme="minorEastAsia"/>
          <w:color w:val="000000"/>
          <w:kern w:val="2"/>
          <w:sz w:val="20"/>
          <w:szCs w:val="20"/>
          <w:lang w:val="en-US" w:eastAsia="zh-CN"/>
        </w:rPr>
        <w:t>examinations</w:t>
      </w:r>
      <w:r>
        <w:rPr>
          <w:rFonts w:hint="eastAsia" w:ascii="Times New Roman" w:hAnsi="Times New Roman" w:cs="Times New Roman" w:eastAsiaTheme="minorEastAsia"/>
          <w:color w:val="000000"/>
          <w:kern w:val="2"/>
          <w:sz w:val="20"/>
          <w:szCs w:val="20"/>
        </w:rPr>
        <w:t>.</w:t>
      </w:r>
      <w:r>
        <w:rPr>
          <w:rFonts w:hint="eastAsia" w:ascii="Times New Roman" w:hAnsi="Times New Roman" w:cs="Times New Roman" w:eastAsiaTheme="minorEastAsia"/>
          <w:color w:val="000000"/>
          <w:kern w:val="2"/>
          <w:sz w:val="20"/>
          <w:szCs w:val="20"/>
          <w:lang w:val="en-US" w:eastAsia="zh-CN"/>
        </w:rPr>
        <w:t xml:space="preserve"> </w:t>
      </w:r>
      <w:r>
        <w:rPr>
          <w:rFonts w:ascii="Times New Roman" w:hAnsi="Times New Roman" w:cs="Times New Roman" w:eastAsiaTheme="minorEastAsia"/>
          <w:color w:val="000000"/>
          <w:kern w:val="2"/>
          <w:sz w:val="20"/>
          <w:szCs w:val="20"/>
        </w:rPr>
        <w:t>All participants will sign written informed consent before their enrollment in the study. All procedures will strictly follow the consolidated standards of reporting trials guidelines.</w:t>
      </w:r>
      <w:bookmarkStart w:id="4" w:name="_GoBack"/>
      <w:bookmarkEnd w:id="4"/>
    </w:p>
    <w:p w14:paraId="080B4EF6">
      <w:pPr>
        <w:pStyle w:val="11"/>
        <w:shd w:val="clear" w:color="auto" w:fill="FFFFFF"/>
        <w:spacing w:before="0" w:beforeAutospacing="0" w:after="0" w:afterAutospacing="0" w:line="360" w:lineRule="auto"/>
        <w:jc w:val="both"/>
        <w:rPr>
          <w:rFonts w:ascii="Times New Roman" w:hAnsi="Times New Roman" w:cs="Times New Roman" w:eastAsiaTheme="minorEastAsia"/>
          <w:color w:val="000000"/>
          <w:kern w:val="2"/>
          <w:sz w:val="21"/>
          <w:szCs w:val="22"/>
        </w:rPr>
      </w:pPr>
    </w:p>
    <w:p w14:paraId="6C2D37F4">
      <w:pPr>
        <w:pStyle w:val="11"/>
        <w:shd w:val="clear" w:color="auto" w:fill="FFFFFF"/>
        <w:spacing w:before="0" w:beforeAutospacing="0" w:after="0" w:afterAutospacing="0" w:line="360" w:lineRule="auto"/>
        <w:rPr>
          <w:rFonts w:ascii="Times New Roman" w:hAnsi="Times New Roman" w:cs="Times New Roman" w:eastAsiaTheme="minorEastAsia"/>
          <w:color w:val="000000"/>
          <w:kern w:val="2"/>
          <w:sz w:val="21"/>
          <w:szCs w:val="22"/>
        </w:rPr>
      </w:pPr>
      <w:r>
        <w:rPr>
          <w:rFonts w:ascii="Times New Roman" w:hAnsi="Times New Roman" w:cs="Times New Roman"/>
          <w:b/>
          <w:bCs/>
          <w:color w:val="000000"/>
        </w:rPr>
        <w:t xml:space="preserve">Figure 1. </w:t>
      </w:r>
      <w:r>
        <w:rPr>
          <w:rFonts w:ascii="Times New Roman" w:hAnsi="Times New Roman" w:eastAsia="Times New Roman" w:cs="Times New Roman"/>
          <w:b/>
          <w:bCs/>
        </w:rPr>
        <w:t>CONSORT Flow Diagram.</w:t>
      </w:r>
      <w:r>
        <w:rPr>
          <w:rFonts w:ascii="Times New Roman" w:hAnsi="Times New Roman" w:cs="Times New Roman"/>
          <w:b/>
          <w:bCs/>
          <w:color w:val="000000"/>
        </w:rPr>
        <w:drawing>
          <wp:inline distT="0" distB="0" distL="114300" distR="114300">
            <wp:extent cx="5270500" cy="4384675"/>
            <wp:effectExtent l="0" t="0" r="2540" b="4445"/>
            <wp:docPr id="1" name="图片 1" descr="流程图-抑郁-用于方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流程图-抑郁-用于方案"/>
                    <pic:cNvPicPr>
                      <a:picLocks noChangeAspect="1"/>
                    </pic:cNvPicPr>
                  </pic:nvPicPr>
                  <pic:blipFill>
                    <a:blip r:embed="rId5"/>
                    <a:stretch>
                      <a:fillRect/>
                    </a:stretch>
                  </pic:blipFill>
                  <pic:spPr>
                    <a:xfrm>
                      <a:off x="0" y="0"/>
                      <a:ext cx="5270500" cy="4384675"/>
                    </a:xfrm>
                    <a:prstGeom prst="rect">
                      <a:avLst/>
                    </a:prstGeom>
                  </pic:spPr>
                </pic:pic>
              </a:graphicData>
            </a:graphic>
          </wp:inline>
        </w:drawing>
      </w:r>
    </w:p>
    <w:p w14:paraId="04BDF597">
      <w:pPr>
        <w:widowControl/>
        <w:jc w:val="left"/>
        <w:rPr>
          <w:rFonts w:ascii="Times New Roman" w:hAnsi="Times New Roman" w:eastAsia="宋体" w:cs="Times New Roman"/>
          <w:b/>
          <w:bCs/>
          <w:color w:val="000000"/>
          <w:kern w:val="0"/>
          <w:sz w:val="24"/>
          <w:szCs w:val="24"/>
        </w:rPr>
      </w:pPr>
      <w:r>
        <w:rPr>
          <w:rFonts w:ascii="Times New Roman" w:hAnsi="Times New Roman" w:eastAsia="宋体" w:cs="Times New Roman"/>
          <w:b/>
          <w:bCs/>
          <w:color w:val="000000"/>
          <w:kern w:val="0"/>
          <w:sz w:val="24"/>
          <w:szCs w:val="24"/>
        </w:rPr>
        <w:br w:type="page"/>
      </w:r>
    </w:p>
    <w:p w14:paraId="5816D959">
      <w:pPr>
        <w:widowControl/>
        <w:jc w:val="left"/>
        <w:rPr>
          <w:rFonts w:ascii="Times New Roman" w:hAnsi="Times New Roman" w:eastAsia="宋体" w:cs="Times New Roman"/>
          <w:b/>
          <w:bCs/>
          <w:color w:val="000000"/>
          <w:kern w:val="0"/>
          <w:sz w:val="24"/>
          <w:szCs w:val="24"/>
        </w:rPr>
      </w:pPr>
      <w:r>
        <w:rPr>
          <w:rFonts w:ascii="Times New Roman" w:hAnsi="Times New Roman" w:eastAsia="宋体" w:cs="Times New Roman"/>
          <w:b/>
          <w:bCs/>
          <w:color w:val="000000"/>
          <w:kern w:val="0"/>
          <w:sz w:val="24"/>
          <w:szCs w:val="24"/>
        </w:rPr>
        <w:t>Table 1. Schedule of enrollments, interventions, and assessments.</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98"/>
        <w:gridCol w:w="1216"/>
        <w:gridCol w:w="1072"/>
        <w:gridCol w:w="1032"/>
        <w:gridCol w:w="960"/>
        <w:gridCol w:w="944"/>
      </w:tblGrid>
      <w:tr w14:paraId="06943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left w:val="nil"/>
              <w:right w:val="nil"/>
            </w:tcBorders>
          </w:tcPr>
          <w:p w14:paraId="612284BF">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216" w:type="dxa"/>
            <w:tcBorders>
              <w:left w:val="nil"/>
              <w:right w:val="nil"/>
            </w:tcBorders>
          </w:tcPr>
          <w:p w14:paraId="00CECC72">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Screening</w:t>
            </w:r>
          </w:p>
        </w:tc>
        <w:tc>
          <w:tcPr>
            <w:tcW w:w="1072" w:type="dxa"/>
            <w:tcBorders>
              <w:left w:val="nil"/>
              <w:right w:val="nil"/>
            </w:tcBorders>
          </w:tcPr>
          <w:p w14:paraId="30425206">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Baseline</w:t>
            </w:r>
          </w:p>
        </w:tc>
        <w:tc>
          <w:tcPr>
            <w:tcW w:w="1032" w:type="dxa"/>
            <w:tcBorders>
              <w:left w:val="nil"/>
              <w:right w:val="nil"/>
            </w:tcBorders>
          </w:tcPr>
          <w:p w14:paraId="4CEA7D0A">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Week 2</w:t>
            </w:r>
          </w:p>
        </w:tc>
        <w:tc>
          <w:tcPr>
            <w:tcW w:w="960" w:type="dxa"/>
            <w:tcBorders>
              <w:left w:val="nil"/>
              <w:right w:val="nil"/>
            </w:tcBorders>
          </w:tcPr>
          <w:p w14:paraId="6C8CD75F">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Week 4</w:t>
            </w:r>
          </w:p>
        </w:tc>
        <w:tc>
          <w:tcPr>
            <w:tcW w:w="944" w:type="dxa"/>
            <w:tcBorders>
              <w:left w:val="nil"/>
              <w:right w:val="nil"/>
            </w:tcBorders>
          </w:tcPr>
          <w:p w14:paraId="741838A3">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Week 6</w:t>
            </w:r>
          </w:p>
        </w:tc>
      </w:tr>
      <w:tr w14:paraId="37324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left w:val="nil"/>
              <w:bottom w:val="nil"/>
              <w:right w:val="nil"/>
            </w:tcBorders>
          </w:tcPr>
          <w:p w14:paraId="0342B1AA">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Enrollment</w:t>
            </w:r>
          </w:p>
        </w:tc>
        <w:tc>
          <w:tcPr>
            <w:tcW w:w="1216" w:type="dxa"/>
            <w:tcBorders>
              <w:left w:val="nil"/>
              <w:bottom w:val="nil"/>
              <w:right w:val="nil"/>
            </w:tcBorders>
          </w:tcPr>
          <w:p w14:paraId="3CDCE091">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left w:val="nil"/>
              <w:bottom w:val="nil"/>
              <w:right w:val="nil"/>
            </w:tcBorders>
          </w:tcPr>
          <w:p w14:paraId="4D1A79D6">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32" w:type="dxa"/>
            <w:tcBorders>
              <w:left w:val="nil"/>
              <w:bottom w:val="nil"/>
              <w:right w:val="nil"/>
            </w:tcBorders>
          </w:tcPr>
          <w:p w14:paraId="4219BAE4">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60" w:type="dxa"/>
            <w:tcBorders>
              <w:left w:val="nil"/>
              <w:bottom w:val="nil"/>
              <w:right w:val="nil"/>
            </w:tcBorders>
          </w:tcPr>
          <w:p w14:paraId="20AFCE50">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44" w:type="dxa"/>
            <w:tcBorders>
              <w:left w:val="nil"/>
              <w:bottom w:val="nil"/>
              <w:right w:val="nil"/>
            </w:tcBorders>
          </w:tcPr>
          <w:p w14:paraId="77B3B0CD">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r>
      <w:tr w14:paraId="21776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20F3DFD9">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Diagnosis</w:t>
            </w:r>
          </w:p>
        </w:tc>
        <w:tc>
          <w:tcPr>
            <w:tcW w:w="1216" w:type="dxa"/>
            <w:tcBorders>
              <w:top w:val="nil"/>
              <w:left w:val="nil"/>
              <w:bottom w:val="nil"/>
              <w:right w:val="nil"/>
            </w:tcBorders>
          </w:tcPr>
          <w:p w14:paraId="3841A580">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72" w:type="dxa"/>
            <w:tcBorders>
              <w:top w:val="nil"/>
              <w:left w:val="nil"/>
              <w:bottom w:val="nil"/>
              <w:right w:val="nil"/>
            </w:tcBorders>
          </w:tcPr>
          <w:p w14:paraId="6D73A9A3">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32" w:type="dxa"/>
            <w:tcBorders>
              <w:top w:val="nil"/>
              <w:left w:val="nil"/>
              <w:bottom w:val="nil"/>
              <w:right w:val="nil"/>
            </w:tcBorders>
          </w:tcPr>
          <w:p w14:paraId="2E407DB2">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60" w:type="dxa"/>
            <w:tcBorders>
              <w:top w:val="nil"/>
              <w:left w:val="nil"/>
              <w:bottom w:val="nil"/>
              <w:right w:val="nil"/>
            </w:tcBorders>
          </w:tcPr>
          <w:p w14:paraId="6B93DDBF">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44" w:type="dxa"/>
            <w:tcBorders>
              <w:top w:val="nil"/>
              <w:left w:val="nil"/>
              <w:bottom w:val="nil"/>
              <w:right w:val="nil"/>
            </w:tcBorders>
          </w:tcPr>
          <w:p w14:paraId="7D023578">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r>
      <w:tr w14:paraId="6BDB8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2B8B19B5">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Signed informed consent</w:t>
            </w:r>
          </w:p>
        </w:tc>
        <w:tc>
          <w:tcPr>
            <w:tcW w:w="1216" w:type="dxa"/>
            <w:tcBorders>
              <w:top w:val="nil"/>
              <w:left w:val="nil"/>
              <w:bottom w:val="nil"/>
              <w:right w:val="nil"/>
            </w:tcBorders>
          </w:tcPr>
          <w:p w14:paraId="02DCD828">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56CAB8D1">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6BE7355D">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60" w:type="dxa"/>
            <w:tcBorders>
              <w:top w:val="nil"/>
              <w:left w:val="nil"/>
              <w:bottom w:val="nil"/>
              <w:right w:val="nil"/>
            </w:tcBorders>
          </w:tcPr>
          <w:p w14:paraId="1BFF69C4">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44" w:type="dxa"/>
            <w:tcBorders>
              <w:top w:val="nil"/>
              <w:left w:val="nil"/>
              <w:bottom w:val="nil"/>
              <w:right w:val="nil"/>
            </w:tcBorders>
          </w:tcPr>
          <w:p w14:paraId="15A43495">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r>
      <w:tr w14:paraId="0527D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5A0B0EE5">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Randomization</w:t>
            </w:r>
          </w:p>
        </w:tc>
        <w:tc>
          <w:tcPr>
            <w:tcW w:w="1216" w:type="dxa"/>
            <w:tcBorders>
              <w:top w:val="nil"/>
              <w:left w:val="nil"/>
              <w:bottom w:val="nil"/>
              <w:right w:val="nil"/>
            </w:tcBorders>
          </w:tcPr>
          <w:p w14:paraId="31FF4F63">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2F56B4AA">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5D8CCAA2">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60" w:type="dxa"/>
            <w:tcBorders>
              <w:top w:val="nil"/>
              <w:left w:val="nil"/>
              <w:bottom w:val="nil"/>
              <w:right w:val="nil"/>
            </w:tcBorders>
          </w:tcPr>
          <w:p w14:paraId="033D3BB3">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44" w:type="dxa"/>
            <w:tcBorders>
              <w:top w:val="nil"/>
              <w:left w:val="nil"/>
              <w:bottom w:val="nil"/>
              <w:right w:val="nil"/>
            </w:tcBorders>
          </w:tcPr>
          <w:p w14:paraId="1E03CB48">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r>
      <w:tr w14:paraId="4730E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35F2CC83">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Interventions</w:t>
            </w:r>
          </w:p>
        </w:tc>
        <w:tc>
          <w:tcPr>
            <w:tcW w:w="1216" w:type="dxa"/>
            <w:tcBorders>
              <w:top w:val="nil"/>
              <w:left w:val="nil"/>
              <w:bottom w:val="nil"/>
              <w:right w:val="nil"/>
            </w:tcBorders>
          </w:tcPr>
          <w:p w14:paraId="0C13C8BB">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2EE92644">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32" w:type="dxa"/>
            <w:tcBorders>
              <w:top w:val="nil"/>
              <w:left w:val="nil"/>
              <w:bottom w:val="nil"/>
              <w:right w:val="nil"/>
            </w:tcBorders>
          </w:tcPr>
          <w:p w14:paraId="10ABDB4D">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60" w:type="dxa"/>
            <w:tcBorders>
              <w:top w:val="nil"/>
              <w:left w:val="nil"/>
              <w:bottom w:val="nil"/>
              <w:right w:val="nil"/>
            </w:tcBorders>
          </w:tcPr>
          <w:p w14:paraId="2DAE2D2C">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44" w:type="dxa"/>
            <w:tcBorders>
              <w:top w:val="nil"/>
              <w:left w:val="nil"/>
              <w:bottom w:val="nil"/>
              <w:right w:val="nil"/>
            </w:tcBorders>
          </w:tcPr>
          <w:p w14:paraId="057FD85B">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r>
      <w:tr w14:paraId="619AF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4AA0DA5D">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Active</w:t>
            </w:r>
          </w:p>
        </w:tc>
        <w:tc>
          <w:tcPr>
            <w:tcW w:w="1216" w:type="dxa"/>
            <w:tcBorders>
              <w:top w:val="nil"/>
              <w:left w:val="nil"/>
              <w:bottom w:val="nil"/>
              <w:right w:val="nil"/>
            </w:tcBorders>
          </w:tcPr>
          <w:p w14:paraId="4B791618">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72" w:type="dxa"/>
            <w:tcBorders>
              <w:top w:val="nil"/>
              <w:left w:val="nil"/>
              <w:bottom w:val="nil"/>
              <w:right w:val="nil"/>
            </w:tcBorders>
          </w:tcPr>
          <w:p w14:paraId="754A3FB9">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395439B2">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7A32481E">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44" w:type="dxa"/>
            <w:tcBorders>
              <w:top w:val="nil"/>
              <w:left w:val="nil"/>
              <w:bottom w:val="nil"/>
              <w:right w:val="nil"/>
            </w:tcBorders>
          </w:tcPr>
          <w:p w14:paraId="19B2DEC0">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r>
      <w:tr w14:paraId="488CD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2A0BF273">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Sham</w:t>
            </w:r>
          </w:p>
        </w:tc>
        <w:tc>
          <w:tcPr>
            <w:tcW w:w="1216" w:type="dxa"/>
            <w:tcBorders>
              <w:top w:val="nil"/>
              <w:left w:val="nil"/>
              <w:bottom w:val="nil"/>
              <w:right w:val="nil"/>
            </w:tcBorders>
          </w:tcPr>
          <w:p w14:paraId="3701E71D">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72" w:type="dxa"/>
            <w:tcBorders>
              <w:top w:val="nil"/>
              <w:left w:val="nil"/>
              <w:bottom w:val="nil"/>
              <w:right w:val="nil"/>
            </w:tcBorders>
          </w:tcPr>
          <w:p w14:paraId="7A86403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4F1D5208">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20F95FC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44" w:type="dxa"/>
            <w:tcBorders>
              <w:top w:val="nil"/>
              <w:left w:val="nil"/>
              <w:bottom w:val="nil"/>
              <w:right w:val="nil"/>
            </w:tcBorders>
          </w:tcPr>
          <w:p w14:paraId="481F2D72">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r>
      <w:tr w14:paraId="2F09D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421D12A8">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Assessments</w:t>
            </w:r>
          </w:p>
        </w:tc>
        <w:tc>
          <w:tcPr>
            <w:tcW w:w="1216" w:type="dxa"/>
            <w:tcBorders>
              <w:top w:val="nil"/>
              <w:left w:val="nil"/>
              <w:bottom w:val="nil"/>
              <w:right w:val="nil"/>
            </w:tcBorders>
          </w:tcPr>
          <w:p w14:paraId="09C116A6">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72" w:type="dxa"/>
            <w:tcBorders>
              <w:top w:val="nil"/>
              <w:left w:val="nil"/>
              <w:bottom w:val="nil"/>
              <w:right w:val="nil"/>
            </w:tcBorders>
          </w:tcPr>
          <w:p w14:paraId="72C4B238">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32" w:type="dxa"/>
            <w:tcBorders>
              <w:top w:val="nil"/>
              <w:left w:val="nil"/>
              <w:bottom w:val="nil"/>
              <w:right w:val="nil"/>
            </w:tcBorders>
          </w:tcPr>
          <w:p w14:paraId="5F5B63E0">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60" w:type="dxa"/>
            <w:tcBorders>
              <w:top w:val="nil"/>
              <w:left w:val="nil"/>
              <w:bottom w:val="nil"/>
              <w:right w:val="nil"/>
            </w:tcBorders>
          </w:tcPr>
          <w:p w14:paraId="600EA2A6">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44" w:type="dxa"/>
            <w:tcBorders>
              <w:top w:val="nil"/>
              <w:left w:val="nil"/>
              <w:bottom w:val="nil"/>
              <w:right w:val="nil"/>
            </w:tcBorders>
          </w:tcPr>
          <w:p w14:paraId="0476588C">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r>
      <w:tr w14:paraId="49CD8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562F5B21">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Primary outcome</w:t>
            </w:r>
          </w:p>
        </w:tc>
        <w:tc>
          <w:tcPr>
            <w:tcW w:w="1216" w:type="dxa"/>
            <w:tcBorders>
              <w:top w:val="nil"/>
              <w:left w:val="nil"/>
              <w:bottom w:val="nil"/>
              <w:right w:val="nil"/>
            </w:tcBorders>
          </w:tcPr>
          <w:p w14:paraId="0641E635">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72" w:type="dxa"/>
            <w:tcBorders>
              <w:top w:val="nil"/>
              <w:left w:val="nil"/>
              <w:bottom w:val="nil"/>
              <w:right w:val="nil"/>
            </w:tcBorders>
          </w:tcPr>
          <w:p w14:paraId="05C78F6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32" w:type="dxa"/>
            <w:tcBorders>
              <w:top w:val="nil"/>
              <w:left w:val="nil"/>
              <w:bottom w:val="nil"/>
              <w:right w:val="nil"/>
            </w:tcBorders>
          </w:tcPr>
          <w:p w14:paraId="4136D8DE">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60" w:type="dxa"/>
            <w:tcBorders>
              <w:top w:val="nil"/>
              <w:left w:val="nil"/>
              <w:bottom w:val="nil"/>
              <w:right w:val="nil"/>
            </w:tcBorders>
          </w:tcPr>
          <w:p w14:paraId="16F7FF8D">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44" w:type="dxa"/>
            <w:tcBorders>
              <w:top w:val="nil"/>
              <w:left w:val="nil"/>
              <w:bottom w:val="nil"/>
              <w:right w:val="nil"/>
            </w:tcBorders>
          </w:tcPr>
          <w:p w14:paraId="66F753AE">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r>
      <w:tr w14:paraId="15E99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6123788C">
            <w:pPr>
              <w:keepNext w:val="0"/>
              <w:keepLines w:val="0"/>
              <w:suppressLineNumbers w:val="0"/>
              <w:spacing w:before="0" w:beforeAutospacing="0" w:after="0" w:afterAutospacing="0"/>
              <w:ind w:left="0" w:right="0" w:firstLine="400" w:firstLineChars="2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PSQI</w:t>
            </w:r>
          </w:p>
        </w:tc>
        <w:tc>
          <w:tcPr>
            <w:tcW w:w="1216" w:type="dxa"/>
            <w:tcBorders>
              <w:top w:val="nil"/>
              <w:left w:val="nil"/>
              <w:bottom w:val="nil"/>
              <w:right w:val="nil"/>
            </w:tcBorders>
          </w:tcPr>
          <w:p w14:paraId="4ED7A499">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72" w:type="dxa"/>
            <w:tcBorders>
              <w:top w:val="nil"/>
              <w:left w:val="nil"/>
              <w:bottom w:val="nil"/>
              <w:right w:val="nil"/>
            </w:tcBorders>
          </w:tcPr>
          <w:p w14:paraId="438AD9A8">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323B8CD5">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0D3EDB82">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44" w:type="dxa"/>
            <w:tcBorders>
              <w:top w:val="nil"/>
              <w:left w:val="nil"/>
              <w:bottom w:val="nil"/>
              <w:right w:val="nil"/>
            </w:tcBorders>
          </w:tcPr>
          <w:p w14:paraId="4A061DCC">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r>
      <w:tr w14:paraId="0343F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4D13784D">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Secondary outcomes</w:t>
            </w:r>
          </w:p>
        </w:tc>
        <w:tc>
          <w:tcPr>
            <w:tcW w:w="1216" w:type="dxa"/>
            <w:tcBorders>
              <w:top w:val="nil"/>
              <w:left w:val="nil"/>
              <w:bottom w:val="nil"/>
              <w:right w:val="nil"/>
            </w:tcBorders>
          </w:tcPr>
          <w:p w14:paraId="0D387CB2">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3A5F47C6">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32" w:type="dxa"/>
            <w:tcBorders>
              <w:top w:val="nil"/>
              <w:left w:val="nil"/>
              <w:bottom w:val="nil"/>
              <w:right w:val="nil"/>
            </w:tcBorders>
          </w:tcPr>
          <w:p w14:paraId="3D79B092">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60" w:type="dxa"/>
            <w:tcBorders>
              <w:top w:val="nil"/>
              <w:left w:val="nil"/>
              <w:bottom w:val="nil"/>
              <w:right w:val="nil"/>
            </w:tcBorders>
          </w:tcPr>
          <w:p w14:paraId="708C545E">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944" w:type="dxa"/>
            <w:tcBorders>
              <w:top w:val="nil"/>
              <w:left w:val="nil"/>
              <w:bottom w:val="nil"/>
              <w:right w:val="nil"/>
            </w:tcBorders>
          </w:tcPr>
          <w:p w14:paraId="7C1FDB89">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r>
      <w:tr w14:paraId="4087F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7F4C2D45">
            <w:pPr>
              <w:keepNext w:val="0"/>
              <w:keepLines w:val="0"/>
              <w:suppressLineNumbers w:val="0"/>
              <w:spacing w:before="0" w:beforeAutospacing="0" w:after="0" w:afterAutospacing="0"/>
              <w:ind w:left="0" w:right="0" w:firstLine="400" w:firstLineChars="200"/>
              <w:rPr>
                <w:rFonts w:hint="default" w:ascii="Times New Roman" w:hAnsi="Times New Roman" w:eastAsia="宋体" w:cs="Times New Roman"/>
                <w:sz w:val="20"/>
                <w:szCs w:val="20"/>
              </w:rPr>
            </w:pPr>
            <w:r>
              <w:rPr>
                <w:rFonts w:hint="default" w:ascii="Times New Roman" w:hAnsi="Times New Roman" w:eastAsia="等线" w:cs="Times New Roman"/>
                <w:kern w:val="0"/>
                <w:sz w:val="20"/>
                <w:szCs w:val="20"/>
                <w:lang w:val="de-CH" w:bidi="ar"/>
              </w:rPr>
              <w:t>HDRS</w:t>
            </w:r>
            <w:r>
              <w:rPr>
                <w:rFonts w:hint="default" w:ascii="Times New Roman" w:hAnsi="Times New Roman" w:eastAsia="等线" w:cs="Times New Roman"/>
                <w:kern w:val="0"/>
                <w:sz w:val="20"/>
                <w:szCs w:val="20"/>
                <w:vertAlign w:val="subscript"/>
                <w:lang w:val="de-CH" w:bidi="ar"/>
              </w:rPr>
              <w:t>17</w:t>
            </w:r>
          </w:p>
        </w:tc>
        <w:tc>
          <w:tcPr>
            <w:tcW w:w="1216" w:type="dxa"/>
            <w:tcBorders>
              <w:top w:val="nil"/>
              <w:left w:val="nil"/>
              <w:bottom w:val="nil"/>
              <w:right w:val="nil"/>
            </w:tcBorders>
          </w:tcPr>
          <w:p w14:paraId="6A2CBDE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72" w:type="dxa"/>
            <w:tcBorders>
              <w:top w:val="nil"/>
              <w:left w:val="nil"/>
              <w:bottom w:val="nil"/>
              <w:right w:val="nil"/>
            </w:tcBorders>
          </w:tcPr>
          <w:p w14:paraId="33AAE4F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5E0751CF">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3DC87303">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44" w:type="dxa"/>
            <w:tcBorders>
              <w:top w:val="nil"/>
              <w:left w:val="nil"/>
              <w:bottom w:val="nil"/>
              <w:right w:val="nil"/>
            </w:tcBorders>
          </w:tcPr>
          <w:p w14:paraId="27FAF00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r>
      <w:tr w14:paraId="4CC76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62A420B7">
            <w:pPr>
              <w:keepNext w:val="0"/>
              <w:keepLines w:val="0"/>
              <w:suppressLineNumbers w:val="0"/>
              <w:spacing w:before="0" w:beforeAutospacing="0" w:after="0" w:afterAutospacing="0"/>
              <w:ind w:left="0" w:right="0" w:firstLine="400" w:firstLineChars="200"/>
              <w:rPr>
                <w:rFonts w:hint="default" w:ascii="Times New Roman" w:hAnsi="Times New Roman" w:eastAsia="等线" w:cs="Times New Roman"/>
                <w:kern w:val="0"/>
                <w:sz w:val="20"/>
                <w:szCs w:val="20"/>
                <w:lang w:bidi="ar"/>
              </w:rPr>
            </w:pPr>
            <w:r>
              <w:rPr>
                <w:rFonts w:hint="default" w:ascii="Times New Roman" w:hAnsi="Times New Roman" w:eastAsia="等线" w:cs="Times New Roman"/>
                <w:kern w:val="0"/>
                <w:sz w:val="20"/>
                <w:szCs w:val="20"/>
                <w:lang w:bidi="ar"/>
              </w:rPr>
              <w:t>HARS</w:t>
            </w:r>
          </w:p>
        </w:tc>
        <w:tc>
          <w:tcPr>
            <w:tcW w:w="1216" w:type="dxa"/>
            <w:tcBorders>
              <w:top w:val="nil"/>
              <w:left w:val="nil"/>
              <w:bottom w:val="nil"/>
              <w:right w:val="nil"/>
            </w:tcBorders>
          </w:tcPr>
          <w:p w14:paraId="7ECB7CF2">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09F7731F">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30A38A41">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13AA44E6">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44" w:type="dxa"/>
            <w:tcBorders>
              <w:top w:val="nil"/>
              <w:left w:val="nil"/>
              <w:bottom w:val="nil"/>
              <w:right w:val="nil"/>
            </w:tcBorders>
          </w:tcPr>
          <w:p w14:paraId="2CD09F99">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r>
      <w:tr w14:paraId="744D9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2A54547B">
            <w:pPr>
              <w:keepNext w:val="0"/>
              <w:keepLines w:val="0"/>
              <w:suppressLineNumbers w:val="0"/>
              <w:spacing w:before="0" w:beforeAutospacing="0" w:after="0" w:afterAutospacing="0"/>
              <w:ind w:left="0" w:right="0" w:firstLine="400" w:firstLineChars="20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PDQ-D</w:t>
            </w:r>
          </w:p>
        </w:tc>
        <w:tc>
          <w:tcPr>
            <w:tcW w:w="1216" w:type="dxa"/>
            <w:tcBorders>
              <w:top w:val="nil"/>
              <w:left w:val="nil"/>
              <w:bottom w:val="nil"/>
              <w:right w:val="nil"/>
            </w:tcBorders>
          </w:tcPr>
          <w:p w14:paraId="40C75EC6">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3F68CA11">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1032" w:type="dxa"/>
            <w:tcBorders>
              <w:top w:val="nil"/>
              <w:left w:val="nil"/>
              <w:bottom w:val="nil"/>
              <w:right w:val="nil"/>
            </w:tcBorders>
          </w:tcPr>
          <w:p w14:paraId="7B2A08DB">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2DA1A3D5">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44" w:type="dxa"/>
            <w:tcBorders>
              <w:top w:val="nil"/>
              <w:left w:val="nil"/>
              <w:bottom w:val="nil"/>
              <w:right w:val="nil"/>
            </w:tcBorders>
          </w:tcPr>
          <w:p w14:paraId="1C95E2E3">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r>
      <w:tr w14:paraId="2DB2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67844283">
            <w:pPr>
              <w:keepNext w:val="0"/>
              <w:keepLines w:val="0"/>
              <w:suppressLineNumbers w:val="0"/>
              <w:spacing w:before="0" w:beforeAutospacing="0" w:after="0" w:afterAutospacing="0"/>
              <w:ind w:left="0" w:right="0" w:firstLine="420" w:firstLineChars="200"/>
              <w:rPr>
                <w:rFonts w:hint="default" w:ascii="Times New Roman" w:hAnsi="Times New Roman" w:eastAsia="宋体" w:cs="Times New Roman"/>
                <w:sz w:val="20"/>
                <w:szCs w:val="20"/>
                <w:lang w:val="en-US" w:eastAsia="zh-CN"/>
              </w:rPr>
            </w:pPr>
            <w:r>
              <w:rPr>
                <w:rFonts w:hint="default" w:ascii="Times New Roman" w:hAnsi="Times New Roman" w:eastAsia="等线" w:cs="Times New Roman"/>
                <w:kern w:val="2"/>
                <w:sz w:val="21"/>
                <w:szCs w:val="21"/>
                <w:lang w:val="en-US" w:eastAsia="zh-CN" w:bidi="ar"/>
              </w:rPr>
              <w:t>CERQ</w:t>
            </w:r>
          </w:p>
        </w:tc>
        <w:tc>
          <w:tcPr>
            <w:tcW w:w="1216" w:type="dxa"/>
            <w:tcBorders>
              <w:top w:val="nil"/>
              <w:left w:val="nil"/>
              <w:bottom w:val="nil"/>
              <w:right w:val="nil"/>
            </w:tcBorders>
          </w:tcPr>
          <w:p w14:paraId="7DD71931">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vAlign w:val="top"/>
          </w:tcPr>
          <w:p w14:paraId="09239AFD">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c>
          <w:tcPr>
            <w:tcW w:w="1032" w:type="dxa"/>
            <w:tcBorders>
              <w:top w:val="nil"/>
              <w:left w:val="nil"/>
              <w:bottom w:val="nil"/>
              <w:right w:val="nil"/>
            </w:tcBorders>
            <w:vAlign w:val="top"/>
          </w:tcPr>
          <w:p w14:paraId="7A757E1B">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c>
          <w:tcPr>
            <w:tcW w:w="960" w:type="dxa"/>
            <w:tcBorders>
              <w:top w:val="nil"/>
              <w:left w:val="nil"/>
              <w:bottom w:val="nil"/>
              <w:right w:val="nil"/>
            </w:tcBorders>
            <w:vAlign w:val="top"/>
          </w:tcPr>
          <w:p w14:paraId="66555A99">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c>
          <w:tcPr>
            <w:tcW w:w="944" w:type="dxa"/>
            <w:tcBorders>
              <w:top w:val="nil"/>
              <w:left w:val="nil"/>
              <w:bottom w:val="nil"/>
              <w:right w:val="nil"/>
            </w:tcBorders>
            <w:vAlign w:val="top"/>
          </w:tcPr>
          <w:p w14:paraId="4F68A84E">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r>
      <w:tr w14:paraId="09496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6A2B6DB0">
            <w:pPr>
              <w:keepNext w:val="0"/>
              <w:keepLines w:val="0"/>
              <w:suppressLineNumbers w:val="0"/>
              <w:spacing w:before="0" w:beforeAutospacing="0" w:after="0" w:afterAutospacing="0"/>
              <w:ind w:left="0" w:right="0" w:firstLine="420" w:firstLineChars="200"/>
              <w:rPr>
                <w:rFonts w:hint="default" w:ascii="Times New Roman" w:hAnsi="Times New Roman" w:eastAsia="等线" w:cs="Times New Roman"/>
                <w:kern w:val="2"/>
                <w:sz w:val="21"/>
                <w:szCs w:val="21"/>
                <w:lang w:val="en-US" w:eastAsia="zh-CN" w:bidi="ar"/>
              </w:rPr>
            </w:pPr>
            <w:r>
              <w:rPr>
                <w:rFonts w:hint="eastAsia" w:ascii="Times New Roman" w:hAnsi="Times New Roman" w:eastAsia="等线" w:cs="Times New Roman"/>
                <w:kern w:val="2"/>
                <w:sz w:val="21"/>
                <w:szCs w:val="21"/>
                <w:lang w:val="en-US" w:eastAsia="zh-CN" w:bidi="ar"/>
              </w:rPr>
              <w:t>SSS</w:t>
            </w:r>
          </w:p>
        </w:tc>
        <w:tc>
          <w:tcPr>
            <w:tcW w:w="1216" w:type="dxa"/>
            <w:tcBorders>
              <w:top w:val="nil"/>
              <w:left w:val="nil"/>
              <w:bottom w:val="nil"/>
              <w:right w:val="nil"/>
            </w:tcBorders>
          </w:tcPr>
          <w:p w14:paraId="06BB0AC3">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shd w:val="clear"/>
            <w:vAlign w:val="top"/>
          </w:tcPr>
          <w:p w14:paraId="208048DC">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c>
          <w:tcPr>
            <w:tcW w:w="1032" w:type="dxa"/>
            <w:tcBorders>
              <w:top w:val="nil"/>
              <w:left w:val="nil"/>
              <w:bottom w:val="nil"/>
              <w:right w:val="nil"/>
            </w:tcBorders>
            <w:shd w:val="clear"/>
            <w:vAlign w:val="top"/>
          </w:tcPr>
          <w:p w14:paraId="740B5396">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c>
          <w:tcPr>
            <w:tcW w:w="960" w:type="dxa"/>
            <w:tcBorders>
              <w:top w:val="nil"/>
              <w:left w:val="nil"/>
              <w:bottom w:val="nil"/>
              <w:right w:val="nil"/>
            </w:tcBorders>
            <w:shd w:val="clear"/>
            <w:vAlign w:val="top"/>
          </w:tcPr>
          <w:p w14:paraId="484EE50D">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c>
          <w:tcPr>
            <w:tcW w:w="944" w:type="dxa"/>
            <w:tcBorders>
              <w:top w:val="nil"/>
              <w:left w:val="nil"/>
              <w:bottom w:val="nil"/>
              <w:right w:val="nil"/>
            </w:tcBorders>
            <w:shd w:val="clear"/>
            <w:vAlign w:val="top"/>
          </w:tcPr>
          <w:p w14:paraId="628B37C1">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kern w:val="2"/>
                <w:sz w:val="20"/>
                <w:szCs w:val="20"/>
                <w:lang w:val="en-US" w:eastAsia="zh-CN" w:bidi="ar-SA"/>
              </w:rPr>
            </w:pPr>
            <w:r>
              <w:rPr>
                <w:rFonts w:hint="default" w:ascii="Times New Roman" w:hAnsi="Times New Roman" w:eastAsia="宋体" w:cs="Times New Roman"/>
                <w:sz w:val="20"/>
                <w:szCs w:val="20"/>
              </w:rPr>
              <w:t>×</w:t>
            </w:r>
          </w:p>
        </w:tc>
      </w:tr>
      <w:tr w14:paraId="58746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bottom w:val="nil"/>
              <w:right w:val="nil"/>
            </w:tcBorders>
          </w:tcPr>
          <w:p w14:paraId="754DD687">
            <w:pPr>
              <w:keepNext w:val="0"/>
              <w:keepLines w:val="0"/>
              <w:suppressLineNumbers w:val="0"/>
              <w:spacing w:before="0" w:beforeAutospacing="0" w:after="0" w:afterAutospacing="0"/>
              <w:ind w:left="0" w:right="0" w:firstLine="200" w:firstLineChars="100"/>
              <w:rPr>
                <w:rFonts w:hint="default" w:ascii="Times New Roman" w:hAnsi="Times New Roman" w:eastAsia="宋体" w:cs="Times New Roman"/>
                <w:sz w:val="20"/>
                <w:szCs w:val="20"/>
              </w:rPr>
            </w:pPr>
            <w:r>
              <w:rPr>
                <w:rFonts w:hint="default" w:ascii="Times New Roman" w:hAnsi="Times New Roman" w:eastAsia="等线" w:cs="Times New Roman"/>
                <w:sz w:val="20"/>
                <w:szCs w:val="20"/>
              </w:rPr>
              <w:t>Adverse reaction</w:t>
            </w:r>
          </w:p>
        </w:tc>
        <w:tc>
          <w:tcPr>
            <w:tcW w:w="1216" w:type="dxa"/>
            <w:tcBorders>
              <w:top w:val="nil"/>
              <w:left w:val="nil"/>
              <w:bottom w:val="nil"/>
              <w:right w:val="nil"/>
            </w:tcBorders>
          </w:tcPr>
          <w:p w14:paraId="51A5D427">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bottom w:val="nil"/>
              <w:right w:val="nil"/>
            </w:tcBorders>
          </w:tcPr>
          <w:p w14:paraId="1694C231">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32" w:type="dxa"/>
            <w:tcBorders>
              <w:top w:val="nil"/>
              <w:left w:val="nil"/>
              <w:bottom w:val="nil"/>
              <w:right w:val="nil"/>
            </w:tcBorders>
          </w:tcPr>
          <w:p w14:paraId="7793FEEF">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60" w:type="dxa"/>
            <w:tcBorders>
              <w:top w:val="nil"/>
              <w:left w:val="nil"/>
              <w:bottom w:val="nil"/>
              <w:right w:val="nil"/>
            </w:tcBorders>
          </w:tcPr>
          <w:p w14:paraId="46721FBC">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c>
          <w:tcPr>
            <w:tcW w:w="944" w:type="dxa"/>
            <w:tcBorders>
              <w:top w:val="nil"/>
              <w:left w:val="nil"/>
              <w:bottom w:val="nil"/>
              <w:right w:val="nil"/>
            </w:tcBorders>
          </w:tcPr>
          <w:p w14:paraId="22D64D01">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r>
      <w:tr w14:paraId="7CA8A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exact"/>
        </w:trPr>
        <w:tc>
          <w:tcPr>
            <w:tcW w:w="3298" w:type="dxa"/>
            <w:tcBorders>
              <w:top w:val="nil"/>
              <w:left w:val="nil"/>
              <w:right w:val="nil"/>
            </w:tcBorders>
          </w:tcPr>
          <w:p w14:paraId="5993F4E1">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r>
              <w:rPr>
                <w:rFonts w:hint="default" w:ascii="Times New Roman" w:hAnsi="Times New Roman" w:eastAsia="宋体" w:cs="Times New Roman"/>
                <w:sz w:val="20"/>
                <w:szCs w:val="20"/>
              </w:rPr>
              <w:t>Blinding assessment</w:t>
            </w:r>
          </w:p>
        </w:tc>
        <w:tc>
          <w:tcPr>
            <w:tcW w:w="1216" w:type="dxa"/>
            <w:tcBorders>
              <w:top w:val="nil"/>
              <w:left w:val="nil"/>
              <w:right w:val="nil"/>
            </w:tcBorders>
          </w:tcPr>
          <w:p w14:paraId="0C68FBCD">
            <w:pPr>
              <w:keepNext w:val="0"/>
              <w:keepLines w:val="0"/>
              <w:suppressLineNumbers w:val="0"/>
              <w:spacing w:before="0" w:beforeAutospacing="0" w:after="0" w:afterAutospacing="0"/>
              <w:ind w:left="0" w:right="0"/>
              <w:rPr>
                <w:rFonts w:hint="default" w:ascii="Times New Roman" w:hAnsi="Times New Roman" w:eastAsia="宋体" w:cs="Times New Roman"/>
                <w:sz w:val="20"/>
                <w:szCs w:val="20"/>
              </w:rPr>
            </w:pPr>
          </w:p>
        </w:tc>
        <w:tc>
          <w:tcPr>
            <w:tcW w:w="1072" w:type="dxa"/>
            <w:tcBorders>
              <w:top w:val="nil"/>
              <w:left w:val="nil"/>
              <w:right w:val="nil"/>
            </w:tcBorders>
          </w:tcPr>
          <w:p w14:paraId="3041D8F8">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1032" w:type="dxa"/>
            <w:tcBorders>
              <w:top w:val="nil"/>
              <w:left w:val="nil"/>
              <w:right w:val="nil"/>
            </w:tcBorders>
          </w:tcPr>
          <w:p w14:paraId="68D582AD">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60" w:type="dxa"/>
            <w:tcBorders>
              <w:top w:val="nil"/>
              <w:left w:val="nil"/>
              <w:right w:val="nil"/>
            </w:tcBorders>
          </w:tcPr>
          <w:p w14:paraId="02A2033C">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p>
        </w:tc>
        <w:tc>
          <w:tcPr>
            <w:tcW w:w="944" w:type="dxa"/>
            <w:tcBorders>
              <w:top w:val="nil"/>
              <w:left w:val="nil"/>
              <w:right w:val="nil"/>
            </w:tcBorders>
          </w:tcPr>
          <w:p w14:paraId="2CF99C9E">
            <w:pPr>
              <w:keepNext w:val="0"/>
              <w:keepLines w:val="0"/>
              <w:suppressLineNumbers w:val="0"/>
              <w:spacing w:before="0" w:beforeAutospacing="0" w:after="0" w:afterAutospacing="0"/>
              <w:ind w:left="0" w:right="0"/>
              <w:jc w:val="center"/>
              <w:rPr>
                <w:rFonts w:hint="default" w:ascii="Times New Roman" w:hAnsi="Times New Roman" w:eastAsia="宋体" w:cs="Times New Roman"/>
                <w:sz w:val="20"/>
                <w:szCs w:val="20"/>
              </w:rPr>
            </w:pPr>
            <w:r>
              <w:rPr>
                <w:rFonts w:hint="default" w:ascii="Times New Roman" w:hAnsi="Times New Roman" w:eastAsia="宋体" w:cs="Times New Roman"/>
                <w:sz w:val="20"/>
                <w:szCs w:val="20"/>
              </w:rPr>
              <w:t>×</w:t>
            </w:r>
          </w:p>
        </w:tc>
      </w:tr>
    </w:tbl>
    <w:p w14:paraId="37565EB1">
      <w:pPr>
        <w:widowControl/>
        <w:jc w:val="left"/>
        <w:rPr>
          <w:rFonts w:ascii="Times New Roman" w:hAnsi="Times New Roman" w:eastAsia="宋体" w:cs="Times New Roman"/>
          <w:sz w:val="24"/>
          <w:szCs w:val="24"/>
        </w:rPr>
      </w:pPr>
    </w:p>
    <w:p w14:paraId="6217E722">
      <w:pPr>
        <w:widowControl/>
        <w:jc w:val="left"/>
        <w:rPr>
          <w:rFonts w:ascii="Times New Roman" w:hAnsi="Times New Roman" w:cs="Times New Roman"/>
          <w:b/>
          <w:color w:val="4F81BD" w:themeColor="accent1"/>
          <w:sz w:val="24"/>
          <w:szCs w:val="24"/>
          <w14:textFill>
            <w14:solidFill>
              <w14:schemeClr w14:val="accent1"/>
            </w14:solidFill>
          </w14:textFill>
        </w:rPr>
      </w:pPr>
      <w:r>
        <w:rPr>
          <w:rFonts w:ascii="Times New Roman" w:hAnsi="Times New Roman" w:cs="Times New Roman"/>
          <w:b/>
          <w:color w:val="4F81BD" w:themeColor="accent1"/>
          <w:sz w:val="24"/>
          <w:szCs w:val="24"/>
          <w14:textFill>
            <w14:solidFill>
              <w14:schemeClr w14:val="accent1"/>
            </w14:solidFill>
          </w14:textFill>
        </w:rPr>
        <w:t>5 Participants</w:t>
      </w:r>
    </w:p>
    <w:p w14:paraId="60217E75">
      <w:pPr>
        <w:shd w:val="clear" w:color="auto" w:fill="FFFFFF"/>
        <w:rPr>
          <w:rFonts w:ascii="Times New Roman" w:hAnsi="Times New Roman" w:cs="Times New Roman"/>
          <w:b/>
          <w:bCs/>
          <w:color w:val="000000"/>
          <w:sz w:val="20"/>
          <w:szCs w:val="20"/>
        </w:rPr>
      </w:pPr>
      <w:r>
        <w:rPr>
          <w:rFonts w:ascii="Times New Roman" w:hAnsi="Times New Roman" w:cs="Times New Roman"/>
          <w:b/>
          <w:bCs/>
          <w:color w:val="000000"/>
          <w:sz w:val="20"/>
          <w:szCs w:val="20"/>
        </w:rPr>
        <w:t>5.1</w:t>
      </w:r>
      <w:r>
        <w:rPr>
          <w:rFonts w:hint="eastAsia" w:ascii="Times New Roman" w:hAnsi="Times New Roman" w:cs="Times New Roman"/>
          <w:b/>
          <w:bCs/>
          <w:color w:val="000000"/>
          <w:sz w:val="20"/>
          <w:szCs w:val="20"/>
        </w:rPr>
        <w:t xml:space="preserve"> </w:t>
      </w:r>
      <w:r>
        <w:rPr>
          <w:rFonts w:ascii="Times New Roman" w:hAnsi="Times New Roman" w:cs="Times New Roman"/>
          <w:b/>
          <w:bCs/>
          <w:color w:val="000000"/>
          <w:sz w:val="20"/>
          <w:szCs w:val="20"/>
        </w:rPr>
        <w:t>Recruitment</w:t>
      </w:r>
      <w:r>
        <w:rPr>
          <w:rFonts w:ascii="Times New Roman" w:hAnsi="Times New Roman" w:cs="Times New Roman"/>
          <w:color w:val="000000"/>
          <w:sz w:val="20"/>
          <w:szCs w:val="20"/>
        </w:rPr>
        <w:t>: Participants will be recruited from the Beijing Puren Hospital by investigators and other physicians’ referral. The final diagnosis will be confirmed by the principal investigators. After carefully introducing the research process, objective, benefits and risks, researchers will communicate thoroughly with the participants before the start of the study to determine whether they have a strong desire or sufficient time for treatment and whether it is convenient to come to the hospital to ensure that the participants can complete the study and minimize dropout as much as possible.</w:t>
      </w:r>
    </w:p>
    <w:p w14:paraId="1B0D38EB">
      <w:pPr>
        <w:shd w:val="clear" w:color="auto" w:fill="FFFFFF"/>
        <w:rPr>
          <w:rFonts w:ascii="Times New Roman" w:hAnsi="Times New Roman" w:cs="Times New Roman"/>
          <w:sz w:val="20"/>
          <w:szCs w:val="20"/>
          <w:lang w:bidi="ar"/>
        </w:rPr>
      </w:pPr>
      <w:r>
        <w:rPr>
          <w:rFonts w:ascii="Times New Roman" w:hAnsi="Times New Roman" w:cs="Times New Roman"/>
          <w:b/>
          <w:color w:val="000000"/>
          <w:sz w:val="20"/>
          <w:szCs w:val="20"/>
        </w:rPr>
        <w:t>5.2 Inclusion criteria:</w:t>
      </w:r>
      <w:r>
        <w:rPr>
          <w:rFonts w:ascii="Times New Roman" w:hAnsi="Times New Roman" w:cs="Times New Roman"/>
          <w:sz w:val="20"/>
          <w:szCs w:val="20"/>
        </w:rPr>
        <w:t xml:space="preserve"> </w:t>
      </w:r>
      <w:r>
        <w:rPr>
          <w:rFonts w:ascii="Times New Roman" w:hAnsi="Times New Roman" w:eastAsia="等线" w:cs="Times New Roman"/>
          <w:sz w:val="20"/>
          <w:szCs w:val="20"/>
          <w:lang w:bidi="ar"/>
        </w:rPr>
        <w:t xml:space="preserve">Inclusion criteria were: being aged 18-65 years, </w:t>
      </w:r>
      <w:r>
        <w:rPr>
          <w:rFonts w:ascii="Times New Roman" w:hAnsi="Times New Roman" w:eastAsia="等线" w:cs="Times New Roman"/>
          <w:sz w:val="20"/>
          <w:szCs w:val="20"/>
        </w:rPr>
        <w:t xml:space="preserve">total score of the </w:t>
      </w:r>
      <w:r>
        <w:rPr>
          <w:rFonts w:ascii="Times New Roman" w:hAnsi="Times New Roman" w:eastAsia="Times New Roman" w:cs="Times New Roman"/>
          <w:color w:val="000000"/>
          <w:sz w:val="20"/>
          <w:szCs w:val="20"/>
        </w:rPr>
        <w:t>Pittsburgh Sleep Quality Index</w:t>
      </w:r>
      <w:r>
        <w:rPr>
          <w:rFonts w:ascii="Times New Roman" w:hAnsi="Times New Roman" w:eastAsia="等线" w:cs="Times New Roman"/>
          <w:sz w:val="20"/>
          <w:szCs w:val="20"/>
        </w:rPr>
        <w:t xml:space="preserve"> (PSQI) &gt; 8 [18]; daytime functional impairments (i.e., ≥ 2 on daily disturbance scores of the PSQI) [18]; </w:t>
      </w:r>
      <w:r>
        <w:rPr>
          <w:rFonts w:ascii="Times New Roman" w:hAnsi="Times New Roman" w:eastAsia="等线" w:cs="Times New Roman"/>
          <w:sz w:val="20"/>
          <w:szCs w:val="20"/>
          <w:lang w:bidi="ar"/>
        </w:rPr>
        <w:t>having at least 3 nights per week of difficulties in falling asleep/maintaining sleep, or early awakening for more than 3 months.</w:t>
      </w:r>
    </w:p>
    <w:p w14:paraId="010697F4">
      <w:pPr>
        <w:rPr>
          <w:rFonts w:ascii="Times New Roman" w:hAnsi="Times New Roman" w:eastAsia="等线" w:cs="Times New Roman"/>
          <w:sz w:val="20"/>
          <w:szCs w:val="20"/>
        </w:rPr>
      </w:pPr>
      <w:r>
        <w:rPr>
          <w:rFonts w:ascii="Times New Roman" w:hAnsi="Times New Roman" w:cs="Times New Roman"/>
          <w:b/>
          <w:bCs/>
          <w:color w:val="000000"/>
          <w:sz w:val="20"/>
          <w:szCs w:val="20"/>
        </w:rPr>
        <w:t xml:space="preserve">5.3 Exclusion criteria: </w:t>
      </w:r>
      <w:r>
        <w:rPr>
          <w:rFonts w:ascii="Times New Roman" w:hAnsi="Times New Roman" w:eastAsia="等线" w:cs="Times New Roman"/>
          <w:sz w:val="20"/>
          <w:szCs w:val="20"/>
        </w:rPr>
        <w:t>Act</w:t>
      </w:r>
      <w:r>
        <w:rPr>
          <w:rFonts w:ascii="Times New Roman" w:hAnsi="Times New Roman" w:cs="Times New Roman"/>
          <w:color w:val="000000"/>
          <w:sz w:val="20"/>
          <w:szCs w:val="20"/>
        </w:rPr>
        <w:t>ive suicidality, as indicated by a score of ≥ 3 on the suicide item of HDRS</w:t>
      </w:r>
      <w:r>
        <w:rPr>
          <w:rFonts w:ascii="Times New Roman" w:hAnsi="Times New Roman" w:cs="Times New Roman"/>
          <w:color w:val="000000"/>
          <w:sz w:val="20"/>
          <w:szCs w:val="20"/>
          <w:vertAlign w:val="subscript"/>
        </w:rPr>
        <w:t>17</w:t>
      </w:r>
      <w:r>
        <w:rPr>
          <w:rFonts w:ascii="Times New Roman" w:hAnsi="Times New Roman" w:cs="Times New Roman"/>
          <w:color w:val="000000"/>
          <w:sz w:val="20"/>
          <w:szCs w:val="20"/>
        </w:rPr>
        <w:t xml:space="preserve">; </w:t>
      </w:r>
      <w:r>
        <w:rPr>
          <w:rFonts w:ascii="Times New Roman" w:hAnsi="Times New Roman" w:eastAsia="等线" w:cs="Times New Roman"/>
          <w:sz w:val="20"/>
          <w:szCs w:val="20"/>
          <w:lang w:bidi="ar"/>
        </w:rPr>
        <w:t>unstable medical conditions; substance dependence or abuse; psychiatric or neurological diseases; exposure to other neuromodulation treatment within the last 6 months; psychoactive medications within the last 2 weeks; current psychotherapy; significant brain anatomical changes detected by MRI; contraindications to tACS or fMRI (e.g., metallic implants); pregnant or breastfeeding; currently participating in any other clinical trials.</w:t>
      </w:r>
    </w:p>
    <w:p w14:paraId="7EDC1786">
      <w:pPr>
        <w:rPr>
          <w:rFonts w:ascii="Times New Roman" w:hAnsi="Times New Roman" w:eastAsia="等线" w:cs="Times New Roman"/>
          <w:sz w:val="20"/>
          <w:szCs w:val="20"/>
          <w:lang w:bidi="ar"/>
        </w:rPr>
      </w:pPr>
      <w:r>
        <w:rPr>
          <w:rFonts w:ascii="Times New Roman" w:hAnsi="Times New Roman" w:cs="Times New Roman"/>
          <w:b/>
          <w:color w:val="000000"/>
          <w:sz w:val="20"/>
          <w:szCs w:val="20"/>
        </w:rPr>
        <w:t>5.4 Sample size calculation</w:t>
      </w:r>
      <w:r>
        <w:rPr>
          <w:rFonts w:ascii="Times New Roman" w:hAnsi="Times New Roman" w:cs="Times New Roman"/>
          <w:color w:val="000000"/>
          <w:sz w:val="20"/>
          <w:szCs w:val="20"/>
        </w:rPr>
        <w:t>:</w:t>
      </w:r>
      <w:r>
        <w:rPr>
          <w:rFonts w:ascii="Times New Roman" w:hAnsi="Times New Roman" w:cs="Times New Roman"/>
          <w:b/>
          <w:bCs/>
          <w:color w:val="000000"/>
          <w:sz w:val="20"/>
          <w:szCs w:val="20"/>
        </w:rPr>
        <w:t xml:space="preserve"> </w:t>
      </w:r>
      <w:r>
        <w:rPr>
          <w:rFonts w:ascii="Times New Roman" w:hAnsi="Times New Roman" w:eastAsia="等线" w:cs="Times New Roman"/>
          <w:sz w:val="20"/>
          <w:szCs w:val="20"/>
          <w:lang w:bidi="ar"/>
        </w:rPr>
        <w:t>The primary outcome was the response rate at week 6, defined as at least a 50% reduction in the total PSQI relative to baseline. According to the results of our pilot study, the response rates in the active and sham groups were 50% and 10%, respectively. With a 1:1 randomization, two-tailed α=0.05, and degree of confidence 80%, 2</w:t>
      </w:r>
      <w:r>
        <w:rPr>
          <w:rFonts w:hint="eastAsia" w:ascii="Times New Roman" w:hAnsi="Times New Roman" w:eastAsia="等线" w:cs="Times New Roman"/>
          <w:sz w:val="20"/>
          <w:szCs w:val="20"/>
          <w:lang w:bidi="ar"/>
        </w:rPr>
        <w:t>1</w:t>
      </w:r>
      <w:r>
        <w:rPr>
          <w:rFonts w:ascii="Times New Roman" w:hAnsi="Times New Roman" w:eastAsia="等线" w:cs="Times New Roman"/>
          <w:sz w:val="20"/>
          <w:szCs w:val="20"/>
          <w:lang w:bidi="ar"/>
        </w:rPr>
        <w:t xml:space="preserve"> subjects were estimated to be required for each group. Considering a possible dropout rate of 20% and block size of 4, the sample size was inflated to 28 per group.</w:t>
      </w:r>
    </w:p>
    <w:p w14:paraId="4DB263C5">
      <w:pPr>
        <w:widowControl/>
        <w:jc w:val="left"/>
        <w:rPr>
          <w:rFonts w:ascii="Times New Roman" w:hAnsi="Times New Roman" w:eastAsia="宋体" w:cs="Times New Roman"/>
          <w:b/>
          <w:bCs/>
          <w:color w:val="000000"/>
          <w:kern w:val="0"/>
          <w:sz w:val="24"/>
          <w:szCs w:val="24"/>
          <w:lang w:val="de-CH"/>
        </w:rPr>
      </w:pPr>
    </w:p>
    <w:p w14:paraId="798401B5">
      <w:pPr>
        <w:widowControl/>
        <w:jc w:val="left"/>
        <w:rPr>
          <w:rFonts w:ascii="Times New Roman" w:hAnsi="Times New Roman" w:eastAsia="宋体" w:cs="Times New Roman"/>
          <w:b/>
          <w:bCs/>
          <w:color w:val="000000"/>
          <w:kern w:val="0"/>
          <w:sz w:val="24"/>
          <w:szCs w:val="24"/>
          <w:lang w:val="de-CH"/>
        </w:rPr>
      </w:pPr>
    </w:p>
    <w:p w14:paraId="1BADE01C">
      <w:pPr>
        <w:widowControl/>
        <w:jc w:val="left"/>
        <w:rPr>
          <w:rFonts w:ascii="Times New Roman" w:hAnsi="Times New Roman" w:eastAsia="宋体" w:cs="Times New Roman"/>
          <w:b/>
          <w:bCs/>
          <w:color w:val="000000"/>
          <w:kern w:val="0"/>
          <w:sz w:val="24"/>
          <w:szCs w:val="24"/>
          <w:lang w:val="de-CH"/>
        </w:rPr>
      </w:pPr>
    </w:p>
    <w:p w14:paraId="2BBEDE10">
      <w:pPr>
        <w:widowControl/>
        <w:jc w:val="left"/>
        <w:rPr>
          <w:rFonts w:ascii="Times New Roman" w:hAnsi="Times New Roman" w:eastAsia="宋体" w:cs="Times New Roman"/>
          <w:b/>
          <w:bCs/>
          <w:color w:val="000000"/>
          <w:kern w:val="0"/>
          <w:sz w:val="24"/>
          <w:szCs w:val="24"/>
          <w:lang w:val="de-CH"/>
        </w:rPr>
      </w:pPr>
    </w:p>
    <w:p w14:paraId="18909610">
      <w:pPr>
        <w:widowControl/>
        <w:jc w:val="left"/>
        <w:rPr>
          <w:rFonts w:ascii="Times New Roman" w:hAnsi="Times New Roman" w:eastAsia="宋体" w:cs="Times New Roman"/>
          <w:b/>
          <w:bCs/>
          <w:color w:val="000000"/>
          <w:kern w:val="0"/>
          <w:szCs w:val="21"/>
          <w:lang w:val="de-CH"/>
        </w:rPr>
      </w:pPr>
      <w:r>
        <w:rPr>
          <w:rFonts w:ascii="Times New Roman" w:hAnsi="Times New Roman" w:eastAsia="宋体" w:cs="Times New Roman"/>
          <w:b/>
          <w:bCs/>
          <w:color w:val="000000"/>
          <w:kern w:val="0"/>
          <w:szCs w:val="21"/>
          <w:lang w:val="de-CH"/>
        </w:rPr>
        <w:t xml:space="preserve">Table </w:t>
      </w:r>
      <w:r>
        <w:rPr>
          <w:rFonts w:ascii="Times New Roman" w:hAnsi="Times New Roman" w:eastAsia="宋体" w:cs="Times New Roman"/>
          <w:b/>
          <w:bCs/>
          <w:color w:val="000000"/>
          <w:kern w:val="0"/>
          <w:szCs w:val="21"/>
        </w:rPr>
        <w:t>2.</w:t>
      </w:r>
      <w:r>
        <w:rPr>
          <w:rFonts w:ascii="Times New Roman" w:hAnsi="Times New Roman" w:eastAsia="宋体" w:cs="Times New Roman"/>
          <w:b/>
          <w:bCs/>
          <w:color w:val="000000"/>
          <w:kern w:val="0"/>
          <w:szCs w:val="21"/>
          <w:lang w:val="de-CH"/>
        </w:rPr>
        <w:t xml:space="preserve"> Demographic and clinical characteristics at baseline.</w:t>
      </w:r>
    </w:p>
    <w:tbl>
      <w:tblPr>
        <w:tblStyle w:val="12"/>
        <w:tblW w:w="0" w:type="auto"/>
        <w:jc w:val="center"/>
        <w:tblLayout w:type="autofit"/>
        <w:tblCellMar>
          <w:top w:w="0" w:type="dxa"/>
          <w:left w:w="108" w:type="dxa"/>
          <w:bottom w:w="0" w:type="dxa"/>
          <w:right w:w="108" w:type="dxa"/>
        </w:tblCellMar>
      </w:tblPr>
      <w:tblGrid>
        <w:gridCol w:w="4321"/>
        <w:gridCol w:w="986"/>
        <w:gridCol w:w="965"/>
        <w:gridCol w:w="944"/>
        <w:gridCol w:w="1186"/>
      </w:tblGrid>
      <w:tr w14:paraId="1B495E52">
        <w:tblPrEx>
          <w:tblCellMar>
            <w:top w:w="0" w:type="dxa"/>
            <w:left w:w="108" w:type="dxa"/>
            <w:bottom w:w="0" w:type="dxa"/>
            <w:right w:w="108" w:type="dxa"/>
          </w:tblCellMar>
        </w:tblPrEx>
        <w:trPr>
          <w:trHeight w:val="910" w:hRule="exact"/>
          <w:jc w:val="center"/>
        </w:trPr>
        <w:tc>
          <w:tcPr>
            <w:tcW w:w="4321" w:type="dxa"/>
            <w:tcBorders>
              <w:top w:val="single" w:color="auto" w:sz="4" w:space="0"/>
              <w:left w:val="nil"/>
              <w:bottom w:val="single" w:color="auto" w:sz="4" w:space="0"/>
              <w:right w:val="nil"/>
            </w:tcBorders>
          </w:tcPr>
          <w:p w14:paraId="2B04280B">
            <w:pPr>
              <w:keepNext w:val="0"/>
              <w:keepLines w:val="0"/>
              <w:widowControl/>
              <w:suppressLineNumbers w:val="0"/>
              <w:spacing w:before="0" w:beforeAutospacing="0" w:after="200" w:afterAutospacing="0"/>
              <w:ind w:left="0" w:right="0"/>
              <w:jc w:val="left"/>
              <w:rPr>
                <w:rFonts w:hint="default" w:ascii="Times New Roman" w:hAnsi="Times New Roman" w:cs="Times New Roman"/>
                <w:b/>
                <w:bCs/>
                <w:szCs w:val="21"/>
                <w:lang w:val="de-CH"/>
              </w:rPr>
            </w:pPr>
          </w:p>
          <w:p w14:paraId="508439B7">
            <w:pPr>
              <w:keepNext w:val="0"/>
              <w:keepLines w:val="0"/>
              <w:widowControl/>
              <w:suppressLineNumbers w:val="0"/>
              <w:spacing w:before="0" w:beforeAutospacing="0" w:after="200" w:afterAutospacing="0"/>
              <w:ind w:left="0" w:right="0"/>
              <w:jc w:val="left"/>
              <w:rPr>
                <w:rFonts w:hint="default" w:ascii="Times New Roman" w:hAnsi="Times New Roman" w:cs="Times New Roman"/>
                <w:b/>
                <w:bCs/>
                <w:szCs w:val="21"/>
                <w:lang w:val="de-CH"/>
              </w:rPr>
            </w:pPr>
          </w:p>
        </w:tc>
        <w:tc>
          <w:tcPr>
            <w:tcW w:w="986" w:type="dxa"/>
            <w:tcBorders>
              <w:top w:val="single" w:color="auto" w:sz="4" w:space="0"/>
              <w:left w:val="nil"/>
              <w:bottom w:val="single" w:color="auto" w:sz="4" w:space="0"/>
              <w:right w:val="nil"/>
            </w:tcBorders>
          </w:tcPr>
          <w:p w14:paraId="5E79E81C">
            <w:pPr>
              <w:keepNext w:val="0"/>
              <w:keepLines w:val="0"/>
              <w:widowControl/>
              <w:suppressLineNumbers w:val="0"/>
              <w:spacing w:before="0" w:beforeAutospacing="0" w:after="200" w:afterAutospacing="0"/>
              <w:ind w:left="0" w:right="0"/>
              <w:jc w:val="center"/>
              <w:rPr>
                <w:rFonts w:hint="default" w:ascii="Times New Roman" w:hAnsi="Times New Roman" w:eastAsia="宋体" w:cs="Times New Roman"/>
                <w:b/>
                <w:bCs/>
                <w:szCs w:val="21"/>
              </w:rPr>
            </w:pPr>
            <w:r>
              <w:rPr>
                <w:rFonts w:hint="default" w:ascii="Times New Roman" w:hAnsi="Times New Roman" w:eastAsia="宋体" w:cs="Times New Roman"/>
                <w:b/>
                <w:bCs/>
                <w:szCs w:val="21"/>
                <w:lang w:val="de-CH"/>
              </w:rPr>
              <w:t>Total</w:t>
            </w:r>
          </w:p>
          <w:p w14:paraId="75873ACF">
            <w:pPr>
              <w:keepNext w:val="0"/>
              <w:keepLines w:val="0"/>
              <w:widowControl/>
              <w:suppressLineNumbers w:val="0"/>
              <w:spacing w:before="0" w:beforeAutospacing="0" w:after="200" w:afterAutospacing="0"/>
              <w:ind w:left="0" w:right="0"/>
              <w:jc w:val="center"/>
              <w:rPr>
                <w:rFonts w:hint="default" w:ascii="Times New Roman" w:hAnsi="Times New Roman" w:eastAsia="宋体" w:cs="Times New Roman"/>
                <w:b/>
                <w:bCs/>
                <w:szCs w:val="21"/>
                <w:lang w:val="de-CH"/>
              </w:rPr>
            </w:pPr>
            <w:r>
              <w:rPr>
                <w:rFonts w:hint="default" w:ascii="Times New Roman" w:hAnsi="Times New Roman" w:eastAsia="宋体" w:cs="Times New Roman"/>
                <w:b/>
                <w:bCs/>
                <w:szCs w:val="21"/>
                <w:lang w:val="de-CH"/>
              </w:rPr>
              <w:t>(n=</w:t>
            </w:r>
            <w:r>
              <w:rPr>
                <w:rFonts w:hint="default" w:ascii="Times New Roman" w:hAnsi="Times New Roman" w:eastAsia="宋体" w:cs="Times New Roman"/>
                <w:b/>
                <w:bCs/>
                <w:szCs w:val="21"/>
              </w:rPr>
              <w:t>56</w:t>
            </w:r>
            <w:r>
              <w:rPr>
                <w:rFonts w:hint="default" w:ascii="Times New Roman" w:hAnsi="Times New Roman" w:eastAsia="宋体" w:cs="Times New Roman"/>
                <w:b/>
                <w:bCs/>
                <w:szCs w:val="21"/>
                <w:lang w:val="de-CH"/>
              </w:rPr>
              <w:t>)</w:t>
            </w:r>
          </w:p>
        </w:tc>
        <w:tc>
          <w:tcPr>
            <w:tcW w:w="965" w:type="dxa"/>
            <w:tcBorders>
              <w:top w:val="single" w:color="auto" w:sz="4" w:space="0"/>
              <w:left w:val="nil"/>
              <w:bottom w:val="single" w:color="auto" w:sz="4" w:space="0"/>
              <w:right w:val="nil"/>
            </w:tcBorders>
          </w:tcPr>
          <w:p w14:paraId="6D5C0A7B">
            <w:pPr>
              <w:keepNext w:val="0"/>
              <w:keepLines w:val="0"/>
              <w:widowControl/>
              <w:suppressLineNumbers w:val="0"/>
              <w:spacing w:before="0" w:beforeAutospacing="0" w:after="200" w:afterAutospacing="0"/>
              <w:ind w:left="0" w:right="0"/>
              <w:jc w:val="center"/>
              <w:rPr>
                <w:rFonts w:hint="default" w:ascii="Times New Roman" w:hAnsi="Times New Roman" w:eastAsia="宋体" w:cs="Times New Roman"/>
                <w:b/>
                <w:bCs/>
                <w:szCs w:val="21"/>
                <w:lang w:val="de-CH"/>
              </w:rPr>
            </w:pPr>
            <w:r>
              <w:rPr>
                <w:rFonts w:hint="default" w:ascii="Times New Roman" w:hAnsi="Times New Roman" w:eastAsia="宋体" w:cs="Times New Roman"/>
                <w:b/>
                <w:bCs/>
                <w:szCs w:val="21"/>
                <w:lang w:val="de-CH"/>
              </w:rPr>
              <w:t>Active</w:t>
            </w:r>
          </w:p>
          <w:p w14:paraId="47A36B7B">
            <w:pPr>
              <w:keepNext w:val="0"/>
              <w:keepLines w:val="0"/>
              <w:widowControl/>
              <w:suppressLineNumbers w:val="0"/>
              <w:spacing w:before="0" w:beforeAutospacing="0" w:after="200" w:afterAutospacing="0"/>
              <w:ind w:left="0" w:right="0"/>
              <w:jc w:val="center"/>
              <w:rPr>
                <w:rFonts w:hint="default" w:ascii="Times New Roman" w:hAnsi="Times New Roman" w:eastAsia="宋体" w:cs="Times New Roman"/>
                <w:b/>
                <w:bCs/>
                <w:szCs w:val="21"/>
                <w:lang w:val="de-CH"/>
              </w:rPr>
            </w:pPr>
            <w:r>
              <w:rPr>
                <w:rFonts w:hint="default" w:ascii="Times New Roman" w:hAnsi="Times New Roman" w:eastAsia="宋体" w:cs="Times New Roman"/>
                <w:b/>
                <w:bCs/>
                <w:szCs w:val="21"/>
                <w:lang w:val="de-CH"/>
              </w:rPr>
              <w:t>(n=28)</w:t>
            </w:r>
          </w:p>
        </w:tc>
        <w:tc>
          <w:tcPr>
            <w:tcW w:w="944" w:type="dxa"/>
            <w:tcBorders>
              <w:top w:val="single" w:color="auto" w:sz="4" w:space="0"/>
              <w:left w:val="nil"/>
              <w:bottom w:val="single" w:color="auto" w:sz="4" w:space="0"/>
              <w:right w:val="nil"/>
            </w:tcBorders>
          </w:tcPr>
          <w:p w14:paraId="5468F3C7">
            <w:pPr>
              <w:keepNext w:val="0"/>
              <w:keepLines w:val="0"/>
              <w:widowControl/>
              <w:suppressLineNumbers w:val="0"/>
              <w:spacing w:before="0" w:beforeAutospacing="0" w:after="200" w:afterAutospacing="0"/>
              <w:ind w:left="0" w:right="0"/>
              <w:jc w:val="center"/>
              <w:rPr>
                <w:rFonts w:hint="default" w:ascii="Times New Roman" w:hAnsi="Times New Roman" w:eastAsia="宋体" w:cs="Times New Roman"/>
                <w:b/>
                <w:bCs/>
                <w:szCs w:val="21"/>
                <w:lang w:val="de-CH"/>
              </w:rPr>
            </w:pPr>
            <w:r>
              <w:rPr>
                <w:rFonts w:hint="default" w:ascii="Times New Roman" w:hAnsi="Times New Roman" w:eastAsia="宋体" w:cs="Times New Roman"/>
                <w:b/>
                <w:bCs/>
                <w:szCs w:val="21"/>
                <w:lang w:val="de-CH"/>
              </w:rPr>
              <w:t>Sham</w:t>
            </w:r>
          </w:p>
          <w:p w14:paraId="723279ED">
            <w:pPr>
              <w:keepNext w:val="0"/>
              <w:keepLines w:val="0"/>
              <w:widowControl/>
              <w:suppressLineNumbers w:val="0"/>
              <w:spacing w:before="0" w:beforeAutospacing="0" w:after="200" w:afterAutospacing="0"/>
              <w:ind w:left="0" w:right="0"/>
              <w:jc w:val="center"/>
              <w:rPr>
                <w:rFonts w:hint="default" w:ascii="Times New Roman" w:hAnsi="Times New Roman" w:eastAsia="宋体" w:cs="Times New Roman"/>
                <w:b/>
                <w:bCs/>
                <w:szCs w:val="21"/>
                <w:lang w:val="de-CH"/>
              </w:rPr>
            </w:pPr>
            <w:r>
              <w:rPr>
                <w:rFonts w:hint="default" w:ascii="Times New Roman" w:hAnsi="Times New Roman" w:eastAsia="宋体" w:cs="Times New Roman"/>
                <w:b/>
                <w:bCs/>
                <w:szCs w:val="21"/>
                <w:lang w:val="de-CH"/>
              </w:rPr>
              <w:t>(n=28)</w:t>
            </w:r>
          </w:p>
        </w:tc>
        <w:tc>
          <w:tcPr>
            <w:tcW w:w="1186" w:type="dxa"/>
            <w:tcBorders>
              <w:top w:val="single" w:color="auto" w:sz="4" w:space="0"/>
              <w:left w:val="nil"/>
              <w:bottom w:val="single" w:color="auto" w:sz="4" w:space="0"/>
              <w:right w:val="nil"/>
            </w:tcBorders>
          </w:tcPr>
          <w:p w14:paraId="342E4A74">
            <w:pPr>
              <w:keepNext w:val="0"/>
              <w:keepLines w:val="0"/>
              <w:widowControl/>
              <w:suppressLineNumbers w:val="0"/>
              <w:spacing w:before="0" w:beforeAutospacing="0" w:after="200" w:afterAutospacing="0"/>
              <w:ind w:left="0" w:right="0"/>
              <w:jc w:val="center"/>
              <w:rPr>
                <w:rFonts w:hint="default" w:ascii="Times New Roman" w:hAnsi="Times New Roman" w:cs="Times New Roman"/>
                <w:b/>
                <w:bCs/>
                <w:szCs w:val="21"/>
                <w:lang w:val="de-CH"/>
              </w:rPr>
            </w:pPr>
            <w:r>
              <w:rPr>
                <w:rFonts w:hint="default" w:ascii="Times New Roman" w:hAnsi="Times New Roman" w:eastAsia="等线" w:cs="Times New Roman"/>
                <w:b/>
                <w:bCs/>
                <w:iCs/>
                <w:kern w:val="0"/>
                <w:szCs w:val="21"/>
                <w:lang w:val="de-CH" w:bidi="ar"/>
              </w:rPr>
              <w:t>p</w:t>
            </w:r>
            <w:r>
              <w:rPr>
                <w:rFonts w:hint="default" w:ascii="Times New Roman" w:hAnsi="Times New Roman" w:eastAsia="等线" w:cs="Times New Roman"/>
                <w:b/>
                <w:bCs/>
                <w:kern w:val="0"/>
                <w:szCs w:val="21"/>
                <w:lang w:val="de-CH" w:bidi="ar"/>
              </w:rPr>
              <w:t xml:space="preserve"> value</w:t>
            </w:r>
          </w:p>
        </w:tc>
      </w:tr>
      <w:tr w14:paraId="33DB0A49">
        <w:tblPrEx>
          <w:tblCellMar>
            <w:top w:w="0" w:type="dxa"/>
            <w:left w:w="108" w:type="dxa"/>
            <w:bottom w:w="0" w:type="dxa"/>
            <w:right w:w="108" w:type="dxa"/>
          </w:tblCellMar>
        </w:tblPrEx>
        <w:trPr>
          <w:trHeight w:val="283" w:hRule="exact"/>
          <w:jc w:val="center"/>
        </w:trPr>
        <w:tc>
          <w:tcPr>
            <w:tcW w:w="4321" w:type="dxa"/>
            <w:tcBorders>
              <w:top w:val="single" w:color="auto" w:sz="4" w:space="0"/>
              <w:left w:val="nil"/>
              <w:bottom w:val="nil"/>
              <w:right w:val="nil"/>
            </w:tcBorders>
          </w:tcPr>
          <w:p w14:paraId="25A3B7D5">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szCs w:val="21"/>
                <w:lang w:val="de-CH" w:bidi="ar"/>
              </w:rPr>
            </w:pPr>
            <w:r>
              <w:rPr>
                <w:rFonts w:hint="default" w:ascii="Times New Roman" w:hAnsi="Times New Roman" w:eastAsia="等线" w:cs="Times New Roman"/>
                <w:kern w:val="0"/>
                <w:szCs w:val="21"/>
                <w:lang w:val="de-CH" w:bidi="ar"/>
              </w:rPr>
              <w:t>Age, mean (SD), y</w:t>
            </w:r>
          </w:p>
        </w:tc>
        <w:tc>
          <w:tcPr>
            <w:tcW w:w="986" w:type="dxa"/>
            <w:tcBorders>
              <w:top w:val="single" w:color="auto" w:sz="4" w:space="0"/>
              <w:left w:val="nil"/>
              <w:bottom w:val="nil"/>
              <w:right w:val="nil"/>
            </w:tcBorders>
          </w:tcPr>
          <w:p w14:paraId="1EEE40EC">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Borders>
              <w:top w:val="single" w:color="auto" w:sz="4" w:space="0"/>
              <w:left w:val="nil"/>
              <w:bottom w:val="nil"/>
              <w:right w:val="nil"/>
            </w:tcBorders>
          </w:tcPr>
          <w:p w14:paraId="00D6CF45">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Borders>
              <w:top w:val="single" w:color="auto" w:sz="4" w:space="0"/>
              <w:left w:val="nil"/>
              <w:bottom w:val="nil"/>
              <w:right w:val="nil"/>
            </w:tcBorders>
          </w:tcPr>
          <w:p w14:paraId="0F259BB0">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Borders>
              <w:top w:val="single" w:color="auto" w:sz="4" w:space="0"/>
              <w:left w:val="nil"/>
              <w:bottom w:val="nil"/>
              <w:right w:val="nil"/>
            </w:tcBorders>
          </w:tcPr>
          <w:p w14:paraId="1D3383F8">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rPr>
            </w:pPr>
          </w:p>
        </w:tc>
      </w:tr>
      <w:tr w14:paraId="51DF0497">
        <w:tblPrEx>
          <w:tblCellMar>
            <w:top w:w="0" w:type="dxa"/>
            <w:left w:w="108" w:type="dxa"/>
            <w:bottom w:w="0" w:type="dxa"/>
            <w:right w:w="108" w:type="dxa"/>
          </w:tblCellMar>
        </w:tblPrEx>
        <w:trPr>
          <w:trHeight w:val="283" w:hRule="exact"/>
          <w:jc w:val="center"/>
        </w:trPr>
        <w:tc>
          <w:tcPr>
            <w:tcW w:w="4321" w:type="dxa"/>
          </w:tcPr>
          <w:p w14:paraId="58359E3D">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szCs w:val="21"/>
                <w:lang w:val="de-CH" w:bidi="ar"/>
              </w:rPr>
            </w:pPr>
            <w:r>
              <w:rPr>
                <w:rFonts w:hint="default" w:ascii="Times New Roman" w:hAnsi="Times New Roman" w:eastAsia="等线" w:cs="Times New Roman"/>
                <w:kern w:val="0"/>
                <w:szCs w:val="21"/>
                <w:lang w:val="de-CH" w:bidi="ar"/>
              </w:rPr>
              <w:t>Male, n (%)</w:t>
            </w:r>
          </w:p>
        </w:tc>
        <w:tc>
          <w:tcPr>
            <w:tcW w:w="986" w:type="dxa"/>
          </w:tcPr>
          <w:p w14:paraId="2032595C">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Pr>
          <w:p w14:paraId="105EB6AA">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Pr>
          <w:p w14:paraId="4DE377CC">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Pr>
          <w:p w14:paraId="2758DB59">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r w14:paraId="7AE52476">
        <w:tblPrEx>
          <w:tblCellMar>
            <w:top w:w="0" w:type="dxa"/>
            <w:left w:w="108" w:type="dxa"/>
            <w:bottom w:w="0" w:type="dxa"/>
            <w:right w:w="108" w:type="dxa"/>
          </w:tblCellMar>
        </w:tblPrEx>
        <w:trPr>
          <w:trHeight w:val="283" w:hRule="exact"/>
          <w:jc w:val="center"/>
        </w:trPr>
        <w:tc>
          <w:tcPr>
            <w:tcW w:w="4321" w:type="dxa"/>
          </w:tcPr>
          <w:p w14:paraId="4CFF3B2A">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szCs w:val="21"/>
                <w:lang w:val="de-CH" w:bidi="ar"/>
              </w:rPr>
            </w:pPr>
            <w:r>
              <w:rPr>
                <w:rFonts w:hint="default" w:ascii="Times New Roman" w:hAnsi="Times New Roman" w:eastAsia="等线" w:cs="Times New Roman"/>
                <w:kern w:val="0"/>
                <w:szCs w:val="21"/>
                <w:lang w:val="de-CH" w:bidi="ar"/>
              </w:rPr>
              <w:t>Married, n (%)</w:t>
            </w:r>
          </w:p>
        </w:tc>
        <w:tc>
          <w:tcPr>
            <w:tcW w:w="986" w:type="dxa"/>
          </w:tcPr>
          <w:p w14:paraId="3F2EC649">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Pr>
          <w:p w14:paraId="30D5944E">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Pr>
          <w:p w14:paraId="549FBF7E">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Pr>
          <w:p w14:paraId="42E6913E">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r w14:paraId="293C0610">
        <w:tblPrEx>
          <w:tblCellMar>
            <w:top w:w="0" w:type="dxa"/>
            <w:left w:w="108" w:type="dxa"/>
            <w:bottom w:w="0" w:type="dxa"/>
            <w:right w:w="108" w:type="dxa"/>
          </w:tblCellMar>
        </w:tblPrEx>
        <w:trPr>
          <w:trHeight w:val="283" w:hRule="exact"/>
          <w:jc w:val="center"/>
        </w:trPr>
        <w:tc>
          <w:tcPr>
            <w:tcW w:w="4321" w:type="dxa"/>
          </w:tcPr>
          <w:p w14:paraId="05B6ECF1">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szCs w:val="21"/>
                <w:lang w:val="de-CH" w:bidi="ar"/>
              </w:rPr>
            </w:pPr>
            <w:r>
              <w:rPr>
                <w:rFonts w:hint="default" w:ascii="Times New Roman" w:hAnsi="Times New Roman" w:eastAsia="等线" w:cs="Times New Roman"/>
                <w:kern w:val="0"/>
                <w:szCs w:val="21"/>
                <w:lang w:val="de-CH" w:bidi="ar"/>
              </w:rPr>
              <w:t>Education above high school, n (%)</w:t>
            </w:r>
          </w:p>
        </w:tc>
        <w:tc>
          <w:tcPr>
            <w:tcW w:w="986" w:type="dxa"/>
          </w:tcPr>
          <w:p w14:paraId="76309786">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Pr>
          <w:p w14:paraId="530A7950">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Pr>
          <w:p w14:paraId="1D80257E">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Pr>
          <w:p w14:paraId="1A398048">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r w14:paraId="6FF3790E">
        <w:tblPrEx>
          <w:tblCellMar>
            <w:top w:w="0" w:type="dxa"/>
            <w:left w:w="108" w:type="dxa"/>
            <w:bottom w:w="0" w:type="dxa"/>
            <w:right w:w="108" w:type="dxa"/>
          </w:tblCellMar>
        </w:tblPrEx>
        <w:trPr>
          <w:trHeight w:val="283" w:hRule="exact"/>
          <w:jc w:val="center"/>
        </w:trPr>
        <w:tc>
          <w:tcPr>
            <w:tcW w:w="4321" w:type="dxa"/>
          </w:tcPr>
          <w:p w14:paraId="5A0942D7">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szCs w:val="21"/>
                <w:lang w:val="de-CH" w:bidi="ar"/>
              </w:rPr>
            </w:pPr>
            <w:r>
              <w:rPr>
                <w:rFonts w:hint="default" w:ascii="Times New Roman" w:hAnsi="Times New Roman" w:eastAsia="等线" w:cs="Times New Roman"/>
                <w:kern w:val="0"/>
                <w:szCs w:val="21"/>
                <w:lang w:val="de-CH" w:bidi="ar"/>
              </w:rPr>
              <w:t>Being in regular work, n (%)</w:t>
            </w:r>
          </w:p>
        </w:tc>
        <w:tc>
          <w:tcPr>
            <w:tcW w:w="986" w:type="dxa"/>
          </w:tcPr>
          <w:p w14:paraId="6D3C2F98">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Pr>
          <w:p w14:paraId="7ADB0323">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Pr>
          <w:p w14:paraId="7653D8A2">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Pr>
          <w:p w14:paraId="36661566">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r w14:paraId="590CD547">
        <w:tblPrEx>
          <w:tblCellMar>
            <w:top w:w="0" w:type="dxa"/>
            <w:left w:w="108" w:type="dxa"/>
            <w:bottom w:w="0" w:type="dxa"/>
            <w:right w:w="108" w:type="dxa"/>
          </w:tblCellMar>
        </w:tblPrEx>
        <w:trPr>
          <w:trHeight w:val="283" w:hRule="exact"/>
          <w:jc w:val="center"/>
        </w:trPr>
        <w:tc>
          <w:tcPr>
            <w:tcW w:w="4321" w:type="dxa"/>
          </w:tcPr>
          <w:p w14:paraId="336AA35A">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color w:val="000000"/>
                <w:szCs w:val="21"/>
                <w:lang w:val="de-CH" w:bidi="ar"/>
              </w:rPr>
            </w:pPr>
            <w:r>
              <w:rPr>
                <w:rFonts w:hint="default" w:ascii="Times New Roman" w:hAnsi="Times New Roman" w:eastAsia="等线" w:cs="Times New Roman"/>
                <w:color w:val="000000"/>
                <w:kern w:val="0"/>
                <w:szCs w:val="21"/>
                <w:lang w:val="de-CH" w:bidi="ar"/>
              </w:rPr>
              <w:t>BMI, median (IQR)</w:t>
            </w:r>
            <w:r>
              <w:rPr>
                <w:rFonts w:hint="default" w:ascii="Times New Roman" w:hAnsi="Times New Roman" w:eastAsia="等线" w:cs="Times New Roman"/>
                <w:color w:val="000000"/>
                <w:kern w:val="0"/>
                <w:szCs w:val="21"/>
                <w:lang w:bidi="ar"/>
              </w:rPr>
              <w:t xml:space="preserve">, </w:t>
            </w:r>
            <w:r>
              <w:rPr>
                <w:rFonts w:hint="default" w:ascii="Times New Roman" w:hAnsi="Times New Roman" w:eastAsia="等线" w:cs="Times New Roman"/>
                <w:color w:val="000000"/>
                <w:kern w:val="0"/>
                <w:szCs w:val="21"/>
                <w:lang w:val="de-CH" w:bidi="ar"/>
              </w:rPr>
              <w:t>kg/m</w:t>
            </w:r>
            <w:r>
              <w:rPr>
                <w:rFonts w:hint="default" w:ascii="Times New Roman" w:hAnsi="Times New Roman" w:eastAsia="等线" w:cs="Times New Roman"/>
                <w:color w:val="000000"/>
                <w:kern w:val="0"/>
                <w:szCs w:val="21"/>
                <w:vertAlign w:val="superscript"/>
                <w:lang w:val="de-CH" w:bidi="ar"/>
              </w:rPr>
              <w:t>2</w:t>
            </w:r>
          </w:p>
        </w:tc>
        <w:tc>
          <w:tcPr>
            <w:tcW w:w="986" w:type="dxa"/>
          </w:tcPr>
          <w:p w14:paraId="347200AB">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Pr>
          <w:p w14:paraId="697658E2">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Pr>
          <w:p w14:paraId="64007601">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Pr>
          <w:p w14:paraId="037E2F2F">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r w14:paraId="0988DA36">
        <w:tblPrEx>
          <w:tblCellMar>
            <w:top w:w="0" w:type="dxa"/>
            <w:left w:w="108" w:type="dxa"/>
            <w:bottom w:w="0" w:type="dxa"/>
            <w:right w:w="108" w:type="dxa"/>
          </w:tblCellMar>
        </w:tblPrEx>
        <w:trPr>
          <w:trHeight w:val="283" w:hRule="exact"/>
          <w:jc w:val="center"/>
        </w:trPr>
        <w:tc>
          <w:tcPr>
            <w:tcW w:w="4321" w:type="dxa"/>
          </w:tcPr>
          <w:p w14:paraId="2FAEC644">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kern w:val="0"/>
                <w:szCs w:val="21"/>
                <w:lang w:val="de-CH" w:bidi="ar"/>
              </w:rPr>
            </w:pPr>
            <w:r>
              <w:rPr>
                <w:rFonts w:hint="default" w:ascii="Times New Roman" w:hAnsi="Times New Roman" w:eastAsia="等线" w:cs="Times New Roman"/>
                <w:kern w:val="0"/>
                <w:szCs w:val="21"/>
                <w:lang w:val="de-CH" w:bidi="ar"/>
              </w:rPr>
              <w:t>Total duration, median (IQR), m</w:t>
            </w:r>
          </w:p>
        </w:tc>
        <w:tc>
          <w:tcPr>
            <w:tcW w:w="986" w:type="dxa"/>
          </w:tcPr>
          <w:p w14:paraId="7BAF2357">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65" w:type="dxa"/>
          </w:tcPr>
          <w:p w14:paraId="63D40624">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44" w:type="dxa"/>
          </w:tcPr>
          <w:p w14:paraId="40EA44DD">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1186" w:type="dxa"/>
          </w:tcPr>
          <w:p w14:paraId="58D4AF21">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r>
      <w:tr w14:paraId="15DBB837">
        <w:tblPrEx>
          <w:tblCellMar>
            <w:top w:w="0" w:type="dxa"/>
            <w:left w:w="108" w:type="dxa"/>
            <w:bottom w:w="0" w:type="dxa"/>
            <w:right w:w="108" w:type="dxa"/>
          </w:tblCellMar>
        </w:tblPrEx>
        <w:trPr>
          <w:trHeight w:val="283" w:hRule="exact"/>
          <w:jc w:val="center"/>
        </w:trPr>
        <w:tc>
          <w:tcPr>
            <w:tcW w:w="4321" w:type="dxa"/>
          </w:tcPr>
          <w:p w14:paraId="1EDDF572">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kern w:val="0"/>
                <w:szCs w:val="21"/>
                <w:lang w:val="de-CH" w:bidi="ar"/>
              </w:rPr>
            </w:pPr>
            <w:r>
              <w:rPr>
                <w:rFonts w:hint="default" w:ascii="Times New Roman" w:hAnsi="Times New Roman" w:eastAsia="等线" w:cs="Times New Roman"/>
                <w:kern w:val="0"/>
                <w:szCs w:val="21"/>
                <w:lang w:val="de-CH" w:bidi="ar"/>
              </w:rPr>
              <w:t>Current duration, median (IQR), m</w:t>
            </w:r>
          </w:p>
        </w:tc>
        <w:tc>
          <w:tcPr>
            <w:tcW w:w="986" w:type="dxa"/>
          </w:tcPr>
          <w:p w14:paraId="4B8ABF1A">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65" w:type="dxa"/>
          </w:tcPr>
          <w:p w14:paraId="418A4067">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44" w:type="dxa"/>
          </w:tcPr>
          <w:p w14:paraId="738F83F5">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1186" w:type="dxa"/>
          </w:tcPr>
          <w:p w14:paraId="43C830F3">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r>
      <w:tr w14:paraId="7052E45D">
        <w:tblPrEx>
          <w:tblCellMar>
            <w:top w:w="0" w:type="dxa"/>
            <w:left w:w="108" w:type="dxa"/>
            <w:bottom w:w="0" w:type="dxa"/>
            <w:right w:w="108" w:type="dxa"/>
          </w:tblCellMar>
        </w:tblPrEx>
        <w:trPr>
          <w:trHeight w:val="319" w:hRule="exact"/>
          <w:jc w:val="center"/>
        </w:trPr>
        <w:tc>
          <w:tcPr>
            <w:tcW w:w="4321" w:type="dxa"/>
          </w:tcPr>
          <w:p w14:paraId="70FA2E20">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kern w:val="0"/>
                <w:szCs w:val="21"/>
                <w:lang w:val="de-CH" w:bidi="ar"/>
              </w:rPr>
            </w:pPr>
            <w:r>
              <w:rPr>
                <w:rFonts w:hint="default" w:ascii="Times New Roman" w:hAnsi="Times New Roman" w:eastAsia="等线" w:cs="Times New Roman"/>
                <w:kern w:val="0"/>
                <w:szCs w:val="21"/>
                <w:lang w:val="de-CH" w:bidi="ar"/>
              </w:rPr>
              <w:t>Alcohol/drug abuse, n (%)</w:t>
            </w:r>
          </w:p>
        </w:tc>
        <w:tc>
          <w:tcPr>
            <w:tcW w:w="986" w:type="dxa"/>
          </w:tcPr>
          <w:p w14:paraId="1EE465CE">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65" w:type="dxa"/>
          </w:tcPr>
          <w:p w14:paraId="2A1AC1F3">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44" w:type="dxa"/>
          </w:tcPr>
          <w:p w14:paraId="22B45656">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1186" w:type="dxa"/>
          </w:tcPr>
          <w:p w14:paraId="525A4AEF">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r>
      <w:tr w14:paraId="136ADF50">
        <w:tblPrEx>
          <w:tblCellMar>
            <w:top w:w="0" w:type="dxa"/>
            <w:left w:w="108" w:type="dxa"/>
            <w:bottom w:w="0" w:type="dxa"/>
            <w:right w:w="108" w:type="dxa"/>
          </w:tblCellMar>
        </w:tblPrEx>
        <w:trPr>
          <w:trHeight w:val="283" w:hRule="exact"/>
          <w:jc w:val="center"/>
        </w:trPr>
        <w:tc>
          <w:tcPr>
            <w:tcW w:w="4321" w:type="dxa"/>
          </w:tcPr>
          <w:p w14:paraId="3BB14C58">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kern w:val="0"/>
                <w:szCs w:val="21"/>
                <w:lang w:val="de-CH" w:bidi="ar"/>
              </w:rPr>
            </w:pPr>
            <w:r>
              <w:rPr>
                <w:rFonts w:hint="default" w:ascii="Times New Roman" w:hAnsi="Times New Roman" w:eastAsia="等线" w:cs="Times New Roman"/>
                <w:kern w:val="0"/>
                <w:szCs w:val="21"/>
                <w:lang w:val="de-CH" w:bidi="ar"/>
              </w:rPr>
              <w:t>Total P</w:t>
            </w:r>
            <w:r>
              <w:rPr>
                <w:rFonts w:hint="default" w:ascii="Times New Roman" w:hAnsi="Times New Roman" w:eastAsia="等线" w:cs="Times New Roman"/>
                <w:kern w:val="0"/>
                <w:szCs w:val="21"/>
                <w:lang w:bidi="ar"/>
              </w:rPr>
              <w:t>SQI</w:t>
            </w:r>
            <w:r>
              <w:rPr>
                <w:rFonts w:hint="default" w:ascii="Times New Roman" w:hAnsi="Times New Roman" w:eastAsia="等线" w:cs="Times New Roman"/>
                <w:kern w:val="0"/>
                <w:szCs w:val="21"/>
                <w:lang w:val="de-CH" w:bidi="ar"/>
              </w:rPr>
              <w:t>, mean (SD)</w:t>
            </w:r>
          </w:p>
        </w:tc>
        <w:tc>
          <w:tcPr>
            <w:tcW w:w="986" w:type="dxa"/>
          </w:tcPr>
          <w:p w14:paraId="4DFE7332">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65" w:type="dxa"/>
          </w:tcPr>
          <w:p w14:paraId="6518C4BE">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44" w:type="dxa"/>
          </w:tcPr>
          <w:p w14:paraId="20A42CFC">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1186" w:type="dxa"/>
          </w:tcPr>
          <w:p w14:paraId="4BDBE563">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r>
      <w:tr w14:paraId="3A04E1D4">
        <w:tblPrEx>
          <w:tblCellMar>
            <w:top w:w="0" w:type="dxa"/>
            <w:left w:w="108" w:type="dxa"/>
            <w:bottom w:w="0" w:type="dxa"/>
            <w:right w:w="108" w:type="dxa"/>
          </w:tblCellMar>
        </w:tblPrEx>
        <w:trPr>
          <w:trHeight w:val="283" w:hRule="exact"/>
          <w:jc w:val="center"/>
        </w:trPr>
        <w:tc>
          <w:tcPr>
            <w:tcW w:w="4321" w:type="dxa"/>
          </w:tcPr>
          <w:p w14:paraId="235BD07D">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kern w:val="0"/>
                <w:szCs w:val="21"/>
                <w:lang w:val="de-CH" w:bidi="ar"/>
              </w:rPr>
            </w:pPr>
            <w:r>
              <w:rPr>
                <w:rFonts w:hint="default" w:ascii="Times New Roman" w:hAnsi="Times New Roman" w:eastAsia="等线" w:cs="Times New Roman"/>
                <w:kern w:val="0"/>
                <w:szCs w:val="21"/>
                <w:lang w:val="de-CH" w:bidi="ar"/>
              </w:rPr>
              <w:t>Total HDRS</w:t>
            </w:r>
            <w:r>
              <w:rPr>
                <w:rFonts w:hint="default" w:ascii="Times New Roman" w:hAnsi="Times New Roman" w:eastAsia="等线" w:cs="Times New Roman"/>
                <w:kern w:val="0"/>
                <w:szCs w:val="21"/>
                <w:vertAlign w:val="subscript"/>
                <w:lang w:val="de-CH" w:bidi="ar"/>
              </w:rPr>
              <w:t>17</w:t>
            </w:r>
            <w:r>
              <w:rPr>
                <w:rFonts w:hint="default" w:ascii="Times New Roman" w:hAnsi="Times New Roman" w:eastAsia="等线" w:cs="Times New Roman"/>
                <w:kern w:val="0"/>
                <w:szCs w:val="21"/>
                <w:lang w:val="de-CH" w:bidi="ar"/>
              </w:rPr>
              <w:t>, mean (SD)</w:t>
            </w:r>
          </w:p>
        </w:tc>
        <w:tc>
          <w:tcPr>
            <w:tcW w:w="986" w:type="dxa"/>
          </w:tcPr>
          <w:p w14:paraId="0514866D">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65" w:type="dxa"/>
          </w:tcPr>
          <w:p w14:paraId="0FD22EC7">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44" w:type="dxa"/>
          </w:tcPr>
          <w:p w14:paraId="088921FE">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1186" w:type="dxa"/>
          </w:tcPr>
          <w:p w14:paraId="68BCDD6F">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r>
      <w:tr w14:paraId="48CE5C40">
        <w:tblPrEx>
          <w:tblCellMar>
            <w:top w:w="0" w:type="dxa"/>
            <w:left w:w="108" w:type="dxa"/>
            <w:bottom w:w="0" w:type="dxa"/>
            <w:right w:w="108" w:type="dxa"/>
          </w:tblCellMar>
        </w:tblPrEx>
        <w:trPr>
          <w:trHeight w:val="283" w:hRule="exact"/>
          <w:jc w:val="center"/>
        </w:trPr>
        <w:tc>
          <w:tcPr>
            <w:tcW w:w="4321" w:type="dxa"/>
          </w:tcPr>
          <w:p w14:paraId="29B92494">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kern w:val="0"/>
                <w:szCs w:val="21"/>
                <w:lang w:val="de-CH" w:bidi="ar"/>
              </w:rPr>
            </w:pPr>
            <w:r>
              <w:rPr>
                <w:rFonts w:hint="default" w:ascii="Times New Roman" w:hAnsi="Times New Roman" w:eastAsia="等线" w:cs="Times New Roman"/>
                <w:kern w:val="0"/>
                <w:szCs w:val="21"/>
                <w:lang w:val="de-CH" w:bidi="ar"/>
              </w:rPr>
              <w:t>Total HARS, mean (SD)</w:t>
            </w:r>
          </w:p>
        </w:tc>
        <w:tc>
          <w:tcPr>
            <w:tcW w:w="986" w:type="dxa"/>
          </w:tcPr>
          <w:p w14:paraId="2044FD34">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65" w:type="dxa"/>
          </w:tcPr>
          <w:p w14:paraId="1F9FE040">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944" w:type="dxa"/>
          </w:tcPr>
          <w:p w14:paraId="22B69654">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c>
          <w:tcPr>
            <w:tcW w:w="1186" w:type="dxa"/>
          </w:tcPr>
          <w:p w14:paraId="394DF2E2">
            <w:pPr>
              <w:keepNext w:val="0"/>
              <w:keepLines w:val="0"/>
              <w:widowControl/>
              <w:suppressLineNumbers w:val="0"/>
              <w:spacing w:before="0" w:beforeAutospacing="0" w:after="200" w:afterAutospacing="0"/>
              <w:ind w:left="0" w:right="0"/>
              <w:jc w:val="center"/>
              <w:rPr>
                <w:rFonts w:hint="default" w:ascii="Times New Roman" w:hAnsi="Times New Roman" w:eastAsia="等线" w:cs="Times New Roman"/>
                <w:kern w:val="0"/>
                <w:szCs w:val="21"/>
                <w:lang w:val="de-CH" w:bidi="ar"/>
              </w:rPr>
            </w:pPr>
          </w:p>
        </w:tc>
      </w:tr>
      <w:tr w14:paraId="03ABD25D">
        <w:tblPrEx>
          <w:tblCellMar>
            <w:top w:w="0" w:type="dxa"/>
            <w:left w:w="108" w:type="dxa"/>
            <w:bottom w:w="0" w:type="dxa"/>
            <w:right w:w="108" w:type="dxa"/>
          </w:tblCellMar>
        </w:tblPrEx>
        <w:trPr>
          <w:trHeight w:val="283" w:hRule="exact"/>
          <w:jc w:val="center"/>
        </w:trPr>
        <w:tc>
          <w:tcPr>
            <w:tcW w:w="4321" w:type="dxa"/>
            <w:tcBorders>
              <w:top w:val="nil"/>
              <w:left w:val="nil"/>
              <w:bottom w:val="nil"/>
              <w:right w:val="nil"/>
            </w:tcBorders>
          </w:tcPr>
          <w:p w14:paraId="2F096302">
            <w:pPr>
              <w:keepNext w:val="0"/>
              <w:keepLines w:val="0"/>
              <w:widowControl/>
              <w:suppressLineNumbers w:val="0"/>
              <w:spacing w:before="0" w:beforeAutospacing="0" w:after="200" w:afterAutospacing="0"/>
              <w:ind w:left="0" w:right="0"/>
              <w:jc w:val="left"/>
              <w:rPr>
                <w:rFonts w:hint="default" w:ascii="Times New Roman" w:hAnsi="Times New Roman" w:eastAsia="等线" w:cs="Times New Roman"/>
                <w:szCs w:val="21"/>
                <w:lang w:val="de-CH" w:bidi="ar"/>
              </w:rPr>
            </w:pPr>
            <w:r>
              <w:rPr>
                <w:rFonts w:hint="default" w:ascii="Times New Roman" w:hAnsi="Times New Roman" w:eastAsia="等线" w:cs="Times New Roman"/>
                <w:kern w:val="0"/>
                <w:szCs w:val="21"/>
                <w:lang w:bidi="ar"/>
              </w:rPr>
              <w:t>T</w:t>
            </w:r>
            <w:r>
              <w:rPr>
                <w:rFonts w:hint="default" w:ascii="Times New Roman" w:hAnsi="Times New Roman" w:eastAsia="等线" w:cs="Times New Roman"/>
                <w:kern w:val="0"/>
                <w:szCs w:val="21"/>
                <w:lang w:val="de-CH" w:bidi="ar"/>
              </w:rPr>
              <w:t>otal</w:t>
            </w:r>
            <w:r>
              <w:rPr>
                <w:rFonts w:hint="default" w:ascii="Times New Roman" w:hAnsi="Times New Roman" w:eastAsia="等线" w:cs="Times New Roman"/>
                <w:kern w:val="0"/>
                <w:szCs w:val="21"/>
                <w:lang w:bidi="ar"/>
              </w:rPr>
              <w:t xml:space="preserve"> </w:t>
            </w:r>
            <w:r>
              <w:rPr>
                <w:rFonts w:hint="default" w:ascii="Times New Roman" w:hAnsi="Times New Roman" w:eastAsia="等线" w:cs="Times New Roman"/>
                <w:kern w:val="0"/>
                <w:szCs w:val="21"/>
                <w:lang w:val="de-CH" w:bidi="ar"/>
              </w:rPr>
              <w:t>PDQ-D, mean (SD)</w:t>
            </w:r>
          </w:p>
        </w:tc>
        <w:tc>
          <w:tcPr>
            <w:tcW w:w="986" w:type="dxa"/>
            <w:tcBorders>
              <w:top w:val="nil"/>
              <w:left w:val="nil"/>
              <w:bottom w:val="nil"/>
              <w:right w:val="nil"/>
            </w:tcBorders>
          </w:tcPr>
          <w:p w14:paraId="5411AC4C">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65" w:type="dxa"/>
            <w:tcBorders>
              <w:top w:val="nil"/>
              <w:left w:val="nil"/>
              <w:bottom w:val="nil"/>
              <w:right w:val="nil"/>
            </w:tcBorders>
          </w:tcPr>
          <w:p w14:paraId="5F34FCB0">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944" w:type="dxa"/>
            <w:tcBorders>
              <w:top w:val="nil"/>
              <w:left w:val="nil"/>
              <w:bottom w:val="nil"/>
              <w:right w:val="nil"/>
            </w:tcBorders>
          </w:tcPr>
          <w:p w14:paraId="7B096BEA">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c>
          <w:tcPr>
            <w:tcW w:w="1186" w:type="dxa"/>
            <w:tcBorders>
              <w:top w:val="nil"/>
              <w:left w:val="nil"/>
              <w:bottom w:val="nil"/>
              <w:right w:val="nil"/>
            </w:tcBorders>
          </w:tcPr>
          <w:p w14:paraId="5393C3E1">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r w14:paraId="0D28AA4C">
        <w:tblPrEx>
          <w:tblCellMar>
            <w:top w:w="0" w:type="dxa"/>
            <w:left w:w="108" w:type="dxa"/>
            <w:bottom w:w="0" w:type="dxa"/>
            <w:right w:w="108" w:type="dxa"/>
          </w:tblCellMar>
        </w:tblPrEx>
        <w:trPr>
          <w:trHeight w:val="283" w:hRule="exact"/>
          <w:jc w:val="center"/>
        </w:trPr>
        <w:tc>
          <w:tcPr>
            <w:tcW w:w="4321" w:type="dxa"/>
            <w:tcBorders>
              <w:top w:val="nil"/>
              <w:left w:val="nil"/>
              <w:bottom w:val="single" w:color="auto" w:sz="4" w:space="0"/>
              <w:right w:val="nil"/>
            </w:tcBorders>
            <w:vAlign w:val="top"/>
          </w:tcPr>
          <w:p w14:paraId="10F660E8">
            <w:pPr>
              <w:keepNext w:val="0"/>
              <w:keepLines w:val="0"/>
              <w:suppressLineNumbers w:val="0"/>
              <w:spacing w:before="0" w:beforeAutospacing="0" w:after="0" w:afterAutospacing="0"/>
              <w:ind w:left="0" w:right="0"/>
              <w:jc w:val="both"/>
              <w:rPr>
                <w:rFonts w:hint="default" w:ascii="Times New Roman" w:hAnsi="Times New Roman" w:eastAsia="宋体" w:cs="Times New Roman"/>
                <w:kern w:val="2"/>
                <w:sz w:val="20"/>
                <w:szCs w:val="20"/>
                <w:lang w:val="en-US" w:eastAsia="zh-CN" w:bidi="ar-SA"/>
              </w:rPr>
            </w:pPr>
            <w:r>
              <w:rPr>
                <w:rFonts w:hint="default" w:ascii="Times New Roman" w:hAnsi="Times New Roman" w:eastAsia="等线" w:cs="Times New Roman"/>
                <w:kern w:val="0"/>
                <w:szCs w:val="21"/>
                <w:lang w:bidi="ar"/>
              </w:rPr>
              <w:t>T</w:t>
            </w:r>
            <w:r>
              <w:rPr>
                <w:rFonts w:hint="default" w:ascii="Times New Roman" w:hAnsi="Times New Roman" w:eastAsia="等线" w:cs="Times New Roman"/>
                <w:kern w:val="0"/>
                <w:szCs w:val="21"/>
                <w:lang w:val="de-CH" w:bidi="ar"/>
              </w:rPr>
              <w:t>otal</w:t>
            </w:r>
            <w:r>
              <w:rPr>
                <w:rFonts w:hint="default" w:ascii="Times New Roman" w:hAnsi="Times New Roman" w:eastAsia="等线" w:cs="Times New Roman"/>
                <w:kern w:val="0"/>
                <w:szCs w:val="21"/>
                <w:lang w:bidi="ar"/>
              </w:rPr>
              <w:t xml:space="preserve"> </w:t>
            </w:r>
            <w:r>
              <w:rPr>
                <w:rFonts w:hint="default" w:ascii="Times New Roman" w:hAnsi="Times New Roman" w:eastAsia="等线" w:cs="Times New Roman"/>
                <w:kern w:val="2"/>
                <w:sz w:val="21"/>
                <w:szCs w:val="21"/>
                <w:lang w:val="en-US" w:eastAsia="zh-CN" w:bidi="ar"/>
              </w:rPr>
              <w:t>CERQ</w:t>
            </w:r>
            <w:r>
              <w:rPr>
                <w:rFonts w:hint="eastAsia" w:ascii="Times New Roman" w:hAnsi="Times New Roman" w:eastAsia="等线" w:cs="Times New Roman"/>
                <w:kern w:val="2"/>
                <w:sz w:val="21"/>
                <w:szCs w:val="21"/>
                <w:lang w:val="en-US" w:eastAsia="zh-CN" w:bidi="ar"/>
              </w:rPr>
              <w:t xml:space="preserve"> rumination subscale</w:t>
            </w:r>
            <w:r>
              <w:rPr>
                <w:rFonts w:hint="default" w:ascii="Times New Roman" w:hAnsi="Times New Roman" w:eastAsia="等线" w:cs="Times New Roman"/>
                <w:kern w:val="0"/>
                <w:szCs w:val="21"/>
                <w:lang w:val="de-CH" w:bidi="ar"/>
              </w:rPr>
              <w:t>, mean (SD)</w:t>
            </w:r>
          </w:p>
        </w:tc>
        <w:tc>
          <w:tcPr>
            <w:tcW w:w="986" w:type="dxa"/>
            <w:tcBorders>
              <w:top w:val="nil"/>
              <w:left w:val="nil"/>
              <w:bottom w:val="single" w:color="auto" w:sz="4" w:space="0"/>
              <w:right w:val="nil"/>
            </w:tcBorders>
            <w:vAlign w:val="top"/>
          </w:tcPr>
          <w:p w14:paraId="1149E166">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de-CH" w:eastAsia="zh-CN" w:bidi="ar-SA"/>
              </w:rPr>
            </w:pPr>
          </w:p>
        </w:tc>
        <w:tc>
          <w:tcPr>
            <w:tcW w:w="965" w:type="dxa"/>
            <w:tcBorders>
              <w:top w:val="nil"/>
              <w:left w:val="nil"/>
              <w:bottom w:val="single" w:color="auto" w:sz="4" w:space="0"/>
              <w:right w:val="nil"/>
            </w:tcBorders>
            <w:vAlign w:val="top"/>
          </w:tcPr>
          <w:p w14:paraId="5C47A5F6">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de-CH" w:eastAsia="zh-CN" w:bidi="ar-SA"/>
              </w:rPr>
            </w:pPr>
          </w:p>
        </w:tc>
        <w:tc>
          <w:tcPr>
            <w:tcW w:w="944" w:type="dxa"/>
            <w:tcBorders>
              <w:top w:val="nil"/>
              <w:left w:val="nil"/>
              <w:bottom w:val="single" w:color="auto" w:sz="4" w:space="0"/>
              <w:right w:val="nil"/>
            </w:tcBorders>
            <w:vAlign w:val="top"/>
          </w:tcPr>
          <w:p w14:paraId="78C12DF4">
            <w:pPr>
              <w:keepNext w:val="0"/>
              <w:keepLines w:val="0"/>
              <w:suppressLineNumbers w:val="0"/>
              <w:spacing w:before="0" w:beforeAutospacing="0" w:after="0" w:afterAutospacing="0"/>
              <w:ind w:left="0" w:right="0"/>
              <w:jc w:val="center"/>
              <w:rPr>
                <w:rFonts w:hint="default" w:ascii="Times New Roman" w:hAnsi="Times New Roman" w:eastAsia="宋体" w:cs="Times New Roman"/>
                <w:kern w:val="2"/>
                <w:sz w:val="20"/>
                <w:szCs w:val="20"/>
                <w:lang w:val="de-CH" w:eastAsia="zh-CN" w:bidi="ar-SA"/>
              </w:rPr>
            </w:pPr>
          </w:p>
        </w:tc>
        <w:tc>
          <w:tcPr>
            <w:tcW w:w="1186" w:type="dxa"/>
            <w:tcBorders>
              <w:top w:val="nil"/>
              <w:left w:val="nil"/>
              <w:bottom w:val="single" w:color="auto" w:sz="4" w:space="0"/>
              <w:right w:val="nil"/>
            </w:tcBorders>
          </w:tcPr>
          <w:p w14:paraId="4F7E45C4">
            <w:pPr>
              <w:keepNext w:val="0"/>
              <w:keepLines w:val="0"/>
              <w:widowControl/>
              <w:suppressLineNumbers w:val="0"/>
              <w:spacing w:before="0" w:beforeAutospacing="0" w:after="200" w:afterAutospacing="0"/>
              <w:ind w:left="0" w:right="0"/>
              <w:jc w:val="center"/>
              <w:rPr>
                <w:rFonts w:hint="default" w:ascii="Times New Roman" w:hAnsi="Times New Roman" w:cs="Times New Roman"/>
                <w:szCs w:val="21"/>
                <w:lang w:val="de-CH"/>
              </w:rPr>
            </w:pPr>
          </w:p>
        </w:tc>
      </w:tr>
    </w:tbl>
    <w:p w14:paraId="31D7E205">
      <w:pPr>
        <w:spacing w:line="360" w:lineRule="auto"/>
        <w:rPr>
          <w:rFonts w:ascii="Times New Roman" w:hAnsi="Times New Roman" w:eastAsia="等线" w:cs="Times New Roman"/>
          <w:szCs w:val="21"/>
        </w:rPr>
      </w:pPr>
    </w:p>
    <w:p w14:paraId="4C7DCE16">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Intervention</w:t>
      </w:r>
    </w:p>
    <w:p w14:paraId="19D9A81D">
      <w:pPr>
        <w:rPr>
          <w:rFonts w:ascii="Times New Roman" w:hAnsi="Times New Roman" w:eastAsia="宋体" w:cs="Times New Roman"/>
          <w:color w:val="000000"/>
          <w:kern w:val="0"/>
          <w:sz w:val="20"/>
          <w:szCs w:val="20"/>
        </w:rPr>
      </w:pPr>
      <w:r>
        <w:rPr>
          <w:rFonts w:ascii="Times New Roman" w:hAnsi="Times New Roman" w:eastAsia="宋体" w:cs="Times New Roman"/>
          <w:color w:val="000000"/>
          <w:kern w:val="0"/>
          <w:sz w:val="20"/>
          <w:szCs w:val="20"/>
        </w:rPr>
        <w:t>t</w:t>
      </w:r>
      <w:r>
        <w:rPr>
          <w:rFonts w:ascii="Times New Roman" w:hAnsi="Times New Roman" w:eastAsia="等线" w:cs="Times New Roman"/>
          <w:sz w:val="20"/>
          <w:szCs w:val="20"/>
        </w:rPr>
        <w:t>ACS treatment will be administered using a 4×1 HD transcranial electrical stimulation system (Volcan Medical, Nanjing, China). The equipment used in this study has been approved by the National Medical Products Administration (Registration NO: 20202091106). The system includes five sintered 12 mm diameter Ag/AgCl electrodes attached to custom high-definition plastic holders, filled with conductive gel, and embedded in a BrainCap.</w:t>
      </w:r>
    </w:p>
    <w:p w14:paraId="41DD8419">
      <w:pPr>
        <w:rPr>
          <w:rFonts w:ascii="Times New Roman" w:hAnsi="Times New Roman" w:eastAsia="等线" w:cs="Times New Roman"/>
          <w:sz w:val="20"/>
          <w:szCs w:val="20"/>
        </w:rPr>
      </w:pPr>
      <w:r>
        <w:rPr>
          <w:rFonts w:ascii="Times New Roman" w:hAnsi="Times New Roman" w:eastAsia="等线" w:cs="Times New Roman"/>
          <w:sz w:val="20"/>
          <w:szCs w:val="20"/>
        </w:rPr>
        <w:t>The central electrode will be positioned at Pz and the surrounding electrodes at CPz, P1, P2, and POz according to the International 10-20 EEG system. tACS stimulation will be delivered with a 2 mA alpha frequency (10 Hz) bipolar sinusoidal current. The impedance should be kept below 15 kΩ using a conductive paste. Sham tACS will be delivered using the same protocol, but lasted only one</w:t>
      </w:r>
      <w:r>
        <w:rPr>
          <w:rFonts w:hint="eastAsia" w:ascii="Times New Roman" w:hAnsi="Times New Roman" w:eastAsia="等线" w:cs="Times New Roman"/>
          <w:sz w:val="20"/>
          <w:szCs w:val="20"/>
        </w:rPr>
        <w:t xml:space="preserve"> min</w:t>
      </w:r>
      <w:r>
        <w:rPr>
          <w:rFonts w:ascii="Times New Roman" w:hAnsi="Times New Roman" w:eastAsia="等线" w:cs="Times New Roman"/>
          <w:sz w:val="20"/>
          <w:szCs w:val="20"/>
        </w:rPr>
        <w:t>ute and ramped up and down at the beginning and end of the 30 min period. A total of 10 sessions will be conducted for each participant over two consecutive weeks (30 min per session, once daily from Monday through Friday, with weekends off).</w:t>
      </w:r>
    </w:p>
    <w:p w14:paraId="66BF2B6D">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Assessments and outcomes</w:t>
      </w:r>
    </w:p>
    <w:p w14:paraId="50216ADE">
      <w:pPr>
        <w:rPr>
          <w:rFonts w:ascii="Times New Roman" w:hAnsi="Times New Roman" w:cs="Times New Roman"/>
          <w:b/>
          <w:color w:val="4F81BD" w:themeColor="accent1"/>
          <w:sz w:val="24"/>
          <w:szCs w:val="24"/>
          <w14:textFill>
            <w14:solidFill>
              <w14:schemeClr w14:val="accent1"/>
            </w14:solidFill>
          </w14:textFill>
        </w:rPr>
      </w:pPr>
      <w:r>
        <w:rPr>
          <w:rFonts w:ascii="Times New Roman" w:hAnsi="Times New Roman" w:cs="Times New Roman"/>
          <w:b/>
          <w:color w:val="4F81BD" w:themeColor="accent1"/>
          <w:sz w:val="24"/>
          <w:szCs w:val="24"/>
          <w14:textFill>
            <w14:solidFill>
              <w14:schemeClr w14:val="accent1"/>
            </w14:solidFill>
          </w14:textFill>
        </w:rPr>
        <w:t xml:space="preserve">7.1 Assessments </w:t>
      </w:r>
    </w:p>
    <w:p w14:paraId="007F3D54">
      <w:pPr>
        <w:rPr>
          <w:rFonts w:ascii="Times New Roman" w:hAnsi="Times New Roman" w:eastAsia="等线" w:cs="Times New Roman"/>
          <w:sz w:val="20"/>
          <w:szCs w:val="20"/>
        </w:rPr>
      </w:pPr>
      <w:r>
        <w:rPr>
          <w:rFonts w:ascii="Times New Roman" w:hAnsi="Times New Roman" w:eastAsia="等线" w:cs="Times New Roman"/>
          <w:sz w:val="20"/>
          <w:szCs w:val="20"/>
        </w:rPr>
        <w:t>Assessments will be conducted at baseline (week 0), treatment endpoint (week 2), week 4, and week 6 after randomization. Sleep symptoms will be assessed by the PSQI. Depressive and anxiety symptoms will be assessed using the clinician-rated HDRS</w:t>
      </w:r>
      <w:r>
        <w:rPr>
          <w:rFonts w:ascii="Times New Roman" w:hAnsi="Times New Roman" w:eastAsia="等线" w:cs="Times New Roman"/>
          <w:sz w:val="20"/>
          <w:szCs w:val="20"/>
          <w:vertAlign w:val="subscript"/>
        </w:rPr>
        <w:t>17</w:t>
      </w:r>
      <w:r>
        <w:rPr>
          <w:rFonts w:ascii="Times New Roman" w:hAnsi="Times New Roman" w:eastAsia="等线" w:cs="Times New Roman"/>
          <w:sz w:val="20"/>
          <w:szCs w:val="20"/>
        </w:rPr>
        <w:t xml:space="preserve"> and HARS respectively. The 20-item Perceived Deficits Questionnaire-Depression (PDQ-D)</w:t>
      </w:r>
      <w:r>
        <w:rPr>
          <w:rFonts w:hint="eastAsia" w:ascii="Times New Roman" w:hAnsi="Times New Roman" w:eastAsia="等线" w:cs="Times New Roman"/>
          <w:sz w:val="20"/>
          <w:szCs w:val="20"/>
        </w:rPr>
        <w:t xml:space="preserve"> </w:t>
      </w:r>
      <w:r>
        <w:rPr>
          <w:rFonts w:ascii="Times New Roman" w:hAnsi="Times New Roman" w:eastAsia="等线" w:cs="Times New Roman"/>
          <w:sz w:val="20"/>
          <w:szCs w:val="20"/>
        </w:rPr>
        <w:t>[</w:t>
      </w:r>
      <w:r>
        <w:rPr>
          <w:rFonts w:hint="eastAsia" w:ascii="Times New Roman" w:hAnsi="Times New Roman" w:eastAsia="等线" w:cs="Times New Roman"/>
          <w:sz w:val="20"/>
          <w:szCs w:val="20"/>
        </w:rPr>
        <w:t>19</w:t>
      </w:r>
      <w:r>
        <w:rPr>
          <w:rFonts w:ascii="Times New Roman" w:hAnsi="Times New Roman" w:eastAsia="等线" w:cs="Times New Roman"/>
          <w:sz w:val="20"/>
          <w:szCs w:val="20"/>
        </w:rPr>
        <w:t>], which involves four cognitive domains (attention/concentration, retrospective memory, prospective memory, and organization/planning), is used to assess cognitive dysfunction. Participants should rate the frequency of cognitive deficits within the last 7 days using a 5-point scoring (0=“never”; 4=“more than once a day”). The rumination subscale of the Cognitive Emotion Regulation Questionnaire (CERQ) in Chinese version [</w:t>
      </w:r>
      <w:r>
        <w:rPr>
          <w:rFonts w:hint="eastAsia" w:ascii="Times New Roman" w:hAnsi="Times New Roman" w:eastAsia="等线" w:cs="Times New Roman"/>
          <w:sz w:val="20"/>
          <w:szCs w:val="20"/>
          <w:lang w:val="en-US" w:eastAsia="zh-CN"/>
        </w:rPr>
        <w:t>20</w:t>
      </w:r>
      <w:r>
        <w:rPr>
          <w:rFonts w:ascii="Times New Roman" w:hAnsi="Times New Roman" w:eastAsia="等线" w:cs="Times New Roman"/>
          <w:sz w:val="20"/>
          <w:szCs w:val="20"/>
        </w:rPr>
        <w:t>] is used to assess the feelings and thoughts associated with negative experiences with a 5-point scoring (1=“never”; 5=“always”).</w:t>
      </w:r>
      <w:r>
        <w:rPr>
          <w:rFonts w:hint="eastAsia" w:ascii="Times New Roman" w:hAnsi="Times New Roman" w:eastAsia="等线" w:cs="Times New Roman"/>
          <w:sz w:val="20"/>
          <w:szCs w:val="20"/>
          <w:lang w:val="en-US" w:eastAsia="zh-CN"/>
        </w:rPr>
        <w:t xml:space="preserve"> The </w:t>
      </w:r>
      <w:r>
        <w:rPr>
          <w:rFonts w:hint="default" w:ascii="Times New Roman" w:hAnsi="Times New Roman" w:eastAsia="等线" w:cs="Times New Roman"/>
          <w:sz w:val="20"/>
          <w:szCs w:val="20"/>
        </w:rPr>
        <w:t>Somatic</w:t>
      </w:r>
      <w:r>
        <w:rPr>
          <w:rFonts w:hint="eastAsia" w:ascii="Times New Roman" w:hAnsi="Times New Roman" w:eastAsia="等线" w:cs="Times New Roman"/>
          <w:sz w:val="20"/>
          <w:szCs w:val="20"/>
          <w:lang w:val="en-US" w:eastAsia="zh-CN"/>
        </w:rPr>
        <w:t xml:space="preserve"> </w:t>
      </w:r>
      <w:r>
        <w:rPr>
          <w:rFonts w:hint="default" w:ascii="Times New Roman" w:hAnsi="Times New Roman" w:eastAsia="等线" w:cs="Times New Roman"/>
          <w:sz w:val="20"/>
          <w:szCs w:val="20"/>
        </w:rPr>
        <w:t>Self-rating</w:t>
      </w:r>
      <w:r>
        <w:rPr>
          <w:rFonts w:hint="eastAsia" w:ascii="Times New Roman" w:hAnsi="Times New Roman" w:eastAsia="等线" w:cs="Times New Roman"/>
          <w:sz w:val="20"/>
          <w:szCs w:val="20"/>
          <w:lang w:val="en-US" w:eastAsia="zh-CN"/>
        </w:rPr>
        <w:t xml:space="preserve"> </w:t>
      </w:r>
      <w:r>
        <w:rPr>
          <w:rFonts w:hint="default" w:ascii="Times New Roman" w:hAnsi="Times New Roman" w:eastAsia="等线" w:cs="Times New Roman"/>
          <w:sz w:val="20"/>
          <w:szCs w:val="20"/>
        </w:rPr>
        <w:t>Scale</w:t>
      </w:r>
      <w:r>
        <w:rPr>
          <w:rFonts w:hint="eastAsia" w:ascii="Times New Roman" w:hAnsi="Times New Roman" w:eastAsia="等线" w:cs="Times New Roman"/>
          <w:sz w:val="20"/>
          <w:szCs w:val="20"/>
          <w:lang w:val="en-US" w:eastAsia="zh-CN"/>
        </w:rPr>
        <w:t xml:space="preserve"> </w:t>
      </w:r>
      <w:r>
        <w:rPr>
          <w:rFonts w:ascii="Times New Roman" w:hAnsi="Times New Roman" w:eastAsia="等线" w:cs="Times New Roman"/>
          <w:sz w:val="20"/>
          <w:szCs w:val="20"/>
        </w:rPr>
        <w:t>(</w:t>
      </w:r>
      <w:r>
        <w:rPr>
          <w:rFonts w:hint="default" w:ascii="Times New Roman" w:hAnsi="Times New Roman" w:eastAsia="等线" w:cs="Times New Roman"/>
          <w:sz w:val="20"/>
          <w:szCs w:val="20"/>
        </w:rPr>
        <w:t>SSS)</w:t>
      </w:r>
      <w:r>
        <w:rPr>
          <w:rFonts w:hint="eastAsia" w:ascii="Times New Roman" w:hAnsi="Times New Roman" w:eastAsia="等线" w:cs="Times New Roman"/>
          <w:sz w:val="20"/>
          <w:szCs w:val="20"/>
          <w:lang w:val="en-US" w:eastAsia="zh-CN"/>
        </w:rPr>
        <w:t xml:space="preserve"> was used to evaluate physical discomfort symptoms. </w:t>
      </w:r>
      <w:r>
        <w:rPr>
          <w:rFonts w:ascii="Times New Roman" w:hAnsi="Times New Roman" w:eastAsia="等线" w:cs="Times New Roman"/>
          <w:sz w:val="20"/>
          <w:szCs w:val="20"/>
        </w:rPr>
        <w:t>The above clinician- and self-rated scales adopt a scoring rule of summing all items. Adverse events were recorded using a transcranial electrical stimulation adverse reaction questionnaire</w:t>
      </w:r>
      <w:r>
        <w:rPr>
          <w:rFonts w:hint="eastAsia" w:ascii="Times New Roman" w:hAnsi="Times New Roman" w:eastAsia="等线" w:cs="Times New Roman"/>
          <w:sz w:val="20"/>
          <w:szCs w:val="20"/>
        </w:rPr>
        <w:t xml:space="preserve"> </w:t>
      </w:r>
      <w:r>
        <w:rPr>
          <w:rFonts w:ascii="Times New Roman" w:hAnsi="Times New Roman" w:eastAsia="等线" w:cs="Times New Roman"/>
          <w:sz w:val="20"/>
          <w:szCs w:val="20"/>
        </w:rPr>
        <w:t>[18].</w:t>
      </w:r>
    </w:p>
    <w:p w14:paraId="3BF03BBC">
      <w:pPr>
        <w:rPr>
          <w:rFonts w:ascii="Times New Roman" w:hAnsi="Times New Roman" w:cs="Times New Roman"/>
          <w:b/>
          <w:color w:val="4F81BD" w:themeColor="accent1"/>
          <w:sz w:val="24"/>
          <w:szCs w:val="24"/>
          <w14:textFill>
            <w14:solidFill>
              <w14:schemeClr w14:val="accent1"/>
            </w14:solidFill>
          </w14:textFill>
        </w:rPr>
      </w:pPr>
      <w:r>
        <w:rPr>
          <w:rFonts w:ascii="Times New Roman" w:hAnsi="Times New Roman" w:cs="Times New Roman"/>
          <w:b/>
          <w:color w:val="4F81BD" w:themeColor="accent1"/>
          <w:sz w:val="24"/>
          <w:szCs w:val="24"/>
          <w14:textFill>
            <w14:solidFill>
              <w14:schemeClr w14:val="accent1"/>
            </w14:solidFill>
          </w14:textFill>
        </w:rPr>
        <w:t>7.2 Outcomes</w:t>
      </w:r>
    </w:p>
    <w:p w14:paraId="2436E5C1">
      <w:pPr>
        <w:pStyle w:val="11"/>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bookmarkStart w:id="3" w:name="_Toc42077448"/>
      <w:r>
        <w:rPr>
          <w:rFonts w:ascii="Times New Roman" w:hAnsi="Times New Roman" w:cs="Times New Roman" w:eastAsiaTheme="minorEastAsia"/>
          <w:b/>
          <w:color w:val="4F81BD" w:themeColor="accent1"/>
          <w:kern w:val="2"/>
          <w:sz w:val="20"/>
          <w:szCs w:val="20"/>
          <w14:textFill>
            <w14:solidFill>
              <w14:schemeClr w14:val="accent1"/>
            </w14:solidFill>
          </w14:textFill>
        </w:rPr>
        <w:t xml:space="preserve">7.2.1 Primary </w:t>
      </w:r>
      <w:bookmarkEnd w:id="3"/>
      <w:r>
        <w:rPr>
          <w:rFonts w:ascii="Times New Roman" w:hAnsi="Times New Roman" w:cs="Times New Roman"/>
          <w:b/>
          <w:color w:val="4F81BD" w:themeColor="accent1"/>
          <w:sz w:val="20"/>
          <w:szCs w:val="20"/>
          <w14:textFill>
            <w14:solidFill>
              <w14:schemeClr w14:val="accent1"/>
            </w14:solidFill>
          </w14:textFill>
        </w:rPr>
        <w:t>O</w:t>
      </w:r>
      <w:r>
        <w:rPr>
          <w:rFonts w:ascii="Times New Roman" w:hAnsi="Times New Roman" w:cs="Times New Roman" w:eastAsiaTheme="minorEastAsia"/>
          <w:b/>
          <w:color w:val="4F81BD" w:themeColor="accent1"/>
          <w:kern w:val="2"/>
          <w:sz w:val="20"/>
          <w:szCs w:val="20"/>
          <w14:textFill>
            <w14:solidFill>
              <w14:schemeClr w14:val="accent1"/>
            </w14:solidFill>
          </w14:textFill>
        </w:rPr>
        <w:t>utcome</w:t>
      </w:r>
    </w:p>
    <w:p w14:paraId="55D5C16D">
      <w:pPr>
        <w:rPr>
          <w:rFonts w:ascii="Times New Roman" w:hAnsi="Times New Roman" w:eastAsia="等线" w:cs="Times New Roman"/>
          <w:sz w:val="20"/>
          <w:szCs w:val="20"/>
        </w:rPr>
      </w:pPr>
      <w:r>
        <w:rPr>
          <w:rFonts w:ascii="Times New Roman" w:hAnsi="Times New Roman" w:eastAsia="等线" w:cs="Times New Roman"/>
          <w:sz w:val="20"/>
          <w:szCs w:val="20"/>
          <w:lang w:bidi="ar"/>
        </w:rPr>
        <w:t xml:space="preserve">The response rate at week 6, defined as </w:t>
      </w:r>
      <w:r>
        <w:rPr>
          <w:rFonts w:ascii="Times New Roman" w:hAnsi="Times New Roman" w:cs="Times New Roman"/>
          <w:color w:val="333333"/>
          <w:sz w:val="20"/>
          <w:szCs w:val="20"/>
          <w:shd w:val="clear" w:color="auto" w:fill="FFFFFF"/>
        </w:rPr>
        <w:t>≥</w:t>
      </w:r>
      <w:r>
        <w:rPr>
          <w:rFonts w:ascii="Times New Roman" w:hAnsi="Times New Roman" w:eastAsia="等线" w:cs="Times New Roman"/>
          <w:color w:val="333333"/>
          <w:sz w:val="20"/>
          <w:szCs w:val="20"/>
          <w:shd w:val="clear" w:color="auto" w:fill="FFFFFF"/>
        </w:rPr>
        <w:t xml:space="preserve"> </w:t>
      </w:r>
      <w:r>
        <w:rPr>
          <w:rFonts w:ascii="Times New Roman" w:hAnsi="Times New Roman" w:eastAsia="等线" w:cs="Times New Roman"/>
          <w:sz w:val="20"/>
          <w:szCs w:val="20"/>
        </w:rPr>
        <w:t xml:space="preserve">50% reduction in the </w:t>
      </w:r>
      <w:r>
        <w:rPr>
          <w:rFonts w:ascii="Times New Roman" w:hAnsi="Times New Roman" w:eastAsia="等线" w:cs="Times New Roman"/>
          <w:sz w:val="20"/>
          <w:szCs w:val="20"/>
          <w:lang w:bidi="ar"/>
        </w:rPr>
        <w:t>total PSQI</w:t>
      </w:r>
      <w:r>
        <w:rPr>
          <w:rFonts w:ascii="Times New Roman" w:hAnsi="Times New Roman" w:eastAsia="等线" w:cs="Times New Roman"/>
          <w:sz w:val="20"/>
          <w:szCs w:val="20"/>
        </w:rPr>
        <w:t>.</w:t>
      </w:r>
    </w:p>
    <w:p w14:paraId="205A596E">
      <w:pPr>
        <w:pStyle w:val="11"/>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cs="Times New Roman" w:eastAsiaTheme="minorEastAsia"/>
          <w:b/>
          <w:color w:val="4F81BD" w:themeColor="accent1"/>
          <w:kern w:val="2"/>
          <w:sz w:val="20"/>
          <w:szCs w:val="20"/>
          <w14:textFill>
            <w14:solidFill>
              <w14:schemeClr w14:val="accent1"/>
            </w14:solidFill>
          </w14:textFill>
        </w:rPr>
        <w:t xml:space="preserve">7.2.2 Secondary </w:t>
      </w:r>
      <w:r>
        <w:rPr>
          <w:rFonts w:ascii="Times New Roman" w:hAnsi="Times New Roman" w:cs="Times New Roman"/>
          <w:b/>
          <w:color w:val="4F81BD" w:themeColor="accent1"/>
          <w:sz w:val="20"/>
          <w:szCs w:val="20"/>
          <w14:textFill>
            <w14:solidFill>
              <w14:schemeClr w14:val="accent1"/>
            </w14:solidFill>
          </w14:textFill>
        </w:rPr>
        <w:t>O</w:t>
      </w:r>
      <w:r>
        <w:rPr>
          <w:rFonts w:ascii="Times New Roman" w:hAnsi="Times New Roman" w:cs="Times New Roman" w:eastAsiaTheme="minorEastAsia"/>
          <w:b/>
          <w:color w:val="4F81BD" w:themeColor="accent1"/>
          <w:kern w:val="2"/>
          <w:sz w:val="20"/>
          <w:szCs w:val="20"/>
          <w14:textFill>
            <w14:solidFill>
              <w14:schemeClr w14:val="accent1"/>
            </w14:solidFill>
          </w14:textFill>
        </w:rPr>
        <w:t>utcomes</w:t>
      </w:r>
    </w:p>
    <w:p w14:paraId="580C6116">
      <w:pPr>
        <w:pStyle w:val="11"/>
        <w:shd w:val="clear" w:color="auto" w:fill="FFFFFF"/>
        <w:spacing w:before="0" w:beforeAutospacing="0" w:after="0" w:afterAutospacing="0"/>
        <w:ind w:firstLine="200" w:firstLineChars="100"/>
        <w:jc w:val="both"/>
        <w:rPr>
          <w:rFonts w:ascii="Times New Roman" w:hAnsi="Times New Roman" w:eastAsia="等线" w:cs="Times New Roman"/>
          <w:kern w:val="2"/>
          <w:sz w:val="20"/>
          <w:szCs w:val="20"/>
        </w:rPr>
      </w:pPr>
      <w:r>
        <w:rPr>
          <w:rFonts w:ascii="Times New Roman" w:hAnsi="Times New Roman" w:eastAsia="等线" w:cs="Times New Roman"/>
          <w:kern w:val="2"/>
          <w:sz w:val="20"/>
          <w:szCs w:val="20"/>
          <w:lang w:bidi="ar"/>
        </w:rPr>
        <w:t>(1)</w:t>
      </w:r>
      <w:r>
        <w:rPr>
          <w:rFonts w:hint="eastAsia" w:ascii="Times New Roman" w:hAnsi="Times New Roman" w:eastAsia="等线" w:cs="Times New Roman"/>
          <w:kern w:val="2"/>
          <w:sz w:val="20"/>
          <w:szCs w:val="20"/>
          <w:lang w:bidi="ar"/>
        </w:rPr>
        <w:t xml:space="preserve"> </w:t>
      </w:r>
      <w:r>
        <w:rPr>
          <w:rFonts w:ascii="Times New Roman" w:hAnsi="Times New Roman" w:eastAsia="等线" w:cs="Times New Roman"/>
          <w:kern w:val="2"/>
          <w:sz w:val="20"/>
          <w:szCs w:val="20"/>
          <w:lang w:bidi="ar"/>
        </w:rPr>
        <w:t>response rates at week</w:t>
      </w:r>
      <w:r>
        <w:rPr>
          <w:rFonts w:ascii="Times New Roman" w:hAnsi="Times New Roman" w:eastAsia="等线" w:cs="Times New Roman"/>
          <w:kern w:val="2"/>
          <w:sz w:val="20"/>
          <w:szCs w:val="20"/>
        </w:rPr>
        <w:t>s 2 and 4;</w:t>
      </w:r>
    </w:p>
    <w:p w14:paraId="6CF4769D">
      <w:pPr>
        <w:pStyle w:val="11"/>
        <w:shd w:val="clear" w:color="auto" w:fill="FFFFFF"/>
        <w:spacing w:before="0" w:beforeAutospacing="0" w:after="0" w:afterAutospacing="0"/>
        <w:ind w:firstLine="200" w:firstLineChars="100"/>
        <w:jc w:val="both"/>
        <w:rPr>
          <w:rFonts w:ascii="Times New Roman" w:hAnsi="Times New Roman" w:eastAsia="等线" w:cs="Times New Roman"/>
          <w:kern w:val="2"/>
          <w:sz w:val="20"/>
          <w:szCs w:val="20"/>
          <w:lang w:bidi="ar"/>
        </w:rPr>
      </w:pPr>
      <w:r>
        <w:rPr>
          <w:rFonts w:ascii="Times New Roman" w:hAnsi="Times New Roman" w:eastAsia="等线" w:cs="Times New Roman"/>
          <w:kern w:val="2"/>
          <w:sz w:val="20"/>
          <w:szCs w:val="20"/>
        </w:rPr>
        <w:t>(2)</w:t>
      </w:r>
      <w:r>
        <w:rPr>
          <w:rFonts w:hint="eastAsia" w:ascii="Times New Roman" w:hAnsi="Times New Roman" w:eastAsia="等线" w:cs="Times New Roman"/>
          <w:kern w:val="2"/>
          <w:sz w:val="20"/>
          <w:szCs w:val="20"/>
        </w:rPr>
        <w:t xml:space="preserve"> </w:t>
      </w:r>
      <w:r>
        <w:rPr>
          <w:rFonts w:ascii="Times New Roman" w:hAnsi="Times New Roman" w:eastAsia="等线" w:cs="Times New Roman"/>
          <w:kern w:val="2"/>
          <w:sz w:val="20"/>
          <w:szCs w:val="20"/>
        </w:rPr>
        <w:t xml:space="preserve">remission rate at each visit, defined as </w:t>
      </w:r>
      <w:r>
        <w:rPr>
          <w:rFonts w:ascii="Times New Roman" w:hAnsi="Times New Roman" w:eastAsia="等线" w:cs="Times New Roman"/>
          <w:kern w:val="2"/>
          <w:sz w:val="20"/>
          <w:szCs w:val="20"/>
          <w:lang w:bidi="ar"/>
        </w:rPr>
        <w:t>total PSQI &lt; 5;</w:t>
      </w:r>
    </w:p>
    <w:p w14:paraId="18EA9E23">
      <w:pPr>
        <w:pStyle w:val="11"/>
        <w:shd w:val="clear" w:color="auto" w:fill="FFFFFF"/>
        <w:spacing w:before="0" w:beforeAutospacing="0" w:after="0" w:afterAutospacing="0"/>
        <w:ind w:firstLine="200" w:firstLineChars="100"/>
        <w:jc w:val="both"/>
        <w:rPr>
          <w:rFonts w:ascii="Times New Roman" w:hAnsi="Times New Roman" w:eastAsia="等线" w:cs="Times New Roman"/>
          <w:kern w:val="2"/>
          <w:sz w:val="20"/>
          <w:szCs w:val="20"/>
          <w:lang w:bidi="ar"/>
        </w:rPr>
      </w:pPr>
      <w:r>
        <w:rPr>
          <w:rFonts w:ascii="Times New Roman" w:hAnsi="Times New Roman" w:eastAsia="等线" w:cs="Times New Roman"/>
          <w:kern w:val="2"/>
          <w:sz w:val="20"/>
          <w:szCs w:val="20"/>
        </w:rPr>
        <w:t>(3)</w:t>
      </w:r>
      <w:r>
        <w:rPr>
          <w:rFonts w:hint="eastAsia" w:ascii="Times New Roman" w:hAnsi="Times New Roman" w:eastAsia="等线" w:cs="Times New Roman"/>
          <w:kern w:val="2"/>
          <w:sz w:val="20"/>
          <w:szCs w:val="20"/>
        </w:rPr>
        <w:t xml:space="preserve"> </w:t>
      </w:r>
      <w:r>
        <w:rPr>
          <w:rFonts w:ascii="Times New Roman" w:hAnsi="Times New Roman" w:eastAsia="等线" w:cs="Times New Roman"/>
          <w:kern w:val="2"/>
          <w:sz w:val="20"/>
          <w:szCs w:val="20"/>
        </w:rPr>
        <w:t xml:space="preserve">changes in </w:t>
      </w:r>
      <w:r>
        <w:rPr>
          <w:rFonts w:ascii="Times New Roman" w:hAnsi="Times New Roman" w:eastAsia="等线" w:cs="Times New Roman"/>
          <w:kern w:val="2"/>
          <w:sz w:val="20"/>
          <w:szCs w:val="20"/>
          <w:lang w:bidi="ar"/>
        </w:rPr>
        <w:t>sleep symptoms (total scores and components of the PSQI, i.e., SOL, TST, sleep efficiency, sleep quality, and daily disturbance);</w:t>
      </w:r>
    </w:p>
    <w:p w14:paraId="2E452702">
      <w:pPr>
        <w:pStyle w:val="11"/>
        <w:shd w:val="clear" w:color="auto" w:fill="FFFFFF"/>
        <w:spacing w:before="0" w:beforeAutospacing="0" w:after="0" w:afterAutospacing="0"/>
        <w:ind w:firstLine="200" w:firstLineChars="100"/>
        <w:jc w:val="both"/>
        <w:rPr>
          <w:rFonts w:ascii="Times New Roman" w:hAnsi="Times New Roman" w:eastAsia="等线" w:cs="Times New Roman"/>
          <w:kern w:val="2"/>
          <w:sz w:val="20"/>
          <w:szCs w:val="20"/>
          <w:lang w:bidi="ar"/>
        </w:rPr>
      </w:pPr>
      <w:r>
        <w:rPr>
          <w:rFonts w:ascii="Times New Roman" w:hAnsi="Times New Roman" w:eastAsia="等线" w:cs="Times New Roman"/>
          <w:kern w:val="2"/>
          <w:sz w:val="20"/>
          <w:szCs w:val="20"/>
        </w:rPr>
        <w:t>(4)</w:t>
      </w:r>
      <w:r>
        <w:rPr>
          <w:rFonts w:hint="eastAsia" w:ascii="Times New Roman" w:hAnsi="Times New Roman" w:eastAsia="等线" w:cs="Times New Roman"/>
          <w:kern w:val="2"/>
          <w:sz w:val="20"/>
          <w:szCs w:val="20"/>
        </w:rPr>
        <w:t xml:space="preserve"> </w:t>
      </w:r>
      <w:r>
        <w:rPr>
          <w:rFonts w:ascii="Times New Roman" w:hAnsi="Times New Roman" w:eastAsia="等线" w:cs="Times New Roman"/>
          <w:kern w:val="2"/>
          <w:sz w:val="20"/>
          <w:szCs w:val="20"/>
        </w:rPr>
        <w:t xml:space="preserve">changes in </w:t>
      </w:r>
      <w:r>
        <w:rPr>
          <w:rFonts w:ascii="Times New Roman" w:hAnsi="Times New Roman" w:eastAsia="等线" w:cs="Times New Roman"/>
          <w:kern w:val="2"/>
          <w:sz w:val="20"/>
          <w:szCs w:val="20"/>
          <w:lang w:bidi="ar"/>
        </w:rPr>
        <w:t xml:space="preserve">mood symptoms, as evaluated by the </w:t>
      </w:r>
      <w:r>
        <w:rPr>
          <w:rFonts w:ascii="Times New Roman" w:hAnsi="Times New Roman" w:cs="Times New Roman"/>
          <w:kern w:val="2"/>
          <w:sz w:val="20"/>
          <w:szCs w:val="20"/>
          <w:lang w:bidi="ar"/>
        </w:rPr>
        <w:t>HDRS</w:t>
      </w:r>
      <w:r>
        <w:rPr>
          <w:rFonts w:ascii="Times New Roman" w:hAnsi="Times New Roman" w:cs="Times New Roman"/>
          <w:kern w:val="2"/>
          <w:sz w:val="20"/>
          <w:szCs w:val="20"/>
          <w:vertAlign w:val="subscript"/>
          <w:lang w:bidi="ar"/>
        </w:rPr>
        <w:t>17</w:t>
      </w:r>
      <w:r>
        <w:rPr>
          <w:rFonts w:hint="eastAsia" w:ascii="Times New Roman" w:hAnsi="Times New Roman" w:cs="Times New Roman"/>
          <w:kern w:val="2"/>
          <w:sz w:val="20"/>
          <w:szCs w:val="20"/>
          <w:vertAlign w:val="subscript"/>
          <w:lang w:bidi="ar"/>
        </w:rPr>
        <w:t xml:space="preserve"> </w:t>
      </w:r>
      <w:r>
        <w:rPr>
          <w:rFonts w:hint="eastAsia" w:ascii="Times New Roman" w:hAnsi="Times New Roman" w:cs="Times New Roman"/>
          <w:kern w:val="2"/>
          <w:sz w:val="20"/>
          <w:szCs w:val="20"/>
          <w:lang w:bidi="ar"/>
        </w:rPr>
        <w:t xml:space="preserve">and </w:t>
      </w:r>
      <w:r>
        <w:rPr>
          <w:rFonts w:ascii="Times New Roman" w:hAnsi="Times New Roman" w:cs="Times New Roman"/>
          <w:kern w:val="2"/>
          <w:sz w:val="20"/>
          <w:szCs w:val="20"/>
          <w:lang w:bidi="ar"/>
        </w:rPr>
        <w:t>HARS</w:t>
      </w:r>
      <w:r>
        <w:rPr>
          <w:rFonts w:ascii="Times New Roman" w:hAnsi="Times New Roman" w:eastAsia="等线" w:cs="Times New Roman"/>
          <w:kern w:val="2"/>
          <w:sz w:val="20"/>
          <w:szCs w:val="20"/>
          <w:lang w:bidi="ar"/>
        </w:rPr>
        <w:t>;</w:t>
      </w:r>
    </w:p>
    <w:p w14:paraId="0031BEC4">
      <w:pPr>
        <w:pStyle w:val="11"/>
        <w:shd w:val="clear" w:color="auto" w:fill="FFFFFF"/>
        <w:spacing w:before="0" w:beforeAutospacing="0" w:after="0" w:afterAutospacing="0"/>
        <w:ind w:firstLine="200" w:firstLineChars="100"/>
        <w:jc w:val="both"/>
        <w:rPr>
          <w:rFonts w:hint="eastAsia" w:ascii="Times New Roman" w:hAnsi="Times New Roman" w:eastAsia="等线" w:cs="Times New Roman"/>
          <w:kern w:val="2"/>
          <w:sz w:val="20"/>
          <w:szCs w:val="20"/>
          <w:lang w:eastAsia="zh-CN" w:bidi="ar"/>
        </w:rPr>
      </w:pPr>
      <w:r>
        <w:rPr>
          <w:rFonts w:ascii="Times New Roman" w:hAnsi="Times New Roman" w:eastAsia="等线" w:cs="Times New Roman"/>
          <w:kern w:val="2"/>
          <w:sz w:val="20"/>
          <w:szCs w:val="20"/>
        </w:rPr>
        <w:t>(5)</w:t>
      </w:r>
      <w:r>
        <w:rPr>
          <w:rFonts w:hint="eastAsia" w:ascii="Times New Roman" w:hAnsi="Times New Roman" w:eastAsia="等线" w:cs="Times New Roman"/>
          <w:kern w:val="2"/>
          <w:sz w:val="20"/>
          <w:szCs w:val="20"/>
        </w:rPr>
        <w:t xml:space="preserve"> </w:t>
      </w:r>
      <w:r>
        <w:rPr>
          <w:rFonts w:ascii="Times New Roman" w:hAnsi="Times New Roman" w:eastAsia="等线" w:cs="Times New Roman"/>
          <w:kern w:val="2"/>
          <w:sz w:val="20"/>
          <w:szCs w:val="20"/>
        </w:rPr>
        <w:t xml:space="preserve">changes in cognitive deficits, </w:t>
      </w:r>
      <w:r>
        <w:rPr>
          <w:rFonts w:ascii="Times New Roman" w:hAnsi="Times New Roman" w:eastAsia="等线" w:cs="Times New Roman"/>
          <w:kern w:val="2"/>
          <w:sz w:val="20"/>
          <w:szCs w:val="20"/>
          <w:lang w:bidi="ar"/>
        </w:rPr>
        <w:t>as evaluated by the</w:t>
      </w:r>
      <w:r>
        <w:rPr>
          <w:rFonts w:ascii="Times New Roman" w:hAnsi="Times New Roman" w:eastAsia="等线" w:cs="Times New Roman"/>
          <w:kern w:val="2"/>
          <w:sz w:val="20"/>
          <w:szCs w:val="20"/>
        </w:rPr>
        <w:t xml:space="preserve"> </w:t>
      </w:r>
      <w:r>
        <w:rPr>
          <w:rFonts w:ascii="Times New Roman" w:hAnsi="Times New Roman" w:eastAsia="等线" w:cs="Times New Roman"/>
          <w:kern w:val="2"/>
          <w:sz w:val="20"/>
          <w:szCs w:val="20"/>
          <w:lang w:bidi="ar"/>
        </w:rPr>
        <w:t>PDQ-D</w:t>
      </w:r>
      <w:r>
        <w:rPr>
          <w:rFonts w:hint="eastAsia" w:ascii="Times New Roman" w:hAnsi="Times New Roman" w:eastAsia="等线" w:cs="Times New Roman"/>
          <w:kern w:val="2"/>
          <w:sz w:val="20"/>
          <w:szCs w:val="20"/>
          <w:lang w:val="en-US" w:eastAsia="zh-CN" w:bidi="ar"/>
        </w:rPr>
        <w:t>;</w:t>
      </w:r>
    </w:p>
    <w:p w14:paraId="043232AD">
      <w:pPr>
        <w:pStyle w:val="11"/>
        <w:shd w:val="clear" w:color="auto" w:fill="FFFFFF"/>
        <w:spacing w:before="0" w:beforeAutospacing="0" w:after="0" w:afterAutospacing="0"/>
        <w:ind w:firstLine="200" w:firstLineChars="100"/>
        <w:jc w:val="both"/>
        <w:rPr>
          <w:rFonts w:hint="eastAsia" w:ascii="Times New Roman" w:hAnsi="Times New Roman" w:eastAsia="等线" w:cs="Times New Roman"/>
          <w:kern w:val="2"/>
          <w:sz w:val="20"/>
          <w:szCs w:val="20"/>
          <w:lang w:val="en-US" w:eastAsia="zh-CN" w:bidi="ar"/>
        </w:rPr>
      </w:pPr>
      <w:r>
        <w:rPr>
          <w:rFonts w:hint="eastAsia" w:ascii="Times New Roman" w:hAnsi="Times New Roman" w:eastAsia="等线" w:cs="Times New Roman"/>
          <w:kern w:val="2"/>
          <w:sz w:val="20"/>
          <w:szCs w:val="20"/>
          <w:lang w:val="en-US" w:eastAsia="zh-CN" w:bidi="ar"/>
        </w:rPr>
        <w:t xml:space="preserve">(6) </w:t>
      </w:r>
      <w:r>
        <w:rPr>
          <w:rFonts w:ascii="Times New Roman" w:hAnsi="Times New Roman" w:eastAsia="等线" w:cs="Times New Roman"/>
          <w:kern w:val="2"/>
          <w:sz w:val="20"/>
          <w:szCs w:val="20"/>
        </w:rPr>
        <w:t xml:space="preserve">changes in </w:t>
      </w:r>
      <w:r>
        <w:rPr>
          <w:rFonts w:hint="eastAsia" w:ascii="Times New Roman" w:hAnsi="Times New Roman" w:eastAsia="等线" w:cs="Times New Roman"/>
          <w:kern w:val="2"/>
          <w:sz w:val="20"/>
          <w:szCs w:val="20"/>
          <w:lang w:val="en-US" w:eastAsia="zh-CN"/>
        </w:rPr>
        <w:t>rumination</w:t>
      </w:r>
      <w:r>
        <w:rPr>
          <w:rFonts w:ascii="Times New Roman" w:hAnsi="Times New Roman" w:eastAsia="等线" w:cs="Times New Roman"/>
          <w:kern w:val="2"/>
          <w:sz w:val="20"/>
          <w:szCs w:val="20"/>
        </w:rPr>
        <w:t xml:space="preserve">, </w:t>
      </w:r>
      <w:r>
        <w:rPr>
          <w:rFonts w:ascii="Times New Roman" w:hAnsi="Times New Roman" w:eastAsia="等线" w:cs="Times New Roman"/>
          <w:kern w:val="2"/>
          <w:sz w:val="20"/>
          <w:szCs w:val="20"/>
          <w:lang w:bidi="ar"/>
        </w:rPr>
        <w:t>as evaluated by the</w:t>
      </w:r>
      <w:r>
        <w:rPr>
          <w:rFonts w:ascii="Times New Roman" w:hAnsi="Times New Roman" w:eastAsia="等线" w:cs="Times New Roman"/>
          <w:kern w:val="2"/>
          <w:sz w:val="20"/>
          <w:szCs w:val="20"/>
        </w:rPr>
        <w:t xml:space="preserve"> </w:t>
      </w:r>
      <w:r>
        <w:rPr>
          <w:rFonts w:hint="eastAsia" w:ascii="Times New Roman" w:hAnsi="Times New Roman" w:eastAsia="等线" w:cs="Times New Roman"/>
          <w:kern w:val="2"/>
          <w:sz w:val="20"/>
          <w:szCs w:val="20"/>
          <w:lang w:val="en-US" w:eastAsia="zh-CN"/>
        </w:rPr>
        <w:t>CERQ rumination subscale</w:t>
      </w:r>
      <w:r>
        <w:rPr>
          <w:rFonts w:hint="eastAsia" w:ascii="Times New Roman" w:hAnsi="Times New Roman" w:eastAsia="等线" w:cs="Times New Roman"/>
          <w:kern w:val="2"/>
          <w:sz w:val="20"/>
          <w:szCs w:val="20"/>
          <w:lang w:val="en-US" w:eastAsia="zh-CN" w:bidi="ar"/>
        </w:rPr>
        <w:t>.</w:t>
      </w:r>
    </w:p>
    <w:p w14:paraId="10441A96">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Safety Indicators</w:t>
      </w:r>
    </w:p>
    <w:p w14:paraId="675746F4">
      <w:pPr>
        <w:rPr>
          <w:rFonts w:ascii="Times New Roman" w:hAnsi="Times New Roman" w:eastAsia="等线" w:cs="Times New Roman"/>
          <w:sz w:val="20"/>
          <w:szCs w:val="20"/>
        </w:rPr>
      </w:pPr>
      <w:r>
        <w:rPr>
          <w:rFonts w:ascii="Times New Roman" w:hAnsi="Times New Roman" w:eastAsia="等线" w:cs="Times New Roman"/>
          <w:sz w:val="20"/>
          <w:szCs w:val="20"/>
        </w:rPr>
        <w:t>Information about possible adverse events (AEs) will be monitored at end of treatment, week 4 and week 6 by using a self-reported 18-items transcranial electrical stimulation adverse reaction questionnaire with a 5-point scoring (0=“none”; 4=“severe”)</w:t>
      </w:r>
      <w:r>
        <w:rPr>
          <w:rFonts w:hint="eastAsia" w:ascii="Times New Roman" w:hAnsi="Times New Roman" w:eastAsia="等线" w:cs="Times New Roman"/>
          <w:sz w:val="20"/>
          <w:szCs w:val="20"/>
        </w:rPr>
        <w:t xml:space="preserve"> </w:t>
      </w:r>
      <w:r>
        <w:rPr>
          <w:rFonts w:ascii="Times New Roman" w:hAnsi="Times New Roman" w:eastAsia="等线" w:cs="Times New Roman"/>
          <w:sz w:val="20"/>
          <w:szCs w:val="20"/>
        </w:rPr>
        <w:t>[18].</w:t>
      </w:r>
    </w:p>
    <w:p w14:paraId="0338DEBE">
      <w:pPr>
        <w:rPr>
          <w:rFonts w:ascii="Times New Roman" w:hAnsi="Times New Roman" w:eastAsia="等线" w:cs="Times New Roman"/>
          <w:sz w:val="20"/>
          <w:szCs w:val="20"/>
        </w:rPr>
      </w:pPr>
      <w:r>
        <w:rPr>
          <w:rFonts w:ascii="Times New Roman" w:hAnsi="Times New Roman" w:eastAsia="等线" w:cs="Times New Roman"/>
          <w:sz w:val="20"/>
          <w:szCs w:val="20"/>
        </w:rPr>
        <w:t>The principal investigators will be responsible for overseeing the safety of this trial. They will be available any time for questions from the clinical team. The AEs will be assessed regarding duration, severity and relationship to the tACS. If serious AEs happen (Is life threatening, Requires hospitalization, Results in persistent or significant disability, Important medical event that requires intervention to prevent any of the conditions), it will be reported to the local ethics committee by the overall study principal investigator within 24 h. All emerging AEs will receive timely medical intervention until it disappears or have no clinical significance.</w:t>
      </w:r>
    </w:p>
    <w:p w14:paraId="6D6630EC">
      <w:pPr>
        <w:rPr>
          <w:rFonts w:ascii="Times New Roman" w:hAnsi="Times New Roman" w:eastAsia="等线" w:cs="Times New Roman"/>
          <w:sz w:val="20"/>
          <w:szCs w:val="20"/>
        </w:rPr>
      </w:pPr>
      <w:r>
        <w:rPr>
          <w:rFonts w:ascii="Times New Roman" w:hAnsi="Times New Roman" w:eastAsia="等线" w:cs="Times New Roman"/>
          <w:sz w:val="20"/>
          <w:szCs w:val="20"/>
        </w:rPr>
        <w:t>Principal investigators will decide to terminate the trial, and the criteria for the termination are: have serious AEs, failed to complete clinical visits, or withdraw upon requests. Participants will be informed that they can withdraw from the study at any time and for any reason. The reason for withdrawal will be recorded. Participants who choose to discontinue interventions can choose to complete the further clinical assessments or to withdraw from all visits.</w:t>
      </w:r>
    </w:p>
    <w:p w14:paraId="560F5E1A">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hint="eastAsia" w:ascii="Times New Roman" w:hAnsi="Times New Roman" w:cs="Times New Roman" w:eastAsiaTheme="minorEastAsia"/>
          <w:b/>
          <w:color w:val="4F81BD" w:themeColor="accent1"/>
          <w:kern w:val="2"/>
          <w14:textFill>
            <w14:solidFill>
              <w14:schemeClr w14:val="accent1"/>
            </w14:solidFill>
          </w14:textFill>
        </w:rPr>
        <w:t>R</w:t>
      </w:r>
      <w:r>
        <w:rPr>
          <w:rFonts w:ascii="Times New Roman" w:hAnsi="Times New Roman" w:cs="Times New Roman" w:eastAsiaTheme="minorEastAsia"/>
          <w:b/>
          <w:color w:val="4F81BD" w:themeColor="accent1"/>
          <w:kern w:val="2"/>
          <w14:textFill>
            <w14:solidFill>
              <w14:schemeClr w14:val="accent1"/>
            </w14:solidFill>
          </w14:textFill>
        </w:rPr>
        <w:t>andomization and Blinding</w:t>
      </w:r>
    </w:p>
    <w:p w14:paraId="0C7131E7">
      <w:pPr>
        <w:rPr>
          <w:rFonts w:ascii="Times New Roman" w:hAnsi="Times New Roman" w:eastAsia="等线" w:cs="Times New Roman"/>
          <w:sz w:val="20"/>
          <w:szCs w:val="20"/>
        </w:rPr>
      </w:pPr>
      <w:r>
        <w:rPr>
          <w:rFonts w:ascii="Times New Roman" w:hAnsi="Times New Roman" w:eastAsia="等线" w:cs="Times New Roman"/>
          <w:sz w:val="20"/>
          <w:szCs w:val="20"/>
        </w:rPr>
        <w:t xml:space="preserve">Randomization sequence was generated using a fixed-block design with equal representation of two arms in a 1:1 ratio by an independent researcher, who had not participated in </w:t>
      </w:r>
      <w:r>
        <w:rPr>
          <w:rFonts w:hint="eastAsia" w:ascii="Times New Roman" w:hAnsi="Times New Roman" w:eastAsia="等线" w:cs="Times New Roman"/>
          <w:sz w:val="20"/>
          <w:szCs w:val="20"/>
        </w:rPr>
        <w:t>subsequent study</w:t>
      </w:r>
      <w:r>
        <w:rPr>
          <w:rFonts w:ascii="Times New Roman" w:hAnsi="Times New Roman" w:eastAsia="等线" w:cs="Times New Roman"/>
          <w:sz w:val="20"/>
          <w:szCs w:val="20"/>
        </w:rPr>
        <w:t>. The participants and researchers responsible for case enrollment and clinical evaluations will be blinded to the treatment assignment. Blindness will be evaluated by asking participants and evaluators at the study endpoint to estimate the group assignment. Blinding will be broken in case of an emergency.</w:t>
      </w:r>
    </w:p>
    <w:p w14:paraId="36B63229">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Ethical Considerations</w:t>
      </w:r>
    </w:p>
    <w:p w14:paraId="068EC52D">
      <w:pPr>
        <w:pStyle w:val="11"/>
        <w:numPr>
          <w:ilvl w:val="1"/>
          <w:numId w:val="7"/>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cs="Times New Roman" w:eastAsiaTheme="minorEastAsia"/>
          <w:b/>
          <w:color w:val="4F81BD" w:themeColor="accent1"/>
          <w:kern w:val="2"/>
          <w:sz w:val="20"/>
          <w:szCs w:val="20"/>
          <w14:textFill>
            <w14:solidFill>
              <w14:schemeClr w14:val="accent1"/>
            </w14:solidFill>
          </w14:textFill>
        </w:rPr>
        <w:t>Informed consent procedure</w:t>
      </w:r>
    </w:p>
    <w:p w14:paraId="55925373">
      <w:pPr>
        <w:pStyle w:val="11"/>
        <w:shd w:val="clear" w:color="auto" w:fill="FFFFFF"/>
        <w:spacing w:before="0" w:beforeAutospacing="0" w:after="0" w:afterAutospacing="0"/>
        <w:jc w:val="both"/>
        <w:rPr>
          <w:rFonts w:ascii="Times New Roman" w:hAnsi="Times New Roman" w:eastAsia="等线" w:cs="Times New Roman"/>
          <w:kern w:val="2"/>
          <w:sz w:val="20"/>
          <w:szCs w:val="20"/>
        </w:rPr>
      </w:pPr>
      <w:r>
        <w:rPr>
          <w:rFonts w:ascii="Times New Roman" w:hAnsi="Times New Roman" w:eastAsia="等线" w:cs="Times New Roman"/>
          <w:kern w:val="2"/>
          <w:sz w:val="20"/>
          <w:szCs w:val="20"/>
        </w:rPr>
        <w:t>Research will be carried out in compliance with principles for medical research involving human subjects of Helsinki Declaration. Participants will have a counselling session at the time of enrollment with the Research Associate in which they will be told about: purpose of the trial; report to the principal investigators for any adverse effects during the study; an informed consent signed.</w:t>
      </w:r>
    </w:p>
    <w:p w14:paraId="34E7A315">
      <w:pPr>
        <w:pStyle w:val="11"/>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eastAsia="等线" w:cs="Times New Roman"/>
          <w:sz w:val="20"/>
          <w:szCs w:val="20"/>
        </w:rPr>
        <w:t>At the screening visit, the Principal Investigator will obtain written informed consent from each participant prior to any study procedures. The informed consent procedure will be preceded by an adequate introduction of the objectives, methods, potential benefits and risks of the study, right of the patients, and confidential. Before signed inform consent, the participant will be given enough time to consider. It will be explained to the participants that they can refuse participation or withdraw their consent at any point during the study and for any reasons. All participants will be informed of any updated safety information which may result in significant changes in the risk/benefit analysis and will be re-consented to confirm their wish to continue the study.</w:t>
      </w:r>
      <w:r>
        <w:rPr>
          <w:rFonts w:ascii="Times New Roman" w:hAnsi="Times New Roman" w:eastAsia="等线" w:cs="Times New Roman"/>
          <w:kern w:val="2"/>
          <w:sz w:val="20"/>
          <w:szCs w:val="20"/>
        </w:rPr>
        <w:t xml:space="preserve"> Data collection will be performed in a manner with minimal discomfort to the participants.</w:t>
      </w:r>
    </w:p>
    <w:p w14:paraId="1A7A37C4">
      <w:pPr>
        <w:pStyle w:val="11"/>
        <w:numPr>
          <w:ilvl w:val="1"/>
          <w:numId w:val="7"/>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cs="Times New Roman" w:eastAsiaTheme="minorEastAsia"/>
          <w:b/>
          <w:color w:val="4F81BD" w:themeColor="accent1"/>
          <w:kern w:val="2"/>
          <w:sz w:val="20"/>
          <w:szCs w:val="20"/>
          <w14:textFill>
            <w14:solidFill>
              <w14:schemeClr w14:val="accent1"/>
            </w14:solidFill>
          </w14:textFill>
        </w:rPr>
        <w:t>Potential risks</w:t>
      </w:r>
    </w:p>
    <w:p w14:paraId="760FF0FD">
      <w:pPr>
        <w:rPr>
          <w:rFonts w:ascii="Times New Roman" w:hAnsi="Times New Roman" w:eastAsia="宋体" w:cs="Times New Roman"/>
          <w:sz w:val="20"/>
          <w:szCs w:val="20"/>
        </w:rPr>
      </w:pPr>
      <w:r>
        <w:rPr>
          <w:rFonts w:ascii="Times New Roman" w:hAnsi="Times New Roman" w:eastAsia="等线" w:cs="Times New Roman"/>
          <w:sz w:val="20"/>
          <w:szCs w:val="20"/>
        </w:rPr>
        <w:t>tACS used in this study is a new non-invasive treatment technology, but it may still lead to mild side effects such as local discomfort and headache. We will use a specialized scale made for electric stimulation treatment to evaluate AEs and monitor closely the responses of patients at each treatment day or visit. If there are serious AEs, timely medial intervention will be given.</w:t>
      </w:r>
    </w:p>
    <w:p w14:paraId="52371035">
      <w:pPr>
        <w:pStyle w:val="11"/>
        <w:numPr>
          <w:ilvl w:val="1"/>
          <w:numId w:val="7"/>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cs="Times New Roman" w:eastAsiaTheme="minorEastAsia"/>
          <w:b/>
          <w:color w:val="4F81BD" w:themeColor="accent1"/>
          <w:kern w:val="2"/>
          <w:sz w:val="20"/>
          <w:szCs w:val="20"/>
          <w14:textFill>
            <w14:solidFill>
              <w14:schemeClr w14:val="accent1"/>
            </w14:solidFill>
          </w14:textFill>
        </w:rPr>
        <w:t>Potential benefits</w:t>
      </w:r>
    </w:p>
    <w:p w14:paraId="41E152AD">
      <w:pPr>
        <w:rPr>
          <w:rFonts w:ascii="Times New Roman" w:hAnsi="Times New Roman" w:eastAsia="等线" w:cs="Times New Roman"/>
          <w:sz w:val="20"/>
          <w:szCs w:val="20"/>
        </w:rPr>
      </w:pPr>
      <w:r>
        <w:rPr>
          <w:rFonts w:ascii="Times New Roman" w:hAnsi="Times New Roman" w:eastAsia="等线" w:cs="Times New Roman"/>
          <w:sz w:val="20"/>
          <w:szCs w:val="20"/>
        </w:rPr>
        <w:t>The patients themselves may benefit from this study, including possible improvements in their illness, free access to scale assessments and brain examinations, and professional medical support. If the treatment protocol is proven to be effective, it will provide a new treatment approach for the vast population of chronic insomnia, and reduce the social, economic, and personal burden related to the disease.</w:t>
      </w:r>
    </w:p>
    <w:p w14:paraId="62C95315">
      <w:pPr>
        <w:pStyle w:val="11"/>
        <w:numPr>
          <w:ilvl w:val="1"/>
          <w:numId w:val="7"/>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cs="Times New Roman" w:eastAsiaTheme="minorEastAsia"/>
          <w:b/>
          <w:color w:val="4F81BD" w:themeColor="accent1"/>
          <w:kern w:val="2"/>
          <w:sz w:val="20"/>
          <w:szCs w:val="20"/>
          <w14:textFill>
            <w14:solidFill>
              <w14:schemeClr w14:val="accent1"/>
            </w14:solidFill>
          </w14:textFill>
        </w:rPr>
        <w:t>Rights of subject</w:t>
      </w:r>
    </w:p>
    <w:p w14:paraId="602C9285">
      <w:pPr>
        <w:pStyle w:val="11"/>
        <w:shd w:val="clear" w:color="auto" w:fill="FFFFFF"/>
        <w:spacing w:before="0" w:beforeAutospacing="0" w:after="0" w:afterAutospacing="0"/>
        <w:jc w:val="both"/>
        <w:rPr>
          <w:rFonts w:ascii="Times New Roman" w:hAnsi="Times New Roman" w:eastAsia="等线" w:cs="Times New Roman"/>
          <w:kern w:val="2"/>
          <w:sz w:val="20"/>
          <w:szCs w:val="20"/>
        </w:rPr>
      </w:pPr>
      <w:r>
        <w:rPr>
          <w:rFonts w:ascii="Times New Roman" w:hAnsi="Times New Roman" w:eastAsia="等线" w:cs="Times New Roman"/>
          <w:kern w:val="2"/>
          <w:sz w:val="20"/>
          <w:szCs w:val="20"/>
        </w:rPr>
        <w:t>We encourage all participants to complete this study. Throughout the entire research process, medical support will be provided at any time of need to ensure safety. However, the subjects will be informed that participation in the study is voluntary and they have the right to withdraw at any stage of the study without discrimination or retaliation, and the medical treatment and rights will not be affected. All examinations and treatments are free of charge.</w:t>
      </w:r>
    </w:p>
    <w:p w14:paraId="531E7160">
      <w:pPr>
        <w:pStyle w:val="11"/>
        <w:numPr>
          <w:ilvl w:val="1"/>
          <w:numId w:val="7"/>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sz w:val="20"/>
          <w:szCs w:val="20"/>
          <w14:textFill>
            <w14:solidFill>
              <w14:schemeClr w14:val="accent1"/>
            </w14:solidFill>
          </w14:textFill>
        </w:rPr>
      </w:pPr>
      <w:r>
        <w:rPr>
          <w:rFonts w:ascii="Times New Roman" w:hAnsi="Times New Roman" w:cs="Times New Roman" w:eastAsiaTheme="minorEastAsia"/>
          <w:b/>
          <w:color w:val="4F81BD" w:themeColor="accent1"/>
          <w:kern w:val="2"/>
          <w:sz w:val="20"/>
          <w:szCs w:val="20"/>
          <w14:textFill>
            <w14:solidFill>
              <w14:schemeClr w14:val="accent1"/>
            </w14:solidFill>
          </w14:textFill>
        </w:rPr>
        <w:t>Confidential</w:t>
      </w:r>
    </w:p>
    <w:p w14:paraId="1ADF55F8">
      <w:pPr>
        <w:pStyle w:val="11"/>
        <w:shd w:val="clear" w:color="auto" w:fill="FFFFFF"/>
        <w:spacing w:before="0" w:beforeAutospacing="0" w:after="0" w:afterAutospacing="0"/>
        <w:jc w:val="both"/>
        <w:rPr>
          <w:rFonts w:ascii="Times New Roman" w:hAnsi="Times New Roman" w:eastAsia="等线" w:cs="Times New Roman"/>
          <w:kern w:val="2"/>
          <w:sz w:val="20"/>
          <w:szCs w:val="20"/>
        </w:rPr>
      </w:pPr>
      <w:r>
        <w:rPr>
          <w:rFonts w:ascii="Times New Roman" w:hAnsi="Times New Roman" w:eastAsia="等线" w:cs="Times New Roman"/>
          <w:kern w:val="2"/>
          <w:sz w:val="20"/>
          <w:szCs w:val="20"/>
        </w:rPr>
        <w:t>All information about the subjects will be strictly confidential to the extent permitted by law. Only authorized researchers, ethics committees, and research project departments can access the research materials, with the purpose of verifying their authenticity. The identity of any subjects will neither be linked to an electronic file nor shared with anyone. The access to the hard copies and identities will be restricted to the Primary Investigators only.</w:t>
      </w:r>
    </w:p>
    <w:p w14:paraId="1036239A">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Data Management</w:t>
      </w:r>
    </w:p>
    <w:p w14:paraId="241C6061">
      <w:pPr>
        <w:pStyle w:val="11"/>
        <w:shd w:val="clear" w:color="auto" w:fill="FFFFFF"/>
        <w:spacing w:before="0" w:beforeAutospacing="0" w:after="0" w:afterAutospacing="0"/>
        <w:jc w:val="both"/>
        <w:rPr>
          <w:rFonts w:ascii="Times New Roman" w:hAnsi="Times New Roman" w:eastAsia="等线" w:cs="Times New Roman"/>
          <w:kern w:val="2"/>
          <w:sz w:val="20"/>
          <w:szCs w:val="20"/>
        </w:rPr>
      </w:pPr>
      <w:r>
        <w:rPr>
          <w:rFonts w:ascii="Times New Roman" w:hAnsi="Times New Roman" w:eastAsia="等线" w:cs="Times New Roman"/>
          <w:kern w:val="2"/>
          <w:sz w:val="20"/>
          <w:szCs w:val="20"/>
        </w:rPr>
        <w:t>Data will be collected in the paper-based Case Report Form (CRF). Data will be entered into an electronic system by independent investigators, and double-entry verification will be conducted. Principal investigators manage data and supervise research progress. All information is stored at the Department of Neurology, Beijing Puren Hospital. For the participants who discontinued treatment, their reasons, date, and possible AEs will be collected.</w:t>
      </w:r>
    </w:p>
    <w:p w14:paraId="16031D6D">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hint="eastAsia" w:ascii="Times New Roman" w:hAnsi="Times New Roman" w:cs="Times New Roman" w:eastAsiaTheme="minorEastAsia"/>
          <w:b/>
          <w:color w:val="4F81BD" w:themeColor="accent1"/>
          <w:kern w:val="2"/>
          <w14:textFill>
            <w14:solidFill>
              <w14:schemeClr w14:val="accent1"/>
            </w14:solidFill>
          </w14:textFill>
        </w:rPr>
        <w:t>Statistical</w:t>
      </w:r>
      <w:r>
        <w:rPr>
          <w:rFonts w:ascii="Times New Roman" w:hAnsi="Times New Roman" w:cs="Times New Roman" w:eastAsiaTheme="minorEastAsia"/>
          <w:b/>
          <w:color w:val="4F81BD" w:themeColor="accent1"/>
          <w:kern w:val="2"/>
          <w14:textFill>
            <w14:solidFill>
              <w14:schemeClr w14:val="accent1"/>
            </w14:solidFill>
          </w14:textFill>
        </w:rPr>
        <w:t xml:space="preserve"> Analysis Plan</w:t>
      </w:r>
    </w:p>
    <w:p w14:paraId="54F4DEBC">
      <w:pPr>
        <w:pStyle w:val="11"/>
        <w:shd w:val="clear" w:color="auto" w:fill="FFFFFF"/>
        <w:spacing w:before="0" w:beforeAutospacing="0" w:after="0" w:afterAutospacing="0"/>
        <w:rPr>
          <w:rFonts w:ascii="Times New Roman" w:hAnsi="Times New Roman" w:eastAsia="等线" w:cs="Times New Roman"/>
          <w:kern w:val="2"/>
          <w:sz w:val="20"/>
          <w:szCs w:val="20"/>
        </w:rPr>
      </w:pPr>
      <w:r>
        <w:rPr>
          <w:rFonts w:ascii="Times New Roman" w:hAnsi="Times New Roman" w:eastAsia="等线" w:cs="Times New Roman"/>
          <w:kern w:val="2"/>
          <w:sz w:val="20"/>
          <w:szCs w:val="20"/>
        </w:rPr>
        <w:t>The data analysis for this clinical trial will be divided into two steps.</w:t>
      </w:r>
    </w:p>
    <w:p w14:paraId="1CDACAEB">
      <w:pPr>
        <w:pStyle w:val="11"/>
        <w:shd w:val="clear" w:color="auto" w:fill="FFFFFF"/>
        <w:spacing w:before="0" w:beforeAutospacing="0" w:after="0" w:afterAutospacing="0"/>
        <w:jc w:val="both"/>
        <w:rPr>
          <w:rFonts w:ascii="Times New Roman" w:hAnsi="Times New Roman" w:cs="Times New Roman"/>
          <w:kern w:val="2"/>
          <w:sz w:val="20"/>
          <w:szCs w:val="20"/>
        </w:rPr>
      </w:pPr>
      <w:r>
        <w:rPr>
          <w:rFonts w:ascii="Times New Roman" w:hAnsi="Times New Roman" w:eastAsia="等线" w:cs="Times New Roman"/>
          <w:kern w:val="2"/>
          <w:sz w:val="20"/>
          <w:szCs w:val="20"/>
        </w:rPr>
        <w:t>First, for baseline demographic and clinical data, descriptive analysis of categorical data will be presented in terms of frequencies and percentages, whereas that for continuous variables will be described as mean (standard deviation, SD) if normally distributed and as median (interquartile range, IQR) if not. The active group and the sham group will be compared using the t-test if normally distributed and the Mann-Whitney U test if not. The chi-squared test will be used for categorical variables. A two-tailed p value &lt; 0.05 will be considered statistically significant. The analysis will be conducted using the IBM Statistical Package for the Social Sciences (IBM SPSS version 25; IBM Corp Inc., Armonk, NY). Baseline demographic and clinical data will be reported as Table 2.</w:t>
      </w:r>
    </w:p>
    <w:p w14:paraId="798B1C13">
      <w:pPr>
        <w:pStyle w:val="11"/>
        <w:shd w:val="clear" w:color="auto" w:fill="FFFFFF"/>
        <w:spacing w:before="0" w:beforeAutospacing="0" w:after="0" w:afterAutospacing="0"/>
        <w:jc w:val="both"/>
        <w:rPr>
          <w:rFonts w:ascii="Times New Roman" w:hAnsi="Times New Roman" w:eastAsia="等线" w:cs="Times New Roman"/>
          <w:kern w:val="2"/>
          <w:sz w:val="20"/>
          <w:szCs w:val="20"/>
        </w:rPr>
      </w:pPr>
      <w:r>
        <w:rPr>
          <w:rFonts w:ascii="Times New Roman" w:hAnsi="Times New Roman" w:eastAsia="等线" w:cs="Times New Roman"/>
          <w:kern w:val="2"/>
          <w:sz w:val="20"/>
          <w:szCs w:val="20"/>
        </w:rPr>
        <w:t>Second, for treatment outcomes, the data will be analyzed based on the intention-to-treat (ITT) sample using R (R Foundation for Statistical Computing). ITT includes all subjects randomized into treatment, regardless of whether they have completed the entire study. For the primary outcomes and categorical variables (remission rate, response rate, and adverse reaction), the risk ratio (RR) with 95% confidence interval (CI) will be calculated using the log-binomial model, and the absolute risk difference (RD) with 95% CI will be calculated using the Newcombe-Wilson score method. The mixed effects model will be used to determine treatment-attributable changes in all of the outcome measures (total scores and components of PSQI, HDRS</w:t>
      </w:r>
      <w:r>
        <w:rPr>
          <w:rFonts w:ascii="Times New Roman" w:hAnsi="Times New Roman" w:eastAsia="等线" w:cs="Times New Roman"/>
          <w:kern w:val="2"/>
          <w:sz w:val="20"/>
          <w:szCs w:val="20"/>
          <w:vertAlign w:val="subscript"/>
        </w:rPr>
        <w:t>17</w:t>
      </w:r>
      <w:r>
        <w:rPr>
          <w:rFonts w:ascii="Times New Roman" w:hAnsi="Times New Roman" w:eastAsia="等线" w:cs="Times New Roman"/>
          <w:kern w:val="2"/>
          <w:sz w:val="20"/>
          <w:szCs w:val="20"/>
        </w:rPr>
        <w:t xml:space="preserve"> total scores, HARS total scores,</w:t>
      </w:r>
      <w:r>
        <w:rPr>
          <w:rFonts w:hint="eastAsia" w:ascii="Times New Roman" w:hAnsi="Times New Roman" w:eastAsia="等线" w:cs="Times New Roman"/>
          <w:kern w:val="2"/>
          <w:sz w:val="20"/>
          <w:szCs w:val="20"/>
          <w:lang w:val="en-US" w:eastAsia="zh-CN"/>
        </w:rPr>
        <w:t xml:space="preserve"> </w:t>
      </w:r>
      <w:r>
        <w:rPr>
          <w:rFonts w:ascii="Times New Roman" w:hAnsi="Times New Roman" w:eastAsia="等线" w:cs="Times New Roman"/>
          <w:kern w:val="2"/>
          <w:sz w:val="20"/>
          <w:szCs w:val="20"/>
        </w:rPr>
        <w:t xml:space="preserve">PDQ-D total scores, and </w:t>
      </w:r>
      <w:r>
        <w:rPr>
          <w:rFonts w:hint="eastAsia" w:ascii="Times New Roman" w:hAnsi="Times New Roman" w:eastAsia="等线" w:cs="Times New Roman"/>
          <w:kern w:val="2"/>
          <w:sz w:val="20"/>
          <w:szCs w:val="20"/>
          <w:lang w:val="en-US" w:eastAsia="zh-CN"/>
        </w:rPr>
        <w:t>CREQ</w:t>
      </w:r>
      <w:r>
        <w:rPr>
          <w:rFonts w:ascii="Times New Roman" w:hAnsi="Times New Roman" w:eastAsia="等线" w:cs="Times New Roman"/>
          <w:kern w:val="2"/>
          <w:sz w:val="20"/>
          <w:szCs w:val="20"/>
        </w:rPr>
        <w:t xml:space="preserve"> </w:t>
      </w:r>
      <w:r>
        <w:rPr>
          <w:rFonts w:hint="eastAsia" w:ascii="Times New Roman" w:hAnsi="Times New Roman" w:eastAsia="等线" w:cs="Times New Roman"/>
          <w:kern w:val="2"/>
          <w:sz w:val="20"/>
          <w:szCs w:val="20"/>
          <w:lang w:val="en-US" w:eastAsia="zh-CN"/>
        </w:rPr>
        <w:t xml:space="preserve">rumination subscale </w:t>
      </w:r>
      <w:r>
        <w:rPr>
          <w:rFonts w:ascii="Times New Roman" w:hAnsi="Times New Roman" w:eastAsia="等线" w:cs="Times New Roman"/>
          <w:kern w:val="2"/>
          <w:sz w:val="20"/>
          <w:szCs w:val="20"/>
        </w:rPr>
        <w:t>scores) over time, with time (baseline, week 2, week 4, week 6) and group (active versus sham) × time as fixed factors and participants as a random factor. Residuals will be inspected for normality, and the square root transform applied as appropriate. Because of randomization, we plan to not include demographical and clinical data into covariates when performing comparison analysis between groups. Blindness will be assessed using the chi-square test. All statistical tests will use a significance threshold of two tailed p &lt; 0.05.</w:t>
      </w:r>
    </w:p>
    <w:p w14:paraId="5CDA80C2">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Availability of Data</w:t>
      </w:r>
    </w:p>
    <w:p w14:paraId="06CA8753">
      <w:pPr>
        <w:pStyle w:val="11"/>
        <w:shd w:val="clear" w:color="auto" w:fill="FFFFFF"/>
        <w:spacing w:before="0" w:beforeAutospacing="0" w:after="0" w:afterAutospacing="0"/>
        <w:rPr>
          <w:rFonts w:ascii="Times New Roman" w:hAnsi="Times New Roman" w:cs="Times New Roman" w:eastAsiaTheme="minorEastAsia"/>
          <w:kern w:val="2"/>
          <w:sz w:val="20"/>
          <w:szCs w:val="20"/>
        </w:rPr>
      </w:pPr>
      <w:r>
        <w:rPr>
          <w:rFonts w:ascii="Times New Roman" w:hAnsi="Times New Roman" w:cs="Times New Roman" w:eastAsiaTheme="minorEastAsia"/>
          <w:kern w:val="2"/>
          <w:sz w:val="20"/>
          <w:szCs w:val="20"/>
        </w:rPr>
        <w:t xml:space="preserve">Materials described in this paper pertain to the study protocol only and no raw data are reported. The datasets will be collected and analyzed, and can be made available from the </w:t>
      </w:r>
      <w:r>
        <w:rPr>
          <w:rFonts w:ascii="Times New Roman" w:hAnsi="Times New Roman" w:eastAsia="等线" w:cs="Times New Roman"/>
          <w:sz w:val="20"/>
          <w:szCs w:val="20"/>
        </w:rPr>
        <w:t>Principal Investigators</w:t>
      </w:r>
      <w:r>
        <w:rPr>
          <w:rFonts w:ascii="Times New Roman" w:hAnsi="Times New Roman" w:cs="Times New Roman" w:eastAsiaTheme="minorEastAsia"/>
          <w:kern w:val="2"/>
          <w:sz w:val="20"/>
          <w:szCs w:val="20"/>
        </w:rPr>
        <w:t xml:space="preserve"> on reasonable requests.</w:t>
      </w:r>
    </w:p>
    <w:p w14:paraId="09DC755A">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hint="eastAsia" w:ascii="Times New Roman" w:hAnsi="Times New Roman" w:cs="Times New Roman" w:eastAsiaTheme="minorEastAsia"/>
          <w:b/>
          <w:color w:val="4F81BD" w:themeColor="accent1"/>
          <w:kern w:val="2"/>
          <w14:textFill>
            <w14:solidFill>
              <w14:schemeClr w14:val="accent1"/>
            </w14:solidFill>
          </w14:textFill>
        </w:rPr>
        <w:t>S</w:t>
      </w:r>
      <w:r>
        <w:rPr>
          <w:rFonts w:ascii="Times New Roman" w:hAnsi="Times New Roman" w:cs="Times New Roman" w:eastAsiaTheme="minorEastAsia"/>
          <w:b/>
          <w:color w:val="4F81BD" w:themeColor="accent1"/>
          <w:kern w:val="2"/>
          <w14:textFill>
            <w14:solidFill>
              <w14:schemeClr w14:val="accent1"/>
            </w14:solidFill>
          </w14:textFill>
        </w:rPr>
        <w:t>ubstudy</w:t>
      </w:r>
    </w:p>
    <w:p w14:paraId="2D4FEDBA">
      <w:pPr>
        <w:rPr>
          <w:rFonts w:ascii="Times New Roman" w:hAnsi="Times New Roman" w:eastAsia="等线" w:cs="Times New Roman"/>
          <w:sz w:val="20"/>
          <w:szCs w:val="20"/>
        </w:rPr>
      </w:pPr>
      <w:r>
        <w:rPr>
          <w:rFonts w:ascii="Times New Roman" w:hAnsi="Times New Roman" w:eastAsia="等线" w:cs="Times New Roman"/>
          <w:sz w:val="20"/>
          <w:szCs w:val="20"/>
        </w:rPr>
        <w:t>Imaging data will be acquired with a 3.0 T MRI system (Union Medical uMR770, Beijing, China) to investigate the potential neural response and predictors. The resting-state images will be scanned for 10 minutes with echo-planar imaging sequence [repetition time (TR) s/echo time (TE) ms, 2/30; FOV, 230 mm×230 mm; 80° flip angle; matrix, 64×64; thickness/gap, 3.5 mm/0 mm; 36 slices]. Anatomical images will be obtained with a T1-weighted magnetization-prepared rapid gradient-echo (MP-RAGE) sequence (9° flip angle; thickness, 1 mm; 176 slices).</w:t>
      </w:r>
      <w:r>
        <w:rPr>
          <w:rFonts w:hint="eastAsia" w:ascii="Times New Roman" w:hAnsi="Times New Roman" w:eastAsia="等线" w:cs="Times New Roman"/>
          <w:sz w:val="20"/>
          <w:szCs w:val="20"/>
        </w:rPr>
        <w:t xml:space="preserve"> The EEG data were also collected for the patients who agreed.</w:t>
      </w:r>
    </w:p>
    <w:p w14:paraId="465D0AA7">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Competing Interests</w:t>
      </w:r>
    </w:p>
    <w:p w14:paraId="022FE54A">
      <w:pPr>
        <w:pStyle w:val="11"/>
        <w:shd w:val="clear" w:color="auto" w:fill="FFFFFF"/>
        <w:spacing w:before="0" w:beforeAutospacing="0" w:after="0" w:afterAutospacing="0"/>
        <w:rPr>
          <w:rFonts w:ascii="Times New Roman" w:hAnsi="Times New Roman" w:cs="Times New Roman" w:eastAsiaTheme="minorEastAsia"/>
          <w:kern w:val="2"/>
          <w:sz w:val="20"/>
          <w:szCs w:val="20"/>
        </w:rPr>
      </w:pPr>
      <w:r>
        <w:rPr>
          <w:rFonts w:ascii="Times New Roman" w:hAnsi="Times New Roman" w:cs="Times New Roman" w:eastAsiaTheme="minorEastAsia"/>
          <w:kern w:val="2"/>
          <w:sz w:val="20"/>
          <w:szCs w:val="20"/>
        </w:rPr>
        <w:t>The authors declare that they have no competing interests.</w:t>
      </w:r>
    </w:p>
    <w:p w14:paraId="692F01CF">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Funding</w:t>
      </w:r>
    </w:p>
    <w:p w14:paraId="4A0965CF">
      <w:pPr>
        <w:rPr>
          <w:rFonts w:ascii="Times New Roman" w:hAnsi="Times New Roman" w:cs="Times New Roman"/>
          <w:sz w:val="20"/>
          <w:szCs w:val="20"/>
        </w:rPr>
      </w:pPr>
      <w:r>
        <w:rPr>
          <w:rFonts w:ascii="Times New Roman" w:hAnsi="Times New Roman" w:cs="Times New Roman"/>
          <w:sz w:val="20"/>
          <w:szCs w:val="20"/>
        </w:rPr>
        <w:t>This research will be supported by the Dongcheng District Health Science and Technology Plan Project Fund of Beijing (2022-4), Science and Technology Innovation Project of Puren Hospital (2022-1), and Beijing Institute of Technology Research Fund Program for Young Scholars (3160012222109).</w:t>
      </w:r>
    </w:p>
    <w:p w14:paraId="03129C9D">
      <w:pPr>
        <w:pStyle w:val="11"/>
        <w:numPr>
          <w:ilvl w:val="0"/>
          <w:numId w:val="6"/>
        </w:numPr>
        <w:shd w:val="clear" w:color="auto" w:fill="FFFFFF"/>
        <w:spacing w:before="0" w:beforeAutospacing="0" w:after="0" w:afterAutospacing="0"/>
        <w:jc w:val="both"/>
        <w:rPr>
          <w:rFonts w:ascii="Times New Roman" w:hAnsi="Times New Roman" w:cs="Times New Roman" w:eastAsiaTheme="minorEastAsia"/>
          <w:b/>
          <w:color w:val="4F81BD" w:themeColor="accent1"/>
          <w:kern w:val="2"/>
          <w14:textFill>
            <w14:solidFill>
              <w14:schemeClr w14:val="accent1"/>
            </w14:solidFill>
          </w14:textFill>
        </w:rPr>
      </w:pPr>
      <w:r>
        <w:rPr>
          <w:rFonts w:ascii="Times New Roman" w:hAnsi="Times New Roman" w:cs="Times New Roman" w:eastAsiaTheme="minorEastAsia"/>
          <w:b/>
          <w:color w:val="4F81BD" w:themeColor="accent1"/>
          <w:kern w:val="2"/>
          <w14:textFill>
            <w14:solidFill>
              <w14:schemeClr w14:val="accent1"/>
            </w14:solidFill>
          </w14:textFill>
        </w:rPr>
        <w:t>Reference</w:t>
      </w:r>
    </w:p>
    <w:p w14:paraId="7564BF0B">
      <w:pPr>
        <w:pStyle w:val="24"/>
        <w:numPr>
          <w:ilvl w:val="0"/>
          <w:numId w:val="8"/>
        </w:numPr>
        <w:ind w:left="357" w:hanging="357"/>
        <w:rPr>
          <w:rFonts w:ascii="Times New Roman" w:hAnsi="Times New Roman" w:cs="Times New Roman"/>
        </w:rPr>
      </w:pPr>
      <w:r>
        <w:rPr>
          <w:rFonts w:ascii="Times New Roman" w:hAnsi="Times New Roman" w:cs="Times New Roman"/>
        </w:rPr>
        <w:fldChar w:fldCharType="begin"/>
      </w:r>
      <w:r>
        <w:rPr>
          <w:rFonts w:ascii="Times New Roman" w:hAnsi="Times New Roman" w:cs="Times New Roman"/>
        </w:rPr>
        <w:instrText xml:space="preserve"> ADDIN EN.REFLIST </w:instrText>
      </w:r>
      <w:r>
        <w:rPr>
          <w:rFonts w:ascii="Times New Roman" w:hAnsi="Times New Roman" w:cs="Times New Roman"/>
        </w:rPr>
        <w:fldChar w:fldCharType="separate"/>
      </w:r>
      <w:r>
        <w:rPr>
          <w:rFonts w:ascii="Times New Roman" w:hAnsi="Times New Roman" w:cs="Times New Roman"/>
        </w:rPr>
        <w:t>Baglioni C, Nanovska S, Regen W, Spiegelhalder K, Feige B, Nissen C, et al. Sleep and mental disorders: A meta-analysis of polysomnographic research. Psychol Bull. 2016 Sep;142:969-90.</w:t>
      </w:r>
    </w:p>
    <w:p w14:paraId="6875CC04">
      <w:pPr>
        <w:pStyle w:val="24"/>
        <w:numPr>
          <w:ilvl w:val="0"/>
          <w:numId w:val="8"/>
        </w:numPr>
        <w:ind w:left="357" w:hanging="357"/>
        <w:rPr>
          <w:rFonts w:ascii="Times New Roman" w:hAnsi="Times New Roman" w:cs="Times New Roman"/>
        </w:rPr>
      </w:pPr>
      <w:r>
        <w:rPr>
          <w:rFonts w:ascii="Times New Roman" w:hAnsi="Times New Roman" w:cs="Times New Roman"/>
        </w:rPr>
        <w:t>Ash G, Jeon S, Conley S, Knies AK, Yaggi HK, Jacoby D, et al. Day-to-day Relationships between Physical Activity and Sleep Characteristics among People with Heart Failure and Insomnia. Behav Sleep Med. 2021 Sep-Oct;19:602-14.</w:t>
      </w:r>
    </w:p>
    <w:p w14:paraId="77AB04A4">
      <w:pPr>
        <w:pStyle w:val="24"/>
        <w:numPr>
          <w:ilvl w:val="0"/>
          <w:numId w:val="8"/>
        </w:numPr>
        <w:ind w:left="357" w:hanging="357"/>
        <w:rPr>
          <w:rFonts w:ascii="Times New Roman" w:hAnsi="Times New Roman" w:cs="Times New Roman"/>
        </w:rPr>
      </w:pPr>
      <w:r>
        <w:rPr>
          <w:rFonts w:ascii="Times New Roman" w:hAnsi="Times New Roman" w:cs="Times New Roman"/>
        </w:rPr>
        <w:t>Holbrook A, Crowther R, Lotter A, Endeshaw Y. The role of benzodiazepines in the treatment of insomnia: meta-analysis of benzodiazepine use in the treatment of insomnia. J Am Geriatr Soc. 2001 Jun;49:824-6.</w:t>
      </w:r>
    </w:p>
    <w:p w14:paraId="66A4CB03">
      <w:pPr>
        <w:pStyle w:val="24"/>
        <w:numPr>
          <w:ilvl w:val="0"/>
          <w:numId w:val="8"/>
        </w:numPr>
        <w:ind w:left="357" w:hanging="357"/>
        <w:rPr>
          <w:rFonts w:ascii="Times New Roman" w:hAnsi="Times New Roman" w:cs="Times New Roman"/>
        </w:rPr>
      </w:pPr>
      <w:r>
        <w:rPr>
          <w:rFonts w:ascii="Times New Roman" w:hAnsi="Times New Roman" w:cs="Times New Roman"/>
        </w:rPr>
        <w:t>Chan NY, Chan JWY, Li SX, Wing YK. Non-pharmacological Approaches for Management of Insomnia. Neurotherapeutics. 2021 Jan;18:32-43.</w:t>
      </w:r>
    </w:p>
    <w:p w14:paraId="30D1CE2E">
      <w:pPr>
        <w:pStyle w:val="24"/>
        <w:numPr>
          <w:ilvl w:val="0"/>
          <w:numId w:val="8"/>
        </w:numPr>
        <w:ind w:left="357" w:hanging="357"/>
        <w:rPr>
          <w:rFonts w:ascii="Times New Roman" w:hAnsi="Times New Roman" w:cs="Times New Roman"/>
        </w:rPr>
      </w:pPr>
      <w:r>
        <w:rPr>
          <w:rFonts w:ascii="Times New Roman" w:hAnsi="Times New Roman" w:cs="Times New Roman"/>
        </w:rPr>
        <w:t>Huang Z, Li Y, Bianchi MT, Zhan S, Jiang F, Li N, et al. Repetitive transcranial magnetic stimulation of the right parietal cortex for comorbid generalized anxiety disorder and insomnia: A randomized, double-blind, sham-controlled pilot study. Brain Stimul. 2018 Sep-Oct;11:1103-09.</w:t>
      </w:r>
    </w:p>
    <w:p w14:paraId="1F5FB9DF">
      <w:pPr>
        <w:pStyle w:val="24"/>
        <w:numPr>
          <w:ilvl w:val="0"/>
          <w:numId w:val="8"/>
        </w:numPr>
        <w:ind w:left="357" w:hanging="357"/>
        <w:rPr>
          <w:rFonts w:ascii="Times New Roman" w:hAnsi="Times New Roman" w:cs="Times New Roman"/>
        </w:rPr>
      </w:pPr>
      <w:r>
        <w:rPr>
          <w:rFonts w:ascii="Times New Roman" w:hAnsi="Times New Roman" w:cs="Times New Roman"/>
        </w:rPr>
        <w:t>Zhang YP, Liao WJ, Xia WG. Effect of Acupuncture Cooperated with Low-frequency Repetitive Transcranial Magnetic Stimulation on Chronic Insomnia: A Randomized Clinical Trial. Curr Med Sci. 2018 Jun;3:491-98.</w:t>
      </w:r>
    </w:p>
    <w:p w14:paraId="246AA44B">
      <w:pPr>
        <w:pStyle w:val="24"/>
        <w:numPr>
          <w:ilvl w:val="0"/>
          <w:numId w:val="8"/>
        </w:numPr>
        <w:ind w:left="357" w:hanging="357"/>
        <w:rPr>
          <w:rFonts w:ascii="Times New Roman" w:hAnsi="Times New Roman" w:cs="Times New Roman"/>
        </w:rPr>
      </w:pPr>
      <w:r>
        <w:rPr>
          <w:rFonts w:ascii="Times New Roman" w:hAnsi="Times New Roman" w:cs="Times New Roman"/>
        </w:rPr>
        <w:t>Feng J, Zhang Q, Zhang C, Wen Z, Zhou X. The Effect of sequential bilateral low-frequency rTMS over dorsolateral prefrontal cortex on serum level of BDNF and GABA in patients with primary insomnia. Brain Behav. 2019 Feb;9:e01206.</w:t>
      </w:r>
    </w:p>
    <w:p w14:paraId="7AE43A18">
      <w:pPr>
        <w:pStyle w:val="24"/>
        <w:numPr>
          <w:ilvl w:val="0"/>
          <w:numId w:val="8"/>
        </w:numPr>
        <w:ind w:left="357" w:hanging="357"/>
        <w:rPr>
          <w:rFonts w:ascii="Times New Roman" w:hAnsi="Times New Roman" w:cs="Times New Roman"/>
        </w:rPr>
      </w:pPr>
      <w:r>
        <w:rPr>
          <w:rFonts w:ascii="Times New Roman" w:hAnsi="Times New Roman" w:cs="Times New Roman"/>
        </w:rPr>
        <w:t>Zhou Q, Yu C, Yu H, Zhang Y, Liu Z, Hu Z, et al. The effects of repeated transcranial direct current stimulation on sleep quality and depression symptoms in patients with major depression and insomnia. Sleep Med. 2020 Jun;70:17-26.</w:t>
      </w:r>
    </w:p>
    <w:p w14:paraId="44D3D7A1">
      <w:pPr>
        <w:pStyle w:val="24"/>
        <w:numPr>
          <w:ilvl w:val="0"/>
          <w:numId w:val="8"/>
        </w:numPr>
        <w:ind w:left="357" w:hanging="357"/>
        <w:rPr>
          <w:rFonts w:ascii="Times New Roman" w:hAnsi="Times New Roman" w:cs="Times New Roman"/>
        </w:rPr>
      </w:pPr>
      <w:r>
        <w:rPr>
          <w:rFonts w:ascii="Times New Roman" w:hAnsi="Times New Roman" w:cs="Times New Roman"/>
        </w:rPr>
        <w:t>Ma H, Lin J, He J, Lo DHT, Tsang HWH. Effectiveness of TES and rTMS for the Treatment of Insomnia: Meta-Analysis and Meta-Regression of Randomized Sham-Controlled Trials. Front Psychiatry. 2021 Oct;12:744475.</w:t>
      </w:r>
    </w:p>
    <w:p w14:paraId="3A49C720">
      <w:pPr>
        <w:pStyle w:val="24"/>
        <w:numPr>
          <w:ilvl w:val="0"/>
          <w:numId w:val="8"/>
        </w:numPr>
        <w:ind w:left="357" w:hanging="357"/>
        <w:rPr>
          <w:rFonts w:ascii="Times New Roman" w:hAnsi="Times New Roman" w:cs="Times New Roman"/>
        </w:rPr>
      </w:pPr>
      <w:r>
        <w:rPr>
          <w:rFonts w:ascii="Times New Roman" w:hAnsi="Times New Roman" w:cs="Times New Roman"/>
        </w:rPr>
        <w:t>Elyamany O, Leicht G, Herrmann CS, Mulert C. Transcranial alternating current stimulation (tACS): from basic mechanisms towards first applications in psychiatry. Eur Arch Psychiatry Clin Neurosci. 2021 Feb;271:135-56.</w:t>
      </w:r>
    </w:p>
    <w:p w14:paraId="65FFC786">
      <w:pPr>
        <w:pStyle w:val="24"/>
        <w:numPr>
          <w:ilvl w:val="0"/>
          <w:numId w:val="8"/>
        </w:numPr>
        <w:ind w:left="357" w:hanging="357"/>
        <w:rPr>
          <w:rFonts w:ascii="Times New Roman" w:hAnsi="Times New Roman" w:cs="Times New Roman"/>
        </w:rPr>
      </w:pPr>
      <w:r>
        <w:rPr>
          <w:rFonts w:ascii="Times New Roman" w:hAnsi="Times New Roman" w:cs="Times New Roman"/>
        </w:rPr>
        <w:t>Raichle ME, Snyder AZ. A default mode of brain function: a brief history of an evolving idea. Neuroimage. 2007 Oct;37:1083-90.</w:t>
      </w:r>
    </w:p>
    <w:p w14:paraId="113FBA77">
      <w:pPr>
        <w:pStyle w:val="24"/>
        <w:numPr>
          <w:ilvl w:val="0"/>
          <w:numId w:val="8"/>
        </w:numPr>
        <w:ind w:left="357" w:hanging="357"/>
        <w:rPr>
          <w:rFonts w:ascii="Times New Roman" w:hAnsi="Times New Roman" w:cs="Times New Roman"/>
        </w:rPr>
      </w:pPr>
      <w:r>
        <w:rPr>
          <w:rFonts w:ascii="Times New Roman" w:hAnsi="Times New Roman" w:cs="Times New Roman"/>
        </w:rPr>
        <w:t>Buckner RL, DiNicola LM. The brain's default network: updated anatomy, physiology and evolving insights. Nat Rev Neurosci. 2019 Oct;20:593-608.</w:t>
      </w:r>
    </w:p>
    <w:p w14:paraId="31491279">
      <w:pPr>
        <w:pStyle w:val="24"/>
        <w:numPr>
          <w:ilvl w:val="0"/>
          <w:numId w:val="8"/>
        </w:numPr>
        <w:ind w:left="357" w:hanging="357"/>
        <w:rPr>
          <w:rFonts w:ascii="Times New Roman" w:hAnsi="Times New Roman" w:cs="Times New Roman"/>
        </w:rPr>
      </w:pPr>
      <w:r>
        <w:rPr>
          <w:rFonts w:ascii="Times New Roman" w:hAnsi="Times New Roman" w:cs="Times New Roman"/>
        </w:rPr>
        <w:t>Palva S, Palva JM. New vistas for alpha-frequency band oscillations. Trends Neurosci. 2007 Apr;30:150-8.</w:t>
      </w:r>
    </w:p>
    <w:p w14:paraId="4CBB674E">
      <w:pPr>
        <w:pStyle w:val="24"/>
        <w:numPr>
          <w:ilvl w:val="0"/>
          <w:numId w:val="8"/>
        </w:numPr>
        <w:ind w:left="357" w:hanging="357"/>
        <w:rPr>
          <w:rFonts w:ascii="Times New Roman" w:hAnsi="Times New Roman" w:cs="Times New Roman"/>
        </w:rPr>
      </w:pPr>
      <w:r>
        <w:rPr>
          <w:rFonts w:ascii="Times New Roman" w:hAnsi="Times New Roman" w:cs="Times New Roman"/>
        </w:rPr>
        <w:t xml:space="preserve">Hillebrand A, Tewarie P, van Dellen E, </w:t>
      </w:r>
      <w:r>
        <w:rPr>
          <w:rFonts w:hint="eastAsia" w:ascii="Times New Roman" w:hAnsi="Times New Roman" w:cs="Times New Roman"/>
        </w:rPr>
        <w:t>et al</w:t>
      </w:r>
      <w:r>
        <w:rPr>
          <w:rFonts w:ascii="Times New Roman" w:hAnsi="Times New Roman" w:cs="Times New Roman"/>
        </w:rPr>
        <w:t>. Direction of information flow in large-scale resting-state networks is frequency-dependent. Proc Natl Acad Sci U S A 2016 Apr;113:3867-3872.</w:t>
      </w:r>
    </w:p>
    <w:p w14:paraId="304A24F4">
      <w:pPr>
        <w:pStyle w:val="24"/>
        <w:numPr>
          <w:ilvl w:val="0"/>
          <w:numId w:val="8"/>
        </w:numPr>
        <w:ind w:left="357" w:hanging="357"/>
        <w:rPr>
          <w:rFonts w:ascii="Times New Roman" w:hAnsi="Times New Roman" w:cs="Times New Roman"/>
        </w:rPr>
      </w:pPr>
      <w:r>
        <w:rPr>
          <w:rFonts w:ascii="Times New Roman" w:hAnsi="Times New Roman" w:cs="Times New Roman"/>
        </w:rPr>
        <w:t>Wang YJ, Duan W, Lei X. Impaired Coupling of the Brain's Default Network During Sleep Deprivation: A Resting-State EEG Study. Nat Sci Sleep. 2020 Nov;12:937-47.</w:t>
      </w:r>
    </w:p>
    <w:p w14:paraId="5E65E531">
      <w:pPr>
        <w:pStyle w:val="24"/>
        <w:numPr>
          <w:ilvl w:val="0"/>
          <w:numId w:val="8"/>
        </w:numPr>
        <w:ind w:left="357" w:hanging="357"/>
        <w:rPr>
          <w:rFonts w:ascii="Times New Roman" w:hAnsi="Times New Roman" w:cs="Times New Roman"/>
        </w:rPr>
      </w:pPr>
      <w:r>
        <w:rPr>
          <w:rFonts w:ascii="Times New Roman" w:hAnsi="Times New Roman" w:cs="Times New Roman"/>
        </w:rPr>
        <w:t>Wu J, Zhou Q, Li J, Chen Y, Shao S, Xiao Y. Decreased resting-state alpha-band activation and functional connectivity after sleep deprivation. Sci Rep. 2021 Jan;11:484.</w:t>
      </w:r>
    </w:p>
    <w:p w14:paraId="0FCBAAED">
      <w:pPr>
        <w:pStyle w:val="24"/>
        <w:numPr>
          <w:ilvl w:val="0"/>
          <w:numId w:val="8"/>
        </w:numPr>
        <w:ind w:left="357" w:hanging="357"/>
        <w:rPr>
          <w:rFonts w:ascii="Times New Roman" w:hAnsi="Times New Roman" w:cs="Times New Roman"/>
        </w:rPr>
      </w:pPr>
      <w:r>
        <w:rPr>
          <w:rFonts w:ascii="Times New Roman" w:hAnsi="Times New Roman" w:cs="Times New Roman"/>
        </w:rPr>
        <w:t xml:space="preserve">Dong X, Qin H, Wu T, Hu H, Liao K, Cheng F, et al. </w:t>
      </w:r>
      <w:r>
        <w:fldChar w:fldCharType="begin"/>
      </w:r>
      <w:r>
        <w:instrText xml:space="preserve"> HYPERLINK "https://pubmed.ncbi.nlm.nih.gov/29484254/" </w:instrText>
      </w:r>
      <w:r>
        <w:fldChar w:fldCharType="separate"/>
      </w:r>
      <w:r>
        <w:rPr>
          <w:rFonts w:ascii="Times New Roman" w:hAnsi="Times New Roman" w:cs="Times New Roman"/>
        </w:rPr>
        <w:t>Rest but busy: Aberrant resting-state functional connectivity of triple network model in insomnia.</w:t>
      </w:r>
      <w:r>
        <w:rPr>
          <w:rFonts w:ascii="Times New Roman" w:hAnsi="Times New Roman" w:cs="Times New Roman"/>
        </w:rPr>
        <w:fldChar w:fldCharType="end"/>
      </w:r>
      <w:r>
        <w:rPr>
          <w:rFonts w:ascii="Times New Roman" w:hAnsi="Times New Roman" w:cs="Times New Roman"/>
        </w:rPr>
        <w:t xml:space="preserve"> Brain Behav. 2018 Jan;8:e00876.</w:t>
      </w:r>
    </w:p>
    <w:p w14:paraId="697AF0CA">
      <w:pPr>
        <w:pStyle w:val="24"/>
        <w:numPr>
          <w:ilvl w:val="0"/>
          <w:numId w:val="8"/>
        </w:numPr>
        <w:ind w:left="357" w:hanging="357"/>
        <w:rPr>
          <w:rFonts w:ascii="Times New Roman" w:hAnsi="Times New Roman" w:cs="Times New Roman"/>
        </w:rPr>
      </w:pPr>
      <w:r>
        <w:rPr>
          <w:rFonts w:ascii="Times New Roman" w:hAnsi="Times New Roman" w:cs="Times New Roman"/>
        </w:rPr>
        <w:t>Wang HX, Wang L, Zhang WR, Xue Q, Peng M, Sun ZC, et al. Effect of Transcranial Alternating Current Stimulation for the Treatment of Chronic Insomnia: A Randomized, Double-Blind, Parallel-Group, Placebo-Controlled Clinical Trial. Psychother Psychosom. 2020 Dec;89:38-47.</w:t>
      </w:r>
    </w:p>
    <w:p w14:paraId="427668BD">
      <w:pPr>
        <w:pStyle w:val="29"/>
        <w:numPr>
          <w:ilvl w:val="0"/>
          <w:numId w:val="8"/>
        </w:numPr>
        <w:ind w:left="357" w:hanging="357" w:firstLineChars="0"/>
        <w:rPr>
          <w:rFonts w:ascii="Times New Roman" w:hAnsi="Times New Roman" w:cs="Times New Roman"/>
          <w:sz w:val="20"/>
        </w:rPr>
      </w:pPr>
      <w:r>
        <w:rPr>
          <w:rFonts w:ascii="Times New Roman" w:hAnsi="Times New Roman" w:cs="Times New Roman"/>
          <w:sz w:val="20"/>
        </w:rPr>
        <w:t>Wang G, Si TM, Li L, Fang Y, Wang CX, Wang LN, et al. Cognitive symptoms in major depressive disorder: associations with clinical and functional outcomes in a 6-month, non-interventional, prospective study in China. Neuropsychiatr Dis Treat. 2019 Jul;15:1723-36.</w:t>
      </w:r>
      <w:r>
        <w:rPr>
          <w:rFonts w:ascii="Times New Roman" w:hAnsi="Times New Roman" w:cs="Times New Roman"/>
          <w:sz w:val="20"/>
        </w:rPr>
        <w:fldChar w:fldCharType="end"/>
      </w:r>
    </w:p>
    <w:p w14:paraId="6F5191D6"/>
    <w:p w14:paraId="426D1840">
      <w:pPr>
        <w:pStyle w:val="29"/>
        <w:rPr>
          <w:rFonts w:ascii="Times New Roman" w:hAnsi="Times New Roman" w:cs="Times New Roman"/>
          <w:sz w:val="20"/>
        </w:rPr>
      </w:pPr>
      <w:r>
        <w:rPr>
          <w:rFonts w:ascii="Times New Roman" w:hAnsi="Times New Roman" w:cs="Times New Roman"/>
        </w:rPr>
        <w:fldChar w:fldCharType="begin"/>
      </w:r>
      <w:r>
        <w:rPr>
          <w:rFonts w:ascii="Times New Roman" w:hAnsi="Times New Roman" w:cs="Times New Roman"/>
        </w:rPr>
        <w:instrText xml:space="preserve"> ADDIN EN.REFLIST </w:instrText>
      </w:r>
      <w:r>
        <w:rPr>
          <w:rFonts w:ascii="Times New Roman" w:hAnsi="Times New Roman" w:cs="Times New Roman"/>
        </w:rPr>
        <w:fldChar w:fldCharType="end"/>
      </w:r>
    </w:p>
    <w:p w14:paraId="31F84B37">
      <w:pPr>
        <w:widowControl/>
        <w:jc w:val="left"/>
        <w:rPr>
          <w:rFonts w:ascii="Times New Roman" w:hAnsi="Times New Roman" w:eastAsia="等线" w:cs="Times New Roman"/>
          <w:b/>
          <w:sz w:val="20"/>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90412988"/>
    </w:sdtPr>
    <w:sdtContent>
      <w:p w14:paraId="07377B40">
        <w:pPr>
          <w:pStyle w:val="9"/>
          <w:jc w:val="center"/>
        </w:pPr>
        <w:r>
          <w:fldChar w:fldCharType="begin"/>
        </w:r>
        <w:r>
          <w:instrText xml:space="preserve">PAGE   \* MERGEFORMAT</w:instrText>
        </w:r>
        <w:r>
          <w:fldChar w:fldCharType="separate"/>
        </w:r>
        <w:r>
          <w:rPr>
            <w:lang w:val="zh-CN"/>
          </w:rPr>
          <w:t>6</w:t>
        </w:r>
        <w:r>
          <w:fldChar w:fldCharType="end"/>
        </w:r>
      </w:p>
    </w:sdtContent>
  </w:sdt>
  <w:p w14:paraId="71573CB3">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C33758E"/>
    <w:multiLevelType w:val="multilevel"/>
    <w:tmpl w:val="1C33758E"/>
    <w:lvl w:ilvl="0" w:tentative="0">
      <w:start w:val="2"/>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3F4F6E8B"/>
    <w:multiLevelType w:val="multilevel"/>
    <w:tmpl w:val="3F4F6E8B"/>
    <w:lvl w:ilvl="0" w:tentative="0">
      <w:start w:val="10"/>
      <w:numFmt w:val="decimal"/>
      <w:lvlText w:val="%1"/>
      <w:lvlJc w:val="left"/>
      <w:pPr>
        <w:ind w:left="360" w:hanging="360"/>
      </w:pPr>
      <w:rPr>
        <w:rFonts w:hint="default"/>
      </w:rPr>
    </w:lvl>
    <w:lvl w:ilvl="1" w:tentative="0">
      <w:start w:val="1"/>
      <w:numFmt w:val="decimal"/>
      <w:isLgl/>
      <w:lvlText w:val="%1.%2"/>
      <w:lvlJc w:val="left"/>
      <w:pPr>
        <w:ind w:left="420" w:hanging="420"/>
      </w:pPr>
      <w:rPr>
        <w:rFonts w:hint="default"/>
      </w:rPr>
    </w:lvl>
    <w:lvl w:ilvl="2" w:tentative="0">
      <w:start w:val="1"/>
      <w:numFmt w:val="decimal"/>
      <w:isLgl/>
      <w:lvlText w:val="%1.%2.%3"/>
      <w:lvlJc w:val="left"/>
      <w:pPr>
        <w:ind w:left="720" w:hanging="720"/>
      </w:pPr>
      <w:rPr>
        <w:rFonts w:hint="default"/>
      </w:rPr>
    </w:lvl>
    <w:lvl w:ilvl="3" w:tentative="0">
      <w:start w:val="1"/>
      <w:numFmt w:val="decimal"/>
      <w:isLgl/>
      <w:lvlText w:val="%1.%2.%3.%4"/>
      <w:lvlJc w:val="left"/>
      <w:pPr>
        <w:ind w:left="720" w:hanging="720"/>
      </w:pPr>
      <w:rPr>
        <w:rFonts w:hint="default"/>
      </w:rPr>
    </w:lvl>
    <w:lvl w:ilvl="4" w:tentative="0">
      <w:start w:val="1"/>
      <w:numFmt w:val="decimal"/>
      <w:isLgl/>
      <w:lvlText w:val="%1.%2.%3.%4.%5"/>
      <w:lvlJc w:val="left"/>
      <w:pPr>
        <w:ind w:left="1080" w:hanging="1080"/>
      </w:pPr>
      <w:rPr>
        <w:rFonts w:hint="default"/>
      </w:rPr>
    </w:lvl>
    <w:lvl w:ilvl="5" w:tentative="0">
      <w:start w:val="1"/>
      <w:numFmt w:val="decimal"/>
      <w:isLgl/>
      <w:lvlText w:val="%1.%2.%3.%4.%5.%6"/>
      <w:lvlJc w:val="left"/>
      <w:pPr>
        <w:ind w:left="1080" w:hanging="1080"/>
      </w:pPr>
      <w:rPr>
        <w:rFonts w:hint="default"/>
      </w:rPr>
    </w:lvl>
    <w:lvl w:ilvl="6" w:tentative="0">
      <w:start w:val="1"/>
      <w:numFmt w:val="decimal"/>
      <w:isLgl/>
      <w:lvlText w:val="%1.%2.%3.%4.%5.%6.%7"/>
      <w:lvlJc w:val="left"/>
      <w:pPr>
        <w:ind w:left="1440" w:hanging="1440"/>
      </w:pPr>
      <w:rPr>
        <w:rFonts w:hint="default"/>
      </w:rPr>
    </w:lvl>
    <w:lvl w:ilvl="7" w:tentative="0">
      <w:start w:val="1"/>
      <w:numFmt w:val="decimal"/>
      <w:isLgl/>
      <w:lvlText w:val="%1.%2.%3.%4.%5.%6.%7.%8"/>
      <w:lvlJc w:val="left"/>
      <w:pPr>
        <w:ind w:left="1440" w:hanging="1440"/>
      </w:pPr>
      <w:rPr>
        <w:rFonts w:hint="default"/>
      </w:rPr>
    </w:lvl>
    <w:lvl w:ilvl="8" w:tentative="0">
      <w:start w:val="1"/>
      <w:numFmt w:val="decimal"/>
      <w:isLgl/>
      <w:lvlText w:val="%1.%2.%3.%4.%5.%6.%7.%8.%9"/>
      <w:lvlJc w:val="left"/>
      <w:pPr>
        <w:ind w:left="1800" w:hanging="1800"/>
      </w:pPr>
      <w:rPr>
        <w:rFonts w:hint="default"/>
      </w:rPr>
    </w:lvl>
  </w:abstractNum>
  <w:abstractNum w:abstractNumId="2">
    <w:nsid w:val="42736FBA"/>
    <w:multiLevelType w:val="multilevel"/>
    <w:tmpl w:val="42736FBA"/>
    <w:lvl w:ilvl="0" w:tentative="0">
      <w:start w:val="6"/>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8871F28"/>
    <w:multiLevelType w:val="multilevel"/>
    <w:tmpl w:val="48871F28"/>
    <w:lvl w:ilvl="0" w:tentative="0">
      <w:start w:val="1"/>
      <w:numFmt w:val="decimal"/>
      <w:lvlText w:val="%1"/>
      <w:lvlJc w:val="left"/>
      <w:pPr>
        <w:ind w:left="360" w:hanging="360"/>
      </w:pPr>
      <w:rPr>
        <w:rFonts w:ascii="Times New Roman" w:hAnsi="Times New Roman" w:eastAsia="等线"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0C72E64"/>
    <w:multiLevelType w:val="multilevel"/>
    <w:tmpl w:val="50C72E64"/>
    <w:lvl w:ilvl="0" w:tentative="0">
      <w:start w:val="8"/>
      <w:numFmt w:val="decimal"/>
      <w:lvlText w:val="%1"/>
      <w:lvlJc w:val="left"/>
      <w:pPr>
        <w:ind w:left="360" w:hanging="360"/>
      </w:pPr>
      <w:rPr>
        <w:rFonts w:hint="default"/>
        <w:color w:val="000000" w:themeColor="text1"/>
        <w14:textFill>
          <w14:solidFill>
            <w14:schemeClr w14:val="tx1"/>
          </w14:solidFill>
        </w14:textFill>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27C3511"/>
    <w:multiLevelType w:val="multilevel"/>
    <w:tmpl w:val="527C3511"/>
    <w:lvl w:ilvl="0" w:tentative="0">
      <w:start w:val="5"/>
      <w:numFmt w:val="decimal"/>
      <w:lvlText w:val="%1"/>
      <w:lvlJc w:val="left"/>
      <w:pPr>
        <w:ind w:left="360" w:hanging="360"/>
      </w:pPr>
      <w:rPr>
        <w:rFonts w:hint="default"/>
      </w:rPr>
    </w:lvl>
    <w:lvl w:ilvl="1" w:tentative="0">
      <w:start w:val="1"/>
      <w:numFmt w:val="decimal"/>
      <w:lvlText w:val="%1.%2"/>
      <w:lvlJc w:val="left"/>
      <w:pPr>
        <w:ind w:left="842" w:hanging="360"/>
      </w:pPr>
      <w:rPr>
        <w:rFonts w:hint="default"/>
      </w:rPr>
    </w:lvl>
    <w:lvl w:ilvl="2" w:tentative="0">
      <w:start w:val="1"/>
      <w:numFmt w:val="decimal"/>
      <w:lvlText w:val="%1.%2.%3"/>
      <w:lvlJc w:val="left"/>
      <w:pPr>
        <w:ind w:left="1684" w:hanging="720"/>
      </w:pPr>
      <w:rPr>
        <w:rFonts w:hint="default"/>
      </w:rPr>
    </w:lvl>
    <w:lvl w:ilvl="3" w:tentative="0">
      <w:start w:val="1"/>
      <w:numFmt w:val="decimal"/>
      <w:lvlText w:val="%1.%2.%3.%4"/>
      <w:lvlJc w:val="left"/>
      <w:pPr>
        <w:ind w:left="2166" w:hanging="720"/>
      </w:pPr>
      <w:rPr>
        <w:rFonts w:hint="default"/>
      </w:rPr>
    </w:lvl>
    <w:lvl w:ilvl="4" w:tentative="0">
      <w:start w:val="1"/>
      <w:numFmt w:val="decimal"/>
      <w:lvlText w:val="%1.%2.%3.%4.%5"/>
      <w:lvlJc w:val="left"/>
      <w:pPr>
        <w:ind w:left="3008" w:hanging="1080"/>
      </w:pPr>
      <w:rPr>
        <w:rFonts w:hint="default"/>
      </w:rPr>
    </w:lvl>
    <w:lvl w:ilvl="5" w:tentative="0">
      <w:start w:val="1"/>
      <w:numFmt w:val="decimal"/>
      <w:lvlText w:val="%1.%2.%3.%4.%5.%6"/>
      <w:lvlJc w:val="left"/>
      <w:pPr>
        <w:ind w:left="3490" w:hanging="1080"/>
      </w:pPr>
      <w:rPr>
        <w:rFonts w:hint="default"/>
      </w:rPr>
    </w:lvl>
    <w:lvl w:ilvl="6" w:tentative="0">
      <w:start w:val="1"/>
      <w:numFmt w:val="decimal"/>
      <w:lvlText w:val="%1.%2.%3.%4.%5.%6.%7"/>
      <w:lvlJc w:val="left"/>
      <w:pPr>
        <w:ind w:left="4332" w:hanging="1440"/>
      </w:pPr>
      <w:rPr>
        <w:rFonts w:hint="default"/>
      </w:rPr>
    </w:lvl>
    <w:lvl w:ilvl="7" w:tentative="0">
      <w:start w:val="1"/>
      <w:numFmt w:val="decimal"/>
      <w:lvlText w:val="%1.%2.%3.%4.%5.%6.%7.%8"/>
      <w:lvlJc w:val="left"/>
      <w:pPr>
        <w:ind w:left="4814" w:hanging="1440"/>
      </w:pPr>
      <w:rPr>
        <w:rFonts w:hint="default"/>
      </w:rPr>
    </w:lvl>
    <w:lvl w:ilvl="8" w:tentative="0">
      <w:start w:val="1"/>
      <w:numFmt w:val="decimal"/>
      <w:lvlText w:val="%1.%2.%3.%4.%5.%6.%7.%8.%9"/>
      <w:lvlJc w:val="left"/>
      <w:pPr>
        <w:ind w:left="5656" w:hanging="1800"/>
      </w:pPr>
      <w:rPr>
        <w:rFonts w:hint="default"/>
      </w:rPr>
    </w:lvl>
  </w:abstractNum>
  <w:abstractNum w:abstractNumId="6">
    <w:nsid w:val="60FB399B"/>
    <w:multiLevelType w:val="multilevel"/>
    <w:tmpl w:val="60FB399B"/>
    <w:lvl w:ilvl="0" w:tentative="0">
      <w:start w:val="13"/>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A851BBD"/>
    <w:multiLevelType w:val="multilevel"/>
    <w:tmpl w:val="7A851BBD"/>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5"/>
  </w:num>
  <w:num w:numId="3">
    <w:abstractNumId w:val="4"/>
  </w:num>
  <w:num w:numId="4">
    <w:abstractNumId w:val="6"/>
  </w:num>
  <w:num w:numId="5">
    <w:abstractNumId w:val="0"/>
  </w:num>
  <w:num w:numId="6">
    <w:abstractNumId w:val="2"/>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yOGEyYjIzMzc2MzE5YjI5NDBkYTcyYTM0ZDhiOGEifQ=="/>
    <w:docVar w:name="EN.InstantFormat" w:val="&lt;ENInstantFormat&gt;&lt;Enabled&gt;1&lt;/Enabled&gt;&lt;ScanUnformatted&gt;1&lt;/ScanUnformatted&gt;&lt;ScanChanges&gt;1&lt;/ScanChanges&gt;&lt;Suspended&gt;0&lt;/Suspended&gt;&lt;/ENInstantFormat&gt;"/>
    <w:docVar w:name="EN.Layout" w:val="&lt;ENLayout&gt;&lt;Style&gt;Psychotherapy Psychosom&lt;/Style&gt;&lt;LeftDelim&gt;{&lt;/LeftDelim&gt;&lt;RightDelim&gt;}&lt;/RightDelim&gt;&lt;FontName&gt;Calibri&lt;/FontName&gt;&lt;FontSize&gt;10&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3478B9"/>
    <w:rsid w:val="000003DC"/>
    <w:rsid w:val="00075033"/>
    <w:rsid w:val="000804CA"/>
    <w:rsid w:val="00081157"/>
    <w:rsid w:val="0008303F"/>
    <w:rsid w:val="00091FA9"/>
    <w:rsid w:val="000F56C2"/>
    <w:rsid w:val="00102F07"/>
    <w:rsid w:val="00115BF7"/>
    <w:rsid w:val="00122F22"/>
    <w:rsid w:val="00134787"/>
    <w:rsid w:val="001531EA"/>
    <w:rsid w:val="00157EE7"/>
    <w:rsid w:val="00171212"/>
    <w:rsid w:val="001A670E"/>
    <w:rsid w:val="001D5688"/>
    <w:rsid w:val="001E7B36"/>
    <w:rsid w:val="0021454F"/>
    <w:rsid w:val="002210F1"/>
    <w:rsid w:val="00243A20"/>
    <w:rsid w:val="002474CB"/>
    <w:rsid w:val="00257EEE"/>
    <w:rsid w:val="00262013"/>
    <w:rsid w:val="002644DC"/>
    <w:rsid w:val="00281729"/>
    <w:rsid w:val="00282381"/>
    <w:rsid w:val="00282D3E"/>
    <w:rsid w:val="00294BE9"/>
    <w:rsid w:val="002A0D3A"/>
    <w:rsid w:val="002A57EB"/>
    <w:rsid w:val="002F0728"/>
    <w:rsid w:val="0031314B"/>
    <w:rsid w:val="003478B9"/>
    <w:rsid w:val="003523E2"/>
    <w:rsid w:val="0037365E"/>
    <w:rsid w:val="003966CA"/>
    <w:rsid w:val="003B3906"/>
    <w:rsid w:val="003E21F2"/>
    <w:rsid w:val="003E4457"/>
    <w:rsid w:val="003E46CD"/>
    <w:rsid w:val="003F6BE1"/>
    <w:rsid w:val="004019F6"/>
    <w:rsid w:val="00406B6D"/>
    <w:rsid w:val="00420A1D"/>
    <w:rsid w:val="00443FD2"/>
    <w:rsid w:val="00462604"/>
    <w:rsid w:val="00477800"/>
    <w:rsid w:val="004C7C18"/>
    <w:rsid w:val="00524A44"/>
    <w:rsid w:val="00527895"/>
    <w:rsid w:val="005414DA"/>
    <w:rsid w:val="00552E09"/>
    <w:rsid w:val="005530AD"/>
    <w:rsid w:val="00555C97"/>
    <w:rsid w:val="00574239"/>
    <w:rsid w:val="00582576"/>
    <w:rsid w:val="00586DC4"/>
    <w:rsid w:val="00587A74"/>
    <w:rsid w:val="005941EE"/>
    <w:rsid w:val="005945B2"/>
    <w:rsid w:val="005A066D"/>
    <w:rsid w:val="005A158F"/>
    <w:rsid w:val="005C19A0"/>
    <w:rsid w:val="005D2A1B"/>
    <w:rsid w:val="00605C57"/>
    <w:rsid w:val="00607BAE"/>
    <w:rsid w:val="0061118D"/>
    <w:rsid w:val="006828B7"/>
    <w:rsid w:val="00686EBA"/>
    <w:rsid w:val="00694CDE"/>
    <w:rsid w:val="006C6E20"/>
    <w:rsid w:val="006F0616"/>
    <w:rsid w:val="006F52AD"/>
    <w:rsid w:val="00703D22"/>
    <w:rsid w:val="007132E5"/>
    <w:rsid w:val="00721FA8"/>
    <w:rsid w:val="00724C5E"/>
    <w:rsid w:val="007331A2"/>
    <w:rsid w:val="00752682"/>
    <w:rsid w:val="00755710"/>
    <w:rsid w:val="00756018"/>
    <w:rsid w:val="007824DB"/>
    <w:rsid w:val="00793042"/>
    <w:rsid w:val="007A4F5A"/>
    <w:rsid w:val="007B6E64"/>
    <w:rsid w:val="007D6FFE"/>
    <w:rsid w:val="007E031E"/>
    <w:rsid w:val="007F2736"/>
    <w:rsid w:val="007F5B42"/>
    <w:rsid w:val="0080106B"/>
    <w:rsid w:val="0080377E"/>
    <w:rsid w:val="00842ABD"/>
    <w:rsid w:val="008A52A6"/>
    <w:rsid w:val="008B27C2"/>
    <w:rsid w:val="008D6F3E"/>
    <w:rsid w:val="00965AD7"/>
    <w:rsid w:val="00972B02"/>
    <w:rsid w:val="0098375E"/>
    <w:rsid w:val="009A5F2C"/>
    <w:rsid w:val="009C0A97"/>
    <w:rsid w:val="009C47A7"/>
    <w:rsid w:val="009E084E"/>
    <w:rsid w:val="00A53732"/>
    <w:rsid w:val="00A63A4E"/>
    <w:rsid w:val="00A82351"/>
    <w:rsid w:val="00A84B6A"/>
    <w:rsid w:val="00A852A2"/>
    <w:rsid w:val="00A86CF5"/>
    <w:rsid w:val="00AA45D0"/>
    <w:rsid w:val="00AA67BB"/>
    <w:rsid w:val="00AA7341"/>
    <w:rsid w:val="00AC41FA"/>
    <w:rsid w:val="00AD4124"/>
    <w:rsid w:val="00AE2AB9"/>
    <w:rsid w:val="00AE34DA"/>
    <w:rsid w:val="00AF5DB4"/>
    <w:rsid w:val="00B3160A"/>
    <w:rsid w:val="00B466B9"/>
    <w:rsid w:val="00B717DE"/>
    <w:rsid w:val="00B76280"/>
    <w:rsid w:val="00B763D0"/>
    <w:rsid w:val="00B81EDA"/>
    <w:rsid w:val="00B83DD0"/>
    <w:rsid w:val="00BA0C3C"/>
    <w:rsid w:val="00BA4D9C"/>
    <w:rsid w:val="00BC41FF"/>
    <w:rsid w:val="00C26A77"/>
    <w:rsid w:val="00C34E9C"/>
    <w:rsid w:val="00C43794"/>
    <w:rsid w:val="00C44EC9"/>
    <w:rsid w:val="00C52846"/>
    <w:rsid w:val="00C623B4"/>
    <w:rsid w:val="00C703B7"/>
    <w:rsid w:val="00CB4E82"/>
    <w:rsid w:val="00CD51E8"/>
    <w:rsid w:val="00CE500E"/>
    <w:rsid w:val="00CF1B7B"/>
    <w:rsid w:val="00D03203"/>
    <w:rsid w:val="00D03F02"/>
    <w:rsid w:val="00D0535F"/>
    <w:rsid w:val="00D2307F"/>
    <w:rsid w:val="00D26B2A"/>
    <w:rsid w:val="00D27ACA"/>
    <w:rsid w:val="00D35A30"/>
    <w:rsid w:val="00D522DE"/>
    <w:rsid w:val="00D527EF"/>
    <w:rsid w:val="00D529ED"/>
    <w:rsid w:val="00D671CC"/>
    <w:rsid w:val="00D75450"/>
    <w:rsid w:val="00D93978"/>
    <w:rsid w:val="00DA6100"/>
    <w:rsid w:val="00DC7A37"/>
    <w:rsid w:val="00DD5F4B"/>
    <w:rsid w:val="00DE40FE"/>
    <w:rsid w:val="00E01EA1"/>
    <w:rsid w:val="00E031A9"/>
    <w:rsid w:val="00E103A6"/>
    <w:rsid w:val="00E166D8"/>
    <w:rsid w:val="00E33937"/>
    <w:rsid w:val="00E61216"/>
    <w:rsid w:val="00E92012"/>
    <w:rsid w:val="00EB3BBF"/>
    <w:rsid w:val="00EC0867"/>
    <w:rsid w:val="00EC43FA"/>
    <w:rsid w:val="00EE41F8"/>
    <w:rsid w:val="00F10765"/>
    <w:rsid w:val="00F34C40"/>
    <w:rsid w:val="00F46A4D"/>
    <w:rsid w:val="00F877D9"/>
    <w:rsid w:val="00F91713"/>
    <w:rsid w:val="00F97702"/>
    <w:rsid w:val="00FA4951"/>
    <w:rsid w:val="00FC063A"/>
    <w:rsid w:val="00FC1756"/>
    <w:rsid w:val="00FC6E7E"/>
    <w:rsid w:val="00FD17CA"/>
    <w:rsid w:val="00FE135E"/>
    <w:rsid w:val="01F95033"/>
    <w:rsid w:val="04F15337"/>
    <w:rsid w:val="05A53438"/>
    <w:rsid w:val="0715220A"/>
    <w:rsid w:val="0BE53158"/>
    <w:rsid w:val="0E2D7D0A"/>
    <w:rsid w:val="11084FB0"/>
    <w:rsid w:val="141C2F19"/>
    <w:rsid w:val="16FD2181"/>
    <w:rsid w:val="1BC3580A"/>
    <w:rsid w:val="1E200DA7"/>
    <w:rsid w:val="23733FB9"/>
    <w:rsid w:val="29A9006F"/>
    <w:rsid w:val="2DF316F7"/>
    <w:rsid w:val="323C74F2"/>
    <w:rsid w:val="356732F3"/>
    <w:rsid w:val="372D208E"/>
    <w:rsid w:val="38653CE7"/>
    <w:rsid w:val="3AFA0DF0"/>
    <w:rsid w:val="3B0C62FD"/>
    <w:rsid w:val="3E5A3954"/>
    <w:rsid w:val="42090546"/>
    <w:rsid w:val="5058087F"/>
    <w:rsid w:val="59413C36"/>
    <w:rsid w:val="5FDB56E4"/>
    <w:rsid w:val="607C7302"/>
    <w:rsid w:val="6C970286"/>
    <w:rsid w:val="6D7E46BA"/>
    <w:rsid w:val="6FA236E9"/>
    <w:rsid w:val="755E374E"/>
    <w:rsid w:val="799F087E"/>
    <w:rsid w:val="7F4B3C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spacing w:before="10"/>
      <w:ind w:left="20"/>
      <w:outlineLvl w:val="0"/>
    </w:pPr>
    <w:rPr>
      <w:rFonts w:ascii="Arial" w:hAnsi="Arial" w:eastAsia="Arial" w:cs="Arial"/>
      <w:b/>
      <w:bCs/>
      <w:sz w:val="30"/>
      <w:szCs w:val="30"/>
    </w:rPr>
  </w:style>
  <w:style w:type="paragraph" w:styleId="3">
    <w:name w:val="heading 2"/>
    <w:basedOn w:val="1"/>
    <w:next w:val="1"/>
    <w:link w:val="19"/>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paragraph" w:styleId="4">
    <w:name w:val="heading 3"/>
    <w:basedOn w:val="1"/>
    <w:next w:val="1"/>
    <w:link w:val="20"/>
    <w:semiHidden/>
    <w:unhideWhenUsed/>
    <w:qFormat/>
    <w:uiPriority w:val="9"/>
    <w:pPr>
      <w:keepNext/>
      <w:keepLines/>
      <w:spacing w:before="260" w:after="260" w:line="416" w:lineRule="auto"/>
      <w:outlineLvl w:val="2"/>
    </w:pPr>
    <w:rPr>
      <w:b/>
      <w:bCs/>
      <w:sz w:val="32"/>
      <w:szCs w:val="32"/>
    </w:rPr>
  </w:style>
  <w:style w:type="paragraph" w:styleId="5">
    <w:name w:val="heading 6"/>
    <w:basedOn w:val="1"/>
    <w:next w:val="1"/>
    <w:link w:val="21"/>
    <w:autoRedefine/>
    <w:semiHidden/>
    <w:unhideWhenUsed/>
    <w:qFormat/>
    <w:uiPriority w:val="9"/>
    <w:pPr>
      <w:keepNext/>
      <w:keepLines/>
      <w:spacing w:before="240" w:after="64" w:line="320" w:lineRule="auto"/>
      <w:outlineLvl w:val="5"/>
    </w:pPr>
    <w:rPr>
      <w:rFonts w:asciiTheme="majorHAnsi" w:hAnsiTheme="majorHAnsi" w:eastAsiaTheme="majorEastAsia" w:cstheme="majorBidi"/>
      <w:b/>
      <w:bCs/>
      <w:sz w:val="24"/>
      <w:szCs w:val="24"/>
    </w:rPr>
  </w:style>
  <w:style w:type="character" w:default="1" w:styleId="14">
    <w:name w:val="Default Paragraph Font"/>
    <w:semiHidden/>
    <w:unhideWhenUsed/>
    <w:qFormat/>
    <w:uiPriority w:val="1"/>
  </w:style>
  <w:style w:type="table" w:default="1" w:styleId="12">
    <w:name w:val="Normal Table"/>
    <w:semiHidden/>
    <w:unhideWhenUsed/>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6">
    <w:name w:val="Body Text"/>
    <w:basedOn w:val="1"/>
    <w:autoRedefine/>
    <w:qFormat/>
    <w:uiPriority w:val="1"/>
    <w:rPr>
      <w:sz w:val="24"/>
      <w:szCs w:val="24"/>
    </w:rPr>
  </w:style>
  <w:style w:type="paragraph" w:styleId="7">
    <w:name w:val="Body Text Indent"/>
    <w:basedOn w:val="1"/>
    <w:autoRedefine/>
    <w:qFormat/>
    <w:uiPriority w:val="0"/>
    <w:pPr>
      <w:spacing w:line="360" w:lineRule="auto"/>
      <w:ind w:firstLine="540" w:firstLineChars="225"/>
    </w:pPr>
    <w:rPr>
      <w:color w:val="000000"/>
      <w:kern w:val="0"/>
      <w:sz w:val="24"/>
      <w:szCs w:val="20"/>
    </w:rPr>
  </w:style>
  <w:style w:type="paragraph" w:styleId="8">
    <w:name w:val="Balloon Text"/>
    <w:basedOn w:val="1"/>
    <w:link w:val="28"/>
    <w:autoRedefine/>
    <w:semiHidden/>
    <w:unhideWhenUsed/>
    <w:qFormat/>
    <w:uiPriority w:val="99"/>
    <w:rPr>
      <w:sz w:val="18"/>
      <w:szCs w:val="18"/>
    </w:rPr>
  </w:style>
  <w:style w:type="paragraph" w:styleId="9">
    <w:name w:val="footer"/>
    <w:basedOn w:val="1"/>
    <w:link w:val="27"/>
    <w:autoRedefine/>
    <w:unhideWhenUsed/>
    <w:qFormat/>
    <w:uiPriority w:val="99"/>
    <w:pPr>
      <w:tabs>
        <w:tab w:val="center" w:pos="4153"/>
        <w:tab w:val="right" w:pos="8306"/>
      </w:tabs>
      <w:snapToGrid w:val="0"/>
      <w:jc w:val="left"/>
    </w:pPr>
    <w:rPr>
      <w:sz w:val="18"/>
      <w:szCs w:val="18"/>
    </w:rPr>
  </w:style>
  <w:style w:type="paragraph" w:styleId="10">
    <w:name w:val="header"/>
    <w:basedOn w:val="1"/>
    <w:link w:val="26"/>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1">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13">
    <w:name w:val="Table Grid"/>
    <w:basedOn w:val="1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22"/>
    <w:rPr>
      <w:b/>
      <w:bCs/>
    </w:rPr>
  </w:style>
  <w:style w:type="character" w:styleId="16">
    <w:name w:val="FollowedHyperlink"/>
    <w:basedOn w:val="14"/>
    <w:autoRedefine/>
    <w:semiHidden/>
    <w:unhideWhenUsed/>
    <w:qFormat/>
    <w:uiPriority w:val="99"/>
    <w:rPr>
      <w:color w:val="800080" w:themeColor="followedHyperlink"/>
      <w:u w:val="single"/>
      <w14:textFill>
        <w14:solidFill>
          <w14:schemeClr w14:val="folHlink"/>
        </w14:solidFill>
      </w14:textFill>
    </w:rPr>
  </w:style>
  <w:style w:type="character" w:styleId="17">
    <w:name w:val="Emphasis"/>
    <w:basedOn w:val="14"/>
    <w:autoRedefine/>
    <w:qFormat/>
    <w:uiPriority w:val="20"/>
    <w:rPr>
      <w:i/>
      <w:iCs/>
    </w:rPr>
  </w:style>
  <w:style w:type="character" w:styleId="18">
    <w:name w:val="Hyperlink"/>
    <w:basedOn w:val="14"/>
    <w:autoRedefine/>
    <w:unhideWhenUsed/>
    <w:qFormat/>
    <w:uiPriority w:val="99"/>
    <w:rPr>
      <w:color w:val="0000FF" w:themeColor="hyperlink"/>
      <w:u w:val="single"/>
      <w14:textFill>
        <w14:solidFill>
          <w14:schemeClr w14:val="hlink"/>
        </w14:solidFill>
      </w14:textFill>
    </w:rPr>
  </w:style>
  <w:style w:type="character" w:customStyle="1" w:styleId="19">
    <w:name w:val="标题 2 字符"/>
    <w:basedOn w:val="14"/>
    <w:link w:val="3"/>
    <w:autoRedefine/>
    <w:qFormat/>
    <w:uiPriority w:val="9"/>
    <w:rPr>
      <w:rFonts w:ascii="宋体" w:hAnsi="宋体" w:eastAsia="宋体" w:cs="宋体"/>
      <w:b/>
      <w:bCs/>
      <w:kern w:val="0"/>
      <w:sz w:val="36"/>
      <w:szCs w:val="36"/>
    </w:rPr>
  </w:style>
  <w:style w:type="character" w:customStyle="1" w:styleId="20">
    <w:name w:val="标题 3 字符"/>
    <w:basedOn w:val="14"/>
    <w:link w:val="4"/>
    <w:autoRedefine/>
    <w:semiHidden/>
    <w:qFormat/>
    <w:uiPriority w:val="9"/>
    <w:rPr>
      <w:b/>
      <w:bCs/>
      <w:sz w:val="32"/>
      <w:szCs w:val="32"/>
    </w:rPr>
  </w:style>
  <w:style w:type="character" w:customStyle="1" w:styleId="21">
    <w:name w:val="标题 6 字符"/>
    <w:basedOn w:val="14"/>
    <w:link w:val="5"/>
    <w:autoRedefine/>
    <w:semiHidden/>
    <w:qFormat/>
    <w:uiPriority w:val="9"/>
    <w:rPr>
      <w:rFonts w:asciiTheme="majorHAnsi" w:hAnsiTheme="majorHAnsi" w:eastAsiaTheme="majorEastAsia" w:cstheme="majorBidi"/>
      <w:b/>
      <w:bCs/>
      <w:sz w:val="24"/>
      <w:szCs w:val="24"/>
    </w:rPr>
  </w:style>
  <w:style w:type="paragraph" w:customStyle="1" w:styleId="22">
    <w:name w:val="EndNote Bibliography Title"/>
    <w:basedOn w:val="1"/>
    <w:link w:val="23"/>
    <w:autoRedefine/>
    <w:qFormat/>
    <w:uiPriority w:val="0"/>
    <w:pPr>
      <w:jc w:val="center"/>
    </w:pPr>
    <w:rPr>
      <w:rFonts w:ascii="Calibri" w:hAnsi="Calibri" w:cs="Calibri"/>
      <w:sz w:val="20"/>
    </w:rPr>
  </w:style>
  <w:style w:type="character" w:customStyle="1" w:styleId="23">
    <w:name w:val="EndNote Bibliography Title Char"/>
    <w:basedOn w:val="14"/>
    <w:link w:val="22"/>
    <w:autoRedefine/>
    <w:qFormat/>
    <w:uiPriority w:val="0"/>
    <w:rPr>
      <w:rFonts w:ascii="Calibri" w:hAnsi="Calibri" w:cs="Calibri" w:eastAsiaTheme="minorEastAsia"/>
      <w:kern w:val="2"/>
      <w:szCs w:val="22"/>
    </w:rPr>
  </w:style>
  <w:style w:type="paragraph" w:customStyle="1" w:styleId="24">
    <w:name w:val="EndNote Bibliography"/>
    <w:basedOn w:val="1"/>
    <w:link w:val="25"/>
    <w:autoRedefine/>
    <w:qFormat/>
    <w:uiPriority w:val="0"/>
    <w:rPr>
      <w:rFonts w:ascii="Calibri" w:hAnsi="Calibri" w:cs="Calibri"/>
      <w:sz w:val="20"/>
    </w:rPr>
  </w:style>
  <w:style w:type="character" w:customStyle="1" w:styleId="25">
    <w:name w:val="EndNote Bibliography Char"/>
    <w:basedOn w:val="14"/>
    <w:link w:val="24"/>
    <w:autoRedefine/>
    <w:qFormat/>
    <w:uiPriority w:val="0"/>
    <w:rPr>
      <w:rFonts w:ascii="Calibri" w:hAnsi="Calibri" w:cs="Calibri" w:eastAsiaTheme="minorEastAsia"/>
      <w:kern w:val="2"/>
      <w:szCs w:val="22"/>
    </w:rPr>
  </w:style>
  <w:style w:type="character" w:customStyle="1" w:styleId="26">
    <w:name w:val="页眉 字符"/>
    <w:basedOn w:val="14"/>
    <w:link w:val="10"/>
    <w:autoRedefine/>
    <w:qFormat/>
    <w:uiPriority w:val="99"/>
    <w:rPr>
      <w:sz w:val="18"/>
      <w:szCs w:val="18"/>
    </w:rPr>
  </w:style>
  <w:style w:type="character" w:customStyle="1" w:styleId="27">
    <w:name w:val="页脚 字符"/>
    <w:basedOn w:val="14"/>
    <w:link w:val="9"/>
    <w:autoRedefine/>
    <w:qFormat/>
    <w:uiPriority w:val="99"/>
    <w:rPr>
      <w:sz w:val="18"/>
      <w:szCs w:val="18"/>
    </w:rPr>
  </w:style>
  <w:style w:type="character" w:customStyle="1" w:styleId="28">
    <w:name w:val="批注框文本 字符"/>
    <w:basedOn w:val="14"/>
    <w:link w:val="8"/>
    <w:autoRedefine/>
    <w:semiHidden/>
    <w:qFormat/>
    <w:uiPriority w:val="99"/>
    <w:rPr>
      <w:rFonts w:asciiTheme="minorHAnsi" w:hAnsiTheme="minorHAnsi" w:eastAsiaTheme="minorEastAsia" w:cstheme="minorBidi"/>
      <w:kern w:val="2"/>
      <w:sz w:val="18"/>
      <w:szCs w:val="18"/>
    </w:rPr>
  </w:style>
  <w:style w:type="paragraph" w:styleId="29">
    <w:name w:val="List Paragraph"/>
    <w:basedOn w:val="1"/>
    <w:autoRedefine/>
    <w:unhideWhenUsed/>
    <w:qFormat/>
    <w:uiPriority w:val="34"/>
    <w:pPr>
      <w:ind w:firstLine="420" w:firstLineChars="200"/>
    </w:pPr>
  </w:style>
  <w:style w:type="character" w:customStyle="1" w:styleId="30">
    <w:name w:val="docsum-authors"/>
    <w:basedOn w:val="14"/>
    <w:autoRedefine/>
    <w:qFormat/>
    <w:uiPriority w:val="0"/>
  </w:style>
  <w:style w:type="character" w:customStyle="1" w:styleId="31">
    <w:name w:val="docsum-journal-citation"/>
    <w:basedOn w:val="14"/>
    <w:autoRedefine/>
    <w:qFormat/>
    <w:uiPriority w:val="0"/>
  </w:style>
  <w:style w:type="paragraph" w:customStyle="1" w:styleId="32">
    <w:name w:val="Teaser"/>
    <w:basedOn w:val="1"/>
    <w:autoRedefine/>
    <w:qFormat/>
    <w:uiPriority w:val="0"/>
    <w:pPr>
      <w:spacing w:before="120"/>
    </w:pPr>
    <w:rPr>
      <w:rFonts w:ascii="Times New Roman" w:hAnsi="Times New Roman" w:eastAsia="Times New Roman" w:cs="Times New Roman"/>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tiff"/><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14</Pages>
  <Words>4020</Words>
  <Characters>24026</Characters>
  <Lines>198</Lines>
  <Paragraphs>55</Paragraphs>
  <TotalTime>20</TotalTime>
  <ScaleCrop>false</ScaleCrop>
  <LinksUpToDate>false</LinksUpToDate>
  <CharactersWithSpaces>27825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2023-06-20T02:47:00Z</dcterms:created>
  <dc:creator>li wang</dc:creator>
  <cp:lastModifiedBy>王丽</cp:lastModifiedBy>
  <dcterms:modified xsi:type="dcterms:W3CDTF">2024-12-16T02:12:13Z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ACD8641A43704583B4ED2D3490F2CB69_12</vt:lpwstr>
  </property>
</Properties>
</file>