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90AD" w14:textId="672DE459" w:rsidR="003E15CA" w:rsidRDefault="00F7070E" w:rsidP="0061386D">
      <w:pPr>
        <w:pStyle w:val="Heading2"/>
      </w:pPr>
      <w:bookmarkStart w:id="0" w:name="_Toc104213381"/>
      <w:r w:rsidRPr="00C573E6">
        <w:t>S</w:t>
      </w:r>
      <w:r>
        <w:t>upplementary Materials</w:t>
      </w:r>
      <w:bookmarkEnd w:id="0"/>
    </w:p>
    <w:p w14:paraId="1773BA95" w14:textId="3284F46C" w:rsidR="00CD2A41" w:rsidRPr="00CD2A41" w:rsidRDefault="00CD2A41" w:rsidP="00CD2A41">
      <w:pPr>
        <w:rPr>
          <w:b/>
          <w:bCs/>
        </w:rPr>
      </w:pPr>
      <w:r w:rsidRPr="00CD2A41">
        <w:rPr>
          <w:b/>
          <w:bCs/>
        </w:rPr>
        <w:t>Measures:</w:t>
      </w:r>
    </w:p>
    <w:p w14:paraId="68A9E426" w14:textId="77777777" w:rsidR="00F7070E" w:rsidRPr="000C2435" w:rsidRDefault="00F7070E" w:rsidP="00F7070E">
      <w:pPr>
        <w:pStyle w:val="Heading3"/>
        <w:rPr>
          <w:rFonts w:asciiTheme="minorHAnsi" w:hAnsiTheme="minorHAnsi"/>
          <w:szCs w:val="22"/>
        </w:rPr>
      </w:pPr>
      <w:bookmarkStart w:id="1" w:name="_Toc30850068"/>
      <w:r w:rsidRPr="000C2435">
        <w:rPr>
          <w:rFonts w:asciiTheme="minorHAnsi" w:hAnsiTheme="minorHAnsi"/>
          <w:szCs w:val="22"/>
        </w:rPr>
        <w:t>Social and Occupational Functioning Assessment Scale (SOFAS)</w:t>
      </w:r>
      <w:bookmarkEnd w:id="1"/>
    </w:p>
    <w:p w14:paraId="58A27885" w14:textId="77777777" w:rsidR="00F7070E" w:rsidRPr="000C2435" w:rsidRDefault="00F7070E" w:rsidP="00F7070E">
      <w:pPr>
        <w:spacing w:line="360" w:lineRule="auto"/>
        <w:jc w:val="both"/>
      </w:pPr>
      <w:r w:rsidRPr="000C2435">
        <w:t>The SOFAS</w:t>
      </w:r>
      <w:r>
        <w:t xml:space="preserve"> </w:t>
      </w:r>
      <w:r>
        <w:fldChar w:fldCharType="begin"/>
      </w:r>
      <w:r>
        <w:instrText xml:space="preserve"> ADDIN ZOTERO_ITEM CSL_CITATION {"citationID":"dWMOHYm8","properties":{"formattedCitation":"(Saraswat et al., 2006)","plainCitation":"(Saraswat et al., 2006)","noteIndex":0},"citationItems":[{"id":5846,"uris":["http://zotero.org/users/local/czmHEvyb/items/SDNNSYPP"],"itemData":{"id":5846,"type":"article-journal","abstract":"The social functioning of persons with schizophrenia contributes to their overall functional outcome and ability to live in the community. Enhancing the level of social functioning is an important treatment goal. The present study describes the development of the Social Occupational Functioning Scale (SOFS), a brief, yet comprehensive, easy to administer measure of social functioning for use in busy clinical settings. It has adequate psychometric properties in terms of reliability and validity. Exploratory factor analysis revealed a three-factor structure comprising of adaptive living skills, social appropriateness and interpersonal skills, accounting for 59% of the variance in total SOFS score.","container-title":"Schizophrenia Research","DOI":"10.1016/j.schres.2005.09.008","ISSN":"0920-9964","issue":"2","journalAbbreviation":"Schizophrenia Research","language":"en","page":"301-309","source":"ScienceDirect","title":"The Social Occupational Functioning Scale (SOFS): A brief measure of functional status in persons with schizophrenia","title-short":"The Social Occupational Functioning Scale (SOFS)","volume":"81","author":[{"family":"Saraswat","given":"Nirmal"},{"family":"Rao","given":"Kiran"},{"family":"Subbakrishna","given":"D. K."},{"family":"Gangadhar","given":"B. N."}],"issued":{"date-parts":[["2006",1,31]]}}}],"schema":"https://github.com/citation-style-language/schema/raw/master/csl-citation.json"} </w:instrText>
      </w:r>
      <w:r>
        <w:fldChar w:fldCharType="separate"/>
      </w:r>
      <w:r w:rsidRPr="00623CF7">
        <w:rPr>
          <w:rFonts w:ascii="Calibri" w:hAnsi="Calibri" w:cs="Calibri"/>
        </w:rPr>
        <w:t>(Saraswat et al., 2006)</w:t>
      </w:r>
      <w:r>
        <w:fldChar w:fldCharType="end"/>
      </w:r>
      <w:r w:rsidRPr="000C2435">
        <w:t xml:space="preserve"> measures participant functioning on a scale of 0 (grossly impaired) to 100 (excellent functioning), with 9 anchor points in-between for guidance. </w:t>
      </w:r>
      <w:r>
        <w:t xml:space="preserve">Participants can be scored on any number within this range (e.g., 63). </w:t>
      </w:r>
      <w:r w:rsidRPr="000C2435">
        <w:t xml:space="preserve">The scale was completed by a trained research assistant based on their knowledge of the individual and discussions with their care team. Unlike the Global Assessment of Functioning (GAF), the SOFAS </w:t>
      </w:r>
      <w:proofErr w:type="gramStart"/>
      <w:r w:rsidRPr="000C2435">
        <w:t>does</w:t>
      </w:r>
      <w:proofErr w:type="gramEnd"/>
      <w:r w:rsidRPr="000C2435">
        <w:t xml:space="preserve"> not rate the severity of clinical symptoms, but instead focusses solely on social and occupational functioning.  </w:t>
      </w:r>
    </w:p>
    <w:p w14:paraId="6BF663AD" w14:textId="77777777" w:rsidR="00F7070E" w:rsidRPr="000C2435" w:rsidRDefault="00F7070E" w:rsidP="00F7070E">
      <w:pPr>
        <w:spacing w:line="360" w:lineRule="auto"/>
        <w:jc w:val="right"/>
        <w:rPr>
          <w:highlight w:val="yellow"/>
        </w:rPr>
      </w:pPr>
    </w:p>
    <w:p w14:paraId="665ACA1F" w14:textId="77777777" w:rsidR="00F7070E" w:rsidRPr="000C2435" w:rsidRDefault="00F7070E" w:rsidP="00F7070E">
      <w:pPr>
        <w:pStyle w:val="Heading3"/>
        <w:rPr>
          <w:rFonts w:asciiTheme="minorHAnsi" w:hAnsiTheme="minorHAnsi"/>
          <w:szCs w:val="22"/>
        </w:rPr>
      </w:pPr>
      <w:r w:rsidRPr="000C2435">
        <w:rPr>
          <w:rFonts w:asciiTheme="minorHAnsi" w:hAnsiTheme="minorHAnsi"/>
          <w:szCs w:val="22"/>
        </w:rPr>
        <w:t>Goal Attainment Scale (GAS)</w:t>
      </w:r>
    </w:p>
    <w:p w14:paraId="44090537" w14:textId="77777777" w:rsidR="00F7070E" w:rsidRPr="000C2435" w:rsidRDefault="00F7070E" w:rsidP="00F7070E">
      <w:pPr>
        <w:spacing w:after="0" w:line="360" w:lineRule="auto"/>
        <w:jc w:val="both"/>
        <w:rPr>
          <w:rFonts w:cstheme="minorHAnsi"/>
        </w:rPr>
      </w:pPr>
      <w:r w:rsidRPr="000C2435">
        <w:rPr>
          <w:rFonts w:cstheme="minorHAnsi"/>
        </w:rPr>
        <w:t>The GAS is a personalised measure, used to capture clinical change in goal attainment resulting from intervention. The GAS has been shown to be a suitable measure for multidimensional health problems which warrant a personalised approach to treatment and outcome measurement, and has been successfully used to measure cognitive rehabilitation</w:t>
      </w:r>
      <w:r>
        <w:rPr>
          <w:rFonts w:cstheme="minorHAnsi"/>
        </w:rPr>
        <w:t xml:space="preserve"> </w:t>
      </w:r>
      <w:r>
        <w:rPr>
          <w:rFonts w:cstheme="minorHAnsi"/>
        </w:rPr>
        <w:fldChar w:fldCharType="begin"/>
      </w:r>
      <w:r>
        <w:rPr>
          <w:rFonts w:cstheme="minorHAnsi"/>
        </w:rPr>
        <w:instrText xml:space="preserve"> ADDIN ZOTERO_ITEM CSL_CITATION {"citationID":"sV6sQwKz","properties":{"formattedCitation":"(Rockwood et al., 1997)","plainCitation":"(Rockwood et al., 1997)","noteIndex":0},"citationItems":[{"id":5853,"uris":["http://zotero.org/users/local/czmHEvyb/items/K54IQF4A"],"itemData":{"id":5853,"type":"article-journal","abstract":"Measuring the effectiveness of cognitive rehabilitation programs poses both conceptual and practical challenges. We compared several standardized outcome measures with goal attainment scaling (GAS) to assess their sensitivity to changes in health status in patients undergoing cognitive rehabilitation. GAS is a measurement approach that accommodates multiple individual patient goals, and has a scoring system which allows for comparisons between patients. Forty-four patients were evaluated. GAS yielded a mean 4.4 goals per patient. The mean gain in the GAS score was compared with the change in the Rappaport Disability Rating Scale, the Kohlman Evaluation of Daily Living Skills, the Milwaukee Evaluation of Daily Living, the Klein-Bell elimination scale and mobility scale, the Instrumental Activities of Daily Living Scale, and the Spitzer Quality of Life Index. Using a relative efficiency statistic, GAS proved more responsive than any other measure. The effect size statistic also demonstrated greater responsiveness to change with GAS compared with standard measures. GAS shows promise as a responsive measure in cognitive rehabilitation. This study replicates a similar study of GAS in frail elderly patients, suggesting that individualized measures may have broad merit in evaluating rehabilitation programs.","container-title":"Journal of Clinical Epidemiology","DOI":"10.1016/s0895-4356(97)00014-0","ISSN":"0895-4356","issue":"5","journalAbbreviation":"J Clin Epidemiol","language":"eng","note":"PMID: 9180650","page":"581-588","source":"PubMed","title":"Use of goal attainment scaling in measuring clinically important change in cognitive rehabilitation patients","volume":"50","author":[{"family":"Rockwood","given":"K."},{"family":"Joyce","given":"B."},{"family":"Stolee","given":"P."}],"issued":{"date-parts":[["1997",5]]}}}],"schema":"https://github.com/citation-style-language/schema/raw/master/csl-citation.json"} </w:instrText>
      </w:r>
      <w:r>
        <w:rPr>
          <w:rFonts w:cstheme="minorHAnsi"/>
        </w:rPr>
        <w:fldChar w:fldCharType="separate"/>
      </w:r>
      <w:r w:rsidRPr="00F17658">
        <w:rPr>
          <w:rFonts w:ascii="Calibri" w:hAnsi="Calibri" w:cs="Calibri"/>
        </w:rPr>
        <w:t>(Rockwood et al., 1997)</w:t>
      </w:r>
      <w:r>
        <w:rPr>
          <w:rFonts w:cstheme="minorHAnsi"/>
        </w:rPr>
        <w:fldChar w:fldCharType="end"/>
      </w:r>
      <w:r>
        <w:rPr>
          <w:rFonts w:cstheme="minorHAnsi"/>
        </w:rPr>
        <w:t xml:space="preserve">. </w:t>
      </w:r>
      <w:r w:rsidRPr="000C2435">
        <w:rPr>
          <w:rFonts w:cstheme="minorHAnsi"/>
        </w:rPr>
        <w:t xml:space="preserve">The GAS was scored based on the participant’s achievement of </w:t>
      </w:r>
      <w:proofErr w:type="spellStart"/>
      <w:r w:rsidRPr="000C2435">
        <w:rPr>
          <w:rFonts w:cstheme="minorHAnsi"/>
        </w:rPr>
        <w:t>apriori</w:t>
      </w:r>
      <w:proofErr w:type="spellEnd"/>
      <w:r w:rsidRPr="000C2435">
        <w:rPr>
          <w:rFonts w:cstheme="minorHAnsi"/>
        </w:rPr>
        <w:t xml:space="preserve"> determined goals, over the course of the trial. Participants were rated based on 3 goals set at baseline their assessment, with each goal rated on a 5-point scale (-2 to +2). Goals were then weighted based on relative importance and anticipated difficulty of achieving the goal, with a T-score for change calculated to allow statistical comparisons. </w:t>
      </w:r>
    </w:p>
    <w:p w14:paraId="2919F5C9" w14:textId="77777777" w:rsidR="00F7070E" w:rsidRPr="000C2435" w:rsidRDefault="00F7070E" w:rsidP="00F7070E">
      <w:pPr>
        <w:spacing w:after="0" w:line="360" w:lineRule="auto"/>
        <w:jc w:val="both"/>
        <w:rPr>
          <w:rFonts w:cstheme="minorHAnsi"/>
        </w:rPr>
      </w:pPr>
      <w:r w:rsidRPr="000C2435">
        <w:rPr>
          <w:rFonts w:cstheme="minorHAnsi"/>
        </w:rPr>
        <w:t xml:space="preserve">This was the primary outcome in the main trial however, as the GAS is used to measure change from the same baseline point (i.e., no variance) </w:t>
      </w:r>
      <w:r w:rsidRPr="00623CF7">
        <w:rPr>
          <w:rFonts w:cstheme="minorHAnsi"/>
        </w:rPr>
        <w:fldChar w:fldCharType="begin"/>
      </w:r>
      <w:r w:rsidRPr="00623CF7">
        <w:rPr>
          <w:rFonts w:cstheme="minorHAnsi"/>
        </w:rPr>
        <w:instrText xml:space="preserve"> ADDIN ZOTERO_ITEM CSL_CITATION {"citationID":"9QKA57w6","properties":{"formattedCitation":"(Kiresuk &amp; Sherman, 1968)","plainCitation":"(Kiresuk &amp; Sherman, 1968)","noteIndex":0},"citationItems":[{"id":5789,"uris":["http://zotero.org/users/local/czmHEvyb/items/WYDJVXPY"],"itemData":{"id":5789,"type":"article-journal","abstract":"A mental health enterprise may be described by either (a) rather general philosophical total mental health goals, or (b) highly diverse and individualized patient-therapist goals. Goals a. have not provided a workable framework for program evaluation. This paper proposes that evaluation be done in the framework of goals b. by setting up, before treatment, a measurable scale for each patient-therapist goal, and specifying, for each patient, a transformation of his overall goal attainment into a standardized T-score. This method, together with random assignment of patients to treatment modes, was devised to permit comparison of treatment modes within a program, but it also provides a good basis for a judgmental evaluation of the total program.","container-title":"Community Mental Health Journal","DOI":"10.1007/BF01530764","ISSN":"1573-2789","issue":"6","journalAbbreviation":"Community Ment Health J","language":"en","page":"443-453","source":"Springer Link","title":"Goal attainment scaling: A general method for evaluating comprehensive community mental health programs","title-short":"Goal attainment scaling","volume":"4","author":[{"family":"Kiresuk","given":"Thomas J."},{"family":"Sherman","given":"Robert E."}],"issued":{"date-parts":[["1968",12,1]]}}}],"schema":"https://github.com/citation-style-language/schema/raw/master/csl-citation.json"} </w:instrText>
      </w:r>
      <w:r w:rsidRPr="00623CF7">
        <w:rPr>
          <w:rFonts w:cstheme="minorHAnsi"/>
        </w:rPr>
        <w:fldChar w:fldCharType="separate"/>
      </w:r>
      <w:r w:rsidRPr="00623CF7">
        <w:rPr>
          <w:rFonts w:ascii="Calibri" w:hAnsi="Calibri" w:cs="Calibri"/>
        </w:rPr>
        <w:t>(Kiresuk &amp; Sherman, 1968)</w:t>
      </w:r>
      <w:r w:rsidRPr="00623CF7">
        <w:rPr>
          <w:rFonts w:cstheme="minorHAnsi"/>
        </w:rPr>
        <w:fldChar w:fldCharType="end"/>
      </w:r>
      <w:r w:rsidRPr="00623CF7">
        <w:rPr>
          <w:rFonts w:cstheme="minorHAnsi"/>
        </w:rPr>
        <w:t>,</w:t>
      </w:r>
      <w:r w:rsidRPr="000C2435">
        <w:rPr>
          <w:rFonts w:cstheme="minorHAnsi"/>
        </w:rPr>
        <w:t xml:space="preserve"> it has limited usefulness cross-sectionally and was therefore only included in a change-network.</w:t>
      </w:r>
    </w:p>
    <w:p w14:paraId="63F6DB96" w14:textId="77777777" w:rsidR="00F7070E" w:rsidRPr="000C2435" w:rsidRDefault="00F7070E" w:rsidP="00F7070E">
      <w:pPr>
        <w:spacing w:after="0" w:line="360" w:lineRule="auto"/>
        <w:jc w:val="both"/>
        <w:rPr>
          <w:rFonts w:cstheme="minorHAnsi"/>
        </w:rPr>
      </w:pPr>
    </w:p>
    <w:p w14:paraId="1052F2D8" w14:textId="77777777" w:rsidR="00F7070E" w:rsidRPr="000C2435" w:rsidRDefault="00F7070E" w:rsidP="00F7070E">
      <w:pPr>
        <w:pStyle w:val="Heading3"/>
        <w:rPr>
          <w:rFonts w:asciiTheme="minorHAnsi" w:hAnsiTheme="minorHAnsi"/>
          <w:szCs w:val="22"/>
        </w:rPr>
      </w:pPr>
      <w:r w:rsidRPr="000C2435">
        <w:rPr>
          <w:rFonts w:asciiTheme="minorHAnsi" w:hAnsiTheme="minorHAnsi"/>
          <w:szCs w:val="22"/>
        </w:rPr>
        <w:t>Positive and Negative Syndrome Scale (PANSS)</w:t>
      </w:r>
    </w:p>
    <w:p w14:paraId="593B0AC7" w14:textId="541F259E" w:rsidR="00F7070E" w:rsidRPr="000C2435" w:rsidRDefault="00F7070E" w:rsidP="00F7070E">
      <w:pPr>
        <w:spacing w:line="360" w:lineRule="auto"/>
        <w:jc w:val="both"/>
        <w:rPr>
          <w:highlight w:val="yellow"/>
        </w:rPr>
      </w:pPr>
      <w:r w:rsidRPr="000C2435">
        <w:t>The PANSS</w:t>
      </w:r>
      <w:r>
        <w:t xml:space="preserve"> </w:t>
      </w:r>
      <w:r>
        <w:fldChar w:fldCharType="begin"/>
      </w:r>
      <w:r>
        <w:instrText xml:space="preserve"> ADDIN ZOTERO_ITEM CSL_CITATION {"citationID":"Tldj9dtA","properties":{"formattedCitation":"(Kay et al., 1987)","plainCitation":"(Kay et al., 1987)","noteIndex":0},"citationItems":[{"id":244,"uris":["http://zotero.org/users/local/czmHEvyb/items/MGGWKKHJ"],"itemData":{"id":244,"type":"article-journal","abstract":"The variable results of positive-negative research with schizophrenics underscore the importance of well-characterized, standardized measurement techniques. We report on the development and initial standardization of the Positive and Negative Syndrome Scale (PANSS) for typological and dimensional assessment. Based on two established psychiatric rating systems, the 30-item PANSS was conceived as an operationalized, drug-sensitive instrument that provides balanced representation of positive and negative symptoms and gauges their relationship to one another and to global psychopathology. It thus constitutes four scales measuring positive and negative syndromes, their differential, and general severity of illness. Study of 101 schizophrenics found the four scales to be normally distributed and supported their reliability and stability. Positive and negative scores were inversely correlated once their common association with general psychopathology was extracted, suggesting that they represent mutually exclusive constructs. Review of five studies involving the PANSS provided evidence of its criterion-related validity with antecedent, genealogical, and concurrent measures, its predictive validity, its drug sensitivity, and its utility for both typological and dimensional assessment.","container-title":"Schizophrenia Bulletin","DOI":"10.1093/schbul/13.2.261","ISSN":"0586-7614","issue":"2","journalAbbreviation":"Schizophr Bull","language":"eng","note":"PMID: 3616518","page":"261-276","source":"PubMed","title":"The positive and negative syndrome scale (PANSS) for schizophrenia","volume":"13","author":[{"family":"Kay","given":"S. R."},{"family":"Fiszbein","given":"A."},{"family":"Opler","given":"L. A."}],"issued":{"date-parts":[["1987"]]}}}],"schema":"https://github.com/citation-style-language/schema/raw/master/csl-citation.json"} </w:instrText>
      </w:r>
      <w:r>
        <w:fldChar w:fldCharType="separate"/>
      </w:r>
      <w:r w:rsidRPr="00623CF7">
        <w:rPr>
          <w:rFonts w:ascii="Calibri" w:hAnsi="Calibri" w:cs="Calibri"/>
        </w:rPr>
        <w:t>(Kay et al., 1987)</w:t>
      </w:r>
      <w:r>
        <w:fldChar w:fldCharType="end"/>
      </w:r>
      <w:r w:rsidRPr="000C2435">
        <w:t xml:space="preserve"> </w:t>
      </w:r>
      <w:r w:rsidRPr="000C2435">
        <w:rPr>
          <w:highlight w:val="yellow"/>
        </w:rPr>
        <w:fldChar w:fldCharType="begin"/>
      </w:r>
      <w:r w:rsidRPr="000C2435">
        <w:rPr>
          <w:highlight w:val="yellow"/>
        </w:rPr>
        <w:instrText xml:space="preserve"> ADDIN EN.CITE &lt;EndNote&gt;&lt;Cite&gt;&lt;Author&gt;Kay&lt;/Author&gt;&lt;Year&gt;1987&lt;/Year&gt;&lt;RecNum&gt;2537&lt;/RecNum&gt;&lt;DisplayText&gt;(Kay et al., 1987)&lt;/DisplayText&gt;&lt;record&gt;&lt;rec-number&gt;2537&lt;/rec-number&gt;&lt;foreign-keys&gt;&lt;key app="EN" db-id="50wxdpzd9vd5r7e9t5b595djrfpttrxw9avp" timestamp="1525184684"&gt;2537&lt;/key&gt;&lt;/foreign-keys&gt;&lt;ref-type name="Journal Article"&gt;17&lt;/ref-type&gt;&lt;contributors&gt;&lt;authors&gt;&lt;author&gt;Kay, S. R.&lt;/author&gt;&lt;author&gt;Fiszbein, A.&lt;/author&gt;&lt;author&gt;Opler, L. A.&lt;/author&gt;&lt;/authors&gt;&lt;/contributors&gt;&lt;titles&gt;&lt;title&gt;The positive and negative syndrome scale (PANSS) for schizophrenia&lt;/title&gt;&lt;secondary-title&gt;Schizophr Bull&lt;/secondary-title&gt;&lt;/titles&gt;&lt;periodical&gt;&lt;full-title&gt;Schizophr Bull&lt;/full-title&gt;&lt;/periodical&gt;&lt;pages&gt;261-76&lt;/pages&gt;&lt;volume&gt;13&lt;/volume&gt;&lt;number&gt;2&lt;/number&gt;&lt;keywords&gt;&lt;keyword&gt;Adult&lt;/keyword&gt;&lt;keyword&gt;Aged&lt;/keyword&gt;&lt;keyword&gt;Female&lt;/keyword&gt;&lt;keyword&gt;Humans&lt;/keyword&gt;&lt;keyword&gt;Male&lt;/keyword&gt;&lt;keyword&gt;Middle Aged&lt;/keyword&gt;&lt;keyword&gt;*Psychiatric Status Rating Scales&lt;/keyword&gt;&lt;keyword&gt;Psychometrics&lt;/keyword&gt;&lt;keyword&gt;Schizophrenia/*diagnosis&lt;/keyword&gt;&lt;keyword&gt;Schizophrenic Psychology&lt;/keyword&gt;&lt;/keywords&gt;&lt;dates&gt;&lt;year&gt;1987&lt;/year&gt;&lt;/dates&gt;&lt;isbn&gt;0586-7614 (Print)&amp;#xD;0586-7614 (Linking)&lt;/isbn&gt;&lt;accession-num&gt;3616518&lt;/accession-num&gt;&lt;urls&gt;&lt;related-urls&gt;&lt;url&gt;https://www.ncbi.nlm.nih.gov/pubmed/3616518&lt;/url&gt;&lt;/related-urls&gt;&lt;/urls&gt;&lt;/record&gt;&lt;/Cite&gt;&lt;/EndNote&gt;</w:instrText>
      </w:r>
      <w:r w:rsidRPr="000C2435">
        <w:rPr>
          <w:highlight w:val="yellow"/>
        </w:rPr>
        <w:fldChar w:fldCharType="separate"/>
      </w:r>
      <w:r w:rsidRPr="000C2435">
        <w:rPr>
          <w:highlight w:val="yellow"/>
        </w:rPr>
        <w:fldChar w:fldCharType="end"/>
      </w:r>
      <w:r w:rsidRPr="000C2435">
        <w:t xml:space="preserve">is a validated scale used to assess symptom severity in patients with schizophrenia. It has been shown to be valid, reliable, </w:t>
      </w:r>
      <w:r w:rsidR="00EF4E61">
        <w:t xml:space="preserve">sensitive to change, </w:t>
      </w:r>
      <w:r w:rsidRPr="000C2435">
        <w:t xml:space="preserve">with a lack of ceiling effects. The </w:t>
      </w:r>
      <w:r>
        <w:t xml:space="preserve">PANNS </w:t>
      </w:r>
      <w:r w:rsidR="00EF4E61">
        <w:t>consists</w:t>
      </w:r>
      <w:r>
        <w:t xml:space="preserve"> of </w:t>
      </w:r>
      <w:r w:rsidRPr="000C2435">
        <w:t>30-item</w:t>
      </w:r>
      <w:r>
        <w:t>s</w:t>
      </w:r>
      <w:r w:rsidRPr="000C2435">
        <w:t xml:space="preserve"> originally adapted from the Brief Psychiatric Rating Scale (BPRS)</w:t>
      </w:r>
      <w:r>
        <w:t xml:space="preserve"> and </w:t>
      </w:r>
      <w:r w:rsidRPr="000C2435">
        <w:t xml:space="preserve">Psychopathology Rating Scale (PRS). The trained interviewer administers the PANSS by conducting a semi-structured interview </w:t>
      </w:r>
      <w:r>
        <w:t xml:space="preserve">(SCI-PANSS) </w:t>
      </w:r>
      <w:r w:rsidRPr="000C2435">
        <w:t xml:space="preserve">covering each of the items on the scale. Each item is then rated between 1 (absent) to 7 (extreme), according to detailed guidance in the measure’s guide. The PANSS </w:t>
      </w:r>
      <w:r w:rsidRPr="000C2435">
        <w:lastRenderedPageBreak/>
        <w:t>consists of three sub-scales, positive (7-items), negative (7-items), and general symptoms (16-items), with a summed total given for each. In this study, only the positive and negative symptoms scales were used.</w:t>
      </w:r>
    </w:p>
    <w:p w14:paraId="49196AFB" w14:textId="77777777" w:rsidR="00F7070E" w:rsidRPr="000C2435" w:rsidRDefault="00F7070E" w:rsidP="00F7070E">
      <w:pPr>
        <w:spacing w:after="0" w:line="360" w:lineRule="auto"/>
        <w:jc w:val="both"/>
        <w:rPr>
          <w:rFonts w:eastAsia="Times New Roman" w:cstheme="minorHAnsi"/>
          <w:color w:val="000000"/>
          <w:lang w:eastAsia="en-GB"/>
        </w:rPr>
      </w:pPr>
    </w:p>
    <w:p w14:paraId="6F29EE3B" w14:textId="77777777" w:rsidR="00F7070E" w:rsidRPr="008A1662" w:rsidRDefault="00F7070E" w:rsidP="00F7070E">
      <w:pPr>
        <w:pStyle w:val="Heading4"/>
        <w:rPr>
          <w:rFonts w:asciiTheme="minorHAnsi" w:hAnsiTheme="minorHAnsi" w:cstheme="minorHAnsi"/>
        </w:rPr>
      </w:pPr>
      <w:bookmarkStart w:id="2" w:name="_Toc30850066"/>
      <w:r w:rsidRPr="008A1662">
        <w:rPr>
          <w:rFonts w:asciiTheme="minorHAnsi" w:hAnsiTheme="minorHAnsi" w:cstheme="minorHAnsi"/>
        </w:rPr>
        <w:t>The Clinical Assessment Interview for Negative Symptoms (CAINS)</w:t>
      </w:r>
      <w:bookmarkEnd w:id="2"/>
    </w:p>
    <w:p w14:paraId="2A48A12D" w14:textId="3D56DDE0" w:rsidR="00EF4E61" w:rsidRPr="00EF4E61" w:rsidRDefault="00F7070E" w:rsidP="00EF4E61">
      <w:pPr>
        <w:spacing w:after="0" w:line="360" w:lineRule="auto"/>
        <w:jc w:val="both"/>
      </w:pPr>
      <w:r w:rsidRPr="00EF4E61">
        <w:t xml:space="preserve">A further semi-structured measure of negative symptoms, the CAINS </w:t>
      </w:r>
      <w:r w:rsidRPr="00EF4E61">
        <w:fldChar w:fldCharType="begin"/>
      </w:r>
      <w:r w:rsidRPr="00EF4E61">
        <w:instrText xml:space="preserve"> ADDIN ZOTERO_ITEM CSL_CITATION {"citationID":"1uAeGYLu","properties":{"formattedCitation":"(Kring et al., 2013)","plainCitation":"(Kring et al., 2013)","noteIndex":0},"citationItems":[{"id":5180,"uris":["http://zotero.org/users/local/czmHEvyb/items/G34CIXXT"],"itemData":{"id":5180,"type":"article-journal","abstract":"Objective:\nA major barrier to developing treatments for negative symptoms has been measurement concerns with existing assessment tools. Fulfilling the top recommendation of the National Institute of Mental Health’s Consensus Development Conference on Negative Symptoms, the Clinical Assessment Interview for Negative Symptoms (CAINS) was developed using an iterative, empirical approach, and includes items assessing motivation, pleasure, and emotion expression. The authors employed multiple analytic techniques to develop the CAINS and here provide final development and validation results.\n\nMethod:\nThe CAINS structure, interrater agreement, test-retest reliability, and convergent and discriminant validity were assessed in a large and diverse sample of 162 outpatients with schizophrenia or schizoaffective disorder recruited from four sites.\n\nResults:\nThree items with poor psychometric properties were removed, resulting in a 13-item CAINS. The CAINS factor structure was replicated, demonstrating two modestly correlated scales: expression (four items) and motivation/pleasure (nine items). The scales demonstrated good internal consistency, test-retest stability, and interrater agreement. Strong convergent validity was demonstrated by linkages with other negative symptom measures, self-report scales of sociality, pleasure, and motivation, and coded facial expressions. Discriminant validity was shown by independence from depression, medication side effects, and cognition. Notably, the CAINS scales were related to real-world vocational, independent living, and social/familial functioning.\n\nConclusions:\nThe CAINS is an empirically developed and evaluated measure of negative symptoms. Findings indicate that the CAINS is brief yet comprehensive and employable across a wide range of research and clinical contexts.","container-title":"The American journal of psychiatry","DOI":"10.1176/appi.ajp.2012.12010109","ISSN":"0002-953X","issue":"2","journalAbbreviation":"Am J Psychiatry","note":"PMID: 23377637\nPMCID: PMC3785242","page":"165-172","source":"PubMed Central","title":"The Clinical Assessment Interview for Negative Symptoms (CAINS): Final Development and Validation","title-short":"The Clinical Assessment Interview for Negative Symptoms (CAINS)","volume":"170","author":[{"family":"Kring","given":"Ann M."},{"family":"Gur","given":"Raquel E."},{"family":"Blanchard","given":"Jack J."},{"family":"Horan","given":"William P."},{"family":"Reise","given":"Steven P."}],"issued":{"date-parts":[["2013",2,1]]}}}],"schema":"https://github.com/citation-style-language/schema/raw/master/csl-citation.json"} </w:instrText>
      </w:r>
      <w:r w:rsidRPr="00EF4E61">
        <w:fldChar w:fldCharType="separate"/>
      </w:r>
      <w:r w:rsidRPr="00EF4E61">
        <w:rPr>
          <w:rFonts w:ascii="Calibri" w:hAnsi="Calibri" w:cs="Calibri"/>
        </w:rPr>
        <w:t>(Kring et al., 2013)</w:t>
      </w:r>
      <w:r w:rsidRPr="00EF4E61">
        <w:fldChar w:fldCharType="end"/>
      </w:r>
      <w:r w:rsidRPr="00EF4E61">
        <w:t>, was also incl</w:t>
      </w:r>
      <w:r w:rsidR="00EF4E61" w:rsidRPr="00EF4E61">
        <w:t>u</w:t>
      </w:r>
      <w:r w:rsidRPr="00EF4E61">
        <w:t xml:space="preserve">ded. </w:t>
      </w:r>
      <w:r w:rsidR="00EF4E61" w:rsidRPr="00EF4E61">
        <w:t xml:space="preserve">Unlike the PANSS Negative Scale, which provides </w:t>
      </w:r>
      <w:r w:rsidR="00EF4E61" w:rsidRPr="00EF4E61">
        <w:rPr>
          <w:rFonts w:cstheme="minorHAnsi"/>
        </w:rPr>
        <w:t>a broader clinical evaluation</w:t>
      </w:r>
      <w:r w:rsidR="00EF4E61" w:rsidRPr="00EF4E61">
        <w:rPr>
          <w:rFonts w:cstheme="minorHAnsi"/>
        </w:rPr>
        <w:t xml:space="preserve">, </w:t>
      </w:r>
      <w:r w:rsidR="00EF4E61" w:rsidRPr="00EF4E61">
        <w:rPr>
          <w:rFonts w:cstheme="minorHAnsi"/>
        </w:rPr>
        <w:t>the CAINS focus</w:t>
      </w:r>
      <w:r w:rsidR="00EF4E61" w:rsidRPr="00EF4E61">
        <w:rPr>
          <w:rFonts w:cstheme="minorHAnsi"/>
        </w:rPr>
        <w:t>ses</w:t>
      </w:r>
      <w:r w:rsidR="00EF4E61" w:rsidRPr="00EF4E61">
        <w:rPr>
          <w:rFonts w:cstheme="minorHAnsi"/>
        </w:rPr>
        <w:t xml:space="preserve"> on experiential and expressive deficit</w:t>
      </w:r>
      <w:r w:rsidR="00EF4E61" w:rsidRPr="00EF4E61">
        <w:rPr>
          <w:rFonts w:cstheme="minorHAnsi"/>
        </w:rPr>
        <w:t>s. T</w:t>
      </w:r>
      <w:r w:rsidR="00EF4E61" w:rsidRPr="00E67C04">
        <w:t xml:space="preserve">he separation of expressivity and motivation was informed by the current literature </w:t>
      </w:r>
      <w:r w:rsidR="00EF4E61" w:rsidRPr="00EF4E61">
        <w:t>which emphasises</w:t>
      </w:r>
      <w:r w:rsidR="00EF4E61" w:rsidRPr="00E67C04">
        <w:t xml:space="preserve"> these as distinct constructs within the negative symptom domain</w:t>
      </w:r>
      <w:r w:rsidR="007D0739">
        <w:t xml:space="preserve"> (Straus</w:t>
      </w:r>
      <w:r w:rsidR="00FE0143">
        <w:t>s</w:t>
      </w:r>
      <w:r w:rsidR="007D0739">
        <w:t xml:space="preserve"> </w:t>
      </w:r>
      <w:r w:rsidR="00D2329E">
        <w:t>et al., 2018)</w:t>
      </w:r>
      <w:r w:rsidR="00EF4E61" w:rsidRPr="00E67C04">
        <w:t>. For example, motivation deficits are primarily associated with functional outcomes and cognitive domains, while expressivity is linked to social interaction and communication. This separation aligns with evidence suggesting differential treatment responsiveness and neurobiological underpinnings for these factors.</w:t>
      </w:r>
      <w:r w:rsidR="00EF4E61" w:rsidRPr="00EF4E61">
        <w:t xml:space="preserve"> Including both the PANSS Negative and CAINS subscales</w:t>
      </w:r>
      <w:r w:rsidR="00EF4E61" w:rsidRPr="00EF4E61">
        <w:t xml:space="preserve"> allowed for a more nuanced exploration of the negative symptom domain and their potential distinct relationships with cognition and functioning outcomes.</w:t>
      </w:r>
    </w:p>
    <w:p w14:paraId="6F8EED6C" w14:textId="77777777" w:rsidR="00EF4E61" w:rsidRPr="00077977" w:rsidRDefault="00EF4E61" w:rsidP="00EF4E61">
      <w:pPr>
        <w:spacing w:after="0" w:line="240" w:lineRule="auto"/>
        <w:rPr>
          <w:rFonts w:cstheme="minorHAnsi"/>
        </w:rPr>
      </w:pPr>
    </w:p>
    <w:p w14:paraId="36A53F7A" w14:textId="3F5C0C58" w:rsidR="00F7070E" w:rsidRPr="000C2435" w:rsidRDefault="00F7070E" w:rsidP="00F7070E">
      <w:pPr>
        <w:spacing w:line="360" w:lineRule="auto"/>
        <w:jc w:val="both"/>
      </w:pPr>
      <w:r w:rsidRPr="000C2435">
        <w:t xml:space="preserve">The CAINS is a second-generation measure of negative symptoms, shown to be valid in separating different aspects of negative symptoms (motivation and pleasure vs experiential) and to have good reliability and internal consistency. Participants are rated on 13 different items, composing the two 2 sub-scales: a 9-item motivation and pleasure scale and a 4-item experiential scale. Each item is rated on (0-4) as per guidance in the handbook, on a scale ranging from absent (0) to severe (4). </w:t>
      </w:r>
    </w:p>
    <w:p w14:paraId="7C80F07A" w14:textId="77777777" w:rsidR="00F7070E" w:rsidRPr="000C2435" w:rsidRDefault="00F7070E" w:rsidP="00F7070E">
      <w:pPr>
        <w:spacing w:line="360" w:lineRule="auto"/>
        <w:rPr>
          <w:rFonts w:cstheme="minorHAnsi"/>
        </w:rPr>
      </w:pPr>
    </w:p>
    <w:p w14:paraId="79966B42" w14:textId="77777777" w:rsidR="00F7070E" w:rsidRPr="000C2435" w:rsidRDefault="00F7070E" w:rsidP="00F7070E">
      <w:pPr>
        <w:pStyle w:val="Heading3"/>
        <w:rPr>
          <w:rFonts w:asciiTheme="minorHAnsi" w:hAnsiTheme="minorHAnsi"/>
          <w:szCs w:val="22"/>
        </w:rPr>
      </w:pPr>
      <w:r w:rsidRPr="000C2435">
        <w:rPr>
          <w:rFonts w:asciiTheme="minorHAnsi" w:hAnsiTheme="minorHAnsi"/>
          <w:szCs w:val="22"/>
        </w:rPr>
        <w:t>Digit Span Backwards (DS-B)</w:t>
      </w:r>
    </w:p>
    <w:p w14:paraId="1A9DB565" w14:textId="77777777" w:rsidR="00F7070E" w:rsidRDefault="00F7070E" w:rsidP="00F7070E">
      <w:pPr>
        <w:spacing w:line="360" w:lineRule="auto"/>
        <w:jc w:val="both"/>
      </w:pPr>
      <w:r w:rsidRPr="000C2435">
        <w:t xml:space="preserve">The DS-B is a measure of working memory in which the subject is read aloud a sequence of numbers starting with 2 numbers, progressing up to 8 items in the length. On hearing them, the participant is asked to repeat them in exactly reversed order. </w:t>
      </w:r>
      <w:r>
        <w:t xml:space="preserve">After two items are each sequence length, the items increase in length. The task is discontinued if the participant gets two items in a row, at the same sequence length, incorrect. </w:t>
      </w:r>
      <w:r w:rsidRPr="000C2435">
        <w:t xml:space="preserve">This task differs from digit-span forwards, </w:t>
      </w:r>
      <w:r>
        <w:t>i</w:t>
      </w:r>
      <w:r w:rsidRPr="000C2435">
        <w:t>n requiring more effortful activity involving mental doub</w:t>
      </w:r>
      <w:r>
        <w:t>l</w:t>
      </w:r>
      <w:r w:rsidRPr="000C2435">
        <w:t>e-tracking and manipulation simultaneous</w:t>
      </w:r>
      <w:r>
        <w:t>ly</w:t>
      </w:r>
      <w:r w:rsidRPr="000C2435">
        <w:t xml:space="preserve">. </w:t>
      </w:r>
    </w:p>
    <w:p w14:paraId="2F44A541" w14:textId="77777777" w:rsidR="00F7070E" w:rsidRPr="000C2435" w:rsidRDefault="00F7070E" w:rsidP="00F7070E">
      <w:pPr>
        <w:spacing w:line="360" w:lineRule="auto"/>
        <w:rPr>
          <w:b/>
          <w:highlight w:val="yellow"/>
        </w:rPr>
      </w:pPr>
    </w:p>
    <w:p w14:paraId="778485FA" w14:textId="77777777" w:rsidR="00F7070E" w:rsidRPr="000C2435" w:rsidRDefault="00F7070E" w:rsidP="00F7070E">
      <w:pPr>
        <w:pStyle w:val="Heading3"/>
        <w:rPr>
          <w:rFonts w:asciiTheme="minorHAnsi" w:hAnsiTheme="minorHAnsi"/>
          <w:szCs w:val="22"/>
        </w:rPr>
      </w:pPr>
      <w:bookmarkStart w:id="3" w:name="_Toc30850020"/>
      <w:r w:rsidRPr="000C2435">
        <w:rPr>
          <w:rFonts w:asciiTheme="minorHAnsi" w:hAnsiTheme="minorHAnsi"/>
          <w:szCs w:val="22"/>
        </w:rPr>
        <w:lastRenderedPageBreak/>
        <w:t>Rey Auditory Verbal Learning Test (AVLT)</w:t>
      </w:r>
      <w:bookmarkEnd w:id="3"/>
    </w:p>
    <w:p w14:paraId="3214C015" w14:textId="77777777" w:rsidR="00F7070E" w:rsidRDefault="00F7070E" w:rsidP="00F7070E">
      <w:pPr>
        <w:spacing w:line="360" w:lineRule="auto"/>
        <w:jc w:val="both"/>
        <w:rPr>
          <w:rFonts w:cs="Arial"/>
        </w:rPr>
      </w:pPr>
      <w:r w:rsidRPr="000C2435">
        <w:rPr>
          <w:rFonts w:cs="Arial"/>
        </w:rPr>
        <w:t xml:space="preserve">The REY AVLT </w:t>
      </w:r>
      <w:r w:rsidRPr="00F17658">
        <w:fldChar w:fldCharType="begin"/>
      </w:r>
      <w:r w:rsidRPr="00F17658">
        <w:rPr>
          <w:rFonts w:cs="Arial"/>
        </w:rPr>
        <w:instrText xml:space="preserve"> ADDIN EN.CITE &lt;EndNote&gt;&lt;Cite&gt;&lt;Author&gt;Schmidt&lt;/Author&gt;&lt;Year&gt;1996&lt;/Year&gt;&lt;RecNum&gt;2555&lt;/RecNum&gt;&lt;DisplayText&gt;(Schmidt, 1996)&lt;/DisplayText&gt;&lt;record&gt;&lt;rec-number&gt;2555&lt;/rec-number&gt;&lt;foreign-keys&gt;&lt;key app="EN" db-id="50wxdpzd9vd5r7e9t5b595djrfpttrxw9avp" timestamp="1525185060"&gt;2555&lt;/key&gt;&lt;/foreign-keys&gt;&lt;ref-type name="Book"&gt;6&lt;/ref-type&gt;&lt;contributors&gt;&lt;authors&gt;&lt;author&gt;Schmidt, M&lt;/author&gt;&lt;/authors&gt;&lt;/contributors&gt;&lt;titles&gt;&lt;title&gt;Rey Auditory and Verbal Learning Test. A handbook&lt;/title&gt;&lt;/titles&gt;&lt;dates&gt;&lt;year&gt;1996&lt;/year&gt;&lt;/dates&gt;&lt;pub-location&gt; Los Angeles&lt;/pub-location&gt;&lt;publisher&gt;Western Psychological Association&lt;/publisher&gt;&lt;urls&gt;&lt;/urls&gt;&lt;/record&gt;&lt;/Cite&gt;&lt;/EndNote&gt;</w:instrText>
      </w:r>
      <w:r w:rsidRPr="00F17658">
        <w:rPr>
          <w:rFonts w:cs="Arial"/>
        </w:rPr>
        <w:fldChar w:fldCharType="separate"/>
      </w:r>
      <w:r w:rsidRPr="00F17658">
        <w:rPr>
          <w:rFonts w:cs="Arial"/>
          <w:noProof/>
        </w:rPr>
        <w:t>(Schmidt, 1996)</w:t>
      </w:r>
      <w:r w:rsidRPr="00F17658">
        <w:fldChar w:fldCharType="end"/>
      </w:r>
      <w:r w:rsidRPr="000C2435">
        <w:rPr>
          <w:rFonts w:cs="Arial"/>
        </w:rPr>
        <w:t xml:space="preserve"> is a test to auditory verbal learning and memory</w:t>
      </w:r>
      <w:r>
        <w:rPr>
          <w:rFonts w:cs="Arial"/>
        </w:rPr>
        <w:t xml:space="preserve">. </w:t>
      </w:r>
      <w:r w:rsidRPr="000C2435">
        <w:rPr>
          <w:rFonts w:cs="Arial"/>
        </w:rPr>
        <w:t>The participant is read aloud a list of 15 words</w:t>
      </w:r>
      <w:r>
        <w:rPr>
          <w:rFonts w:cs="Arial"/>
        </w:rPr>
        <w:t xml:space="preserve"> (</w:t>
      </w:r>
      <w:r w:rsidRPr="000C2435">
        <w:rPr>
          <w:rFonts w:cs="Arial"/>
        </w:rPr>
        <w:t xml:space="preserve">one word </w:t>
      </w:r>
      <w:r>
        <w:rPr>
          <w:rFonts w:cs="Arial"/>
        </w:rPr>
        <w:t xml:space="preserve">per </w:t>
      </w:r>
      <w:r w:rsidRPr="000C2435">
        <w:rPr>
          <w:rFonts w:cs="Arial"/>
        </w:rPr>
        <w:t>second</w:t>
      </w:r>
      <w:r>
        <w:rPr>
          <w:rFonts w:cs="Arial"/>
        </w:rPr>
        <w:t>)</w:t>
      </w:r>
      <w:r w:rsidRPr="000C2435">
        <w:rPr>
          <w:rFonts w:cs="Arial"/>
        </w:rPr>
        <w:t xml:space="preserve"> by the examiner. They are then asked to recall the words, in no </w:t>
      </w:r>
      <w:proofErr w:type="gramStart"/>
      <w:r w:rsidRPr="000C2435">
        <w:rPr>
          <w:rFonts w:cs="Arial"/>
        </w:rPr>
        <w:t>particular order</w:t>
      </w:r>
      <w:proofErr w:type="gramEnd"/>
      <w:r w:rsidRPr="000C2435">
        <w:rPr>
          <w:rFonts w:cs="Arial"/>
        </w:rPr>
        <w:t>. This is then repeated a further four times (five trials in total), with each trial scores based on the number of words correctly recalled. The outcome measure used is the total number of words recalled correctly across the five trials.</w:t>
      </w:r>
    </w:p>
    <w:p w14:paraId="79AB56FB" w14:textId="77777777" w:rsidR="008A1662" w:rsidRPr="00281B5E" w:rsidRDefault="008A1662" w:rsidP="00F7070E">
      <w:pPr>
        <w:spacing w:line="360" w:lineRule="auto"/>
        <w:jc w:val="both"/>
        <w:rPr>
          <w:rFonts w:cs="Arial"/>
        </w:rPr>
      </w:pPr>
    </w:p>
    <w:p w14:paraId="6119ADA2" w14:textId="77777777" w:rsidR="00F7070E" w:rsidRPr="000C2435" w:rsidRDefault="00F7070E" w:rsidP="00F7070E">
      <w:pPr>
        <w:pStyle w:val="Heading3"/>
        <w:rPr>
          <w:rFonts w:asciiTheme="minorHAnsi" w:hAnsiTheme="minorHAnsi"/>
          <w:szCs w:val="22"/>
        </w:rPr>
      </w:pPr>
      <w:bookmarkStart w:id="4" w:name="_Toc30850049"/>
      <w:r w:rsidRPr="000C2435">
        <w:rPr>
          <w:rFonts w:asciiTheme="minorHAnsi" w:hAnsiTheme="minorHAnsi"/>
          <w:szCs w:val="22"/>
        </w:rPr>
        <w:t>The Cambridge Automated Neuropsychological Cognitive Test Battery (CANTAB)</w:t>
      </w:r>
      <w:bookmarkEnd w:id="4"/>
    </w:p>
    <w:p w14:paraId="31270F0C" w14:textId="77777777" w:rsidR="00F7070E" w:rsidRDefault="00F7070E" w:rsidP="00F7070E">
      <w:pPr>
        <w:spacing w:line="360" w:lineRule="auto"/>
        <w:jc w:val="both"/>
      </w:pPr>
      <w:r w:rsidRPr="000C2435">
        <w:t xml:space="preserve">The CANTAB connect for the </w:t>
      </w:r>
      <w:proofErr w:type="spellStart"/>
      <w:r w:rsidRPr="000C2435">
        <w:t>i</w:t>
      </w:r>
      <w:proofErr w:type="spellEnd"/>
      <w:r w:rsidRPr="000C2435">
        <w:t>-Pad</w:t>
      </w:r>
      <w:r>
        <w:t xml:space="preserve"> </w:t>
      </w:r>
      <w:r w:rsidRPr="000C2435">
        <w:t xml:space="preserve"> </w:t>
      </w:r>
      <w:r w:rsidRPr="00F17658">
        <w:fldChar w:fldCharType="begin"/>
      </w:r>
      <w:r w:rsidRPr="00F17658">
        <w:instrText xml:space="preserve"> ADDIN EN.CITE &lt;EndNote&gt;&lt;Cite&gt;&lt;Year&gt;2017&lt;/Year&gt;&lt;RecNum&gt;2575&lt;/RecNum&gt;&lt;DisplayText&gt;(CANTAB®, 2017)&lt;/DisplayText&gt;&lt;record&gt;&lt;rec-number&gt;2575&lt;/rec-number&gt;&lt;foreign-keys&gt;&lt;key app="EN" db-id="50wxdpzd9vd5r7e9t5b595djrfpttrxw9avp" timestamp="1525188598"&gt;2575&lt;/key&gt;&lt;/foreign-keys&gt;&lt;ref-type name="Web Page"&gt;12&lt;/ref-type&gt;&lt;contributors&gt;&lt;authors&gt;&lt;author&gt;CANTAB®&lt;/author&gt;&lt;/authors&gt;&lt;/contributors&gt;&lt;titles&gt;&lt;title&gt;[Cognitive assessment software]. All rights reserved. www.cantab.com&lt;/title&gt;&lt;/titles&gt;&lt;volume&gt;2017&lt;/volume&gt;&lt;dates&gt;&lt;year&gt;2017&lt;/year&gt;&lt;/dates&gt;&lt;publisher&gt;Cambridge Cognition&lt;/publisher&gt;&lt;urls&gt;&lt;/urls&gt;&lt;/record&gt;&lt;/Cite&gt;&lt;/EndNote&gt;</w:instrText>
      </w:r>
      <w:r w:rsidRPr="00F17658">
        <w:fldChar w:fldCharType="separate"/>
      </w:r>
      <w:r w:rsidRPr="00F17658">
        <w:rPr>
          <w:noProof/>
        </w:rPr>
        <w:t>(CANTAB®, 2017)</w:t>
      </w:r>
      <w:r w:rsidRPr="00F17658">
        <w:fldChar w:fldCharType="end"/>
      </w:r>
      <w:r w:rsidRPr="000C2435">
        <w:t xml:space="preserve"> is computerised touch-screen assessment tool for cognitive functioning, which is highly sensitive and has become the gold standard for measurement of cognition in clinical trials. All tests are </w:t>
      </w:r>
      <w:proofErr w:type="gramStart"/>
      <w:r w:rsidRPr="000C2435">
        <w:t>non-linguistic</w:t>
      </w:r>
      <w:proofErr w:type="gramEnd"/>
      <w:r w:rsidRPr="000C2435">
        <w:t xml:space="preserve"> and all instructions are standardised. </w:t>
      </w:r>
    </w:p>
    <w:p w14:paraId="4279081D" w14:textId="77777777" w:rsidR="00F7070E" w:rsidRPr="000C2435" w:rsidRDefault="00F7070E" w:rsidP="00F7070E">
      <w:pPr>
        <w:spacing w:line="360" w:lineRule="auto"/>
        <w:jc w:val="both"/>
      </w:pPr>
    </w:p>
    <w:p w14:paraId="383928B0" w14:textId="77777777" w:rsidR="00F7070E" w:rsidRPr="000C2435" w:rsidRDefault="00F7070E" w:rsidP="00F7070E">
      <w:pPr>
        <w:pStyle w:val="Heading3"/>
        <w:rPr>
          <w:rFonts w:asciiTheme="minorHAnsi" w:hAnsiTheme="minorHAnsi"/>
          <w:szCs w:val="22"/>
        </w:rPr>
      </w:pPr>
      <w:r w:rsidRPr="000C2435">
        <w:rPr>
          <w:rFonts w:asciiTheme="minorHAnsi" w:hAnsiTheme="minorHAnsi"/>
          <w:szCs w:val="22"/>
        </w:rPr>
        <w:t>Motor Screening Task (MOT)</w:t>
      </w:r>
    </w:p>
    <w:p w14:paraId="03DAADD9" w14:textId="77777777" w:rsidR="00F7070E" w:rsidRPr="000C2435" w:rsidRDefault="00F7070E" w:rsidP="00F7070E">
      <w:pPr>
        <w:spacing w:line="360" w:lineRule="auto"/>
        <w:jc w:val="both"/>
      </w:pPr>
      <w:r w:rsidRPr="000C2435">
        <w:t xml:space="preserve">The MOT screens for motor speed and was the first CANTAB task completed by participants. The MOT measures sensorimotor speed and comprehension and serves to also ensure participants </w:t>
      </w:r>
      <w:proofErr w:type="gramStart"/>
      <w:r w:rsidRPr="000C2435">
        <w:t>are able to</w:t>
      </w:r>
      <w:proofErr w:type="gramEnd"/>
      <w:r w:rsidRPr="000C2435">
        <w:t xml:space="preserve"> use the touchscreen format of the CANTAB connect. In this task, participants are presented with </w:t>
      </w:r>
      <w:r>
        <w:t xml:space="preserve">one </w:t>
      </w:r>
      <w:r w:rsidRPr="000C2435">
        <w:t xml:space="preserve">coloured </w:t>
      </w:r>
      <w:proofErr w:type="gramStart"/>
      <w:r w:rsidRPr="000C2435">
        <w:t>crosses</w:t>
      </w:r>
      <w:proofErr w:type="gramEnd"/>
      <w:r w:rsidRPr="000C2435">
        <w:t xml:space="preserve"> on the scree</w:t>
      </w:r>
      <w:r>
        <w:t>n, in changing locations</w:t>
      </w:r>
      <w:r w:rsidRPr="000C2435">
        <w:t xml:space="preserve">. The participant is asked to respond to the cross by touching on it as quickly and as accurately as possible. This was used to as a screening tool to ensure participants were able to complete the tasks included in the study. </w:t>
      </w:r>
    </w:p>
    <w:p w14:paraId="774C235D" w14:textId="77777777" w:rsidR="00F7070E" w:rsidRPr="000C2435" w:rsidRDefault="00F7070E" w:rsidP="00F7070E">
      <w:pPr>
        <w:spacing w:line="360" w:lineRule="auto"/>
        <w:rPr>
          <w:highlight w:val="yellow"/>
        </w:rPr>
      </w:pPr>
    </w:p>
    <w:p w14:paraId="3EF59634" w14:textId="77777777" w:rsidR="00F7070E" w:rsidRPr="000C2435" w:rsidRDefault="00F7070E" w:rsidP="00F7070E">
      <w:pPr>
        <w:pStyle w:val="Heading3"/>
        <w:rPr>
          <w:rFonts w:asciiTheme="minorHAnsi" w:hAnsiTheme="minorHAnsi"/>
          <w:szCs w:val="22"/>
        </w:rPr>
      </w:pPr>
      <w:bookmarkStart w:id="5" w:name="_Toc30850052"/>
      <w:r w:rsidRPr="000C2435">
        <w:rPr>
          <w:rFonts w:asciiTheme="minorHAnsi" w:hAnsiTheme="minorHAnsi"/>
          <w:szCs w:val="22"/>
        </w:rPr>
        <w:t>Rapid Visual Information Processing (RVP)</w:t>
      </w:r>
      <w:bookmarkEnd w:id="5"/>
    </w:p>
    <w:p w14:paraId="6E9026A0" w14:textId="77777777" w:rsidR="00F7070E" w:rsidRPr="000C2435" w:rsidRDefault="00F7070E" w:rsidP="00F7070E">
      <w:pPr>
        <w:spacing w:line="360" w:lineRule="auto"/>
        <w:jc w:val="both"/>
      </w:pPr>
      <w:r w:rsidRPr="000C2435">
        <w:t xml:space="preserve">The RVP task is used to </w:t>
      </w:r>
      <w:r>
        <w:t>record</w:t>
      </w:r>
      <w:r w:rsidRPr="000C2435">
        <w:t xml:space="preserve"> sustained attention. In this task, the participant is </w:t>
      </w:r>
      <w:r>
        <w:t>shown</w:t>
      </w:r>
      <w:r w:rsidRPr="000C2435">
        <w:t xml:space="preserve"> a box in the </w:t>
      </w:r>
      <w:r>
        <w:t>middle</w:t>
      </w:r>
      <w:r w:rsidRPr="000C2435">
        <w:t xml:space="preserve"> of the screen, within which digits between 2 and 9 appear at a rate of 100 digits </w:t>
      </w:r>
      <w:r>
        <w:t>a</w:t>
      </w:r>
      <w:r w:rsidRPr="000C2435">
        <w:t xml:space="preserve"> minute. Participants are given the instruction to respond by pressing a </w:t>
      </w:r>
      <w:r>
        <w:t xml:space="preserve">touch-screen </w:t>
      </w:r>
      <w:r w:rsidRPr="000C2435">
        <w:t xml:space="preserve">button at the bottom of the screen when seeing the consecutive sequence of numbers “3-5-7”. </w:t>
      </w:r>
      <w:r>
        <w:t xml:space="preserve">The task starts by highlighting the number sequence in red to ensure the participant is following the instructions correctly, with this gradually fading away completely as the task progresses. </w:t>
      </w:r>
      <w:r w:rsidRPr="000C2435">
        <w:t xml:space="preserve">The outcome used was the sensitivity to the target sequence regardless of response tendency.  </w:t>
      </w:r>
    </w:p>
    <w:p w14:paraId="2B26AAE2" w14:textId="77777777" w:rsidR="00F7070E" w:rsidRPr="000C2435" w:rsidRDefault="00F7070E" w:rsidP="00F7070E">
      <w:pPr>
        <w:spacing w:line="360" w:lineRule="auto"/>
        <w:rPr>
          <w:highlight w:val="yellow"/>
        </w:rPr>
      </w:pPr>
    </w:p>
    <w:p w14:paraId="0576632B" w14:textId="77777777" w:rsidR="00F7070E" w:rsidRPr="000C2435" w:rsidRDefault="00F7070E" w:rsidP="00F7070E">
      <w:pPr>
        <w:pStyle w:val="Heading3"/>
        <w:rPr>
          <w:rFonts w:asciiTheme="minorHAnsi" w:hAnsiTheme="minorHAnsi"/>
          <w:szCs w:val="22"/>
        </w:rPr>
      </w:pPr>
      <w:bookmarkStart w:id="6" w:name="_Toc30850053"/>
      <w:r w:rsidRPr="000C2435">
        <w:rPr>
          <w:rFonts w:asciiTheme="minorHAnsi" w:hAnsiTheme="minorHAnsi"/>
          <w:szCs w:val="22"/>
        </w:rPr>
        <w:lastRenderedPageBreak/>
        <w:t>Reaction Time (RTI)</w:t>
      </w:r>
      <w:bookmarkEnd w:id="6"/>
    </w:p>
    <w:p w14:paraId="29C70B8A" w14:textId="77777777" w:rsidR="00F7070E" w:rsidRDefault="00F7070E" w:rsidP="00F7070E">
      <w:pPr>
        <w:spacing w:line="360" w:lineRule="auto"/>
        <w:jc w:val="both"/>
        <w:rPr>
          <w:highlight w:val="yellow"/>
        </w:rPr>
      </w:pPr>
      <w:r w:rsidRPr="000C2435">
        <w:t xml:space="preserve">The RTI task measures is thought to measure reaction time and accuracy, motor and mental response speed, and impulsivity. Participants were shown a touch screen button at the bottom of the screen and instructed to press and hold this using their index finger, before the start of each trial. Once a circle at the top of the screen turns yellow, participants are required to press this as soon as possible using their index finger of the same hand. The task has two modes – “simple” in which only one circle is shown at the top of the screen, and “five-choice”, in which 5 circles are present in different positions across the screen, with only one lighting up at the time. </w:t>
      </w:r>
    </w:p>
    <w:p w14:paraId="54127956" w14:textId="77777777" w:rsidR="00F7070E" w:rsidRPr="000C2435" w:rsidRDefault="00F7070E" w:rsidP="00F7070E">
      <w:pPr>
        <w:spacing w:line="360" w:lineRule="auto"/>
        <w:jc w:val="both"/>
        <w:rPr>
          <w:highlight w:val="yellow"/>
        </w:rPr>
      </w:pPr>
    </w:p>
    <w:p w14:paraId="63C5A7AA" w14:textId="77777777" w:rsidR="00F7070E" w:rsidRPr="000C2435" w:rsidRDefault="00F7070E" w:rsidP="00F7070E">
      <w:pPr>
        <w:pStyle w:val="Heading3"/>
        <w:rPr>
          <w:rFonts w:asciiTheme="minorHAnsi" w:hAnsiTheme="minorHAnsi"/>
          <w:szCs w:val="22"/>
        </w:rPr>
      </w:pPr>
      <w:bookmarkStart w:id="7" w:name="_Toc30850055"/>
      <w:r w:rsidRPr="000C2435">
        <w:rPr>
          <w:rFonts w:asciiTheme="minorHAnsi" w:hAnsiTheme="minorHAnsi"/>
          <w:szCs w:val="22"/>
        </w:rPr>
        <w:t>One Touch Stockings of Cambridge (OTSC)</w:t>
      </w:r>
      <w:bookmarkEnd w:id="7"/>
      <w:r w:rsidRPr="000C2435">
        <w:rPr>
          <w:rFonts w:asciiTheme="minorHAnsi" w:hAnsiTheme="minorHAnsi"/>
          <w:szCs w:val="22"/>
        </w:rPr>
        <w:t xml:space="preserve"> </w:t>
      </w:r>
    </w:p>
    <w:p w14:paraId="30BE1347" w14:textId="77777777" w:rsidR="00F7070E" w:rsidRPr="000C2435" w:rsidRDefault="00F7070E" w:rsidP="00F7070E">
      <w:pPr>
        <w:spacing w:line="360" w:lineRule="auto"/>
        <w:jc w:val="both"/>
      </w:pPr>
      <w:r w:rsidRPr="000C2435">
        <w:t xml:space="preserve">The OTSC task is computerised adaptation of the Towers of Hanoi task. The Stockings of Cambridge task measures working memory and spatial planning, with the one-touch version asking participants to calculate the minimum number of moves required to complete a solution, which they must then select as a response (1 – 7). </w:t>
      </w:r>
    </w:p>
    <w:p w14:paraId="06F66190" w14:textId="77777777" w:rsidR="00F7070E" w:rsidRPr="000C2435" w:rsidRDefault="00F7070E" w:rsidP="00F7070E">
      <w:pPr>
        <w:spacing w:line="360" w:lineRule="auto"/>
        <w:jc w:val="both"/>
      </w:pPr>
      <w:r w:rsidRPr="000C2435">
        <w:t xml:space="preserve">Participants are shown a split-screen </w:t>
      </w:r>
      <w:r>
        <w:t xml:space="preserve">image depicting </w:t>
      </w:r>
      <w:r w:rsidRPr="000C2435">
        <w:t xml:space="preserve">coloured balls suspended in “stockings” and are asked to select the minimum number of moves required for the lower image to be “moved” to be identical to the upper image, whilst obeying a number of rules: </w:t>
      </w:r>
      <w:r>
        <w:t>that no</w:t>
      </w:r>
      <w:r w:rsidRPr="000C2435">
        <w:t xml:space="preserve"> ball </w:t>
      </w:r>
      <w:r>
        <w:t>can be suspended in</w:t>
      </w:r>
      <w:r w:rsidRPr="000C2435">
        <w:t xml:space="preserve"> </w:t>
      </w:r>
      <w:r>
        <w:t>“</w:t>
      </w:r>
      <w:r w:rsidRPr="000C2435">
        <w:t>mid-air”</w:t>
      </w:r>
      <w:r>
        <w:t xml:space="preserve"> that</w:t>
      </w:r>
      <w:r w:rsidRPr="000C2435">
        <w:t xml:space="preserve"> and no ball can be moved from underneath another without </w:t>
      </w:r>
      <w:r>
        <w:t>first moving the</w:t>
      </w:r>
      <w:r w:rsidRPr="000C2435">
        <w:t xml:space="preserve"> ball on top. The primary outcome is the number of solutions solved on the first attempt.</w:t>
      </w:r>
    </w:p>
    <w:p w14:paraId="350991D4" w14:textId="77777777" w:rsidR="00F7070E" w:rsidRDefault="00F7070E" w:rsidP="00F7070E">
      <w:pPr>
        <w:pStyle w:val="Heading3"/>
        <w:ind w:left="0" w:firstLine="0"/>
        <w:rPr>
          <w:rFonts w:asciiTheme="minorHAnsi" w:hAnsiTheme="minorHAnsi"/>
          <w:szCs w:val="22"/>
        </w:rPr>
      </w:pPr>
      <w:bookmarkStart w:id="8" w:name="_Toc30850056"/>
    </w:p>
    <w:p w14:paraId="4B2C348D" w14:textId="77777777" w:rsidR="00F7070E" w:rsidRPr="000C2435" w:rsidRDefault="00F7070E" w:rsidP="00F7070E">
      <w:pPr>
        <w:pStyle w:val="Heading3"/>
        <w:ind w:left="0" w:firstLine="0"/>
        <w:rPr>
          <w:rFonts w:asciiTheme="minorHAnsi" w:hAnsiTheme="minorHAnsi"/>
          <w:szCs w:val="22"/>
        </w:rPr>
      </w:pPr>
      <w:r w:rsidRPr="000C2435">
        <w:rPr>
          <w:rFonts w:asciiTheme="minorHAnsi" w:hAnsiTheme="minorHAnsi"/>
          <w:szCs w:val="22"/>
        </w:rPr>
        <w:t>Attention-Switching Task (AST)</w:t>
      </w:r>
      <w:bookmarkEnd w:id="8"/>
    </w:p>
    <w:p w14:paraId="79E8EA73" w14:textId="77777777" w:rsidR="00F7070E" w:rsidRPr="000C2435" w:rsidRDefault="00F7070E" w:rsidP="00F7070E">
      <w:pPr>
        <w:spacing w:line="360" w:lineRule="auto"/>
        <w:jc w:val="both"/>
        <w:rPr>
          <w:highlight w:val="yellow"/>
        </w:rPr>
      </w:pPr>
      <w:r w:rsidRPr="000C2435">
        <w:t xml:space="preserve">The AST (since renamed to multi-tasking test) assesses one’s ability to switch attention and manage incongruent information. In this task, two buttons are displayed at the bottom of the screen and arrows are shown directly above either of the two boxes. In the first instance, the participant is asked to </w:t>
      </w:r>
      <w:r>
        <w:t>select</w:t>
      </w:r>
      <w:r w:rsidRPr="000C2435">
        <w:t xml:space="preserve"> the box on </w:t>
      </w:r>
      <w:r>
        <w:t>the</w:t>
      </w:r>
      <w:r w:rsidRPr="000C2435">
        <w:t xml:space="preserve"> side of the screen the arrow </w:t>
      </w:r>
      <w:r>
        <w:t>shown</w:t>
      </w:r>
      <w:r w:rsidRPr="000C2435">
        <w:t xml:space="preserve">. As the task progresses, participants are asked to press the box on the side of the screen that the arrow is pointing to and ignore </w:t>
      </w:r>
      <w:r>
        <w:t>which</w:t>
      </w:r>
      <w:r w:rsidRPr="000C2435">
        <w:t xml:space="preserve"> side of the screen the arrow is presented on.  The participants will then be directed on which rule to follow with the word “side” or “direction written in the middle of the screen.  The participant is given both congruent (where the direction of the arrow matches the side of the screen it is presented on) and incongruent (e.g., where the arrow presents on the left but points to the right). The primary outcome for this measure was the number of correct responses.</w:t>
      </w:r>
    </w:p>
    <w:p w14:paraId="777726D3" w14:textId="77777777" w:rsidR="00F7070E" w:rsidRPr="000C2435" w:rsidRDefault="00F7070E" w:rsidP="00F7070E">
      <w:pPr>
        <w:spacing w:line="360" w:lineRule="auto"/>
        <w:rPr>
          <w:highlight w:val="yellow"/>
        </w:rPr>
      </w:pPr>
    </w:p>
    <w:p w14:paraId="31195FF8" w14:textId="77777777" w:rsidR="00F7070E" w:rsidRPr="000C2435" w:rsidRDefault="00F7070E" w:rsidP="00F7070E">
      <w:pPr>
        <w:pStyle w:val="Heading3"/>
        <w:rPr>
          <w:rFonts w:asciiTheme="minorHAnsi" w:hAnsiTheme="minorHAnsi"/>
          <w:szCs w:val="22"/>
        </w:rPr>
      </w:pPr>
      <w:bookmarkStart w:id="9" w:name="_Toc30850058"/>
      <w:r w:rsidRPr="000C2435">
        <w:rPr>
          <w:rFonts w:asciiTheme="minorHAnsi" w:hAnsiTheme="minorHAnsi"/>
          <w:szCs w:val="22"/>
        </w:rPr>
        <w:t>Paired Associates Learning (PAL)</w:t>
      </w:r>
      <w:bookmarkEnd w:id="9"/>
    </w:p>
    <w:p w14:paraId="3583758D" w14:textId="77777777" w:rsidR="00F7070E" w:rsidRPr="000C2435" w:rsidRDefault="00F7070E" w:rsidP="00F7070E">
      <w:pPr>
        <w:spacing w:line="360" w:lineRule="auto"/>
        <w:jc w:val="both"/>
        <w:rPr>
          <w:highlight w:val="yellow"/>
        </w:rPr>
      </w:pPr>
      <w:r w:rsidRPr="000C2435">
        <w:t xml:space="preserve">The PAL measures visual memory and new learning. Boxes </w:t>
      </w:r>
      <w:r>
        <w:t>“open” around the edges of the screen, one at a time,</w:t>
      </w:r>
      <w:r w:rsidRPr="000C2435">
        <w:t xml:space="preserve"> in an apparently random order, with one of the boxes containing a patterned image (see Figure S5). After all boxes have opened, a patterned image is displayed in the middle of the screen, and the participant is asked to touch the box on the outside of the screen, which the image had appeared in. This is then repeated for each of the images which were shown. If the participant makes any error, the boxes are then re-opened again in the same order as in the initial trial, for another attempt. Only once the participant has completed the sequence correctly, they move on to the next trial, with an increasing number of patterns/boxes (maximum 8). The outcome measure</w:t>
      </w:r>
      <w:r>
        <w:t xml:space="preserve"> </w:t>
      </w:r>
      <w:r w:rsidRPr="000C2435">
        <w:t>was the number of times the participant chose the incorrect box for a stimulus on assessment problems, plus an adjustment for the estimated number of errors they would have made on any problems, attempts, and recalls they did not reach.</w:t>
      </w:r>
    </w:p>
    <w:p w14:paraId="0F416E81" w14:textId="77777777" w:rsidR="00F7070E" w:rsidRPr="000C2435" w:rsidRDefault="00F7070E" w:rsidP="00F7070E">
      <w:pPr>
        <w:spacing w:line="360" w:lineRule="auto"/>
        <w:rPr>
          <w:highlight w:val="yellow"/>
        </w:rPr>
      </w:pPr>
    </w:p>
    <w:p w14:paraId="5C38FAE4" w14:textId="77777777" w:rsidR="00F7070E" w:rsidRPr="000C2435" w:rsidRDefault="00F7070E" w:rsidP="00F7070E">
      <w:pPr>
        <w:pStyle w:val="Heading3"/>
        <w:rPr>
          <w:rFonts w:asciiTheme="minorHAnsi" w:hAnsiTheme="minorHAnsi"/>
          <w:szCs w:val="22"/>
        </w:rPr>
      </w:pPr>
      <w:bookmarkStart w:id="10" w:name="_Toc30850059"/>
      <w:r w:rsidRPr="000C2435">
        <w:rPr>
          <w:rFonts w:asciiTheme="minorHAnsi" w:hAnsiTheme="minorHAnsi"/>
          <w:szCs w:val="22"/>
        </w:rPr>
        <w:t>Spatial Working Memory (SWM)</w:t>
      </w:r>
      <w:bookmarkEnd w:id="10"/>
    </w:p>
    <w:p w14:paraId="10FDE73B" w14:textId="77777777" w:rsidR="00F7070E" w:rsidRPr="000C2435" w:rsidRDefault="00F7070E" w:rsidP="00F7070E">
      <w:pPr>
        <w:spacing w:line="360" w:lineRule="auto"/>
        <w:jc w:val="both"/>
        <w:rPr>
          <w:rFonts w:eastAsiaTheme="minorEastAsia" w:cstheme="minorHAnsi"/>
          <w:lang w:val="en-US"/>
        </w:rPr>
      </w:pPr>
      <w:r w:rsidRPr="000C2435">
        <w:t>A measure of spatial working memory, executive functions and strategy use, participants are shown coloured boxes in var</w:t>
      </w:r>
      <w:r>
        <w:t>ying</w:t>
      </w:r>
      <w:r w:rsidRPr="000C2435">
        <w:t xml:space="preserve"> formations across the screen (see Figure S6). They are then asked to locate a box containing a yellow token, and once found, to select and “store” it in a slot to the right of the screen. Each trial has only one token, and participants are informed that tokens will not appear in the same box twice, such that they must remember which boxes they have already checked.  As the task progresses, the number of boxes increases, until there are 8 boxes in total. The outcome measure was the </w:t>
      </w:r>
      <w:r w:rsidRPr="000C2435">
        <w:rPr>
          <w:rFonts w:cstheme="minorHAnsi"/>
        </w:rPr>
        <w:t>number of times the participant incorrectly revisits a box in which a token has previously been found.</w:t>
      </w:r>
      <w:r w:rsidRPr="000C2435">
        <w:rPr>
          <w:rFonts w:eastAsiaTheme="minorEastAsia" w:cstheme="minorHAnsi"/>
          <w:lang w:val="en-US"/>
        </w:rPr>
        <w:t xml:space="preserve"> </w:t>
      </w:r>
    </w:p>
    <w:p w14:paraId="779C7335" w14:textId="77777777" w:rsidR="00F7070E" w:rsidRPr="000C2435" w:rsidRDefault="00F7070E" w:rsidP="00F7070E">
      <w:pPr>
        <w:spacing w:line="360" w:lineRule="auto"/>
        <w:jc w:val="both"/>
        <w:rPr>
          <w:b/>
        </w:rPr>
      </w:pPr>
    </w:p>
    <w:p w14:paraId="47FCC1F9" w14:textId="77777777" w:rsidR="00F7070E" w:rsidRPr="000C2435" w:rsidRDefault="00F7070E" w:rsidP="00F7070E">
      <w:pPr>
        <w:pStyle w:val="Heading3"/>
        <w:rPr>
          <w:rFonts w:asciiTheme="minorHAnsi" w:hAnsiTheme="minorHAnsi"/>
          <w:szCs w:val="22"/>
        </w:rPr>
      </w:pPr>
      <w:bookmarkStart w:id="11" w:name="_Toc30850039"/>
      <w:r w:rsidRPr="000C2435">
        <w:rPr>
          <w:rFonts w:asciiTheme="minorHAnsi" w:hAnsiTheme="minorHAnsi"/>
          <w:szCs w:val="22"/>
        </w:rPr>
        <w:t>Emotion Recognition Task Short-Form (ERT)</w:t>
      </w:r>
      <w:bookmarkEnd w:id="11"/>
    </w:p>
    <w:p w14:paraId="46AA41E7" w14:textId="77777777" w:rsidR="00F7070E" w:rsidRDefault="00F7070E" w:rsidP="00F7070E">
      <w:pPr>
        <w:spacing w:line="360" w:lineRule="auto"/>
        <w:jc w:val="both"/>
      </w:pPr>
      <w:r w:rsidRPr="000C2435">
        <w:t xml:space="preserve">The ERT task assesses the speed and accuracy with which participants can recognise emotions. The ERT was developed by deriving morphed images from real individuals showing one of 6 emotions (happiness, surprise, sadness, anger, fear or disgust). Images are displayed one at a time, for 200ms and then immediately hidden. At this point, the participant is asked to select the emotion the face most closely resembled, from the 6 options. In the short-form version of this task, there are a </w:t>
      </w:r>
      <w:r w:rsidRPr="000C2435">
        <w:lastRenderedPageBreak/>
        <w:t xml:space="preserve">total of 48 trials, pertaining to 8 of each emotion. Outcome measure is </w:t>
      </w:r>
      <w:r>
        <w:t>t</w:t>
      </w:r>
      <w:r w:rsidRPr="000C2435">
        <w:rPr>
          <w:rFonts w:cstheme="minorHAnsi"/>
        </w:rPr>
        <w:t>he total number of correct responses (emotion selection) the subject made across all assessed trials</w:t>
      </w:r>
      <w:r w:rsidRPr="000C2435">
        <w:t xml:space="preserve"> </w:t>
      </w:r>
    </w:p>
    <w:p w14:paraId="704D2933" w14:textId="77777777" w:rsidR="00E61F26" w:rsidRDefault="00E61F26" w:rsidP="00F7070E">
      <w:pPr>
        <w:spacing w:line="360" w:lineRule="auto"/>
        <w:jc w:val="both"/>
      </w:pPr>
    </w:p>
    <w:p w14:paraId="27562729" w14:textId="77777777" w:rsidR="005A25B5" w:rsidRPr="004B39C1" w:rsidRDefault="005A25B5" w:rsidP="005A25B5">
      <w:pPr>
        <w:spacing w:line="360" w:lineRule="auto"/>
        <w:jc w:val="both"/>
        <w:rPr>
          <w:rFonts w:cstheme="minorHAnsi"/>
        </w:rPr>
      </w:pPr>
    </w:p>
    <w:p w14:paraId="2F2914D4" w14:textId="77777777" w:rsidR="005A25B5" w:rsidRDefault="005A25B5" w:rsidP="005A25B5">
      <w:pPr>
        <w:spacing w:line="360" w:lineRule="auto"/>
        <w:jc w:val="both"/>
        <w:rPr>
          <w:rFonts w:cstheme="minorHAnsi"/>
          <w:b/>
          <w:bCs/>
        </w:rPr>
      </w:pPr>
    </w:p>
    <w:p w14:paraId="19BF328F" w14:textId="77777777" w:rsidR="005A25B5" w:rsidRDefault="005A25B5" w:rsidP="00F7070E">
      <w:pPr>
        <w:spacing w:line="360" w:lineRule="auto"/>
        <w:jc w:val="both"/>
        <w:rPr>
          <w:rFonts w:cstheme="minorHAnsi"/>
          <w:b/>
          <w:bCs/>
        </w:rPr>
      </w:pPr>
    </w:p>
    <w:p w14:paraId="0EF7E813" w14:textId="77777777" w:rsidR="006C4AFF" w:rsidRDefault="006C4AFF" w:rsidP="00F7070E">
      <w:pPr>
        <w:spacing w:line="360" w:lineRule="auto"/>
        <w:jc w:val="both"/>
      </w:pPr>
    </w:p>
    <w:tbl>
      <w:tblPr>
        <w:tblStyle w:val="ListTable4-Accent1"/>
        <w:tblpPr w:leftFromText="180" w:rightFromText="180" w:vertAnchor="text" w:horzAnchor="margin" w:tblpY="86"/>
        <w:tblW w:w="0" w:type="auto"/>
        <w:tblLook w:val="04A0" w:firstRow="1" w:lastRow="0" w:firstColumn="1" w:lastColumn="0" w:noHBand="0" w:noVBand="1"/>
      </w:tblPr>
      <w:tblGrid>
        <w:gridCol w:w="1269"/>
        <w:gridCol w:w="1343"/>
        <w:gridCol w:w="1429"/>
        <w:gridCol w:w="1487"/>
      </w:tblGrid>
      <w:tr w:rsidR="00E61F26" w:rsidRPr="004B39C1" w14:paraId="2A0D72D0" w14:textId="77777777" w:rsidTr="00961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gridSpan w:val="4"/>
          </w:tcPr>
          <w:p w14:paraId="78532DB5" w14:textId="4540B8BC" w:rsidR="00E61F26" w:rsidRDefault="00E61F26" w:rsidP="00961102">
            <w:pPr>
              <w:spacing w:line="360" w:lineRule="auto"/>
              <w:outlineLvl w:val="0"/>
              <w:rPr>
                <w:rFonts w:cstheme="minorHAnsi"/>
                <w:b w:val="0"/>
                <w:bCs w:val="0"/>
                <w:color w:val="231F1F"/>
                <w:sz w:val="14"/>
                <w:szCs w:val="14"/>
              </w:rPr>
            </w:pPr>
            <w:bookmarkStart w:id="12" w:name="_Toc104213364"/>
            <w:r>
              <w:rPr>
                <w:rFonts w:cstheme="minorHAnsi"/>
                <w:sz w:val="16"/>
                <w:szCs w:val="16"/>
              </w:rPr>
              <w:t xml:space="preserve">Supplementary </w:t>
            </w:r>
            <w:r w:rsidRPr="000506BE">
              <w:rPr>
                <w:rFonts w:cstheme="minorHAnsi"/>
                <w:sz w:val="16"/>
                <w:szCs w:val="16"/>
              </w:rPr>
              <w:t>Tab</w:t>
            </w:r>
            <w:r>
              <w:rPr>
                <w:rFonts w:cstheme="minorHAnsi"/>
                <w:sz w:val="16"/>
                <w:szCs w:val="16"/>
              </w:rPr>
              <w:t>l</w:t>
            </w:r>
            <w:r w:rsidRPr="000506BE">
              <w:rPr>
                <w:rFonts w:cstheme="minorHAnsi"/>
                <w:sz w:val="16"/>
                <w:szCs w:val="16"/>
              </w:rPr>
              <w:t xml:space="preserve">e </w:t>
            </w:r>
            <w:r w:rsidR="00240F68">
              <w:rPr>
                <w:rFonts w:cstheme="minorHAnsi"/>
                <w:sz w:val="16"/>
                <w:szCs w:val="16"/>
              </w:rPr>
              <w:t xml:space="preserve">1 </w:t>
            </w:r>
            <w:r w:rsidR="004D3FA1">
              <w:rPr>
                <w:rFonts w:cstheme="minorHAnsi"/>
                <w:sz w:val="16"/>
                <w:szCs w:val="16"/>
              </w:rPr>
              <w:t>(S</w:t>
            </w:r>
            <w:r w:rsidR="00240F68">
              <w:rPr>
                <w:rFonts w:cstheme="minorHAnsi"/>
                <w:sz w:val="16"/>
                <w:szCs w:val="16"/>
              </w:rPr>
              <w:t>1</w:t>
            </w:r>
            <w:r w:rsidR="004D3FA1">
              <w:rPr>
                <w:rFonts w:cstheme="minorHAnsi"/>
                <w:sz w:val="16"/>
                <w:szCs w:val="16"/>
              </w:rPr>
              <w:t>)</w:t>
            </w:r>
            <w:r w:rsidRPr="000506BE">
              <w:rPr>
                <w:rFonts w:cstheme="minorHAnsi"/>
                <w:sz w:val="16"/>
                <w:szCs w:val="16"/>
              </w:rPr>
              <w:t xml:space="preserve">: </w:t>
            </w:r>
            <w:r>
              <w:rPr>
                <w:rFonts w:cstheme="minorHAnsi"/>
                <w:sz w:val="16"/>
                <w:szCs w:val="16"/>
              </w:rPr>
              <w:t>Mean scores on each measure</w:t>
            </w:r>
            <w:bookmarkEnd w:id="12"/>
          </w:p>
        </w:tc>
      </w:tr>
      <w:tr w:rsidR="00E61F26" w:rsidRPr="00EF4E61" w14:paraId="6894AE20" w14:textId="77777777" w:rsidTr="00961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60FA6B5B" w14:textId="77777777" w:rsidR="00E61F26" w:rsidRPr="004B39C1" w:rsidRDefault="00E61F26" w:rsidP="00961102">
            <w:pPr>
              <w:spacing w:line="360" w:lineRule="auto"/>
              <w:outlineLvl w:val="0"/>
              <w:rPr>
                <w:rFonts w:cstheme="minorHAnsi"/>
              </w:rPr>
            </w:pPr>
            <w:bookmarkStart w:id="13" w:name="_Toc104213365"/>
            <w:r w:rsidRPr="004B39C1">
              <w:rPr>
                <w:rFonts w:cstheme="minorHAnsi"/>
                <w:color w:val="231F1F"/>
                <w:sz w:val="14"/>
              </w:rPr>
              <w:t>Variable</w:t>
            </w:r>
            <w:bookmarkEnd w:id="13"/>
          </w:p>
        </w:tc>
        <w:tc>
          <w:tcPr>
            <w:tcW w:w="1343" w:type="dxa"/>
          </w:tcPr>
          <w:p w14:paraId="01F55B14" w14:textId="77777777" w:rsidR="00E61F26" w:rsidRDefault="00E61F26" w:rsidP="00961102">
            <w:pPr>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cstheme="minorHAnsi"/>
                <w:b/>
                <w:bCs/>
                <w:color w:val="231F1F"/>
                <w:sz w:val="14"/>
                <w:szCs w:val="14"/>
              </w:rPr>
            </w:pPr>
            <w:bookmarkStart w:id="14" w:name="_Toc104213366"/>
            <w:r>
              <w:rPr>
                <w:rFonts w:cstheme="minorHAnsi"/>
                <w:b/>
                <w:bCs/>
                <w:color w:val="231F1F"/>
                <w:sz w:val="14"/>
                <w:szCs w:val="14"/>
              </w:rPr>
              <w:t>Pre-CR* (n - 165)</w:t>
            </w:r>
            <w:bookmarkEnd w:id="14"/>
          </w:p>
          <w:p w14:paraId="3CB3B9A6" w14:textId="77777777" w:rsidR="00E61F26" w:rsidRPr="004B39C1" w:rsidRDefault="00E61F26" w:rsidP="00961102">
            <w:pPr>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bookmarkStart w:id="15" w:name="_Toc104213367"/>
            <w:r w:rsidRPr="004B39C1">
              <w:rPr>
                <w:rFonts w:cstheme="minorHAnsi"/>
                <w:b/>
                <w:bCs/>
                <w:color w:val="231F1F"/>
                <w:sz w:val="14"/>
                <w:szCs w:val="14"/>
              </w:rPr>
              <w:t>Mean (SD)</w:t>
            </w:r>
            <w:bookmarkEnd w:id="15"/>
          </w:p>
        </w:tc>
        <w:tc>
          <w:tcPr>
            <w:tcW w:w="1429" w:type="dxa"/>
          </w:tcPr>
          <w:p w14:paraId="55E5F5AA" w14:textId="77777777" w:rsidR="00E61F26" w:rsidRDefault="00E61F26" w:rsidP="00961102">
            <w:pPr>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cstheme="minorHAnsi"/>
                <w:b/>
                <w:bCs/>
                <w:color w:val="231F1F"/>
                <w:sz w:val="14"/>
                <w:szCs w:val="14"/>
              </w:rPr>
            </w:pPr>
            <w:bookmarkStart w:id="16" w:name="_Toc104213368"/>
            <w:r>
              <w:rPr>
                <w:rFonts w:cstheme="minorHAnsi"/>
                <w:b/>
                <w:bCs/>
                <w:color w:val="231F1F"/>
                <w:sz w:val="14"/>
                <w:szCs w:val="14"/>
              </w:rPr>
              <w:t>Post-CR* (n – 165)</w:t>
            </w:r>
            <w:bookmarkEnd w:id="16"/>
          </w:p>
          <w:p w14:paraId="720E5BDD" w14:textId="77777777" w:rsidR="00E61F26" w:rsidRPr="004B39C1" w:rsidRDefault="00E61F26" w:rsidP="00961102">
            <w:pPr>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cstheme="minorHAnsi"/>
                <w:b/>
                <w:bCs/>
                <w:color w:val="231F1F"/>
                <w:sz w:val="14"/>
                <w:szCs w:val="14"/>
              </w:rPr>
            </w:pPr>
            <w:bookmarkStart w:id="17" w:name="_Toc104213369"/>
            <w:r w:rsidRPr="004B39C1">
              <w:rPr>
                <w:rFonts w:cstheme="minorHAnsi"/>
                <w:b/>
                <w:bCs/>
                <w:color w:val="231F1F"/>
                <w:sz w:val="14"/>
                <w:szCs w:val="14"/>
              </w:rPr>
              <w:t>Mean (SD)</w:t>
            </w:r>
            <w:bookmarkEnd w:id="17"/>
          </w:p>
        </w:tc>
        <w:tc>
          <w:tcPr>
            <w:tcW w:w="1487" w:type="dxa"/>
          </w:tcPr>
          <w:p w14:paraId="2BE716B6" w14:textId="307DAEF4" w:rsidR="00E61F26" w:rsidRPr="006F67AF" w:rsidRDefault="00E61F26" w:rsidP="00961102">
            <w:pPr>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cstheme="minorHAnsi"/>
                <w:b/>
                <w:bCs/>
                <w:color w:val="231F1F"/>
                <w:sz w:val="14"/>
                <w:szCs w:val="14"/>
                <w:lang w:val="fr-FR"/>
              </w:rPr>
            </w:pPr>
            <w:bookmarkStart w:id="18" w:name="_Toc104213370"/>
            <w:proofErr w:type="spellStart"/>
            <w:r w:rsidRPr="006F67AF">
              <w:rPr>
                <w:rFonts w:cstheme="minorHAnsi"/>
                <w:b/>
                <w:bCs/>
                <w:color w:val="231F1F"/>
                <w:sz w:val="14"/>
                <w:szCs w:val="14"/>
                <w:lang w:val="fr-FR"/>
              </w:rPr>
              <w:t>Compari</w:t>
            </w:r>
            <w:r w:rsidR="008A1662">
              <w:rPr>
                <w:rFonts w:cstheme="minorHAnsi"/>
                <w:b/>
                <w:bCs/>
                <w:color w:val="231F1F"/>
                <w:sz w:val="14"/>
                <w:szCs w:val="14"/>
                <w:lang w:val="fr-FR"/>
              </w:rPr>
              <w:t>s</w:t>
            </w:r>
            <w:r w:rsidRPr="006F67AF">
              <w:rPr>
                <w:rFonts w:cstheme="minorHAnsi"/>
                <w:b/>
                <w:bCs/>
                <w:color w:val="231F1F"/>
                <w:sz w:val="14"/>
                <w:szCs w:val="14"/>
                <w:lang w:val="fr-FR"/>
              </w:rPr>
              <w:t>on</w:t>
            </w:r>
            <w:bookmarkEnd w:id="18"/>
            <w:proofErr w:type="spellEnd"/>
          </w:p>
          <w:p w14:paraId="5B5F0D78" w14:textId="77777777" w:rsidR="00E61F26" w:rsidRPr="006F67AF" w:rsidRDefault="00E61F26" w:rsidP="00961102">
            <w:pPr>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cstheme="minorHAnsi"/>
                <w:b/>
                <w:bCs/>
                <w:color w:val="231F1F"/>
                <w:sz w:val="14"/>
                <w:szCs w:val="14"/>
                <w:lang w:val="fr-FR"/>
              </w:rPr>
            </w:pPr>
            <w:bookmarkStart w:id="19" w:name="_Toc104213371"/>
            <w:r w:rsidRPr="006F67AF">
              <w:rPr>
                <w:rFonts w:cstheme="minorHAnsi"/>
                <w:b/>
                <w:bCs/>
                <w:color w:val="231F1F"/>
                <w:sz w:val="14"/>
                <w:szCs w:val="14"/>
                <w:lang w:val="fr-FR"/>
              </w:rPr>
              <w:t>Pre vs post-CR</w:t>
            </w:r>
            <w:bookmarkEnd w:id="19"/>
          </w:p>
        </w:tc>
      </w:tr>
      <w:tr w:rsidR="00E61F26" w:rsidRPr="004B39C1" w14:paraId="66E7E357" w14:textId="77777777" w:rsidTr="00961102">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2AE8F34B" w14:textId="77777777" w:rsidR="00E61F26" w:rsidRDefault="00E61F26" w:rsidP="00961102">
            <w:pPr>
              <w:pStyle w:val="TableParagraph"/>
              <w:rPr>
                <w:rFonts w:asciiTheme="minorHAnsi" w:hAnsiTheme="minorHAnsi" w:cstheme="minorHAnsi"/>
                <w:sz w:val="14"/>
                <w:szCs w:val="14"/>
              </w:rPr>
            </w:pPr>
            <w:r>
              <w:rPr>
                <w:rFonts w:asciiTheme="minorHAnsi" w:hAnsiTheme="minorHAnsi" w:cstheme="minorHAnsi"/>
                <w:sz w:val="14"/>
                <w:szCs w:val="14"/>
              </w:rPr>
              <w:t>SOFAS</w:t>
            </w:r>
          </w:p>
        </w:tc>
        <w:tc>
          <w:tcPr>
            <w:tcW w:w="1343" w:type="dxa"/>
            <w:shd w:val="clear" w:color="auto" w:fill="auto"/>
          </w:tcPr>
          <w:p w14:paraId="45CA4CC7" w14:textId="77777777" w:rsidR="00E61F26" w:rsidRPr="004B39C1"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64.41 (14.92)</w:t>
            </w:r>
          </w:p>
        </w:tc>
        <w:tc>
          <w:tcPr>
            <w:tcW w:w="1429" w:type="dxa"/>
          </w:tcPr>
          <w:p w14:paraId="7CF04189" w14:textId="77777777" w:rsidR="00E61F26" w:rsidRPr="004B39C1"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67.40 (18.53)</w:t>
            </w:r>
          </w:p>
        </w:tc>
        <w:tc>
          <w:tcPr>
            <w:tcW w:w="1487" w:type="dxa"/>
            <w:shd w:val="clear" w:color="auto" w:fill="auto"/>
          </w:tcPr>
          <w:p w14:paraId="280F1D68" w14:textId="77777777" w:rsidR="00E61F26" w:rsidRPr="00857212"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4"/>
                <w:szCs w:val="14"/>
              </w:rPr>
            </w:pPr>
            <w:r w:rsidRPr="00857212">
              <w:rPr>
                <w:rFonts w:asciiTheme="minorHAnsi" w:hAnsiTheme="minorHAnsi" w:cstheme="minorHAnsi"/>
                <w:b/>
                <w:bCs/>
                <w:sz w:val="14"/>
                <w:szCs w:val="14"/>
              </w:rPr>
              <w:t>t = 2.47, p = 0.02</w:t>
            </w:r>
          </w:p>
        </w:tc>
      </w:tr>
      <w:tr w:rsidR="00E61F26" w:rsidRPr="004B39C1" w14:paraId="0651AAC7" w14:textId="77777777" w:rsidTr="00961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69096229" w14:textId="77777777" w:rsidR="00E61F26" w:rsidRDefault="00E61F26" w:rsidP="00961102">
            <w:pPr>
              <w:pStyle w:val="TableParagraph"/>
              <w:rPr>
                <w:rFonts w:asciiTheme="minorHAnsi" w:hAnsiTheme="minorHAnsi" w:cstheme="minorHAnsi"/>
                <w:sz w:val="14"/>
                <w:szCs w:val="14"/>
              </w:rPr>
            </w:pPr>
            <w:r>
              <w:rPr>
                <w:rFonts w:asciiTheme="minorHAnsi" w:hAnsiTheme="minorHAnsi" w:cstheme="minorHAnsi"/>
                <w:sz w:val="14"/>
                <w:szCs w:val="14"/>
              </w:rPr>
              <w:t>GAS</w:t>
            </w:r>
          </w:p>
        </w:tc>
        <w:tc>
          <w:tcPr>
            <w:tcW w:w="1343" w:type="dxa"/>
            <w:shd w:val="clear" w:color="auto" w:fill="auto"/>
          </w:tcPr>
          <w:p w14:paraId="2807ABC4" w14:textId="77777777" w:rsidR="00E61F26"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32.92 (4.79)</w:t>
            </w:r>
          </w:p>
        </w:tc>
        <w:tc>
          <w:tcPr>
            <w:tcW w:w="1429" w:type="dxa"/>
            <w:shd w:val="clear" w:color="auto" w:fill="auto"/>
          </w:tcPr>
          <w:p w14:paraId="4955551F" w14:textId="77777777" w:rsidR="00E61F26"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51.48 (11.55)</w:t>
            </w:r>
          </w:p>
        </w:tc>
        <w:tc>
          <w:tcPr>
            <w:tcW w:w="1487" w:type="dxa"/>
            <w:shd w:val="clear" w:color="auto" w:fill="auto"/>
          </w:tcPr>
          <w:p w14:paraId="69AF54B6" w14:textId="77777777" w:rsidR="00E61F26" w:rsidRPr="00857212"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4"/>
                <w:szCs w:val="14"/>
              </w:rPr>
            </w:pPr>
            <w:r>
              <w:rPr>
                <w:rFonts w:asciiTheme="minorHAnsi" w:hAnsiTheme="minorHAnsi" w:cstheme="minorHAnsi"/>
                <w:b/>
                <w:bCs/>
                <w:sz w:val="14"/>
                <w:szCs w:val="14"/>
              </w:rPr>
              <w:t>t = 20.09, p = &lt;0.001</w:t>
            </w:r>
          </w:p>
        </w:tc>
      </w:tr>
      <w:tr w:rsidR="00E61F26" w:rsidRPr="004B39C1" w14:paraId="0D387350" w14:textId="77777777" w:rsidTr="00961102">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061153E9" w14:textId="77777777" w:rsidR="00E61F26" w:rsidRPr="004B39C1" w:rsidRDefault="00E61F26" w:rsidP="00961102">
            <w:pPr>
              <w:pStyle w:val="TableParagraph"/>
              <w:rPr>
                <w:rFonts w:asciiTheme="minorHAnsi" w:hAnsiTheme="minorHAnsi" w:cstheme="minorHAnsi"/>
                <w:sz w:val="14"/>
                <w:szCs w:val="14"/>
              </w:rPr>
            </w:pPr>
            <w:r>
              <w:rPr>
                <w:rFonts w:asciiTheme="minorHAnsi" w:hAnsiTheme="minorHAnsi" w:cstheme="minorHAnsi"/>
                <w:sz w:val="14"/>
                <w:szCs w:val="14"/>
              </w:rPr>
              <w:t>PANSS Positive</w:t>
            </w:r>
          </w:p>
        </w:tc>
        <w:tc>
          <w:tcPr>
            <w:tcW w:w="1343" w:type="dxa"/>
            <w:shd w:val="clear" w:color="auto" w:fill="auto"/>
          </w:tcPr>
          <w:p w14:paraId="61CCCD49" w14:textId="77777777" w:rsidR="00E61F26" w:rsidRPr="004B39C1"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12.84 (5.07)</w:t>
            </w:r>
          </w:p>
        </w:tc>
        <w:tc>
          <w:tcPr>
            <w:tcW w:w="1429" w:type="dxa"/>
            <w:shd w:val="clear" w:color="auto" w:fill="auto"/>
          </w:tcPr>
          <w:p w14:paraId="08EC59D7" w14:textId="77777777" w:rsidR="00E61F26" w:rsidRPr="004B39C1"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11.32 (4.66)</w:t>
            </w:r>
          </w:p>
        </w:tc>
        <w:tc>
          <w:tcPr>
            <w:tcW w:w="1487" w:type="dxa"/>
            <w:shd w:val="clear" w:color="auto" w:fill="auto"/>
          </w:tcPr>
          <w:p w14:paraId="6E3F4B4B" w14:textId="77777777" w:rsidR="00E61F26" w:rsidRPr="00857212"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4"/>
                <w:szCs w:val="14"/>
              </w:rPr>
            </w:pPr>
            <w:r w:rsidRPr="00857212">
              <w:rPr>
                <w:rFonts w:asciiTheme="minorHAnsi" w:hAnsiTheme="minorHAnsi" w:cstheme="minorHAnsi"/>
                <w:b/>
                <w:bCs/>
                <w:sz w:val="14"/>
                <w:szCs w:val="14"/>
              </w:rPr>
              <w:t xml:space="preserve">t = </w:t>
            </w:r>
            <w:r>
              <w:rPr>
                <w:rFonts w:asciiTheme="minorHAnsi" w:hAnsiTheme="minorHAnsi" w:cstheme="minorHAnsi"/>
                <w:b/>
                <w:bCs/>
                <w:sz w:val="14"/>
                <w:szCs w:val="14"/>
              </w:rPr>
              <w:t>-</w:t>
            </w:r>
            <w:r w:rsidRPr="00857212">
              <w:rPr>
                <w:rFonts w:asciiTheme="minorHAnsi" w:hAnsiTheme="minorHAnsi" w:cstheme="minorHAnsi"/>
                <w:b/>
                <w:bCs/>
                <w:sz w:val="14"/>
                <w:szCs w:val="14"/>
              </w:rPr>
              <w:t>5.38, p - &lt;0.001</w:t>
            </w:r>
          </w:p>
        </w:tc>
      </w:tr>
      <w:tr w:rsidR="00E61F26" w:rsidRPr="004B39C1" w14:paraId="651D741F" w14:textId="77777777" w:rsidTr="00961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49AC694D" w14:textId="77777777" w:rsidR="00E61F26" w:rsidRPr="004B39C1" w:rsidRDefault="00E61F26" w:rsidP="00961102">
            <w:pPr>
              <w:pStyle w:val="TableParagraph"/>
              <w:rPr>
                <w:rFonts w:asciiTheme="minorHAnsi" w:hAnsiTheme="minorHAnsi" w:cstheme="minorHAnsi"/>
                <w:w w:val="105"/>
                <w:sz w:val="14"/>
                <w:szCs w:val="14"/>
              </w:rPr>
            </w:pPr>
            <w:r>
              <w:rPr>
                <w:rFonts w:asciiTheme="minorHAnsi" w:hAnsiTheme="minorHAnsi" w:cstheme="minorHAnsi"/>
                <w:w w:val="105"/>
                <w:sz w:val="14"/>
                <w:szCs w:val="14"/>
              </w:rPr>
              <w:t>PANSS Negative</w:t>
            </w:r>
          </w:p>
        </w:tc>
        <w:tc>
          <w:tcPr>
            <w:tcW w:w="1343" w:type="dxa"/>
            <w:shd w:val="clear" w:color="auto" w:fill="auto"/>
          </w:tcPr>
          <w:p w14:paraId="76509360" w14:textId="77777777" w:rsidR="00E61F26" w:rsidRPr="004B39C1"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14.39 (6.35)</w:t>
            </w:r>
          </w:p>
        </w:tc>
        <w:tc>
          <w:tcPr>
            <w:tcW w:w="1429" w:type="dxa"/>
            <w:shd w:val="clear" w:color="auto" w:fill="auto"/>
          </w:tcPr>
          <w:p w14:paraId="0C32B301" w14:textId="77777777" w:rsidR="00E61F26" w:rsidRPr="004B39C1"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13.28 (5.23)</w:t>
            </w:r>
          </w:p>
        </w:tc>
        <w:tc>
          <w:tcPr>
            <w:tcW w:w="1487" w:type="dxa"/>
            <w:shd w:val="clear" w:color="auto" w:fill="auto"/>
          </w:tcPr>
          <w:p w14:paraId="1009DAD9" w14:textId="77777777" w:rsidR="00E61F26" w:rsidRPr="00857212"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4"/>
                <w:szCs w:val="14"/>
              </w:rPr>
            </w:pPr>
            <w:r w:rsidRPr="00857212">
              <w:rPr>
                <w:rFonts w:asciiTheme="minorHAnsi" w:hAnsiTheme="minorHAnsi" w:cstheme="minorHAnsi"/>
                <w:b/>
                <w:bCs/>
                <w:sz w:val="14"/>
                <w:szCs w:val="14"/>
              </w:rPr>
              <w:t xml:space="preserve">t = </w:t>
            </w:r>
            <w:r>
              <w:rPr>
                <w:rFonts w:asciiTheme="minorHAnsi" w:hAnsiTheme="minorHAnsi" w:cstheme="minorHAnsi"/>
                <w:b/>
                <w:bCs/>
                <w:sz w:val="14"/>
                <w:szCs w:val="14"/>
              </w:rPr>
              <w:t>-</w:t>
            </w:r>
            <w:r w:rsidRPr="00857212">
              <w:rPr>
                <w:rFonts w:asciiTheme="minorHAnsi" w:hAnsiTheme="minorHAnsi" w:cstheme="minorHAnsi"/>
                <w:b/>
                <w:bCs/>
                <w:sz w:val="14"/>
                <w:szCs w:val="14"/>
              </w:rPr>
              <w:t>2.54, p = 0.01</w:t>
            </w:r>
          </w:p>
        </w:tc>
      </w:tr>
      <w:tr w:rsidR="00E61F26" w:rsidRPr="004B39C1" w14:paraId="70AFA0E2" w14:textId="77777777" w:rsidTr="00961102">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35FCB96E" w14:textId="77777777" w:rsidR="00E61F26" w:rsidRPr="00696679" w:rsidRDefault="00E61F26" w:rsidP="00961102">
            <w:pPr>
              <w:pStyle w:val="TableParagraph"/>
              <w:rPr>
                <w:rFonts w:asciiTheme="minorHAnsi" w:hAnsiTheme="minorHAnsi" w:cstheme="minorHAnsi"/>
                <w:sz w:val="14"/>
                <w:szCs w:val="14"/>
              </w:rPr>
            </w:pPr>
            <w:r w:rsidRPr="00696679">
              <w:rPr>
                <w:rFonts w:asciiTheme="minorHAnsi" w:hAnsiTheme="minorHAnsi" w:cstheme="minorHAnsi"/>
                <w:sz w:val="14"/>
                <w:szCs w:val="14"/>
              </w:rPr>
              <w:t>CAINS EXP</w:t>
            </w:r>
          </w:p>
        </w:tc>
        <w:tc>
          <w:tcPr>
            <w:tcW w:w="1343" w:type="dxa"/>
            <w:shd w:val="clear" w:color="auto" w:fill="auto"/>
          </w:tcPr>
          <w:p w14:paraId="3B628794" w14:textId="77777777" w:rsidR="00E61F26" w:rsidRPr="004B39C1"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3.86 (4.37)</w:t>
            </w:r>
          </w:p>
        </w:tc>
        <w:tc>
          <w:tcPr>
            <w:tcW w:w="1429" w:type="dxa"/>
            <w:shd w:val="clear" w:color="auto" w:fill="auto"/>
          </w:tcPr>
          <w:p w14:paraId="4DF811B4" w14:textId="77777777" w:rsidR="00E61F26" w:rsidRPr="004B39C1"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3.49 (3.99)</w:t>
            </w:r>
          </w:p>
        </w:tc>
        <w:tc>
          <w:tcPr>
            <w:tcW w:w="1487" w:type="dxa"/>
            <w:shd w:val="clear" w:color="auto" w:fill="auto"/>
          </w:tcPr>
          <w:p w14:paraId="40CC1788" w14:textId="77777777" w:rsidR="00E61F26"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t = -1.27, p = 0.21</w:t>
            </w:r>
          </w:p>
        </w:tc>
      </w:tr>
      <w:tr w:rsidR="00E61F26" w:rsidRPr="004B39C1" w14:paraId="68D12DC8" w14:textId="77777777" w:rsidTr="00961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1CBBEE32" w14:textId="77777777" w:rsidR="00E61F26" w:rsidRPr="00696679" w:rsidRDefault="00E61F26" w:rsidP="00961102">
            <w:pPr>
              <w:pStyle w:val="TableParagraph"/>
              <w:rPr>
                <w:rFonts w:asciiTheme="minorHAnsi" w:hAnsiTheme="minorHAnsi" w:cstheme="minorHAnsi"/>
                <w:sz w:val="14"/>
                <w:szCs w:val="14"/>
              </w:rPr>
            </w:pPr>
            <w:r w:rsidRPr="00696679">
              <w:rPr>
                <w:rFonts w:asciiTheme="minorHAnsi" w:hAnsiTheme="minorHAnsi" w:cstheme="minorHAnsi"/>
                <w:sz w:val="14"/>
                <w:szCs w:val="14"/>
              </w:rPr>
              <w:t>CAINS MAP</w:t>
            </w:r>
          </w:p>
        </w:tc>
        <w:tc>
          <w:tcPr>
            <w:tcW w:w="1343" w:type="dxa"/>
            <w:shd w:val="clear" w:color="auto" w:fill="auto"/>
          </w:tcPr>
          <w:p w14:paraId="70ADC3CF" w14:textId="77777777" w:rsidR="00E61F26" w:rsidRPr="004B39C1"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14.61 (7.50)</w:t>
            </w:r>
          </w:p>
        </w:tc>
        <w:tc>
          <w:tcPr>
            <w:tcW w:w="1429" w:type="dxa"/>
            <w:shd w:val="clear" w:color="auto" w:fill="auto"/>
          </w:tcPr>
          <w:p w14:paraId="553DDF9F" w14:textId="77777777" w:rsidR="00E61F26" w:rsidRPr="004B39C1"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13.47 (7.41)</w:t>
            </w:r>
          </w:p>
        </w:tc>
        <w:tc>
          <w:tcPr>
            <w:tcW w:w="1487" w:type="dxa"/>
            <w:shd w:val="clear" w:color="auto" w:fill="auto"/>
          </w:tcPr>
          <w:p w14:paraId="41B8C7AE" w14:textId="77777777" w:rsidR="00E61F26" w:rsidRPr="00857212"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4"/>
                <w:szCs w:val="14"/>
              </w:rPr>
            </w:pPr>
            <w:r w:rsidRPr="00857212">
              <w:rPr>
                <w:rFonts w:asciiTheme="minorHAnsi" w:hAnsiTheme="minorHAnsi" w:cstheme="minorHAnsi"/>
                <w:b/>
                <w:bCs/>
                <w:sz w:val="14"/>
                <w:szCs w:val="14"/>
              </w:rPr>
              <w:t xml:space="preserve">t = </w:t>
            </w:r>
            <w:r>
              <w:rPr>
                <w:rFonts w:asciiTheme="minorHAnsi" w:hAnsiTheme="minorHAnsi" w:cstheme="minorHAnsi"/>
                <w:b/>
                <w:bCs/>
                <w:sz w:val="14"/>
                <w:szCs w:val="14"/>
              </w:rPr>
              <w:t>-</w:t>
            </w:r>
            <w:r w:rsidRPr="00857212">
              <w:rPr>
                <w:rFonts w:asciiTheme="minorHAnsi" w:hAnsiTheme="minorHAnsi" w:cstheme="minorHAnsi"/>
                <w:b/>
                <w:bCs/>
                <w:sz w:val="14"/>
                <w:szCs w:val="14"/>
              </w:rPr>
              <w:t>2.22, p = 0.03</w:t>
            </w:r>
          </w:p>
        </w:tc>
      </w:tr>
      <w:tr w:rsidR="00E61F26" w:rsidRPr="004B39C1" w14:paraId="335296DC" w14:textId="77777777" w:rsidTr="00961102">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3BD64E1D" w14:textId="77777777" w:rsidR="00E61F26" w:rsidRPr="00696679" w:rsidRDefault="00E61F26" w:rsidP="00961102">
            <w:pPr>
              <w:pStyle w:val="TableParagraph"/>
              <w:rPr>
                <w:rFonts w:asciiTheme="minorHAnsi" w:hAnsiTheme="minorHAnsi" w:cstheme="minorHAnsi"/>
                <w:sz w:val="14"/>
                <w:szCs w:val="14"/>
              </w:rPr>
            </w:pPr>
            <w:r>
              <w:rPr>
                <w:rFonts w:asciiTheme="minorHAnsi" w:hAnsiTheme="minorHAnsi" w:cstheme="minorHAnsi"/>
                <w:sz w:val="14"/>
                <w:szCs w:val="14"/>
              </w:rPr>
              <w:t>MIC-SR</w:t>
            </w:r>
          </w:p>
        </w:tc>
        <w:tc>
          <w:tcPr>
            <w:tcW w:w="1343" w:type="dxa"/>
            <w:shd w:val="clear" w:color="auto" w:fill="auto"/>
          </w:tcPr>
          <w:p w14:paraId="277F7D10" w14:textId="77777777" w:rsidR="00E61F26" w:rsidRPr="004B39C1"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19.43 (9.69)</w:t>
            </w:r>
          </w:p>
        </w:tc>
        <w:tc>
          <w:tcPr>
            <w:tcW w:w="1429" w:type="dxa"/>
            <w:shd w:val="clear" w:color="auto" w:fill="auto"/>
          </w:tcPr>
          <w:p w14:paraId="60ED9013" w14:textId="77777777" w:rsidR="00E61F26" w:rsidRPr="004B39C1"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16.44 (9.14)</w:t>
            </w:r>
          </w:p>
        </w:tc>
        <w:tc>
          <w:tcPr>
            <w:tcW w:w="1487" w:type="dxa"/>
            <w:shd w:val="clear" w:color="auto" w:fill="auto"/>
          </w:tcPr>
          <w:p w14:paraId="14BD0AC3" w14:textId="77777777" w:rsidR="00E61F26" w:rsidRPr="00E4528E"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4"/>
                <w:szCs w:val="14"/>
              </w:rPr>
            </w:pPr>
            <w:r w:rsidRPr="00E4528E">
              <w:rPr>
                <w:rFonts w:asciiTheme="minorHAnsi" w:hAnsiTheme="minorHAnsi" w:cstheme="minorHAnsi"/>
                <w:b/>
                <w:bCs/>
                <w:sz w:val="14"/>
                <w:szCs w:val="14"/>
              </w:rPr>
              <w:t xml:space="preserve">t = -4.36. p = &lt;0.001 </w:t>
            </w:r>
          </w:p>
        </w:tc>
      </w:tr>
      <w:tr w:rsidR="00E61F26" w:rsidRPr="004B39C1" w14:paraId="0E5A5580" w14:textId="77777777" w:rsidTr="00961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02723C5C" w14:textId="77777777" w:rsidR="00E61F26" w:rsidRPr="00696679" w:rsidRDefault="00E61F26" w:rsidP="00961102">
            <w:pPr>
              <w:pStyle w:val="TableParagraph"/>
              <w:rPr>
                <w:rFonts w:asciiTheme="minorHAnsi" w:hAnsiTheme="minorHAnsi" w:cstheme="minorHAnsi"/>
                <w:sz w:val="14"/>
                <w:szCs w:val="14"/>
              </w:rPr>
            </w:pPr>
            <w:r>
              <w:rPr>
                <w:rFonts w:asciiTheme="minorHAnsi" w:hAnsiTheme="minorHAnsi" w:cstheme="minorHAnsi"/>
                <w:sz w:val="14"/>
                <w:szCs w:val="14"/>
              </w:rPr>
              <w:t>DS-B</w:t>
            </w:r>
          </w:p>
        </w:tc>
        <w:tc>
          <w:tcPr>
            <w:tcW w:w="1343" w:type="dxa"/>
            <w:shd w:val="clear" w:color="auto" w:fill="auto"/>
          </w:tcPr>
          <w:p w14:paraId="73823F01" w14:textId="77777777" w:rsidR="00E61F26" w:rsidRPr="004B39C1"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5.73 (2.21)</w:t>
            </w:r>
          </w:p>
        </w:tc>
        <w:tc>
          <w:tcPr>
            <w:tcW w:w="1429" w:type="dxa"/>
            <w:shd w:val="clear" w:color="auto" w:fill="auto"/>
          </w:tcPr>
          <w:p w14:paraId="66B8024C" w14:textId="77777777" w:rsidR="00E61F26" w:rsidRPr="004B39C1"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5.93 (2.26)</w:t>
            </w:r>
          </w:p>
        </w:tc>
        <w:tc>
          <w:tcPr>
            <w:tcW w:w="1487" w:type="dxa"/>
            <w:shd w:val="clear" w:color="auto" w:fill="auto"/>
          </w:tcPr>
          <w:p w14:paraId="3C3D14F8" w14:textId="77777777" w:rsidR="00E61F26"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t = 1.43, p = 0.16</w:t>
            </w:r>
          </w:p>
        </w:tc>
      </w:tr>
      <w:tr w:rsidR="00E61F26" w:rsidRPr="004B39C1" w14:paraId="37835F55" w14:textId="77777777" w:rsidTr="00961102">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3A8EB617" w14:textId="77777777" w:rsidR="00E61F26" w:rsidRPr="00696679" w:rsidRDefault="00E61F26" w:rsidP="00961102">
            <w:pPr>
              <w:pStyle w:val="TableParagraph"/>
              <w:rPr>
                <w:rFonts w:asciiTheme="minorHAnsi" w:hAnsiTheme="minorHAnsi" w:cstheme="minorHAnsi"/>
                <w:sz w:val="14"/>
                <w:szCs w:val="14"/>
              </w:rPr>
            </w:pPr>
            <w:r>
              <w:rPr>
                <w:rFonts w:asciiTheme="minorHAnsi" w:hAnsiTheme="minorHAnsi" w:cstheme="minorHAnsi"/>
                <w:sz w:val="14"/>
                <w:szCs w:val="14"/>
              </w:rPr>
              <w:t>AVLT</w:t>
            </w:r>
          </w:p>
        </w:tc>
        <w:tc>
          <w:tcPr>
            <w:tcW w:w="1343" w:type="dxa"/>
            <w:shd w:val="clear" w:color="auto" w:fill="auto"/>
          </w:tcPr>
          <w:p w14:paraId="0FEC58BD" w14:textId="77777777" w:rsidR="00E61F26" w:rsidRPr="004B39C1"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43.77 (11.45)</w:t>
            </w:r>
          </w:p>
        </w:tc>
        <w:tc>
          <w:tcPr>
            <w:tcW w:w="1429" w:type="dxa"/>
            <w:shd w:val="clear" w:color="auto" w:fill="auto"/>
          </w:tcPr>
          <w:p w14:paraId="79150FF7" w14:textId="77777777" w:rsidR="00E61F26" w:rsidRPr="004B39C1"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45.55 (12.26)</w:t>
            </w:r>
          </w:p>
        </w:tc>
        <w:tc>
          <w:tcPr>
            <w:tcW w:w="1487" w:type="dxa"/>
            <w:shd w:val="clear" w:color="auto" w:fill="auto"/>
          </w:tcPr>
          <w:p w14:paraId="3812779C" w14:textId="77777777" w:rsidR="00E61F26" w:rsidRPr="00857212"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4"/>
                <w:szCs w:val="14"/>
              </w:rPr>
            </w:pPr>
            <w:r w:rsidRPr="00857212">
              <w:rPr>
                <w:rFonts w:asciiTheme="minorHAnsi" w:hAnsiTheme="minorHAnsi" w:cstheme="minorHAnsi"/>
                <w:b/>
                <w:bCs/>
                <w:sz w:val="14"/>
                <w:szCs w:val="14"/>
              </w:rPr>
              <w:t>t = 2.00, p = 0.05</w:t>
            </w:r>
          </w:p>
        </w:tc>
      </w:tr>
      <w:tr w:rsidR="00E61F26" w:rsidRPr="004B39C1" w14:paraId="382896FA" w14:textId="77777777" w:rsidTr="00961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45ED1A8B" w14:textId="77777777" w:rsidR="00E61F26" w:rsidRPr="00696679" w:rsidRDefault="00E61F26" w:rsidP="00961102">
            <w:pPr>
              <w:pStyle w:val="TableParagraph"/>
              <w:rPr>
                <w:rFonts w:asciiTheme="minorHAnsi" w:hAnsiTheme="minorHAnsi" w:cstheme="minorHAnsi"/>
                <w:sz w:val="14"/>
                <w:szCs w:val="14"/>
              </w:rPr>
            </w:pPr>
            <w:r>
              <w:rPr>
                <w:rFonts w:asciiTheme="minorHAnsi" w:hAnsiTheme="minorHAnsi" w:cstheme="minorHAnsi"/>
                <w:sz w:val="14"/>
                <w:szCs w:val="14"/>
              </w:rPr>
              <w:t>AST</w:t>
            </w:r>
          </w:p>
        </w:tc>
        <w:tc>
          <w:tcPr>
            <w:tcW w:w="1343" w:type="dxa"/>
            <w:shd w:val="clear" w:color="auto" w:fill="auto"/>
          </w:tcPr>
          <w:p w14:paraId="34201818" w14:textId="77777777" w:rsidR="00E61F26" w:rsidRPr="004B39C1"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143.58 (16.40)</w:t>
            </w:r>
          </w:p>
        </w:tc>
        <w:tc>
          <w:tcPr>
            <w:tcW w:w="1429" w:type="dxa"/>
            <w:shd w:val="clear" w:color="auto" w:fill="auto"/>
          </w:tcPr>
          <w:p w14:paraId="4E492324" w14:textId="77777777" w:rsidR="00E61F26" w:rsidRPr="004B39C1"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145.33 (17.16)</w:t>
            </w:r>
          </w:p>
        </w:tc>
        <w:tc>
          <w:tcPr>
            <w:tcW w:w="1487" w:type="dxa"/>
            <w:shd w:val="clear" w:color="auto" w:fill="auto"/>
          </w:tcPr>
          <w:p w14:paraId="66D5EE6C" w14:textId="77777777" w:rsidR="00E61F26"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t = 1.61, p = 0.11</w:t>
            </w:r>
          </w:p>
        </w:tc>
      </w:tr>
      <w:tr w:rsidR="00E61F26" w:rsidRPr="004B39C1" w14:paraId="0185CCA0" w14:textId="77777777" w:rsidTr="00961102">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0834C453" w14:textId="77777777" w:rsidR="00E61F26" w:rsidRPr="00696679" w:rsidRDefault="00E61F26" w:rsidP="00961102">
            <w:pPr>
              <w:pStyle w:val="TableParagraph"/>
              <w:rPr>
                <w:rFonts w:asciiTheme="minorHAnsi" w:hAnsiTheme="minorHAnsi" w:cstheme="minorHAnsi"/>
                <w:sz w:val="14"/>
                <w:szCs w:val="14"/>
              </w:rPr>
            </w:pPr>
            <w:r>
              <w:rPr>
                <w:rFonts w:asciiTheme="minorHAnsi" w:hAnsiTheme="minorHAnsi" w:cstheme="minorHAnsi"/>
                <w:sz w:val="14"/>
                <w:szCs w:val="14"/>
              </w:rPr>
              <w:t>ERT</w:t>
            </w:r>
          </w:p>
        </w:tc>
        <w:tc>
          <w:tcPr>
            <w:tcW w:w="1343" w:type="dxa"/>
            <w:shd w:val="clear" w:color="auto" w:fill="auto"/>
          </w:tcPr>
          <w:p w14:paraId="6B5C4CE9" w14:textId="77777777" w:rsidR="00E61F26" w:rsidRPr="004B39C1"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27.14 (6.12)</w:t>
            </w:r>
          </w:p>
        </w:tc>
        <w:tc>
          <w:tcPr>
            <w:tcW w:w="1429" w:type="dxa"/>
            <w:shd w:val="clear" w:color="auto" w:fill="auto"/>
          </w:tcPr>
          <w:p w14:paraId="4EFF7FA7" w14:textId="77777777" w:rsidR="00E61F26" w:rsidRPr="004B39C1"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26.87 (6.87)</w:t>
            </w:r>
          </w:p>
        </w:tc>
        <w:tc>
          <w:tcPr>
            <w:tcW w:w="1487" w:type="dxa"/>
            <w:shd w:val="clear" w:color="auto" w:fill="auto"/>
          </w:tcPr>
          <w:p w14:paraId="3AD110FF" w14:textId="77777777" w:rsidR="00E61F26"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t = -0.58, p = 0.55</w:t>
            </w:r>
          </w:p>
        </w:tc>
      </w:tr>
      <w:tr w:rsidR="00E61F26" w:rsidRPr="004B39C1" w14:paraId="4A8B615A" w14:textId="77777777" w:rsidTr="00961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0507BC44" w14:textId="77777777" w:rsidR="00E61F26" w:rsidRPr="00696679" w:rsidRDefault="00E61F26" w:rsidP="00961102">
            <w:pPr>
              <w:pStyle w:val="TableParagraph"/>
              <w:rPr>
                <w:rFonts w:asciiTheme="minorHAnsi" w:hAnsiTheme="minorHAnsi" w:cstheme="minorHAnsi"/>
                <w:sz w:val="14"/>
                <w:szCs w:val="14"/>
              </w:rPr>
            </w:pPr>
            <w:r>
              <w:rPr>
                <w:rFonts w:asciiTheme="minorHAnsi" w:hAnsiTheme="minorHAnsi" w:cstheme="minorHAnsi"/>
                <w:sz w:val="14"/>
                <w:szCs w:val="14"/>
              </w:rPr>
              <w:t>OTSC</w:t>
            </w:r>
          </w:p>
        </w:tc>
        <w:tc>
          <w:tcPr>
            <w:tcW w:w="1343" w:type="dxa"/>
            <w:shd w:val="clear" w:color="auto" w:fill="auto"/>
          </w:tcPr>
          <w:p w14:paraId="14CE41A4" w14:textId="77777777" w:rsidR="00E61F26" w:rsidRPr="004B39C1"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9.30 (3.21)</w:t>
            </w:r>
          </w:p>
        </w:tc>
        <w:tc>
          <w:tcPr>
            <w:tcW w:w="1429" w:type="dxa"/>
            <w:shd w:val="clear" w:color="auto" w:fill="auto"/>
          </w:tcPr>
          <w:p w14:paraId="47B8F3BF" w14:textId="77777777" w:rsidR="00E61F26" w:rsidRPr="004B39C1"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9.46 (3.38)</w:t>
            </w:r>
          </w:p>
        </w:tc>
        <w:tc>
          <w:tcPr>
            <w:tcW w:w="1487" w:type="dxa"/>
            <w:shd w:val="clear" w:color="auto" w:fill="auto"/>
          </w:tcPr>
          <w:p w14:paraId="1D6BC5AE" w14:textId="77777777" w:rsidR="00E61F26"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t = 0.70, p = 0.49</w:t>
            </w:r>
          </w:p>
        </w:tc>
      </w:tr>
      <w:tr w:rsidR="00E61F26" w:rsidRPr="004B39C1" w14:paraId="79E919DF" w14:textId="77777777" w:rsidTr="00961102">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60229BED" w14:textId="77777777" w:rsidR="00E61F26" w:rsidRPr="00696679" w:rsidRDefault="00E61F26" w:rsidP="00961102">
            <w:pPr>
              <w:pStyle w:val="TableParagraph"/>
              <w:rPr>
                <w:rFonts w:asciiTheme="minorHAnsi" w:hAnsiTheme="minorHAnsi" w:cstheme="minorHAnsi"/>
                <w:sz w:val="14"/>
                <w:szCs w:val="14"/>
              </w:rPr>
            </w:pPr>
            <w:r>
              <w:rPr>
                <w:rFonts w:asciiTheme="minorHAnsi" w:hAnsiTheme="minorHAnsi" w:cstheme="minorHAnsi"/>
                <w:sz w:val="14"/>
                <w:szCs w:val="14"/>
              </w:rPr>
              <w:t>PAL (errors)</w:t>
            </w:r>
          </w:p>
        </w:tc>
        <w:tc>
          <w:tcPr>
            <w:tcW w:w="1343" w:type="dxa"/>
            <w:shd w:val="clear" w:color="auto" w:fill="auto"/>
          </w:tcPr>
          <w:p w14:paraId="2AC4B1F5" w14:textId="77777777" w:rsidR="00E61F26" w:rsidRPr="004B39C1"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19.68 (16.35)</w:t>
            </w:r>
          </w:p>
        </w:tc>
        <w:tc>
          <w:tcPr>
            <w:tcW w:w="1429" w:type="dxa"/>
            <w:shd w:val="clear" w:color="auto" w:fill="auto"/>
          </w:tcPr>
          <w:p w14:paraId="56EBDC32" w14:textId="77777777" w:rsidR="00E61F26" w:rsidRPr="004B39C1"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17.67 (16.84)</w:t>
            </w:r>
          </w:p>
        </w:tc>
        <w:tc>
          <w:tcPr>
            <w:tcW w:w="1487" w:type="dxa"/>
            <w:shd w:val="clear" w:color="auto" w:fill="auto"/>
          </w:tcPr>
          <w:p w14:paraId="316B3BFD" w14:textId="77777777" w:rsidR="00E61F26" w:rsidRPr="00857212"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4"/>
                <w:szCs w:val="14"/>
              </w:rPr>
            </w:pPr>
            <w:r w:rsidRPr="00857212">
              <w:rPr>
                <w:rFonts w:asciiTheme="minorHAnsi" w:hAnsiTheme="minorHAnsi" w:cstheme="minorHAnsi"/>
                <w:b/>
                <w:bCs/>
                <w:sz w:val="14"/>
                <w:szCs w:val="14"/>
              </w:rPr>
              <w:t xml:space="preserve">t = </w:t>
            </w:r>
            <w:r>
              <w:rPr>
                <w:rFonts w:asciiTheme="minorHAnsi" w:hAnsiTheme="minorHAnsi" w:cstheme="minorHAnsi"/>
                <w:b/>
                <w:bCs/>
                <w:sz w:val="14"/>
                <w:szCs w:val="14"/>
              </w:rPr>
              <w:t>-</w:t>
            </w:r>
            <w:r w:rsidRPr="00857212">
              <w:rPr>
                <w:rFonts w:asciiTheme="minorHAnsi" w:hAnsiTheme="minorHAnsi" w:cstheme="minorHAnsi"/>
                <w:b/>
                <w:bCs/>
                <w:sz w:val="14"/>
                <w:szCs w:val="14"/>
              </w:rPr>
              <w:t>1.98, p = 0.05</w:t>
            </w:r>
          </w:p>
        </w:tc>
      </w:tr>
      <w:tr w:rsidR="00E61F26" w:rsidRPr="004B39C1" w14:paraId="4A453643" w14:textId="77777777" w:rsidTr="00961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7E926C5B" w14:textId="77777777" w:rsidR="00E61F26" w:rsidRPr="00696679" w:rsidRDefault="00E61F26" w:rsidP="00961102">
            <w:pPr>
              <w:pStyle w:val="TableParagraph"/>
              <w:rPr>
                <w:rFonts w:asciiTheme="minorHAnsi" w:hAnsiTheme="minorHAnsi" w:cstheme="minorHAnsi"/>
                <w:sz w:val="14"/>
                <w:szCs w:val="14"/>
              </w:rPr>
            </w:pPr>
            <w:r>
              <w:rPr>
                <w:rFonts w:asciiTheme="minorHAnsi" w:hAnsiTheme="minorHAnsi" w:cstheme="minorHAnsi"/>
                <w:sz w:val="14"/>
                <w:szCs w:val="14"/>
              </w:rPr>
              <w:t>RT</w:t>
            </w:r>
          </w:p>
        </w:tc>
        <w:tc>
          <w:tcPr>
            <w:tcW w:w="1343" w:type="dxa"/>
            <w:shd w:val="clear" w:color="auto" w:fill="auto"/>
          </w:tcPr>
          <w:p w14:paraId="5253D213" w14:textId="77777777" w:rsidR="00E61F26" w:rsidRPr="004B39C1"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409.94 (56.28)</w:t>
            </w:r>
          </w:p>
        </w:tc>
        <w:tc>
          <w:tcPr>
            <w:tcW w:w="1429" w:type="dxa"/>
            <w:shd w:val="clear" w:color="auto" w:fill="auto"/>
          </w:tcPr>
          <w:p w14:paraId="74AEF5D8" w14:textId="77777777" w:rsidR="00E61F26" w:rsidRPr="004B39C1"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406.33 (54.32)</w:t>
            </w:r>
          </w:p>
        </w:tc>
        <w:tc>
          <w:tcPr>
            <w:tcW w:w="1487" w:type="dxa"/>
            <w:shd w:val="clear" w:color="auto" w:fill="auto"/>
          </w:tcPr>
          <w:p w14:paraId="771A6297" w14:textId="77777777" w:rsidR="00E61F26"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t = -0.95, p = 0.34</w:t>
            </w:r>
          </w:p>
        </w:tc>
      </w:tr>
      <w:tr w:rsidR="00E61F26" w:rsidRPr="004B39C1" w14:paraId="5714C33F" w14:textId="77777777" w:rsidTr="00961102">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5C3F8879" w14:textId="77777777" w:rsidR="00E61F26" w:rsidRDefault="00E61F26" w:rsidP="00961102">
            <w:pPr>
              <w:pStyle w:val="TableParagraph"/>
              <w:rPr>
                <w:rFonts w:asciiTheme="minorHAnsi" w:hAnsiTheme="minorHAnsi" w:cstheme="minorHAnsi"/>
                <w:sz w:val="14"/>
                <w:szCs w:val="14"/>
              </w:rPr>
            </w:pPr>
            <w:r>
              <w:rPr>
                <w:rFonts w:asciiTheme="minorHAnsi" w:hAnsiTheme="minorHAnsi" w:cstheme="minorHAnsi"/>
                <w:sz w:val="14"/>
                <w:szCs w:val="14"/>
              </w:rPr>
              <w:t>RVP</w:t>
            </w:r>
          </w:p>
        </w:tc>
        <w:tc>
          <w:tcPr>
            <w:tcW w:w="1343" w:type="dxa"/>
            <w:shd w:val="clear" w:color="auto" w:fill="auto"/>
          </w:tcPr>
          <w:p w14:paraId="0C636586" w14:textId="77777777" w:rsidR="00E61F26"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.95 (.06)</w:t>
            </w:r>
          </w:p>
        </w:tc>
        <w:tc>
          <w:tcPr>
            <w:tcW w:w="1429" w:type="dxa"/>
            <w:shd w:val="clear" w:color="auto" w:fill="auto"/>
          </w:tcPr>
          <w:p w14:paraId="5C3A77CE" w14:textId="77777777" w:rsidR="00E61F26"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.96 (.05)</w:t>
            </w:r>
          </w:p>
        </w:tc>
        <w:tc>
          <w:tcPr>
            <w:tcW w:w="1487" w:type="dxa"/>
            <w:shd w:val="clear" w:color="auto" w:fill="auto"/>
          </w:tcPr>
          <w:p w14:paraId="4A130788" w14:textId="77777777" w:rsidR="00E61F26" w:rsidRDefault="00E61F26" w:rsidP="0096110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t = 1.38, p = 0.17</w:t>
            </w:r>
          </w:p>
        </w:tc>
      </w:tr>
      <w:tr w:rsidR="00E61F26" w:rsidRPr="004B39C1" w14:paraId="2B054D13" w14:textId="77777777" w:rsidTr="00961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529335BB" w14:textId="77777777" w:rsidR="00E61F26" w:rsidRPr="00696679" w:rsidRDefault="00E61F26" w:rsidP="00961102">
            <w:pPr>
              <w:pStyle w:val="TableParagraph"/>
              <w:rPr>
                <w:rFonts w:asciiTheme="minorHAnsi" w:hAnsiTheme="minorHAnsi" w:cstheme="minorHAnsi"/>
                <w:sz w:val="14"/>
                <w:szCs w:val="14"/>
              </w:rPr>
            </w:pPr>
            <w:r>
              <w:rPr>
                <w:rFonts w:asciiTheme="minorHAnsi" w:hAnsiTheme="minorHAnsi" w:cstheme="minorHAnsi"/>
                <w:sz w:val="14"/>
                <w:szCs w:val="14"/>
              </w:rPr>
              <w:t>SWM (Errors)</w:t>
            </w:r>
          </w:p>
        </w:tc>
        <w:tc>
          <w:tcPr>
            <w:tcW w:w="1343" w:type="dxa"/>
            <w:shd w:val="clear" w:color="auto" w:fill="auto"/>
          </w:tcPr>
          <w:p w14:paraId="74812BB6" w14:textId="77777777" w:rsidR="00E61F26" w:rsidRPr="004B39C1"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13.70 (9.81)</w:t>
            </w:r>
          </w:p>
        </w:tc>
        <w:tc>
          <w:tcPr>
            <w:tcW w:w="1429" w:type="dxa"/>
            <w:shd w:val="clear" w:color="auto" w:fill="auto"/>
          </w:tcPr>
          <w:p w14:paraId="1A76CAB9" w14:textId="77777777" w:rsidR="00E61F26" w:rsidRPr="004B39C1"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11.33 (10.19)</w:t>
            </w:r>
          </w:p>
        </w:tc>
        <w:tc>
          <w:tcPr>
            <w:tcW w:w="1487" w:type="dxa"/>
            <w:shd w:val="clear" w:color="auto" w:fill="auto"/>
          </w:tcPr>
          <w:p w14:paraId="5A4BDA5F" w14:textId="77777777" w:rsidR="00E61F26" w:rsidRPr="00857212" w:rsidRDefault="00E61F26" w:rsidP="0096110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4"/>
                <w:szCs w:val="14"/>
              </w:rPr>
            </w:pPr>
            <w:r w:rsidRPr="00857212">
              <w:rPr>
                <w:rFonts w:asciiTheme="minorHAnsi" w:hAnsiTheme="minorHAnsi" w:cstheme="minorHAnsi"/>
                <w:b/>
                <w:bCs/>
                <w:sz w:val="14"/>
                <w:szCs w:val="14"/>
              </w:rPr>
              <w:t xml:space="preserve">t = </w:t>
            </w:r>
            <w:r>
              <w:rPr>
                <w:rFonts w:asciiTheme="minorHAnsi" w:hAnsiTheme="minorHAnsi" w:cstheme="minorHAnsi"/>
                <w:b/>
                <w:bCs/>
                <w:sz w:val="14"/>
                <w:szCs w:val="14"/>
              </w:rPr>
              <w:t>-</w:t>
            </w:r>
            <w:r w:rsidRPr="00857212">
              <w:rPr>
                <w:rFonts w:asciiTheme="minorHAnsi" w:hAnsiTheme="minorHAnsi" w:cstheme="minorHAnsi"/>
                <w:b/>
                <w:bCs/>
                <w:sz w:val="14"/>
                <w:szCs w:val="14"/>
              </w:rPr>
              <w:t>3.44, p = &lt;.001</w:t>
            </w:r>
          </w:p>
        </w:tc>
      </w:tr>
    </w:tbl>
    <w:p w14:paraId="1375EE2B" w14:textId="77777777" w:rsidR="00E61F26" w:rsidRDefault="00E61F26" w:rsidP="00F7070E">
      <w:pPr>
        <w:spacing w:line="360" w:lineRule="auto"/>
        <w:jc w:val="both"/>
      </w:pPr>
    </w:p>
    <w:p w14:paraId="1D10244B" w14:textId="77777777" w:rsidR="00F233D2" w:rsidRDefault="00F233D2" w:rsidP="007F4BF3">
      <w:pPr>
        <w:autoSpaceDE w:val="0"/>
        <w:autoSpaceDN w:val="0"/>
        <w:adjustRightInd w:val="0"/>
        <w:jc w:val="both"/>
      </w:pPr>
    </w:p>
    <w:p w14:paraId="11262E6B" w14:textId="77777777" w:rsidR="008A1662" w:rsidRDefault="008A1662" w:rsidP="007F4BF3">
      <w:pPr>
        <w:autoSpaceDE w:val="0"/>
        <w:autoSpaceDN w:val="0"/>
        <w:adjustRightInd w:val="0"/>
        <w:jc w:val="both"/>
        <w:rPr>
          <w:rFonts w:cstheme="minorHAnsi"/>
          <w:sz w:val="14"/>
          <w:szCs w:val="14"/>
        </w:rPr>
      </w:pPr>
    </w:p>
    <w:p w14:paraId="2FD0241C" w14:textId="77777777" w:rsidR="008A1662" w:rsidRDefault="008A1662" w:rsidP="007F4BF3">
      <w:pPr>
        <w:autoSpaceDE w:val="0"/>
        <w:autoSpaceDN w:val="0"/>
        <w:adjustRightInd w:val="0"/>
        <w:jc w:val="both"/>
        <w:rPr>
          <w:rFonts w:cstheme="minorHAnsi"/>
          <w:sz w:val="14"/>
          <w:szCs w:val="14"/>
        </w:rPr>
      </w:pPr>
    </w:p>
    <w:p w14:paraId="092F2E75" w14:textId="77777777" w:rsidR="008A1662" w:rsidRDefault="008A1662" w:rsidP="007F4BF3">
      <w:pPr>
        <w:autoSpaceDE w:val="0"/>
        <w:autoSpaceDN w:val="0"/>
        <w:adjustRightInd w:val="0"/>
        <w:jc w:val="both"/>
        <w:rPr>
          <w:rFonts w:cstheme="minorHAnsi"/>
          <w:sz w:val="14"/>
          <w:szCs w:val="14"/>
        </w:rPr>
      </w:pPr>
    </w:p>
    <w:p w14:paraId="4E2AA4C7" w14:textId="77777777" w:rsidR="008A1662" w:rsidRDefault="008A1662" w:rsidP="007F4BF3">
      <w:pPr>
        <w:autoSpaceDE w:val="0"/>
        <w:autoSpaceDN w:val="0"/>
        <w:adjustRightInd w:val="0"/>
        <w:jc w:val="both"/>
        <w:rPr>
          <w:rFonts w:cstheme="minorHAnsi"/>
          <w:sz w:val="14"/>
          <w:szCs w:val="14"/>
        </w:rPr>
      </w:pPr>
    </w:p>
    <w:p w14:paraId="07F94F63" w14:textId="77777777" w:rsidR="008A1662" w:rsidRDefault="008A1662" w:rsidP="007F4BF3">
      <w:pPr>
        <w:autoSpaceDE w:val="0"/>
        <w:autoSpaceDN w:val="0"/>
        <w:adjustRightInd w:val="0"/>
        <w:jc w:val="both"/>
        <w:rPr>
          <w:rFonts w:cstheme="minorHAnsi"/>
          <w:sz w:val="14"/>
          <w:szCs w:val="14"/>
        </w:rPr>
      </w:pPr>
    </w:p>
    <w:p w14:paraId="4CB79609" w14:textId="77777777" w:rsidR="008A1662" w:rsidRDefault="008A1662" w:rsidP="007F4BF3">
      <w:pPr>
        <w:autoSpaceDE w:val="0"/>
        <w:autoSpaceDN w:val="0"/>
        <w:adjustRightInd w:val="0"/>
        <w:jc w:val="both"/>
        <w:rPr>
          <w:rFonts w:cstheme="minorHAnsi"/>
          <w:sz w:val="14"/>
          <w:szCs w:val="14"/>
        </w:rPr>
      </w:pPr>
    </w:p>
    <w:p w14:paraId="39163A36" w14:textId="77777777" w:rsidR="008A1662" w:rsidRDefault="008A1662" w:rsidP="007F4BF3">
      <w:pPr>
        <w:autoSpaceDE w:val="0"/>
        <w:autoSpaceDN w:val="0"/>
        <w:adjustRightInd w:val="0"/>
        <w:jc w:val="both"/>
        <w:rPr>
          <w:rFonts w:cstheme="minorHAnsi"/>
          <w:sz w:val="14"/>
          <w:szCs w:val="14"/>
        </w:rPr>
      </w:pPr>
    </w:p>
    <w:p w14:paraId="0ECE10CB" w14:textId="77777777" w:rsidR="008A1662" w:rsidRDefault="008A1662" w:rsidP="007F4BF3">
      <w:pPr>
        <w:autoSpaceDE w:val="0"/>
        <w:autoSpaceDN w:val="0"/>
        <w:adjustRightInd w:val="0"/>
        <w:jc w:val="both"/>
        <w:rPr>
          <w:rFonts w:cstheme="minorHAnsi"/>
          <w:sz w:val="14"/>
          <w:szCs w:val="14"/>
        </w:rPr>
      </w:pPr>
    </w:p>
    <w:p w14:paraId="1008A57F" w14:textId="77777777" w:rsidR="008A1662" w:rsidRDefault="008A1662" w:rsidP="007F4BF3">
      <w:pPr>
        <w:autoSpaceDE w:val="0"/>
        <w:autoSpaceDN w:val="0"/>
        <w:adjustRightInd w:val="0"/>
        <w:jc w:val="both"/>
        <w:rPr>
          <w:rFonts w:cstheme="minorHAnsi"/>
          <w:sz w:val="14"/>
          <w:szCs w:val="14"/>
        </w:rPr>
      </w:pPr>
    </w:p>
    <w:p w14:paraId="4115DD0A" w14:textId="77777777" w:rsidR="008A1662" w:rsidRDefault="008A1662" w:rsidP="007F4BF3">
      <w:pPr>
        <w:autoSpaceDE w:val="0"/>
        <w:autoSpaceDN w:val="0"/>
        <w:adjustRightInd w:val="0"/>
        <w:jc w:val="both"/>
        <w:rPr>
          <w:rFonts w:cstheme="minorHAnsi"/>
          <w:sz w:val="14"/>
          <w:szCs w:val="14"/>
        </w:rPr>
      </w:pPr>
    </w:p>
    <w:p w14:paraId="57BB907E" w14:textId="77777777" w:rsidR="00E54DE1" w:rsidRDefault="00E54DE1" w:rsidP="007F4BF3">
      <w:pPr>
        <w:autoSpaceDE w:val="0"/>
        <w:autoSpaceDN w:val="0"/>
        <w:adjustRightInd w:val="0"/>
        <w:jc w:val="both"/>
        <w:rPr>
          <w:rFonts w:cstheme="minorHAnsi"/>
          <w:sz w:val="14"/>
          <w:szCs w:val="14"/>
        </w:rPr>
      </w:pPr>
    </w:p>
    <w:p w14:paraId="3EF03914" w14:textId="400D4276" w:rsidR="007F4BF3" w:rsidRDefault="007F4BF3" w:rsidP="007F4BF3">
      <w:pPr>
        <w:autoSpaceDE w:val="0"/>
        <w:autoSpaceDN w:val="0"/>
        <w:adjustRightInd w:val="0"/>
        <w:jc w:val="both"/>
        <w:rPr>
          <w:rFonts w:cstheme="minorHAnsi"/>
          <w:sz w:val="14"/>
          <w:szCs w:val="14"/>
        </w:rPr>
      </w:pPr>
      <w:r w:rsidRPr="000E44A8">
        <w:rPr>
          <w:rFonts w:cstheme="minorHAnsi"/>
          <w:sz w:val="14"/>
          <w:szCs w:val="14"/>
        </w:rPr>
        <w:t>SD = standard deviation, N = number of participants, *following imputation</w:t>
      </w:r>
      <w:r>
        <w:rPr>
          <w:rFonts w:cstheme="minorHAnsi"/>
          <w:sz w:val="14"/>
          <w:szCs w:val="14"/>
        </w:rPr>
        <w:t>. PANSS = Positive and Negative Syndrome Scale, SOFAS = Social and Occupational Functioning Scale, CAINS EXP = Clinical Assessment Interview for Negative Symptoms, EXP = experiential, MAP = Motivation and Pleasure. MIC-SR = Measure of Insight into Cognition – Self-report, DS-B =Digit-Span – Backwards, AVLT = Rey Auditory Verbal Learning Test, AST = Attention Switching Task, ERT = Emotion Recognition Test, OTSC = One-Touch Stockings of Cambridge, PAL = Paired Associates Learning, RT = Reaction Time, RVPA = Rapid Visual Processing, SWM = Spatial Working Memory</w:t>
      </w:r>
    </w:p>
    <w:p w14:paraId="457A43A1" w14:textId="77777777" w:rsidR="00E61F26" w:rsidRDefault="00E61F26" w:rsidP="00F7070E">
      <w:pPr>
        <w:spacing w:line="360" w:lineRule="auto"/>
        <w:jc w:val="both"/>
      </w:pPr>
    </w:p>
    <w:p w14:paraId="006CE446" w14:textId="77777777" w:rsidR="00E61F26" w:rsidRDefault="00E61F26" w:rsidP="00F7070E">
      <w:pPr>
        <w:spacing w:line="360" w:lineRule="auto"/>
        <w:jc w:val="both"/>
      </w:pPr>
    </w:p>
    <w:p w14:paraId="0A5B7C20" w14:textId="77777777" w:rsidR="00E61F26" w:rsidRPr="003E4307" w:rsidRDefault="00E61F26" w:rsidP="00F7070E">
      <w:pPr>
        <w:spacing w:line="360" w:lineRule="auto"/>
        <w:jc w:val="both"/>
      </w:pPr>
    </w:p>
    <w:p w14:paraId="0CAF0999" w14:textId="77777777" w:rsidR="00F7070E" w:rsidRPr="001B7F9E" w:rsidRDefault="00F7070E" w:rsidP="00F7070E">
      <w:pPr>
        <w:pStyle w:val="Heading3"/>
      </w:pPr>
      <w:bookmarkStart w:id="20" w:name="_Toc104213382"/>
      <w:r>
        <w:lastRenderedPageBreak/>
        <w:t>Network Stability</w:t>
      </w:r>
      <w:bookmarkEnd w:id="20"/>
    </w:p>
    <w:p w14:paraId="320FDB6B" w14:textId="77777777" w:rsidR="00F7070E" w:rsidRDefault="00F7070E" w:rsidP="00F7070E">
      <w:pPr>
        <w:pStyle w:val="Caption"/>
      </w:pPr>
      <w:r>
        <w:rPr>
          <w:noProof/>
        </w:rPr>
        <w:drawing>
          <wp:inline distT="0" distB="0" distL="0" distR="0" wp14:anchorId="57E9A6DB" wp14:editId="39B311E6">
            <wp:extent cx="5731510" cy="3533140"/>
            <wp:effectExtent l="0" t="0" r="2540" b="0"/>
            <wp:docPr id="38" name="Picture 3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533140"/>
                    </a:xfrm>
                    <a:prstGeom prst="rect">
                      <a:avLst/>
                    </a:prstGeom>
                    <a:noFill/>
                    <a:ln>
                      <a:noFill/>
                    </a:ln>
                  </pic:spPr>
                </pic:pic>
              </a:graphicData>
            </a:graphic>
          </wp:inline>
        </w:drawing>
      </w:r>
      <w:r w:rsidRPr="00D84CD4">
        <w:rPr>
          <w:noProof/>
        </w:rPr>
        <w:t xml:space="preserve"> </w:t>
      </w:r>
      <w:bookmarkStart w:id="21" w:name="_Toc38185866"/>
    </w:p>
    <w:p w14:paraId="2561717D" w14:textId="77777777" w:rsidR="00F7070E" w:rsidRPr="00055A45" w:rsidRDefault="00F7070E" w:rsidP="00F7070E">
      <w:pPr>
        <w:pStyle w:val="Caption"/>
        <w:rPr>
          <w:rFonts w:asciiTheme="minorHAnsi" w:hAnsiTheme="minorHAnsi" w:cstheme="minorHAnsi"/>
          <w:sz w:val="22"/>
          <w:szCs w:val="22"/>
        </w:rPr>
      </w:pPr>
      <w:r w:rsidRPr="00055A45">
        <w:rPr>
          <w:rFonts w:asciiTheme="minorHAnsi" w:hAnsiTheme="minorHAnsi" w:cstheme="minorHAnsi"/>
          <w:sz w:val="22"/>
          <w:szCs w:val="22"/>
        </w:rPr>
        <w:t>Figure S</w:t>
      </w:r>
      <w:r>
        <w:rPr>
          <w:rFonts w:asciiTheme="minorHAnsi" w:hAnsiTheme="minorHAnsi" w:cstheme="minorHAnsi"/>
          <w:sz w:val="22"/>
          <w:szCs w:val="22"/>
        </w:rPr>
        <w:t>8</w:t>
      </w:r>
      <w:r w:rsidRPr="00055A45">
        <w:rPr>
          <w:rFonts w:asciiTheme="minorHAnsi" w:hAnsiTheme="minorHAnsi" w:cstheme="minorHAnsi"/>
          <w:sz w:val="22"/>
          <w:szCs w:val="22"/>
        </w:rPr>
        <w:t>: Bootstrapped 95% confidence intervals (CI) for the estimated edge weights in the</w:t>
      </w:r>
      <w:r>
        <w:rPr>
          <w:rFonts w:asciiTheme="minorHAnsi" w:hAnsiTheme="minorHAnsi" w:cstheme="minorHAnsi"/>
          <w:sz w:val="22"/>
          <w:szCs w:val="22"/>
        </w:rPr>
        <w:t xml:space="preserve"> pre-CR</w:t>
      </w:r>
      <w:r w:rsidRPr="00055A45">
        <w:rPr>
          <w:rFonts w:asciiTheme="minorHAnsi" w:hAnsiTheme="minorHAnsi" w:cstheme="minorHAnsi"/>
          <w:sz w:val="22"/>
          <w:szCs w:val="22"/>
        </w:rPr>
        <w:t xml:space="preserve"> network.</w:t>
      </w:r>
    </w:p>
    <w:p w14:paraId="264B852E" w14:textId="77777777" w:rsidR="00F7070E" w:rsidRDefault="00F7070E" w:rsidP="00F7070E">
      <w:pPr>
        <w:pStyle w:val="Caption"/>
      </w:pPr>
    </w:p>
    <w:bookmarkEnd w:id="21"/>
    <w:p w14:paraId="3A40F51A" w14:textId="77777777" w:rsidR="00F7070E" w:rsidRDefault="00F7070E" w:rsidP="00F7070E">
      <w:pPr>
        <w:spacing w:line="360" w:lineRule="auto"/>
        <w:jc w:val="both"/>
        <w:rPr>
          <w:noProof/>
        </w:rPr>
      </w:pPr>
      <w:r>
        <w:rPr>
          <w:noProof/>
        </w:rPr>
        <w:drawing>
          <wp:inline distT="0" distB="0" distL="0" distR="0" wp14:anchorId="25C28570" wp14:editId="3285EE35">
            <wp:extent cx="5731510" cy="3533140"/>
            <wp:effectExtent l="0" t="0" r="2540" b="0"/>
            <wp:docPr id="37" name="Picture 37"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533140"/>
                    </a:xfrm>
                    <a:prstGeom prst="rect">
                      <a:avLst/>
                    </a:prstGeom>
                    <a:noFill/>
                    <a:ln>
                      <a:noFill/>
                    </a:ln>
                  </pic:spPr>
                </pic:pic>
              </a:graphicData>
            </a:graphic>
          </wp:inline>
        </w:drawing>
      </w:r>
    </w:p>
    <w:p w14:paraId="6907B38B" w14:textId="77777777" w:rsidR="00F7070E" w:rsidRPr="00055A45" w:rsidRDefault="00F7070E" w:rsidP="00F7070E">
      <w:pPr>
        <w:pStyle w:val="Caption"/>
        <w:rPr>
          <w:rFonts w:asciiTheme="minorHAnsi" w:hAnsiTheme="minorHAnsi" w:cstheme="minorHAnsi"/>
          <w:sz w:val="22"/>
          <w:szCs w:val="22"/>
        </w:rPr>
      </w:pPr>
      <w:r w:rsidRPr="00055A45">
        <w:rPr>
          <w:rFonts w:asciiTheme="minorHAnsi" w:hAnsiTheme="minorHAnsi" w:cstheme="minorHAnsi"/>
          <w:sz w:val="22"/>
          <w:szCs w:val="22"/>
        </w:rPr>
        <w:t>Figure S</w:t>
      </w:r>
      <w:r>
        <w:rPr>
          <w:rFonts w:asciiTheme="minorHAnsi" w:hAnsiTheme="minorHAnsi" w:cstheme="minorHAnsi"/>
          <w:sz w:val="22"/>
          <w:szCs w:val="22"/>
        </w:rPr>
        <w:t>9</w:t>
      </w:r>
      <w:r w:rsidRPr="00055A45">
        <w:rPr>
          <w:rFonts w:asciiTheme="minorHAnsi" w:hAnsiTheme="minorHAnsi" w:cstheme="minorHAnsi"/>
          <w:sz w:val="22"/>
          <w:szCs w:val="22"/>
        </w:rPr>
        <w:t>. Bootstrapped difference tests of edge weights in the pre-CR network.</w:t>
      </w:r>
    </w:p>
    <w:p w14:paraId="677FD82D" w14:textId="77777777" w:rsidR="00F7070E" w:rsidRDefault="00F7070E" w:rsidP="00F7070E">
      <w:pPr>
        <w:spacing w:line="360" w:lineRule="auto"/>
        <w:jc w:val="both"/>
        <w:rPr>
          <w:rFonts w:cstheme="minorHAnsi"/>
        </w:rPr>
      </w:pPr>
      <w:r>
        <w:rPr>
          <w:noProof/>
        </w:rPr>
        <w:lastRenderedPageBreak/>
        <w:t xml:space="preserve"> </w:t>
      </w:r>
      <w:r>
        <w:rPr>
          <w:noProof/>
        </w:rPr>
        <w:drawing>
          <wp:inline distT="0" distB="0" distL="0" distR="0" wp14:anchorId="57103CE5" wp14:editId="24FD0EA3">
            <wp:extent cx="5731510" cy="3533140"/>
            <wp:effectExtent l="0" t="0" r="2540" b="0"/>
            <wp:docPr id="39" name="Picture 3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33140"/>
                    </a:xfrm>
                    <a:prstGeom prst="rect">
                      <a:avLst/>
                    </a:prstGeom>
                    <a:noFill/>
                    <a:ln>
                      <a:noFill/>
                    </a:ln>
                  </pic:spPr>
                </pic:pic>
              </a:graphicData>
            </a:graphic>
          </wp:inline>
        </w:drawing>
      </w:r>
    </w:p>
    <w:p w14:paraId="2E9519C7" w14:textId="77777777" w:rsidR="00F7070E" w:rsidRDefault="00F7070E" w:rsidP="00F7070E">
      <w:pPr>
        <w:spacing w:line="360" w:lineRule="auto"/>
        <w:jc w:val="both"/>
        <w:rPr>
          <w:rFonts w:cstheme="minorHAnsi"/>
        </w:rPr>
      </w:pPr>
      <w:r w:rsidRPr="008A5618">
        <w:rPr>
          <w:rFonts w:cstheme="minorHAnsi"/>
        </w:rPr>
        <w:t>Figure S</w:t>
      </w:r>
      <w:r>
        <w:rPr>
          <w:rFonts w:cstheme="minorHAnsi"/>
        </w:rPr>
        <w:t>10</w:t>
      </w:r>
      <w:r w:rsidRPr="008A5618">
        <w:rPr>
          <w:rFonts w:cstheme="minorHAnsi"/>
        </w:rPr>
        <w:t>. Bootstrapped 95% confidence intervals (CI) for the estimated edge weights in the p</w:t>
      </w:r>
      <w:r>
        <w:rPr>
          <w:rFonts w:cstheme="minorHAnsi"/>
        </w:rPr>
        <w:t>ost</w:t>
      </w:r>
      <w:r w:rsidRPr="008A5618">
        <w:rPr>
          <w:rFonts w:cstheme="minorHAnsi"/>
        </w:rPr>
        <w:t>-CR network</w:t>
      </w:r>
    </w:p>
    <w:p w14:paraId="290AC28F" w14:textId="77777777" w:rsidR="00F7070E" w:rsidRDefault="00F7070E" w:rsidP="00F7070E">
      <w:pPr>
        <w:pStyle w:val="Caption"/>
      </w:pPr>
      <w:r>
        <w:rPr>
          <w:noProof/>
        </w:rPr>
        <w:drawing>
          <wp:inline distT="0" distB="0" distL="0" distR="0" wp14:anchorId="1B2736D8" wp14:editId="4A6FB5B7">
            <wp:extent cx="5731510" cy="3533140"/>
            <wp:effectExtent l="0" t="0" r="2540" b="0"/>
            <wp:docPr id="16" name="Picture 1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533140"/>
                    </a:xfrm>
                    <a:prstGeom prst="rect">
                      <a:avLst/>
                    </a:prstGeom>
                    <a:noFill/>
                    <a:ln>
                      <a:noFill/>
                    </a:ln>
                  </pic:spPr>
                </pic:pic>
              </a:graphicData>
            </a:graphic>
          </wp:inline>
        </w:drawing>
      </w:r>
    </w:p>
    <w:p w14:paraId="1CD6A492" w14:textId="77777777" w:rsidR="00F7070E" w:rsidRPr="00055A45" w:rsidRDefault="00F7070E" w:rsidP="00F7070E">
      <w:pPr>
        <w:pStyle w:val="Caption"/>
        <w:rPr>
          <w:rFonts w:asciiTheme="minorHAnsi" w:hAnsiTheme="minorHAnsi" w:cstheme="minorHAnsi"/>
          <w:sz w:val="22"/>
          <w:szCs w:val="22"/>
        </w:rPr>
      </w:pPr>
      <w:r w:rsidRPr="00055A45">
        <w:rPr>
          <w:rFonts w:asciiTheme="minorHAnsi" w:hAnsiTheme="minorHAnsi" w:cstheme="minorHAnsi"/>
          <w:sz w:val="22"/>
          <w:szCs w:val="22"/>
        </w:rPr>
        <w:t>Figure S</w:t>
      </w:r>
      <w:r>
        <w:rPr>
          <w:rFonts w:asciiTheme="minorHAnsi" w:hAnsiTheme="minorHAnsi" w:cstheme="minorHAnsi"/>
          <w:sz w:val="22"/>
          <w:szCs w:val="22"/>
        </w:rPr>
        <w:t>11</w:t>
      </w:r>
      <w:r w:rsidRPr="00055A45">
        <w:rPr>
          <w:rFonts w:asciiTheme="minorHAnsi" w:hAnsiTheme="minorHAnsi" w:cstheme="minorHAnsi"/>
          <w:sz w:val="22"/>
          <w:szCs w:val="22"/>
        </w:rPr>
        <w:t>. Bootstrapped difference tests of edge weights in the post-CR network.</w:t>
      </w:r>
    </w:p>
    <w:p w14:paraId="7174267D" w14:textId="77777777" w:rsidR="00F7070E" w:rsidRDefault="00F7070E" w:rsidP="00F7070E">
      <w:pPr>
        <w:spacing w:line="360" w:lineRule="auto"/>
        <w:jc w:val="both"/>
        <w:rPr>
          <w:rFonts w:cstheme="minorHAnsi"/>
        </w:rPr>
      </w:pPr>
    </w:p>
    <w:p w14:paraId="0FF5851F" w14:textId="77777777" w:rsidR="00F7070E" w:rsidRPr="00055A45" w:rsidRDefault="00F7070E" w:rsidP="00F7070E">
      <w:pPr>
        <w:pStyle w:val="Heading3"/>
      </w:pPr>
      <w:bookmarkStart w:id="22" w:name="_Toc104213383"/>
      <w:r>
        <w:lastRenderedPageBreak/>
        <w:t>S</w:t>
      </w:r>
      <w:r w:rsidRPr="00055A45">
        <w:t>ensitivity Analysis</w:t>
      </w:r>
      <w:bookmarkEnd w:id="22"/>
    </w:p>
    <w:p w14:paraId="5900A58A" w14:textId="00C1E82A" w:rsidR="00F7070E" w:rsidRDefault="00F7070E" w:rsidP="00F7070E">
      <w:pPr>
        <w:spacing w:line="360" w:lineRule="auto"/>
        <w:jc w:val="both"/>
        <w:rPr>
          <w:rFonts w:cstheme="minorHAnsi"/>
        </w:rPr>
      </w:pPr>
      <w:r>
        <w:rPr>
          <w:rFonts w:cstheme="minorHAnsi"/>
        </w:rPr>
        <w:t>Table S</w:t>
      </w:r>
      <w:r w:rsidR="00240F68">
        <w:rPr>
          <w:rFonts w:cstheme="minorHAnsi"/>
        </w:rPr>
        <w:t>2</w:t>
      </w:r>
      <w:r>
        <w:rPr>
          <w:rFonts w:cstheme="minorHAnsi"/>
        </w:rPr>
        <w:t>: Table of imputed vs non-imputed mean scores</w:t>
      </w:r>
    </w:p>
    <w:tbl>
      <w:tblPr>
        <w:tblStyle w:val="ListTable4-Accent1"/>
        <w:tblpPr w:leftFromText="180" w:rightFromText="180" w:vertAnchor="text" w:horzAnchor="margin" w:tblpY="86"/>
        <w:tblW w:w="6376" w:type="dxa"/>
        <w:tblLook w:val="04A0" w:firstRow="1" w:lastRow="0" w:firstColumn="1" w:lastColumn="0" w:noHBand="0" w:noVBand="1"/>
      </w:tblPr>
      <w:tblGrid>
        <w:gridCol w:w="1269"/>
        <w:gridCol w:w="1278"/>
        <w:gridCol w:w="1201"/>
        <w:gridCol w:w="1291"/>
        <w:gridCol w:w="1337"/>
      </w:tblGrid>
      <w:tr w:rsidR="00F7070E" w:rsidRPr="004B39C1" w14:paraId="6A463164" w14:textId="77777777" w:rsidTr="00810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6" w:type="dxa"/>
            <w:gridSpan w:val="5"/>
          </w:tcPr>
          <w:p w14:paraId="08DB9094" w14:textId="77777777" w:rsidR="00F7070E" w:rsidRPr="000B04FE" w:rsidRDefault="00F7070E" w:rsidP="00810176">
            <w:pPr>
              <w:spacing w:line="360" w:lineRule="auto"/>
              <w:jc w:val="both"/>
              <w:outlineLvl w:val="0"/>
              <w:rPr>
                <w:rFonts w:cstheme="minorHAnsi"/>
                <w:b w:val="0"/>
                <w:bCs w:val="0"/>
                <w:sz w:val="14"/>
                <w:szCs w:val="14"/>
              </w:rPr>
            </w:pPr>
            <w:bookmarkStart w:id="23" w:name="_Toc104213384"/>
            <w:r w:rsidRPr="000B04FE">
              <w:rPr>
                <w:rFonts w:cstheme="minorHAnsi"/>
                <w:b w:val="0"/>
                <w:bCs w:val="0"/>
                <w:sz w:val="14"/>
              </w:rPr>
              <w:t>Table of imputed vs non-imputed mean scores</w:t>
            </w:r>
            <w:bookmarkEnd w:id="23"/>
          </w:p>
        </w:tc>
      </w:tr>
      <w:tr w:rsidR="00F7070E" w:rsidRPr="004B39C1" w14:paraId="4F03D803" w14:textId="77777777" w:rsidTr="0081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21E1A8F0" w14:textId="77777777" w:rsidR="00F7070E" w:rsidRPr="004B39C1" w:rsidRDefault="00F7070E" w:rsidP="00810176">
            <w:pPr>
              <w:spacing w:line="360" w:lineRule="auto"/>
              <w:outlineLvl w:val="0"/>
              <w:rPr>
                <w:rFonts w:cstheme="minorHAnsi"/>
              </w:rPr>
            </w:pPr>
            <w:bookmarkStart w:id="24" w:name="_Toc104213385"/>
            <w:r w:rsidRPr="004B39C1">
              <w:rPr>
                <w:rFonts w:cstheme="minorHAnsi"/>
                <w:color w:val="231F1F"/>
                <w:sz w:val="14"/>
              </w:rPr>
              <w:t>Variable</w:t>
            </w:r>
            <w:bookmarkEnd w:id="24"/>
          </w:p>
        </w:tc>
        <w:tc>
          <w:tcPr>
            <w:tcW w:w="1278" w:type="dxa"/>
          </w:tcPr>
          <w:p w14:paraId="691AD055" w14:textId="77777777" w:rsidR="00F7070E" w:rsidRPr="00862502" w:rsidRDefault="00F7070E" w:rsidP="00810176">
            <w:pPr>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cstheme="minorHAnsi"/>
                <w:b/>
                <w:bCs/>
                <w:color w:val="231F1F"/>
                <w:sz w:val="14"/>
                <w:szCs w:val="14"/>
              </w:rPr>
            </w:pPr>
            <w:bookmarkStart w:id="25" w:name="_Toc104213386"/>
            <w:r w:rsidRPr="00055A45">
              <w:rPr>
                <w:rFonts w:cstheme="minorHAnsi"/>
                <w:b/>
                <w:bCs/>
                <w:color w:val="231F1F"/>
                <w:sz w:val="14"/>
                <w:szCs w:val="14"/>
              </w:rPr>
              <w:t>Pre-CR non-impute</w:t>
            </w:r>
            <w:r>
              <w:rPr>
                <w:rFonts w:cstheme="minorHAnsi"/>
                <w:b/>
                <w:bCs/>
                <w:color w:val="231F1F"/>
                <w:sz w:val="14"/>
                <w:szCs w:val="14"/>
              </w:rPr>
              <w:t>d</w:t>
            </w:r>
            <w:r w:rsidRPr="00275987">
              <w:rPr>
                <w:rFonts w:cstheme="minorHAnsi"/>
                <w:b/>
                <w:bCs/>
                <w:color w:val="231F1F"/>
                <w:sz w:val="14"/>
                <w:szCs w:val="14"/>
              </w:rPr>
              <w:t xml:space="preserve"> </w:t>
            </w:r>
            <w:r w:rsidRPr="00055A45">
              <w:rPr>
                <w:rFonts w:cstheme="minorHAnsi"/>
                <w:b/>
                <w:bCs/>
                <w:color w:val="231F1F"/>
                <w:sz w:val="14"/>
                <w:szCs w:val="14"/>
              </w:rPr>
              <w:t>(n =</w:t>
            </w:r>
            <w:r>
              <w:rPr>
                <w:rFonts w:cstheme="minorHAnsi"/>
                <w:b/>
                <w:bCs/>
                <w:color w:val="231F1F"/>
                <w:sz w:val="14"/>
                <w:szCs w:val="14"/>
              </w:rPr>
              <w:t xml:space="preserve"> 96</w:t>
            </w:r>
            <w:proofErr w:type="gramStart"/>
            <w:r w:rsidRPr="00055A45">
              <w:rPr>
                <w:rFonts w:cstheme="minorHAnsi"/>
                <w:b/>
                <w:bCs/>
                <w:color w:val="231F1F"/>
                <w:sz w:val="14"/>
                <w:szCs w:val="14"/>
              </w:rPr>
              <w:t>)</w:t>
            </w:r>
            <w:bookmarkEnd w:id="25"/>
            <w:r>
              <w:rPr>
                <w:rFonts w:cstheme="minorHAnsi"/>
                <w:b/>
                <w:bCs/>
                <w:color w:val="231F1F"/>
                <w:sz w:val="14"/>
                <w:szCs w:val="14"/>
              </w:rPr>
              <w:t xml:space="preserve"> </w:t>
            </w:r>
            <w:r w:rsidRPr="00275987">
              <w:rPr>
                <w:rFonts w:cstheme="minorHAnsi"/>
                <w:b/>
                <w:bCs/>
                <w:color w:val="231F1F"/>
                <w:sz w:val="14"/>
                <w:szCs w:val="14"/>
              </w:rPr>
              <w:t xml:space="preserve"> Mean</w:t>
            </w:r>
            <w:proofErr w:type="gramEnd"/>
            <w:r w:rsidRPr="00275987">
              <w:rPr>
                <w:rFonts w:cstheme="minorHAnsi"/>
                <w:b/>
                <w:bCs/>
                <w:color w:val="231F1F"/>
                <w:sz w:val="14"/>
                <w:szCs w:val="14"/>
              </w:rPr>
              <w:t xml:space="preserve"> (SD)</w:t>
            </w:r>
          </w:p>
        </w:tc>
        <w:tc>
          <w:tcPr>
            <w:tcW w:w="1201" w:type="dxa"/>
          </w:tcPr>
          <w:p w14:paraId="44B74237" w14:textId="77777777" w:rsidR="00F7070E" w:rsidRPr="0040337F" w:rsidRDefault="00F7070E" w:rsidP="00810176">
            <w:pPr>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cstheme="minorHAnsi"/>
                <w:b/>
                <w:bCs/>
                <w:color w:val="231F1F"/>
                <w:sz w:val="14"/>
                <w:szCs w:val="14"/>
              </w:rPr>
            </w:pPr>
            <w:bookmarkStart w:id="26" w:name="_Toc104213387"/>
            <w:r w:rsidRPr="00245010">
              <w:rPr>
                <w:rFonts w:cstheme="minorHAnsi"/>
                <w:b/>
                <w:bCs/>
                <w:color w:val="231F1F"/>
                <w:sz w:val="14"/>
                <w:szCs w:val="14"/>
              </w:rPr>
              <w:t xml:space="preserve">Pre-CR </w:t>
            </w:r>
            <w:r w:rsidRPr="003D549A">
              <w:rPr>
                <w:rFonts w:cstheme="minorHAnsi"/>
                <w:b/>
                <w:bCs/>
                <w:color w:val="231F1F"/>
                <w:sz w:val="14"/>
                <w:szCs w:val="14"/>
              </w:rPr>
              <w:t xml:space="preserve">imputed (n </w:t>
            </w:r>
            <w:r>
              <w:rPr>
                <w:rFonts w:cstheme="minorHAnsi"/>
                <w:b/>
                <w:bCs/>
                <w:color w:val="231F1F"/>
                <w:sz w:val="14"/>
                <w:szCs w:val="14"/>
              </w:rPr>
              <w:t>=</w:t>
            </w:r>
            <w:r w:rsidRPr="003D549A">
              <w:rPr>
                <w:rFonts w:cstheme="minorHAnsi"/>
                <w:b/>
                <w:bCs/>
                <w:color w:val="231F1F"/>
                <w:sz w:val="14"/>
                <w:szCs w:val="14"/>
              </w:rPr>
              <w:t xml:space="preserve"> 165)</w:t>
            </w:r>
            <w:bookmarkEnd w:id="26"/>
          </w:p>
          <w:p w14:paraId="4574230E" w14:textId="77777777" w:rsidR="00F7070E" w:rsidRPr="00275987" w:rsidRDefault="00F7070E" w:rsidP="00810176">
            <w:pPr>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bookmarkStart w:id="27" w:name="_Toc104213388"/>
            <w:r w:rsidRPr="00275987">
              <w:rPr>
                <w:rFonts w:cstheme="minorHAnsi"/>
                <w:b/>
                <w:bCs/>
                <w:color w:val="231F1F"/>
                <w:sz w:val="14"/>
                <w:szCs w:val="14"/>
              </w:rPr>
              <w:t>Mean (SD)</w:t>
            </w:r>
            <w:bookmarkEnd w:id="27"/>
          </w:p>
        </w:tc>
        <w:tc>
          <w:tcPr>
            <w:tcW w:w="1291" w:type="dxa"/>
          </w:tcPr>
          <w:p w14:paraId="13719938" w14:textId="77777777" w:rsidR="00F7070E" w:rsidRPr="00862502" w:rsidRDefault="00F7070E" w:rsidP="00810176">
            <w:pPr>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cstheme="minorHAnsi"/>
                <w:b/>
                <w:bCs/>
                <w:color w:val="231F1F"/>
                <w:sz w:val="14"/>
                <w:szCs w:val="14"/>
              </w:rPr>
            </w:pPr>
            <w:bookmarkStart w:id="28" w:name="_Toc104213389"/>
            <w:r w:rsidRPr="00055A45">
              <w:rPr>
                <w:rFonts w:cstheme="minorHAnsi"/>
                <w:b/>
                <w:bCs/>
                <w:color w:val="231F1F"/>
                <w:sz w:val="14"/>
                <w:szCs w:val="14"/>
              </w:rPr>
              <w:t>Post-C</w:t>
            </w:r>
            <w:r>
              <w:rPr>
                <w:rFonts w:cstheme="minorHAnsi"/>
                <w:b/>
                <w:bCs/>
                <w:color w:val="231F1F"/>
                <w:sz w:val="14"/>
                <w:szCs w:val="14"/>
              </w:rPr>
              <w:t xml:space="preserve">R </w:t>
            </w:r>
            <w:r w:rsidRPr="00055A45">
              <w:rPr>
                <w:rFonts w:cstheme="minorHAnsi"/>
                <w:b/>
                <w:bCs/>
                <w:color w:val="231F1F"/>
                <w:sz w:val="14"/>
                <w:szCs w:val="14"/>
              </w:rPr>
              <w:t>non-imputed</w:t>
            </w:r>
            <w:r>
              <w:rPr>
                <w:rFonts w:cstheme="minorHAnsi"/>
                <w:b/>
                <w:bCs/>
                <w:color w:val="231F1F"/>
                <w:sz w:val="14"/>
                <w:szCs w:val="14"/>
              </w:rPr>
              <w:t xml:space="preserve"> (n = 96) </w:t>
            </w:r>
            <w:r w:rsidRPr="00275987">
              <w:rPr>
                <w:rFonts w:cstheme="minorHAnsi"/>
                <w:b/>
                <w:bCs/>
                <w:color w:val="231F1F"/>
                <w:sz w:val="14"/>
                <w:szCs w:val="14"/>
              </w:rPr>
              <w:t>Mean (SD)</w:t>
            </w:r>
            <w:r>
              <w:rPr>
                <w:rFonts w:cstheme="minorHAnsi"/>
                <w:b/>
                <w:bCs/>
                <w:color w:val="231F1F"/>
                <w:sz w:val="14"/>
                <w:szCs w:val="14"/>
              </w:rPr>
              <w:t xml:space="preserve"> </w:t>
            </w:r>
            <w:bookmarkEnd w:id="28"/>
          </w:p>
        </w:tc>
        <w:tc>
          <w:tcPr>
            <w:tcW w:w="1337" w:type="dxa"/>
          </w:tcPr>
          <w:p w14:paraId="080FB79D" w14:textId="77777777" w:rsidR="00F7070E" w:rsidRDefault="00F7070E" w:rsidP="00810176">
            <w:pPr>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cstheme="minorHAnsi"/>
                <w:b/>
                <w:bCs/>
                <w:color w:val="231F1F"/>
                <w:sz w:val="14"/>
                <w:szCs w:val="14"/>
              </w:rPr>
            </w:pPr>
            <w:bookmarkStart w:id="29" w:name="_Toc104213390"/>
            <w:r>
              <w:rPr>
                <w:rFonts w:cstheme="minorHAnsi"/>
                <w:b/>
                <w:bCs/>
                <w:color w:val="231F1F"/>
                <w:sz w:val="14"/>
                <w:szCs w:val="14"/>
              </w:rPr>
              <w:t>Post-CR Imputed (n = 165)</w:t>
            </w:r>
            <w:bookmarkEnd w:id="29"/>
          </w:p>
          <w:p w14:paraId="5E03B356" w14:textId="77777777" w:rsidR="00F7070E" w:rsidRPr="004B39C1" w:rsidRDefault="00F7070E" w:rsidP="00810176">
            <w:pPr>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cstheme="minorHAnsi"/>
                <w:b/>
                <w:bCs/>
                <w:color w:val="231F1F"/>
                <w:sz w:val="14"/>
                <w:szCs w:val="14"/>
              </w:rPr>
            </w:pPr>
            <w:bookmarkStart w:id="30" w:name="_Toc104213391"/>
            <w:r w:rsidRPr="004B39C1">
              <w:rPr>
                <w:rFonts w:cstheme="minorHAnsi"/>
                <w:b/>
                <w:bCs/>
                <w:color w:val="231F1F"/>
                <w:sz w:val="14"/>
                <w:szCs w:val="14"/>
              </w:rPr>
              <w:t>Mean (SD)</w:t>
            </w:r>
            <w:bookmarkEnd w:id="30"/>
          </w:p>
        </w:tc>
      </w:tr>
      <w:tr w:rsidR="00F7070E" w:rsidRPr="004B39C1" w14:paraId="4D87BB2A" w14:textId="77777777" w:rsidTr="00810176">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6182C8E6" w14:textId="77777777" w:rsidR="00F7070E" w:rsidRDefault="00F7070E" w:rsidP="00810176">
            <w:pPr>
              <w:pStyle w:val="TableParagraph"/>
              <w:rPr>
                <w:rFonts w:asciiTheme="minorHAnsi" w:hAnsiTheme="minorHAnsi" w:cstheme="minorHAnsi"/>
                <w:sz w:val="14"/>
                <w:szCs w:val="14"/>
              </w:rPr>
            </w:pPr>
            <w:r>
              <w:rPr>
                <w:rFonts w:asciiTheme="minorHAnsi" w:hAnsiTheme="minorHAnsi" w:cstheme="minorHAnsi"/>
                <w:sz w:val="14"/>
                <w:szCs w:val="14"/>
              </w:rPr>
              <w:t>SOFAS</w:t>
            </w:r>
          </w:p>
        </w:tc>
        <w:tc>
          <w:tcPr>
            <w:tcW w:w="1278" w:type="dxa"/>
            <w:shd w:val="clear" w:color="auto" w:fill="auto"/>
          </w:tcPr>
          <w:p w14:paraId="71620947"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64.24 (13.98)</w:t>
            </w:r>
          </w:p>
        </w:tc>
        <w:tc>
          <w:tcPr>
            <w:tcW w:w="1201" w:type="dxa"/>
            <w:shd w:val="clear" w:color="auto" w:fill="auto"/>
          </w:tcPr>
          <w:p w14:paraId="590ACDF2"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64.41 (14.92)</w:t>
            </w:r>
          </w:p>
        </w:tc>
        <w:tc>
          <w:tcPr>
            <w:tcW w:w="1291" w:type="dxa"/>
            <w:shd w:val="clear" w:color="auto" w:fill="auto"/>
          </w:tcPr>
          <w:p w14:paraId="0E8B9F26"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67.57 (16.02)</w:t>
            </w:r>
          </w:p>
        </w:tc>
        <w:tc>
          <w:tcPr>
            <w:tcW w:w="1337" w:type="dxa"/>
          </w:tcPr>
          <w:p w14:paraId="1D652D4E"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67.40 (18.53)</w:t>
            </w:r>
          </w:p>
        </w:tc>
      </w:tr>
      <w:tr w:rsidR="00F7070E" w:rsidRPr="004B39C1" w14:paraId="4F17052E" w14:textId="77777777" w:rsidTr="0081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6B240C14" w14:textId="77777777" w:rsidR="00F7070E" w:rsidRPr="004B39C1" w:rsidRDefault="00F7070E" w:rsidP="00810176">
            <w:pPr>
              <w:pStyle w:val="TableParagraph"/>
              <w:rPr>
                <w:rFonts w:asciiTheme="minorHAnsi" w:hAnsiTheme="minorHAnsi" w:cstheme="minorHAnsi"/>
                <w:sz w:val="14"/>
                <w:szCs w:val="14"/>
              </w:rPr>
            </w:pPr>
            <w:r>
              <w:rPr>
                <w:rFonts w:asciiTheme="minorHAnsi" w:hAnsiTheme="minorHAnsi" w:cstheme="minorHAnsi"/>
                <w:sz w:val="14"/>
                <w:szCs w:val="14"/>
              </w:rPr>
              <w:t>PANSS Positive</w:t>
            </w:r>
          </w:p>
        </w:tc>
        <w:tc>
          <w:tcPr>
            <w:tcW w:w="1278" w:type="dxa"/>
            <w:shd w:val="clear" w:color="auto" w:fill="auto"/>
          </w:tcPr>
          <w:p w14:paraId="60F04297"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12.91 (5.27)</w:t>
            </w:r>
          </w:p>
        </w:tc>
        <w:tc>
          <w:tcPr>
            <w:tcW w:w="1201" w:type="dxa"/>
            <w:shd w:val="clear" w:color="auto" w:fill="auto"/>
          </w:tcPr>
          <w:p w14:paraId="7C378746" w14:textId="77777777" w:rsidR="00F7070E" w:rsidRPr="004B39C1"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12.84 (5.07)</w:t>
            </w:r>
          </w:p>
        </w:tc>
        <w:tc>
          <w:tcPr>
            <w:tcW w:w="1291" w:type="dxa"/>
            <w:shd w:val="clear" w:color="auto" w:fill="auto"/>
          </w:tcPr>
          <w:p w14:paraId="794D8243"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11.33 (4.76)</w:t>
            </w:r>
          </w:p>
        </w:tc>
        <w:tc>
          <w:tcPr>
            <w:tcW w:w="1337" w:type="dxa"/>
            <w:shd w:val="clear" w:color="auto" w:fill="auto"/>
          </w:tcPr>
          <w:p w14:paraId="2D8B2BAB" w14:textId="77777777" w:rsidR="00F7070E" w:rsidRPr="004B39C1"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11.32 (4.66)</w:t>
            </w:r>
          </w:p>
        </w:tc>
      </w:tr>
      <w:tr w:rsidR="00F7070E" w:rsidRPr="004B39C1" w14:paraId="3BC42F7E" w14:textId="77777777" w:rsidTr="00810176">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412E892E" w14:textId="77777777" w:rsidR="00F7070E" w:rsidRPr="004B39C1" w:rsidRDefault="00F7070E" w:rsidP="00810176">
            <w:pPr>
              <w:pStyle w:val="TableParagraph"/>
              <w:rPr>
                <w:rFonts w:asciiTheme="minorHAnsi" w:hAnsiTheme="minorHAnsi" w:cstheme="minorHAnsi"/>
                <w:w w:val="105"/>
                <w:sz w:val="14"/>
                <w:szCs w:val="14"/>
              </w:rPr>
            </w:pPr>
            <w:r>
              <w:rPr>
                <w:rFonts w:asciiTheme="minorHAnsi" w:hAnsiTheme="minorHAnsi" w:cstheme="minorHAnsi"/>
                <w:w w:val="105"/>
                <w:sz w:val="14"/>
                <w:szCs w:val="14"/>
              </w:rPr>
              <w:t>PANSS Negative</w:t>
            </w:r>
          </w:p>
        </w:tc>
        <w:tc>
          <w:tcPr>
            <w:tcW w:w="1278" w:type="dxa"/>
            <w:shd w:val="clear" w:color="auto" w:fill="auto"/>
          </w:tcPr>
          <w:p w14:paraId="315190E3"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14.53 (6.15)</w:t>
            </w:r>
          </w:p>
        </w:tc>
        <w:tc>
          <w:tcPr>
            <w:tcW w:w="1201" w:type="dxa"/>
            <w:shd w:val="clear" w:color="auto" w:fill="auto"/>
          </w:tcPr>
          <w:p w14:paraId="213032E0"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14.39 (6.35)</w:t>
            </w:r>
          </w:p>
        </w:tc>
        <w:tc>
          <w:tcPr>
            <w:tcW w:w="1291" w:type="dxa"/>
            <w:shd w:val="clear" w:color="auto" w:fill="auto"/>
          </w:tcPr>
          <w:p w14:paraId="511C901E"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13.14 (4.88)</w:t>
            </w:r>
          </w:p>
        </w:tc>
        <w:tc>
          <w:tcPr>
            <w:tcW w:w="1337" w:type="dxa"/>
            <w:shd w:val="clear" w:color="auto" w:fill="auto"/>
          </w:tcPr>
          <w:p w14:paraId="4FD1B972"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13.28 (5.23)</w:t>
            </w:r>
          </w:p>
        </w:tc>
      </w:tr>
      <w:tr w:rsidR="00F7070E" w:rsidRPr="004B39C1" w14:paraId="24D07930" w14:textId="77777777" w:rsidTr="0081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705ECFE2" w14:textId="77777777" w:rsidR="00F7070E" w:rsidRPr="00696679" w:rsidRDefault="00F7070E" w:rsidP="00810176">
            <w:pPr>
              <w:pStyle w:val="TableParagraph"/>
              <w:rPr>
                <w:rFonts w:asciiTheme="minorHAnsi" w:hAnsiTheme="minorHAnsi" w:cstheme="minorHAnsi"/>
                <w:sz w:val="14"/>
                <w:szCs w:val="14"/>
              </w:rPr>
            </w:pPr>
            <w:r w:rsidRPr="00696679">
              <w:rPr>
                <w:rFonts w:asciiTheme="minorHAnsi" w:hAnsiTheme="minorHAnsi" w:cstheme="minorHAnsi"/>
                <w:sz w:val="14"/>
                <w:szCs w:val="14"/>
              </w:rPr>
              <w:t>CAINS EXP</w:t>
            </w:r>
          </w:p>
        </w:tc>
        <w:tc>
          <w:tcPr>
            <w:tcW w:w="1278" w:type="dxa"/>
            <w:shd w:val="clear" w:color="auto" w:fill="auto"/>
          </w:tcPr>
          <w:p w14:paraId="005A0C83"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4.02 (4.25)</w:t>
            </w:r>
          </w:p>
        </w:tc>
        <w:tc>
          <w:tcPr>
            <w:tcW w:w="1201" w:type="dxa"/>
            <w:shd w:val="clear" w:color="auto" w:fill="auto"/>
          </w:tcPr>
          <w:p w14:paraId="199EB75D" w14:textId="77777777" w:rsidR="00F7070E" w:rsidRPr="004B39C1"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3.86 (4.37)</w:t>
            </w:r>
          </w:p>
        </w:tc>
        <w:tc>
          <w:tcPr>
            <w:tcW w:w="1291" w:type="dxa"/>
            <w:shd w:val="clear" w:color="auto" w:fill="auto"/>
          </w:tcPr>
          <w:p w14:paraId="78ED1FFC"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3.53 (4.17)</w:t>
            </w:r>
          </w:p>
        </w:tc>
        <w:tc>
          <w:tcPr>
            <w:tcW w:w="1337" w:type="dxa"/>
            <w:shd w:val="clear" w:color="auto" w:fill="auto"/>
          </w:tcPr>
          <w:p w14:paraId="3BF0ED68" w14:textId="77777777" w:rsidR="00F7070E" w:rsidRPr="004B39C1"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3.49 (3.99)</w:t>
            </w:r>
          </w:p>
        </w:tc>
      </w:tr>
      <w:tr w:rsidR="00F7070E" w:rsidRPr="004B39C1" w14:paraId="48ACAA0C" w14:textId="77777777" w:rsidTr="00810176">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6CC5E813" w14:textId="77777777" w:rsidR="00F7070E" w:rsidRPr="00696679" w:rsidRDefault="00F7070E" w:rsidP="00810176">
            <w:pPr>
              <w:pStyle w:val="TableParagraph"/>
              <w:rPr>
                <w:rFonts w:asciiTheme="minorHAnsi" w:hAnsiTheme="minorHAnsi" w:cstheme="minorHAnsi"/>
                <w:sz w:val="14"/>
                <w:szCs w:val="14"/>
              </w:rPr>
            </w:pPr>
            <w:r w:rsidRPr="00696679">
              <w:rPr>
                <w:rFonts w:asciiTheme="minorHAnsi" w:hAnsiTheme="minorHAnsi" w:cstheme="minorHAnsi"/>
                <w:sz w:val="14"/>
                <w:szCs w:val="14"/>
              </w:rPr>
              <w:t>CAINS MAP</w:t>
            </w:r>
          </w:p>
        </w:tc>
        <w:tc>
          <w:tcPr>
            <w:tcW w:w="1278" w:type="dxa"/>
            <w:shd w:val="clear" w:color="auto" w:fill="auto"/>
          </w:tcPr>
          <w:p w14:paraId="7F64FF3C"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14.54 (7.41)</w:t>
            </w:r>
          </w:p>
        </w:tc>
        <w:tc>
          <w:tcPr>
            <w:tcW w:w="1201" w:type="dxa"/>
            <w:shd w:val="clear" w:color="auto" w:fill="auto"/>
          </w:tcPr>
          <w:p w14:paraId="60A09502"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14.61 (7.50)</w:t>
            </w:r>
          </w:p>
        </w:tc>
        <w:tc>
          <w:tcPr>
            <w:tcW w:w="1291" w:type="dxa"/>
            <w:shd w:val="clear" w:color="auto" w:fill="auto"/>
          </w:tcPr>
          <w:p w14:paraId="0B816371"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13.07 (7.36)</w:t>
            </w:r>
          </w:p>
        </w:tc>
        <w:tc>
          <w:tcPr>
            <w:tcW w:w="1337" w:type="dxa"/>
            <w:shd w:val="clear" w:color="auto" w:fill="auto"/>
          </w:tcPr>
          <w:p w14:paraId="7DD0A73C"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13.47 (7.41)</w:t>
            </w:r>
          </w:p>
        </w:tc>
      </w:tr>
      <w:tr w:rsidR="00F7070E" w:rsidRPr="004B39C1" w14:paraId="4CCEB85B" w14:textId="77777777" w:rsidTr="0081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230474F0" w14:textId="77777777" w:rsidR="00F7070E" w:rsidRPr="00696679" w:rsidRDefault="00F7070E" w:rsidP="00810176">
            <w:pPr>
              <w:pStyle w:val="TableParagraph"/>
              <w:rPr>
                <w:rFonts w:asciiTheme="minorHAnsi" w:hAnsiTheme="minorHAnsi" w:cstheme="minorHAnsi"/>
                <w:sz w:val="14"/>
                <w:szCs w:val="14"/>
              </w:rPr>
            </w:pPr>
            <w:r>
              <w:rPr>
                <w:rFonts w:asciiTheme="minorHAnsi" w:hAnsiTheme="minorHAnsi" w:cstheme="minorHAnsi"/>
                <w:sz w:val="14"/>
                <w:szCs w:val="14"/>
              </w:rPr>
              <w:t>MIC-SR</w:t>
            </w:r>
          </w:p>
        </w:tc>
        <w:tc>
          <w:tcPr>
            <w:tcW w:w="1278" w:type="dxa"/>
            <w:shd w:val="clear" w:color="auto" w:fill="auto"/>
          </w:tcPr>
          <w:p w14:paraId="7D06E836"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18.78 (9.90)</w:t>
            </w:r>
          </w:p>
        </w:tc>
        <w:tc>
          <w:tcPr>
            <w:tcW w:w="1201" w:type="dxa"/>
            <w:shd w:val="clear" w:color="auto" w:fill="auto"/>
          </w:tcPr>
          <w:p w14:paraId="0D075555" w14:textId="77777777" w:rsidR="00F7070E" w:rsidRPr="004B39C1"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19.43 (9.69)</w:t>
            </w:r>
          </w:p>
        </w:tc>
        <w:tc>
          <w:tcPr>
            <w:tcW w:w="1291" w:type="dxa"/>
            <w:shd w:val="clear" w:color="auto" w:fill="auto"/>
          </w:tcPr>
          <w:p w14:paraId="6D615F24"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16.19 (9.13)</w:t>
            </w:r>
          </w:p>
        </w:tc>
        <w:tc>
          <w:tcPr>
            <w:tcW w:w="1337" w:type="dxa"/>
            <w:shd w:val="clear" w:color="auto" w:fill="auto"/>
          </w:tcPr>
          <w:p w14:paraId="4B8BC9EF" w14:textId="77777777" w:rsidR="00F7070E" w:rsidRPr="004B39C1"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16.44 (9.14)</w:t>
            </w:r>
          </w:p>
        </w:tc>
      </w:tr>
      <w:tr w:rsidR="00F7070E" w:rsidRPr="004B39C1" w14:paraId="1B7561C4" w14:textId="77777777" w:rsidTr="00810176">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31834F6E" w14:textId="77777777" w:rsidR="00F7070E" w:rsidRPr="00696679" w:rsidRDefault="00F7070E" w:rsidP="00810176">
            <w:pPr>
              <w:pStyle w:val="TableParagraph"/>
              <w:rPr>
                <w:rFonts w:asciiTheme="minorHAnsi" w:hAnsiTheme="minorHAnsi" w:cstheme="minorHAnsi"/>
                <w:sz w:val="14"/>
                <w:szCs w:val="14"/>
              </w:rPr>
            </w:pPr>
            <w:r>
              <w:rPr>
                <w:rFonts w:asciiTheme="minorHAnsi" w:hAnsiTheme="minorHAnsi" w:cstheme="minorHAnsi"/>
                <w:sz w:val="14"/>
                <w:szCs w:val="14"/>
              </w:rPr>
              <w:t>DS-B</w:t>
            </w:r>
          </w:p>
        </w:tc>
        <w:tc>
          <w:tcPr>
            <w:tcW w:w="1278" w:type="dxa"/>
            <w:shd w:val="clear" w:color="auto" w:fill="auto"/>
          </w:tcPr>
          <w:p w14:paraId="158AF6AC"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5.90 (2.19(</w:t>
            </w:r>
          </w:p>
        </w:tc>
        <w:tc>
          <w:tcPr>
            <w:tcW w:w="1201" w:type="dxa"/>
            <w:shd w:val="clear" w:color="auto" w:fill="auto"/>
          </w:tcPr>
          <w:p w14:paraId="0F25D172"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5.73 (2.21)</w:t>
            </w:r>
          </w:p>
        </w:tc>
        <w:tc>
          <w:tcPr>
            <w:tcW w:w="1291" w:type="dxa"/>
            <w:shd w:val="clear" w:color="auto" w:fill="auto"/>
          </w:tcPr>
          <w:p w14:paraId="38E0B54B"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6.10 (2.38)</w:t>
            </w:r>
          </w:p>
        </w:tc>
        <w:tc>
          <w:tcPr>
            <w:tcW w:w="1337" w:type="dxa"/>
            <w:shd w:val="clear" w:color="auto" w:fill="auto"/>
          </w:tcPr>
          <w:p w14:paraId="1F97BE89"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5.93 (2.26)</w:t>
            </w:r>
          </w:p>
        </w:tc>
      </w:tr>
      <w:tr w:rsidR="00F7070E" w:rsidRPr="004B39C1" w14:paraId="4A47A3B4" w14:textId="77777777" w:rsidTr="0081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0134676F" w14:textId="77777777" w:rsidR="00F7070E" w:rsidRPr="00696679" w:rsidRDefault="00F7070E" w:rsidP="00810176">
            <w:pPr>
              <w:pStyle w:val="TableParagraph"/>
              <w:rPr>
                <w:rFonts w:asciiTheme="minorHAnsi" w:hAnsiTheme="minorHAnsi" w:cstheme="minorHAnsi"/>
                <w:sz w:val="14"/>
                <w:szCs w:val="14"/>
              </w:rPr>
            </w:pPr>
            <w:r>
              <w:rPr>
                <w:rFonts w:asciiTheme="minorHAnsi" w:hAnsiTheme="minorHAnsi" w:cstheme="minorHAnsi"/>
                <w:sz w:val="14"/>
                <w:szCs w:val="14"/>
              </w:rPr>
              <w:t>AVLT</w:t>
            </w:r>
          </w:p>
        </w:tc>
        <w:tc>
          <w:tcPr>
            <w:tcW w:w="1278" w:type="dxa"/>
            <w:shd w:val="clear" w:color="auto" w:fill="auto"/>
          </w:tcPr>
          <w:p w14:paraId="5270CEE3"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43.70 (10.59)</w:t>
            </w:r>
          </w:p>
        </w:tc>
        <w:tc>
          <w:tcPr>
            <w:tcW w:w="1201" w:type="dxa"/>
            <w:shd w:val="clear" w:color="auto" w:fill="auto"/>
          </w:tcPr>
          <w:p w14:paraId="4CBDB1D5" w14:textId="77777777" w:rsidR="00F7070E" w:rsidRPr="004B39C1"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43.77 (11.45)</w:t>
            </w:r>
          </w:p>
        </w:tc>
        <w:tc>
          <w:tcPr>
            <w:tcW w:w="1291" w:type="dxa"/>
            <w:shd w:val="clear" w:color="auto" w:fill="auto"/>
          </w:tcPr>
          <w:p w14:paraId="245C15BE"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46.04 (11.66)</w:t>
            </w:r>
          </w:p>
        </w:tc>
        <w:tc>
          <w:tcPr>
            <w:tcW w:w="1337" w:type="dxa"/>
            <w:shd w:val="clear" w:color="auto" w:fill="auto"/>
          </w:tcPr>
          <w:p w14:paraId="7BBAD9EF" w14:textId="77777777" w:rsidR="00F7070E" w:rsidRPr="004B39C1"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45.55 (12.26)</w:t>
            </w:r>
          </w:p>
        </w:tc>
      </w:tr>
      <w:tr w:rsidR="00F7070E" w:rsidRPr="004B39C1" w14:paraId="11D7AA25" w14:textId="77777777" w:rsidTr="00810176">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3960103A" w14:textId="77777777" w:rsidR="00F7070E" w:rsidRPr="00696679" w:rsidRDefault="00F7070E" w:rsidP="00810176">
            <w:pPr>
              <w:pStyle w:val="TableParagraph"/>
              <w:rPr>
                <w:rFonts w:asciiTheme="minorHAnsi" w:hAnsiTheme="minorHAnsi" w:cstheme="minorHAnsi"/>
                <w:sz w:val="14"/>
                <w:szCs w:val="14"/>
              </w:rPr>
            </w:pPr>
            <w:r>
              <w:rPr>
                <w:rFonts w:asciiTheme="minorHAnsi" w:hAnsiTheme="minorHAnsi" w:cstheme="minorHAnsi"/>
                <w:sz w:val="14"/>
                <w:szCs w:val="14"/>
              </w:rPr>
              <w:t>AST</w:t>
            </w:r>
          </w:p>
        </w:tc>
        <w:tc>
          <w:tcPr>
            <w:tcW w:w="1278" w:type="dxa"/>
            <w:shd w:val="clear" w:color="auto" w:fill="auto"/>
          </w:tcPr>
          <w:p w14:paraId="355B40C3"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145.25 (15.18)</w:t>
            </w:r>
          </w:p>
        </w:tc>
        <w:tc>
          <w:tcPr>
            <w:tcW w:w="1201" w:type="dxa"/>
            <w:shd w:val="clear" w:color="auto" w:fill="auto"/>
          </w:tcPr>
          <w:p w14:paraId="08D03B74"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143.58 (16.40)</w:t>
            </w:r>
          </w:p>
        </w:tc>
        <w:tc>
          <w:tcPr>
            <w:tcW w:w="1291" w:type="dxa"/>
            <w:shd w:val="clear" w:color="auto" w:fill="auto"/>
          </w:tcPr>
          <w:p w14:paraId="378596FA"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147.84 (13.73)</w:t>
            </w:r>
          </w:p>
        </w:tc>
        <w:tc>
          <w:tcPr>
            <w:tcW w:w="1337" w:type="dxa"/>
            <w:shd w:val="clear" w:color="auto" w:fill="auto"/>
          </w:tcPr>
          <w:p w14:paraId="1AFDB363"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145.33 (17.16)</w:t>
            </w:r>
          </w:p>
        </w:tc>
      </w:tr>
      <w:tr w:rsidR="00F7070E" w:rsidRPr="004B39C1" w14:paraId="0EBE6843" w14:textId="77777777" w:rsidTr="0081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19A7045E" w14:textId="77777777" w:rsidR="00F7070E" w:rsidRPr="00696679" w:rsidRDefault="00F7070E" w:rsidP="00810176">
            <w:pPr>
              <w:pStyle w:val="TableParagraph"/>
              <w:rPr>
                <w:rFonts w:asciiTheme="minorHAnsi" w:hAnsiTheme="minorHAnsi" w:cstheme="minorHAnsi"/>
                <w:sz w:val="14"/>
                <w:szCs w:val="14"/>
              </w:rPr>
            </w:pPr>
            <w:r>
              <w:rPr>
                <w:rFonts w:asciiTheme="minorHAnsi" w:hAnsiTheme="minorHAnsi" w:cstheme="minorHAnsi"/>
                <w:sz w:val="14"/>
                <w:szCs w:val="14"/>
              </w:rPr>
              <w:t>ERT</w:t>
            </w:r>
          </w:p>
        </w:tc>
        <w:tc>
          <w:tcPr>
            <w:tcW w:w="1278" w:type="dxa"/>
            <w:shd w:val="clear" w:color="auto" w:fill="auto"/>
          </w:tcPr>
          <w:p w14:paraId="375F4318"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27.27 (6.05)</w:t>
            </w:r>
          </w:p>
        </w:tc>
        <w:tc>
          <w:tcPr>
            <w:tcW w:w="1201" w:type="dxa"/>
            <w:shd w:val="clear" w:color="auto" w:fill="auto"/>
          </w:tcPr>
          <w:p w14:paraId="5C9DCB5B" w14:textId="77777777" w:rsidR="00F7070E" w:rsidRPr="004B39C1"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27.14 (6.12)</w:t>
            </w:r>
          </w:p>
        </w:tc>
        <w:tc>
          <w:tcPr>
            <w:tcW w:w="1291" w:type="dxa"/>
            <w:shd w:val="clear" w:color="auto" w:fill="auto"/>
          </w:tcPr>
          <w:p w14:paraId="2C8F4185"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27.29 (6.36)</w:t>
            </w:r>
          </w:p>
        </w:tc>
        <w:tc>
          <w:tcPr>
            <w:tcW w:w="1337" w:type="dxa"/>
            <w:shd w:val="clear" w:color="auto" w:fill="auto"/>
          </w:tcPr>
          <w:p w14:paraId="0ED14E88" w14:textId="77777777" w:rsidR="00F7070E" w:rsidRPr="004B39C1"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26.87 (6.87)</w:t>
            </w:r>
          </w:p>
        </w:tc>
      </w:tr>
      <w:tr w:rsidR="00F7070E" w:rsidRPr="004B39C1" w14:paraId="1ED6D2EA" w14:textId="77777777" w:rsidTr="00810176">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39B2964D" w14:textId="77777777" w:rsidR="00F7070E" w:rsidRPr="00696679" w:rsidRDefault="00F7070E" w:rsidP="00810176">
            <w:pPr>
              <w:pStyle w:val="TableParagraph"/>
              <w:rPr>
                <w:rFonts w:asciiTheme="minorHAnsi" w:hAnsiTheme="minorHAnsi" w:cstheme="minorHAnsi"/>
                <w:sz w:val="14"/>
                <w:szCs w:val="14"/>
              </w:rPr>
            </w:pPr>
            <w:r>
              <w:rPr>
                <w:rFonts w:asciiTheme="minorHAnsi" w:hAnsiTheme="minorHAnsi" w:cstheme="minorHAnsi"/>
                <w:sz w:val="14"/>
                <w:szCs w:val="14"/>
              </w:rPr>
              <w:t>OTSC</w:t>
            </w:r>
          </w:p>
        </w:tc>
        <w:tc>
          <w:tcPr>
            <w:tcW w:w="1278" w:type="dxa"/>
            <w:shd w:val="clear" w:color="auto" w:fill="auto"/>
          </w:tcPr>
          <w:p w14:paraId="133CD826"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9.40 (3.02)</w:t>
            </w:r>
          </w:p>
        </w:tc>
        <w:tc>
          <w:tcPr>
            <w:tcW w:w="1201" w:type="dxa"/>
            <w:shd w:val="clear" w:color="auto" w:fill="auto"/>
          </w:tcPr>
          <w:p w14:paraId="203CEAEB"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9.30 (3.21)</w:t>
            </w:r>
          </w:p>
        </w:tc>
        <w:tc>
          <w:tcPr>
            <w:tcW w:w="1291" w:type="dxa"/>
            <w:shd w:val="clear" w:color="auto" w:fill="auto"/>
          </w:tcPr>
          <w:p w14:paraId="5C0D0D4A"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9.97 (3.04)</w:t>
            </w:r>
          </w:p>
        </w:tc>
        <w:tc>
          <w:tcPr>
            <w:tcW w:w="1337" w:type="dxa"/>
            <w:shd w:val="clear" w:color="auto" w:fill="auto"/>
          </w:tcPr>
          <w:p w14:paraId="7BC3BA81"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9.46 (3.38)</w:t>
            </w:r>
          </w:p>
        </w:tc>
      </w:tr>
      <w:tr w:rsidR="00F7070E" w:rsidRPr="004B39C1" w14:paraId="1E61052C" w14:textId="77777777" w:rsidTr="0081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32660BCA" w14:textId="77777777" w:rsidR="00F7070E" w:rsidRPr="00696679" w:rsidRDefault="00F7070E" w:rsidP="00810176">
            <w:pPr>
              <w:pStyle w:val="TableParagraph"/>
              <w:rPr>
                <w:rFonts w:asciiTheme="minorHAnsi" w:hAnsiTheme="minorHAnsi" w:cstheme="minorHAnsi"/>
                <w:sz w:val="14"/>
                <w:szCs w:val="14"/>
              </w:rPr>
            </w:pPr>
            <w:r>
              <w:rPr>
                <w:rFonts w:asciiTheme="minorHAnsi" w:hAnsiTheme="minorHAnsi" w:cstheme="minorHAnsi"/>
                <w:sz w:val="14"/>
                <w:szCs w:val="14"/>
              </w:rPr>
              <w:t>PAL (errors)</w:t>
            </w:r>
          </w:p>
        </w:tc>
        <w:tc>
          <w:tcPr>
            <w:tcW w:w="1278" w:type="dxa"/>
            <w:shd w:val="clear" w:color="auto" w:fill="auto"/>
          </w:tcPr>
          <w:p w14:paraId="0FDF0161"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19.93 (15.54)</w:t>
            </w:r>
          </w:p>
        </w:tc>
        <w:tc>
          <w:tcPr>
            <w:tcW w:w="1201" w:type="dxa"/>
            <w:shd w:val="clear" w:color="auto" w:fill="auto"/>
          </w:tcPr>
          <w:p w14:paraId="7944942B" w14:textId="77777777" w:rsidR="00F7070E" w:rsidRPr="004B39C1"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19.68 (16.35)</w:t>
            </w:r>
          </w:p>
        </w:tc>
        <w:tc>
          <w:tcPr>
            <w:tcW w:w="1291" w:type="dxa"/>
            <w:shd w:val="clear" w:color="auto" w:fill="auto"/>
          </w:tcPr>
          <w:p w14:paraId="56F51CB9"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16.68 (15.91)</w:t>
            </w:r>
          </w:p>
        </w:tc>
        <w:tc>
          <w:tcPr>
            <w:tcW w:w="1337" w:type="dxa"/>
            <w:shd w:val="clear" w:color="auto" w:fill="auto"/>
          </w:tcPr>
          <w:p w14:paraId="145BBCA7" w14:textId="77777777" w:rsidR="00F7070E" w:rsidRPr="004B39C1"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17.67 (16.84)</w:t>
            </w:r>
          </w:p>
        </w:tc>
      </w:tr>
      <w:tr w:rsidR="00F7070E" w:rsidRPr="004B39C1" w14:paraId="6575EFED" w14:textId="77777777" w:rsidTr="00810176">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0B102CCC" w14:textId="77777777" w:rsidR="00F7070E" w:rsidRPr="00696679" w:rsidRDefault="00F7070E" w:rsidP="00810176">
            <w:pPr>
              <w:pStyle w:val="TableParagraph"/>
              <w:rPr>
                <w:rFonts w:asciiTheme="minorHAnsi" w:hAnsiTheme="minorHAnsi" w:cstheme="minorHAnsi"/>
                <w:sz w:val="14"/>
                <w:szCs w:val="14"/>
              </w:rPr>
            </w:pPr>
            <w:r>
              <w:rPr>
                <w:rFonts w:asciiTheme="minorHAnsi" w:hAnsiTheme="minorHAnsi" w:cstheme="minorHAnsi"/>
                <w:sz w:val="14"/>
                <w:szCs w:val="14"/>
              </w:rPr>
              <w:t>RT</w:t>
            </w:r>
          </w:p>
        </w:tc>
        <w:tc>
          <w:tcPr>
            <w:tcW w:w="1278" w:type="dxa"/>
            <w:shd w:val="clear" w:color="auto" w:fill="auto"/>
          </w:tcPr>
          <w:p w14:paraId="0693505A"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408.39 (52.87)</w:t>
            </w:r>
          </w:p>
        </w:tc>
        <w:tc>
          <w:tcPr>
            <w:tcW w:w="1201" w:type="dxa"/>
            <w:shd w:val="clear" w:color="auto" w:fill="auto"/>
          </w:tcPr>
          <w:p w14:paraId="5C7E2FAF"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409.94 (56.28)</w:t>
            </w:r>
          </w:p>
        </w:tc>
        <w:tc>
          <w:tcPr>
            <w:tcW w:w="1291" w:type="dxa"/>
            <w:shd w:val="clear" w:color="auto" w:fill="auto"/>
          </w:tcPr>
          <w:p w14:paraId="6FF8461B"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398.99 (46.86)</w:t>
            </w:r>
          </w:p>
        </w:tc>
        <w:tc>
          <w:tcPr>
            <w:tcW w:w="1337" w:type="dxa"/>
            <w:shd w:val="clear" w:color="auto" w:fill="auto"/>
          </w:tcPr>
          <w:p w14:paraId="22A66B7A"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406.33 (54.32)</w:t>
            </w:r>
          </w:p>
        </w:tc>
      </w:tr>
      <w:tr w:rsidR="00F7070E" w:rsidRPr="004B39C1" w14:paraId="2A44E1AC" w14:textId="77777777" w:rsidTr="0081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7882314F" w14:textId="77777777" w:rsidR="00F7070E" w:rsidRDefault="00F7070E" w:rsidP="00810176">
            <w:pPr>
              <w:pStyle w:val="TableParagraph"/>
              <w:rPr>
                <w:rFonts w:asciiTheme="minorHAnsi" w:hAnsiTheme="minorHAnsi" w:cstheme="minorHAnsi"/>
                <w:sz w:val="14"/>
                <w:szCs w:val="14"/>
              </w:rPr>
            </w:pPr>
            <w:r>
              <w:rPr>
                <w:rFonts w:asciiTheme="minorHAnsi" w:hAnsiTheme="minorHAnsi" w:cstheme="minorHAnsi"/>
                <w:sz w:val="14"/>
                <w:szCs w:val="14"/>
              </w:rPr>
              <w:t>RVP</w:t>
            </w:r>
          </w:p>
        </w:tc>
        <w:tc>
          <w:tcPr>
            <w:tcW w:w="1278" w:type="dxa"/>
            <w:shd w:val="clear" w:color="auto" w:fill="auto"/>
          </w:tcPr>
          <w:p w14:paraId="35AA9837"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95 (.06)</w:t>
            </w:r>
          </w:p>
        </w:tc>
        <w:tc>
          <w:tcPr>
            <w:tcW w:w="1201" w:type="dxa"/>
            <w:shd w:val="clear" w:color="auto" w:fill="auto"/>
          </w:tcPr>
          <w:p w14:paraId="6C9E3AD6"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.95 (.06)</w:t>
            </w:r>
          </w:p>
        </w:tc>
        <w:tc>
          <w:tcPr>
            <w:tcW w:w="1291" w:type="dxa"/>
            <w:shd w:val="clear" w:color="auto" w:fill="auto"/>
          </w:tcPr>
          <w:p w14:paraId="0D44212D"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.96 (.07)</w:t>
            </w:r>
          </w:p>
        </w:tc>
        <w:tc>
          <w:tcPr>
            <w:tcW w:w="1337" w:type="dxa"/>
            <w:shd w:val="clear" w:color="auto" w:fill="auto"/>
          </w:tcPr>
          <w:p w14:paraId="09B97186"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.96 (.05)</w:t>
            </w:r>
          </w:p>
        </w:tc>
      </w:tr>
      <w:tr w:rsidR="00F7070E" w:rsidRPr="004B39C1" w14:paraId="220DB2F3" w14:textId="77777777" w:rsidTr="00810176">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2F923B9B" w14:textId="77777777" w:rsidR="00F7070E" w:rsidRPr="00696679" w:rsidRDefault="00F7070E" w:rsidP="00810176">
            <w:pPr>
              <w:pStyle w:val="TableParagraph"/>
              <w:rPr>
                <w:rFonts w:asciiTheme="minorHAnsi" w:hAnsiTheme="minorHAnsi" w:cstheme="minorHAnsi"/>
                <w:sz w:val="14"/>
                <w:szCs w:val="14"/>
              </w:rPr>
            </w:pPr>
            <w:r>
              <w:rPr>
                <w:rFonts w:asciiTheme="minorHAnsi" w:hAnsiTheme="minorHAnsi" w:cstheme="minorHAnsi"/>
                <w:sz w:val="14"/>
                <w:szCs w:val="14"/>
              </w:rPr>
              <w:t>SWM (Errors)</w:t>
            </w:r>
          </w:p>
        </w:tc>
        <w:tc>
          <w:tcPr>
            <w:tcW w:w="1278" w:type="dxa"/>
            <w:shd w:val="clear" w:color="auto" w:fill="auto"/>
          </w:tcPr>
          <w:p w14:paraId="18058506"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14.01 (9.81)</w:t>
            </w:r>
          </w:p>
        </w:tc>
        <w:tc>
          <w:tcPr>
            <w:tcW w:w="1201" w:type="dxa"/>
            <w:shd w:val="clear" w:color="auto" w:fill="auto"/>
          </w:tcPr>
          <w:p w14:paraId="26CCF73F"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13.70 (9.81)</w:t>
            </w:r>
          </w:p>
        </w:tc>
        <w:tc>
          <w:tcPr>
            <w:tcW w:w="1291" w:type="dxa"/>
            <w:shd w:val="clear" w:color="auto" w:fill="auto"/>
          </w:tcPr>
          <w:p w14:paraId="2035EAFB"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10.65 (9.95)</w:t>
            </w:r>
          </w:p>
        </w:tc>
        <w:tc>
          <w:tcPr>
            <w:tcW w:w="1337" w:type="dxa"/>
            <w:shd w:val="clear" w:color="auto" w:fill="auto"/>
          </w:tcPr>
          <w:p w14:paraId="4F845069"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11.33 (10.19)</w:t>
            </w:r>
          </w:p>
        </w:tc>
      </w:tr>
    </w:tbl>
    <w:p w14:paraId="0296CFD9" w14:textId="77777777" w:rsidR="00F7070E" w:rsidRDefault="00F7070E" w:rsidP="00F7070E">
      <w:pPr>
        <w:spacing w:line="360" w:lineRule="auto"/>
        <w:jc w:val="both"/>
        <w:rPr>
          <w:rFonts w:cstheme="minorHAnsi"/>
        </w:rPr>
      </w:pPr>
    </w:p>
    <w:p w14:paraId="6EB07AD1" w14:textId="77777777" w:rsidR="00F7070E" w:rsidRDefault="00F7070E" w:rsidP="00F7070E">
      <w:pPr>
        <w:spacing w:line="360" w:lineRule="auto"/>
        <w:jc w:val="both"/>
        <w:rPr>
          <w:rFonts w:cstheme="minorHAnsi"/>
        </w:rPr>
      </w:pPr>
    </w:p>
    <w:p w14:paraId="03648C9B" w14:textId="77777777" w:rsidR="00F7070E" w:rsidRDefault="00F7070E" w:rsidP="00F7070E">
      <w:pPr>
        <w:spacing w:line="360" w:lineRule="auto"/>
        <w:jc w:val="both"/>
        <w:rPr>
          <w:rFonts w:cstheme="minorHAnsi"/>
        </w:rPr>
      </w:pPr>
    </w:p>
    <w:p w14:paraId="4372D746" w14:textId="77777777" w:rsidR="00F7070E" w:rsidRDefault="00F7070E" w:rsidP="00F7070E">
      <w:pPr>
        <w:spacing w:line="360" w:lineRule="auto"/>
        <w:jc w:val="both"/>
        <w:rPr>
          <w:rFonts w:cstheme="minorHAnsi"/>
        </w:rPr>
      </w:pPr>
    </w:p>
    <w:p w14:paraId="27B95E6A" w14:textId="77777777" w:rsidR="00F7070E" w:rsidRDefault="00F7070E" w:rsidP="00F7070E">
      <w:pPr>
        <w:spacing w:line="360" w:lineRule="auto"/>
        <w:jc w:val="both"/>
        <w:rPr>
          <w:rFonts w:cstheme="minorHAnsi"/>
        </w:rPr>
      </w:pPr>
    </w:p>
    <w:p w14:paraId="0D67D503" w14:textId="77777777" w:rsidR="00F7070E" w:rsidRDefault="00F7070E" w:rsidP="00F7070E">
      <w:pPr>
        <w:spacing w:line="360" w:lineRule="auto"/>
        <w:jc w:val="both"/>
        <w:rPr>
          <w:rFonts w:cstheme="minorHAnsi"/>
        </w:rPr>
      </w:pPr>
    </w:p>
    <w:p w14:paraId="63639906" w14:textId="77777777" w:rsidR="00F7070E" w:rsidRDefault="00F7070E" w:rsidP="00F7070E">
      <w:pPr>
        <w:spacing w:line="360" w:lineRule="auto"/>
        <w:jc w:val="both"/>
        <w:rPr>
          <w:rFonts w:cstheme="minorHAnsi"/>
        </w:rPr>
      </w:pPr>
    </w:p>
    <w:p w14:paraId="7EF25936" w14:textId="77777777" w:rsidR="00F7070E" w:rsidRDefault="00F7070E" w:rsidP="00F7070E">
      <w:pPr>
        <w:spacing w:line="360" w:lineRule="auto"/>
        <w:jc w:val="both"/>
        <w:rPr>
          <w:rFonts w:cstheme="minorHAnsi"/>
        </w:rPr>
      </w:pPr>
    </w:p>
    <w:p w14:paraId="32556B3F" w14:textId="77777777" w:rsidR="00F7070E" w:rsidRDefault="00F7070E" w:rsidP="00F7070E">
      <w:pPr>
        <w:spacing w:line="360" w:lineRule="auto"/>
        <w:jc w:val="both"/>
        <w:rPr>
          <w:rFonts w:cstheme="minorHAnsi"/>
        </w:rPr>
      </w:pPr>
    </w:p>
    <w:p w14:paraId="120028D4" w14:textId="77777777" w:rsidR="00F7070E" w:rsidRDefault="00F7070E" w:rsidP="00F7070E">
      <w:pPr>
        <w:spacing w:line="360" w:lineRule="auto"/>
        <w:jc w:val="both"/>
        <w:rPr>
          <w:rFonts w:cstheme="minorHAnsi"/>
        </w:rPr>
      </w:pPr>
    </w:p>
    <w:p w14:paraId="2B2B17CC" w14:textId="77777777" w:rsidR="00F7070E" w:rsidRDefault="00F7070E" w:rsidP="00F7070E">
      <w:pPr>
        <w:spacing w:line="360" w:lineRule="auto"/>
        <w:jc w:val="both"/>
        <w:rPr>
          <w:rFonts w:cstheme="minorHAnsi"/>
        </w:rPr>
      </w:pPr>
      <w:r>
        <w:rPr>
          <w:noProof/>
        </w:rPr>
        <w:lastRenderedPageBreak/>
        <w:drawing>
          <wp:inline distT="0" distB="0" distL="0" distR="0" wp14:anchorId="3A9AFEA1" wp14:editId="67273576">
            <wp:extent cx="5249664" cy="6648450"/>
            <wp:effectExtent l="0" t="0" r="8255" b="0"/>
            <wp:docPr id="15" name="Picture 1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10;&#10;Description automatically generated"/>
                    <pic:cNvPicPr/>
                  </pic:nvPicPr>
                  <pic:blipFill>
                    <a:blip r:embed="rId10"/>
                    <a:stretch>
                      <a:fillRect/>
                    </a:stretch>
                  </pic:blipFill>
                  <pic:spPr>
                    <a:xfrm>
                      <a:off x="0" y="0"/>
                      <a:ext cx="5252946" cy="6652607"/>
                    </a:xfrm>
                    <a:prstGeom prst="rect">
                      <a:avLst/>
                    </a:prstGeom>
                  </pic:spPr>
                </pic:pic>
              </a:graphicData>
            </a:graphic>
          </wp:inline>
        </w:drawing>
      </w:r>
    </w:p>
    <w:p w14:paraId="2F3CAB3A" w14:textId="77777777" w:rsidR="00F7070E" w:rsidRDefault="00F7070E" w:rsidP="00F7070E">
      <w:pPr>
        <w:autoSpaceDE w:val="0"/>
        <w:autoSpaceDN w:val="0"/>
        <w:adjustRightInd w:val="0"/>
        <w:jc w:val="both"/>
        <w:rPr>
          <w:rFonts w:cstheme="minorHAnsi"/>
          <w:sz w:val="18"/>
          <w:szCs w:val="18"/>
        </w:rPr>
      </w:pPr>
      <w:r>
        <w:rPr>
          <w:rFonts w:cstheme="minorHAnsi"/>
          <w:sz w:val="18"/>
          <w:szCs w:val="18"/>
        </w:rPr>
        <w:t xml:space="preserve">Figure S5: </w:t>
      </w:r>
      <w:r w:rsidRPr="00813123">
        <w:rPr>
          <w:rFonts w:cstheme="minorHAnsi"/>
          <w:sz w:val="18"/>
          <w:szCs w:val="18"/>
        </w:rPr>
        <w:t>Network estimat</w:t>
      </w:r>
      <w:r>
        <w:rPr>
          <w:rFonts w:cstheme="minorHAnsi"/>
          <w:sz w:val="18"/>
          <w:szCs w:val="18"/>
        </w:rPr>
        <w:t>ion</w:t>
      </w:r>
      <w:r w:rsidRPr="00813123">
        <w:rPr>
          <w:rFonts w:cstheme="minorHAnsi"/>
          <w:sz w:val="18"/>
          <w:szCs w:val="18"/>
        </w:rPr>
        <w:t xml:space="preserve"> </w:t>
      </w:r>
      <w:r>
        <w:rPr>
          <w:rFonts w:cstheme="minorHAnsi"/>
          <w:sz w:val="18"/>
          <w:szCs w:val="18"/>
        </w:rPr>
        <w:t>for the CR networks using complete data pre-CR (</w:t>
      </w:r>
      <w:r w:rsidRPr="00C95222">
        <w:rPr>
          <w:rFonts w:cstheme="minorHAnsi"/>
          <w:b/>
          <w:bCs/>
          <w:sz w:val="18"/>
          <w:szCs w:val="18"/>
        </w:rPr>
        <w:t>A</w:t>
      </w:r>
      <w:r>
        <w:rPr>
          <w:rFonts w:cstheme="minorHAnsi"/>
          <w:sz w:val="18"/>
          <w:szCs w:val="18"/>
        </w:rPr>
        <w:t>) and post-CR (</w:t>
      </w:r>
      <w:r w:rsidRPr="00C95222">
        <w:rPr>
          <w:rFonts w:cstheme="minorHAnsi"/>
          <w:b/>
          <w:bCs/>
          <w:sz w:val="18"/>
          <w:szCs w:val="18"/>
        </w:rPr>
        <w:t>B</w:t>
      </w:r>
      <w:r>
        <w:rPr>
          <w:rFonts w:cstheme="minorHAnsi"/>
          <w:sz w:val="18"/>
          <w:szCs w:val="18"/>
        </w:rPr>
        <w:t>)</w:t>
      </w:r>
      <w:r w:rsidRPr="00813123">
        <w:rPr>
          <w:rFonts w:cstheme="minorHAnsi"/>
          <w:sz w:val="18"/>
          <w:szCs w:val="18"/>
        </w:rPr>
        <w:t xml:space="preserve"> and their strength centrality scores (</w:t>
      </w:r>
      <w:r>
        <w:rPr>
          <w:rFonts w:cstheme="minorHAnsi"/>
          <w:b/>
          <w:bCs/>
          <w:sz w:val="18"/>
          <w:szCs w:val="18"/>
        </w:rPr>
        <w:t>C</w:t>
      </w:r>
      <w:r w:rsidRPr="00813123">
        <w:rPr>
          <w:rFonts w:cstheme="minorHAnsi"/>
          <w:sz w:val="18"/>
          <w:szCs w:val="18"/>
        </w:rPr>
        <w:t xml:space="preserve">). Nodes (circles) represent cognitive (purpose), clinical (yellow), </w:t>
      </w:r>
      <w:r>
        <w:rPr>
          <w:rFonts w:cstheme="minorHAnsi"/>
          <w:sz w:val="18"/>
          <w:szCs w:val="18"/>
        </w:rPr>
        <w:t>cognitive insight</w:t>
      </w:r>
      <w:r w:rsidRPr="00813123">
        <w:rPr>
          <w:rFonts w:cstheme="minorHAnsi"/>
          <w:sz w:val="18"/>
          <w:szCs w:val="18"/>
        </w:rPr>
        <w:t xml:space="preserve"> (green) and functioning (blue) scores. Higher scores for cognitive and functioning nodes represents better performance, whilst higher scores for metacognition and symptoms represents worse performance. Edge weights (lines) represent associations between nodes, with denser lines indicating stronger associations. Blue edges depict positive </w:t>
      </w:r>
      <w:proofErr w:type="gramStart"/>
      <w:r w:rsidRPr="00813123">
        <w:rPr>
          <w:rFonts w:cstheme="minorHAnsi"/>
          <w:sz w:val="18"/>
          <w:szCs w:val="18"/>
        </w:rPr>
        <w:t>associations</w:t>
      </w:r>
      <w:proofErr w:type="gramEnd"/>
      <w:r w:rsidRPr="00813123">
        <w:rPr>
          <w:rFonts w:cstheme="minorHAnsi"/>
          <w:sz w:val="18"/>
          <w:szCs w:val="18"/>
        </w:rPr>
        <w:t xml:space="preserve"> and red edges depict negative associations. AST = Attention Switching Task; AVLT = Auditory Verbal Learning Task, DS-B = Digit S</w:t>
      </w:r>
      <w:r>
        <w:rPr>
          <w:rFonts w:cstheme="minorHAnsi"/>
          <w:sz w:val="18"/>
          <w:szCs w:val="18"/>
        </w:rPr>
        <w:t>pan</w:t>
      </w:r>
      <w:r w:rsidRPr="00813123">
        <w:rPr>
          <w:rFonts w:cstheme="minorHAnsi"/>
          <w:sz w:val="18"/>
          <w:szCs w:val="18"/>
        </w:rPr>
        <w:t xml:space="preserve"> Backward, ERT = Emotion Recognition Test; EXP = </w:t>
      </w:r>
      <w:r w:rsidRPr="005A23F2">
        <w:rPr>
          <w:rFonts w:cstheme="minorHAnsi"/>
          <w:sz w:val="18"/>
          <w:szCs w:val="18"/>
        </w:rPr>
        <w:t>CAINS Expressive Score; MAP = CAINS Motivation and Pleasure Score; MIC = M</w:t>
      </w:r>
      <w:r>
        <w:rPr>
          <w:rFonts w:cstheme="minorHAnsi"/>
          <w:sz w:val="18"/>
          <w:szCs w:val="18"/>
        </w:rPr>
        <w:t xml:space="preserve">easure </w:t>
      </w:r>
      <w:proofErr w:type="spellStart"/>
      <w:r>
        <w:rPr>
          <w:rFonts w:cstheme="minorHAnsi"/>
          <w:sz w:val="18"/>
          <w:szCs w:val="18"/>
        </w:rPr>
        <w:t>of</w:t>
      </w:r>
      <w:r w:rsidRPr="005A23F2">
        <w:rPr>
          <w:rFonts w:cstheme="minorHAnsi"/>
          <w:sz w:val="18"/>
          <w:szCs w:val="18"/>
        </w:rPr>
        <w:t>e</w:t>
      </w:r>
      <w:proofErr w:type="spellEnd"/>
      <w:r w:rsidRPr="005A23F2">
        <w:rPr>
          <w:rFonts w:cstheme="minorHAnsi"/>
          <w:sz w:val="18"/>
          <w:szCs w:val="18"/>
        </w:rPr>
        <w:t xml:space="preserve"> Insight into Cognition – Self Report; OTSC</w:t>
      </w:r>
      <w:r w:rsidRPr="00813123">
        <w:rPr>
          <w:rFonts w:cstheme="minorHAnsi"/>
          <w:sz w:val="18"/>
          <w:szCs w:val="18"/>
        </w:rPr>
        <w:t xml:space="preserve"> = One-Touch Stockings of Cambridge; PAL = Paired Associates Learning; </w:t>
      </w:r>
      <w:proofErr w:type="spellStart"/>
      <w:r w:rsidRPr="00813123">
        <w:rPr>
          <w:rFonts w:cstheme="minorHAnsi"/>
          <w:sz w:val="18"/>
          <w:szCs w:val="18"/>
        </w:rPr>
        <w:t>PNeg</w:t>
      </w:r>
      <w:proofErr w:type="spellEnd"/>
      <w:r w:rsidRPr="00813123">
        <w:rPr>
          <w:rFonts w:cstheme="minorHAnsi"/>
          <w:sz w:val="18"/>
          <w:szCs w:val="18"/>
        </w:rPr>
        <w:t xml:space="preserve"> = PANSS Negative</w:t>
      </w:r>
      <w:r>
        <w:rPr>
          <w:rFonts w:cstheme="minorHAnsi"/>
          <w:sz w:val="18"/>
          <w:szCs w:val="18"/>
        </w:rPr>
        <w:t>;</w:t>
      </w:r>
      <w:r w:rsidRPr="00813123">
        <w:rPr>
          <w:rFonts w:cstheme="minorHAnsi"/>
          <w:sz w:val="18"/>
          <w:szCs w:val="18"/>
        </w:rPr>
        <w:t xml:space="preserve"> </w:t>
      </w:r>
      <w:proofErr w:type="spellStart"/>
      <w:r w:rsidRPr="00813123">
        <w:rPr>
          <w:rFonts w:cstheme="minorHAnsi"/>
          <w:sz w:val="18"/>
          <w:szCs w:val="18"/>
        </w:rPr>
        <w:t>PPos</w:t>
      </w:r>
      <w:proofErr w:type="spellEnd"/>
      <w:r w:rsidRPr="00813123">
        <w:rPr>
          <w:rFonts w:cstheme="minorHAnsi"/>
          <w:sz w:val="18"/>
          <w:szCs w:val="18"/>
        </w:rPr>
        <w:t xml:space="preserve"> = PANSS Positive; RT = Reaction Time; RVP = Rapid Visual Processing; SOF = Social and Occupational Functioning Assessment Scale; SWM = Spatial Working Memory</w:t>
      </w:r>
    </w:p>
    <w:p w14:paraId="458199CD" w14:textId="77777777" w:rsidR="00F7070E" w:rsidRDefault="00F7070E" w:rsidP="00F7070E">
      <w:pPr>
        <w:autoSpaceDE w:val="0"/>
        <w:autoSpaceDN w:val="0"/>
        <w:adjustRightInd w:val="0"/>
        <w:jc w:val="both"/>
        <w:rPr>
          <w:rFonts w:cstheme="minorHAnsi"/>
          <w:sz w:val="18"/>
          <w:szCs w:val="18"/>
        </w:rPr>
      </w:pPr>
    </w:p>
    <w:p w14:paraId="17F61D20" w14:textId="1C476097" w:rsidR="00F7070E" w:rsidRDefault="00F7070E" w:rsidP="00F7070E">
      <w:pPr>
        <w:spacing w:line="360" w:lineRule="auto"/>
        <w:jc w:val="both"/>
        <w:rPr>
          <w:rFonts w:cstheme="minorHAnsi"/>
        </w:rPr>
      </w:pPr>
      <w:r>
        <w:rPr>
          <w:rFonts w:cstheme="minorHAnsi"/>
        </w:rPr>
        <w:lastRenderedPageBreak/>
        <w:t>Table S</w:t>
      </w:r>
      <w:r w:rsidR="00240F68">
        <w:rPr>
          <w:rFonts w:cstheme="minorHAnsi"/>
        </w:rPr>
        <w:t>3</w:t>
      </w:r>
      <w:r>
        <w:rPr>
          <w:rFonts w:cstheme="minorHAnsi"/>
        </w:rPr>
        <w:t>: Table of centrality indices for complete-cases sensitivity analysis</w:t>
      </w:r>
    </w:p>
    <w:tbl>
      <w:tblPr>
        <w:tblStyle w:val="ListTable4-Accent1"/>
        <w:tblpPr w:leftFromText="180" w:rightFromText="180" w:vertAnchor="text" w:horzAnchor="margin" w:tblpY="86"/>
        <w:tblW w:w="3748" w:type="dxa"/>
        <w:tblLook w:val="04A0" w:firstRow="1" w:lastRow="0" w:firstColumn="1" w:lastColumn="0" w:noHBand="0" w:noVBand="1"/>
      </w:tblPr>
      <w:tblGrid>
        <w:gridCol w:w="1269"/>
        <w:gridCol w:w="1208"/>
        <w:gridCol w:w="1271"/>
      </w:tblGrid>
      <w:tr w:rsidR="00F7070E" w:rsidRPr="004B39C1" w14:paraId="46A92CD4" w14:textId="77777777" w:rsidTr="00810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57C80B52" w14:textId="77777777" w:rsidR="00F7070E" w:rsidRPr="004B39C1" w:rsidRDefault="00F7070E" w:rsidP="00810176">
            <w:pPr>
              <w:spacing w:line="360" w:lineRule="auto"/>
              <w:outlineLvl w:val="0"/>
              <w:rPr>
                <w:rFonts w:cstheme="minorHAnsi"/>
                <w:color w:val="231F1F"/>
                <w:sz w:val="14"/>
              </w:rPr>
            </w:pPr>
          </w:p>
        </w:tc>
        <w:tc>
          <w:tcPr>
            <w:tcW w:w="1208" w:type="dxa"/>
          </w:tcPr>
          <w:p w14:paraId="3067398F" w14:textId="77777777" w:rsidR="00F7070E" w:rsidRPr="00055A45" w:rsidRDefault="00F7070E" w:rsidP="00810176">
            <w:pPr>
              <w:spacing w:line="360" w:lineRule="auto"/>
              <w:jc w:val="center"/>
              <w:outlineLvl w:val="0"/>
              <w:cnfStyle w:val="100000000000" w:firstRow="1" w:lastRow="0" w:firstColumn="0" w:lastColumn="0" w:oddVBand="0" w:evenVBand="0" w:oddHBand="0" w:evenHBand="0" w:firstRowFirstColumn="0" w:firstRowLastColumn="0" w:lastRowFirstColumn="0" w:lastRowLastColumn="0"/>
              <w:rPr>
                <w:rFonts w:cstheme="minorHAnsi"/>
                <w:b w:val="0"/>
                <w:bCs w:val="0"/>
                <w:color w:val="231F1F"/>
                <w:sz w:val="14"/>
                <w:szCs w:val="14"/>
              </w:rPr>
            </w:pPr>
          </w:p>
        </w:tc>
        <w:tc>
          <w:tcPr>
            <w:tcW w:w="1271" w:type="dxa"/>
          </w:tcPr>
          <w:p w14:paraId="0317E497" w14:textId="77777777" w:rsidR="00F7070E" w:rsidRPr="00245010" w:rsidRDefault="00F7070E" w:rsidP="00810176">
            <w:pPr>
              <w:spacing w:line="360" w:lineRule="auto"/>
              <w:jc w:val="center"/>
              <w:outlineLvl w:val="0"/>
              <w:cnfStyle w:val="100000000000" w:firstRow="1" w:lastRow="0" w:firstColumn="0" w:lastColumn="0" w:oddVBand="0" w:evenVBand="0" w:oddHBand="0" w:evenHBand="0" w:firstRowFirstColumn="0" w:firstRowLastColumn="0" w:lastRowFirstColumn="0" w:lastRowLastColumn="0"/>
              <w:rPr>
                <w:rFonts w:cstheme="minorHAnsi"/>
                <w:b w:val="0"/>
                <w:bCs w:val="0"/>
                <w:color w:val="231F1F"/>
                <w:sz w:val="14"/>
                <w:szCs w:val="14"/>
              </w:rPr>
            </w:pPr>
          </w:p>
        </w:tc>
      </w:tr>
      <w:tr w:rsidR="00F7070E" w:rsidRPr="004B39C1" w14:paraId="58EBE5AA" w14:textId="77777777" w:rsidTr="0081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63298ECB" w14:textId="77777777" w:rsidR="00F7070E" w:rsidRPr="004B39C1" w:rsidRDefault="00F7070E" w:rsidP="00810176">
            <w:pPr>
              <w:spacing w:line="360" w:lineRule="auto"/>
              <w:outlineLvl w:val="0"/>
              <w:rPr>
                <w:rFonts w:cstheme="minorHAnsi"/>
              </w:rPr>
            </w:pPr>
            <w:bookmarkStart w:id="31" w:name="_Toc104213392"/>
            <w:r>
              <w:rPr>
                <w:rFonts w:cstheme="minorHAnsi"/>
                <w:color w:val="231F1F"/>
                <w:sz w:val="14"/>
              </w:rPr>
              <w:t>Network</w:t>
            </w:r>
            <w:bookmarkEnd w:id="31"/>
          </w:p>
        </w:tc>
        <w:tc>
          <w:tcPr>
            <w:tcW w:w="1208" w:type="dxa"/>
          </w:tcPr>
          <w:p w14:paraId="4C57E10E" w14:textId="77777777" w:rsidR="00F7070E" w:rsidRPr="00862502" w:rsidRDefault="00F7070E" w:rsidP="00810176">
            <w:pPr>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cstheme="minorHAnsi"/>
                <w:b/>
                <w:bCs/>
                <w:color w:val="231F1F"/>
                <w:sz w:val="14"/>
                <w:szCs w:val="14"/>
              </w:rPr>
            </w:pPr>
            <w:bookmarkStart w:id="32" w:name="_Toc104213393"/>
            <w:r>
              <w:rPr>
                <w:rFonts w:cstheme="minorHAnsi"/>
                <w:b/>
                <w:bCs/>
                <w:color w:val="231F1F"/>
                <w:sz w:val="14"/>
                <w:szCs w:val="14"/>
              </w:rPr>
              <w:t>Edge</w:t>
            </w:r>
            <w:bookmarkEnd w:id="32"/>
          </w:p>
        </w:tc>
        <w:tc>
          <w:tcPr>
            <w:tcW w:w="1271" w:type="dxa"/>
          </w:tcPr>
          <w:p w14:paraId="6261B1B9" w14:textId="77777777" w:rsidR="00F7070E" w:rsidRPr="00275987" w:rsidRDefault="00F7070E" w:rsidP="00810176">
            <w:pPr>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bookmarkStart w:id="33" w:name="_Toc104213394"/>
            <w:r>
              <w:rPr>
                <w:rFonts w:cstheme="minorHAnsi"/>
                <w:b/>
                <w:bCs/>
                <w:color w:val="231F1F"/>
                <w:sz w:val="14"/>
                <w:szCs w:val="14"/>
              </w:rPr>
              <w:t>Strength</w:t>
            </w:r>
            <w:bookmarkEnd w:id="33"/>
          </w:p>
        </w:tc>
      </w:tr>
      <w:tr w:rsidR="00F7070E" w:rsidRPr="004B39C1" w14:paraId="38AA253F" w14:textId="77777777" w:rsidTr="00810176">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6CD69454" w14:textId="77777777" w:rsidR="00F7070E" w:rsidRDefault="00F7070E" w:rsidP="00810176">
            <w:pPr>
              <w:pStyle w:val="TableParagraph"/>
              <w:rPr>
                <w:rFonts w:asciiTheme="minorHAnsi" w:hAnsiTheme="minorHAnsi" w:cstheme="minorHAnsi"/>
                <w:sz w:val="14"/>
                <w:szCs w:val="14"/>
              </w:rPr>
            </w:pPr>
            <w:r>
              <w:rPr>
                <w:rFonts w:asciiTheme="minorHAnsi" w:hAnsiTheme="minorHAnsi" w:cstheme="minorHAnsi"/>
                <w:sz w:val="14"/>
                <w:szCs w:val="14"/>
              </w:rPr>
              <w:t>Pre-CR</w:t>
            </w:r>
          </w:p>
        </w:tc>
        <w:tc>
          <w:tcPr>
            <w:tcW w:w="1208" w:type="dxa"/>
            <w:shd w:val="clear" w:color="auto" w:fill="auto"/>
          </w:tcPr>
          <w:p w14:paraId="7F055818" w14:textId="77777777" w:rsidR="00F7070E"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0.53</w:t>
            </w:r>
          </w:p>
        </w:tc>
        <w:tc>
          <w:tcPr>
            <w:tcW w:w="1271" w:type="dxa"/>
            <w:shd w:val="clear" w:color="auto" w:fill="auto"/>
          </w:tcPr>
          <w:p w14:paraId="0B117B0C" w14:textId="77777777" w:rsidR="00F7070E" w:rsidRPr="004B39C1" w:rsidRDefault="00F7070E" w:rsidP="0081017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0.28</w:t>
            </w:r>
          </w:p>
        </w:tc>
      </w:tr>
      <w:tr w:rsidR="00F7070E" w:rsidRPr="004B39C1" w14:paraId="6173D61F" w14:textId="77777777" w:rsidTr="0081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14:paraId="7263A9F7" w14:textId="77777777" w:rsidR="00F7070E" w:rsidRPr="004B39C1" w:rsidRDefault="00F7070E" w:rsidP="00810176">
            <w:pPr>
              <w:pStyle w:val="TableParagraph"/>
              <w:rPr>
                <w:rFonts w:asciiTheme="minorHAnsi" w:hAnsiTheme="minorHAnsi" w:cstheme="minorHAnsi"/>
                <w:sz w:val="14"/>
                <w:szCs w:val="14"/>
              </w:rPr>
            </w:pPr>
            <w:r>
              <w:rPr>
                <w:rFonts w:asciiTheme="minorHAnsi" w:hAnsiTheme="minorHAnsi" w:cstheme="minorHAnsi"/>
                <w:sz w:val="14"/>
                <w:szCs w:val="14"/>
              </w:rPr>
              <w:t>Post-CR</w:t>
            </w:r>
          </w:p>
        </w:tc>
        <w:tc>
          <w:tcPr>
            <w:tcW w:w="1208" w:type="dxa"/>
            <w:shd w:val="clear" w:color="auto" w:fill="auto"/>
          </w:tcPr>
          <w:p w14:paraId="747C5EE4" w14:textId="77777777" w:rsidR="00F7070E"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0.59</w:t>
            </w:r>
          </w:p>
        </w:tc>
        <w:tc>
          <w:tcPr>
            <w:tcW w:w="1271" w:type="dxa"/>
            <w:shd w:val="clear" w:color="auto" w:fill="auto"/>
          </w:tcPr>
          <w:p w14:paraId="62513BE6" w14:textId="77777777" w:rsidR="00F7070E" w:rsidRPr="004B39C1" w:rsidRDefault="00F7070E" w:rsidP="0081017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Pr>
                <w:rFonts w:asciiTheme="minorHAnsi" w:hAnsiTheme="minorHAnsi" w:cstheme="minorHAnsi"/>
                <w:sz w:val="14"/>
                <w:szCs w:val="14"/>
              </w:rPr>
              <w:t>0.28</w:t>
            </w:r>
          </w:p>
        </w:tc>
      </w:tr>
    </w:tbl>
    <w:p w14:paraId="33EA4EDC" w14:textId="77777777" w:rsidR="00F7070E" w:rsidRDefault="00F7070E" w:rsidP="00F7070E">
      <w:pPr>
        <w:spacing w:line="360" w:lineRule="auto"/>
        <w:jc w:val="both"/>
        <w:rPr>
          <w:rFonts w:cstheme="minorHAnsi"/>
        </w:rPr>
      </w:pPr>
    </w:p>
    <w:p w14:paraId="3EE02178" w14:textId="77777777" w:rsidR="00F7070E" w:rsidRDefault="00F7070E" w:rsidP="00F7070E">
      <w:pPr>
        <w:spacing w:line="360" w:lineRule="auto"/>
        <w:jc w:val="both"/>
        <w:rPr>
          <w:rFonts w:cstheme="minorHAnsi"/>
        </w:rPr>
      </w:pPr>
    </w:p>
    <w:p w14:paraId="3770C060" w14:textId="77777777" w:rsidR="00F7070E" w:rsidRPr="0049307F" w:rsidRDefault="00F7070E" w:rsidP="00F7070E">
      <w:pPr>
        <w:jc w:val="both"/>
        <w:rPr>
          <w:rFonts w:cstheme="minorHAnsi"/>
        </w:rPr>
      </w:pPr>
    </w:p>
    <w:p w14:paraId="7B90FD29" w14:textId="77777777" w:rsidR="00F7070E" w:rsidRDefault="00F7070E" w:rsidP="00F7070E">
      <w:pPr>
        <w:spacing w:line="360" w:lineRule="auto"/>
        <w:jc w:val="both"/>
        <w:rPr>
          <w:b/>
        </w:rPr>
      </w:pPr>
    </w:p>
    <w:p w14:paraId="044D0961" w14:textId="77777777" w:rsidR="00F7070E" w:rsidRDefault="00F7070E" w:rsidP="00F7070E">
      <w:pPr>
        <w:pStyle w:val="Heading3"/>
      </w:pPr>
      <w:r>
        <w:t>Supplementary References</w:t>
      </w:r>
    </w:p>
    <w:p w14:paraId="1A6D8EE7" w14:textId="77777777" w:rsidR="00F7070E" w:rsidRPr="00F17658" w:rsidRDefault="00F7070E" w:rsidP="00F7070E">
      <w:pPr>
        <w:pStyle w:val="EndNoteBibliography"/>
        <w:spacing w:line="360" w:lineRule="auto"/>
        <w:rPr>
          <w:rFonts w:asciiTheme="minorHAnsi" w:hAnsiTheme="minorHAnsi" w:cstheme="minorHAnsi"/>
        </w:rPr>
      </w:pPr>
      <w:r w:rsidRPr="00F17658">
        <w:rPr>
          <w:rFonts w:asciiTheme="minorHAnsi" w:hAnsiTheme="minorHAnsi" w:cstheme="minorHAnsi"/>
        </w:rPr>
        <w:t xml:space="preserve">CANTAB®. (2017). </w:t>
      </w:r>
      <w:r w:rsidRPr="00F17658">
        <w:rPr>
          <w:rFonts w:asciiTheme="minorHAnsi" w:hAnsiTheme="minorHAnsi" w:cstheme="minorHAnsi"/>
          <w:i/>
        </w:rPr>
        <w:t xml:space="preserve">[Cognitive assessment software]. All rights reserved. </w:t>
      </w:r>
      <w:r w:rsidRPr="00F17658">
        <w:rPr>
          <w:rStyle w:val="Hyperlink"/>
          <w:rFonts w:asciiTheme="minorHAnsi" w:hAnsiTheme="minorHAnsi" w:cstheme="minorHAnsi"/>
          <w:i/>
        </w:rPr>
        <w:t>www.cantab.com</w:t>
      </w:r>
      <w:r w:rsidRPr="00F17658">
        <w:rPr>
          <w:rFonts w:asciiTheme="minorHAnsi" w:hAnsiTheme="minorHAnsi" w:cstheme="minorHAnsi"/>
          <w:i/>
        </w:rPr>
        <w:t xml:space="preserve"> </w:t>
      </w:r>
      <w:r w:rsidRPr="00F17658">
        <w:rPr>
          <w:rFonts w:asciiTheme="minorHAnsi" w:hAnsiTheme="minorHAnsi" w:cstheme="minorHAnsi"/>
        </w:rPr>
        <w:t>[Online].</w:t>
      </w:r>
      <w:r>
        <w:rPr>
          <w:rFonts w:asciiTheme="minorHAnsi" w:hAnsiTheme="minorHAnsi" w:cstheme="minorHAnsi"/>
        </w:rPr>
        <w:t xml:space="preserve"> </w:t>
      </w:r>
      <w:r w:rsidRPr="00F17658">
        <w:rPr>
          <w:rFonts w:asciiTheme="minorHAnsi" w:hAnsiTheme="minorHAnsi" w:cstheme="minorHAnsi"/>
        </w:rPr>
        <w:t xml:space="preserve">Cambridge Cognition.  </w:t>
      </w:r>
    </w:p>
    <w:p w14:paraId="78100463" w14:textId="77777777" w:rsidR="00F7070E" w:rsidRPr="00F17658" w:rsidRDefault="00F7070E" w:rsidP="00D2329E">
      <w:pPr>
        <w:pStyle w:val="Bibliography"/>
        <w:spacing w:line="360" w:lineRule="auto"/>
        <w:rPr>
          <w:rFonts w:ascii="Calibri" w:hAnsi="Calibri" w:cs="Calibri"/>
        </w:rPr>
      </w:pPr>
      <w:r w:rsidRPr="00F17658">
        <w:rPr>
          <w:b/>
        </w:rPr>
        <w:fldChar w:fldCharType="begin"/>
      </w:r>
      <w:r w:rsidRPr="00F17658">
        <w:rPr>
          <w:b/>
        </w:rPr>
        <w:instrText xml:space="preserve"> ADDIN ZOTERO_BIBL {"uncited":[],"omitted":[],"custom":[]} CSL_BIBLIOGRAPHY </w:instrText>
      </w:r>
      <w:r w:rsidRPr="00F17658">
        <w:rPr>
          <w:b/>
        </w:rPr>
        <w:fldChar w:fldCharType="separate"/>
      </w:r>
      <w:r w:rsidRPr="00F17658">
        <w:rPr>
          <w:rFonts w:ascii="Calibri" w:hAnsi="Calibri" w:cs="Calibri"/>
        </w:rPr>
        <w:t xml:space="preserve">Kay, S. R., Fiszbein, A., &amp; Opler, L. A. (1987). The positive and negative syndrome scale (PANSS) for schizophrenia. </w:t>
      </w:r>
      <w:r w:rsidRPr="00F17658">
        <w:rPr>
          <w:rFonts w:ascii="Calibri" w:hAnsi="Calibri" w:cs="Calibri"/>
          <w:i/>
          <w:iCs/>
        </w:rPr>
        <w:t>Schizophrenia Bulletin</w:t>
      </w:r>
      <w:r w:rsidRPr="00F17658">
        <w:rPr>
          <w:rFonts w:ascii="Calibri" w:hAnsi="Calibri" w:cs="Calibri"/>
        </w:rPr>
        <w:t xml:space="preserve">, </w:t>
      </w:r>
      <w:r w:rsidRPr="00F17658">
        <w:rPr>
          <w:rFonts w:ascii="Calibri" w:hAnsi="Calibri" w:cs="Calibri"/>
          <w:i/>
          <w:iCs/>
        </w:rPr>
        <w:t>13</w:t>
      </w:r>
      <w:r w:rsidRPr="00F17658">
        <w:rPr>
          <w:rFonts w:ascii="Calibri" w:hAnsi="Calibri" w:cs="Calibri"/>
        </w:rPr>
        <w:t>(2), 261–276. https://doi.org/10.1093/schbul/13.2.261</w:t>
      </w:r>
    </w:p>
    <w:p w14:paraId="19854D51" w14:textId="77777777" w:rsidR="00F7070E" w:rsidRPr="00F17658" w:rsidRDefault="00F7070E" w:rsidP="00D2329E">
      <w:pPr>
        <w:pStyle w:val="Bibliography"/>
        <w:spacing w:line="360" w:lineRule="auto"/>
        <w:rPr>
          <w:rFonts w:ascii="Calibri" w:hAnsi="Calibri" w:cs="Calibri"/>
        </w:rPr>
      </w:pPr>
      <w:r w:rsidRPr="00F17658">
        <w:rPr>
          <w:rFonts w:ascii="Calibri" w:hAnsi="Calibri" w:cs="Calibri"/>
        </w:rPr>
        <w:t xml:space="preserve">Kiresuk, T. J., &amp; Sherman, R. E. (1968). Goal attainment scaling: A general method for evaluating comprehensive community mental health programs. </w:t>
      </w:r>
      <w:r w:rsidRPr="00F17658">
        <w:rPr>
          <w:rFonts w:ascii="Calibri" w:hAnsi="Calibri" w:cs="Calibri"/>
          <w:i/>
          <w:iCs/>
        </w:rPr>
        <w:t>Community Mental Health Journal</w:t>
      </w:r>
      <w:r w:rsidRPr="00F17658">
        <w:rPr>
          <w:rFonts w:ascii="Calibri" w:hAnsi="Calibri" w:cs="Calibri"/>
        </w:rPr>
        <w:t xml:space="preserve">, </w:t>
      </w:r>
      <w:r w:rsidRPr="00F17658">
        <w:rPr>
          <w:rFonts w:ascii="Calibri" w:hAnsi="Calibri" w:cs="Calibri"/>
          <w:i/>
          <w:iCs/>
        </w:rPr>
        <w:t>4</w:t>
      </w:r>
      <w:r w:rsidRPr="00F17658">
        <w:rPr>
          <w:rFonts w:ascii="Calibri" w:hAnsi="Calibri" w:cs="Calibri"/>
        </w:rPr>
        <w:t>(6), 443–453. https://doi.org/10.1007/BF01530764</w:t>
      </w:r>
    </w:p>
    <w:p w14:paraId="29F3DFF0" w14:textId="77777777" w:rsidR="00F7070E" w:rsidRPr="00F17658" w:rsidRDefault="00F7070E" w:rsidP="00D2329E">
      <w:pPr>
        <w:pStyle w:val="Bibliography"/>
        <w:spacing w:line="360" w:lineRule="auto"/>
        <w:rPr>
          <w:rFonts w:ascii="Calibri" w:hAnsi="Calibri" w:cs="Calibri"/>
        </w:rPr>
      </w:pPr>
      <w:r w:rsidRPr="00F17658">
        <w:rPr>
          <w:rFonts w:ascii="Calibri" w:hAnsi="Calibri" w:cs="Calibri"/>
        </w:rPr>
        <w:t xml:space="preserve">Kring, A. M., Gur, R. E., Blanchard, J. J., Horan, W. P., &amp; Reise, S. P. (2013). The Clinical Assessment Interview for Negative Symptoms (CAINS): Final Development and Validation. </w:t>
      </w:r>
      <w:r w:rsidRPr="00F17658">
        <w:rPr>
          <w:rFonts w:ascii="Calibri" w:hAnsi="Calibri" w:cs="Calibri"/>
          <w:i/>
          <w:iCs/>
        </w:rPr>
        <w:t>The American Journal of Psychiatry</w:t>
      </w:r>
      <w:r w:rsidRPr="00F17658">
        <w:rPr>
          <w:rFonts w:ascii="Calibri" w:hAnsi="Calibri" w:cs="Calibri"/>
        </w:rPr>
        <w:t xml:space="preserve">, </w:t>
      </w:r>
      <w:r w:rsidRPr="00F17658">
        <w:rPr>
          <w:rFonts w:ascii="Calibri" w:hAnsi="Calibri" w:cs="Calibri"/>
          <w:i/>
          <w:iCs/>
        </w:rPr>
        <w:t>170</w:t>
      </w:r>
      <w:r w:rsidRPr="00F17658">
        <w:rPr>
          <w:rFonts w:ascii="Calibri" w:hAnsi="Calibri" w:cs="Calibri"/>
        </w:rPr>
        <w:t>(2), 165–172. https://doi.org/10.1176/appi.ajp.2012.12010109</w:t>
      </w:r>
    </w:p>
    <w:p w14:paraId="0BE2C6EB" w14:textId="77777777" w:rsidR="00F7070E" w:rsidRPr="00F17658" w:rsidRDefault="00F7070E" w:rsidP="00D2329E">
      <w:pPr>
        <w:pStyle w:val="Bibliography"/>
        <w:spacing w:line="360" w:lineRule="auto"/>
        <w:rPr>
          <w:rFonts w:ascii="Calibri" w:hAnsi="Calibri" w:cs="Calibri"/>
        </w:rPr>
      </w:pPr>
      <w:r w:rsidRPr="00F17658">
        <w:rPr>
          <w:rFonts w:ascii="Calibri" w:hAnsi="Calibri" w:cs="Calibri"/>
        </w:rPr>
        <w:t xml:space="preserve">Rockwood, K., Joyce, B., &amp; Stolee, P. (1997). Use of goal attainment scaling in measuring clinically important change in cognitive rehabilitation patients. </w:t>
      </w:r>
      <w:r w:rsidRPr="00F17658">
        <w:rPr>
          <w:rFonts w:ascii="Calibri" w:hAnsi="Calibri" w:cs="Calibri"/>
          <w:i/>
          <w:iCs/>
        </w:rPr>
        <w:t>Journal of Clinical Epidemiology</w:t>
      </w:r>
      <w:r w:rsidRPr="00F17658">
        <w:rPr>
          <w:rFonts w:ascii="Calibri" w:hAnsi="Calibri" w:cs="Calibri"/>
        </w:rPr>
        <w:t xml:space="preserve">, </w:t>
      </w:r>
      <w:r w:rsidRPr="00F17658">
        <w:rPr>
          <w:rFonts w:ascii="Calibri" w:hAnsi="Calibri" w:cs="Calibri"/>
          <w:i/>
          <w:iCs/>
        </w:rPr>
        <w:t>50</w:t>
      </w:r>
      <w:r w:rsidRPr="00F17658">
        <w:rPr>
          <w:rFonts w:ascii="Calibri" w:hAnsi="Calibri" w:cs="Calibri"/>
        </w:rPr>
        <w:t>(5), 581–588. https://doi.org/10.1016/s0895-4356(97)00014-0</w:t>
      </w:r>
    </w:p>
    <w:p w14:paraId="15F5D8DA" w14:textId="77777777" w:rsidR="00F7070E" w:rsidRPr="00F17658" w:rsidRDefault="00F7070E" w:rsidP="00D2329E">
      <w:pPr>
        <w:pStyle w:val="Bibliography"/>
        <w:spacing w:line="360" w:lineRule="auto"/>
        <w:rPr>
          <w:rFonts w:ascii="Calibri" w:hAnsi="Calibri" w:cs="Calibri"/>
        </w:rPr>
      </w:pPr>
      <w:r w:rsidRPr="00F17658">
        <w:rPr>
          <w:rFonts w:ascii="Calibri" w:hAnsi="Calibri" w:cs="Calibri"/>
        </w:rPr>
        <w:t xml:space="preserve">Saraswat, N., Rao, K., Subbakrishna, D. K., &amp; Gangadhar, B. N. (2006). The Social Occupational Functioning Scale (SOFS): A brief measure of functional status in persons with schizophrenia. </w:t>
      </w:r>
      <w:r w:rsidRPr="00F17658">
        <w:rPr>
          <w:rFonts w:ascii="Calibri" w:hAnsi="Calibri" w:cs="Calibri"/>
          <w:i/>
          <w:iCs/>
        </w:rPr>
        <w:t>Schizophrenia Research</w:t>
      </w:r>
      <w:r w:rsidRPr="00F17658">
        <w:rPr>
          <w:rFonts w:ascii="Calibri" w:hAnsi="Calibri" w:cs="Calibri"/>
        </w:rPr>
        <w:t xml:space="preserve">, </w:t>
      </w:r>
      <w:r w:rsidRPr="00F17658">
        <w:rPr>
          <w:rFonts w:ascii="Calibri" w:hAnsi="Calibri" w:cs="Calibri"/>
          <w:i/>
          <w:iCs/>
        </w:rPr>
        <w:t>81</w:t>
      </w:r>
      <w:r w:rsidRPr="00F17658">
        <w:rPr>
          <w:rFonts w:ascii="Calibri" w:hAnsi="Calibri" w:cs="Calibri"/>
        </w:rPr>
        <w:t>(2), 301–309. https://doi.org/10.1016/j.schres.2005.09.008</w:t>
      </w:r>
    </w:p>
    <w:p w14:paraId="138CCE82" w14:textId="7D142B41" w:rsidR="00F7070E" w:rsidRDefault="00F7070E" w:rsidP="00D2329E">
      <w:pPr>
        <w:pStyle w:val="EndNoteBibliography"/>
        <w:spacing w:line="360" w:lineRule="auto"/>
        <w:rPr>
          <w:rFonts w:asciiTheme="minorHAnsi" w:hAnsiTheme="minorHAnsi" w:cstheme="minorHAnsi"/>
        </w:rPr>
      </w:pPr>
      <w:r w:rsidRPr="00F17658">
        <w:rPr>
          <w:rFonts w:asciiTheme="minorHAnsi" w:hAnsiTheme="minorHAnsi" w:cstheme="minorHAnsi"/>
        </w:rPr>
        <w:t>S</w:t>
      </w:r>
      <w:r>
        <w:rPr>
          <w:rFonts w:asciiTheme="minorHAnsi" w:hAnsiTheme="minorHAnsi" w:cstheme="minorHAnsi"/>
        </w:rPr>
        <w:t>chmidt</w:t>
      </w:r>
      <w:r w:rsidRPr="00F17658">
        <w:rPr>
          <w:rFonts w:asciiTheme="minorHAnsi" w:hAnsiTheme="minorHAnsi" w:cstheme="minorHAnsi"/>
        </w:rPr>
        <w:t xml:space="preserve">, M. (1996). </w:t>
      </w:r>
      <w:r w:rsidRPr="00F17658">
        <w:rPr>
          <w:rFonts w:asciiTheme="minorHAnsi" w:hAnsiTheme="minorHAnsi" w:cstheme="minorHAnsi"/>
          <w:i/>
        </w:rPr>
        <w:t>Rey Auditory and Verbal Learning Test. A handbook,</w:t>
      </w:r>
      <w:r w:rsidRPr="00F17658">
        <w:rPr>
          <w:rFonts w:asciiTheme="minorHAnsi" w:hAnsiTheme="minorHAnsi" w:cstheme="minorHAnsi"/>
        </w:rPr>
        <w:t xml:space="preserve"> Los Angeles, Western</w:t>
      </w:r>
      <w:r>
        <w:rPr>
          <w:rFonts w:asciiTheme="minorHAnsi" w:hAnsiTheme="minorHAnsi" w:cstheme="minorHAnsi"/>
        </w:rPr>
        <w:t xml:space="preserve"> </w:t>
      </w:r>
      <w:r w:rsidRPr="00F17658">
        <w:rPr>
          <w:rFonts w:asciiTheme="minorHAnsi" w:hAnsiTheme="minorHAnsi" w:cstheme="minorHAnsi"/>
        </w:rPr>
        <w:t>Psychological Association.</w:t>
      </w:r>
    </w:p>
    <w:p w14:paraId="744489E9" w14:textId="77777777" w:rsidR="00D2329E" w:rsidRDefault="00D2329E" w:rsidP="00D2329E">
      <w:pPr>
        <w:pStyle w:val="Bibliography"/>
        <w:spacing w:line="360" w:lineRule="auto"/>
        <w:rPr>
          <w:rFonts w:cstheme="minorHAnsi"/>
        </w:rPr>
      </w:pPr>
      <w:r w:rsidRPr="00D2329E">
        <w:rPr>
          <w:rFonts w:cstheme="minorHAnsi"/>
        </w:rPr>
        <w:fldChar w:fldCharType="begin"/>
      </w:r>
      <w:r w:rsidRPr="00D2329E">
        <w:rPr>
          <w:rFonts w:cstheme="minorHAnsi"/>
          <w:lang w:val="de-DE"/>
        </w:rPr>
        <w:instrText xml:space="preserve"> ADDIN ZOTERO_BIBL {"uncited":[],"omitted":[],"custom":[]} CSL_BIBLIOGRAPHY </w:instrText>
      </w:r>
      <w:r w:rsidRPr="00D2329E">
        <w:rPr>
          <w:rFonts w:cstheme="minorHAnsi"/>
        </w:rPr>
        <w:fldChar w:fldCharType="separate"/>
      </w:r>
      <w:r w:rsidRPr="00D2329E">
        <w:rPr>
          <w:rFonts w:cstheme="minorHAnsi"/>
          <w:lang w:val="de-DE"/>
        </w:rPr>
        <w:t xml:space="preserve">Strauss, G. P., Nuñez, A., Ahmed, A. O., Barchard, K. A., Granholm, E., Kirkpatrick, B., … </w:t>
      </w:r>
      <w:r w:rsidRPr="00D2329E">
        <w:rPr>
          <w:rFonts w:cstheme="minorHAnsi"/>
        </w:rPr>
        <w:t xml:space="preserve">Allen, D. N. (2018). The Latent Structure of Negative Symptoms in Schizophrenia. </w:t>
      </w:r>
      <w:r w:rsidRPr="00D2329E">
        <w:rPr>
          <w:rFonts w:cstheme="minorHAnsi"/>
          <w:i/>
          <w:iCs/>
        </w:rPr>
        <w:t>JAMA Psychiatry</w:t>
      </w:r>
      <w:r w:rsidRPr="00D2329E">
        <w:rPr>
          <w:rFonts w:cstheme="minorHAnsi"/>
        </w:rPr>
        <w:t xml:space="preserve">, </w:t>
      </w:r>
      <w:r w:rsidRPr="00D2329E">
        <w:rPr>
          <w:rFonts w:cstheme="minorHAnsi"/>
          <w:i/>
          <w:iCs/>
        </w:rPr>
        <w:t>75</w:t>
      </w:r>
      <w:r w:rsidRPr="00D2329E">
        <w:rPr>
          <w:rFonts w:cstheme="minorHAnsi"/>
        </w:rPr>
        <w:t>(12), 1271–1279. https://doi.org/10.1001/jamapsychiatry.2018.2475</w:t>
      </w:r>
    </w:p>
    <w:p w14:paraId="447CEBEC" w14:textId="77777777" w:rsidR="00D2329E" w:rsidRDefault="00D2329E" w:rsidP="00D2329E">
      <w:pPr>
        <w:spacing w:line="360" w:lineRule="auto"/>
      </w:pPr>
    </w:p>
    <w:p w14:paraId="7FC7815E" w14:textId="368F35EF" w:rsidR="008B0670" w:rsidRDefault="00D2329E" w:rsidP="00D2329E">
      <w:pPr>
        <w:pStyle w:val="EndNoteBibliography"/>
        <w:spacing w:line="360" w:lineRule="auto"/>
      </w:pPr>
      <w:r w:rsidRPr="00D2329E">
        <w:rPr>
          <w:rFonts w:asciiTheme="minorHAnsi" w:hAnsiTheme="minorHAnsi" w:cstheme="minorHAnsi"/>
        </w:rPr>
        <w:fldChar w:fldCharType="end"/>
      </w:r>
      <w:r w:rsidR="00F7070E" w:rsidRPr="00F17658">
        <w:rPr>
          <w:b/>
        </w:rPr>
        <w:fldChar w:fldCharType="end"/>
      </w:r>
    </w:p>
    <w:sectPr w:rsidR="008B067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68F89" w14:textId="77777777" w:rsidR="0054201A" w:rsidRDefault="0054201A">
      <w:pPr>
        <w:spacing w:after="0" w:line="240" w:lineRule="auto"/>
      </w:pPr>
      <w:r>
        <w:separator/>
      </w:r>
    </w:p>
  </w:endnote>
  <w:endnote w:type="continuationSeparator" w:id="0">
    <w:p w14:paraId="7800C1AA" w14:textId="77777777" w:rsidR="0054201A" w:rsidRDefault="0054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00966"/>
      <w:docPartObj>
        <w:docPartGallery w:val="Page Numbers (Bottom of Page)"/>
        <w:docPartUnique/>
      </w:docPartObj>
    </w:sdtPr>
    <w:sdtEndPr>
      <w:rPr>
        <w:noProof/>
      </w:rPr>
    </w:sdtEndPr>
    <w:sdtContent>
      <w:p w14:paraId="663ADAF0" w14:textId="77777777" w:rsidR="009D090F" w:rsidRDefault="00F707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E18AD" w14:textId="77777777" w:rsidR="009D090F" w:rsidRDefault="009D0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8262C" w14:textId="77777777" w:rsidR="0054201A" w:rsidRDefault="0054201A">
      <w:pPr>
        <w:spacing w:after="0" w:line="240" w:lineRule="auto"/>
      </w:pPr>
      <w:r>
        <w:separator/>
      </w:r>
    </w:p>
  </w:footnote>
  <w:footnote w:type="continuationSeparator" w:id="0">
    <w:p w14:paraId="0FA196BF" w14:textId="77777777" w:rsidR="0054201A" w:rsidRDefault="005420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F8"/>
    <w:rsid w:val="00033470"/>
    <w:rsid w:val="00037837"/>
    <w:rsid w:val="000E583A"/>
    <w:rsid w:val="00240F68"/>
    <w:rsid w:val="002E08F3"/>
    <w:rsid w:val="003369DB"/>
    <w:rsid w:val="003D32EB"/>
    <w:rsid w:val="003E15CA"/>
    <w:rsid w:val="004D3FA1"/>
    <w:rsid w:val="0054201A"/>
    <w:rsid w:val="005A25B5"/>
    <w:rsid w:val="0061386D"/>
    <w:rsid w:val="00691A03"/>
    <w:rsid w:val="006C4AFF"/>
    <w:rsid w:val="007D0739"/>
    <w:rsid w:val="007F4BF3"/>
    <w:rsid w:val="00863E33"/>
    <w:rsid w:val="00881F28"/>
    <w:rsid w:val="008A1662"/>
    <w:rsid w:val="008B0670"/>
    <w:rsid w:val="0093649D"/>
    <w:rsid w:val="009B68AA"/>
    <w:rsid w:val="009D090F"/>
    <w:rsid w:val="00BA57F8"/>
    <w:rsid w:val="00C37523"/>
    <w:rsid w:val="00C80245"/>
    <w:rsid w:val="00CA23BE"/>
    <w:rsid w:val="00CD2A41"/>
    <w:rsid w:val="00D2329E"/>
    <w:rsid w:val="00D55F94"/>
    <w:rsid w:val="00D628A0"/>
    <w:rsid w:val="00E54DE1"/>
    <w:rsid w:val="00E61F26"/>
    <w:rsid w:val="00EF4E61"/>
    <w:rsid w:val="00F233D2"/>
    <w:rsid w:val="00F35C5B"/>
    <w:rsid w:val="00F7070E"/>
    <w:rsid w:val="00FE0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48E4"/>
  <w15:chartTrackingRefBased/>
  <w15:docId w15:val="{8D043F28-CA74-4D7B-9BA3-B0F63419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70E"/>
  </w:style>
  <w:style w:type="paragraph" w:styleId="Heading2">
    <w:name w:val="heading 2"/>
    <w:basedOn w:val="Normal"/>
    <w:next w:val="Normal"/>
    <w:link w:val="Heading2Char"/>
    <w:uiPriority w:val="9"/>
    <w:unhideWhenUsed/>
    <w:qFormat/>
    <w:rsid w:val="00F7070E"/>
    <w:pPr>
      <w:keepNext/>
      <w:keepLines/>
      <w:spacing w:before="360" w:after="240" w:line="360" w:lineRule="auto"/>
      <w:ind w:left="851" w:hanging="851"/>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F7070E"/>
    <w:pPr>
      <w:keepNext/>
      <w:keepLines/>
      <w:spacing w:before="240" w:after="120" w:line="360" w:lineRule="auto"/>
      <w:ind w:left="851" w:hanging="851"/>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F7070E"/>
    <w:pPr>
      <w:keepNext/>
      <w:keepLines/>
      <w:spacing w:before="240" w:after="120" w:line="360" w:lineRule="auto"/>
      <w:ind w:left="851" w:hanging="851"/>
      <w:outlineLvl w:val="3"/>
    </w:pPr>
    <w:rPr>
      <w:rFonts w:ascii="Arial" w:eastAsiaTheme="majorEastAsia" w:hAnsi="Arial"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70E"/>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F7070E"/>
    <w:rPr>
      <w:rFonts w:ascii="Arial" w:eastAsiaTheme="majorEastAsia" w:hAnsi="Arial" w:cstheme="majorBidi"/>
      <w:b/>
      <w:szCs w:val="24"/>
    </w:rPr>
  </w:style>
  <w:style w:type="character" w:customStyle="1" w:styleId="Heading4Char">
    <w:name w:val="Heading 4 Char"/>
    <w:basedOn w:val="DefaultParagraphFont"/>
    <w:link w:val="Heading4"/>
    <w:uiPriority w:val="9"/>
    <w:rsid w:val="00F7070E"/>
    <w:rPr>
      <w:rFonts w:ascii="Arial" w:eastAsiaTheme="majorEastAsia" w:hAnsi="Arial" w:cstheme="majorBidi"/>
      <w:b/>
      <w:i/>
      <w:iCs/>
    </w:rPr>
  </w:style>
  <w:style w:type="paragraph" w:styleId="Bibliography">
    <w:name w:val="Bibliography"/>
    <w:basedOn w:val="Normal"/>
    <w:next w:val="Normal"/>
    <w:uiPriority w:val="37"/>
    <w:unhideWhenUsed/>
    <w:rsid w:val="00F7070E"/>
  </w:style>
  <w:style w:type="character" w:styleId="Hyperlink">
    <w:name w:val="Hyperlink"/>
    <w:basedOn w:val="DefaultParagraphFont"/>
    <w:uiPriority w:val="99"/>
    <w:unhideWhenUsed/>
    <w:rsid w:val="00F7070E"/>
    <w:rPr>
      <w:color w:val="0563C1" w:themeColor="hyperlink"/>
      <w:u w:val="single"/>
    </w:rPr>
  </w:style>
  <w:style w:type="character" w:customStyle="1" w:styleId="FooterChar">
    <w:name w:val="Footer Char"/>
    <w:basedOn w:val="DefaultParagraphFont"/>
    <w:link w:val="Footer"/>
    <w:uiPriority w:val="99"/>
    <w:rsid w:val="00F7070E"/>
  </w:style>
  <w:style w:type="paragraph" w:styleId="Footer">
    <w:name w:val="footer"/>
    <w:basedOn w:val="Normal"/>
    <w:link w:val="FooterChar"/>
    <w:uiPriority w:val="99"/>
    <w:unhideWhenUsed/>
    <w:rsid w:val="00F7070E"/>
    <w:pPr>
      <w:tabs>
        <w:tab w:val="center" w:pos="4680"/>
        <w:tab w:val="right" w:pos="9360"/>
      </w:tabs>
      <w:spacing w:after="0" w:line="240" w:lineRule="auto"/>
    </w:pPr>
  </w:style>
  <w:style w:type="character" w:customStyle="1" w:styleId="FooterChar1">
    <w:name w:val="Footer Char1"/>
    <w:basedOn w:val="DefaultParagraphFont"/>
    <w:uiPriority w:val="99"/>
    <w:semiHidden/>
    <w:rsid w:val="00F7070E"/>
  </w:style>
  <w:style w:type="paragraph" w:customStyle="1" w:styleId="TableParagraph">
    <w:name w:val="Table Paragraph"/>
    <w:basedOn w:val="Normal"/>
    <w:uiPriority w:val="1"/>
    <w:qFormat/>
    <w:rsid w:val="00F7070E"/>
    <w:pPr>
      <w:widowControl w:val="0"/>
      <w:autoSpaceDE w:val="0"/>
      <w:autoSpaceDN w:val="0"/>
      <w:spacing w:before="39" w:after="0" w:line="240" w:lineRule="auto"/>
    </w:pPr>
    <w:rPr>
      <w:rFonts w:ascii="Gill Sans MT" w:eastAsia="Gill Sans MT" w:hAnsi="Gill Sans MT" w:cs="Gill Sans MT"/>
      <w:lang w:val="en-US"/>
    </w:rPr>
  </w:style>
  <w:style w:type="table" w:styleId="ListTable4-Accent1">
    <w:name w:val="List Table 4 Accent 1"/>
    <w:basedOn w:val="TableNormal"/>
    <w:uiPriority w:val="49"/>
    <w:rsid w:val="00F7070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EndNoteBibliography">
    <w:name w:val="EndNote Bibliography"/>
    <w:basedOn w:val="Normal"/>
    <w:link w:val="EndNoteBibliographyChar"/>
    <w:rsid w:val="00F7070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7070E"/>
    <w:rPr>
      <w:rFonts w:ascii="Calibri" w:hAnsi="Calibri" w:cs="Calibri"/>
      <w:noProof/>
      <w:lang w:val="en-US"/>
    </w:rPr>
  </w:style>
  <w:style w:type="paragraph" w:styleId="Caption">
    <w:name w:val="caption"/>
    <w:basedOn w:val="Normal"/>
    <w:next w:val="Normal"/>
    <w:uiPriority w:val="35"/>
    <w:unhideWhenUsed/>
    <w:qFormat/>
    <w:rsid w:val="00F7070E"/>
    <w:pPr>
      <w:widowControl w:val="0"/>
      <w:wordWrap w:val="0"/>
      <w:autoSpaceDE w:val="0"/>
      <w:autoSpaceDN w:val="0"/>
      <w:spacing w:after="200" w:line="276" w:lineRule="auto"/>
      <w:jc w:val="both"/>
    </w:pPr>
    <w:rPr>
      <w:rFonts w:asciiTheme="majorHAnsi" w:eastAsia="SimHei" w:hAnsiTheme="majorHAnsi" w:cstheme="majorBidi"/>
      <w:kern w:val="2"/>
      <w:sz w:val="20"/>
      <w:szCs w:val="20"/>
      <w:lang w:val="en-US" w:eastAsia="ko-KR"/>
    </w:rPr>
  </w:style>
  <w:style w:type="character" w:styleId="CommentReference">
    <w:name w:val="annotation reference"/>
    <w:basedOn w:val="DefaultParagraphFont"/>
    <w:uiPriority w:val="99"/>
    <w:semiHidden/>
    <w:unhideWhenUsed/>
    <w:rsid w:val="003369DB"/>
    <w:rPr>
      <w:sz w:val="16"/>
      <w:szCs w:val="16"/>
    </w:rPr>
  </w:style>
  <w:style w:type="paragraph" w:styleId="CommentText">
    <w:name w:val="annotation text"/>
    <w:basedOn w:val="Normal"/>
    <w:link w:val="CommentTextChar"/>
    <w:uiPriority w:val="99"/>
    <w:unhideWhenUsed/>
    <w:rsid w:val="003369DB"/>
    <w:pPr>
      <w:spacing w:line="240" w:lineRule="auto"/>
    </w:pPr>
    <w:rPr>
      <w:sz w:val="20"/>
      <w:szCs w:val="20"/>
    </w:rPr>
  </w:style>
  <w:style w:type="character" w:customStyle="1" w:styleId="CommentTextChar">
    <w:name w:val="Comment Text Char"/>
    <w:basedOn w:val="DefaultParagraphFont"/>
    <w:link w:val="CommentText"/>
    <w:uiPriority w:val="99"/>
    <w:rsid w:val="003369DB"/>
    <w:rPr>
      <w:sz w:val="20"/>
      <w:szCs w:val="20"/>
    </w:rPr>
  </w:style>
  <w:style w:type="paragraph" w:styleId="Title">
    <w:name w:val="Title"/>
    <w:basedOn w:val="Normal"/>
    <w:next w:val="Normal"/>
    <w:link w:val="TitleChar"/>
    <w:uiPriority w:val="10"/>
    <w:qFormat/>
    <w:rsid w:val="00D2329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2329E"/>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4761</Words>
  <Characters>27141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Watson</dc:creator>
  <cp:keywords/>
  <dc:description/>
  <cp:lastModifiedBy>Watson, Andrew</cp:lastModifiedBy>
  <cp:revision>11</cp:revision>
  <dcterms:created xsi:type="dcterms:W3CDTF">2024-05-27T16:28:00Z</dcterms:created>
  <dcterms:modified xsi:type="dcterms:W3CDTF">2025-01-03T13:56:00Z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id="61TVP55L"/&gt;&lt;style id="" hasBibliography="0" bibliographyStyleHasBeenSet="0"/&gt;&lt;prefs/&gt;&lt;/data&gt;</vt:lpwstr>
  </property>
</Properties>
</file>