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media/image2.tif" ContentType="image/tiff"/>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glossary/_rels/document.xml.rels" ContentType="application/vnd.openxmlformats-package.relationships+xml"/>
  <Override PartName="/word/glossary/document.xml" ContentType="application/vnd.openxmlformats-officedocument.wordprocessingml.document.glossary+xml"/>
  <Override PartName="/word/glossary/webSettings.xml" ContentType="application/vnd.openxmlformats-officedocument.wordprocessingml.webSettings+xml"/>
  <Override PartName="/word/glossary/styles.xml" ContentType="application/vnd.openxmlformats-officedocument.wordprocessingml.styles+xml"/>
  <Override PartName="/word/glossary/settings.xml" ContentType="application/vnd.openxmlformats-officedocument.wordprocessingml.settings+xml"/>
  <Override PartName="/word/glossary/fontTable.xml" ContentType="application/vnd.openxmlformats-officedocument.wordprocessingml.fontTable+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480"/>
        <w:rPr>
          <w:rFonts w:ascii="Times New Roman" w:hAnsi="Times New Roman" w:eastAsia="Calibri" w:cs="Times New Roman"/>
          <w:b/>
          <w:b/>
          <w:bCs/>
          <w:sz w:val="24"/>
          <w:szCs w:val="24"/>
          <w:lang w:val="en-US"/>
        </w:rPr>
      </w:pPr>
      <w:r>
        <w:rPr>
          <w:rFonts w:eastAsia="Calibri" w:cs="Times New Roman" w:ascii="Times New Roman" w:hAnsi="Times New Roman"/>
          <w:b/>
          <w:bCs/>
          <w:sz w:val="24"/>
          <w:szCs w:val="24"/>
          <w:lang w:val="en-US"/>
        </w:rPr>
        <w:t>SUPPLEMENTARY INFORMATION</w:t>
      </w:r>
    </w:p>
    <w:p>
      <w:pPr>
        <w:pStyle w:val="Normal"/>
        <w:spacing w:lineRule="auto" w:line="480" w:before="240" w:after="240"/>
        <w:jc w:val="center"/>
        <w:rPr>
          <w:rFonts w:ascii="Times New Roman" w:hAnsi="Times New Roman" w:eastAsia="Calibri" w:cs="Times New Roman"/>
          <w:i/>
          <w:i/>
          <w:iCs/>
          <w:sz w:val="24"/>
          <w:szCs w:val="24"/>
          <w:lang w:val="en-US"/>
        </w:rPr>
      </w:pPr>
      <w:r>
        <w:rPr>
          <w:rFonts w:eastAsia="Calibri" w:cs="Times New Roman" w:ascii="Times New Roman" w:hAnsi="Times New Roman"/>
          <w:b/>
          <w:bCs/>
          <w:sz w:val="24"/>
          <w:szCs w:val="24"/>
          <w:lang w:val="en-US"/>
        </w:rPr>
        <w:t>Polygenic overlap of substance use behaviors and disorders with externalizing and internalizing problems independent of genetic correlations</w:t>
      </w:r>
    </w:p>
    <w:p>
      <w:pPr>
        <w:pStyle w:val="Normal"/>
        <w:spacing w:lineRule="auto" w:line="480" w:before="0" w:after="120"/>
        <w:jc w:val="both"/>
        <w:rPr>
          <w:rFonts w:ascii="Times New Roman" w:hAnsi="Times New Roman" w:eastAsia="SimSun" w:cs="Times New Roman"/>
          <w:sz w:val="24"/>
          <w:szCs w:val="24"/>
          <w:vertAlign w:val="superscript"/>
          <w:lang w:val="en-US" w:eastAsia="es-ES_tradnl"/>
        </w:rPr>
      </w:pPr>
      <w:r>
        <w:rPr>
          <w:rFonts w:eastAsia="Calibri" w:cs="Times New Roman" w:ascii="Times New Roman" w:hAnsi="Times New Roman"/>
          <w:sz w:val="24"/>
          <w:szCs w:val="24"/>
          <w:lang w:val="en-US"/>
        </w:rPr>
        <w:t>Laila Al-Soufi, Guy Hindley, Linn Rødevand, Alexey A. Shadrin, Piotr Jaholkowski, Vera Fominykh, Romain Icick, Markos Tesfaye, Javier Costas and Ole A. Andreassen</w:t>
      </w:r>
    </w:p>
    <w:p>
      <w:pPr>
        <w:pStyle w:val="Normal"/>
        <w:spacing w:lineRule="auto" w:line="480"/>
        <w:rPr>
          <w:rFonts w:ascii="Times New Roman" w:hAnsi="Times New Roman" w:eastAsia="Calibri" w:cs="Times New Roman"/>
          <w:b/>
          <w:b/>
          <w:bCs/>
          <w:sz w:val="24"/>
          <w:szCs w:val="24"/>
          <w:lang w:val="en-US"/>
        </w:rPr>
      </w:pPr>
      <w:r>
        <w:rPr>
          <w:rFonts w:eastAsia="Calibri" w:cs="Times New Roman" w:ascii="Times New Roman" w:hAnsi="Times New Roman"/>
          <w:b/>
          <w:bCs/>
          <w:sz w:val="24"/>
          <w:szCs w:val="24"/>
          <w:lang w:val="en-US"/>
        </w:rPr>
      </w:r>
      <w:r>
        <w:br w:type="page"/>
      </w:r>
    </w:p>
    <w:p>
      <w:pPr>
        <w:pStyle w:val="Normal"/>
        <w:spacing w:lineRule="auto" w:line="480" w:before="0" w:after="120"/>
        <w:jc w:val="both"/>
        <w:rPr>
          <w:rFonts w:ascii="Times New Roman" w:hAnsi="Times New Roman" w:eastAsia="Calibri" w:cs="Times New Roman"/>
          <w:b/>
          <w:b/>
          <w:bCs/>
          <w:sz w:val="24"/>
          <w:szCs w:val="24"/>
          <w:lang w:val="en-US"/>
        </w:rPr>
      </w:pPr>
      <w:r>
        <w:rPr>
          <w:rFonts w:eastAsia="Calibri" w:cs="Times New Roman" w:ascii="Times New Roman" w:hAnsi="Times New Roman"/>
          <w:b/>
          <w:bCs/>
          <w:sz w:val="24"/>
          <w:szCs w:val="24"/>
          <w:lang w:val="en-US"/>
        </w:rPr>
        <w:t>SUPPLEMENTARY METHODS</w:t>
      </w:r>
    </w:p>
    <w:p>
      <w:pPr>
        <w:pStyle w:val="Normal"/>
        <w:spacing w:lineRule="auto" w:line="480" w:before="0" w:after="120"/>
        <w:jc w:val="both"/>
        <w:rPr>
          <w:rFonts w:ascii="Times New Roman" w:hAnsi="Times New Roman" w:eastAsia="Calibri" w:cs="Times New Roman"/>
          <w:b/>
          <w:b/>
          <w:bCs/>
          <w:sz w:val="24"/>
          <w:szCs w:val="24"/>
          <w:lang w:val="en-US"/>
        </w:rPr>
      </w:pPr>
      <w:r>
        <w:rPr>
          <w:rFonts w:eastAsia="Calibri" w:cs="Times New Roman" w:ascii="Times New Roman" w:hAnsi="Times New Roman"/>
          <w:b/>
          <w:bCs/>
          <w:sz w:val="24"/>
          <w:szCs w:val="24"/>
          <w:lang w:val="en-US"/>
        </w:rPr>
        <w:t>Tobacco use disorder GWAS</w:t>
      </w:r>
    </w:p>
    <w:p>
      <w:pPr>
        <w:pStyle w:val="Normal"/>
        <w:spacing w:lineRule="auto" w:line="480" w:before="240" w:after="240"/>
        <w:jc w:val="both"/>
        <w:rPr>
          <w:rFonts w:ascii="Times New Roman" w:hAnsi="Times New Roman" w:eastAsia="Calibri" w:cs="Times New Roman"/>
          <w:sz w:val="24"/>
          <w:szCs w:val="24"/>
          <w:lang w:val="en-US"/>
        </w:rPr>
      </w:pPr>
      <w:bookmarkStart w:id="0" w:name="_Hlk146646658"/>
      <w:r>
        <w:rPr>
          <w:rFonts w:eastAsia="Calibri" w:cs="Times New Roman" w:ascii="Times New Roman" w:hAnsi="Times New Roman"/>
          <w:sz w:val="24"/>
          <w:szCs w:val="24"/>
          <w:lang w:val="en-US"/>
        </w:rPr>
        <w:t>We performed a TUD GWAS using UK Biobank data. UK Biobank data was obtained under accession number 27412. Participants with a diagnosis of a mental and behavioral disorder due to the use of tobacco with either harmful use or a dependence syndrome (as coded in ICD10 F17) were cases (N=19,085). Participants without a mental and behavioral disorder due to the use of tobacco were used as controls (N=390,450).</w:t>
      </w:r>
      <w:bookmarkEnd w:id="0"/>
      <w:r>
        <w:rPr>
          <w:rFonts w:eastAsia="Calibri" w:cs="Times New Roman" w:ascii="Times New Roman" w:hAnsi="Times New Roman"/>
          <w:sz w:val="24"/>
          <w:szCs w:val="24"/>
          <w:lang w:val="en-US"/>
        </w:rPr>
        <w:t xml:space="preserve"> Genotyping, imputation, and central quality control procedures for the UK Biobank genotypes are described in detail elsewhere </w:t>
      </w:r>
      <w:sdt>
        <w:sdtPr>
          <w:id w:val="1466594685"/>
          <w:placeholder>
            <w:docPart w:val="DefaultPlaceholder_-1854013440"/>
          </w:placeholder>
        </w:sdtPr>
        <w:sdtContent>
          <w:r>
            <w:rPr/>
            <w:t>(Bycroft et al., 2018)</w:t>
          </w:r>
        </w:sdtContent>
      </w:sdt>
      <w:r>
        <w:rPr>
          <w:rFonts w:eastAsia="Calibri" w:cs="Times New Roman" w:ascii="Times New Roman" w:hAnsi="Times New Roman"/>
          <w:sz w:val="24"/>
          <w:szCs w:val="24"/>
          <w:lang w:val="en-US"/>
        </w:rPr>
        <w:t>. The analysis was restricted to individuals who self-identified as "White British" and had very similar genetic ancestry based on a principal components analysis (as defined by UK Biobank data field 22006). Sex, age and 20 genetic PCs were included as covariates for GWAS analysis. Genetic variants with an INFO score &lt; 0.8 and minor allele count &lt; 20 were excluded from the GWAS leaving 19,972,520 variants.</w:t>
      </w:r>
    </w:p>
    <w:p>
      <w:pPr>
        <w:pStyle w:val="Normal"/>
        <w:spacing w:lineRule="auto" w:line="480" w:before="0" w:after="120"/>
        <w:jc w:val="both"/>
        <w:rPr>
          <w:rFonts w:ascii="Times New Roman" w:hAnsi="Times New Roman" w:eastAsia="Calibri" w:cs="Times New Roman"/>
          <w:b/>
          <w:b/>
          <w:bCs/>
          <w:sz w:val="24"/>
          <w:szCs w:val="24"/>
          <w:lang w:val="en-US"/>
        </w:rPr>
      </w:pPr>
      <w:r>
        <w:rPr>
          <w:rFonts w:eastAsia="Calibri" w:cs="Times New Roman" w:ascii="Times New Roman" w:hAnsi="Times New Roman"/>
          <w:b/>
          <w:bCs/>
          <w:sz w:val="24"/>
          <w:szCs w:val="24"/>
          <w:lang w:val="en-US"/>
        </w:rPr>
        <w:t>MiXeR analysis</w:t>
      </w:r>
    </w:p>
    <w:p>
      <w:pPr>
        <w:pStyle w:val="Normal"/>
        <w:spacing w:lineRule="auto" w:line="480" w:before="0" w:after="120"/>
        <w:jc w:val="both"/>
        <w:rPr>
          <w:rFonts w:ascii="Times New Roman" w:hAnsi="Times New Roman" w:eastAsia="Calibri" w:cs="Times New Roman"/>
          <w:sz w:val="24"/>
          <w:szCs w:val="24"/>
          <w:lang w:val="en-US"/>
        </w:rPr>
      </w:pPr>
      <w:r>
        <w:rPr>
          <w:rFonts w:eastAsia="Calibri" w:cs="Times New Roman" w:ascii="Times New Roman" w:hAnsi="Times New Roman"/>
          <w:sz w:val="24"/>
          <w:szCs w:val="24"/>
          <w:lang w:val="en-US"/>
        </w:rPr>
        <w:t xml:space="preserve">We applied MiXeR to estimate the number of causal variants for each trait and the number of unique and shared causal variants between each pair of traits </w:t>
      </w:r>
      <w:sdt>
        <w:sdtPr>
          <w:id w:val="225709949"/>
          <w:placeholder>
            <w:docPart w:val="DefaultPlaceholder_-1854013440"/>
          </w:placeholder>
        </w:sdtPr>
        <w:sdtContent>
          <w:r>
            <w:rPr/>
            <w:t>(Frei et al., 2019)</w:t>
          </w:r>
        </w:sdtContent>
      </w:sdt>
      <w:r>
        <w:rPr>
          <w:rFonts w:eastAsia="Calibri" w:cs="Times New Roman" w:ascii="Times New Roman" w:hAnsi="Times New Roman"/>
          <w:sz w:val="24"/>
          <w:szCs w:val="24"/>
          <w:lang w:val="en-US"/>
        </w:rPr>
        <w:t xml:space="preserve">. </w:t>
      </w:r>
      <w:r>
        <w:rPr>
          <w:rFonts w:eastAsia="Calibri" w:cs="Times New Roman" w:ascii="Times New Roman" w:hAnsi="Times New Roman"/>
          <w:sz w:val="24"/>
          <w:szCs w:val="24"/>
          <w:lang w:val="en-US"/>
        </w:rPr>
        <w:t>MiXeR makes use of Gaussian mixture model to infer the genetic architecture of traits. Under this model, MiXeR assumes that for a complex trait there is a mixture of causal variants, i.e., causal variants with normally distributed additive genetic effects on the trait, and noncausal variants with zero effect. In the cross-trait analysis, MiXeR models additive genetic effects as a mixture of four components: shared causal variants, unique causal variants specific to each trait and noncausal variants.</w:t>
      </w:r>
    </w:p>
    <w:p>
      <w:pPr>
        <w:pStyle w:val="Normal"/>
        <w:spacing w:lineRule="auto" w:line="480" w:before="0" w:after="120"/>
        <w:jc w:val="both"/>
        <w:rPr>
          <w:rFonts w:ascii="Times New Roman" w:hAnsi="Times New Roman" w:eastAsia="Calibri" w:cs="Times New Roman"/>
          <w:sz w:val="24"/>
          <w:szCs w:val="24"/>
          <w:lang w:val="en-US"/>
        </w:rPr>
      </w:pPr>
      <w:r>
        <w:rPr>
          <w:rFonts w:eastAsia="Calibri" w:cs="Times New Roman" w:ascii="Times New Roman" w:hAnsi="Times New Roman"/>
          <w:sz w:val="24"/>
          <w:szCs w:val="24"/>
          <w:lang w:val="en-US"/>
        </w:rPr>
        <w:t>Model fit is assessed by the difference between the Akaike information criterion (AIC) for the MiXeR-fitted model and a reference model. Positive AIC differences indicate that the MiXeR-fitted estimates are more informative than the reference model. For univariate MiXeR, an infinitesimal model assuming all variants as causal is used as reference. For bivariate MiXeR, the minimum and maximum possible overlap are used as the reference models. The minimum possible overlap between two traits is restricted by their genome-wide genetic correlation and the maximum possible overlap is restricted by the polygenicity of the least polygenic trait.</w:t>
      </w:r>
    </w:p>
    <w:p>
      <w:pPr>
        <w:pStyle w:val="Normal"/>
        <w:spacing w:lineRule="auto" w:line="480" w:before="0" w:after="120"/>
        <w:jc w:val="both"/>
        <w:rPr>
          <w:rFonts w:ascii="Times New Roman" w:hAnsi="Times New Roman" w:eastAsia="Calibri" w:cs="Times New Roman"/>
          <w:sz w:val="24"/>
          <w:szCs w:val="24"/>
          <w:lang w:val="en-US"/>
        </w:rPr>
      </w:pPr>
      <w:r>
        <w:rPr>
          <w:rFonts w:eastAsia="Calibri" w:cs="Times New Roman" w:ascii="Times New Roman" w:hAnsi="Times New Roman"/>
          <w:sz w:val="24"/>
          <w:szCs w:val="24"/>
          <w:lang w:val="en-US"/>
        </w:rPr>
        <w:t>SNPs within the major histocompatibility complex (chr6:26000000-34000000) were excluded, owing to its complex LD structure. The 1000 Genomes phase 3 European samples were used as the reference panel to calculate linkage disequilibrium information. Twenty sets of approximately 2 million SNPs with MAF&gt;0.05 and r</w:t>
      </w:r>
      <w:r>
        <w:rPr>
          <w:rFonts w:eastAsia="Calibri" w:cs="Times New Roman" w:ascii="Times New Roman" w:hAnsi="Times New Roman"/>
          <w:sz w:val="24"/>
          <w:szCs w:val="24"/>
          <w:vertAlign w:val="superscript"/>
          <w:lang w:val="en-US"/>
        </w:rPr>
        <w:t>2</w:t>
      </w:r>
      <w:r>
        <w:rPr>
          <w:rFonts w:eastAsia="Calibri" w:cs="Times New Roman" w:ascii="Times New Roman" w:hAnsi="Times New Roman"/>
          <w:sz w:val="24"/>
          <w:szCs w:val="24"/>
          <w:lang w:val="en-US"/>
        </w:rPr>
        <w:t>&lt;0.8 were randomly generated from reference panel. Each MiXeR analysis comprised 20 iterations, with each iteration analyzing one of these sets of SNPs. Mean estimates and SDs of polygenicity, discoverability, genetic overlap and genetic correlation within the shared component were computed from each set of 20 iterations.</w:t>
      </w:r>
    </w:p>
    <w:p>
      <w:pPr>
        <w:pStyle w:val="Normal"/>
        <w:spacing w:lineRule="auto" w:line="480" w:before="0" w:after="120"/>
        <w:jc w:val="both"/>
        <w:rPr>
          <w:rFonts w:ascii="Times New Roman" w:hAnsi="Times New Roman" w:eastAsia="Calibri" w:cs="Times New Roman"/>
          <w:sz w:val="24"/>
          <w:szCs w:val="24"/>
          <w:lang w:val="en-US"/>
        </w:rPr>
      </w:pPr>
      <w:r>
        <w:rPr>
          <w:rFonts w:eastAsia="Calibri" w:cs="Times New Roman" w:ascii="Times New Roman" w:hAnsi="Times New Roman"/>
          <w:sz w:val="24"/>
          <w:szCs w:val="24"/>
          <w:lang w:val="en-US"/>
        </w:rPr>
        <w:t xml:space="preserve">Effective sample size (computed as 4/(1/N cases+1/N controls)) was used as sample size in MiXeR for case-control GWAS. For those GWAS with a highly variable sample size depending on the SNP, i.e., alcohol use disorder (AUD) GWAS </w:t>
      </w:r>
      <w:sdt>
        <w:sdtPr>
          <w:id w:val="747042964"/>
          <w:placeholder>
            <w:docPart w:val="DefaultPlaceholder_-1854013440"/>
          </w:placeholder>
        </w:sdtPr>
        <w:sdtContent>
          <w:r>
            <w:rPr/>
            <w:t>(Icick et al., 2023)</w:t>
          </w:r>
        </w:sdtContent>
      </w:sdt>
      <w:r>
        <w:rPr>
          <w:rFonts w:eastAsia="Calibri" w:cs="Times New Roman" w:ascii="Times New Roman" w:hAnsi="Times New Roman"/>
          <w:bCs/>
          <w:sz w:val="24"/>
          <w:szCs w:val="24"/>
          <w:lang w:val="en-US"/>
        </w:rPr>
        <w:t xml:space="preserve"> </w:t>
      </w:r>
      <w:r>
        <w:rPr>
          <w:rFonts w:eastAsia="Calibri" w:cs="Times New Roman" w:ascii="Times New Roman" w:hAnsi="Times New Roman"/>
          <w:sz w:val="24"/>
          <w:szCs w:val="24"/>
          <w:lang w:val="en-US"/>
        </w:rPr>
        <w:t xml:space="preserve">and major depressive disorder (MDD) GWAS </w:t>
      </w:r>
      <w:sdt>
        <w:sdtPr>
          <w:id w:val="329000588"/>
          <w:placeholder>
            <w:docPart w:val="DefaultPlaceholder_-1854013440"/>
          </w:placeholder>
        </w:sdtPr>
        <w:sdtContent>
          <w:r>
            <w:rPr/>
            <w:t>(Wray et al., 2018)</w:t>
          </w:r>
        </w:sdtContent>
      </w:sdt>
      <w:r>
        <w:rPr>
          <w:rFonts w:eastAsia="Calibri" w:cs="Times New Roman" w:ascii="Times New Roman" w:hAnsi="Times New Roman"/>
          <w:sz w:val="24"/>
          <w:szCs w:val="24"/>
          <w:lang w:val="en-US"/>
        </w:rPr>
        <w:t xml:space="preserve">, SNP-specific effective sample sizes were used. </w:t>
      </w:r>
    </w:p>
    <w:p>
      <w:pPr>
        <w:pStyle w:val="Normal"/>
        <w:spacing w:lineRule="auto" w:line="480" w:before="0" w:after="120"/>
        <w:jc w:val="both"/>
        <w:rPr>
          <w:rFonts w:ascii="Times New Roman" w:hAnsi="Times New Roman" w:eastAsia="Calibri" w:cs="Times New Roman"/>
          <w:b/>
          <w:b/>
          <w:bCs/>
          <w:sz w:val="24"/>
          <w:szCs w:val="24"/>
          <w:lang w:val="en-US"/>
        </w:rPr>
      </w:pPr>
      <w:r>
        <w:rPr>
          <w:rFonts w:eastAsia="Calibri" w:cs="Times New Roman" w:ascii="Times New Roman" w:hAnsi="Times New Roman"/>
          <w:b/>
          <w:bCs/>
          <w:sz w:val="24"/>
          <w:szCs w:val="24"/>
          <w:lang w:val="en-US"/>
        </w:rPr>
        <w:t xml:space="preserve">Exclusion of nicotinic receptor genes cluster at chromosome 15 for Cigsperday MiXeR analyses </w:t>
      </w:r>
    </w:p>
    <w:p>
      <w:pPr>
        <w:pStyle w:val="Normal"/>
        <w:spacing w:lineRule="auto" w:line="480" w:before="0" w:after="120"/>
        <w:jc w:val="both"/>
        <w:rPr>
          <w:rFonts w:ascii="Times New Roman" w:hAnsi="Times New Roman" w:eastAsia="Calibri" w:cs="Times New Roman"/>
          <w:sz w:val="24"/>
          <w:szCs w:val="24"/>
          <w:lang w:val="en-US"/>
        </w:rPr>
      </w:pPr>
      <w:r>
        <w:rPr>
          <w:rFonts w:eastAsia="Calibri" w:cs="Times New Roman" w:ascii="Times New Roman" w:hAnsi="Times New Roman"/>
          <w:sz w:val="24"/>
          <w:szCs w:val="24"/>
          <w:lang w:val="en-US"/>
        </w:rPr>
        <w:t xml:space="preserve">The cluster of neuronal nicotinic acetylcholine receptor (nAchR) genes at chromosome 15, i.e., </w:t>
      </w:r>
      <w:r>
        <w:rPr>
          <w:rFonts w:eastAsia="Calibri" w:cs="Times New Roman" w:ascii="Times New Roman" w:hAnsi="Times New Roman"/>
          <w:i/>
          <w:iCs/>
          <w:sz w:val="24"/>
          <w:szCs w:val="24"/>
          <w:lang w:val="en-US"/>
        </w:rPr>
        <w:t>CHRNA5/CHRNA3/CHRNB4</w:t>
      </w:r>
      <w:r>
        <w:rPr>
          <w:rFonts w:eastAsia="Calibri" w:cs="Times New Roman" w:ascii="Times New Roman" w:hAnsi="Times New Roman"/>
          <w:sz w:val="24"/>
          <w:szCs w:val="24"/>
          <w:lang w:val="en-US"/>
        </w:rPr>
        <w:t xml:space="preserve">, has a very strong effect on Cigsperday GWAS. A high variance in the effect of the causal variants, with genes having a much larger effect than other genes on the trait, violates MiXeR assumption of a unique distribution of causal variants. So, we excluded </w:t>
      </w:r>
      <w:r>
        <w:rPr>
          <w:rFonts w:eastAsia="Calibri" w:cs="Times New Roman" w:ascii="Times New Roman" w:hAnsi="Times New Roman"/>
          <w:i/>
          <w:iCs/>
          <w:sz w:val="24"/>
          <w:szCs w:val="24"/>
          <w:lang w:val="en-US"/>
        </w:rPr>
        <w:t>CHRNA5/CHRNA3/CHRNB4</w:t>
      </w:r>
      <w:r>
        <w:rPr>
          <w:rFonts w:eastAsia="Calibri" w:cs="Times New Roman" w:ascii="Times New Roman" w:hAnsi="Times New Roman"/>
          <w:sz w:val="24"/>
          <w:szCs w:val="24"/>
          <w:lang w:val="en-US"/>
        </w:rPr>
        <w:t xml:space="preserve"> from Cigsperday GWAS summary statistics for MiXeR analysis. Specifically, we excluded ±500 kb region around </w:t>
      </w:r>
      <w:r>
        <w:rPr>
          <w:rFonts w:eastAsia="Calibri" w:cs="Times New Roman" w:ascii="Times New Roman" w:hAnsi="Times New Roman"/>
          <w:i/>
          <w:iCs/>
          <w:sz w:val="24"/>
          <w:szCs w:val="24"/>
          <w:lang w:val="en-US"/>
        </w:rPr>
        <w:t>CHRNA5/CHRNA3/CHRNB4</w:t>
      </w:r>
      <w:r>
        <w:rPr>
          <w:rFonts w:eastAsia="Calibri" w:cs="Times New Roman" w:ascii="Times New Roman" w:hAnsi="Times New Roman"/>
          <w:sz w:val="24"/>
          <w:szCs w:val="24"/>
          <w:lang w:val="en-US"/>
        </w:rPr>
        <w:t xml:space="preserve">. A comparison of univariate MiXeR results with Cigsperday without excluding </w:t>
      </w:r>
      <w:r>
        <w:rPr>
          <w:rFonts w:eastAsia="Calibri" w:cs="Times New Roman" w:ascii="Times New Roman" w:hAnsi="Times New Roman"/>
          <w:i/>
          <w:iCs/>
          <w:sz w:val="24"/>
          <w:szCs w:val="24"/>
          <w:lang w:val="en-US"/>
        </w:rPr>
        <w:t>CHRNA5/CHRNA3/CHRNB4</w:t>
      </w:r>
      <w:r>
        <w:rPr>
          <w:rFonts w:eastAsia="Calibri" w:cs="Times New Roman" w:ascii="Times New Roman" w:hAnsi="Times New Roman"/>
          <w:sz w:val="24"/>
          <w:szCs w:val="24"/>
          <w:lang w:val="en-US"/>
        </w:rPr>
        <w:t xml:space="preserve"> is shown in Supplementary Table 4. We also excluded this cluster from those selected externalizing and internalizing traits for bivariate MiXeR analyses with Cigsperday.</w:t>
      </w:r>
    </w:p>
    <w:p>
      <w:pPr>
        <w:pStyle w:val="Normal"/>
        <w:spacing w:lineRule="auto" w:line="480" w:before="0" w:after="120"/>
        <w:jc w:val="both"/>
        <w:rPr>
          <w:highlight w:val="none"/>
          <w:shd w:fill="auto" w:val="clear"/>
        </w:rPr>
      </w:pPr>
      <w:r>
        <w:rPr>
          <w:rFonts w:eastAsia="Calibri" w:cs="Times New Roman" w:ascii="Times New Roman" w:hAnsi="Times New Roman"/>
          <w:b/>
          <w:bCs/>
          <w:sz w:val="24"/>
          <w:szCs w:val="24"/>
          <w:shd w:fill="auto" w:val="clear"/>
          <w:lang w:val="en-US"/>
        </w:rPr>
        <w:t>Correlation between power of a GWAS and univariate MiXeR AIC</w:t>
      </w:r>
    </w:p>
    <w:p>
      <w:pPr>
        <w:pStyle w:val="Normal"/>
        <w:spacing w:lineRule="auto" w:line="480" w:before="0" w:after="120"/>
        <w:jc w:val="both"/>
        <w:rPr>
          <w:highlight w:val="none"/>
          <w:shd w:fill="auto" w:val="clear"/>
        </w:rPr>
      </w:pPr>
      <w:r>
        <w:rPr>
          <w:rFonts w:eastAsia="Calibri" w:cs="Times New Roman" w:ascii="Times New Roman" w:hAnsi="Times New Roman"/>
          <w:sz w:val="24"/>
          <w:szCs w:val="24"/>
          <w:shd w:fill="auto" w:val="clear"/>
          <w:lang w:val="en-US"/>
        </w:rPr>
        <w:t>Power of a GWAS was roughly estimated as the product of the effective sample size (N</w:t>
      </w:r>
      <w:r>
        <w:rPr>
          <w:rFonts w:eastAsia="Calibri" w:cs="Times New Roman" w:ascii="Times New Roman" w:hAnsi="Times New Roman"/>
          <w:sz w:val="24"/>
          <w:szCs w:val="24"/>
          <w:shd w:fill="auto" w:val="clear"/>
          <w:vertAlign w:val="subscript"/>
          <w:lang w:val="en-US"/>
        </w:rPr>
        <w:t>eff</w:t>
      </w:r>
      <w:r>
        <w:rPr>
          <w:rFonts w:eastAsia="Calibri" w:cs="Times New Roman" w:ascii="Times New Roman" w:hAnsi="Times New Roman"/>
          <w:sz w:val="24"/>
          <w:szCs w:val="24"/>
          <w:shd w:fill="auto" w:val="clear"/>
          <w:lang w:val="en-US"/>
        </w:rPr>
        <w:t xml:space="preserve">) and the </w:t>
      </w:r>
      <w:r>
        <w:rPr>
          <w:rFonts w:cs="Times New Roman" w:ascii="Times New Roman" w:hAnsi="Times New Roman"/>
          <w:sz w:val="24"/>
          <w:szCs w:val="24"/>
          <w:shd w:fill="auto" w:val="clear"/>
          <w:lang w:val="en-US"/>
        </w:rPr>
        <w:t>SNP-based heritability (h</w:t>
      </w:r>
      <w:r>
        <w:rPr>
          <w:rFonts w:cs="Times New Roman" w:ascii="Times New Roman" w:hAnsi="Times New Roman"/>
          <w:sz w:val="24"/>
          <w:szCs w:val="24"/>
          <w:shd w:fill="auto" w:val="clear"/>
          <w:vertAlign w:val="superscript"/>
          <w:lang w:val="en-US"/>
        </w:rPr>
        <w:t>2</w:t>
      </w:r>
      <w:r>
        <w:rPr>
          <w:rFonts w:cs="Times New Roman" w:ascii="Times New Roman" w:hAnsi="Times New Roman"/>
          <w:sz w:val="24"/>
          <w:szCs w:val="24"/>
          <w:shd w:fill="auto" w:val="clear"/>
          <w:vertAlign w:val="subscript"/>
          <w:lang w:val="en-US"/>
        </w:rPr>
        <w:t>SNP</w:t>
      </w:r>
      <w:r>
        <w:rPr>
          <w:rFonts w:cs="Times New Roman" w:ascii="Times New Roman" w:hAnsi="Times New Roman"/>
          <w:sz w:val="24"/>
          <w:szCs w:val="24"/>
          <w:shd w:fill="auto" w:val="clear"/>
          <w:lang w:val="en-US"/>
        </w:rPr>
        <w:t>)</w:t>
      </w:r>
      <w:r>
        <w:rPr>
          <w:rFonts w:eastAsia="Calibri" w:cs="Times New Roman" w:ascii="Times New Roman" w:hAnsi="Times New Roman"/>
          <w:sz w:val="24"/>
          <w:szCs w:val="24"/>
          <w:shd w:fill="auto" w:val="clear"/>
          <w:lang w:val="en-US"/>
        </w:rPr>
        <w:t xml:space="preserve">, as in </w:t>
      </w:r>
      <w:sdt>
        <w:sdtPr>
          <w:id w:val="586818151"/>
          <w:placeholder>
            <w:docPart w:val="DefaultPlaceholder_-1854013440"/>
          </w:placeholder>
        </w:sdtPr>
        <w:sdtContent>
          <w:r>
            <w:rPr>
              <w:shd w:fill="auto" w:val="clear"/>
            </w:rPr>
            <w:t>Hindley et al. (2022)</w:t>
          </w:r>
        </w:sdtContent>
      </w:sdt>
      <w:r>
        <w:rPr>
          <w:rFonts w:eastAsia="Calibri" w:cs="Times New Roman" w:ascii="Times New Roman" w:hAnsi="Times New Roman"/>
          <w:sz w:val="24"/>
          <w:szCs w:val="24"/>
          <w:shd w:fill="auto" w:val="clear"/>
          <w:lang w:val="en-US"/>
        </w:rPr>
        <w:t xml:space="preserve">. Linkage disequilibrium score regression (LDSC), as implemented in </w:t>
      </w:r>
      <w:r>
        <w:rPr>
          <w:rFonts w:eastAsia="Calibri" w:cs="Times New Roman" w:ascii="Times New Roman" w:hAnsi="Times New Roman"/>
          <w:sz w:val="24"/>
          <w:szCs w:val="24"/>
          <w:shd w:fill="auto" w:val="clear"/>
          <w:lang w:val="en-US"/>
        </w:rPr>
        <w:t xml:space="preserve">genomicSEM </w:t>
      </w:r>
      <w:sdt>
        <w:sdtPr>
          <w:id w:val="1123279042"/>
          <w:placeholder>
            <w:docPart w:val="DefaultPlaceholder_-1854013440"/>
          </w:placeholder>
        </w:sdtPr>
        <w:sdtContent>
          <w:r>
            <w:rPr>
              <w:shd w:fill="auto" w:val="clear"/>
            </w:rPr>
            <w:t>(Grotzinger et al., 2019)</w:t>
          </w:r>
        </w:sdtContent>
      </w:sdt>
      <w:r>
        <w:rPr>
          <w:rFonts w:eastAsia="Calibri" w:cs="Times New Roman" w:ascii="Times New Roman" w:hAnsi="Times New Roman"/>
          <w:sz w:val="24"/>
          <w:szCs w:val="24"/>
          <w:shd w:fill="auto" w:val="clear"/>
          <w:lang w:val="en-US"/>
        </w:rPr>
        <w:t xml:space="preserve">, was used to estimate observed </w:t>
      </w:r>
      <w:r>
        <w:rPr>
          <w:rFonts w:cs="Times New Roman" w:ascii="Times New Roman" w:hAnsi="Times New Roman"/>
          <w:sz w:val="24"/>
          <w:szCs w:val="24"/>
          <w:shd w:fill="auto" w:val="clear"/>
          <w:lang w:val="en-US"/>
        </w:rPr>
        <w:t>h</w:t>
      </w:r>
      <w:r>
        <w:rPr>
          <w:rFonts w:cs="Times New Roman" w:ascii="Times New Roman" w:hAnsi="Times New Roman"/>
          <w:sz w:val="24"/>
          <w:szCs w:val="24"/>
          <w:shd w:fill="auto" w:val="clear"/>
          <w:vertAlign w:val="superscript"/>
          <w:lang w:val="en-US"/>
        </w:rPr>
        <w:t>2</w:t>
      </w:r>
      <w:r>
        <w:rPr>
          <w:rFonts w:cs="Times New Roman" w:ascii="Times New Roman" w:hAnsi="Times New Roman"/>
          <w:sz w:val="24"/>
          <w:szCs w:val="24"/>
          <w:shd w:fill="auto" w:val="clear"/>
          <w:vertAlign w:val="subscript"/>
          <w:lang w:val="en-US"/>
        </w:rPr>
        <w:t>SNP</w:t>
      </w:r>
      <w:r>
        <w:rPr>
          <w:rFonts w:eastAsia="Calibri" w:cs="Times New Roman" w:ascii="Times New Roman" w:hAnsi="Times New Roman"/>
          <w:sz w:val="24"/>
          <w:szCs w:val="24"/>
          <w:shd w:fill="auto" w:val="clear"/>
          <w:lang w:val="en-US"/>
        </w:rPr>
        <w:t xml:space="preserve"> from GWAS summary statistics </w:t>
      </w:r>
      <w:sdt>
        <w:sdtPr>
          <w:id w:val="1919342128"/>
          <w:placeholder>
            <w:docPart w:val="DefaultPlaceholder_-1854013440"/>
          </w:placeholder>
        </w:sdtPr>
        <w:sdtContent>
          <w:r>
            <w:rPr>
              <w:shd w:fill="auto" w:val="clear"/>
            </w:rPr>
            <w:t>(Bulik-Sullivan et al., 2015)</w:t>
          </w:r>
        </w:sdtContent>
      </w:sdt>
      <w:r>
        <w:rPr>
          <w:rFonts w:eastAsia="Calibri" w:cs="Times New Roman" w:ascii="Times New Roman" w:hAnsi="Times New Roman"/>
          <w:sz w:val="24"/>
          <w:szCs w:val="24"/>
          <w:shd w:fill="auto" w:val="clear"/>
          <w:lang w:val="en-US"/>
        </w:rPr>
        <w:t xml:space="preserve">. Linkage Disequilibrium (LD) Scores files based on </w:t>
      </w:r>
      <w:r>
        <w:rPr>
          <w:rFonts w:eastAsia="Calibri" w:cs="Times New Roman" w:ascii="Times New Roman" w:hAnsi="Times New Roman"/>
          <w:sz w:val="24"/>
          <w:szCs w:val="24"/>
          <w:shd w:fill="auto" w:val="clear"/>
          <w:lang w:val="en-US"/>
        </w:rPr>
        <w:t>The 1000 Genomes phase 3 European samples were used and GWAS summary statistics were filtered to HapMap3 SNPs. Summary statistic filters were set as default. In case of AUD and MDD, which present considerable differences in N</w:t>
      </w:r>
      <w:r>
        <w:rPr>
          <w:rFonts w:eastAsia="Calibri" w:cs="Times New Roman" w:ascii="Times New Roman" w:hAnsi="Times New Roman"/>
          <w:sz w:val="24"/>
          <w:szCs w:val="24"/>
          <w:shd w:fill="auto" w:val="clear"/>
          <w:vertAlign w:val="subscript"/>
          <w:lang w:val="en-US"/>
        </w:rPr>
        <w:t>eff</w:t>
      </w:r>
      <w:r>
        <w:rPr>
          <w:rFonts w:eastAsia="Calibri" w:cs="Times New Roman" w:ascii="Times New Roman" w:hAnsi="Times New Roman"/>
          <w:sz w:val="24"/>
          <w:szCs w:val="24"/>
          <w:shd w:fill="auto" w:val="clear"/>
          <w:lang w:val="en-US"/>
        </w:rPr>
        <w:t xml:space="preserve"> per SNP, the 25th percentile was used as N</w:t>
      </w:r>
      <w:r>
        <w:rPr>
          <w:rFonts w:eastAsia="Calibri" w:cs="Times New Roman" w:ascii="Times New Roman" w:hAnsi="Times New Roman"/>
          <w:sz w:val="24"/>
          <w:szCs w:val="24"/>
          <w:shd w:fill="auto" w:val="clear"/>
          <w:vertAlign w:val="subscript"/>
          <w:lang w:val="en-US"/>
        </w:rPr>
        <w:t>eff</w:t>
      </w:r>
      <w:r>
        <w:rPr>
          <w:rFonts w:eastAsia="Calibri" w:cs="Times New Roman" w:ascii="Times New Roman" w:hAnsi="Times New Roman"/>
          <w:sz w:val="24"/>
          <w:szCs w:val="24"/>
          <w:shd w:fill="auto" w:val="clear"/>
          <w:lang w:val="en-US"/>
        </w:rPr>
        <w:t>. Linear regression analysis was used to estimate Pearson's correlation coefficient between GWAS power and univariate MiXeR AIC (Supplementary Figure 1).</w:t>
      </w:r>
    </w:p>
    <w:p>
      <w:pPr>
        <w:pStyle w:val="Normal"/>
        <w:spacing w:lineRule="auto" w:line="480"/>
        <w:rPr>
          <w:rFonts w:ascii="Times New Roman" w:hAnsi="Times New Roman" w:eastAsia="Calibri" w:cs="Times New Roman"/>
          <w:sz w:val="24"/>
          <w:szCs w:val="24"/>
          <w:lang w:val="en-US"/>
        </w:rPr>
      </w:pPr>
      <w:r>
        <w:rPr>
          <w:rFonts w:eastAsia="Calibri" w:cs="Times New Roman" w:ascii="Times New Roman" w:hAnsi="Times New Roman"/>
          <w:sz w:val="24"/>
          <w:szCs w:val="24"/>
          <w:lang w:val="en-US"/>
        </w:rPr>
      </w:r>
      <w:r>
        <w:br w:type="page"/>
      </w:r>
    </w:p>
    <w:p>
      <w:pPr>
        <w:pStyle w:val="Normal"/>
        <w:spacing w:lineRule="auto" w:line="480" w:before="0" w:after="0"/>
        <w:rPr>
          <w:rFonts w:ascii="Times New Roman" w:hAnsi="Times New Roman" w:eastAsia="Calibri" w:cs="Times New Roman"/>
          <w:b/>
          <w:b/>
          <w:bCs/>
          <w:sz w:val="24"/>
          <w:szCs w:val="24"/>
          <w:lang w:val="en-US"/>
        </w:rPr>
      </w:pPr>
      <w:r>
        <w:rPr>
          <w:rFonts w:eastAsia="Calibri" w:cs="Times New Roman" w:ascii="Times New Roman" w:hAnsi="Times New Roman"/>
          <w:b/>
          <w:bCs/>
          <w:sz w:val="24"/>
          <w:szCs w:val="24"/>
          <w:lang w:val="en-US"/>
        </w:rPr>
        <w:t>REFERENCES</w:t>
      </w:r>
    </w:p>
    <w:p>
      <w:pPr>
        <w:pStyle w:val="Normal"/>
        <w:tabs/>
        <w:snapToGrid w:val="false"/>
        <w:spacing w:lineRule="auto" w:line="480" w:before="120" w:after="120"/>
        <w:ind w:left="170" w:right="0" w:hanging="170"/>
        <w:jc w:val="both"/>
        <w:rPr/>
      </w:pPr>
      <w:sdt>
        <w:sdtPr>
          <w:id w:val="439965415"/>
          <w:placeholder>
            <w:docPart w:val="DefaultPlaceholder_-1854013440"/>
          </w:placeholder>
        </w:sdtPr>
        <w:sdtContent>
          <w:r>
            <w:rPr/>
            <w:t>Bulik-Sullivan, B., Finucane, H. K., Anttila, V., Gusev, A., Day, F. R., Loh, P.-R., … Neale, B. M. (2015). An atlas of genetic correlations across human diseases and traits. Nature Genetics, 47(11), 1236–1241. doi: 10.1038/ng.3406</w:t>
          </w:r>
        </w:sdtContent>
      </w:sdt>
    </w:p>
    <w:p>
      <w:pPr>
        <w:pStyle w:val="Normal"/>
        <w:tabs/>
        <w:snapToGrid w:val="false"/>
        <w:spacing w:lineRule="auto" w:line="480" w:before="120" w:after="120"/>
        <w:ind w:left="170" w:right="0" w:hanging="170"/>
        <w:jc w:val="both"/>
        <w:rPr/>
      </w:pPr>
      <w:r>
        <w:rPr>
          <w:rFonts w:eastAsia="Times New Roman" w:cs="Times New Roman" w:ascii="Times New Roman" w:hAnsi="Times New Roman"/>
          <w:sz w:val="24"/>
          <w:szCs w:val="24"/>
        </w:rPr>
        <w:t xml:space="preserve">Bycroft, C., Freeman, C., Petkova, D., Band, G., Elliott, L. T., Sharp, K., … Marchini, J. (2018). The UK Biobank resource with deep phenotyping and genomic data. </w:t>
      </w:r>
      <w:r>
        <w:rPr>
          <w:rFonts w:eastAsia="Times New Roman" w:cs="Times New Roman" w:ascii="Times New Roman" w:hAnsi="Times New Roman"/>
          <w:i/>
          <w:iCs/>
          <w:sz w:val="24"/>
          <w:szCs w:val="24"/>
        </w:rPr>
        <w:t>Nature</w:t>
      </w:r>
      <w:r>
        <w:rPr>
          <w:rFonts w:eastAsia="Times New Roman" w:cs="Times New Roman" w:ascii="Times New Roman" w:hAnsi="Times New Roman"/>
          <w:sz w:val="24"/>
          <w:szCs w:val="24"/>
        </w:rPr>
        <w:t xml:space="preserve">, </w:t>
      </w:r>
      <w:r>
        <w:rPr>
          <w:rFonts w:eastAsia="Times New Roman" w:cs="Times New Roman" w:ascii="Times New Roman" w:hAnsi="Times New Roman"/>
          <w:i/>
          <w:iCs/>
          <w:sz w:val="24"/>
          <w:szCs w:val="24"/>
        </w:rPr>
        <w:t>562</w:t>
      </w:r>
      <w:r>
        <w:rPr>
          <w:rFonts w:eastAsia="Times New Roman" w:cs="Times New Roman" w:ascii="Times New Roman" w:hAnsi="Times New Roman"/>
          <w:sz w:val="24"/>
          <w:szCs w:val="24"/>
        </w:rPr>
        <w:t>(7726), 203–209. doi: 10.1038/s41586-018-0579-z</w:t>
      </w:r>
    </w:p>
    <w:p>
      <w:pPr>
        <w:pStyle w:val="Normal"/>
        <w:tabs/>
        <w:snapToGrid w:val="false"/>
        <w:spacing w:lineRule="auto" w:line="480" w:before="120" w:after="120"/>
        <w:ind w:left="170" w:right="0" w:hanging="170"/>
        <w:jc w:val="both"/>
        <w:rPr/>
      </w:pPr>
      <w:r>
        <w:rPr>
          <w:rFonts w:eastAsia="Times New Roman" w:cs="Times New Roman" w:ascii="Times New Roman" w:hAnsi="Times New Roman"/>
          <w:sz w:val="24"/>
          <w:szCs w:val="24"/>
        </w:rPr>
        <w:t xml:space="preserve">Day, F. R., Ong, K. K., &amp; Perry, J. R. B. (2018). Elucidating the genetic basis of social interaction and isolation. </w:t>
      </w:r>
      <w:r>
        <w:rPr>
          <w:rFonts w:eastAsia="Times New Roman" w:cs="Times New Roman" w:ascii="Times New Roman" w:hAnsi="Times New Roman"/>
          <w:i/>
          <w:iCs/>
          <w:sz w:val="24"/>
          <w:szCs w:val="24"/>
        </w:rPr>
        <w:t>Nature Communications</w:t>
      </w:r>
      <w:r>
        <w:rPr>
          <w:rFonts w:eastAsia="Times New Roman" w:cs="Times New Roman" w:ascii="Times New Roman" w:hAnsi="Times New Roman"/>
          <w:sz w:val="24"/>
          <w:szCs w:val="24"/>
        </w:rPr>
        <w:t xml:space="preserve">, </w:t>
      </w:r>
      <w:r>
        <w:rPr>
          <w:rFonts w:eastAsia="Times New Roman" w:cs="Times New Roman" w:ascii="Times New Roman" w:hAnsi="Times New Roman"/>
          <w:i/>
          <w:iCs/>
          <w:sz w:val="24"/>
          <w:szCs w:val="24"/>
        </w:rPr>
        <w:t>9</w:t>
      </w:r>
      <w:r>
        <w:rPr>
          <w:rFonts w:eastAsia="Times New Roman" w:cs="Times New Roman" w:ascii="Times New Roman" w:hAnsi="Times New Roman"/>
          <w:sz w:val="24"/>
          <w:szCs w:val="24"/>
        </w:rPr>
        <w:t>(1), 1–6. doi: 10.1038/s41467-018-04930-1</w:t>
      </w:r>
    </w:p>
    <w:p>
      <w:pPr>
        <w:pStyle w:val="Normal"/>
        <w:tabs/>
        <w:snapToGrid w:val="false"/>
        <w:spacing w:lineRule="auto" w:line="480" w:before="120" w:after="120"/>
        <w:ind w:left="170" w:right="0" w:hanging="170"/>
        <w:jc w:val="both"/>
        <w:rPr/>
      </w:pPr>
      <w:r>
        <w:rPr>
          <w:rFonts w:eastAsia="Times New Roman" w:cs="Times New Roman" w:ascii="Times New Roman" w:hAnsi="Times New Roman"/>
          <w:sz w:val="24"/>
          <w:szCs w:val="24"/>
        </w:rPr>
        <w:t xml:space="preserve">Frei, O., Holland, D., Smeland, O. B., Shadrin, A. A., Fan, C. C., Maeland, S., … Dale, A. M. (2019). Bivariate causal mixture model quantifies polygenic overlap between complex traits beyond genetic correlation. </w:t>
      </w:r>
      <w:r>
        <w:rPr>
          <w:rFonts w:eastAsia="Times New Roman" w:cs="Times New Roman" w:ascii="Times New Roman" w:hAnsi="Times New Roman"/>
          <w:i/>
          <w:iCs/>
          <w:sz w:val="24"/>
          <w:szCs w:val="24"/>
        </w:rPr>
        <w:t>Nature Communications</w:t>
      </w:r>
      <w:r>
        <w:rPr>
          <w:rFonts w:eastAsia="Times New Roman" w:cs="Times New Roman" w:ascii="Times New Roman" w:hAnsi="Times New Roman"/>
          <w:sz w:val="24"/>
          <w:szCs w:val="24"/>
        </w:rPr>
        <w:t xml:space="preserve">, </w:t>
      </w:r>
      <w:r>
        <w:rPr>
          <w:rFonts w:eastAsia="Times New Roman" w:cs="Times New Roman" w:ascii="Times New Roman" w:hAnsi="Times New Roman"/>
          <w:i/>
          <w:iCs/>
          <w:sz w:val="24"/>
          <w:szCs w:val="24"/>
        </w:rPr>
        <w:t>10</w:t>
      </w:r>
      <w:r>
        <w:rPr>
          <w:rFonts w:eastAsia="Times New Roman" w:cs="Times New Roman" w:ascii="Times New Roman" w:hAnsi="Times New Roman"/>
          <w:sz w:val="24"/>
          <w:szCs w:val="24"/>
        </w:rPr>
        <w:t>(1), 1–11. doi: 10.1038/s41467-019-10310-0</w:t>
      </w:r>
    </w:p>
    <w:p>
      <w:pPr>
        <w:pStyle w:val="Normal"/>
        <w:tabs/>
        <w:snapToGrid w:val="false"/>
        <w:spacing w:lineRule="auto" w:line="480" w:before="120" w:after="120"/>
        <w:ind w:left="170" w:right="0" w:hanging="170"/>
        <w:jc w:val="both"/>
        <w:rPr/>
      </w:pPr>
      <w:r>
        <w:rPr>
          <w:rFonts w:eastAsia="Times New Roman" w:cs="Times New Roman" w:ascii="Times New Roman" w:hAnsi="Times New Roman"/>
          <w:sz w:val="24"/>
          <w:szCs w:val="24"/>
        </w:rPr>
        <w:t xml:space="preserve">Grotzinger, A. D., Rhemtulla, M., de Vlaming, R., Ritchie, S. J., Mallard, T. T., Hill, W. D., … Tucker-Drob, E. M. (2019). Genomic structural equation modelling provides insights into the multivariate genetic architecture of complex traits. </w:t>
      </w:r>
      <w:r>
        <w:rPr>
          <w:rFonts w:eastAsia="Times New Roman" w:cs="Times New Roman" w:ascii="Times New Roman" w:hAnsi="Times New Roman"/>
          <w:i/>
          <w:iCs/>
          <w:sz w:val="24"/>
          <w:szCs w:val="24"/>
        </w:rPr>
        <w:t>Nature Human Behaviour</w:t>
      </w:r>
      <w:r>
        <w:rPr>
          <w:rFonts w:eastAsia="Times New Roman" w:cs="Times New Roman" w:ascii="Times New Roman" w:hAnsi="Times New Roman"/>
          <w:sz w:val="24"/>
          <w:szCs w:val="24"/>
        </w:rPr>
        <w:t xml:space="preserve">, </w:t>
      </w:r>
      <w:r>
        <w:rPr>
          <w:rFonts w:eastAsia="Times New Roman" w:cs="Times New Roman" w:ascii="Times New Roman" w:hAnsi="Times New Roman"/>
          <w:i/>
          <w:iCs/>
          <w:sz w:val="24"/>
          <w:szCs w:val="24"/>
        </w:rPr>
        <w:t>3</w:t>
      </w:r>
      <w:r>
        <w:rPr>
          <w:rFonts w:eastAsia="Times New Roman" w:cs="Times New Roman" w:ascii="Times New Roman" w:hAnsi="Times New Roman"/>
          <w:sz w:val="24"/>
          <w:szCs w:val="24"/>
        </w:rPr>
        <w:t>(5), 513–525. doi: 10.1038/s41562-019-0566-x</w:t>
      </w:r>
    </w:p>
    <w:p>
      <w:pPr>
        <w:pStyle w:val="Normal"/>
        <w:tabs/>
        <w:snapToGrid w:val="false"/>
        <w:spacing w:lineRule="auto" w:line="480" w:before="120" w:after="120"/>
        <w:ind w:left="170" w:right="0" w:hanging="170"/>
        <w:jc w:val="both"/>
        <w:rPr/>
      </w:pPr>
      <w:r>
        <w:rPr>
          <w:rFonts w:eastAsia="Times New Roman" w:cs="Times New Roman" w:ascii="Times New Roman" w:hAnsi="Times New Roman"/>
          <w:sz w:val="24"/>
          <w:szCs w:val="24"/>
        </w:rPr>
        <w:t xml:space="preserve">Hindley, G., Frei, O., Shadrin, A. A., Cheng, W., O’Connell, K. S., Icick, R., … Andreassen, O. A. (2022). Charting the Landscape of Genetic Overlap Between Mental Disorders and Related Traits Beyond Genetic Correlation. </w:t>
      </w:r>
      <w:r>
        <w:rPr>
          <w:rFonts w:eastAsia="Times New Roman" w:cs="Times New Roman" w:ascii="Times New Roman" w:hAnsi="Times New Roman"/>
          <w:i/>
          <w:iCs/>
          <w:sz w:val="24"/>
          <w:szCs w:val="24"/>
        </w:rPr>
        <w:t>American Journal of Psychiatry</w:t>
      </w:r>
      <w:r>
        <w:rPr>
          <w:rFonts w:eastAsia="Times New Roman" w:cs="Times New Roman" w:ascii="Times New Roman" w:hAnsi="Times New Roman"/>
          <w:sz w:val="24"/>
          <w:szCs w:val="24"/>
        </w:rPr>
        <w:t xml:space="preserve">, </w:t>
      </w:r>
      <w:r>
        <w:rPr>
          <w:rFonts w:eastAsia="Times New Roman" w:cs="Times New Roman" w:ascii="Times New Roman" w:hAnsi="Times New Roman"/>
          <w:i/>
          <w:iCs/>
          <w:sz w:val="24"/>
          <w:szCs w:val="24"/>
        </w:rPr>
        <w:t>179</w:t>
      </w:r>
      <w:r>
        <w:rPr>
          <w:rFonts w:eastAsia="Times New Roman" w:cs="Times New Roman" w:ascii="Times New Roman" w:hAnsi="Times New Roman"/>
          <w:sz w:val="24"/>
          <w:szCs w:val="24"/>
        </w:rPr>
        <w:t>(11), 833–843. doi: 10.1176/appi.ajp.21101051</w:t>
      </w:r>
    </w:p>
    <w:p>
      <w:pPr>
        <w:pStyle w:val="Normal"/>
        <w:tabs/>
        <w:snapToGrid w:val="false"/>
        <w:spacing w:lineRule="auto" w:line="480" w:before="120" w:after="120"/>
        <w:ind w:left="170" w:right="0" w:hanging="170"/>
        <w:jc w:val="both"/>
        <w:rPr/>
      </w:pPr>
      <w:r>
        <w:rPr>
          <w:rFonts w:eastAsia="Times New Roman" w:cs="Times New Roman" w:ascii="Times New Roman" w:hAnsi="Times New Roman"/>
          <w:sz w:val="24"/>
          <w:szCs w:val="24"/>
        </w:rPr>
        <w:t xml:space="preserve">Icick, R., Shadrin, A., Holen, B., Karadag, N., Parker, N., O’Connell, K. S., … Andreassen, O. A. (2023). </w:t>
      </w:r>
      <w:r>
        <w:rPr>
          <w:rFonts w:eastAsia="Times New Roman" w:cs="Times New Roman" w:ascii="Times New Roman" w:hAnsi="Times New Roman"/>
          <w:i/>
          <w:iCs/>
          <w:sz w:val="24"/>
          <w:szCs w:val="24"/>
        </w:rPr>
        <w:t>Identification of Novel Loci and Cross-Disorder Pleiotropy Through Multi- Ancestry Genome-Wide Analysis of Alcohol Use Disorder in Over One Million Individuals. PREPRINT (Version 1) available at Research Square.</w:t>
      </w:r>
      <w:r>
        <w:rPr>
          <w:rFonts w:eastAsia="Times New Roman" w:cs="Times New Roman" w:ascii="Times New Roman" w:hAnsi="Times New Roman"/>
          <w:sz w:val="24"/>
          <w:szCs w:val="24"/>
        </w:rPr>
        <w:t xml:space="preserve"> doi: 10.21203/rs.3.rs-3755915/v1</w:t>
      </w:r>
    </w:p>
    <w:p>
      <w:pPr>
        <w:pStyle w:val="Normal"/>
        <w:tabs/>
        <w:snapToGrid w:val="false"/>
        <w:spacing w:lineRule="auto" w:line="480" w:before="120" w:after="120"/>
        <w:ind w:left="170" w:right="0" w:hanging="170"/>
        <w:jc w:val="both"/>
        <w:rPr/>
      </w:pPr>
      <w:r>
        <w:rPr>
          <w:rFonts w:eastAsia="Times New Roman" w:cs="Times New Roman" w:ascii="Times New Roman" w:hAnsi="Times New Roman"/>
          <w:sz w:val="24"/>
          <w:szCs w:val="24"/>
        </w:rPr>
        <w:t xml:space="preserve">Ip, H. F., van der Laan, C. M., Krapohl, E. M. L., Brikell, I., Sánchez-Mora, C., Nolte, I. M., … Boomsma, D. I. (2021). Genetic association study of childhood aggression across raters, instruments, and age. </w:t>
      </w:r>
      <w:r>
        <w:rPr>
          <w:rFonts w:eastAsia="Times New Roman" w:cs="Times New Roman" w:ascii="Times New Roman" w:hAnsi="Times New Roman"/>
          <w:i/>
          <w:iCs/>
          <w:sz w:val="24"/>
          <w:szCs w:val="24"/>
        </w:rPr>
        <w:t>Translational Psychiatry</w:t>
      </w:r>
      <w:r>
        <w:rPr>
          <w:rFonts w:eastAsia="Times New Roman" w:cs="Times New Roman" w:ascii="Times New Roman" w:hAnsi="Times New Roman"/>
          <w:sz w:val="24"/>
          <w:szCs w:val="24"/>
        </w:rPr>
        <w:t xml:space="preserve">, </w:t>
      </w:r>
      <w:r>
        <w:rPr>
          <w:rFonts w:eastAsia="Times New Roman" w:cs="Times New Roman" w:ascii="Times New Roman" w:hAnsi="Times New Roman"/>
          <w:i/>
          <w:iCs/>
          <w:sz w:val="24"/>
          <w:szCs w:val="24"/>
        </w:rPr>
        <w:t>11</w:t>
      </w:r>
      <w:r>
        <w:rPr>
          <w:rFonts w:eastAsia="Times New Roman" w:cs="Times New Roman" w:ascii="Times New Roman" w:hAnsi="Times New Roman"/>
          <w:sz w:val="24"/>
          <w:szCs w:val="24"/>
        </w:rPr>
        <w:t>(1). doi: 10.1038/s41398-021-01480-x</w:t>
      </w:r>
    </w:p>
    <w:p>
      <w:pPr>
        <w:pStyle w:val="Normal"/>
        <w:tabs/>
        <w:snapToGrid w:val="false"/>
        <w:spacing w:lineRule="auto" w:line="480" w:before="120" w:after="120"/>
        <w:ind w:left="170" w:right="0" w:hanging="170"/>
        <w:jc w:val="both"/>
        <w:rPr/>
      </w:pPr>
      <w:r>
        <w:rPr>
          <w:rFonts w:eastAsia="Times New Roman" w:cs="Times New Roman" w:ascii="Times New Roman" w:hAnsi="Times New Roman"/>
          <w:sz w:val="24"/>
          <w:szCs w:val="24"/>
        </w:rPr>
        <w:t xml:space="preserve">Johnson, E. C., Demontis, D., Thorgeirsson, T. E., Walters, R. K., Polimanti, R., Hatoum, A. S., … Børglum, A. D. (2020). A large-scale genome-wide association study meta-analysis of cannabis use disorder. </w:t>
      </w:r>
      <w:r>
        <w:rPr>
          <w:rFonts w:eastAsia="Times New Roman" w:cs="Times New Roman" w:ascii="Times New Roman" w:hAnsi="Times New Roman"/>
          <w:i/>
          <w:iCs/>
          <w:sz w:val="24"/>
          <w:szCs w:val="24"/>
        </w:rPr>
        <w:t>The Lancet Psychiatry</w:t>
      </w:r>
      <w:r>
        <w:rPr>
          <w:rFonts w:eastAsia="Times New Roman" w:cs="Times New Roman" w:ascii="Times New Roman" w:hAnsi="Times New Roman"/>
          <w:sz w:val="24"/>
          <w:szCs w:val="24"/>
        </w:rPr>
        <w:t xml:space="preserve">, </w:t>
      </w:r>
      <w:r>
        <w:rPr>
          <w:rFonts w:eastAsia="Times New Roman" w:cs="Times New Roman" w:ascii="Times New Roman" w:hAnsi="Times New Roman"/>
          <w:i/>
          <w:iCs/>
          <w:sz w:val="24"/>
          <w:szCs w:val="24"/>
        </w:rPr>
        <w:t>7</w:t>
      </w:r>
      <w:r>
        <w:rPr>
          <w:rFonts w:eastAsia="Times New Roman" w:cs="Times New Roman" w:ascii="Times New Roman" w:hAnsi="Times New Roman"/>
          <w:sz w:val="24"/>
          <w:szCs w:val="24"/>
        </w:rPr>
        <w:t>(12), 1032–1045. doi: 10.1016/S2215-0366(20)30339-4</w:t>
      </w:r>
    </w:p>
    <w:p>
      <w:pPr>
        <w:pStyle w:val="Normal"/>
        <w:tabs/>
        <w:snapToGrid w:val="false"/>
        <w:spacing w:lineRule="auto" w:line="480" w:before="120" w:after="120"/>
        <w:ind w:left="170" w:right="0" w:hanging="170"/>
        <w:jc w:val="both"/>
        <w:rPr/>
      </w:pPr>
      <w:r>
        <w:rPr>
          <w:rFonts w:eastAsia="Times New Roman" w:cs="Times New Roman" w:ascii="Times New Roman" w:hAnsi="Times New Roman"/>
          <w:sz w:val="24"/>
          <w:szCs w:val="24"/>
        </w:rPr>
        <w:t xml:space="preserve">Kim, S., Kim, K., Hwang, M. Y., Ko, H., Jung, S. H., Shim, I., … Won, H. H. (2022). Shared genetic architectures of subjective well-being in East Asian and European ancestry populations. </w:t>
      </w:r>
      <w:r>
        <w:rPr>
          <w:rFonts w:eastAsia="Times New Roman" w:cs="Times New Roman" w:ascii="Times New Roman" w:hAnsi="Times New Roman"/>
          <w:i/>
          <w:iCs/>
          <w:sz w:val="24"/>
          <w:szCs w:val="24"/>
        </w:rPr>
        <w:t>Nature Human Behaviour</w:t>
      </w:r>
      <w:r>
        <w:rPr>
          <w:rFonts w:eastAsia="Times New Roman" w:cs="Times New Roman" w:ascii="Times New Roman" w:hAnsi="Times New Roman"/>
          <w:sz w:val="24"/>
          <w:szCs w:val="24"/>
        </w:rPr>
        <w:t xml:space="preserve">, </w:t>
      </w:r>
      <w:r>
        <w:rPr>
          <w:rFonts w:eastAsia="Times New Roman" w:cs="Times New Roman" w:ascii="Times New Roman" w:hAnsi="Times New Roman"/>
          <w:i/>
          <w:iCs/>
          <w:sz w:val="24"/>
          <w:szCs w:val="24"/>
        </w:rPr>
        <w:t>6</w:t>
      </w:r>
      <w:r>
        <w:rPr>
          <w:rFonts w:eastAsia="Times New Roman" w:cs="Times New Roman" w:ascii="Times New Roman" w:hAnsi="Times New Roman"/>
          <w:sz w:val="24"/>
          <w:szCs w:val="24"/>
        </w:rPr>
        <w:t>(7), 1014–1026. doi: 10.1038/s41562-022-01343-5</w:t>
      </w:r>
    </w:p>
    <w:p>
      <w:pPr>
        <w:pStyle w:val="Normal"/>
        <w:tabs/>
        <w:snapToGrid w:val="false"/>
        <w:spacing w:lineRule="auto" w:line="480" w:before="120" w:after="120"/>
        <w:ind w:left="170" w:right="0" w:hanging="170"/>
        <w:jc w:val="both"/>
        <w:rPr/>
      </w:pPr>
      <w:r>
        <w:rPr>
          <w:rFonts w:eastAsia="Times New Roman" w:cs="Times New Roman" w:ascii="Times New Roman" w:hAnsi="Times New Roman"/>
          <w:sz w:val="24"/>
          <w:szCs w:val="24"/>
        </w:rPr>
        <w:t xml:space="preserve">Levey, D. F., Gelernter, J., Polimanti, R., Zhou, H., Cheng, Z., Aslan, M., … Stein, M. B. (2020). Reproducible Genetic Risk Loci for Anxiety: Results From </w:t>
      </w:r>
      <w:r>
        <w:rPr>
          <w:rFonts w:eastAsia="Times New Roman" w:cs="Cambria Math" w:ascii="Cambria Math" w:hAnsi="Cambria Math"/>
          <w:sz w:val="24"/>
          <w:szCs w:val="24"/>
        </w:rPr>
        <w:t>∼</w:t>
      </w:r>
      <w:r>
        <w:rPr>
          <w:rFonts w:eastAsia="Times New Roman" w:cs="Times New Roman" w:ascii="Times New Roman" w:hAnsi="Times New Roman"/>
          <w:sz w:val="24"/>
          <w:szCs w:val="24"/>
        </w:rPr>
        <w:t xml:space="preserve">200,000 Participants in the Million Veteran Program. </w:t>
      </w:r>
      <w:r>
        <w:rPr>
          <w:rFonts w:eastAsia="Times New Roman" w:cs="Times New Roman" w:ascii="Times New Roman" w:hAnsi="Times New Roman"/>
          <w:i/>
          <w:iCs/>
          <w:sz w:val="24"/>
          <w:szCs w:val="24"/>
        </w:rPr>
        <w:t>American Journal of Psychiatry</w:t>
      </w:r>
      <w:r>
        <w:rPr>
          <w:rFonts w:eastAsia="Times New Roman" w:cs="Times New Roman" w:ascii="Times New Roman" w:hAnsi="Times New Roman"/>
          <w:sz w:val="24"/>
          <w:szCs w:val="24"/>
        </w:rPr>
        <w:t xml:space="preserve">, </w:t>
      </w:r>
      <w:r>
        <w:rPr>
          <w:rFonts w:eastAsia="Times New Roman" w:cs="Times New Roman" w:ascii="Times New Roman" w:hAnsi="Times New Roman"/>
          <w:i/>
          <w:iCs/>
          <w:sz w:val="24"/>
          <w:szCs w:val="24"/>
        </w:rPr>
        <w:t>177</w:t>
      </w:r>
      <w:r>
        <w:rPr>
          <w:rFonts w:eastAsia="Times New Roman" w:cs="Times New Roman" w:ascii="Times New Roman" w:hAnsi="Times New Roman"/>
          <w:sz w:val="24"/>
          <w:szCs w:val="24"/>
        </w:rPr>
        <w:t>(3), 223–232. doi: 10.1176/appi.ajp.2019.19030256</w:t>
      </w:r>
    </w:p>
    <w:p>
      <w:pPr>
        <w:pStyle w:val="Normal"/>
        <w:tabs/>
        <w:snapToGrid w:val="false"/>
        <w:spacing w:lineRule="auto" w:line="480" w:before="120" w:after="120"/>
        <w:ind w:left="170" w:right="0" w:hanging="170"/>
        <w:jc w:val="both"/>
        <w:rPr/>
      </w:pPr>
      <w:r>
        <w:rPr>
          <w:rFonts w:eastAsia="Times New Roman" w:cs="Times New Roman" w:ascii="Times New Roman" w:hAnsi="Times New Roman"/>
          <w:sz w:val="24"/>
          <w:szCs w:val="24"/>
        </w:rPr>
        <w:t xml:space="preserve">Nagel, M., Watanabe, K., Stringer, S., Posthuma, D., &amp; Van Der Sluis, S. (2018). Item-level analyses reveal genetic heterogeneity in neuroticism. </w:t>
      </w:r>
      <w:r>
        <w:rPr>
          <w:rFonts w:eastAsia="Times New Roman" w:cs="Times New Roman" w:ascii="Times New Roman" w:hAnsi="Times New Roman"/>
          <w:i/>
          <w:iCs/>
          <w:sz w:val="24"/>
          <w:szCs w:val="24"/>
        </w:rPr>
        <w:t>Nature Communications</w:t>
      </w:r>
      <w:r>
        <w:rPr>
          <w:rFonts w:eastAsia="Times New Roman" w:cs="Times New Roman" w:ascii="Times New Roman" w:hAnsi="Times New Roman"/>
          <w:sz w:val="24"/>
          <w:szCs w:val="24"/>
        </w:rPr>
        <w:t xml:space="preserve">, </w:t>
      </w:r>
      <w:r>
        <w:rPr>
          <w:rFonts w:eastAsia="Times New Roman" w:cs="Times New Roman" w:ascii="Times New Roman" w:hAnsi="Times New Roman"/>
          <w:i/>
          <w:iCs/>
          <w:sz w:val="24"/>
          <w:szCs w:val="24"/>
        </w:rPr>
        <w:t>9</w:t>
      </w:r>
      <w:r>
        <w:rPr>
          <w:rFonts w:eastAsia="Times New Roman" w:cs="Times New Roman" w:ascii="Times New Roman" w:hAnsi="Times New Roman"/>
          <w:sz w:val="24"/>
          <w:szCs w:val="24"/>
        </w:rPr>
        <w:t>(1). doi: 10.1038/s41467-018-03242-8</w:t>
      </w:r>
    </w:p>
    <w:p>
      <w:pPr>
        <w:pStyle w:val="Normal"/>
        <w:tabs/>
        <w:snapToGrid w:val="false"/>
        <w:spacing w:lineRule="auto" w:line="480" w:before="120" w:after="120"/>
        <w:ind w:left="170" w:right="0" w:hanging="170"/>
        <w:jc w:val="both"/>
        <w:rPr/>
      </w:pPr>
      <w:r>
        <w:rPr>
          <w:rFonts w:eastAsia="Times New Roman" w:cs="Times New Roman" w:ascii="Times New Roman" w:hAnsi="Times New Roman"/>
          <w:sz w:val="24"/>
          <w:szCs w:val="24"/>
        </w:rPr>
        <w:t xml:space="preserve">Pasman, J. A., Verweij, K. J. H., Gerring, Z., Stringer, S., Sanchez-Roige, S., Treur, J. L., … Vink, J. M. (2018). GWAS of lifetime cannabis use reveals new risk loci, genetic overlap with psychiatric traits, and a causal effect of schizophrenia liability. </w:t>
      </w:r>
      <w:r>
        <w:rPr>
          <w:rFonts w:eastAsia="Times New Roman" w:cs="Times New Roman" w:ascii="Times New Roman" w:hAnsi="Times New Roman"/>
          <w:i/>
          <w:iCs/>
          <w:sz w:val="24"/>
          <w:szCs w:val="24"/>
        </w:rPr>
        <w:t>Nature Neuroscience</w:t>
      </w:r>
      <w:r>
        <w:rPr>
          <w:rFonts w:eastAsia="Times New Roman" w:cs="Times New Roman" w:ascii="Times New Roman" w:hAnsi="Times New Roman"/>
          <w:sz w:val="24"/>
          <w:szCs w:val="24"/>
        </w:rPr>
        <w:t xml:space="preserve">, </w:t>
      </w:r>
      <w:r>
        <w:rPr>
          <w:rFonts w:eastAsia="Times New Roman" w:cs="Times New Roman" w:ascii="Times New Roman" w:hAnsi="Times New Roman"/>
          <w:i/>
          <w:iCs/>
          <w:sz w:val="24"/>
          <w:szCs w:val="24"/>
        </w:rPr>
        <w:t>21</w:t>
      </w:r>
      <w:r>
        <w:rPr>
          <w:rFonts w:eastAsia="Times New Roman" w:cs="Times New Roman" w:ascii="Times New Roman" w:hAnsi="Times New Roman"/>
          <w:sz w:val="24"/>
          <w:szCs w:val="24"/>
        </w:rPr>
        <w:t>(9), 1161–1170. doi: 10.1038/s41593-018-0206-1</w:t>
      </w:r>
    </w:p>
    <w:p>
      <w:pPr>
        <w:pStyle w:val="Normal"/>
        <w:tabs/>
        <w:snapToGrid w:val="false"/>
        <w:spacing w:lineRule="auto" w:line="480" w:before="120" w:after="120"/>
        <w:ind w:left="170" w:right="0" w:hanging="170"/>
        <w:jc w:val="both"/>
        <w:rPr/>
      </w:pPr>
      <w:r>
        <w:rPr>
          <w:rFonts w:eastAsia="Times New Roman" w:cs="Times New Roman" w:ascii="Times New Roman" w:hAnsi="Times New Roman"/>
          <w:sz w:val="24"/>
          <w:szCs w:val="24"/>
        </w:rPr>
        <w:t xml:space="preserve">Sanchez-Roige, S., Palmer, A. A., Fontanillas, P., Elson, S. L., Adams, M. J., Howard, D. M., … Wilson, C. H. (2019). Genome-wide association study meta-analysis of the alcohol use disorders identification test (AUDIT) in two population-based cohorts. </w:t>
      </w:r>
      <w:r>
        <w:rPr>
          <w:rFonts w:eastAsia="Times New Roman" w:cs="Times New Roman" w:ascii="Times New Roman" w:hAnsi="Times New Roman"/>
          <w:i/>
          <w:iCs/>
          <w:sz w:val="24"/>
          <w:szCs w:val="24"/>
        </w:rPr>
        <w:t>American Journal of Psychiatry</w:t>
      </w:r>
      <w:r>
        <w:rPr>
          <w:rFonts w:eastAsia="Times New Roman" w:cs="Times New Roman" w:ascii="Times New Roman" w:hAnsi="Times New Roman"/>
          <w:sz w:val="24"/>
          <w:szCs w:val="24"/>
        </w:rPr>
        <w:t xml:space="preserve">, </w:t>
      </w:r>
      <w:r>
        <w:rPr>
          <w:rFonts w:eastAsia="Times New Roman" w:cs="Times New Roman" w:ascii="Times New Roman" w:hAnsi="Times New Roman"/>
          <w:i/>
          <w:iCs/>
          <w:sz w:val="24"/>
          <w:szCs w:val="24"/>
        </w:rPr>
        <w:t>176</w:t>
      </w:r>
      <w:r>
        <w:rPr>
          <w:rFonts w:eastAsia="Times New Roman" w:cs="Times New Roman" w:ascii="Times New Roman" w:hAnsi="Times New Roman"/>
          <w:sz w:val="24"/>
          <w:szCs w:val="24"/>
        </w:rPr>
        <w:t>(2), 107–118. doi: 10.1176/appi.ajp.2018.18040369</w:t>
      </w:r>
    </w:p>
    <w:p>
      <w:pPr>
        <w:pStyle w:val="Normal"/>
        <w:tabs/>
        <w:snapToGrid w:val="false"/>
        <w:spacing w:lineRule="auto" w:line="480" w:before="120" w:after="120"/>
        <w:ind w:left="170" w:right="0" w:hanging="170"/>
        <w:jc w:val="both"/>
        <w:rPr/>
      </w:pPr>
      <w:r>
        <w:rPr>
          <w:rFonts w:eastAsia="Times New Roman" w:cs="Times New Roman" w:ascii="Times New Roman" w:hAnsi="Times New Roman"/>
          <w:sz w:val="24"/>
          <w:szCs w:val="24"/>
        </w:rPr>
        <w:t xml:space="preserve">Wray, N. R., Ripke, S., Mattheisen, M., Trzaskowski, M., Byrne, E. M., Abdellaoui, A., … Sullivan, P. F. (2018). Genome-wide association analyses identify 44 risk variants and refine the genetic architecture of major depression. </w:t>
      </w:r>
      <w:r>
        <w:rPr>
          <w:rFonts w:eastAsia="Times New Roman" w:cs="Times New Roman" w:ascii="Times New Roman" w:hAnsi="Times New Roman"/>
          <w:i/>
          <w:iCs/>
          <w:sz w:val="24"/>
          <w:szCs w:val="24"/>
        </w:rPr>
        <w:t>Nature Genetics</w:t>
      </w:r>
      <w:r>
        <w:rPr>
          <w:rFonts w:eastAsia="Times New Roman" w:cs="Times New Roman" w:ascii="Times New Roman" w:hAnsi="Times New Roman"/>
          <w:sz w:val="24"/>
          <w:szCs w:val="24"/>
        </w:rPr>
        <w:t xml:space="preserve">, </w:t>
      </w:r>
      <w:r>
        <w:rPr>
          <w:rFonts w:eastAsia="Times New Roman" w:cs="Times New Roman" w:ascii="Times New Roman" w:hAnsi="Times New Roman"/>
          <w:i/>
          <w:iCs/>
          <w:sz w:val="24"/>
          <w:szCs w:val="24"/>
        </w:rPr>
        <w:t>50</w:t>
      </w:r>
      <w:r>
        <w:rPr>
          <w:rFonts w:eastAsia="Times New Roman" w:cs="Times New Roman" w:ascii="Times New Roman" w:hAnsi="Times New Roman"/>
          <w:sz w:val="24"/>
          <w:szCs w:val="24"/>
        </w:rPr>
        <w:t>(5), 668–681. doi: 10.1038/s41588-018-0090-3</w:t>
      </w:r>
    </w:p>
    <w:p>
      <w:pPr>
        <w:pStyle w:val="Normal"/>
        <w:tabs/>
        <w:snapToGrid w:val="false"/>
        <w:spacing w:lineRule="auto" w:line="480" w:before="120" w:after="120"/>
        <w:ind w:left="170" w:right="0" w:hanging="170"/>
        <w:jc w:val="both"/>
        <w:rPr>
          <w:rFonts w:ascii="Times New Roman" w:hAnsi="Times New Roman" w:eastAsia="Times New Roman" w:cs="Times New Roman"/>
          <w:lang w:val="en-US"/>
        </w:rPr>
      </w:pPr>
      <w:r>
        <w:rPr>
          <w:rFonts w:eastAsia="Times New Roman" w:cs="Times New Roman" w:ascii="Times New Roman" w:hAnsi="Times New Roman"/>
          <w:lang w:val="en-US"/>
        </w:rPr>
      </w:r>
    </w:p>
    <w:p>
      <w:pPr>
        <w:pStyle w:val="Normal"/>
        <w:tabs/>
        <w:spacing w:lineRule="auto" w:line="240" w:before="0" w:after="0"/>
        <w:ind w:left="170" w:right="0" w:hanging="170"/>
        <w:rPr>
          <w:rFonts w:ascii="Times New Roman" w:hAnsi="Times New Roman" w:eastAsia="Calibri" w:cs="Times New Roman"/>
          <w:sz w:val="24"/>
          <w:szCs w:val="24"/>
          <w:lang w:val="en-US"/>
        </w:rPr>
      </w:pPr>
      <w:r>
        <w:rPr>
          <w:rFonts w:eastAsia="Calibri" w:cs="Times New Roman" w:ascii="Times New Roman" w:hAnsi="Times New Roman"/>
          <w:sz w:val="24"/>
          <w:szCs w:val="24"/>
          <w:lang w:val="en-US"/>
        </w:rPr>
      </w:r>
      <w:r>
        <w:br w:type="page"/>
      </w:r>
    </w:p>
    <w:p>
      <w:pPr>
        <w:pStyle w:val="Normal"/>
        <w:spacing w:lineRule="auto" w:line="360" w:before="0" w:after="120"/>
        <w:jc w:val="both"/>
        <w:rPr>
          <w:rFonts w:asciiTheme="minorHAnsi" w:cstheme="minorBidi" w:eastAsiaTheme="minorHAnsi" w:hAnsiTheme="minorHAnsi"/>
          <w:highlight w:val="none"/>
          <w:shd w:fill="auto" w:val="clear"/>
        </w:rPr>
      </w:pPr>
      <w:r>
        <w:rPr>
          <w:rFonts w:eastAsia="Calibri" w:cs="Times New Roman" w:ascii="Times New Roman" w:hAnsi="Times New Roman"/>
          <w:sz w:val="24"/>
          <w:szCs w:val="24"/>
          <w:shd w:fill="auto" w:val="clear"/>
          <w:lang w:val="en-US"/>
        </w:rPr>
        <w:t>Supplementary Figure 1.Scatter plot of univariate MiXeR AIC versus GWAS power, estimated as the product of the effective sample size (N</w:t>
      </w:r>
      <w:r>
        <w:rPr>
          <w:rFonts w:eastAsia="Calibri" w:cs="Times New Roman" w:ascii="Times New Roman" w:hAnsi="Times New Roman"/>
          <w:sz w:val="24"/>
          <w:szCs w:val="24"/>
          <w:shd w:fill="auto" w:val="clear"/>
          <w:vertAlign w:val="subscript"/>
          <w:lang w:val="en-US"/>
        </w:rPr>
        <w:t>eff</w:t>
      </w:r>
      <w:r>
        <w:rPr>
          <w:rFonts w:eastAsia="Calibri" w:cs="Times New Roman" w:ascii="Times New Roman" w:hAnsi="Times New Roman"/>
          <w:sz w:val="24"/>
          <w:szCs w:val="24"/>
          <w:shd w:fill="auto" w:val="clear"/>
          <w:lang w:val="en-US"/>
        </w:rPr>
        <w:t>) and the SNP-based heritability (h</w:t>
      </w:r>
      <w:r>
        <w:rPr>
          <w:rFonts w:eastAsia="Calibri" w:cs="Times New Roman" w:ascii="Times New Roman" w:hAnsi="Times New Roman"/>
          <w:sz w:val="24"/>
          <w:szCs w:val="24"/>
          <w:shd w:fill="auto" w:val="clear"/>
          <w:vertAlign w:val="superscript"/>
          <w:lang w:val="en-US"/>
        </w:rPr>
        <w:t>2</w:t>
      </w:r>
      <w:r>
        <w:rPr>
          <w:rFonts w:eastAsia="Calibri" w:cs="Times New Roman" w:ascii="Times New Roman" w:hAnsi="Times New Roman"/>
          <w:sz w:val="24"/>
          <w:szCs w:val="24"/>
          <w:shd w:fill="auto" w:val="clear"/>
          <w:vertAlign w:val="subscript"/>
          <w:lang w:val="en-US"/>
        </w:rPr>
        <w:t>SNP</w:t>
      </w:r>
      <w:r>
        <w:rPr>
          <w:rFonts w:eastAsia="Calibri" w:cs="Times New Roman" w:ascii="Times New Roman" w:hAnsi="Times New Roman"/>
          <w:sz w:val="24"/>
          <w:szCs w:val="24"/>
          <w:shd w:fill="auto" w:val="clear"/>
          <w:lang w:val="en-US"/>
        </w:rPr>
        <w:t>). Traits are described in Supplementary Table 1.</w:t>
      </w:r>
    </w:p>
    <w:p>
      <w:pPr>
        <w:pStyle w:val="Normal"/>
        <w:spacing w:lineRule="auto" w:line="360" w:before="0" w:after="120"/>
        <w:jc w:val="both"/>
        <w:rPr>
          <w:rFonts w:ascii="Times New Roman" w:hAnsi="Times New Roman" w:eastAsia="Calibri" w:cs="Times New Roman"/>
          <w:sz w:val="24"/>
          <w:szCs w:val="24"/>
          <w:highlight w:val="yellow"/>
          <w:lang w:val="en-US"/>
        </w:rPr>
      </w:pPr>
      <w:r>
        <w:rPr/>
        <w:drawing>
          <wp:inline distT="0" distB="0" distL="0" distR="0">
            <wp:extent cx="5400040" cy="5400040"/>
            <wp:effectExtent l="0" t="0" r="0" b="0"/>
            <wp:docPr id="1" name="Imagen 1" descr="Gráfico, Gráfico de dispers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Gráfico, Gráfico de dispersión&#10;&#10;Descripción generada automáticamente"/>
                    <pic:cNvPicPr>
                      <a:picLocks noChangeAspect="1" noChangeArrowheads="1"/>
                    </pic:cNvPicPr>
                  </pic:nvPicPr>
                  <pic:blipFill>
                    <a:blip r:embed="rId2"/>
                    <a:stretch>
                      <a:fillRect/>
                    </a:stretch>
                  </pic:blipFill>
                  <pic:spPr bwMode="auto">
                    <a:xfrm>
                      <a:off x="0" y="0"/>
                      <a:ext cx="5400040" cy="5400040"/>
                    </a:xfrm>
                    <a:prstGeom prst="rect">
                      <a:avLst/>
                    </a:prstGeom>
                  </pic:spPr>
                </pic:pic>
              </a:graphicData>
            </a:graphic>
          </wp:inline>
        </w:drawing>
      </w:r>
    </w:p>
    <w:p>
      <w:pPr>
        <w:sectPr>
          <w:type w:val="nextPage"/>
          <w:pgSz w:w="11906" w:h="16838"/>
          <w:pgMar w:left="1701" w:right="1701" w:gutter="0" w:header="0" w:top="1417" w:footer="0" w:bottom="1417"/>
          <w:pgNumType w:fmt="decimal"/>
          <w:formProt w:val="false"/>
          <w:textDirection w:val="lrTb"/>
          <w:docGrid w:type="default" w:linePitch="360" w:charSpace="8192"/>
        </w:sectPr>
        <w:pStyle w:val="Normal"/>
        <w:spacing w:lineRule="auto" w:line="360" w:before="0" w:after="120"/>
        <w:jc w:val="both"/>
        <w:rPr>
          <w:rFonts w:ascii="Times New Roman" w:hAnsi="Times New Roman" w:cs="Times New Roman"/>
          <w:sz w:val="24"/>
          <w:szCs w:val="24"/>
          <w:lang w:val="en-US"/>
        </w:rPr>
      </w:pPr>
      <w:r>
        <w:rPr>
          <w:rFonts w:cs="Times New Roman" w:ascii="Times New Roman" w:hAnsi="Times New Roman"/>
          <w:sz w:val="24"/>
          <w:szCs w:val="24"/>
          <w:lang w:val="en-US"/>
        </w:rPr>
      </w:r>
    </w:p>
    <w:p>
      <w:pPr>
        <w:pStyle w:val="Normal"/>
        <w:spacing w:lineRule="auto" w:line="360" w:before="0" w:after="120"/>
        <w:jc w:val="both"/>
        <w:rPr>
          <w:rFonts w:ascii="Times New Roman" w:hAnsi="Times New Roman" w:eastAsia="Calibri" w:cs="Times New Roman"/>
          <w:sz w:val="24"/>
          <w:szCs w:val="24"/>
          <w:lang w:val="en-US"/>
        </w:rPr>
      </w:pPr>
      <w:r>
        <w:rPr>
          <w:rFonts w:eastAsia="Calibri" w:cs="Times New Roman" w:ascii="Times New Roman" w:hAnsi="Times New Roman"/>
          <w:sz w:val="24"/>
          <w:szCs w:val="24"/>
          <w:shd w:fill="auto" w:val="clear"/>
          <w:lang w:val="en-US"/>
        </w:rPr>
        <w:t>Supplementary Figure 2. M</w:t>
      </w:r>
      <w:r>
        <w:rPr>
          <w:rFonts w:eastAsia="Calibri" w:cs="Times New Roman" w:ascii="Times New Roman" w:hAnsi="Times New Roman"/>
          <w:sz w:val="24"/>
          <w:szCs w:val="24"/>
          <w:lang w:val="en-US"/>
        </w:rPr>
        <w:t>iXeR Venn diagrams showing the number (in thousands) of shared and unique causal variants for each pair of traits. Genome-wide genetic correlation (r</w:t>
      </w:r>
      <w:r>
        <w:rPr>
          <w:rFonts w:eastAsia="Calibri" w:cs="Times New Roman" w:ascii="Times New Roman" w:hAnsi="Times New Roman"/>
          <w:sz w:val="24"/>
          <w:szCs w:val="24"/>
          <w:vertAlign w:val="subscript"/>
          <w:lang w:val="en-US"/>
        </w:rPr>
        <w:t>g</w:t>
      </w:r>
      <w:r>
        <w:rPr>
          <w:rFonts w:eastAsia="Calibri" w:cs="Times New Roman" w:ascii="Times New Roman" w:hAnsi="Times New Roman"/>
          <w:sz w:val="24"/>
          <w:szCs w:val="24"/>
          <w:lang w:val="en-US"/>
        </w:rPr>
        <w:t xml:space="preserve">) is also shown for each pair of traits. </w:t>
      </w:r>
    </w:p>
    <w:p>
      <w:pPr>
        <w:sectPr>
          <w:type w:val="nextPage"/>
          <w:pgSz w:orient="landscape" w:w="16838" w:h="11906"/>
          <w:pgMar w:left="1417" w:right="1417" w:gutter="0" w:header="0" w:top="1701" w:footer="0" w:bottom="1701"/>
          <w:pgNumType w:fmt="decimal"/>
          <w:formProt w:val="false"/>
          <w:textDirection w:val="lrTb"/>
          <w:docGrid w:type="default" w:linePitch="360" w:charSpace="8192"/>
        </w:sectPr>
        <w:pStyle w:val="Normal"/>
        <w:spacing w:lineRule="auto" w:line="360" w:before="0" w:after="120"/>
        <w:jc w:val="both"/>
        <w:rPr>
          <w:rFonts w:ascii="Times New Roman" w:hAnsi="Times New Roman" w:eastAsia="Calibri" w:cs="Times New Roman"/>
          <w:sz w:val="24"/>
          <w:szCs w:val="24"/>
          <w:lang w:val="en-US"/>
        </w:rPr>
      </w:pPr>
      <w:r>
        <w:rPr/>
        <w:drawing>
          <wp:inline distT="0" distB="0" distL="0" distR="0">
            <wp:extent cx="8892540" cy="3383280"/>
            <wp:effectExtent l="0" t="0" r="0" b="0"/>
            <wp:docPr id="2" name="Imagen2" descr="Gráfico, Gráfico de burbuja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2" descr="Gráfico, Gráfico de burbujas&#10;&#10;Descripción generada automáticamente"/>
                    <pic:cNvPicPr>
                      <a:picLocks noChangeAspect="1" noChangeArrowheads="1"/>
                    </pic:cNvPicPr>
                  </pic:nvPicPr>
                  <pic:blipFill>
                    <a:blip r:embed="rId3"/>
                    <a:stretch>
                      <a:fillRect/>
                    </a:stretch>
                  </pic:blipFill>
                  <pic:spPr bwMode="auto">
                    <a:xfrm>
                      <a:off x="0" y="0"/>
                      <a:ext cx="8892540" cy="3383280"/>
                    </a:xfrm>
                    <a:prstGeom prst="rect">
                      <a:avLst/>
                    </a:prstGeom>
                  </pic:spPr>
                </pic:pic>
              </a:graphicData>
            </a:graphic>
          </wp:inline>
        </w:drawing>
      </w:r>
    </w:p>
    <w:p>
      <w:pPr>
        <w:pStyle w:val="Normal"/>
        <w:spacing w:lineRule="auto" w:line="360" w:before="0" w:after="120"/>
        <w:jc w:val="both"/>
        <w:rPr>
          <w:rFonts w:ascii="Times New Roman" w:hAnsi="Times New Roman" w:eastAsia="Calibri" w:cs="Times New Roman"/>
          <w:sz w:val="24"/>
          <w:szCs w:val="24"/>
          <w:lang w:val="en-US"/>
        </w:rPr>
      </w:pPr>
      <w:r>
        <w:rPr>
          <w:rFonts w:eastAsia="Calibri" w:cs="Times New Roman" w:ascii="Times New Roman" w:hAnsi="Times New Roman"/>
          <w:sz w:val="24"/>
          <w:szCs w:val="24"/>
          <w:lang w:val="en-US"/>
        </w:rPr>
        <w:t>Supplementary Table 1. Additional GWAS summary statistics with poor MiXeR model fit discarded for MiXeR analysis.</w:t>
      </w:r>
    </w:p>
    <w:tbl>
      <w:tblPr>
        <w:tblW w:w="14004" w:type="dxa"/>
        <w:jc w:val="center"/>
        <w:tblInd w:w="0" w:type="dxa"/>
        <w:tblLayout w:type="fixed"/>
        <w:tblCellMar>
          <w:top w:w="28" w:type="dxa"/>
          <w:left w:w="28" w:type="dxa"/>
          <w:bottom w:w="28" w:type="dxa"/>
          <w:right w:w="28" w:type="dxa"/>
        </w:tblCellMar>
        <w:tblLook w:firstRow="0" w:noVBand="1" w:lastRow="0" w:firstColumn="0" w:lastColumn="0" w:noHBand="1" w:val="0600"/>
      </w:tblPr>
      <w:tblGrid>
        <w:gridCol w:w="1275"/>
        <w:gridCol w:w="6946"/>
        <w:gridCol w:w="3546"/>
        <w:gridCol w:w="2236"/>
      </w:tblGrid>
      <w:tr>
        <w:trPr>
          <w:trHeight w:val="57" w:hRule="atLeast"/>
        </w:trPr>
        <w:tc>
          <w:tcPr>
            <w:tcW w:w="1275" w:type="dxa"/>
            <w:tcBorders>
              <w:top w:val="single" w:sz="8" w:space="0" w:color="000000"/>
              <w:bottom w:val="single" w:sz="8" w:space="0" w:color="000000"/>
            </w:tcBorders>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Trait</w:t>
            </w:r>
          </w:p>
        </w:tc>
        <w:tc>
          <w:tcPr>
            <w:tcW w:w="6946" w:type="dxa"/>
            <w:tcBorders>
              <w:top w:val="single" w:sz="8" w:space="0" w:color="000000"/>
              <w:bottom w:val="single" w:sz="8" w:space="0" w:color="000000"/>
            </w:tcBorders>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Description</w:t>
            </w:r>
          </w:p>
        </w:tc>
        <w:tc>
          <w:tcPr>
            <w:tcW w:w="3546" w:type="dxa"/>
            <w:tcBorders>
              <w:top w:val="single" w:sz="8" w:space="0" w:color="000000"/>
              <w:bottom w:val="single" w:sz="8" w:space="0" w:color="000000"/>
            </w:tcBorders>
            <w:tcMar>
              <w:top w:w="57" w:type="dxa"/>
              <w:left w:w="113" w:type="dxa"/>
              <w:bottom w:w="57" w:type="dxa"/>
              <w:right w:w="113" w:type="dxa"/>
            </w:tcM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Source</w:t>
            </w:r>
          </w:p>
        </w:tc>
        <w:tc>
          <w:tcPr>
            <w:tcW w:w="2236" w:type="dxa"/>
            <w:tcBorders>
              <w:top w:val="single" w:sz="8" w:space="0" w:color="000000"/>
              <w:bottom w:val="single" w:sz="8" w:space="0" w:color="000000"/>
            </w:tcBorders>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Sample size (N cases)</w:t>
            </w:r>
          </w:p>
        </w:tc>
      </w:tr>
      <w:tr>
        <w:trPr>
          <w:trHeight w:val="57" w:hRule="atLeast"/>
        </w:trPr>
        <w:tc>
          <w:tcPr>
            <w:tcW w:w="14003" w:type="dxa"/>
            <w:gridSpan w:val="4"/>
            <w:tcBorders>
              <w:top w:val="single" w:sz="8" w:space="0" w:color="000000"/>
              <w:bottom w:val="single" w:sz="8" w:space="0" w:color="000000"/>
            </w:tcBorders>
            <w:shd w:color="auto" w:fill="auto" w:val="clear"/>
            <w:vAlign w:val="center"/>
          </w:tcPr>
          <w:p>
            <w:pPr>
              <w:pStyle w:val="Normal"/>
              <w:widowControl w:val="false"/>
              <w:spacing w:lineRule="auto" w:line="240" w:before="0" w:after="0"/>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SUBs and SUDs or SUD-proxies</w:t>
            </w:r>
          </w:p>
        </w:tc>
      </w:tr>
      <w:tr>
        <w:trPr>
          <w:trHeight w:val="57" w:hRule="atLeast"/>
        </w:trPr>
        <w:tc>
          <w:tcPr>
            <w:tcW w:w="1275" w:type="dxa"/>
            <w:tcBorders>
              <w:top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TUD</w:t>
            </w:r>
          </w:p>
        </w:tc>
        <w:tc>
          <w:tcPr>
            <w:tcW w:w="6946" w:type="dxa"/>
            <w:tcBorders>
              <w:top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Tobacco use disorder, i.e., harmful use or dependence</w:t>
            </w:r>
          </w:p>
        </w:tc>
        <w:tc>
          <w:tcPr>
            <w:tcW w:w="3546" w:type="dxa"/>
            <w:tcBorders>
              <w:top w:val="single" w:sz="8" w:space="0" w:color="000000"/>
            </w:tcBorders>
            <w:tcMar>
              <w:top w:w="57" w:type="dxa"/>
              <w:left w:w="113" w:type="dxa"/>
              <w:bottom w:w="57" w:type="dxa"/>
              <w:right w:w="113" w:type="dxa"/>
            </w:tcMar>
            <w:vAlign w:val="center"/>
          </w:tcPr>
          <w:p>
            <w:pPr>
              <w:pStyle w:val="Normal"/>
              <w:widowControl w:val="false"/>
              <w:spacing w:lineRule="auto" w:line="240" w:before="0" w:after="0"/>
              <w:jc w:val="center"/>
              <w:rPr>
                <w:rFonts w:ascii="Times New Roman" w:hAnsi="Times New Roman" w:eastAsia="Calibri" w:cs="Times New Roman"/>
                <w:sz w:val="24"/>
                <w:szCs w:val="24"/>
                <w:lang w:val="en-US"/>
              </w:rPr>
            </w:pPr>
            <w:r>
              <w:rPr>
                <w:rFonts w:eastAsia="Calibri" w:cs="Times New Roman" w:ascii="Times New Roman" w:hAnsi="Times New Roman"/>
                <w:bCs/>
                <w:sz w:val="24"/>
                <w:szCs w:val="24"/>
                <w:lang w:val="en-US"/>
              </w:rPr>
              <w:t>Own GWAS using UK Biobank samples</w:t>
            </w:r>
          </w:p>
        </w:tc>
        <w:tc>
          <w:tcPr>
            <w:tcW w:w="2236" w:type="dxa"/>
            <w:tcBorders>
              <w:top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409,535 (19,085)</w:t>
            </w:r>
          </w:p>
        </w:tc>
      </w:tr>
      <w:tr>
        <w:trPr>
          <w:trHeight w:val="57" w:hRule="atLeast"/>
        </w:trPr>
        <w:tc>
          <w:tcPr>
            <w:tcW w:w="1275"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AUDIT-C</w:t>
            </w:r>
          </w:p>
        </w:tc>
        <w:tc>
          <w:tcPr>
            <w:tcW w:w="6946"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Alcohol Use Disorders</w:t>
            </w:r>
          </w:p>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Identification Test (AUDIT): items related to alcohol consumption</w:t>
            </w:r>
          </w:p>
        </w:tc>
        <w:tc>
          <w:tcPr>
            <w:tcW w:w="3546" w:type="dxa"/>
            <w:tcBorders/>
            <w:tcMar>
              <w:top w:w="57" w:type="dxa"/>
              <w:left w:w="113" w:type="dxa"/>
              <w:bottom w:w="57" w:type="dxa"/>
              <w:right w:w="113" w:type="dxa"/>
            </w:tcM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sdt>
              <w:sdtPr>
                <w:id w:val="1176472898"/>
                <w:placeholder>
                  <w:docPart w:val="DefaultPlaceholder_-1854013440"/>
                </w:placeholder>
              </w:sdtPr>
              <w:sdtContent>
                <w:r>
                  <w:rPr/>
                  <w:t>(Sanchez-Roige et al., 2019)</w:t>
                </w:r>
              </w:sdtContent>
            </w:sdt>
          </w:p>
        </w:tc>
        <w:tc>
          <w:tcPr>
            <w:tcW w:w="2236"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121,604</w:t>
            </w:r>
          </w:p>
        </w:tc>
      </w:tr>
      <w:tr>
        <w:trPr>
          <w:trHeight w:val="57" w:hRule="atLeast"/>
        </w:trPr>
        <w:tc>
          <w:tcPr>
            <w:tcW w:w="1275"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AUDIT-P</w:t>
            </w:r>
          </w:p>
        </w:tc>
        <w:tc>
          <w:tcPr>
            <w:tcW w:w="6946"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Alcohol Use Disorders Identification Test (AUDIT): items related to problematic consequences of drinking</w:t>
            </w:r>
          </w:p>
        </w:tc>
        <w:tc>
          <w:tcPr>
            <w:tcW w:w="3546" w:type="dxa"/>
            <w:tcBorders/>
            <w:tcMar>
              <w:top w:w="57" w:type="dxa"/>
              <w:left w:w="113" w:type="dxa"/>
              <w:bottom w:w="57" w:type="dxa"/>
              <w:right w:w="113" w:type="dxa"/>
            </w:tcM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sdt>
              <w:sdtPr>
                <w:id w:val="1022406387"/>
                <w:placeholder>
                  <w:docPart w:val="DefaultPlaceholder_-1854013440"/>
                </w:placeholder>
              </w:sdtPr>
              <w:sdtContent>
                <w:r>
                  <w:rPr/>
                  <w:t>(Sanchez-Roige et al., 2019)</w:t>
                </w:r>
              </w:sdtContent>
            </w:sdt>
          </w:p>
        </w:tc>
        <w:tc>
          <w:tcPr>
            <w:tcW w:w="2236"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121,604</w:t>
            </w:r>
          </w:p>
        </w:tc>
      </w:tr>
      <w:tr>
        <w:trPr>
          <w:trHeight w:val="57" w:hRule="atLeast"/>
        </w:trPr>
        <w:tc>
          <w:tcPr>
            <w:tcW w:w="1275"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CANN</w:t>
            </w:r>
          </w:p>
        </w:tc>
        <w:tc>
          <w:tcPr>
            <w:tcW w:w="6946"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Lifetime cannabis use, i.e., ever versus never used cannabis</w:t>
            </w:r>
          </w:p>
        </w:tc>
        <w:tc>
          <w:tcPr>
            <w:tcW w:w="3546" w:type="dxa"/>
            <w:tcBorders/>
            <w:tcMar>
              <w:top w:w="57" w:type="dxa"/>
              <w:left w:w="113" w:type="dxa"/>
              <w:bottom w:w="57" w:type="dxa"/>
              <w:right w:w="113" w:type="dxa"/>
            </w:tcM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sdt>
              <w:sdtPr>
                <w:id w:val="1531947191"/>
                <w:placeholder>
                  <w:docPart w:val="DefaultPlaceholder_-1854013440"/>
                </w:placeholder>
              </w:sdtPr>
              <w:sdtContent>
                <w:r>
                  <w:rPr/>
                  <w:t>(Pasman et al., 2018)</w:t>
                </w:r>
              </w:sdtContent>
            </w:sdt>
          </w:p>
        </w:tc>
        <w:tc>
          <w:tcPr>
            <w:tcW w:w="2236"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162,082 (43,380)</w:t>
            </w:r>
          </w:p>
        </w:tc>
      </w:tr>
      <w:tr>
        <w:trPr>
          <w:trHeight w:val="57" w:hRule="atLeast"/>
        </w:trPr>
        <w:tc>
          <w:tcPr>
            <w:tcW w:w="1275" w:type="dxa"/>
            <w:tcBorders>
              <w:bottom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CUD</w:t>
            </w:r>
          </w:p>
        </w:tc>
        <w:tc>
          <w:tcPr>
            <w:tcW w:w="6946" w:type="dxa"/>
            <w:tcBorders>
              <w:bottom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Cannabis use disorder, i.e., cannabis abuse or dependence</w:t>
            </w:r>
          </w:p>
        </w:tc>
        <w:tc>
          <w:tcPr>
            <w:tcW w:w="3546" w:type="dxa"/>
            <w:tcBorders>
              <w:bottom w:val="single" w:sz="8" w:space="0" w:color="000000"/>
            </w:tcBorders>
            <w:tcMar>
              <w:top w:w="57" w:type="dxa"/>
              <w:left w:w="113" w:type="dxa"/>
              <w:bottom w:w="57" w:type="dxa"/>
              <w:right w:w="113" w:type="dxa"/>
            </w:tcM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sdt>
              <w:sdtPr>
                <w:id w:val="1161436697"/>
                <w:placeholder>
                  <w:docPart w:val="DefaultPlaceholder_-1854013440"/>
                </w:placeholder>
              </w:sdtPr>
              <w:sdtContent>
                <w:r>
                  <w:rPr/>
                  <w:t>(Johnson et al., 2020)</w:t>
                </w:r>
              </w:sdtContent>
            </w:sdt>
          </w:p>
        </w:tc>
        <w:tc>
          <w:tcPr>
            <w:tcW w:w="2236" w:type="dxa"/>
            <w:tcBorders>
              <w:bottom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357,806 (14,080)</w:t>
            </w:r>
          </w:p>
        </w:tc>
      </w:tr>
      <w:tr>
        <w:trPr>
          <w:trHeight w:val="57" w:hRule="atLeast"/>
        </w:trPr>
        <w:tc>
          <w:tcPr>
            <w:tcW w:w="14003" w:type="dxa"/>
            <w:gridSpan w:val="4"/>
            <w:tcBorders>
              <w:top w:val="single" w:sz="8" w:space="0" w:color="000000"/>
              <w:bottom w:val="single" w:sz="8" w:space="0" w:color="000000"/>
            </w:tcBorders>
            <w:shd w:color="auto" w:fill="auto" w:val="clear"/>
            <w:vAlign w:val="center"/>
          </w:tcPr>
          <w:p>
            <w:pPr>
              <w:pStyle w:val="Normal"/>
              <w:widowControl w:val="false"/>
              <w:spacing w:lineRule="auto" w:line="240" w:before="0" w:after="0"/>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Externalizing traits</w:t>
            </w:r>
          </w:p>
        </w:tc>
      </w:tr>
      <w:tr>
        <w:trPr>
          <w:trHeight w:val="57" w:hRule="atLeast"/>
        </w:trPr>
        <w:tc>
          <w:tcPr>
            <w:tcW w:w="1275" w:type="dxa"/>
            <w:tcBorders>
              <w:top w:val="single" w:sz="8" w:space="0" w:color="000000"/>
              <w:bottom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AGG</w:t>
            </w:r>
          </w:p>
        </w:tc>
        <w:tc>
          <w:tcPr>
            <w:tcW w:w="6946" w:type="dxa"/>
            <w:tcBorders>
              <w:top w:val="single" w:sz="8" w:space="0" w:color="000000"/>
              <w:bottom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Childhood aggressive behavior assessed on continuous scales</w:t>
            </w:r>
          </w:p>
        </w:tc>
        <w:tc>
          <w:tcPr>
            <w:tcW w:w="3546" w:type="dxa"/>
            <w:tcBorders>
              <w:top w:val="single" w:sz="8" w:space="0" w:color="000000"/>
              <w:bottom w:val="single" w:sz="8" w:space="0" w:color="000000"/>
            </w:tcBorders>
            <w:tcMar>
              <w:top w:w="57" w:type="dxa"/>
              <w:left w:w="113" w:type="dxa"/>
              <w:bottom w:w="57" w:type="dxa"/>
              <w:right w:w="113" w:type="dxa"/>
            </w:tcM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sdt>
              <w:sdtPr>
                <w:id w:val="1809952325"/>
                <w:placeholder>
                  <w:docPart w:val="DefaultPlaceholder_-1854013440"/>
                </w:placeholder>
              </w:sdtPr>
              <w:sdtContent>
                <w:r>
                  <w:rPr/>
                  <w:t>(Ip et al., 2021)</w:t>
                </w:r>
              </w:sdtContent>
            </w:sdt>
          </w:p>
        </w:tc>
        <w:tc>
          <w:tcPr>
            <w:tcW w:w="2236" w:type="dxa"/>
            <w:tcBorders>
              <w:top w:val="single" w:sz="8" w:space="0" w:color="000000"/>
              <w:bottom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vertAlign w:val="superscript"/>
                <w:lang w:val="en-US"/>
              </w:rPr>
            </w:pPr>
            <w:r>
              <w:rPr>
                <w:rFonts w:eastAsia="Calibri" w:cs="Times New Roman" w:ascii="Times New Roman" w:hAnsi="Times New Roman"/>
                <w:bCs/>
                <w:sz w:val="24"/>
                <w:szCs w:val="24"/>
                <w:lang w:val="en-US"/>
              </w:rPr>
              <w:t>151,741</w:t>
            </w:r>
            <w:r>
              <w:rPr>
                <w:rFonts w:eastAsia="Calibri" w:cs="Times New Roman" w:ascii="Times New Roman" w:hAnsi="Times New Roman"/>
                <w:bCs/>
                <w:sz w:val="24"/>
                <w:szCs w:val="24"/>
                <w:vertAlign w:val="superscript"/>
                <w:lang w:val="en-US"/>
              </w:rPr>
              <w:t>1</w:t>
            </w:r>
          </w:p>
        </w:tc>
      </w:tr>
      <w:tr>
        <w:trPr>
          <w:trHeight w:val="57" w:hRule="atLeast"/>
        </w:trPr>
        <w:tc>
          <w:tcPr>
            <w:tcW w:w="14003" w:type="dxa"/>
            <w:gridSpan w:val="4"/>
            <w:tcBorders>
              <w:top w:val="single" w:sz="8" w:space="0" w:color="000000"/>
              <w:bottom w:val="single" w:sz="8" w:space="0" w:color="000000"/>
            </w:tcBorders>
            <w:shd w:color="auto" w:fill="auto" w:val="clear"/>
            <w:vAlign w:val="center"/>
          </w:tcPr>
          <w:p>
            <w:pPr>
              <w:pStyle w:val="Normal"/>
              <w:widowControl w:val="false"/>
              <w:spacing w:lineRule="auto" w:line="240" w:before="0" w:after="0"/>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Internalizing traits</w:t>
            </w:r>
          </w:p>
        </w:tc>
      </w:tr>
      <w:tr>
        <w:trPr>
          <w:trHeight w:val="57" w:hRule="atLeast"/>
        </w:trPr>
        <w:tc>
          <w:tcPr>
            <w:tcW w:w="1275" w:type="dxa"/>
            <w:tcBorders>
              <w:top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MDD</w:t>
            </w:r>
          </w:p>
        </w:tc>
        <w:tc>
          <w:tcPr>
            <w:tcW w:w="6946" w:type="dxa"/>
            <w:tcBorders>
              <w:top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Major depressive disorder</w:t>
            </w:r>
          </w:p>
        </w:tc>
        <w:tc>
          <w:tcPr>
            <w:tcW w:w="3546" w:type="dxa"/>
            <w:tcBorders>
              <w:top w:val="single" w:sz="8" w:space="0" w:color="000000"/>
            </w:tcBorders>
            <w:tcMar>
              <w:top w:w="57" w:type="dxa"/>
              <w:left w:w="113" w:type="dxa"/>
              <w:bottom w:w="57" w:type="dxa"/>
              <w:right w:w="113" w:type="dxa"/>
            </w:tcM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sdt>
              <w:sdtPr>
                <w:id w:val="1989652434"/>
                <w:placeholder>
                  <w:docPart w:val="DefaultPlaceholder_-1854013440"/>
                </w:placeholder>
              </w:sdtPr>
              <w:sdtContent>
                <w:r>
                  <w:rPr/>
                  <w:t>(Wray et al., 2018)</w:t>
                </w:r>
              </w:sdtContent>
            </w:sdt>
          </w:p>
        </w:tc>
        <w:tc>
          <w:tcPr>
            <w:tcW w:w="2236" w:type="dxa"/>
            <w:tcBorders>
              <w:top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173,005 (59,851)</w:t>
            </w:r>
          </w:p>
        </w:tc>
      </w:tr>
      <w:tr>
        <w:trPr>
          <w:trHeight w:val="57" w:hRule="atLeast"/>
        </w:trPr>
        <w:tc>
          <w:tcPr>
            <w:tcW w:w="1275"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GAD</w:t>
            </w:r>
          </w:p>
        </w:tc>
        <w:tc>
          <w:tcPr>
            <w:tcW w:w="6946"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Self-response to Generalized Anxiety Disorder 2-item scale</w:t>
            </w:r>
          </w:p>
        </w:tc>
        <w:tc>
          <w:tcPr>
            <w:tcW w:w="3546" w:type="dxa"/>
            <w:tcBorders/>
            <w:tcMar>
              <w:top w:w="57" w:type="dxa"/>
              <w:left w:w="113" w:type="dxa"/>
              <w:bottom w:w="57" w:type="dxa"/>
              <w:right w:w="113" w:type="dxa"/>
            </w:tcM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sdt>
              <w:sdtPr>
                <w:id w:val="179631468"/>
                <w:placeholder>
                  <w:docPart w:val="DefaultPlaceholder_-1854013440"/>
                </w:placeholder>
              </w:sdtPr>
              <w:sdtContent>
                <w:r>
                  <w:rPr/>
                  <w:t>(Levey et al., 2020)</w:t>
                </w:r>
              </w:sdtContent>
            </w:sdt>
          </w:p>
        </w:tc>
        <w:tc>
          <w:tcPr>
            <w:tcW w:w="2236"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175,163</w:t>
            </w:r>
          </w:p>
        </w:tc>
      </w:tr>
      <w:tr>
        <w:trPr>
          <w:trHeight w:val="57" w:hRule="atLeast"/>
        </w:trPr>
        <w:tc>
          <w:tcPr>
            <w:tcW w:w="1275"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ANX</w:t>
            </w:r>
          </w:p>
        </w:tc>
        <w:tc>
          <w:tcPr>
            <w:tcW w:w="6946"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Self-response to ever being diagnosed by anxiety, nerves or generalized anxiety disorder</w:t>
            </w:r>
          </w:p>
        </w:tc>
        <w:tc>
          <w:tcPr>
            <w:tcW w:w="3546" w:type="dxa"/>
            <w:tcBorders/>
            <w:tcMar>
              <w:top w:w="57" w:type="dxa"/>
              <w:left w:w="113" w:type="dxa"/>
              <w:bottom w:w="57" w:type="dxa"/>
              <w:right w:w="113" w:type="dxa"/>
            </w:tcM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Neale lab</w:t>
            </w:r>
            <w:r>
              <w:rPr>
                <w:rFonts w:eastAsia="Calibri" w:cs="Times New Roman" w:ascii="Times New Roman" w:hAnsi="Times New Roman"/>
                <w:bCs/>
                <w:sz w:val="24"/>
                <w:szCs w:val="24"/>
                <w:vertAlign w:val="superscript"/>
                <w:lang w:val="en-US"/>
              </w:rPr>
              <w:t>b</w:t>
            </w:r>
          </w:p>
        </w:tc>
        <w:tc>
          <w:tcPr>
            <w:tcW w:w="2236"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117,751 (16,730)</w:t>
            </w:r>
          </w:p>
        </w:tc>
      </w:tr>
      <w:tr>
        <w:trPr>
          <w:trHeight w:val="57" w:hRule="atLeast"/>
        </w:trPr>
        <w:tc>
          <w:tcPr>
            <w:tcW w:w="1275"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SWB</w:t>
            </w:r>
          </w:p>
        </w:tc>
        <w:tc>
          <w:tcPr>
            <w:tcW w:w="6946"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Subjective well-being</w:t>
            </w:r>
          </w:p>
        </w:tc>
        <w:tc>
          <w:tcPr>
            <w:tcW w:w="3546" w:type="dxa"/>
            <w:tcBorders/>
            <w:tcMar>
              <w:top w:w="57" w:type="dxa"/>
              <w:left w:w="113" w:type="dxa"/>
              <w:bottom w:w="57" w:type="dxa"/>
              <w:right w:w="113" w:type="dxa"/>
            </w:tcM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sdt>
              <w:sdtPr>
                <w:id w:val="824449306"/>
                <w:placeholder>
                  <w:docPart w:val="DefaultPlaceholder_-1854013440"/>
                </w:placeholder>
              </w:sdtPr>
              <w:sdtContent>
                <w:r>
                  <w:rPr/>
                  <w:t>(Kim et al., 2022)</w:t>
                </w:r>
              </w:sdtContent>
            </w:sdt>
          </w:p>
        </w:tc>
        <w:tc>
          <w:tcPr>
            <w:tcW w:w="2236"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311,126</w:t>
            </w:r>
          </w:p>
        </w:tc>
      </w:tr>
      <w:tr>
        <w:trPr>
          <w:trHeight w:val="57" w:hRule="atLeast"/>
        </w:trPr>
        <w:tc>
          <w:tcPr>
            <w:tcW w:w="1275"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LONE-MTAG</w:t>
            </w:r>
          </w:p>
        </w:tc>
        <w:tc>
          <w:tcPr>
            <w:tcW w:w="6946" w:type="dxa"/>
            <w:tcBorders/>
            <w:shd w:color="auto" w:fill="auto" w:val="clear"/>
            <w:vAlign w:val="center"/>
          </w:tcPr>
          <w:p>
            <w:pPr>
              <w:pStyle w:val="Normal"/>
              <w:widowControl w:val="false"/>
              <w:numPr>
                <w:ilvl w:val="0"/>
                <w:numId w:val="0"/>
              </w:numPr>
              <w:spacing w:lineRule="auto" w:line="240" w:before="0" w:after="0"/>
              <w:ind w:left="0" w:hanging="0"/>
              <w:jc w:val="center"/>
              <w:outlineLvl w:val="1"/>
              <w:rPr>
                <w:rFonts w:ascii="Times New Roman" w:hAnsi="Times New Roman" w:eastAsia="Arial" w:cs="Times New Roman"/>
                <w:bCs/>
                <w:sz w:val="24"/>
                <w:szCs w:val="24"/>
                <w:lang w:val="en-US" w:eastAsia="gl-ES"/>
              </w:rPr>
            </w:pPr>
            <w:r>
              <w:rPr>
                <w:rFonts w:eastAsia="Arial" w:cs="Times New Roman" w:ascii="Times New Roman" w:hAnsi="Times New Roman"/>
                <w:bCs/>
                <w:sz w:val="24"/>
                <w:szCs w:val="24"/>
                <w:lang w:val="en-US" w:eastAsia="gl-ES"/>
              </w:rPr>
              <w:t>Combined multi-trait GWAS of loneliness and social isolation</w:t>
            </w:r>
          </w:p>
        </w:tc>
        <w:tc>
          <w:tcPr>
            <w:tcW w:w="3546" w:type="dxa"/>
            <w:tcBorders/>
            <w:tcMar>
              <w:top w:w="57" w:type="dxa"/>
              <w:left w:w="113" w:type="dxa"/>
              <w:bottom w:w="57" w:type="dxa"/>
              <w:right w:w="113" w:type="dxa"/>
            </w:tcM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sdt>
              <w:sdtPr>
                <w:id w:val="446861151"/>
                <w:placeholder>
                  <w:docPart w:val="DefaultPlaceholder_-1854013440"/>
                </w:placeholder>
              </w:sdtPr>
              <w:sdtContent>
                <w:r>
                  <w:rPr/>
                  <w:t>(Day, Ong, &amp; Perry, 2018)</w:t>
                </w:r>
              </w:sdtContent>
            </w:sdt>
          </w:p>
        </w:tc>
        <w:tc>
          <w:tcPr>
            <w:tcW w:w="2236"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445,024</w:t>
            </w:r>
          </w:p>
        </w:tc>
      </w:tr>
      <w:tr>
        <w:trPr>
          <w:trHeight w:val="57" w:hRule="atLeast"/>
        </w:trPr>
        <w:tc>
          <w:tcPr>
            <w:tcW w:w="1275"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LONE</w:t>
            </w:r>
          </w:p>
        </w:tc>
        <w:tc>
          <w:tcPr>
            <w:tcW w:w="6946"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Often feeling lonely</w:t>
            </w:r>
          </w:p>
        </w:tc>
        <w:tc>
          <w:tcPr>
            <w:tcW w:w="3546" w:type="dxa"/>
            <w:tcBorders/>
            <w:tcMar>
              <w:top w:w="57" w:type="dxa"/>
              <w:left w:w="113" w:type="dxa"/>
              <w:bottom w:w="57" w:type="dxa"/>
              <w:right w:w="113" w:type="dxa"/>
            </w:tcM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sdt>
              <w:sdtPr>
                <w:id w:val="994615639"/>
                <w:placeholder>
                  <w:docPart w:val="DefaultPlaceholder_-1854013440"/>
                </w:placeholder>
              </w:sdtPr>
              <w:sdtContent>
                <w:r>
                  <w:rPr/>
                  <w:t>(Nagel, Watanabe, Stringer, Posthuma, &amp; Van Der Sluis, 2018)</w:t>
                </w:r>
              </w:sdtContent>
            </w:sdt>
          </w:p>
        </w:tc>
        <w:tc>
          <w:tcPr>
            <w:tcW w:w="2236" w:type="dxa"/>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376,352 (67,743)</w:t>
            </w:r>
          </w:p>
        </w:tc>
      </w:tr>
      <w:tr>
        <w:trPr>
          <w:trHeight w:val="57" w:hRule="atLeast"/>
        </w:trPr>
        <w:tc>
          <w:tcPr>
            <w:tcW w:w="1275" w:type="dxa"/>
            <w:tcBorders>
              <w:bottom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CONF</w:t>
            </w:r>
          </w:p>
        </w:tc>
        <w:tc>
          <w:tcPr>
            <w:tcW w:w="6946" w:type="dxa"/>
            <w:tcBorders>
              <w:bottom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Frequency of being able to confide in someone close</w:t>
            </w:r>
          </w:p>
        </w:tc>
        <w:tc>
          <w:tcPr>
            <w:tcW w:w="3546" w:type="dxa"/>
            <w:tcBorders>
              <w:bottom w:val="single" w:sz="8" w:space="0" w:color="000000"/>
            </w:tcBorders>
            <w:tcMar>
              <w:top w:w="57" w:type="dxa"/>
              <w:left w:w="113" w:type="dxa"/>
              <w:bottom w:w="57" w:type="dxa"/>
              <w:right w:w="113" w:type="dxa"/>
            </w:tcM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Neale lab</w:t>
            </w:r>
            <w:r>
              <w:rPr>
                <w:rFonts w:eastAsia="Calibri" w:cs="Times New Roman" w:ascii="Times New Roman" w:hAnsi="Times New Roman"/>
                <w:bCs/>
                <w:sz w:val="24"/>
                <w:szCs w:val="24"/>
                <w:vertAlign w:val="superscript"/>
                <w:lang w:val="en-US"/>
              </w:rPr>
              <w:t>2</w:t>
            </w:r>
          </w:p>
        </w:tc>
        <w:tc>
          <w:tcPr>
            <w:tcW w:w="2236" w:type="dxa"/>
            <w:tcBorders>
              <w:bottom w:val="single" w:sz="8" w:space="0" w:color="000000"/>
            </w:tcBorders>
            <w:shd w:color="auto" w:fill="auto" w:val="clear"/>
            <w:vAlign w:val="center"/>
          </w:tcPr>
          <w:p>
            <w:pPr>
              <w:pStyle w:val="Normal"/>
              <w:widowControl w:val="false"/>
              <w:spacing w:lineRule="auto" w:line="240" w:before="0" w:after="0"/>
              <w:jc w:val="center"/>
              <w:rPr>
                <w:rFonts w:ascii="Times New Roman" w:hAnsi="Times New Roman" w:eastAsia="Calibri" w:cs="Times New Roman"/>
                <w:bCs/>
                <w:sz w:val="24"/>
                <w:szCs w:val="24"/>
                <w:lang w:val="en-US"/>
              </w:rPr>
            </w:pPr>
            <w:r>
              <w:rPr>
                <w:rFonts w:eastAsia="Calibri" w:cs="Times New Roman" w:ascii="Times New Roman" w:hAnsi="Times New Roman"/>
                <w:bCs/>
                <w:sz w:val="24"/>
                <w:szCs w:val="24"/>
                <w:lang w:val="en-US"/>
              </w:rPr>
              <w:t>350,618</w:t>
            </w:r>
          </w:p>
        </w:tc>
      </w:tr>
    </w:tbl>
    <w:p>
      <w:pPr>
        <w:pStyle w:val="Normal"/>
        <w:spacing w:lineRule="auto" w:line="360" w:before="0" w:after="120"/>
        <w:jc w:val="both"/>
        <w:rPr>
          <w:rFonts w:ascii="Times New Roman" w:hAnsi="Times New Roman" w:eastAsia="Calibri" w:cs="Times New Roman"/>
          <w:b/>
          <w:b/>
          <w:bCs/>
          <w:sz w:val="24"/>
          <w:szCs w:val="24"/>
          <w:lang w:val="en-US"/>
        </w:rPr>
      </w:pPr>
      <w:r>
        <w:rPr>
          <w:rFonts w:eastAsia="Calibri" w:cs="Times New Roman" w:ascii="Times New Roman" w:hAnsi="Times New Roman"/>
          <w:b/>
          <w:bCs/>
          <w:sz w:val="24"/>
          <w:szCs w:val="24"/>
          <w:lang w:val="en-US"/>
        </w:rPr>
      </w:r>
    </w:p>
    <w:p>
      <w:pPr>
        <w:pStyle w:val="Normal"/>
        <w:spacing w:lineRule="auto" w:line="360" w:before="0" w:after="120"/>
        <w:jc w:val="both"/>
        <w:rPr>
          <w:rFonts w:ascii="Times New Roman" w:hAnsi="Times New Roman" w:eastAsia="Calibri" w:cs="Times New Roman"/>
          <w:sz w:val="24"/>
          <w:szCs w:val="24"/>
          <w:lang w:val="en-US"/>
        </w:rPr>
      </w:pPr>
      <w:r>
        <w:rPr>
          <w:rFonts w:eastAsia="Calibri" w:cs="Times New Roman" w:ascii="Times New Roman" w:hAnsi="Times New Roman"/>
          <w:sz w:val="24"/>
          <w:szCs w:val="24"/>
          <w:vertAlign w:val="superscript"/>
          <w:lang w:val="en-US"/>
        </w:rPr>
        <w:t>1</w:t>
      </w:r>
      <w:r>
        <w:rPr>
          <w:rFonts w:eastAsia="Calibri" w:cs="Times New Roman" w:ascii="Times New Roman" w:hAnsi="Times New Roman"/>
          <w:sz w:val="24"/>
          <w:szCs w:val="24"/>
          <w:lang w:val="en-US"/>
        </w:rPr>
        <w:t>: from the original paper.</w:t>
      </w:r>
    </w:p>
    <w:p>
      <w:pPr>
        <w:sectPr>
          <w:type w:val="nextPage"/>
          <w:pgSz w:orient="landscape" w:w="16838" w:h="11906"/>
          <w:pgMar w:left="1417" w:right="1417" w:gutter="0" w:header="0" w:top="1701" w:footer="0" w:bottom="1701"/>
          <w:pgNumType w:fmt="decimal"/>
          <w:formProt w:val="false"/>
          <w:textDirection w:val="lrTb"/>
          <w:docGrid w:type="default" w:linePitch="360" w:charSpace="8192"/>
        </w:sectPr>
        <w:pStyle w:val="Normal"/>
        <w:spacing w:lineRule="auto" w:line="360" w:before="0" w:after="120"/>
        <w:jc w:val="both"/>
        <w:rPr>
          <w:rFonts w:ascii="Times New Roman" w:hAnsi="Times New Roman" w:eastAsia="Calibri" w:cs="Times New Roman"/>
          <w:sz w:val="24"/>
          <w:szCs w:val="24"/>
          <w:lang w:val="en-US"/>
        </w:rPr>
      </w:pPr>
      <w:r>
        <w:rPr>
          <w:rFonts w:eastAsia="Calibri" w:cs="Times New Roman" w:ascii="Times New Roman" w:hAnsi="Times New Roman"/>
          <w:sz w:val="24"/>
          <w:szCs w:val="24"/>
          <w:vertAlign w:val="superscript"/>
          <w:lang w:val="en-US"/>
        </w:rPr>
        <w:t>2</w:t>
      </w:r>
      <w:r>
        <w:rPr>
          <w:rFonts w:eastAsia="Calibri" w:cs="Times New Roman" w:ascii="Times New Roman" w:hAnsi="Times New Roman"/>
          <w:sz w:val="24"/>
          <w:szCs w:val="24"/>
          <w:lang w:val="en-US"/>
        </w:rPr>
        <w:t>: http://www.nealelab.is/uk-biobank/</w:t>
      </w:r>
    </w:p>
    <w:p>
      <w:pPr>
        <w:pStyle w:val="Normal"/>
        <w:spacing w:lineRule="auto" w:line="360" w:before="0" w:after="120"/>
        <w:jc w:val="both"/>
        <w:rPr>
          <w:rFonts w:ascii="Times New Roman" w:hAnsi="Times New Roman" w:eastAsia="Calibri" w:cs="Times New Roman"/>
          <w:sz w:val="24"/>
          <w:szCs w:val="24"/>
          <w:lang w:val="en-US"/>
        </w:rPr>
      </w:pPr>
      <w:r>
        <w:rPr>
          <w:rFonts w:eastAsia="Calibri" w:cs="Times New Roman" w:ascii="Times New Roman" w:hAnsi="Times New Roman"/>
          <w:sz w:val="24"/>
          <w:szCs w:val="24"/>
          <w:lang w:val="en-US"/>
        </w:rPr>
        <w:t>Supplementary Table 2. Univariate MiXeR results.</w:t>
      </w:r>
    </w:p>
    <w:tbl>
      <w:tblPr>
        <w:tblW w:w="11396" w:type="dxa"/>
        <w:jc w:val="left"/>
        <w:tblInd w:w="0" w:type="dxa"/>
        <w:tblLayout w:type="fixed"/>
        <w:tblCellMar>
          <w:top w:w="0" w:type="dxa"/>
          <w:left w:w="0" w:type="dxa"/>
          <w:bottom w:w="0" w:type="dxa"/>
          <w:right w:w="0" w:type="dxa"/>
        </w:tblCellMar>
        <w:tblLook w:firstRow="1" w:noVBand="1" w:lastRow="0" w:firstColumn="1" w:lastColumn="0" w:noHBand="0" w:val="04a0"/>
      </w:tblPr>
      <w:tblGrid>
        <w:gridCol w:w="1980"/>
        <w:gridCol w:w="2441"/>
        <w:gridCol w:w="2328"/>
        <w:gridCol w:w="2496"/>
        <w:gridCol w:w="1077"/>
        <w:gridCol w:w="1073"/>
      </w:tblGrid>
      <w:tr>
        <w:trPr>
          <w:trHeight w:val="300" w:hRule="atLeast"/>
        </w:trPr>
        <w:tc>
          <w:tcPr>
            <w:tcW w:w="1980" w:type="dxa"/>
            <w:tcBorders>
              <w:top w:val="single" w:sz="6" w:space="0" w:color="000000"/>
              <w:bottom w:val="single" w:sz="6"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Trait</w:t>
            </w:r>
          </w:p>
        </w:tc>
        <w:tc>
          <w:tcPr>
            <w:tcW w:w="2441" w:type="dxa"/>
            <w:tcBorders>
              <w:top w:val="single" w:sz="6" w:space="0" w:color="000000"/>
              <w:bottom w:val="single" w:sz="6" w:space="0" w:color="000000"/>
            </w:tcBorders>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Calibri" w:cs="Times New Roman" w:ascii="Times New Roman" w:hAnsi="Times New Roman"/>
                <w:color w:val="000000"/>
                <w:sz w:val="24"/>
                <w:szCs w:val="24"/>
                <w:lang w:val="en-US"/>
              </w:rPr>
              <w:t>Polygenicity (SD)</w:t>
            </w:r>
          </w:p>
        </w:tc>
        <w:tc>
          <w:tcPr>
            <w:tcW w:w="2328" w:type="dxa"/>
            <w:tcBorders>
              <w:top w:val="single" w:sz="6" w:space="0" w:color="000000"/>
              <w:bottom w:val="single" w:sz="6"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Discoverability (SD)</w:t>
            </w:r>
          </w:p>
        </w:tc>
        <w:tc>
          <w:tcPr>
            <w:tcW w:w="2496" w:type="dxa"/>
            <w:tcBorders>
              <w:top w:val="single" w:sz="6" w:space="0" w:color="000000"/>
              <w:bottom w:val="single" w:sz="6"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vertAlign w:val="superscript"/>
                <w:lang w:val="en-US" w:eastAsia="gl-ES"/>
              </w:rPr>
            </w:pPr>
            <w:r>
              <w:rPr>
                <w:rFonts w:eastAsia="Times New Roman" w:cs="Times New Roman" w:ascii="Times New Roman" w:hAnsi="Times New Roman"/>
                <w:color w:val="000000"/>
                <w:sz w:val="24"/>
                <w:szCs w:val="24"/>
                <w:lang w:val="en-US" w:eastAsia="gl-ES"/>
              </w:rPr>
              <w:t>N causal variants (SD)</w:t>
            </w:r>
            <w:r>
              <w:rPr>
                <w:rFonts w:eastAsia="Times New Roman" w:cs="Times New Roman" w:ascii="Times New Roman" w:hAnsi="Times New Roman"/>
                <w:color w:val="000000"/>
                <w:sz w:val="24"/>
                <w:szCs w:val="24"/>
                <w:vertAlign w:val="superscript"/>
                <w:lang w:val="en-US" w:eastAsia="gl-ES"/>
              </w:rPr>
              <w:t>1</w:t>
            </w:r>
          </w:p>
        </w:tc>
        <w:tc>
          <w:tcPr>
            <w:tcW w:w="1077" w:type="dxa"/>
            <w:tcBorders>
              <w:top w:val="single" w:sz="6" w:space="0" w:color="000000"/>
              <w:bottom w:val="single" w:sz="6" w:space="0" w:color="000000"/>
            </w:tcBorders>
            <w:shd w:color="auto" w:fill="auto" w:val="clear"/>
            <w:vAlign w:val="center"/>
          </w:tcPr>
          <w:p>
            <w:pPr>
              <w:pStyle w:val="Normal"/>
              <w:widowControl w:val="false"/>
              <w:spacing w:lineRule="auto" w:line="240" w:before="0" w:after="0"/>
              <w:jc w:val="center"/>
              <w:rPr>
                <w:highlight w:val="none"/>
                <w:shd w:fill="auto" w:val="clear"/>
              </w:rPr>
            </w:pPr>
            <w:r>
              <w:rPr>
                <w:rFonts w:eastAsia="Times New Roman" w:cs="Times New Roman" w:ascii="Times New Roman" w:hAnsi="Times New Roman"/>
                <w:color w:val="000000"/>
                <w:sz w:val="24"/>
                <w:szCs w:val="24"/>
                <w:shd w:fill="auto" w:val="clear"/>
                <w:lang w:val="en-US" w:eastAsia="gl-ES"/>
              </w:rPr>
              <w:t>AIC</w:t>
            </w:r>
            <w:r>
              <w:rPr>
                <w:rFonts w:eastAsia="Times New Roman" w:cs="Times New Roman" w:ascii="Times New Roman" w:hAnsi="Times New Roman"/>
                <w:color w:val="000000"/>
                <w:sz w:val="24"/>
                <w:szCs w:val="24"/>
                <w:shd w:fill="auto" w:val="clear"/>
                <w:vertAlign w:val="superscript"/>
                <w:lang w:val="en-US" w:eastAsia="gl-ES"/>
              </w:rPr>
              <w:t>2</w:t>
            </w:r>
          </w:p>
        </w:tc>
        <w:tc>
          <w:tcPr>
            <w:tcW w:w="1073" w:type="dxa"/>
            <w:tcBorders>
              <w:top w:val="single" w:sz="6" w:space="0" w:color="000000"/>
              <w:bottom w:val="single" w:sz="6" w:space="0" w:color="000000"/>
            </w:tcBorders>
            <w:shd w:color="auto" w:fill="auto" w:val="clear"/>
            <w:vAlign w:val="center"/>
          </w:tcPr>
          <w:p>
            <w:pPr>
              <w:pStyle w:val="Normal"/>
              <w:widowControl w:val="false"/>
              <w:spacing w:lineRule="auto" w:line="240" w:before="0" w:after="0"/>
              <w:jc w:val="center"/>
              <w:rPr>
                <w:highlight w:val="none"/>
                <w:shd w:fill="auto" w:val="clear"/>
              </w:rPr>
            </w:pPr>
            <w:r>
              <w:rPr>
                <w:rFonts w:eastAsia="Times New Roman" w:cs="Times New Roman" w:ascii="Times New Roman" w:hAnsi="Times New Roman"/>
                <w:color w:val="000000"/>
                <w:sz w:val="24"/>
                <w:szCs w:val="24"/>
                <w:shd w:fill="auto" w:val="clear"/>
                <w:lang w:val="en-US" w:eastAsia="gl-ES"/>
              </w:rPr>
              <w:t>BIC</w:t>
            </w:r>
            <w:r>
              <w:rPr>
                <w:rFonts w:eastAsia="Times New Roman" w:cs="Times New Roman" w:ascii="Times New Roman" w:hAnsi="Times New Roman"/>
                <w:color w:val="000000"/>
                <w:sz w:val="24"/>
                <w:szCs w:val="24"/>
                <w:shd w:fill="auto" w:val="clear"/>
                <w:vertAlign w:val="superscript"/>
                <w:lang w:val="en-US" w:eastAsia="gl-ES"/>
              </w:rPr>
              <w:t>2</w:t>
            </w:r>
          </w:p>
        </w:tc>
      </w:tr>
      <w:tr>
        <w:trPr>
          <w:trHeight w:val="300" w:hRule="atLeast"/>
        </w:trPr>
        <w:tc>
          <w:tcPr>
            <w:tcW w:w="1980" w:type="dxa"/>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EverSmk</w:t>
            </w:r>
          </w:p>
        </w:tc>
        <w:tc>
          <w:tcPr>
            <w:tcW w:w="2441" w:type="dxa"/>
            <w:tcBorders/>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3.63x10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(2.17x10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1.18x10</w:t>
            </w:r>
            <w:r>
              <w:rPr>
                <w:rFonts w:eastAsia="Times New Roman" w:cs="Times New Roman" w:ascii="Times New Roman" w:hAnsi="Times New Roman"/>
                <w:color w:val="000000"/>
                <w:sz w:val="24"/>
                <w:szCs w:val="24"/>
                <w:vertAlign w:val="superscript"/>
                <w:lang w:val="en-US" w:eastAsia="gl-ES"/>
              </w:rPr>
              <w:t>-5</w:t>
            </w:r>
            <w:r>
              <w:rPr>
                <w:rFonts w:eastAsia="Times New Roman" w:cs="Times New Roman" w:ascii="Times New Roman" w:hAnsi="Times New Roman"/>
                <w:color w:val="000000"/>
                <w:sz w:val="24"/>
                <w:szCs w:val="24"/>
                <w:lang w:val="en-US" w:eastAsia="gl-ES"/>
              </w:rPr>
              <w:t xml:space="preserve"> (6.50x10</w:t>
            </w:r>
            <w:r>
              <w:rPr>
                <w:rFonts w:eastAsia="Times New Roman" w:cs="Times New Roman" w:ascii="Times New Roman" w:hAnsi="Times New Roman"/>
                <w:color w:val="000000"/>
                <w:sz w:val="24"/>
                <w:szCs w:val="24"/>
                <w:vertAlign w:val="superscript"/>
                <w:lang w:val="en-US" w:eastAsia="gl-ES"/>
              </w:rPr>
              <w:t>-7</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11568 (691)</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640.36</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649.78</w:t>
            </w:r>
          </w:p>
        </w:tc>
      </w:tr>
      <w:tr>
        <w:trPr>
          <w:trHeight w:val="300" w:hRule="atLeast"/>
        </w:trPr>
        <w:tc>
          <w:tcPr>
            <w:tcW w:w="1980" w:type="dxa"/>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AFS</w:t>
            </w:r>
          </w:p>
        </w:tc>
        <w:tc>
          <w:tcPr>
            <w:tcW w:w="2441" w:type="dxa"/>
            <w:tcBorders/>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3.45x10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(6.58x10</w:t>
            </w:r>
            <w:r>
              <w:rPr>
                <w:rFonts w:eastAsia="Times New Roman" w:cs="Times New Roman" w:ascii="Times New Roman" w:hAnsi="Times New Roman"/>
                <w:color w:val="000000"/>
                <w:sz w:val="24"/>
                <w:szCs w:val="24"/>
                <w:vertAlign w:val="superscript"/>
                <w:lang w:val="en-US" w:eastAsia="gl-ES"/>
              </w:rPr>
              <w:t>-5</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2.16x10</w:t>
            </w:r>
            <w:r>
              <w:rPr>
                <w:rFonts w:eastAsia="Times New Roman" w:cs="Times New Roman" w:ascii="Times New Roman" w:hAnsi="Times New Roman"/>
                <w:color w:val="000000"/>
                <w:sz w:val="24"/>
                <w:szCs w:val="24"/>
                <w:vertAlign w:val="superscript"/>
                <w:lang w:val="en-US" w:eastAsia="gl-ES"/>
              </w:rPr>
              <w:t>-5</w:t>
            </w:r>
            <w:r>
              <w:rPr>
                <w:rFonts w:eastAsia="Times New Roman" w:cs="Times New Roman" w:ascii="Times New Roman" w:hAnsi="Times New Roman"/>
                <w:color w:val="000000"/>
                <w:sz w:val="24"/>
                <w:szCs w:val="24"/>
                <w:lang w:val="en-US" w:eastAsia="gl-ES"/>
              </w:rPr>
              <w:t xml:space="preserve"> (3.76x10</w:t>
            </w:r>
            <w:r>
              <w:rPr>
                <w:rFonts w:eastAsia="Times New Roman" w:cs="Times New Roman" w:ascii="Times New Roman" w:hAnsi="Times New Roman"/>
                <w:color w:val="000000"/>
                <w:sz w:val="24"/>
                <w:szCs w:val="24"/>
                <w:vertAlign w:val="superscript"/>
                <w:lang w:val="en-US" w:eastAsia="gl-ES"/>
              </w:rPr>
              <w:t>-7</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11003 (210)</w:t>
            </w:r>
          </w:p>
        </w:tc>
        <w:tc>
          <w:tcPr>
            <w:tcW w:w="1077" w:type="dxa"/>
            <w:tcBorders/>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443.60</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454.51</w:t>
            </w:r>
          </w:p>
        </w:tc>
      </w:tr>
      <w:tr>
        <w:trPr>
          <w:trHeight w:val="300" w:hRule="atLeast"/>
        </w:trPr>
        <w:tc>
          <w:tcPr>
            <w:tcW w:w="1980" w:type="dxa"/>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Cigsperday</w:t>
            </w:r>
          </w:p>
        </w:tc>
        <w:tc>
          <w:tcPr>
            <w:tcW w:w="2441" w:type="dxa"/>
            <w:tcBorders/>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1.34x10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(1.84x10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2.44x10</w:t>
            </w:r>
            <w:r>
              <w:rPr>
                <w:rFonts w:eastAsia="Times New Roman" w:cs="Times New Roman" w:ascii="Times New Roman" w:hAnsi="Times New Roman"/>
                <w:color w:val="000000"/>
                <w:sz w:val="24"/>
                <w:szCs w:val="24"/>
                <w:vertAlign w:val="superscript"/>
                <w:lang w:val="en-US" w:eastAsia="gl-ES"/>
              </w:rPr>
              <w:t>-5</w:t>
            </w:r>
            <w:r>
              <w:rPr>
                <w:rFonts w:eastAsia="Times New Roman" w:cs="Times New Roman" w:ascii="Times New Roman" w:hAnsi="Times New Roman"/>
                <w:color w:val="000000"/>
                <w:sz w:val="24"/>
                <w:szCs w:val="24"/>
                <w:lang w:val="en-US" w:eastAsia="gl-ES"/>
              </w:rPr>
              <w:t xml:space="preserve"> (2.93x10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4281 (587)</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269.15</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278.81</w:t>
            </w:r>
          </w:p>
        </w:tc>
      </w:tr>
      <w:tr>
        <w:trPr>
          <w:trHeight w:val="300" w:hRule="atLeast"/>
        </w:trPr>
        <w:tc>
          <w:tcPr>
            <w:tcW w:w="1980" w:type="dxa"/>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DrnkWk</w:t>
            </w:r>
          </w:p>
        </w:tc>
        <w:tc>
          <w:tcPr>
            <w:tcW w:w="2441" w:type="dxa"/>
            <w:tcBorders/>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2.42x10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(1.91x10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1.07x10</w:t>
            </w:r>
            <w:r>
              <w:rPr>
                <w:rFonts w:eastAsia="Times New Roman" w:cs="Times New Roman" w:ascii="Times New Roman" w:hAnsi="Times New Roman"/>
                <w:color w:val="000000"/>
                <w:sz w:val="24"/>
                <w:szCs w:val="24"/>
                <w:vertAlign w:val="superscript"/>
                <w:lang w:val="en-US" w:eastAsia="gl-ES"/>
              </w:rPr>
              <w:t>-5</w:t>
            </w:r>
            <w:r>
              <w:rPr>
                <w:rFonts w:eastAsia="Times New Roman" w:cs="Times New Roman" w:ascii="Times New Roman" w:hAnsi="Times New Roman"/>
                <w:color w:val="000000"/>
                <w:sz w:val="24"/>
                <w:szCs w:val="24"/>
                <w:lang w:val="en-US" w:eastAsia="gl-ES"/>
              </w:rPr>
              <w:t xml:space="preserve"> (7.06x10</w:t>
            </w:r>
            <w:r>
              <w:rPr>
                <w:rFonts w:eastAsia="Times New Roman" w:cs="Times New Roman" w:ascii="Times New Roman" w:hAnsi="Times New Roman"/>
                <w:color w:val="000000"/>
                <w:sz w:val="24"/>
                <w:szCs w:val="24"/>
                <w:vertAlign w:val="superscript"/>
                <w:lang w:val="en-US" w:eastAsia="gl-ES"/>
              </w:rPr>
              <w:t>-7</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7708 (609)</w:t>
            </w:r>
          </w:p>
        </w:tc>
        <w:tc>
          <w:tcPr>
            <w:tcW w:w="1077" w:type="dxa"/>
            <w:tcBorders/>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259.96</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269.39</w:t>
            </w:r>
          </w:p>
        </w:tc>
      </w:tr>
      <w:tr>
        <w:trPr>
          <w:trHeight w:val="300" w:hRule="atLeast"/>
        </w:trPr>
        <w:tc>
          <w:tcPr>
            <w:tcW w:w="1980" w:type="dxa"/>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NSEX</w:t>
            </w:r>
          </w:p>
        </w:tc>
        <w:tc>
          <w:tcPr>
            <w:tcW w:w="2441" w:type="dxa"/>
            <w:tcBorders/>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3.39x10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(1.15x10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1.43x10</w:t>
            </w:r>
            <w:r>
              <w:rPr>
                <w:rFonts w:eastAsia="Times New Roman" w:cs="Times New Roman" w:ascii="Times New Roman" w:hAnsi="Times New Roman"/>
                <w:color w:val="000000"/>
                <w:sz w:val="24"/>
                <w:szCs w:val="24"/>
                <w:vertAlign w:val="superscript"/>
                <w:lang w:val="en-US" w:eastAsia="gl-ES"/>
              </w:rPr>
              <w:t>-5</w:t>
            </w:r>
            <w:r>
              <w:rPr>
                <w:rFonts w:eastAsia="Times New Roman" w:cs="Times New Roman" w:ascii="Times New Roman" w:hAnsi="Times New Roman"/>
                <w:color w:val="000000"/>
                <w:sz w:val="24"/>
                <w:szCs w:val="24"/>
                <w:lang w:val="en-US" w:eastAsia="gl-ES"/>
              </w:rPr>
              <w:t xml:space="preserve"> (4.18x10</w:t>
            </w:r>
            <w:r>
              <w:rPr>
                <w:rFonts w:eastAsia="Times New Roman" w:cs="Times New Roman" w:ascii="Times New Roman" w:hAnsi="Times New Roman"/>
                <w:color w:val="000000"/>
                <w:sz w:val="24"/>
                <w:szCs w:val="24"/>
                <w:vertAlign w:val="superscript"/>
                <w:lang w:val="en-US" w:eastAsia="gl-ES"/>
              </w:rPr>
              <w:t>-7</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10814 (368)</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241.46</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251.31</w:t>
            </w:r>
          </w:p>
        </w:tc>
      </w:tr>
      <w:tr>
        <w:trPr>
          <w:trHeight w:val="300" w:hRule="atLeast"/>
        </w:trPr>
        <w:tc>
          <w:tcPr>
            <w:tcW w:w="1980" w:type="dxa"/>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NEURO</w:t>
            </w:r>
          </w:p>
        </w:tc>
        <w:tc>
          <w:tcPr>
            <w:tcW w:w="2441" w:type="dxa"/>
            <w:tcBorders/>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3.72x10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(1.44x10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1.33x10</w:t>
            </w:r>
            <w:r>
              <w:rPr>
                <w:rFonts w:eastAsia="Times New Roman" w:cs="Times New Roman" w:ascii="Times New Roman" w:hAnsi="Times New Roman"/>
                <w:color w:val="000000"/>
                <w:sz w:val="24"/>
                <w:szCs w:val="24"/>
                <w:vertAlign w:val="superscript"/>
                <w:lang w:val="en-US" w:eastAsia="gl-ES"/>
              </w:rPr>
              <w:t>-5</w:t>
            </w:r>
            <w:r>
              <w:rPr>
                <w:rFonts w:eastAsia="Times New Roman" w:cs="Times New Roman" w:ascii="Times New Roman" w:hAnsi="Times New Roman"/>
                <w:color w:val="000000"/>
                <w:sz w:val="24"/>
                <w:szCs w:val="24"/>
                <w:lang w:val="en-US" w:eastAsia="gl-ES"/>
              </w:rPr>
              <w:t xml:space="preserve"> (5.00x10</w:t>
            </w:r>
            <w:r>
              <w:rPr>
                <w:rFonts w:eastAsia="Times New Roman" w:cs="Times New Roman" w:ascii="Times New Roman" w:hAnsi="Times New Roman"/>
                <w:color w:val="000000"/>
                <w:sz w:val="24"/>
                <w:szCs w:val="24"/>
                <w:vertAlign w:val="superscript"/>
                <w:lang w:val="en-US" w:eastAsia="gl-ES"/>
              </w:rPr>
              <w:t>-7</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11859 (459)</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221.85</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231.59</w:t>
            </w:r>
          </w:p>
        </w:tc>
      </w:tr>
      <w:tr>
        <w:trPr>
          <w:trHeight w:val="300" w:hRule="atLeast"/>
        </w:trPr>
        <w:tc>
          <w:tcPr>
            <w:tcW w:w="1980" w:type="dxa"/>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DEP-NEURO</w:t>
            </w:r>
          </w:p>
        </w:tc>
        <w:tc>
          <w:tcPr>
            <w:tcW w:w="2441" w:type="dxa"/>
            <w:tcBorders/>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3.19x10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(1.14x10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1.26x10</w:t>
            </w:r>
            <w:r>
              <w:rPr>
                <w:rFonts w:eastAsia="Times New Roman" w:cs="Times New Roman" w:ascii="Times New Roman" w:hAnsi="Times New Roman"/>
                <w:color w:val="000000"/>
                <w:sz w:val="24"/>
                <w:szCs w:val="24"/>
                <w:vertAlign w:val="superscript"/>
                <w:lang w:val="en-US" w:eastAsia="gl-ES"/>
              </w:rPr>
              <w:t>-5</w:t>
            </w:r>
            <w:r>
              <w:rPr>
                <w:rFonts w:eastAsia="Times New Roman" w:cs="Times New Roman" w:ascii="Times New Roman" w:hAnsi="Times New Roman"/>
                <w:color w:val="000000"/>
                <w:sz w:val="24"/>
                <w:szCs w:val="24"/>
                <w:lang w:val="en-US" w:eastAsia="gl-ES"/>
              </w:rPr>
              <w:t xml:space="preserve"> (4.01x10</w:t>
            </w:r>
            <w:r>
              <w:rPr>
                <w:rFonts w:eastAsia="Times New Roman" w:cs="Times New Roman" w:ascii="Times New Roman" w:hAnsi="Times New Roman"/>
                <w:color w:val="000000"/>
                <w:sz w:val="24"/>
                <w:szCs w:val="24"/>
                <w:vertAlign w:val="superscript"/>
                <w:lang w:val="en-US" w:eastAsia="gl-ES"/>
              </w:rPr>
              <w:t>-7</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10170 (364)</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163.54</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173.27</w:t>
            </w:r>
          </w:p>
        </w:tc>
      </w:tr>
      <w:tr>
        <w:trPr>
          <w:trHeight w:val="300" w:hRule="atLeast"/>
        </w:trPr>
        <w:tc>
          <w:tcPr>
            <w:tcW w:w="1980" w:type="dxa"/>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AFB</w:t>
            </w:r>
          </w:p>
        </w:tc>
        <w:tc>
          <w:tcPr>
            <w:tcW w:w="2441" w:type="dxa"/>
            <w:tcBorders/>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3.26x10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(1.33x10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8.20x10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 xml:space="preserve"> (3.21x10</w:t>
            </w:r>
            <w:r>
              <w:rPr>
                <w:rFonts w:eastAsia="Times New Roman" w:cs="Times New Roman" w:ascii="Times New Roman" w:hAnsi="Times New Roman"/>
                <w:color w:val="000000"/>
                <w:sz w:val="24"/>
                <w:szCs w:val="24"/>
                <w:vertAlign w:val="superscript"/>
                <w:lang w:val="en-US" w:eastAsia="gl-ES"/>
              </w:rPr>
              <w:t>-7</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10402 (423)</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132.62</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143.45</w:t>
            </w:r>
          </w:p>
        </w:tc>
      </w:tr>
      <w:tr>
        <w:trPr>
          <w:trHeight w:val="300" w:hRule="atLeast"/>
        </w:trPr>
        <w:tc>
          <w:tcPr>
            <w:tcW w:w="1980" w:type="dxa"/>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DEP</w:t>
            </w:r>
          </w:p>
        </w:tc>
        <w:tc>
          <w:tcPr>
            <w:tcW w:w="2441" w:type="dxa"/>
            <w:tcBorders/>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3.79x10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(1.69x10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8.25x10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 xml:space="preserve"> (3.10x10</w:t>
            </w:r>
            <w:r>
              <w:rPr>
                <w:rFonts w:eastAsia="Times New Roman" w:cs="Times New Roman" w:ascii="Times New Roman" w:hAnsi="Times New Roman"/>
                <w:color w:val="000000"/>
                <w:sz w:val="24"/>
                <w:szCs w:val="24"/>
                <w:vertAlign w:val="superscript"/>
                <w:lang w:val="en-US" w:eastAsia="gl-ES"/>
              </w:rPr>
              <w:t>-7</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12083 (539)</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126.69</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136.47</w:t>
            </w:r>
          </w:p>
        </w:tc>
      </w:tr>
      <w:tr>
        <w:trPr>
          <w:trHeight w:val="300" w:hRule="atLeast"/>
        </w:trPr>
        <w:tc>
          <w:tcPr>
            <w:tcW w:w="1980" w:type="dxa"/>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WORRY-NEURO</w:t>
            </w:r>
          </w:p>
        </w:tc>
        <w:tc>
          <w:tcPr>
            <w:tcW w:w="2441" w:type="dxa"/>
            <w:tcBorders/>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3.80x10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(1.77x10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1.07x10</w:t>
            </w:r>
            <w:r>
              <w:rPr>
                <w:rFonts w:eastAsia="Times New Roman" w:cs="Times New Roman" w:ascii="Times New Roman" w:hAnsi="Times New Roman"/>
                <w:color w:val="000000"/>
                <w:sz w:val="24"/>
                <w:szCs w:val="24"/>
                <w:vertAlign w:val="superscript"/>
                <w:lang w:val="en-US" w:eastAsia="gl-ES"/>
              </w:rPr>
              <w:t>-5</w:t>
            </w:r>
            <w:r>
              <w:rPr>
                <w:rFonts w:eastAsia="Times New Roman" w:cs="Times New Roman" w:ascii="Times New Roman" w:hAnsi="Times New Roman"/>
                <w:color w:val="000000"/>
                <w:sz w:val="24"/>
                <w:szCs w:val="24"/>
                <w:lang w:val="en-US" w:eastAsia="gl-ES"/>
              </w:rPr>
              <w:t xml:space="preserve"> (4.08x10</w:t>
            </w:r>
            <w:r>
              <w:rPr>
                <w:rFonts w:eastAsia="Times New Roman" w:cs="Times New Roman" w:ascii="Times New Roman" w:hAnsi="Times New Roman"/>
                <w:color w:val="000000"/>
                <w:sz w:val="24"/>
                <w:szCs w:val="24"/>
                <w:vertAlign w:val="superscript"/>
                <w:lang w:val="en-US" w:eastAsia="gl-ES"/>
              </w:rPr>
              <w:t>-7</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12123 (564)</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106.65</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116.38</w:t>
            </w:r>
          </w:p>
        </w:tc>
      </w:tr>
      <w:tr>
        <w:trPr>
          <w:trHeight w:val="300" w:hRule="atLeast"/>
        </w:trPr>
        <w:tc>
          <w:tcPr>
            <w:tcW w:w="1980" w:type="dxa"/>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AUD</w:t>
            </w:r>
          </w:p>
        </w:tc>
        <w:tc>
          <w:tcPr>
            <w:tcW w:w="2441" w:type="dxa"/>
            <w:tcBorders/>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2.42x10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(1.08x10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2.04 x10</w:t>
            </w:r>
            <w:r>
              <w:rPr>
                <w:rFonts w:eastAsia="Times New Roman" w:cs="Times New Roman" w:ascii="Times New Roman" w:hAnsi="Times New Roman"/>
                <w:color w:val="000000"/>
                <w:sz w:val="24"/>
                <w:szCs w:val="24"/>
                <w:vertAlign w:val="superscript"/>
                <w:lang w:val="en-US" w:eastAsia="gl-ES"/>
              </w:rPr>
              <w:t>-5</w:t>
            </w:r>
            <w:r>
              <w:rPr>
                <w:rFonts w:eastAsia="Times New Roman" w:cs="Times New Roman" w:ascii="Times New Roman" w:hAnsi="Times New Roman"/>
                <w:color w:val="000000"/>
                <w:sz w:val="24"/>
                <w:szCs w:val="24"/>
                <w:lang w:val="en-US" w:eastAsia="gl-ES"/>
              </w:rPr>
              <w:t xml:space="preserve"> (8.76x10</w:t>
            </w:r>
            <w:r>
              <w:rPr>
                <w:rFonts w:eastAsia="Times New Roman" w:cs="Times New Roman" w:ascii="Times New Roman" w:hAnsi="Times New Roman"/>
                <w:color w:val="000000"/>
                <w:sz w:val="24"/>
                <w:szCs w:val="24"/>
                <w:vertAlign w:val="superscript"/>
                <w:lang w:val="en-US" w:eastAsia="gl-ES"/>
              </w:rPr>
              <w:t>-7</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7726 (346)</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98.32</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108.07</w:t>
            </w:r>
          </w:p>
        </w:tc>
      </w:tr>
      <w:tr>
        <w:trPr>
          <w:trHeight w:val="300" w:hRule="atLeast"/>
        </w:trPr>
        <w:tc>
          <w:tcPr>
            <w:tcW w:w="1980" w:type="dxa"/>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MOOD</w:t>
            </w:r>
          </w:p>
        </w:tc>
        <w:tc>
          <w:tcPr>
            <w:tcW w:w="2441" w:type="dxa"/>
            <w:tcBorders/>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3.07x10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(1.42x10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9.71x10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 xml:space="preserve"> (4.23x10</w:t>
            </w:r>
            <w:r>
              <w:rPr>
                <w:rFonts w:eastAsia="Times New Roman" w:cs="Times New Roman" w:ascii="Times New Roman" w:hAnsi="Times New Roman"/>
                <w:color w:val="000000"/>
                <w:sz w:val="24"/>
                <w:szCs w:val="24"/>
                <w:vertAlign w:val="superscript"/>
                <w:lang w:val="en-US" w:eastAsia="gl-ES"/>
              </w:rPr>
              <w:t>-7</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9776 (454)</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93.47</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104.35</w:t>
            </w:r>
          </w:p>
        </w:tc>
      </w:tr>
      <w:tr>
        <w:trPr>
          <w:trHeight w:val="300" w:hRule="atLeast"/>
        </w:trPr>
        <w:tc>
          <w:tcPr>
            <w:tcW w:w="1980" w:type="dxa"/>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ADHD</w:t>
            </w:r>
          </w:p>
        </w:tc>
        <w:tc>
          <w:tcPr>
            <w:tcW w:w="2441" w:type="dxa"/>
            <w:tcBorders/>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2.41x10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(1.14x10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2.99x10</w:t>
            </w:r>
            <w:r>
              <w:rPr>
                <w:rFonts w:eastAsia="Times New Roman" w:cs="Times New Roman" w:ascii="Times New Roman" w:hAnsi="Times New Roman"/>
                <w:color w:val="000000"/>
                <w:sz w:val="24"/>
                <w:szCs w:val="24"/>
                <w:vertAlign w:val="superscript"/>
                <w:lang w:val="en-US" w:eastAsia="gl-ES"/>
              </w:rPr>
              <w:t>-5</w:t>
            </w:r>
            <w:r>
              <w:rPr>
                <w:rFonts w:eastAsia="Times New Roman" w:cs="Times New Roman" w:ascii="Times New Roman" w:hAnsi="Times New Roman"/>
                <w:color w:val="000000"/>
                <w:sz w:val="24"/>
                <w:szCs w:val="24"/>
                <w:lang w:val="en-US" w:eastAsia="gl-ES"/>
              </w:rPr>
              <w:t xml:space="preserve"> (1.27x10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7696 (363)</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89.52</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99.15</w:t>
            </w:r>
          </w:p>
        </w:tc>
      </w:tr>
      <w:tr>
        <w:trPr>
          <w:trHeight w:val="300" w:hRule="atLeast"/>
        </w:trPr>
        <w:tc>
          <w:tcPr>
            <w:tcW w:w="1980" w:type="dxa"/>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RISK</w:t>
            </w:r>
          </w:p>
        </w:tc>
        <w:tc>
          <w:tcPr>
            <w:tcW w:w="2441" w:type="dxa"/>
            <w:tcBorders/>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3.56x10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(1.70x10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6.83x10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 xml:space="preserve"> (3.31x10</w:t>
            </w:r>
            <w:r>
              <w:rPr>
                <w:rFonts w:eastAsia="Times New Roman" w:cs="Times New Roman" w:ascii="Times New Roman" w:hAnsi="Times New Roman"/>
                <w:color w:val="000000"/>
                <w:sz w:val="24"/>
                <w:szCs w:val="24"/>
                <w:vertAlign w:val="superscript"/>
                <w:lang w:val="en-US" w:eastAsia="gl-ES"/>
              </w:rPr>
              <w:t>-7</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11353 (541)</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75.79</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85.65</w:t>
            </w:r>
          </w:p>
        </w:tc>
      </w:tr>
      <w:tr>
        <w:trPr>
          <w:trHeight w:val="300" w:hRule="atLeast"/>
        </w:trPr>
        <w:tc>
          <w:tcPr>
            <w:tcW w:w="1980" w:type="dxa"/>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LONE-MTAG</w:t>
            </w:r>
          </w:p>
        </w:tc>
        <w:tc>
          <w:tcPr>
            <w:tcW w:w="2441" w:type="dxa"/>
            <w:tcBorders/>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3.40x10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(1.98x10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5.61x10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 xml:space="preserve"> (2.88x10</w:t>
            </w:r>
            <w:r>
              <w:rPr>
                <w:rFonts w:eastAsia="Times New Roman" w:cs="Times New Roman" w:ascii="Times New Roman" w:hAnsi="Times New Roman"/>
                <w:color w:val="000000"/>
                <w:sz w:val="24"/>
                <w:szCs w:val="24"/>
                <w:vertAlign w:val="superscript"/>
                <w:lang w:val="en-US" w:eastAsia="gl-ES"/>
              </w:rPr>
              <w:t>-7</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10841 (632)</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40.74</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50.62</w:t>
            </w:r>
          </w:p>
        </w:tc>
      </w:tr>
      <w:tr>
        <w:trPr>
          <w:trHeight w:val="300" w:hRule="exact"/>
        </w:trPr>
        <w:tc>
          <w:tcPr>
            <w:tcW w:w="1980" w:type="dxa"/>
            <w:tcBorders/>
            <w:shd w:color="auto" w:fill="auto" w:val="clear"/>
            <w:vAlign w:val="center"/>
          </w:tcPr>
          <w:p>
            <w:pPr>
              <w:pStyle w:val="Contenidodelatabla"/>
              <w:widowControl w:val="false"/>
              <w:spacing w:before="0" w:after="160"/>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t>TUD</w:t>
            </w:r>
          </w:p>
        </w:tc>
        <w:tc>
          <w:tcPr>
            <w:tcW w:w="2441" w:type="dxa"/>
            <w:tcBorders/>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1.99x10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(1.40x10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3.11x10</w:t>
            </w:r>
            <w:r>
              <w:rPr>
                <w:rFonts w:eastAsia="Times New Roman" w:cs="Times New Roman" w:ascii="Times New Roman" w:hAnsi="Times New Roman"/>
                <w:color w:val="000000"/>
                <w:sz w:val="24"/>
                <w:szCs w:val="24"/>
                <w:vertAlign w:val="superscript"/>
                <w:lang w:val="en-US" w:eastAsia="gl-ES"/>
              </w:rPr>
              <w:t>-5</w:t>
            </w:r>
            <w:r>
              <w:rPr>
                <w:rFonts w:eastAsia="Times New Roman" w:cs="Times New Roman" w:ascii="Times New Roman" w:hAnsi="Times New Roman"/>
                <w:color w:val="000000"/>
                <w:sz w:val="24"/>
                <w:szCs w:val="24"/>
                <w:lang w:val="en-US" w:eastAsia="gl-ES"/>
              </w:rPr>
              <w:t xml:space="preserve"> (1.91x10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6351 (445)</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22.20</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32.08</w:t>
            </w:r>
          </w:p>
        </w:tc>
      </w:tr>
      <w:tr>
        <w:trPr>
          <w:trHeight w:val="300" w:hRule="exact"/>
        </w:trPr>
        <w:tc>
          <w:tcPr>
            <w:tcW w:w="1980" w:type="dxa"/>
            <w:tcBorders/>
            <w:shd w:color="auto" w:fill="auto" w:val="clear"/>
            <w:vAlign w:val="center"/>
          </w:tcPr>
          <w:p>
            <w:pPr>
              <w:pStyle w:val="Contenidodelatabla"/>
              <w:widowControl w:val="false"/>
              <w:spacing w:before="0" w:after="160"/>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t>CONF</w:t>
            </w:r>
          </w:p>
        </w:tc>
        <w:tc>
          <w:tcPr>
            <w:tcW w:w="2441" w:type="dxa"/>
            <w:tcBorders/>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4.12x10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(3.26x10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4.57x10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 xml:space="preserve"> (3.43x10</w:t>
            </w:r>
            <w:r>
              <w:rPr>
                <w:rFonts w:eastAsia="Times New Roman" w:cs="Times New Roman" w:ascii="Times New Roman" w:hAnsi="Times New Roman"/>
                <w:color w:val="000000"/>
                <w:sz w:val="24"/>
                <w:szCs w:val="24"/>
                <w:vertAlign w:val="superscript"/>
                <w:lang w:val="en-US" w:eastAsia="gl-ES"/>
              </w:rPr>
              <w:t>-7</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13139 (1038)</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14.35</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24.22</w:t>
            </w:r>
          </w:p>
        </w:tc>
      </w:tr>
      <w:tr>
        <w:trPr>
          <w:trHeight w:val="300" w:hRule="exact"/>
        </w:trPr>
        <w:tc>
          <w:tcPr>
            <w:tcW w:w="1980" w:type="dxa"/>
            <w:tcBorders/>
            <w:shd w:color="auto" w:fill="auto" w:val="clear"/>
            <w:vAlign w:val="center"/>
          </w:tcPr>
          <w:p>
            <w:pPr>
              <w:pStyle w:val="Contenidodelatabla"/>
              <w:widowControl w:val="false"/>
              <w:spacing w:before="0" w:after="160"/>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t>LONE</w:t>
            </w:r>
          </w:p>
        </w:tc>
        <w:tc>
          <w:tcPr>
            <w:tcW w:w="2441" w:type="dxa"/>
            <w:tcBorders/>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4.98x10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(4.87x10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5.16x10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 xml:space="preserve"> (4.17x10</w:t>
            </w:r>
            <w:r>
              <w:rPr>
                <w:rFonts w:eastAsia="Times New Roman" w:cs="Times New Roman" w:ascii="Times New Roman" w:hAnsi="Times New Roman"/>
                <w:color w:val="000000"/>
                <w:sz w:val="24"/>
                <w:szCs w:val="24"/>
                <w:vertAlign w:val="superscript"/>
                <w:lang w:val="en-US" w:eastAsia="gl-ES"/>
              </w:rPr>
              <w:t>-7</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15867 (1553)</w:t>
            </w:r>
          </w:p>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8.96</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18.70</w:t>
            </w:r>
          </w:p>
        </w:tc>
      </w:tr>
      <w:tr>
        <w:trPr>
          <w:trHeight w:val="300" w:hRule="exact"/>
        </w:trPr>
        <w:tc>
          <w:tcPr>
            <w:tcW w:w="1980" w:type="dxa"/>
            <w:tcBorders/>
            <w:shd w:color="auto" w:fill="auto" w:val="clear"/>
            <w:vAlign w:val="center"/>
          </w:tcPr>
          <w:p>
            <w:pPr>
              <w:pStyle w:val="Contenidodelatabla"/>
              <w:widowControl w:val="false"/>
              <w:spacing w:before="0" w:after="160"/>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t>GAD</w:t>
            </w:r>
          </w:p>
        </w:tc>
        <w:tc>
          <w:tcPr>
            <w:tcW w:w="2441" w:type="dxa"/>
            <w:tcBorders/>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2.64x10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(2.51x10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1.57x10</w:t>
            </w:r>
            <w:r>
              <w:rPr>
                <w:rFonts w:eastAsia="Times New Roman" w:cs="Times New Roman" w:ascii="Times New Roman" w:hAnsi="Times New Roman"/>
                <w:color w:val="000000"/>
                <w:sz w:val="24"/>
                <w:szCs w:val="24"/>
                <w:vertAlign w:val="superscript"/>
                <w:lang w:val="en-US" w:eastAsia="gl-ES"/>
              </w:rPr>
              <w:t>-5</w:t>
            </w:r>
            <w:r>
              <w:rPr>
                <w:rFonts w:eastAsia="Times New Roman" w:cs="Times New Roman" w:ascii="Times New Roman" w:hAnsi="Times New Roman"/>
                <w:color w:val="000000"/>
                <w:sz w:val="24"/>
                <w:szCs w:val="24"/>
                <w:lang w:val="en-US" w:eastAsia="gl-ES"/>
              </w:rPr>
              <w:t xml:space="preserve"> (1.32x10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8418 (801)</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7.94</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18.63</w:t>
            </w:r>
          </w:p>
        </w:tc>
      </w:tr>
      <w:tr>
        <w:trPr>
          <w:trHeight w:val="300" w:hRule="exact"/>
        </w:trPr>
        <w:tc>
          <w:tcPr>
            <w:tcW w:w="1980" w:type="dxa"/>
            <w:tcBorders/>
            <w:shd w:color="auto" w:fill="auto" w:val="clear"/>
            <w:vAlign w:val="center"/>
          </w:tcPr>
          <w:p>
            <w:pPr>
              <w:pStyle w:val="Contenidodelatabla"/>
              <w:widowControl w:val="false"/>
              <w:spacing w:before="0" w:after="160"/>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t>AUDIT-C</w:t>
            </w:r>
          </w:p>
        </w:tc>
        <w:tc>
          <w:tcPr>
            <w:tcW w:w="2441" w:type="dxa"/>
            <w:tcBorders/>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2.46x10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(2.13x10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1.48x10</w:t>
            </w:r>
            <w:r>
              <w:rPr>
                <w:rFonts w:eastAsia="Times New Roman" w:cs="Times New Roman" w:ascii="Times New Roman" w:hAnsi="Times New Roman"/>
                <w:color w:val="000000"/>
                <w:sz w:val="24"/>
                <w:szCs w:val="24"/>
                <w:vertAlign w:val="superscript"/>
                <w:lang w:val="en-US" w:eastAsia="gl-ES"/>
              </w:rPr>
              <w:t>-5</w:t>
            </w:r>
            <w:r>
              <w:rPr>
                <w:rFonts w:eastAsia="Times New Roman" w:cs="Times New Roman" w:ascii="Times New Roman" w:hAnsi="Times New Roman"/>
                <w:color w:val="000000"/>
                <w:sz w:val="24"/>
                <w:szCs w:val="24"/>
                <w:lang w:val="en-US" w:eastAsia="gl-ES"/>
              </w:rPr>
              <w:t xml:space="preserve"> (1.30x10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7856 (680)</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7.79</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18.77</w:t>
            </w:r>
          </w:p>
        </w:tc>
      </w:tr>
      <w:tr>
        <w:trPr>
          <w:trHeight w:val="300" w:hRule="exact"/>
        </w:trPr>
        <w:tc>
          <w:tcPr>
            <w:tcW w:w="1980" w:type="dxa"/>
            <w:tcBorders/>
            <w:shd w:color="auto" w:fill="auto" w:val="clear"/>
            <w:vAlign w:val="center"/>
          </w:tcPr>
          <w:p>
            <w:pPr>
              <w:pStyle w:val="Contenidodelatabla"/>
              <w:widowControl w:val="false"/>
              <w:spacing w:before="0" w:after="160"/>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t>CANN</w:t>
            </w:r>
          </w:p>
        </w:tc>
        <w:tc>
          <w:tcPr>
            <w:tcW w:w="2441" w:type="dxa"/>
            <w:tcBorders/>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3.10x10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(4.82x10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1.03x10</w:t>
            </w:r>
            <w:r>
              <w:rPr>
                <w:rFonts w:eastAsia="Times New Roman" w:cs="Times New Roman" w:ascii="Times New Roman" w:hAnsi="Times New Roman"/>
                <w:color w:val="000000"/>
                <w:sz w:val="24"/>
                <w:szCs w:val="24"/>
                <w:vertAlign w:val="superscript"/>
                <w:lang w:val="en-US" w:eastAsia="gl-ES"/>
              </w:rPr>
              <w:t>-5</w:t>
            </w:r>
            <w:r>
              <w:rPr>
                <w:rFonts w:eastAsia="Times New Roman" w:cs="Times New Roman" w:ascii="Times New Roman" w:hAnsi="Times New Roman"/>
                <w:color w:val="000000"/>
                <w:sz w:val="24"/>
                <w:szCs w:val="24"/>
                <w:lang w:val="en-US" w:eastAsia="gl-ES"/>
              </w:rPr>
              <w:t xml:space="preserve"> (1.50x10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9889 (1536)</w:t>
            </w:r>
          </w:p>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7.66</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17.38</w:t>
            </w:r>
          </w:p>
        </w:tc>
      </w:tr>
      <w:tr>
        <w:trPr>
          <w:trHeight w:val="300" w:hRule="exact"/>
        </w:trPr>
        <w:tc>
          <w:tcPr>
            <w:tcW w:w="1980" w:type="dxa"/>
            <w:tcBorders/>
            <w:shd w:color="auto" w:fill="auto" w:val="clear"/>
            <w:vAlign w:val="center"/>
          </w:tcPr>
          <w:p>
            <w:pPr>
              <w:pStyle w:val="Contenidodelatabla"/>
              <w:widowControl w:val="false"/>
              <w:spacing w:before="0" w:after="160"/>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t>CUD</w:t>
            </w:r>
          </w:p>
        </w:tc>
        <w:tc>
          <w:tcPr>
            <w:tcW w:w="2441" w:type="dxa"/>
            <w:tcBorders/>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1.93x10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(4.36x10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2.60x10</w:t>
            </w:r>
            <w:r>
              <w:rPr>
                <w:rFonts w:eastAsia="Times New Roman" w:cs="Times New Roman" w:ascii="Times New Roman" w:hAnsi="Times New Roman"/>
                <w:color w:val="000000"/>
                <w:sz w:val="24"/>
                <w:szCs w:val="24"/>
                <w:vertAlign w:val="superscript"/>
                <w:lang w:val="en-US" w:eastAsia="gl-ES"/>
              </w:rPr>
              <w:t>-5</w:t>
            </w:r>
            <w:r>
              <w:rPr>
                <w:rFonts w:eastAsia="Times New Roman" w:cs="Times New Roman" w:ascii="Times New Roman" w:hAnsi="Times New Roman"/>
                <w:color w:val="000000"/>
                <w:sz w:val="24"/>
                <w:szCs w:val="24"/>
                <w:lang w:val="en-US" w:eastAsia="gl-ES"/>
              </w:rPr>
              <w:t xml:space="preserve"> (5.20x10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6156 (1389)</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3.49</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13.01</w:t>
            </w:r>
          </w:p>
        </w:tc>
      </w:tr>
      <w:tr>
        <w:trPr>
          <w:trHeight w:val="300" w:hRule="exact"/>
        </w:trPr>
        <w:tc>
          <w:tcPr>
            <w:tcW w:w="1980" w:type="dxa"/>
            <w:tcBorders/>
            <w:shd w:color="auto" w:fill="auto" w:val="clear"/>
            <w:vAlign w:val="center"/>
          </w:tcPr>
          <w:p>
            <w:pPr>
              <w:pStyle w:val="Contenidodelatabla"/>
              <w:widowControl w:val="false"/>
              <w:spacing w:before="0" w:after="160"/>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t>MDD</w:t>
            </w:r>
          </w:p>
        </w:tc>
        <w:tc>
          <w:tcPr>
            <w:tcW w:w="2441" w:type="dxa"/>
            <w:tcBorders/>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7.17x10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(9.08x10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5.26x10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 xml:space="preserve"> (6.98x10</w:t>
            </w:r>
            <w:r>
              <w:rPr>
                <w:rFonts w:eastAsia="Times New Roman" w:cs="Times New Roman" w:ascii="Times New Roman" w:hAnsi="Times New Roman"/>
                <w:color w:val="000000"/>
                <w:sz w:val="24"/>
                <w:szCs w:val="24"/>
                <w:vertAlign w:val="superscript"/>
                <w:lang w:val="en-US" w:eastAsia="gl-ES"/>
              </w:rPr>
              <w:t>-7</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22862 (2896)</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2.14</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12.53</w:t>
            </w:r>
          </w:p>
        </w:tc>
      </w:tr>
      <w:tr>
        <w:trPr>
          <w:trHeight w:val="300" w:hRule="exact"/>
        </w:trPr>
        <w:tc>
          <w:tcPr>
            <w:tcW w:w="1980" w:type="dxa"/>
            <w:tcBorders/>
            <w:shd w:color="auto" w:fill="auto" w:val="clear"/>
            <w:vAlign w:val="center"/>
          </w:tcPr>
          <w:p>
            <w:pPr>
              <w:pStyle w:val="Contenidodelatabla"/>
              <w:widowControl w:val="false"/>
              <w:spacing w:before="0" w:after="160"/>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t>SWB</w:t>
            </w:r>
          </w:p>
        </w:tc>
        <w:tc>
          <w:tcPr>
            <w:tcW w:w="2441" w:type="dxa"/>
            <w:tcBorders/>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7.75x10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(4.41x10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2.73x10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 xml:space="preserve"> (1.10x10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24716 (14075)</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2.09</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12.69</w:t>
            </w:r>
          </w:p>
        </w:tc>
      </w:tr>
      <w:tr>
        <w:trPr>
          <w:trHeight w:val="300" w:hRule="exact"/>
        </w:trPr>
        <w:tc>
          <w:tcPr>
            <w:tcW w:w="1980" w:type="dxa"/>
            <w:tcBorders/>
            <w:shd w:color="auto" w:fill="auto" w:val="clear"/>
            <w:vAlign w:val="center"/>
          </w:tcPr>
          <w:p>
            <w:pPr>
              <w:pStyle w:val="Contenidodelatabla"/>
              <w:widowControl w:val="false"/>
              <w:spacing w:before="0" w:after="160"/>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t>ANX</w:t>
            </w:r>
          </w:p>
        </w:tc>
        <w:tc>
          <w:tcPr>
            <w:tcW w:w="2441" w:type="dxa"/>
            <w:tcBorders/>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3.23x10</w:t>
            </w:r>
            <w:r>
              <w:rPr>
                <w:rFonts w:eastAsia="Times New Roman" w:cs="Times New Roman" w:ascii="Times New Roman" w:hAnsi="Times New Roman"/>
                <w:color w:val="000000"/>
                <w:sz w:val="24"/>
                <w:szCs w:val="24"/>
                <w:vertAlign w:val="superscript"/>
                <w:lang w:val="en-US" w:eastAsia="gl-ES"/>
              </w:rPr>
              <w:t>-2</w:t>
            </w:r>
            <w:r>
              <w:rPr>
                <w:rFonts w:eastAsia="Times New Roman" w:cs="Times New Roman" w:ascii="Times New Roman" w:hAnsi="Times New Roman"/>
                <w:color w:val="000000"/>
                <w:sz w:val="24"/>
                <w:szCs w:val="24"/>
                <w:lang w:val="en-US" w:eastAsia="gl-ES"/>
              </w:rPr>
              <w:t xml:space="preserve"> (2.85x10</w:t>
            </w:r>
            <w:r>
              <w:rPr>
                <w:rFonts w:eastAsia="Times New Roman" w:cs="Times New Roman" w:ascii="Times New Roman" w:hAnsi="Times New Roman"/>
                <w:color w:val="000000"/>
                <w:sz w:val="24"/>
                <w:szCs w:val="24"/>
                <w:vertAlign w:val="superscript"/>
                <w:lang w:val="en-US" w:eastAsia="gl-ES"/>
              </w:rPr>
              <w:t>-2</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2.60x10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 xml:space="preserve"> (2.30x10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102890 (90951)</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1.92</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11.79</w:t>
            </w:r>
          </w:p>
        </w:tc>
      </w:tr>
      <w:tr>
        <w:trPr>
          <w:trHeight w:val="300" w:hRule="exact"/>
        </w:trPr>
        <w:tc>
          <w:tcPr>
            <w:tcW w:w="1980" w:type="dxa"/>
            <w:tcBorders/>
            <w:shd w:color="auto" w:fill="auto" w:val="clear"/>
            <w:vAlign w:val="center"/>
          </w:tcPr>
          <w:p>
            <w:pPr>
              <w:pStyle w:val="Contenidodelatabla"/>
              <w:widowControl w:val="false"/>
              <w:spacing w:before="0" w:after="160"/>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t>AGG</w:t>
            </w:r>
          </w:p>
        </w:tc>
        <w:tc>
          <w:tcPr>
            <w:tcW w:w="2441" w:type="dxa"/>
            <w:tcBorders/>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4.43x10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(1.38x10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w:t>
            </w:r>
          </w:p>
        </w:tc>
        <w:tc>
          <w:tcPr>
            <w:tcW w:w="23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4.31x10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 xml:space="preserve"> (1.01x10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w:t>
            </w:r>
          </w:p>
        </w:tc>
        <w:tc>
          <w:tcPr>
            <w:tcW w:w="2496"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14134 (4413)</w:t>
            </w:r>
          </w:p>
        </w:tc>
        <w:tc>
          <w:tcPr>
            <w:tcW w:w="1077"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1.87</w:t>
            </w:r>
          </w:p>
        </w:tc>
        <w:tc>
          <w:tcPr>
            <w:tcW w:w="1073" w:type="dxa"/>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11.77</w:t>
            </w:r>
          </w:p>
        </w:tc>
      </w:tr>
      <w:tr>
        <w:trPr>
          <w:trHeight w:val="300" w:hRule="exact"/>
        </w:trPr>
        <w:tc>
          <w:tcPr>
            <w:tcW w:w="1980" w:type="dxa"/>
            <w:tcBorders>
              <w:bottom w:val="single" w:sz="6" w:space="0" w:color="000000"/>
            </w:tcBorders>
            <w:shd w:color="auto" w:fill="auto" w:val="clear"/>
            <w:vAlign w:val="center"/>
          </w:tcPr>
          <w:p>
            <w:pPr>
              <w:pStyle w:val="Contenidodelatabla"/>
              <w:widowControl w:val="false"/>
              <w:spacing w:before="0" w:after="160"/>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t>AUDIT-P</w:t>
            </w:r>
          </w:p>
        </w:tc>
        <w:tc>
          <w:tcPr>
            <w:tcW w:w="2441" w:type="dxa"/>
            <w:tcBorders>
              <w:bottom w:val="single" w:sz="6" w:space="0" w:color="000000"/>
            </w:tcBorders>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2.17x10</w:t>
            </w:r>
            <w:r>
              <w:rPr>
                <w:rFonts w:eastAsia="Times New Roman" w:cs="Times New Roman" w:ascii="Times New Roman" w:hAnsi="Times New Roman"/>
                <w:color w:val="000000"/>
                <w:sz w:val="24"/>
                <w:szCs w:val="24"/>
                <w:vertAlign w:val="superscript"/>
                <w:lang w:val="en-US" w:eastAsia="gl-ES"/>
              </w:rPr>
              <w:t>-3</w:t>
            </w:r>
            <w:r>
              <w:rPr>
                <w:rFonts w:eastAsia="Times New Roman" w:cs="Times New Roman" w:ascii="Times New Roman" w:hAnsi="Times New Roman"/>
                <w:color w:val="000000"/>
                <w:sz w:val="24"/>
                <w:szCs w:val="24"/>
                <w:lang w:val="en-US" w:eastAsia="gl-ES"/>
              </w:rPr>
              <w:t xml:space="preserve"> (3.21x10</w:t>
            </w:r>
            <w:r>
              <w:rPr>
                <w:rFonts w:eastAsia="Times New Roman" w:cs="Times New Roman" w:ascii="Times New Roman" w:hAnsi="Times New Roman"/>
                <w:color w:val="000000"/>
                <w:sz w:val="24"/>
                <w:szCs w:val="24"/>
                <w:vertAlign w:val="superscript"/>
                <w:lang w:val="en-US" w:eastAsia="gl-ES"/>
              </w:rPr>
              <w:t>-4</w:t>
            </w:r>
            <w:r>
              <w:rPr>
                <w:rFonts w:eastAsia="Times New Roman" w:cs="Times New Roman" w:ascii="Times New Roman" w:hAnsi="Times New Roman"/>
                <w:color w:val="000000"/>
                <w:sz w:val="24"/>
                <w:szCs w:val="24"/>
                <w:lang w:val="en-US" w:eastAsia="gl-ES"/>
              </w:rPr>
              <w:t>)</w:t>
            </w:r>
          </w:p>
        </w:tc>
        <w:tc>
          <w:tcPr>
            <w:tcW w:w="2328" w:type="dxa"/>
            <w:tcBorders>
              <w:bottom w:val="single" w:sz="6" w:space="0" w:color="000000"/>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1.17x10</w:t>
            </w:r>
            <w:r>
              <w:rPr>
                <w:rFonts w:eastAsia="Times New Roman" w:cs="Times New Roman" w:ascii="Times New Roman" w:hAnsi="Times New Roman"/>
                <w:color w:val="000000"/>
                <w:sz w:val="24"/>
                <w:szCs w:val="24"/>
                <w:vertAlign w:val="superscript"/>
                <w:lang w:val="en-US" w:eastAsia="gl-ES"/>
              </w:rPr>
              <w:t>-5</w:t>
            </w:r>
            <w:r>
              <w:rPr>
                <w:rFonts w:eastAsia="Times New Roman" w:cs="Times New Roman" w:ascii="Times New Roman" w:hAnsi="Times New Roman"/>
                <w:color w:val="000000"/>
                <w:sz w:val="24"/>
                <w:szCs w:val="24"/>
                <w:lang w:val="en-US" w:eastAsia="gl-ES"/>
              </w:rPr>
              <w:t xml:space="preserve"> (1.62x10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w:t>
            </w:r>
          </w:p>
        </w:tc>
        <w:tc>
          <w:tcPr>
            <w:tcW w:w="2496" w:type="dxa"/>
            <w:tcBorders>
              <w:bottom w:val="single" w:sz="6" w:space="0" w:color="000000"/>
            </w:tcBorders>
            <w:shd w:color="auto" w:fill="auto" w:val="clear"/>
            <w:vAlign w:val="center"/>
          </w:tcPr>
          <w:p>
            <w:pPr>
              <w:pStyle w:val="Normal"/>
              <w:widowControl w:val="false"/>
              <w:spacing w:lineRule="auto" w:line="240" w:before="0" w:after="0"/>
              <w:jc w:val="center"/>
              <w:rPr>
                <w:rFonts w:ascii="Times New Roman" w:hAnsi="Times New Roman" w:cs="Times New Roman"/>
                <w:color w:val="000000"/>
                <w:sz w:val="24"/>
                <w:szCs w:val="24"/>
                <w:lang w:val="en-US"/>
              </w:rPr>
            </w:pPr>
            <w:r>
              <w:rPr>
                <w:rFonts w:eastAsia="Times New Roman" w:cs="Times New Roman" w:ascii="Times New Roman" w:hAnsi="Times New Roman"/>
                <w:color w:val="000000"/>
                <w:sz w:val="24"/>
                <w:szCs w:val="24"/>
                <w:lang w:val="en-US" w:eastAsia="gl-ES"/>
              </w:rPr>
              <w:t>6931 (1025)</w:t>
            </w:r>
          </w:p>
        </w:tc>
        <w:tc>
          <w:tcPr>
            <w:tcW w:w="1077" w:type="dxa"/>
            <w:tcBorders>
              <w:bottom w:val="single" w:sz="6" w:space="0" w:color="000000"/>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-0.02</w:t>
            </w:r>
          </w:p>
        </w:tc>
        <w:tc>
          <w:tcPr>
            <w:tcW w:w="1073" w:type="dxa"/>
            <w:tcBorders>
              <w:bottom w:val="single" w:sz="6" w:space="0" w:color="000000"/>
            </w:tcBorders>
            <w:shd w:color="auto" w:fill="auto" w:val="clear"/>
            <w:vAlign w:val="center"/>
          </w:tcPr>
          <w:p>
            <w:pPr>
              <w:pStyle w:val="Normal"/>
              <w:widowControl w:val="false"/>
              <w:spacing w:lineRule="auto" w:line="240" w:before="0" w:after="0"/>
              <w:jc w:val="center"/>
              <w:rPr>
                <w:highlight w:val="none"/>
                <w:shd w:fill="auto" w:val="clear"/>
              </w:rPr>
            </w:pPr>
            <w:r>
              <w:rPr>
                <w:rFonts w:cs="Times New Roman" w:ascii="Times New Roman" w:hAnsi="Times New Roman"/>
                <w:color w:val="000000"/>
                <w:sz w:val="24"/>
                <w:szCs w:val="24"/>
                <w:shd w:fill="auto" w:val="clear"/>
              </w:rPr>
              <w:t>10.96</w:t>
            </w:r>
          </w:p>
        </w:tc>
      </w:tr>
    </w:tbl>
    <w:p>
      <w:pPr>
        <w:pStyle w:val="Normal"/>
        <w:spacing w:lineRule="auto" w:line="240" w:before="0" w:after="0"/>
        <w:rPr>
          <w:rFonts w:ascii="Times New Roman" w:hAnsi="Times New Roman" w:eastAsia="Calibri" w:cs="Times New Roman"/>
          <w:sz w:val="24"/>
          <w:szCs w:val="24"/>
          <w:lang w:val="en-US"/>
        </w:rPr>
      </w:pPr>
      <w:r>
        <w:rPr>
          <w:rFonts w:eastAsia="Calibri" w:cs="Times New Roman" w:ascii="Times New Roman" w:hAnsi="Times New Roman"/>
          <w:sz w:val="24"/>
          <w:szCs w:val="24"/>
          <w:lang w:val="en-US"/>
        </w:rPr>
      </w:r>
    </w:p>
    <w:p>
      <w:pPr>
        <w:pStyle w:val="Normal"/>
        <w:spacing w:lineRule="auto" w:line="360" w:before="0" w:after="120"/>
        <w:jc w:val="both"/>
        <w:rPr>
          <w:rFonts w:ascii="Times New Roman" w:hAnsi="Times New Roman" w:eastAsia="Calibri" w:cs="Times New Roman"/>
          <w:sz w:val="24"/>
          <w:szCs w:val="24"/>
          <w:lang w:val="en-US"/>
        </w:rPr>
      </w:pPr>
      <w:r>
        <w:rPr>
          <w:rFonts w:eastAsia="Calibri" w:cs="Times New Roman" w:ascii="Times New Roman" w:hAnsi="Times New Roman"/>
          <w:sz w:val="24"/>
          <w:szCs w:val="24"/>
          <w:vertAlign w:val="superscript"/>
          <w:lang w:val="en-US"/>
        </w:rPr>
        <w:t>1</w:t>
      </w:r>
      <w:r>
        <w:rPr>
          <w:rFonts w:eastAsia="Calibri" w:cs="Times New Roman" w:ascii="Times New Roman" w:hAnsi="Times New Roman"/>
          <w:sz w:val="24"/>
          <w:szCs w:val="24"/>
          <w:lang w:val="en-US"/>
        </w:rPr>
        <w:t>: number of causal variants explaining 90% of the h</w:t>
      </w:r>
      <w:r>
        <w:rPr>
          <w:rFonts w:eastAsia="Calibri" w:cs="Times New Roman" w:ascii="Times New Roman" w:hAnsi="Times New Roman"/>
          <w:sz w:val="24"/>
          <w:szCs w:val="24"/>
          <w:vertAlign w:val="superscript"/>
          <w:lang w:val="en-US"/>
        </w:rPr>
        <w:t>2</w:t>
      </w:r>
      <w:r>
        <w:rPr>
          <w:rFonts w:eastAsia="Calibri" w:cs="Times New Roman" w:ascii="Times New Roman" w:hAnsi="Times New Roman"/>
          <w:sz w:val="24"/>
          <w:szCs w:val="24"/>
          <w:vertAlign w:val="subscript"/>
          <w:lang w:val="en-US"/>
        </w:rPr>
        <w:t>SNP</w:t>
      </w:r>
      <w:r>
        <w:rPr>
          <w:rFonts w:eastAsia="Calibri" w:cs="Times New Roman" w:ascii="Times New Roman" w:hAnsi="Times New Roman"/>
          <w:sz w:val="24"/>
          <w:szCs w:val="24"/>
          <w:lang w:val="en-US"/>
        </w:rPr>
        <w:t>.</w:t>
      </w:r>
    </w:p>
    <w:p>
      <w:pPr>
        <w:sectPr>
          <w:type w:val="nextPage"/>
          <w:pgSz w:orient="landscape" w:w="16838" w:h="11906"/>
          <w:pgMar w:left="1701" w:right="1701" w:gutter="0" w:header="0" w:top="624" w:footer="0" w:bottom="624"/>
          <w:pgNumType w:fmt="decimal"/>
          <w:formProt w:val="false"/>
          <w:textDirection w:val="lrTb"/>
          <w:docGrid w:type="default" w:linePitch="360" w:charSpace="8192"/>
        </w:sectPr>
        <w:pStyle w:val="Normal"/>
        <w:spacing w:lineRule="auto" w:line="360" w:before="0" w:after="120"/>
        <w:jc w:val="both"/>
        <w:rPr>
          <w:rFonts w:ascii="Times New Roman" w:hAnsi="Times New Roman" w:eastAsia="Calibri" w:cs="Times New Roman"/>
          <w:sz w:val="24"/>
          <w:szCs w:val="24"/>
          <w:lang w:val="en-US"/>
        </w:rPr>
      </w:pPr>
      <w:r>
        <w:rPr>
          <w:rFonts w:eastAsia="Calibri" w:cs="Times New Roman" w:ascii="Times New Roman" w:hAnsi="Times New Roman"/>
          <w:sz w:val="24"/>
          <w:szCs w:val="24"/>
          <w:vertAlign w:val="superscript"/>
          <w:lang w:val="en-US"/>
        </w:rPr>
        <w:t>2</w:t>
      </w:r>
      <w:r>
        <w:rPr>
          <w:rFonts w:eastAsia="Calibri" w:cs="Times New Roman" w:ascii="Times New Roman" w:hAnsi="Times New Roman"/>
          <w:sz w:val="24"/>
          <w:szCs w:val="24"/>
          <w:lang w:val="en-US"/>
        </w:rPr>
        <w:t xml:space="preserve">: difference between the Akaike information criterion (AIC) </w:t>
      </w:r>
      <w:r>
        <w:rPr>
          <w:rFonts w:eastAsia="Calibri" w:cs="Times New Roman" w:ascii="Times New Roman" w:hAnsi="Times New Roman"/>
          <w:sz w:val="24"/>
          <w:szCs w:val="24"/>
          <w:lang w:val="en-US"/>
        </w:rPr>
        <w:t>or Bayesian information criterion (BIC)</w:t>
      </w:r>
      <w:r>
        <w:rPr>
          <w:rFonts w:eastAsia="Calibri" w:cs="Times New Roman" w:ascii="Times New Roman" w:hAnsi="Times New Roman"/>
          <w:sz w:val="24"/>
          <w:szCs w:val="24"/>
          <w:lang w:val="en-US"/>
        </w:rPr>
        <w:t xml:space="preserve"> for the infinitesimal model assuming all genetic variants as causal and the best-fitting MiXeR model. </w:t>
      </w:r>
    </w:p>
    <w:p>
      <w:pPr>
        <w:pStyle w:val="Normal"/>
        <w:spacing w:lineRule="auto" w:line="360" w:before="0" w:after="120"/>
        <w:jc w:val="both"/>
        <w:rPr>
          <w:rFonts w:ascii="Times New Roman" w:hAnsi="Times New Roman" w:eastAsia="Calibri" w:cs="Times New Roman"/>
          <w:sz w:val="24"/>
          <w:szCs w:val="24"/>
          <w:lang w:val="en-US"/>
        </w:rPr>
      </w:pPr>
      <w:r>
        <w:rPr>
          <w:rFonts w:eastAsia="Calibri" w:cs="Times New Roman" w:ascii="Times New Roman" w:hAnsi="Times New Roman"/>
          <w:sz w:val="24"/>
          <w:szCs w:val="24"/>
          <w:lang w:val="en-US"/>
        </w:rPr>
        <w:t>Supplementary Table 3. Bivariate MiXeR results for each of the 4 selected SUBs and SUDs and the 10 selected externalizing and internalizing traits.</w:t>
      </w:r>
    </w:p>
    <w:tbl>
      <w:tblPr>
        <w:tblW w:w="14006" w:type="dxa"/>
        <w:jc w:val="left"/>
        <w:tblInd w:w="0" w:type="dxa"/>
        <w:tblLayout w:type="fixed"/>
        <w:tblCellMar>
          <w:top w:w="57" w:type="dxa"/>
          <w:left w:w="108" w:type="dxa"/>
          <w:bottom w:w="57" w:type="dxa"/>
          <w:right w:w="108" w:type="dxa"/>
        </w:tblCellMar>
        <w:tblLook w:firstRow="1" w:noVBand="1" w:lastRow="0" w:firstColumn="1" w:lastColumn="0" w:noHBand="0" w:val="04a0"/>
      </w:tblPr>
      <w:tblGrid>
        <w:gridCol w:w="1274"/>
        <w:gridCol w:w="1279"/>
        <w:gridCol w:w="1528"/>
        <w:gridCol w:w="1591"/>
        <w:gridCol w:w="1417"/>
        <w:gridCol w:w="1279"/>
        <w:gridCol w:w="1273"/>
        <w:gridCol w:w="997"/>
        <w:gridCol w:w="993"/>
        <w:gridCol w:w="1138"/>
        <w:gridCol w:w="1235"/>
      </w:tblGrid>
      <w:tr>
        <w:trPr>
          <w:trHeight w:val="952" w:hRule="atLeast"/>
        </w:trPr>
        <w:tc>
          <w:tcPr>
            <w:tcW w:w="1274" w:type="dxa"/>
            <w:tcBorders>
              <w:top w:val="single" w:sz="4" w:space="0" w:color="000000"/>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Trait 1</w:t>
            </w:r>
          </w:p>
        </w:tc>
        <w:tc>
          <w:tcPr>
            <w:tcW w:w="1279" w:type="dxa"/>
            <w:tcBorders>
              <w:top w:val="single" w:sz="4" w:space="0" w:color="000000"/>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Trait 2</w:t>
            </w:r>
          </w:p>
        </w:tc>
        <w:tc>
          <w:tcPr>
            <w:tcW w:w="1528" w:type="dxa"/>
            <w:tcBorders>
              <w:top w:val="single" w:sz="4" w:space="0" w:color="000000"/>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vertAlign w:val="superscript"/>
                <w:lang w:val="en-US" w:eastAsia="gl-ES"/>
              </w:rPr>
            </w:pPr>
            <w:r>
              <w:rPr>
                <w:rFonts w:eastAsia="Times New Roman" w:cs="Times New Roman" w:ascii="Times New Roman" w:hAnsi="Times New Roman"/>
                <w:color w:val="000000"/>
                <w:lang w:val="en-US" w:eastAsia="gl-ES"/>
              </w:rPr>
              <w:t>N unique causal variants for trait 1 (SD)</w:t>
            </w:r>
            <w:r>
              <w:rPr>
                <w:rFonts w:eastAsia="Times New Roman" w:cs="Times New Roman" w:ascii="Times New Roman" w:hAnsi="Times New Roman"/>
                <w:color w:val="000000"/>
                <w:vertAlign w:val="superscript"/>
                <w:lang w:val="en-US" w:eastAsia="gl-ES"/>
              </w:rPr>
              <w:t>1</w:t>
            </w:r>
          </w:p>
        </w:tc>
        <w:tc>
          <w:tcPr>
            <w:tcW w:w="1591" w:type="dxa"/>
            <w:tcBorders>
              <w:top w:val="single" w:sz="4" w:space="0" w:color="000000"/>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vertAlign w:val="superscript"/>
                <w:lang w:val="en-US" w:eastAsia="gl-ES"/>
              </w:rPr>
            </w:pPr>
            <w:r>
              <w:rPr>
                <w:rFonts w:eastAsia="Times New Roman" w:cs="Times New Roman" w:ascii="Times New Roman" w:hAnsi="Times New Roman"/>
                <w:color w:val="000000"/>
                <w:lang w:val="en-US" w:eastAsia="gl-ES"/>
              </w:rPr>
              <w:t>N unique causal variants for trait 2 (SD)</w:t>
            </w:r>
            <w:r>
              <w:rPr>
                <w:rFonts w:eastAsia="Times New Roman" w:cs="Times New Roman" w:ascii="Times New Roman" w:hAnsi="Times New Roman"/>
                <w:color w:val="000000"/>
                <w:vertAlign w:val="superscript"/>
                <w:lang w:val="en-US" w:eastAsia="gl-ES"/>
              </w:rPr>
              <w:t>1</w:t>
            </w:r>
          </w:p>
        </w:tc>
        <w:tc>
          <w:tcPr>
            <w:tcW w:w="1417" w:type="dxa"/>
            <w:tcBorders>
              <w:top w:val="single" w:sz="4" w:space="0" w:color="000000"/>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vertAlign w:val="superscript"/>
                <w:lang w:val="en-US" w:eastAsia="gl-ES"/>
              </w:rPr>
            </w:pPr>
            <w:r>
              <w:rPr>
                <w:rFonts w:eastAsia="Times New Roman" w:cs="Times New Roman" w:ascii="Times New Roman" w:hAnsi="Times New Roman"/>
                <w:color w:val="000000"/>
                <w:lang w:val="en-US" w:eastAsia="gl-ES"/>
              </w:rPr>
              <w:t>N shared causal variants (SD)</w:t>
            </w:r>
            <w:r>
              <w:rPr>
                <w:rFonts w:eastAsia="Times New Roman" w:cs="Times New Roman" w:ascii="Times New Roman" w:hAnsi="Times New Roman"/>
                <w:color w:val="000000"/>
                <w:vertAlign w:val="superscript"/>
                <w:lang w:val="en-US" w:eastAsia="gl-ES"/>
              </w:rPr>
              <w:t>1</w:t>
            </w:r>
          </w:p>
        </w:tc>
        <w:tc>
          <w:tcPr>
            <w:tcW w:w="1279" w:type="dxa"/>
            <w:tcBorders>
              <w:top w:val="single" w:sz="4" w:space="0" w:color="000000"/>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 of variants of trait 1 shared with trait 2</w:t>
            </w:r>
          </w:p>
        </w:tc>
        <w:tc>
          <w:tcPr>
            <w:tcW w:w="1273" w:type="dxa"/>
            <w:tcBorders>
              <w:top w:val="single" w:sz="4" w:space="0" w:color="000000"/>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 of variants of trait 2 shared with trait 1</w:t>
            </w:r>
          </w:p>
        </w:tc>
        <w:tc>
          <w:tcPr>
            <w:tcW w:w="997" w:type="dxa"/>
            <w:tcBorders>
              <w:top w:val="single" w:sz="4" w:space="0" w:color="000000"/>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vertAlign w:val="superscript"/>
                <w:lang w:val="en-US" w:eastAsia="gl-ES"/>
              </w:rPr>
            </w:pPr>
            <w:r>
              <w:rPr>
                <w:rFonts w:eastAsia="Times New Roman" w:cs="Times New Roman" w:ascii="Times New Roman" w:hAnsi="Times New Roman"/>
                <w:color w:val="000000"/>
                <w:lang w:val="en-US" w:eastAsia="gl-ES"/>
              </w:rPr>
              <w:t>r</w:t>
            </w:r>
            <w:r>
              <w:rPr>
                <w:rFonts w:eastAsia="Times New Roman" w:cs="Times New Roman" w:ascii="Times New Roman" w:hAnsi="Times New Roman"/>
                <w:color w:val="000000"/>
                <w:vertAlign w:val="subscript"/>
                <w:lang w:val="en-US" w:eastAsia="gl-ES"/>
              </w:rPr>
              <w:t>gs</w:t>
            </w:r>
            <w:r>
              <w:rPr>
                <w:rFonts w:eastAsia="Times New Roman" w:cs="Times New Roman" w:ascii="Times New Roman" w:hAnsi="Times New Roman"/>
                <w:color w:val="000000"/>
                <w:lang w:val="en-US" w:eastAsia="gl-ES"/>
              </w:rPr>
              <w:t xml:space="preserve"> (SD)</w:t>
            </w:r>
            <w:r>
              <w:rPr>
                <w:rFonts w:eastAsia="Times New Roman" w:cs="Times New Roman" w:ascii="Times New Roman" w:hAnsi="Times New Roman"/>
                <w:color w:val="000000"/>
                <w:vertAlign w:val="superscript"/>
                <w:lang w:val="en-US" w:eastAsia="gl-ES"/>
              </w:rPr>
              <w:t>2</w:t>
            </w:r>
          </w:p>
        </w:tc>
        <w:tc>
          <w:tcPr>
            <w:tcW w:w="993" w:type="dxa"/>
            <w:tcBorders>
              <w:top w:val="single" w:sz="4" w:space="0" w:color="000000"/>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vertAlign w:val="superscript"/>
                <w:lang w:val="en-US" w:eastAsia="gl-ES"/>
              </w:rPr>
            </w:pPr>
            <w:r>
              <w:rPr>
                <w:rFonts w:eastAsia="Times New Roman" w:cs="Times New Roman" w:ascii="Times New Roman" w:hAnsi="Times New Roman"/>
                <w:color w:val="000000"/>
                <w:lang w:val="en-US" w:eastAsia="gl-ES"/>
              </w:rPr>
              <w:t>r</w:t>
            </w:r>
            <w:r>
              <w:rPr>
                <w:rFonts w:eastAsia="Times New Roman" w:cs="Times New Roman" w:ascii="Times New Roman" w:hAnsi="Times New Roman"/>
                <w:color w:val="000000"/>
                <w:vertAlign w:val="subscript"/>
                <w:lang w:val="en-US" w:eastAsia="gl-ES"/>
              </w:rPr>
              <w:t>g</w:t>
            </w:r>
            <w:r>
              <w:rPr>
                <w:rFonts w:eastAsia="Times New Roman" w:cs="Times New Roman" w:ascii="Times New Roman" w:hAnsi="Times New Roman"/>
                <w:color w:val="000000"/>
                <w:lang w:val="en-US" w:eastAsia="gl-ES"/>
              </w:rPr>
              <w:t xml:space="preserve"> (SD)</w:t>
            </w:r>
            <w:r>
              <w:rPr>
                <w:rFonts w:eastAsia="Times New Roman" w:cs="Times New Roman" w:ascii="Times New Roman" w:hAnsi="Times New Roman"/>
                <w:color w:val="000000"/>
                <w:vertAlign w:val="superscript"/>
                <w:lang w:val="en-US" w:eastAsia="gl-ES"/>
              </w:rPr>
              <w:t>3</w:t>
            </w:r>
          </w:p>
        </w:tc>
        <w:tc>
          <w:tcPr>
            <w:tcW w:w="1138" w:type="dxa"/>
            <w:tcBorders>
              <w:top w:val="single" w:sz="4" w:space="0" w:color="000000"/>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vertAlign w:val="superscript"/>
                <w:lang w:val="en-US" w:eastAsia="gl-ES"/>
              </w:rPr>
            </w:pPr>
            <w:r>
              <w:rPr>
                <w:rFonts w:eastAsia="Times New Roman" w:cs="Times New Roman" w:ascii="Times New Roman" w:hAnsi="Times New Roman"/>
                <w:color w:val="000000"/>
                <w:lang w:val="en-US" w:eastAsia="gl-ES"/>
              </w:rPr>
              <w:t>Minimum AIC</w:t>
            </w:r>
            <w:r>
              <w:rPr>
                <w:rFonts w:eastAsia="Times New Roman" w:cs="Times New Roman" w:ascii="Times New Roman" w:hAnsi="Times New Roman"/>
                <w:color w:val="000000"/>
                <w:vertAlign w:val="superscript"/>
                <w:lang w:val="en-US" w:eastAsia="gl-ES"/>
              </w:rPr>
              <w:t>4</w:t>
            </w:r>
          </w:p>
        </w:tc>
        <w:tc>
          <w:tcPr>
            <w:tcW w:w="1235" w:type="dxa"/>
            <w:tcBorders>
              <w:top w:val="single" w:sz="4" w:space="0" w:color="000000"/>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vertAlign w:val="superscript"/>
                <w:lang w:val="en-US" w:eastAsia="gl-ES"/>
              </w:rPr>
            </w:pPr>
            <w:r>
              <w:rPr>
                <w:rFonts w:eastAsia="Times New Roman" w:cs="Times New Roman" w:ascii="Times New Roman" w:hAnsi="Times New Roman"/>
                <w:color w:val="000000"/>
                <w:lang w:val="en-US" w:eastAsia="gl-ES"/>
              </w:rPr>
              <w:t>Maximum AIC</w:t>
            </w:r>
            <w:r>
              <w:rPr>
                <w:rFonts w:eastAsia="Times New Roman" w:cs="Times New Roman" w:ascii="Times New Roman" w:hAnsi="Times New Roman"/>
                <w:color w:val="000000"/>
                <w:vertAlign w:val="superscript"/>
                <w:lang w:val="en-US" w:eastAsia="gl-ES"/>
              </w:rPr>
              <w:t>5</w:t>
            </w:r>
          </w:p>
        </w:tc>
      </w:tr>
      <w:tr>
        <w:trPr>
          <w:trHeight w:val="300" w:hRule="atLeast"/>
        </w:trPr>
        <w:tc>
          <w:tcPr>
            <w:tcW w:w="1274" w:type="dxa"/>
            <w:vMerge w:val="restart"/>
            <w:tcBorders>
              <w:top w:val="single" w:sz="4" w:space="0" w:color="000000"/>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EverSmk</w:t>
            </w:r>
          </w:p>
        </w:tc>
        <w:tc>
          <w:tcPr>
            <w:tcW w:w="1279"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AFS</w:t>
            </w:r>
          </w:p>
        </w:tc>
        <w:tc>
          <w:tcPr>
            <w:tcW w:w="1528"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689 (651)</w:t>
            </w:r>
          </w:p>
        </w:tc>
        <w:tc>
          <w:tcPr>
            <w:tcW w:w="1591"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124 (179)</w:t>
            </w:r>
          </w:p>
        </w:tc>
        <w:tc>
          <w:tcPr>
            <w:tcW w:w="1417"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10879 (245)</w:t>
            </w:r>
          </w:p>
        </w:tc>
        <w:tc>
          <w:tcPr>
            <w:tcW w:w="1279"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94.0%</w:t>
            </w:r>
          </w:p>
        </w:tc>
        <w:tc>
          <w:tcPr>
            <w:tcW w:w="1273"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98.9%</w:t>
            </w:r>
          </w:p>
        </w:tc>
        <w:tc>
          <w:tcPr>
            <w:tcW w:w="997"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-0.6610 (0.0181)</w:t>
            </w:r>
          </w:p>
        </w:tc>
        <w:tc>
          <w:tcPr>
            <w:tcW w:w="993"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-0.6376 (0.0072)</w:t>
            </w:r>
          </w:p>
        </w:tc>
        <w:tc>
          <w:tcPr>
            <w:tcW w:w="1138"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133.04</w:t>
            </w:r>
          </w:p>
        </w:tc>
        <w:tc>
          <w:tcPr>
            <w:tcW w:w="1235"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-0.05</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NSEX</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4329 (1218)</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3575 (1126)</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7239 (1046)</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62.6%</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66.9%</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0.8663 (0.1080)</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0.5516 (0.0114)</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1.83</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3.61</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AFB</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1276 (769)</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109 (126)</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10292 (419)</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89.0%</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98.9%</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-0.5367 (0.0151)</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-0.5037 (0.0094)</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58.03</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-0.6</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RISK</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1274 (1553)</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1060 (1428)</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10294 (1746)</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89.0%</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90.7%</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0.3980 (0.1339)</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0.3384 (0.0136)</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7.61</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0.17</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ADHD</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4171 (852)</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299 (295)</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7397 (455)</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63.9%</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96.1%</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0.7751 (0.0539)</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0.6061 (0.0151)</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3.18</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0.01</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NEURO</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796 (664)</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1087 (593)</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10772 (566)</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93.1%</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90.8%</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0.1597 (0.0111)</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0.1468 (0.0105)</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42.54</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0.09</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DEP-NEURO</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2075 (979)</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677 (823)</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9493 (758)</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82.1%</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93.3%</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0.3159 (0.0296)</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0.2751 (0.0148)</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13.85</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0.14</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WORRY-NEURO</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259 (266)</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814 (781)</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11309 (533)</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97.8%</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93.3%</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-0.0646 (0.0133)</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-0.0617 (0.0127)</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91.98</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-0.3</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DEP</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315 (320)</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829 (438)</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11254 (557)</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97.3%</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93.1%</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0.3481 (0.0139)</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0.3315 (0.0136)</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20.92</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-0.76</w:t>
            </w:r>
          </w:p>
        </w:tc>
      </w:tr>
      <w:tr>
        <w:trPr>
          <w:trHeight w:val="300" w:hRule="atLeast"/>
        </w:trPr>
        <w:tc>
          <w:tcPr>
            <w:tcW w:w="1274" w:type="dxa"/>
            <w:vMerge w:val="continue"/>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MOOD</w:t>
            </w:r>
          </w:p>
        </w:tc>
        <w:tc>
          <w:tcPr>
            <w:tcW w:w="1528"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2077 (864)</w:t>
            </w:r>
          </w:p>
        </w:tc>
        <w:tc>
          <w:tcPr>
            <w:tcW w:w="1591"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285 (398)</w:t>
            </w:r>
          </w:p>
        </w:tc>
        <w:tc>
          <w:tcPr>
            <w:tcW w:w="1417"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9491 (474)</w:t>
            </w:r>
          </w:p>
        </w:tc>
        <w:tc>
          <w:tcPr>
            <w:tcW w:w="1279"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82.0%</w:t>
            </w:r>
          </w:p>
        </w:tc>
        <w:tc>
          <w:tcPr>
            <w:tcW w:w="1273"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97.1%</w:t>
            </w:r>
          </w:p>
        </w:tc>
        <w:tc>
          <w:tcPr>
            <w:tcW w:w="997"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0.2918 (0.0170)</w:t>
            </w:r>
          </w:p>
        </w:tc>
        <w:tc>
          <w:tcPr>
            <w:tcW w:w="993"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0.2603 (0.0120)</w:t>
            </w:r>
          </w:p>
        </w:tc>
        <w:tc>
          <w:tcPr>
            <w:tcW w:w="1138"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15.87</w:t>
            </w:r>
          </w:p>
        </w:tc>
        <w:tc>
          <w:tcPr>
            <w:tcW w:w="1235"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-0.3</w:t>
            </w:r>
          </w:p>
        </w:tc>
      </w:tr>
      <w:tr>
        <w:trPr>
          <w:trHeight w:val="300" w:hRule="atLeast"/>
        </w:trPr>
        <w:tc>
          <w:tcPr>
            <w:tcW w:w="1274" w:type="dxa"/>
            <w:vMerge w:val="restart"/>
            <w:tcBorders>
              <w:top w:val="single" w:sz="4" w:space="0" w:color="000000"/>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DrnkWk</w:t>
            </w:r>
          </w:p>
        </w:tc>
        <w:tc>
          <w:tcPr>
            <w:tcW w:w="1279"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AFS</w:t>
            </w:r>
          </w:p>
        </w:tc>
        <w:tc>
          <w:tcPr>
            <w:tcW w:w="1528"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365 (314)</w:t>
            </w:r>
          </w:p>
        </w:tc>
        <w:tc>
          <w:tcPr>
            <w:tcW w:w="1591"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3661 (632)</w:t>
            </w:r>
          </w:p>
        </w:tc>
        <w:tc>
          <w:tcPr>
            <w:tcW w:w="1417"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7342 (635)</w:t>
            </w:r>
          </w:p>
        </w:tc>
        <w:tc>
          <w:tcPr>
            <w:tcW w:w="1279"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95.3%</w:t>
            </w:r>
          </w:p>
        </w:tc>
        <w:tc>
          <w:tcPr>
            <w:tcW w:w="1273"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66.7%</w:t>
            </w:r>
          </w:p>
        </w:tc>
        <w:tc>
          <w:tcPr>
            <w:tcW w:w="997"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-0.2954 (0.0240)</w:t>
            </w:r>
          </w:p>
        </w:tc>
        <w:tc>
          <w:tcPr>
            <w:tcW w:w="993"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-0.2346 (0.0137)</w:t>
            </w:r>
          </w:p>
        </w:tc>
        <w:tc>
          <w:tcPr>
            <w:tcW w:w="1138"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47.23</w:t>
            </w:r>
          </w:p>
        </w:tc>
        <w:tc>
          <w:tcPr>
            <w:tcW w:w="1235"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0.58</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NSEX</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1056 (1472)</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4162 (1530)</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6651 (1492)</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86.3%</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61.5%</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0.5589 (0.1745)</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0.3800 (0.0156)</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4.18</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0.99</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AFB</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318 (358)</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3012 (700)</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7390 (607)</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95.9%</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71.0%</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-0.0490 (0.0219)</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-0.0402 (0.0184)</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51.69</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-0.07</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RISK</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3701 (1746)</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7347 (1422)</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4007 (1618)</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52.0%</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35.3%</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0.8050 (0.2349)</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0.3054 (0.0184)</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0.45</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2.47</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ADHD</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3296 (1031)</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3284 (959)</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4412 (1014)</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57.2%</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57.3%</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0.2789 (0.0974)</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0.1492 (0.0203)</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5.12</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7.71</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NEURO</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252 (306)</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4403 (713)</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7456 (598)</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96.7%</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62.9%</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-0.0234 (0.0225)</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-0.0180 (0.0173)</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61.92</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0.29</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DEP-NEURO</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509 (607)</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2971 (782)</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7199 (728)</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93.4%</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70.8%</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-0.0394 (0.0216)</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-0.0314 (0.0157)</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54.42</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0.19</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WORRY-NEURO</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327 (441)</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4742 (810)</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7381 (590)</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95.8%</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60.9%</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-0.0863 (0.0207)</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-0.0656 (0.0147)</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36.31</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0.2</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DEP</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410 (434)</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4785 (810)</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7298 (695)</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94.7%</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60.4%</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0.1078 (0.0211)</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0.0810 (0.0139)</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23.03</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-0.01</w:t>
            </w:r>
          </w:p>
        </w:tc>
      </w:tr>
      <w:tr>
        <w:trPr>
          <w:trHeight w:val="300" w:hRule="atLeast"/>
        </w:trPr>
        <w:tc>
          <w:tcPr>
            <w:tcW w:w="1274" w:type="dxa"/>
            <w:vMerge w:val="continue"/>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MOOD</w:t>
            </w:r>
          </w:p>
        </w:tc>
        <w:tc>
          <w:tcPr>
            <w:tcW w:w="1528"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489 (619)</w:t>
            </w:r>
          </w:p>
        </w:tc>
        <w:tc>
          <w:tcPr>
            <w:tcW w:w="1591"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2557 (833)</w:t>
            </w:r>
          </w:p>
        </w:tc>
        <w:tc>
          <w:tcPr>
            <w:tcW w:w="1417"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7219 (725)</w:t>
            </w:r>
          </w:p>
        </w:tc>
        <w:tc>
          <w:tcPr>
            <w:tcW w:w="1279"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93.7%</w:t>
            </w:r>
          </w:p>
        </w:tc>
        <w:tc>
          <w:tcPr>
            <w:tcW w:w="1273"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73.8%</w:t>
            </w:r>
          </w:p>
        </w:tc>
        <w:tc>
          <w:tcPr>
            <w:tcW w:w="997"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-0.0345 (0.0259)</w:t>
            </w:r>
          </w:p>
        </w:tc>
        <w:tc>
          <w:tcPr>
            <w:tcW w:w="993"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-0.0283 (0.0209)</w:t>
            </w:r>
          </w:p>
        </w:tc>
        <w:tc>
          <w:tcPr>
            <w:tcW w:w="1138"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48.58</w:t>
            </w:r>
          </w:p>
        </w:tc>
        <w:tc>
          <w:tcPr>
            <w:tcW w:w="1235"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-0.21</w:t>
            </w:r>
          </w:p>
        </w:tc>
      </w:tr>
      <w:tr>
        <w:trPr>
          <w:trHeight w:val="300" w:hRule="atLeast"/>
        </w:trPr>
        <w:tc>
          <w:tcPr>
            <w:tcW w:w="1274" w:type="dxa"/>
            <w:vMerge w:val="restart"/>
            <w:tcBorders>
              <w:top w:val="single" w:sz="4" w:space="0" w:color="000000"/>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Cigsperday</w:t>
            </w:r>
          </w:p>
        </w:tc>
        <w:tc>
          <w:tcPr>
            <w:tcW w:w="1279"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AFS</w:t>
            </w:r>
          </w:p>
        </w:tc>
        <w:tc>
          <w:tcPr>
            <w:tcW w:w="1528"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55 (51)</w:t>
            </w:r>
          </w:p>
        </w:tc>
        <w:tc>
          <w:tcPr>
            <w:tcW w:w="1591"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6764 (660)</w:t>
            </w:r>
          </w:p>
        </w:tc>
        <w:tc>
          <w:tcPr>
            <w:tcW w:w="1417"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4226 (582)</w:t>
            </w:r>
          </w:p>
        </w:tc>
        <w:tc>
          <w:tcPr>
            <w:tcW w:w="1279"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98.7%</w:t>
            </w:r>
          </w:p>
        </w:tc>
        <w:tc>
          <w:tcPr>
            <w:tcW w:w="1273"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38.5%</w:t>
            </w:r>
          </w:p>
        </w:tc>
        <w:tc>
          <w:tcPr>
            <w:tcW w:w="997"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-0.5691 (0.0579)</w:t>
            </w:r>
          </w:p>
        </w:tc>
        <w:tc>
          <w:tcPr>
            <w:tcW w:w="993"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-0.3474 (0.0127)</w:t>
            </w:r>
          </w:p>
        </w:tc>
        <w:tc>
          <w:tcPr>
            <w:tcW w:w="1138"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28.84</w:t>
            </w:r>
          </w:p>
        </w:tc>
        <w:tc>
          <w:tcPr>
            <w:tcW w:w="1235"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1.61</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NSEX</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50 (37)</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6585 (708)</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4231 (597)</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98.8%</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39.1%</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0.2518 (0.0292)</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0.1553 (0.0134)</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20.24</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1.48</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AFB</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28 (28)</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6085 (777)</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4253 (576)</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99.4%</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41.1%</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-0.6880 (0.0653)</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-0.4365 (0.0197)</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13.01</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0.46</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RISK</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384 (636)</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7462 (1142)</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3897 (975)</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91.0%</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34.3%</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0.4081 (0.1606)</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0.2091 (0.0194)</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4.55</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1.16</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ADHD</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1068 (613)</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4509 (848)</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3213 (800)</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75.1%</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41.6%</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0.8308 (0.1544)</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0.4457 (0.0221)</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3.13</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6.38</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NEURO</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128 (216)</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7745 (803)</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4153 (627)</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97.0%</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34.9%</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0.2320 (0.0400)</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0.1336 (0.0200)</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16.35</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1.07</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DEP-NEURO</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1332 (1187)</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7186 (1300)</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2948 (1280)</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68.9%</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29.1%</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0.6686 (0.2798)</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0.2474 (0.0178)</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2.94</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4.44</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WORRY-NEURO</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110 (84)</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8014 (793)</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4171 (584)</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97.4%</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34.2%</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-0.0590 (0.0358)</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-0.0338 (0.0203)</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46.21</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1.57</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DEP</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473 (870)</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8228 (1024)</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3808 (943)</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88.9%</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31.6%</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0.4917 (0.1887)</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0.2398 (0.0211)</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4.23</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0.99</w:t>
            </w:r>
          </w:p>
        </w:tc>
      </w:tr>
      <w:tr>
        <w:trPr>
          <w:trHeight w:val="300" w:hRule="atLeast"/>
        </w:trPr>
        <w:tc>
          <w:tcPr>
            <w:tcW w:w="1274" w:type="dxa"/>
            <w:vMerge w:val="continue"/>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MOOD</w:t>
            </w:r>
          </w:p>
        </w:tc>
        <w:tc>
          <w:tcPr>
            <w:tcW w:w="1528"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1146 (973)</w:t>
            </w:r>
          </w:p>
        </w:tc>
        <w:tc>
          <w:tcPr>
            <w:tcW w:w="1591"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6656 (1364)</w:t>
            </w:r>
          </w:p>
        </w:tc>
        <w:tc>
          <w:tcPr>
            <w:tcW w:w="1417"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3135 (1353)</w:t>
            </w:r>
          </w:p>
        </w:tc>
        <w:tc>
          <w:tcPr>
            <w:tcW w:w="1279"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73.2%</w:t>
            </w:r>
          </w:p>
        </w:tc>
        <w:tc>
          <w:tcPr>
            <w:tcW w:w="1273"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32.0%</w:t>
            </w:r>
          </w:p>
        </w:tc>
        <w:tc>
          <w:tcPr>
            <w:tcW w:w="997"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0.6132 (0.2695)</w:t>
            </w:r>
          </w:p>
        </w:tc>
        <w:tc>
          <w:tcPr>
            <w:tcW w:w="993"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0.2443 (0.0250)</w:t>
            </w:r>
          </w:p>
        </w:tc>
        <w:tc>
          <w:tcPr>
            <w:tcW w:w="1138"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2.16</w:t>
            </w:r>
          </w:p>
        </w:tc>
        <w:tc>
          <w:tcPr>
            <w:tcW w:w="1235"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3.23</w:t>
            </w:r>
          </w:p>
        </w:tc>
      </w:tr>
      <w:tr>
        <w:trPr>
          <w:trHeight w:val="300" w:hRule="atLeast"/>
        </w:trPr>
        <w:tc>
          <w:tcPr>
            <w:tcW w:w="1274" w:type="dxa"/>
            <w:vMerge w:val="restart"/>
            <w:tcBorders>
              <w:top w:val="single" w:sz="4" w:space="0" w:color="000000"/>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AUD</w:t>
            </w:r>
          </w:p>
        </w:tc>
        <w:tc>
          <w:tcPr>
            <w:tcW w:w="1279"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AFS</w:t>
            </w:r>
          </w:p>
        </w:tc>
        <w:tc>
          <w:tcPr>
            <w:tcW w:w="1528"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44 (44)</w:t>
            </w:r>
          </w:p>
        </w:tc>
        <w:tc>
          <w:tcPr>
            <w:tcW w:w="1591"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3321 (407)</w:t>
            </w:r>
          </w:p>
        </w:tc>
        <w:tc>
          <w:tcPr>
            <w:tcW w:w="1417"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7683 (340)</w:t>
            </w:r>
          </w:p>
        </w:tc>
        <w:tc>
          <w:tcPr>
            <w:tcW w:w="1279"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99.4%</w:t>
            </w:r>
          </w:p>
        </w:tc>
        <w:tc>
          <w:tcPr>
            <w:tcW w:w="1273"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69.8%</w:t>
            </w:r>
          </w:p>
        </w:tc>
        <w:tc>
          <w:tcPr>
            <w:tcW w:w="997"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-0.6204 (0.0192)</w:t>
            </w:r>
          </w:p>
        </w:tc>
        <w:tc>
          <w:tcPr>
            <w:tcW w:w="993"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-0.5166 (0.0075)</w:t>
            </w:r>
          </w:p>
        </w:tc>
        <w:tc>
          <w:tcPr>
            <w:tcW w:w="1138"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26.85</w:t>
            </w:r>
          </w:p>
        </w:tc>
        <w:tc>
          <w:tcPr>
            <w:tcW w:w="1235" w:type="dxa"/>
            <w:tcBorders>
              <w:top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-0.92</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NSEX</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3364 (390)</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6451 (365)</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4363 (213)</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56.5%</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40.3%</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0.9534 (0.0415)</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0.4545 (0.0079)</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-0.15</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2.37</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AFB</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53 (38)</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2728 (485)</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7674 (343)</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99.3%</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73.8%</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-0.4965 (0.0194)</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-0.4248 (0.0097)</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24.82</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-0.85</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RISK</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3351 (860)</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6978 (898)</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4375 (729)</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56.6%</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38.5%</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0.7288 (0.1180)</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0.3320 (0.0123)</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0.59</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1.62</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ADHD</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3093 (561)</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3062 (702)</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4633 (553)</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60.0%</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60.2%</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0.7923 (0.0895)</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0.4704 (0.0119)</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1.00</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2.64</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ind w:left="708" w:hanging="708"/>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NEURO</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424 (1026)</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4556 (1134)</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7302 (979)</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94.5%</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61.6%</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0.4242 (0.1297)</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0"/>
                <w:szCs w:val="20"/>
                <w:lang w:val="en-US" w:eastAsia="gl-ES"/>
              </w:rPr>
            </w:pPr>
            <w:r>
              <w:rPr>
                <w:rFonts w:eastAsia="Times New Roman" w:cs="Times New Roman" w:ascii="Times New Roman" w:hAnsi="Times New Roman"/>
                <w:color w:val="000000"/>
                <w:lang w:val="en-US" w:eastAsia="gl-ES"/>
              </w:rPr>
              <w:t>0.3111 (0.0111)</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2.06</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-0.88</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DEP-NEURO</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1142 (1809)</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3585 (1725)</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6585 (1759)</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85.2%</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64.7%</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0.5176 (0.2272)</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0.3402 (0.0089)</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0.91</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-0.33</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WORRY-NEURO</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210 (153)</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4607 (688)</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7516 (341)</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97.3%</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62.0%</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0.3083 (0.0200)</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0.2393 (0.0149)</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4.29</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-0.90</w:t>
            </w:r>
          </w:p>
        </w:tc>
      </w:tr>
      <w:tr>
        <w:trPr>
          <w:trHeight w:val="300" w:hRule="atLeast"/>
        </w:trPr>
        <w:tc>
          <w:tcPr>
            <w:tcW w:w="1274" w:type="dxa"/>
            <w:vMerge w:val="continue"/>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DEP</w:t>
            </w:r>
          </w:p>
        </w:tc>
        <w:tc>
          <w:tcPr>
            <w:tcW w:w="152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3113 (292)</w:t>
            </w:r>
          </w:p>
        </w:tc>
        <w:tc>
          <w:tcPr>
            <w:tcW w:w="159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7470 (468)</w:t>
            </w:r>
          </w:p>
        </w:tc>
        <w:tc>
          <w:tcPr>
            <w:tcW w:w="141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4613 (149)</w:t>
            </w:r>
          </w:p>
        </w:tc>
        <w:tc>
          <w:tcPr>
            <w:tcW w:w="127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59.7%</w:t>
            </w:r>
          </w:p>
        </w:tc>
        <w:tc>
          <w:tcPr>
            <w:tcW w:w="127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38.2%</w:t>
            </w:r>
          </w:p>
        </w:tc>
        <w:tc>
          <w:tcPr>
            <w:tcW w:w="997"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0.9814 (0.0174)</w:t>
            </w:r>
          </w:p>
        </w:tc>
        <w:tc>
          <w:tcPr>
            <w:tcW w:w="993"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0.4688 (0.0088)</w:t>
            </w:r>
          </w:p>
        </w:tc>
        <w:tc>
          <w:tcPr>
            <w:tcW w:w="113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-0.58</w:t>
            </w:r>
          </w:p>
        </w:tc>
        <w:tc>
          <w:tcPr>
            <w:tcW w:w="1235"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3.59</w:t>
            </w:r>
          </w:p>
        </w:tc>
      </w:tr>
      <w:tr>
        <w:trPr>
          <w:trHeight w:val="300" w:hRule="atLeast"/>
        </w:trPr>
        <w:tc>
          <w:tcPr>
            <w:tcW w:w="1274" w:type="dxa"/>
            <w:vMerge w:val="continue"/>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r>
          </w:p>
        </w:tc>
        <w:tc>
          <w:tcPr>
            <w:tcW w:w="1279"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MOOD</w:t>
            </w:r>
          </w:p>
        </w:tc>
        <w:tc>
          <w:tcPr>
            <w:tcW w:w="1528"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1095 (1822)</w:t>
            </w:r>
          </w:p>
        </w:tc>
        <w:tc>
          <w:tcPr>
            <w:tcW w:w="1591"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3144 (1650)</w:t>
            </w:r>
          </w:p>
        </w:tc>
        <w:tc>
          <w:tcPr>
            <w:tcW w:w="1417"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6631 (1766)</w:t>
            </w:r>
          </w:p>
        </w:tc>
        <w:tc>
          <w:tcPr>
            <w:tcW w:w="1279"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85.8%</w:t>
            </w:r>
          </w:p>
        </w:tc>
        <w:tc>
          <w:tcPr>
            <w:tcW w:w="1273"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67.8%</w:t>
            </w:r>
          </w:p>
        </w:tc>
        <w:tc>
          <w:tcPr>
            <w:tcW w:w="997"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0.5261 (0.2209)</w:t>
            </w:r>
          </w:p>
        </w:tc>
        <w:tc>
          <w:tcPr>
            <w:tcW w:w="993"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0.3575 (0.0126)</w:t>
            </w:r>
          </w:p>
        </w:tc>
        <w:tc>
          <w:tcPr>
            <w:tcW w:w="1138"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0.65</w:t>
            </w:r>
          </w:p>
        </w:tc>
        <w:tc>
          <w:tcPr>
            <w:tcW w:w="1235"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lang w:val="en-US" w:eastAsia="gl-ES"/>
              </w:rPr>
            </w:pPr>
            <w:r>
              <w:rPr>
                <w:rFonts w:eastAsia="Times New Roman" w:cs="Times New Roman" w:ascii="Times New Roman" w:hAnsi="Times New Roman"/>
                <w:color w:val="000000"/>
                <w:lang w:val="en-US" w:eastAsia="gl-ES"/>
              </w:rPr>
              <w:t>-0.76</w:t>
            </w:r>
          </w:p>
        </w:tc>
      </w:tr>
    </w:tbl>
    <w:p>
      <w:pPr>
        <w:pStyle w:val="Normal"/>
        <w:widowControl w:val="false"/>
        <w:spacing w:lineRule="auto" w:line="240" w:before="0" w:after="0"/>
        <w:rPr>
          <w:rFonts w:ascii="Times New Roman" w:hAnsi="Times New Roman" w:eastAsia="Calibri" w:cs="Times New Roman"/>
          <w:sz w:val="24"/>
          <w:szCs w:val="24"/>
          <w:lang w:val="en-US"/>
        </w:rPr>
      </w:pPr>
      <w:r>
        <w:rPr>
          <w:rFonts w:eastAsia="Calibri" w:cs="Times New Roman" w:ascii="Times New Roman" w:hAnsi="Times New Roman"/>
          <w:sz w:val="24"/>
          <w:szCs w:val="24"/>
          <w:lang w:val="en-US"/>
        </w:rPr>
      </w:r>
    </w:p>
    <w:p>
      <w:pPr>
        <w:pStyle w:val="Normal"/>
        <w:spacing w:lineRule="auto" w:line="360" w:before="0" w:after="120"/>
        <w:jc w:val="both"/>
        <w:rPr>
          <w:rFonts w:ascii="Times New Roman" w:hAnsi="Times New Roman" w:eastAsia="Calibri" w:cs="Times New Roman"/>
          <w:sz w:val="24"/>
          <w:szCs w:val="24"/>
          <w:lang w:val="en-US"/>
        </w:rPr>
      </w:pPr>
      <w:r>
        <w:rPr>
          <w:rFonts w:eastAsia="Calibri" w:cs="Times New Roman" w:ascii="Times New Roman" w:hAnsi="Times New Roman"/>
          <w:sz w:val="24"/>
          <w:szCs w:val="24"/>
          <w:vertAlign w:val="superscript"/>
          <w:lang w:val="en-US"/>
        </w:rPr>
        <w:t>1</w:t>
      </w:r>
      <w:r>
        <w:rPr>
          <w:rFonts w:eastAsia="Calibri" w:cs="Times New Roman" w:ascii="Times New Roman" w:hAnsi="Times New Roman"/>
          <w:sz w:val="24"/>
          <w:szCs w:val="24"/>
          <w:lang w:val="en-US"/>
        </w:rPr>
        <w:t>: number of causal variants explaining 90% of the h</w:t>
      </w:r>
      <w:r>
        <w:rPr>
          <w:rFonts w:eastAsia="Calibri" w:cs="Times New Roman" w:ascii="Times New Roman" w:hAnsi="Times New Roman"/>
          <w:sz w:val="24"/>
          <w:szCs w:val="24"/>
          <w:vertAlign w:val="superscript"/>
          <w:lang w:val="en-US"/>
        </w:rPr>
        <w:t>2</w:t>
      </w:r>
      <w:r>
        <w:rPr>
          <w:rFonts w:eastAsia="Calibri" w:cs="Times New Roman" w:ascii="Times New Roman" w:hAnsi="Times New Roman"/>
          <w:sz w:val="24"/>
          <w:szCs w:val="24"/>
          <w:vertAlign w:val="subscript"/>
          <w:lang w:val="en-US"/>
        </w:rPr>
        <w:t>SNP</w:t>
      </w:r>
      <w:r>
        <w:rPr>
          <w:rFonts w:eastAsia="Calibri" w:cs="Times New Roman" w:ascii="Times New Roman" w:hAnsi="Times New Roman"/>
          <w:sz w:val="24"/>
          <w:szCs w:val="24"/>
          <w:lang w:val="en-US"/>
        </w:rPr>
        <w:t xml:space="preserve">. </w:t>
      </w:r>
    </w:p>
    <w:p>
      <w:pPr>
        <w:pStyle w:val="Normal"/>
        <w:spacing w:lineRule="auto" w:line="360" w:before="0" w:after="120"/>
        <w:jc w:val="both"/>
        <w:rPr>
          <w:rFonts w:ascii="Times New Roman" w:hAnsi="Times New Roman" w:eastAsia="Calibri" w:cs="Times New Roman"/>
          <w:sz w:val="24"/>
          <w:szCs w:val="24"/>
          <w:lang w:val="en-US"/>
        </w:rPr>
      </w:pPr>
      <w:r>
        <w:rPr>
          <w:rFonts w:eastAsia="Calibri" w:cs="Times New Roman" w:ascii="Times New Roman" w:hAnsi="Times New Roman"/>
          <w:sz w:val="24"/>
          <w:szCs w:val="24"/>
          <w:vertAlign w:val="superscript"/>
          <w:lang w:val="en-US"/>
        </w:rPr>
        <w:t>2</w:t>
      </w:r>
      <w:r>
        <w:rPr>
          <w:rFonts w:eastAsia="Calibri" w:cs="Times New Roman" w:ascii="Times New Roman" w:hAnsi="Times New Roman"/>
          <w:sz w:val="24"/>
          <w:szCs w:val="24"/>
          <w:lang w:val="en-US"/>
        </w:rPr>
        <w:t>: genetic correlation of shared variants.</w:t>
      </w:r>
    </w:p>
    <w:p>
      <w:pPr>
        <w:pStyle w:val="Normal"/>
        <w:spacing w:lineRule="auto" w:line="360" w:before="0" w:after="120"/>
        <w:ind w:left="1416" w:hanging="1416"/>
        <w:jc w:val="both"/>
        <w:rPr>
          <w:rFonts w:ascii="Times New Roman" w:hAnsi="Times New Roman" w:eastAsia="Calibri" w:cs="Times New Roman"/>
          <w:sz w:val="24"/>
          <w:szCs w:val="24"/>
          <w:lang w:val="en-US"/>
        </w:rPr>
      </w:pPr>
      <w:r>
        <w:rPr>
          <w:rFonts w:eastAsia="Calibri" w:cs="Times New Roman" w:ascii="Times New Roman" w:hAnsi="Times New Roman"/>
          <w:sz w:val="24"/>
          <w:szCs w:val="24"/>
          <w:vertAlign w:val="superscript"/>
          <w:lang w:val="en-US"/>
        </w:rPr>
        <w:t>3</w:t>
      </w:r>
      <w:r>
        <w:rPr>
          <w:rFonts w:eastAsia="Calibri" w:cs="Times New Roman" w:ascii="Times New Roman" w:hAnsi="Times New Roman"/>
          <w:sz w:val="24"/>
          <w:szCs w:val="24"/>
          <w:lang w:val="en-US"/>
        </w:rPr>
        <w:t>: genome-wide genetic correlation.</w:t>
      </w:r>
    </w:p>
    <w:p>
      <w:pPr>
        <w:pStyle w:val="Normal"/>
        <w:spacing w:lineRule="auto" w:line="360" w:before="0" w:after="120"/>
        <w:jc w:val="both"/>
        <w:rPr>
          <w:rFonts w:ascii="Times New Roman" w:hAnsi="Times New Roman" w:eastAsia="Calibri" w:cs="Times New Roman"/>
          <w:sz w:val="24"/>
          <w:szCs w:val="24"/>
          <w:lang w:val="en-US"/>
        </w:rPr>
      </w:pPr>
      <w:r>
        <w:rPr>
          <w:rFonts w:eastAsia="Calibri" w:cs="Times New Roman" w:ascii="Times New Roman" w:hAnsi="Times New Roman"/>
          <w:sz w:val="24"/>
          <w:szCs w:val="24"/>
          <w:vertAlign w:val="superscript"/>
          <w:lang w:val="en-US"/>
        </w:rPr>
        <w:t>4</w:t>
      </w:r>
      <w:r>
        <w:rPr>
          <w:rFonts w:eastAsia="Calibri" w:cs="Times New Roman" w:ascii="Times New Roman" w:hAnsi="Times New Roman"/>
          <w:sz w:val="24"/>
          <w:szCs w:val="24"/>
          <w:lang w:val="en-US"/>
        </w:rPr>
        <w:t>: difference between the Akaike information criterion for the best-fitting MiXeR model and the minimum possible overlap restricted by the genetic correlation.</w:t>
      </w:r>
    </w:p>
    <w:p>
      <w:pPr>
        <w:sectPr>
          <w:type w:val="nextPage"/>
          <w:pgSz w:orient="landscape" w:w="16838" w:h="11906"/>
          <w:pgMar w:left="1417" w:right="1417" w:gutter="0" w:header="0" w:top="1701" w:footer="0" w:bottom="1701"/>
          <w:pgNumType w:fmt="decimal"/>
          <w:formProt w:val="false"/>
          <w:textDirection w:val="lrTb"/>
          <w:docGrid w:type="default" w:linePitch="360" w:charSpace="8192"/>
        </w:sectPr>
        <w:pStyle w:val="Normal"/>
        <w:spacing w:lineRule="auto" w:line="360" w:before="0" w:after="120"/>
        <w:jc w:val="both"/>
        <w:rPr>
          <w:rFonts w:ascii="Times New Roman" w:hAnsi="Times New Roman" w:eastAsia="Calibri" w:cs="Times New Roman"/>
          <w:sz w:val="24"/>
          <w:szCs w:val="24"/>
          <w:lang w:val="en-US"/>
        </w:rPr>
      </w:pPr>
      <w:r>
        <w:rPr>
          <w:rFonts w:eastAsia="Calibri" w:cs="Times New Roman" w:ascii="Times New Roman" w:hAnsi="Times New Roman"/>
          <w:sz w:val="24"/>
          <w:szCs w:val="24"/>
          <w:vertAlign w:val="superscript"/>
          <w:lang w:val="en-US"/>
        </w:rPr>
        <w:t>5</w:t>
      </w:r>
      <w:r>
        <w:rPr>
          <w:rFonts w:eastAsia="Calibri" w:cs="Times New Roman" w:ascii="Times New Roman" w:hAnsi="Times New Roman"/>
          <w:sz w:val="24"/>
          <w:szCs w:val="24"/>
          <w:lang w:val="en-US"/>
        </w:rPr>
        <w:t>: difference between the Akaike information criterion for the best-fitting MiXeR model and the maximum possible overlap restricted by the polygenicity of the least polygenic trait.</w:t>
      </w:r>
      <w:r>
        <w:br w:type="page"/>
      </w:r>
    </w:p>
    <w:p>
      <w:pPr>
        <w:pStyle w:val="Normal"/>
        <w:spacing w:lineRule="auto" w:line="360" w:before="0" w:after="120"/>
        <w:jc w:val="both"/>
        <w:rPr>
          <w:rFonts w:ascii="Times New Roman" w:hAnsi="Times New Roman" w:eastAsia="Calibri" w:cs="Times New Roman"/>
          <w:sz w:val="24"/>
          <w:szCs w:val="24"/>
          <w:lang w:val="en-US"/>
        </w:rPr>
      </w:pPr>
      <w:r>
        <w:rPr>
          <w:rFonts w:eastAsia="Calibri" w:cs="Times New Roman" w:ascii="Times New Roman" w:hAnsi="Times New Roman"/>
          <w:sz w:val="24"/>
          <w:szCs w:val="24"/>
          <w:lang w:val="en-US"/>
        </w:rPr>
        <w:t>Supplementary Table 4. Univariate MiXeR results for Cigsperday excluding the cluster of nAchR genes at chromosome 15 and without excluding it.</w:t>
      </w:r>
    </w:p>
    <w:tbl>
      <w:tblPr>
        <w:tblW w:w="5000" w:type="pct"/>
        <w:jc w:val="left"/>
        <w:tblInd w:w="0" w:type="dxa"/>
        <w:tblLayout w:type="fixed"/>
        <w:tblCellMar>
          <w:top w:w="57" w:type="dxa"/>
          <w:left w:w="108" w:type="dxa"/>
          <w:bottom w:w="57" w:type="dxa"/>
          <w:right w:w="108" w:type="dxa"/>
        </w:tblCellMar>
        <w:tblLook w:firstRow="1" w:noVBand="1" w:lastRow="0" w:firstColumn="1" w:lastColumn="0" w:noHBand="0" w:val="04a0"/>
      </w:tblPr>
      <w:tblGrid>
        <w:gridCol w:w="3685"/>
        <w:gridCol w:w="2268"/>
        <w:gridCol w:w="1561"/>
        <w:gridCol w:w="989"/>
      </w:tblGrid>
      <w:tr>
        <w:trPr>
          <w:trHeight w:val="300" w:hRule="atLeast"/>
        </w:trPr>
        <w:tc>
          <w:tcPr>
            <w:tcW w:w="3685" w:type="dxa"/>
            <w:tcBorders>
              <w:top w:val="single" w:sz="4" w:space="0" w:color="000000"/>
              <w:bottom w:val="single" w:sz="4"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Trait</w:t>
            </w:r>
          </w:p>
        </w:tc>
        <w:tc>
          <w:tcPr>
            <w:tcW w:w="2268" w:type="dxa"/>
            <w:tcBorders>
              <w:top w:val="single" w:sz="4" w:space="0" w:color="000000"/>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Discoverability (SD)</w:t>
            </w:r>
          </w:p>
        </w:tc>
        <w:tc>
          <w:tcPr>
            <w:tcW w:w="1561" w:type="dxa"/>
            <w:tcBorders>
              <w:top w:val="single" w:sz="4" w:space="0" w:color="000000"/>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vertAlign w:val="superscript"/>
                <w:lang w:val="en-US" w:eastAsia="gl-ES"/>
              </w:rPr>
            </w:pPr>
            <w:r>
              <w:rPr>
                <w:rFonts w:eastAsia="Times New Roman" w:cs="Times New Roman" w:ascii="Times New Roman" w:hAnsi="Times New Roman"/>
                <w:color w:val="000000"/>
                <w:sz w:val="24"/>
                <w:szCs w:val="24"/>
                <w:lang w:val="en-US" w:eastAsia="gl-ES"/>
              </w:rPr>
              <w:t>N of causal variants (SD)</w:t>
            </w:r>
            <w:r>
              <w:rPr>
                <w:rFonts w:eastAsia="Times New Roman" w:cs="Times New Roman" w:ascii="Times New Roman" w:hAnsi="Times New Roman"/>
                <w:color w:val="000000"/>
                <w:sz w:val="24"/>
                <w:szCs w:val="24"/>
                <w:vertAlign w:val="superscript"/>
                <w:lang w:val="en-US" w:eastAsia="gl-ES"/>
              </w:rPr>
              <w:t>1</w:t>
            </w:r>
          </w:p>
        </w:tc>
        <w:tc>
          <w:tcPr>
            <w:tcW w:w="989" w:type="dxa"/>
            <w:tcBorders>
              <w:top w:val="single" w:sz="4" w:space="0" w:color="000000"/>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AIC</w:t>
            </w:r>
            <w:r>
              <w:rPr>
                <w:rFonts w:eastAsia="Times New Roman" w:cs="Times New Roman" w:ascii="Times New Roman" w:hAnsi="Times New Roman"/>
                <w:color w:val="000000"/>
                <w:sz w:val="24"/>
                <w:szCs w:val="24"/>
                <w:vertAlign w:val="superscript"/>
                <w:lang w:val="en-US" w:eastAsia="gl-ES"/>
              </w:rPr>
              <w:t>2</w:t>
            </w:r>
          </w:p>
        </w:tc>
      </w:tr>
      <w:tr>
        <w:trPr>
          <w:trHeight w:val="300" w:hRule="atLeast"/>
        </w:trPr>
        <w:tc>
          <w:tcPr>
            <w:tcW w:w="3685" w:type="dxa"/>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Cigsperday excluding the cluster of nAchR genes at chromosome 15</w:t>
            </w:r>
          </w:p>
        </w:tc>
        <w:tc>
          <w:tcPr>
            <w:tcW w:w="2268"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2.44x10</w:t>
            </w:r>
            <w:r>
              <w:rPr>
                <w:rFonts w:eastAsia="Times New Roman" w:cs="Times New Roman" w:ascii="Times New Roman" w:hAnsi="Times New Roman"/>
                <w:color w:val="000000"/>
                <w:sz w:val="24"/>
                <w:szCs w:val="24"/>
                <w:vertAlign w:val="superscript"/>
                <w:lang w:val="en-US" w:eastAsia="gl-ES"/>
              </w:rPr>
              <w:t>-5</w:t>
            </w:r>
            <w:r>
              <w:rPr>
                <w:rFonts w:eastAsia="Times New Roman" w:cs="Times New Roman" w:ascii="Times New Roman" w:hAnsi="Times New Roman"/>
                <w:color w:val="000000"/>
                <w:sz w:val="24"/>
                <w:szCs w:val="24"/>
                <w:lang w:val="en-US" w:eastAsia="gl-ES"/>
              </w:rPr>
              <w:t xml:space="preserve"> (2.93x10</w:t>
            </w:r>
            <w:r>
              <w:rPr>
                <w:rFonts w:eastAsia="Times New Roman" w:cs="Times New Roman" w:ascii="Times New Roman" w:hAnsi="Times New Roman"/>
                <w:color w:val="000000"/>
                <w:sz w:val="24"/>
                <w:szCs w:val="24"/>
                <w:vertAlign w:val="superscript"/>
                <w:lang w:val="en-US" w:eastAsia="gl-ES"/>
              </w:rPr>
              <w:t>-6</w:t>
            </w:r>
            <w:r>
              <w:rPr>
                <w:rFonts w:eastAsia="Times New Roman" w:cs="Times New Roman" w:ascii="Times New Roman" w:hAnsi="Times New Roman"/>
                <w:color w:val="000000"/>
                <w:sz w:val="24"/>
                <w:szCs w:val="24"/>
                <w:lang w:val="en-US" w:eastAsia="gl-ES"/>
              </w:rPr>
              <w:t>)</w:t>
            </w:r>
          </w:p>
        </w:tc>
        <w:tc>
          <w:tcPr>
            <w:tcW w:w="1561"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4281 (587)</w:t>
            </w:r>
          </w:p>
        </w:tc>
        <w:tc>
          <w:tcPr>
            <w:tcW w:w="989" w:type="dxa"/>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269.15</w:t>
            </w:r>
          </w:p>
        </w:tc>
      </w:tr>
      <w:tr>
        <w:trPr>
          <w:trHeight w:val="300" w:hRule="atLeast"/>
        </w:trPr>
        <w:tc>
          <w:tcPr>
            <w:tcW w:w="3685" w:type="dxa"/>
            <w:tcBorders>
              <w:bottom w:val="single" w:sz="4" w:space="0" w:color="000000"/>
            </w:tcBorders>
            <w:shd w:color="auto" w:fill="auto" w:val="clear"/>
            <w:vAlign w:val="center"/>
          </w:tcPr>
          <w:p>
            <w:pPr>
              <w:pStyle w:val="Normal"/>
              <w:widowControl w:val="false"/>
              <w:spacing w:lineRule="auto" w:line="240" w:before="0" w:after="0"/>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Cigsperday</w:t>
            </w:r>
            <w:r>
              <w:rPr>
                <w:rFonts w:eastAsia="Calibri" w:cs="Times New Roman" w:ascii="Times New Roman" w:hAnsi="Times New Roman"/>
                <w:sz w:val="24"/>
                <w:szCs w:val="24"/>
                <w:lang w:val="en-US"/>
              </w:rPr>
              <w:t xml:space="preserve"> </w:t>
            </w:r>
            <w:r>
              <w:rPr>
                <w:rFonts w:eastAsia="Times New Roman" w:cs="Times New Roman" w:ascii="Times New Roman" w:hAnsi="Times New Roman"/>
                <w:color w:val="000000"/>
                <w:sz w:val="24"/>
                <w:szCs w:val="24"/>
                <w:lang w:val="en-US" w:eastAsia="gl-ES"/>
              </w:rPr>
              <w:t>with the cluster of nAchR genes at chromosome 15</w:t>
            </w:r>
          </w:p>
        </w:tc>
        <w:tc>
          <w:tcPr>
            <w:tcW w:w="2268"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5.96x10</w:t>
            </w:r>
            <w:r>
              <w:rPr>
                <w:rFonts w:eastAsia="Times New Roman" w:cs="Times New Roman" w:ascii="Times New Roman" w:hAnsi="Times New Roman"/>
                <w:color w:val="000000"/>
                <w:sz w:val="24"/>
                <w:szCs w:val="24"/>
                <w:vertAlign w:val="superscript"/>
                <w:lang w:val="en-US" w:eastAsia="gl-ES"/>
              </w:rPr>
              <w:t>-5</w:t>
            </w:r>
            <w:r>
              <w:rPr>
                <w:rFonts w:eastAsia="Times New Roman" w:cs="Times New Roman" w:ascii="Times New Roman" w:hAnsi="Times New Roman"/>
                <w:color w:val="000000"/>
                <w:sz w:val="24"/>
                <w:szCs w:val="24"/>
                <w:lang w:val="en-US" w:eastAsia="gl-ES"/>
              </w:rPr>
              <w:t xml:space="preserve"> (5.34x10</w:t>
            </w:r>
            <w:r>
              <w:rPr>
                <w:rFonts w:eastAsia="Times New Roman" w:cs="Times New Roman" w:ascii="Times New Roman" w:hAnsi="Times New Roman"/>
                <w:color w:val="000000"/>
                <w:sz w:val="24"/>
                <w:szCs w:val="24"/>
                <w:vertAlign w:val="superscript"/>
                <w:lang w:val="en-US" w:eastAsia="gl-ES"/>
              </w:rPr>
              <w:t>-5</w:t>
            </w:r>
            <w:r>
              <w:rPr>
                <w:rFonts w:eastAsia="Times New Roman" w:cs="Times New Roman" w:ascii="Times New Roman" w:hAnsi="Times New Roman"/>
                <w:color w:val="000000"/>
                <w:sz w:val="24"/>
                <w:szCs w:val="24"/>
                <w:lang w:val="en-US" w:eastAsia="gl-ES"/>
              </w:rPr>
              <w:t>)</w:t>
            </w:r>
          </w:p>
        </w:tc>
        <w:tc>
          <w:tcPr>
            <w:tcW w:w="1561"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2285 (910)</w:t>
            </w:r>
          </w:p>
        </w:tc>
        <w:tc>
          <w:tcPr>
            <w:tcW w:w="989" w:type="dxa"/>
            <w:tcBorders>
              <w:bottom w:val="single" w:sz="4" w:space="0" w:color="000000"/>
            </w:tcBorders>
            <w:shd w:color="auto" w:fill="auto" w:val="clear"/>
            <w:vAlign w:val="center"/>
          </w:tcPr>
          <w:p>
            <w:pPr>
              <w:pStyle w:val="Normal"/>
              <w:widowControl w:val="false"/>
              <w:spacing w:lineRule="auto" w:line="240" w:before="0" w:after="0"/>
              <w:jc w:val="center"/>
              <w:rPr>
                <w:rFonts w:ascii="Times New Roman" w:hAnsi="Times New Roman" w:eastAsia="Times New Roman" w:cs="Times New Roman"/>
                <w:color w:val="000000"/>
                <w:sz w:val="24"/>
                <w:szCs w:val="24"/>
                <w:lang w:val="en-US" w:eastAsia="gl-ES"/>
              </w:rPr>
            </w:pPr>
            <w:r>
              <w:rPr>
                <w:rFonts w:eastAsia="Times New Roman" w:cs="Times New Roman" w:ascii="Times New Roman" w:hAnsi="Times New Roman"/>
                <w:color w:val="000000"/>
                <w:sz w:val="24"/>
                <w:szCs w:val="24"/>
                <w:lang w:val="en-US" w:eastAsia="gl-ES"/>
              </w:rPr>
              <w:t>419.23</w:t>
            </w:r>
          </w:p>
        </w:tc>
      </w:tr>
    </w:tbl>
    <w:p>
      <w:pPr>
        <w:pStyle w:val="Normal"/>
        <w:spacing w:lineRule="auto" w:line="360" w:before="0" w:after="120"/>
        <w:jc w:val="both"/>
        <w:rPr>
          <w:rFonts w:ascii="Times New Roman" w:hAnsi="Times New Roman" w:eastAsia="Calibri" w:cs="Times New Roman"/>
          <w:sz w:val="24"/>
          <w:szCs w:val="24"/>
          <w:vertAlign w:val="superscript"/>
          <w:lang w:val="en-US"/>
        </w:rPr>
      </w:pPr>
      <w:r>
        <w:rPr>
          <w:rFonts w:eastAsia="Calibri" w:cs="Times New Roman" w:ascii="Times New Roman" w:hAnsi="Times New Roman"/>
          <w:sz w:val="24"/>
          <w:szCs w:val="24"/>
          <w:vertAlign w:val="superscript"/>
          <w:lang w:val="en-US"/>
        </w:rPr>
      </w:r>
    </w:p>
    <w:p>
      <w:pPr>
        <w:pStyle w:val="Normal"/>
        <w:spacing w:lineRule="auto" w:line="360" w:before="0" w:after="120"/>
        <w:jc w:val="both"/>
        <w:rPr>
          <w:rFonts w:ascii="Times New Roman" w:hAnsi="Times New Roman" w:eastAsia="Calibri" w:cs="Times New Roman"/>
          <w:sz w:val="24"/>
          <w:szCs w:val="24"/>
          <w:lang w:val="en-US"/>
        </w:rPr>
      </w:pPr>
      <w:r>
        <w:rPr>
          <w:rFonts w:eastAsia="Calibri" w:cs="Times New Roman" w:ascii="Times New Roman" w:hAnsi="Times New Roman"/>
          <w:sz w:val="24"/>
          <w:szCs w:val="24"/>
          <w:vertAlign w:val="superscript"/>
          <w:lang w:val="en-US"/>
        </w:rPr>
        <w:t>1</w:t>
      </w:r>
      <w:r>
        <w:rPr>
          <w:rFonts w:eastAsia="Calibri" w:cs="Times New Roman" w:ascii="Times New Roman" w:hAnsi="Times New Roman"/>
          <w:sz w:val="24"/>
          <w:szCs w:val="24"/>
          <w:lang w:val="en-US"/>
        </w:rPr>
        <w:t>: number of causal variants explaining 90% of the h</w:t>
      </w:r>
      <w:r>
        <w:rPr>
          <w:rFonts w:eastAsia="Calibri" w:cs="Times New Roman" w:ascii="Times New Roman" w:hAnsi="Times New Roman"/>
          <w:sz w:val="24"/>
          <w:szCs w:val="24"/>
          <w:vertAlign w:val="superscript"/>
          <w:lang w:val="en-US"/>
        </w:rPr>
        <w:t>2</w:t>
      </w:r>
      <w:r>
        <w:rPr>
          <w:rFonts w:eastAsia="Calibri" w:cs="Times New Roman" w:ascii="Times New Roman" w:hAnsi="Times New Roman"/>
          <w:sz w:val="24"/>
          <w:szCs w:val="24"/>
          <w:vertAlign w:val="subscript"/>
          <w:lang w:val="en-US"/>
        </w:rPr>
        <w:t>SNP</w:t>
      </w:r>
      <w:r>
        <w:rPr>
          <w:rFonts w:eastAsia="Calibri" w:cs="Times New Roman" w:ascii="Times New Roman" w:hAnsi="Times New Roman"/>
          <w:sz w:val="24"/>
          <w:szCs w:val="24"/>
          <w:lang w:val="en-US"/>
        </w:rPr>
        <w:t>.</w:t>
      </w:r>
    </w:p>
    <w:p>
      <w:pPr>
        <w:pStyle w:val="Normal"/>
        <w:spacing w:lineRule="auto" w:line="360" w:before="0" w:after="120"/>
        <w:jc w:val="both"/>
        <w:rPr>
          <w:rFonts w:ascii="Times New Roman" w:hAnsi="Times New Roman" w:eastAsia="Calibri" w:cs="Times New Roman"/>
          <w:sz w:val="24"/>
          <w:szCs w:val="24"/>
          <w:lang w:val="en-US"/>
        </w:rPr>
      </w:pPr>
      <w:r>
        <w:rPr>
          <w:rFonts w:eastAsia="Calibri" w:cs="Times New Roman" w:ascii="Times New Roman" w:hAnsi="Times New Roman"/>
          <w:sz w:val="24"/>
          <w:szCs w:val="24"/>
          <w:vertAlign w:val="superscript"/>
          <w:lang w:val="en-US"/>
        </w:rPr>
        <w:t>2</w:t>
      </w:r>
      <w:r>
        <w:rPr>
          <w:rFonts w:eastAsia="Calibri" w:cs="Times New Roman" w:ascii="Times New Roman" w:hAnsi="Times New Roman"/>
          <w:sz w:val="24"/>
          <w:szCs w:val="24"/>
          <w:lang w:val="en-US"/>
        </w:rPr>
        <w:t xml:space="preserve">: difference between the Akaike information criterion (AIC) for the best-fitting MiXeR model and an infinitesimal model assuming all genetic variants as causal. </w:t>
      </w:r>
    </w:p>
    <w:p>
      <w:pPr>
        <w:pStyle w:val="Normal"/>
        <w:spacing w:before="0" w:after="160"/>
        <w:rPr>
          <w:rFonts w:ascii="Times New Roman" w:hAnsi="Times New Roman" w:eastAsia="Calibri" w:cs="Times New Roman"/>
          <w:sz w:val="24"/>
          <w:szCs w:val="24"/>
          <w:lang w:val="en-US"/>
        </w:rPr>
      </w:pPr>
      <w:r>
        <w:rPr/>
      </w:r>
    </w:p>
    <w:sectPr>
      <w:type w:val="nextPage"/>
      <w:pgSz w:w="11906" w:h="16838"/>
      <w:pgMar w:left="1701" w:right="1701" w:gutter="0" w:header="0" w:top="1417" w:footer="0" w:bottom="1417"/>
      <w:pgNumType w:fmt="decimal"/>
      <w:formProt w:val="false"/>
      <w:textDirection w:val="lrTb"/>
      <w:docGrid w:type="default" w:linePitch="36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Aptos">
    <w:charset w:val="00"/>
    <w:family w:val="roman"/>
    <w:pitch w:val="variable"/>
  </w:font>
  <w:font w:name="Aptos Display">
    <w:charset w:val="00"/>
    <w:family w:val="roman"/>
    <w:pitch w:val="variable"/>
  </w:font>
  <w:font w:name="Segoe UI">
    <w:charset w:val="00"/>
    <w:family w:val="roman"/>
    <w:pitch w:val="variable"/>
  </w:font>
  <w:font w:name="Liberation Sans">
    <w:altName w:val="Arial"/>
    <w:charset w:val="00"/>
    <w:family w:val="roman"/>
    <w:pitch w:val="variable"/>
  </w:font>
  <w:font w:name="Cambria Math">
    <w:charset w:val="00"/>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360"/>
        </w:tabs>
        <w:ind w:left="360" w:hanging="360"/>
      </w:pPr>
      <w:rPr>
        <w:rFonts w:ascii="Symbol" w:hAnsi="Symbol" w:cs="Symbol" w:hint="default"/>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04"/>
  <w:defaultTabStop w:val="720"/>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hyphenationZone w:val="425"/>
  <w:themeFontLang w:val="es-ES" w:eastAsia="" w:bidi="ar-SA"/>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Aptos" w:hAnsi="Aptos" w:eastAsia="Aptos" w:cs="Arial" w:asciiTheme="minorHAnsi" w:cstheme="minorBidi" w:eastAsiaTheme="minorHAnsi" w:hAnsiTheme="minorHAnsi"/>
        <w:sz w:val="22"/>
        <w:szCs w:val="22"/>
        <w:lang w:val="gl-ES"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56383f"/>
    <w:pPr>
      <w:widowControl/>
      <w:suppressAutoHyphens w:val="true"/>
      <w:bidi w:val="0"/>
      <w:spacing w:lineRule="auto" w:line="259" w:before="0" w:after="160"/>
      <w:jc w:val="left"/>
    </w:pPr>
    <w:rPr>
      <w:rFonts w:ascii="Aptos" w:hAnsi="Aptos" w:eastAsia="Aptos" w:cs="Arial" w:asciiTheme="minorHAnsi" w:cstheme="minorBidi" w:eastAsiaTheme="minorHAnsi" w:hAnsiTheme="minorHAnsi"/>
      <w:color w:val="auto"/>
      <w:kern w:val="0"/>
      <w:sz w:val="22"/>
      <w:szCs w:val="22"/>
      <w:lang w:val="gl-ES" w:eastAsia="en-US" w:bidi="ar-SA"/>
    </w:rPr>
  </w:style>
  <w:style w:type="paragraph" w:styleId="Ttulo1">
    <w:name w:val="Heading 1"/>
    <w:basedOn w:val="Normal"/>
    <w:next w:val="Normal"/>
    <w:link w:val="Ttulo1Car"/>
    <w:uiPriority w:val="9"/>
    <w:qFormat/>
    <w:rsid w:val="008d59bf"/>
    <w:pPr>
      <w:keepNext w:val="true"/>
      <w:keepLines/>
      <w:spacing w:before="360" w:after="80"/>
      <w:outlineLvl w:val="0"/>
    </w:pPr>
    <w:rPr>
      <w:rFonts w:ascii="Aptos Display" w:hAnsi="Aptos Display" w:eastAsia="" w:cs="Times New Roman" w:asciiTheme="majorHAnsi" w:cstheme="majorBidi" w:eastAsiaTheme="majorEastAsia" w:hAnsiTheme="majorHAnsi"/>
      <w:color w:val="0F4761" w:themeColor="accent1" w:themeShade="bf"/>
      <w:sz w:val="40"/>
      <w:szCs w:val="40"/>
    </w:rPr>
  </w:style>
  <w:style w:type="paragraph" w:styleId="Ttulo2">
    <w:name w:val="Heading 2"/>
    <w:basedOn w:val="Normal"/>
    <w:next w:val="Normal"/>
    <w:link w:val="Ttulo2Car"/>
    <w:uiPriority w:val="9"/>
    <w:unhideWhenUsed/>
    <w:qFormat/>
    <w:rsid w:val="008d59bf"/>
    <w:pPr>
      <w:keepNext w:val="true"/>
      <w:keepLines/>
      <w:spacing w:before="160" w:after="80"/>
      <w:outlineLvl w:val="1"/>
    </w:pPr>
    <w:rPr>
      <w:rFonts w:ascii="Aptos Display" w:hAnsi="Aptos Display" w:eastAsia="" w:cs="Times New Roman" w:asciiTheme="majorHAnsi" w:cstheme="majorBidi" w:eastAsiaTheme="majorEastAsia" w:hAnsiTheme="majorHAnsi"/>
      <w:color w:val="0F4761" w:themeColor="accent1" w:themeShade="bf"/>
      <w:sz w:val="32"/>
      <w:szCs w:val="32"/>
    </w:rPr>
  </w:style>
  <w:style w:type="paragraph" w:styleId="Ttulo3">
    <w:name w:val="Heading 3"/>
    <w:basedOn w:val="Normal"/>
    <w:next w:val="Normal"/>
    <w:link w:val="Ttulo3Car"/>
    <w:uiPriority w:val="9"/>
    <w:semiHidden/>
    <w:unhideWhenUsed/>
    <w:qFormat/>
    <w:rsid w:val="008d59bf"/>
    <w:pPr>
      <w:keepNext w:val="true"/>
      <w:keepLines/>
      <w:spacing w:before="160" w:after="80"/>
      <w:outlineLvl w:val="2"/>
    </w:pPr>
    <w:rPr>
      <w:rFonts w:eastAsia="" w:cs="Times New Roman" w:cstheme="majorBidi" w:eastAsiaTheme="majorEastAsia"/>
      <w:color w:val="0F4761" w:themeColor="accent1" w:themeShade="bf"/>
      <w:sz w:val="28"/>
      <w:szCs w:val="28"/>
    </w:rPr>
  </w:style>
  <w:style w:type="paragraph" w:styleId="Ttulo4">
    <w:name w:val="Heading 4"/>
    <w:basedOn w:val="Normal"/>
    <w:next w:val="Normal"/>
    <w:link w:val="Ttulo4Car"/>
    <w:uiPriority w:val="9"/>
    <w:semiHidden/>
    <w:unhideWhenUsed/>
    <w:qFormat/>
    <w:rsid w:val="008d59bf"/>
    <w:pPr>
      <w:keepNext w:val="true"/>
      <w:keepLines/>
      <w:spacing w:before="80" w:after="40"/>
      <w:outlineLvl w:val="3"/>
    </w:pPr>
    <w:rPr>
      <w:rFonts w:eastAsia="" w:cs="Times New Roman" w:cstheme="majorBidi" w:eastAsiaTheme="majorEastAsia"/>
      <w:i/>
      <w:iCs/>
      <w:color w:val="0F4761" w:themeColor="accent1" w:themeShade="bf"/>
    </w:rPr>
  </w:style>
  <w:style w:type="paragraph" w:styleId="Ttulo5">
    <w:name w:val="Heading 5"/>
    <w:basedOn w:val="Normal"/>
    <w:next w:val="Normal"/>
    <w:link w:val="Ttulo5Car"/>
    <w:uiPriority w:val="9"/>
    <w:semiHidden/>
    <w:unhideWhenUsed/>
    <w:qFormat/>
    <w:rsid w:val="008d59bf"/>
    <w:pPr>
      <w:keepNext w:val="true"/>
      <w:keepLines/>
      <w:spacing w:before="80" w:after="40"/>
      <w:outlineLvl w:val="4"/>
    </w:pPr>
    <w:rPr>
      <w:rFonts w:eastAsia="" w:cs="Times New Roman" w:cstheme="majorBidi" w:eastAsiaTheme="majorEastAsia"/>
      <w:color w:val="0F4761" w:themeColor="accent1" w:themeShade="bf"/>
    </w:rPr>
  </w:style>
  <w:style w:type="paragraph" w:styleId="Ttulo6">
    <w:name w:val="Heading 6"/>
    <w:basedOn w:val="Normal"/>
    <w:next w:val="Normal"/>
    <w:link w:val="Ttulo6Car"/>
    <w:uiPriority w:val="9"/>
    <w:semiHidden/>
    <w:unhideWhenUsed/>
    <w:qFormat/>
    <w:rsid w:val="008d59bf"/>
    <w:pPr>
      <w:keepNext w:val="true"/>
      <w:keepLines/>
      <w:spacing w:before="40" w:after="0"/>
      <w:outlineLvl w:val="5"/>
    </w:pPr>
    <w:rPr>
      <w:rFonts w:eastAsia="" w:cs="Times New Roman" w:cstheme="majorBidi" w:eastAsiaTheme="majorEastAsia"/>
      <w:i/>
      <w:iCs/>
      <w:color w:val="595959" w:themeColor="text1" w:themeTint="a6"/>
    </w:rPr>
  </w:style>
  <w:style w:type="paragraph" w:styleId="Ttulo7">
    <w:name w:val="Heading 7"/>
    <w:basedOn w:val="Normal"/>
    <w:next w:val="Normal"/>
    <w:link w:val="Ttulo7Car"/>
    <w:uiPriority w:val="9"/>
    <w:semiHidden/>
    <w:unhideWhenUsed/>
    <w:qFormat/>
    <w:rsid w:val="008d59bf"/>
    <w:pPr>
      <w:keepNext w:val="true"/>
      <w:keepLines/>
      <w:spacing w:before="40" w:after="0"/>
      <w:outlineLvl w:val="6"/>
    </w:pPr>
    <w:rPr>
      <w:rFonts w:eastAsia="" w:cs="Times New Roman" w:cstheme="majorBidi" w:eastAsiaTheme="majorEastAsia"/>
      <w:color w:val="595959" w:themeColor="text1" w:themeTint="a6"/>
    </w:rPr>
  </w:style>
  <w:style w:type="paragraph" w:styleId="Ttulo8">
    <w:name w:val="Heading 8"/>
    <w:basedOn w:val="Normal"/>
    <w:next w:val="Normal"/>
    <w:link w:val="Ttulo8Car"/>
    <w:uiPriority w:val="9"/>
    <w:semiHidden/>
    <w:unhideWhenUsed/>
    <w:qFormat/>
    <w:rsid w:val="008d59bf"/>
    <w:pPr>
      <w:keepNext w:val="true"/>
      <w:keepLines/>
      <w:spacing w:before="0" w:after="0"/>
      <w:outlineLvl w:val="7"/>
    </w:pPr>
    <w:rPr>
      <w:rFonts w:eastAsia="" w:cs="Times New Roman" w:cstheme="majorBidi" w:eastAsiaTheme="majorEastAsia"/>
      <w:i/>
      <w:iCs/>
      <w:color w:val="272727" w:themeColor="text1" w:themeTint="d8"/>
    </w:rPr>
  </w:style>
  <w:style w:type="paragraph" w:styleId="Ttulo9">
    <w:name w:val="Heading 9"/>
    <w:basedOn w:val="Normal"/>
    <w:next w:val="Normal"/>
    <w:link w:val="Ttulo9Car"/>
    <w:uiPriority w:val="9"/>
    <w:semiHidden/>
    <w:unhideWhenUsed/>
    <w:qFormat/>
    <w:rsid w:val="008d59bf"/>
    <w:pPr>
      <w:keepNext w:val="true"/>
      <w:keepLines/>
      <w:spacing w:before="0" w:after="0"/>
      <w:outlineLvl w:val="8"/>
    </w:pPr>
    <w:rPr>
      <w:rFonts w:eastAsia="" w:cs="Times New Roman" w:cstheme="majorBidi" w:eastAsiaTheme="majorEastAsia"/>
      <w:color w:val="272727" w:themeColor="text1" w:themeTint="d8"/>
    </w:rPr>
  </w:style>
  <w:style w:type="character" w:styleId="DefaultParagraphFont" w:default="1">
    <w:name w:val="Default Paragraph Font"/>
    <w:uiPriority w:val="1"/>
    <w:semiHidden/>
    <w:unhideWhenUsed/>
    <w:qFormat/>
    <w:rPr/>
  </w:style>
  <w:style w:type="character" w:styleId="Ttulo1Car" w:customStyle="1">
    <w:name w:val="Título 1 Car"/>
    <w:basedOn w:val="DefaultParagraphFont"/>
    <w:uiPriority w:val="9"/>
    <w:qFormat/>
    <w:rsid w:val="008d59bf"/>
    <w:rPr>
      <w:rFonts w:ascii="Aptos Display" w:hAnsi="Aptos Display" w:eastAsia="" w:cs="Times New Roman" w:asciiTheme="majorHAnsi" w:cstheme="majorBidi" w:eastAsiaTheme="majorEastAsia" w:hAnsiTheme="majorHAnsi"/>
      <w:color w:val="0F4761" w:themeColor="accent1" w:themeShade="bf"/>
      <w:sz w:val="40"/>
      <w:szCs w:val="40"/>
    </w:rPr>
  </w:style>
  <w:style w:type="character" w:styleId="Ttulo2Car" w:customStyle="1">
    <w:name w:val="Título 2 Car"/>
    <w:basedOn w:val="DefaultParagraphFont"/>
    <w:uiPriority w:val="9"/>
    <w:qFormat/>
    <w:rsid w:val="008d59bf"/>
    <w:rPr>
      <w:rFonts w:ascii="Aptos Display" w:hAnsi="Aptos Display" w:eastAsia="" w:cs="Times New Roman" w:asciiTheme="majorHAnsi" w:cstheme="majorBidi" w:eastAsiaTheme="majorEastAsia" w:hAnsiTheme="majorHAnsi"/>
      <w:color w:val="0F4761" w:themeColor="accent1" w:themeShade="bf"/>
      <w:sz w:val="32"/>
      <w:szCs w:val="32"/>
    </w:rPr>
  </w:style>
  <w:style w:type="character" w:styleId="Ttulo3Car" w:customStyle="1">
    <w:name w:val="Título 3 Car"/>
    <w:basedOn w:val="DefaultParagraphFont"/>
    <w:uiPriority w:val="9"/>
    <w:semiHidden/>
    <w:qFormat/>
    <w:rsid w:val="008d59bf"/>
    <w:rPr>
      <w:rFonts w:eastAsia="" w:cs="Times New Roman" w:cstheme="majorBidi" w:eastAsiaTheme="majorEastAsia"/>
      <w:color w:val="0F4761" w:themeColor="accent1" w:themeShade="bf"/>
      <w:sz w:val="28"/>
      <w:szCs w:val="28"/>
    </w:rPr>
  </w:style>
  <w:style w:type="character" w:styleId="Ttulo4Car" w:customStyle="1">
    <w:name w:val="Título 4 Car"/>
    <w:basedOn w:val="DefaultParagraphFont"/>
    <w:uiPriority w:val="9"/>
    <w:semiHidden/>
    <w:qFormat/>
    <w:rsid w:val="008d59bf"/>
    <w:rPr>
      <w:rFonts w:eastAsia="" w:cs="Times New Roman" w:cstheme="majorBidi" w:eastAsiaTheme="majorEastAsia"/>
      <w:i/>
      <w:iCs/>
      <w:color w:val="0F4761" w:themeColor="accent1" w:themeShade="bf"/>
    </w:rPr>
  </w:style>
  <w:style w:type="character" w:styleId="Ttulo5Car" w:customStyle="1">
    <w:name w:val="Título 5 Car"/>
    <w:basedOn w:val="DefaultParagraphFont"/>
    <w:uiPriority w:val="9"/>
    <w:semiHidden/>
    <w:qFormat/>
    <w:rsid w:val="008d59bf"/>
    <w:rPr>
      <w:rFonts w:eastAsia="" w:cs="Times New Roman" w:cstheme="majorBidi" w:eastAsiaTheme="majorEastAsia"/>
      <w:color w:val="0F4761" w:themeColor="accent1" w:themeShade="bf"/>
    </w:rPr>
  </w:style>
  <w:style w:type="character" w:styleId="Ttulo6Car" w:customStyle="1">
    <w:name w:val="Título 6 Car"/>
    <w:basedOn w:val="DefaultParagraphFont"/>
    <w:uiPriority w:val="9"/>
    <w:semiHidden/>
    <w:qFormat/>
    <w:rsid w:val="008d59bf"/>
    <w:rPr>
      <w:rFonts w:eastAsia="" w:cs="Times New Roman" w:cstheme="majorBidi" w:eastAsiaTheme="majorEastAsia"/>
      <w:i/>
      <w:iCs/>
      <w:color w:val="595959" w:themeColor="text1" w:themeTint="a6"/>
    </w:rPr>
  </w:style>
  <w:style w:type="character" w:styleId="Ttulo7Car" w:customStyle="1">
    <w:name w:val="Título 7 Car"/>
    <w:basedOn w:val="DefaultParagraphFont"/>
    <w:uiPriority w:val="9"/>
    <w:semiHidden/>
    <w:qFormat/>
    <w:rsid w:val="008d59bf"/>
    <w:rPr>
      <w:rFonts w:eastAsia="" w:cs="Times New Roman" w:cstheme="majorBidi" w:eastAsiaTheme="majorEastAsia"/>
      <w:color w:val="595959" w:themeColor="text1" w:themeTint="a6"/>
    </w:rPr>
  </w:style>
  <w:style w:type="character" w:styleId="Ttulo8Car" w:customStyle="1">
    <w:name w:val="Título 8 Car"/>
    <w:basedOn w:val="DefaultParagraphFont"/>
    <w:uiPriority w:val="9"/>
    <w:semiHidden/>
    <w:qFormat/>
    <w:rsid w:val="008d59bf"/>
    <w:rPr>
      <w:rFonts w:eastAsia="" w:cs="Times New Roman" w:cstheme="majorBidi" w:eastAsiaTheme="majorEastAsia"/>
      <w:i/>
      <w:iCs/>
      <w:color w:val="272727" w:themeColor="text1" w:themeTint="d8"/>
    </w:rPr>
  </w:style>
  <w:style w:type="character" w:styleId="Ttulo9Car" w:customStyle="1">
    <w:name w:val="Título 9 Car"/>
    <w:basedOn w:val="DefaultParagraphFont"/>
    <w:uiPriority w:val="9"/>
    <w:semiHidden/>
    <w:qFormat/>
    <w:rsid w:val="008d59bf"/>
    <w:rPr>
      <w:rFonts w:eastAsia="" w:cs="Times New Roman" w:cstheme="majorBidi" w:eastAsiaTheme="majorEastAsia"/>
      <w:color w:val="272727" w:themeColor="text1" w:themeTint="d8"/>
    </w:rPr>
  </w:style>
  <w:style w:type="character" w:styleId="TtuloCar" w:customStyle="1">
    <w:name w:val="Título Car"/>
    <w:basedOn w:val="DefaultParagraphFont"/>
    <w:qFormat/>
    <w:rsid w:val="008d59bf"/>
    <w:rPr>
      <w:rFonts w:ascii="Aptos Display" w:hAnsi="Aptos Display" w:eastAsia="" w:cs="Times New Roman" w:asciiTheme="majorHAnsi" w:cstheme="majorBidi" w:eastAsiaTheme="majorEastAsia" w:hAnsiTheme="majorHAnsi"/>
      <w:spacing w:val="-10"/>
      <w:kern w:val="2"/>
      <w:sz w:val="56"/>
      <w:szCs w:val="56"/>
    </w:rPr>
  </w:style>
  <w:style w:type="character" w:styleId="SubttuloCar" w:customStyle="1">
    <w:name w:val="Subtítulo Car"/>
    <w:basedOn w:val="DefaultParagraphFont"/>
    <w:uiPriority w:val="11"/>
    <w:qFormat/>
    <w:rsid w:val="008d59bf"/>
    <w:rPr>
      <w:rFonts w:eastAsia="" w:cs="Times New Roman" w:cstheme="majorBidi" w:eastAsiaTheme="majorEastAsia"/>
      <w:color w:val="595959" w:themeColor="text1" w:themeTint="a6"/>
      <w:spacing w:val="15"/>
      <w:sz w:val="28"/>
      <w:szCs w:val="28"/>
    </w:rPr>
  </w:style>
  <w:style w:type="character" w:styleId="CitaCar" w:customStyle="1">
    <w:name w:val="Cita Car"/>
    <w:basedOn w:val="DefaultParagraphFont"/>
    <w:link w:val="Quote"/>
    <w:uiPriority w:val="29"/>
    <w:qFormat/>
    <w:rsid w:val="008d59bf"/>
    <w:rPr>
      <w:i/>
      <w:iCs/>
      <w:color w:val="404040" w:themeColor="text1" w:themeTint="bf"/>
    </w:rPr>
  </w:style>
  <w:style w:type="character" w:styleId="IntenseEmphasis">
    <w:name w:val="Intense Emphasis"/>
    <w:basedOn w:val="DefaultParagraphFont"/>
    <w:uiPriority w:val="21"/>
    <w:qFormat/>
    <w:rsid w:val="008d59bf"/>
    <w:rPr>
      <w:i/>
      <w:iCs/>
      <w:color w:val="0F4761" w:themeColor="accent1" w:themeShade="bf"/>
    </w:rPr>
  </w:style>
  <w:style w:type="character" w:styleId="CitadestacadaCar" w:customStyle="1">
    <w:name w:val="Cita destacada Car"/>
    <w:basedOn w:val="DefaultParagraphFont"/>
    <w:link w:val="IntenseQuote"/>
    <w:uiPriority w:val="30"/>
    <w:qFormat/>
    <w:rsid w:val="008d59bf"/>
    <w:rPr>
      <w:i/>
      <w:iCs/>
      <w:color w:val="0F4761" w:themeColor="accent1" w:themeShade="bf"/>
    </w:rPr>
  </w:style>
  <w:style w:type="character" w:styleId="IntenseReference">
    <w:name w:val="Intense Reference"/>
    <w:basedOn w:val="DefaultParagraphFont"/>
    <w:uiPriority w:val="32"/>
    <w:qFormat/>
    <w:rsid w:val="008d59bf"/>
    <w:rPr>
      <w:b/>
      <w:bCs/>
      <w:smallCaps/>
      <w:color w:val="0F4761" w:themeColor="accent1" w:themeShade="bf"/>
      <w:spacing w:val="5"/>
    </w:rPr>
  </w:style>
  <w:style w:type="character" w:styleId="Annotationreference">
    <w:name w:val="annotation reference"/>
    <w:basedOn w:val="DefaultParagraphFont"/>
    <w:unhideWhenUsed/>
    <w:qFormat/>
    <w:rsid w:val="008d59bf"/>
    <w:rPr>
      <w:sz w:val="16"/>
      <w:szCs w:val="16"/>
    </w:rPr>
  </w:style>
  <w:style w:type="character" w:styleId="TextocomentarioCar" w:customStyle="1">
    <w:name w:val="Texto comentario Car"/>
    <w:basedOn w:val="DefaultParagraphFont"/>
    <w:link w:val="Annotationtext"/>
    <w:uiPriority w:val="99"/>
    <w:qFormat/>
    <w:rsid w:val="008d59bf"/>
    <w:rPr>
      <w:sz w:val="20"/>
      <w:szCs w:val="20"/>
      <w:lang w:val="gl-ES"/>
    </w:rPr>
  </w:style>
  <w:style w:type="character" w:styleId="AsuntodelcomentarioCar" w:customStyle="1">
    <w:name w:val="Asunto del comentario Car"/>
    <w:basedOn w:val="TextocomentarioCar"/>
    <w:link w:val="Annotationsubject"/>
    <w:uiPriority w:val="99"/>
    <w:semiHidden/>
    <w:qFormat/>
    <w:rsid w:val="008d59bf"/>
    <w:rPr>
      <w:rFonts w:eastAsia="Calibri Light" w:cs="Calibri Light"/>
      <w:color w:val="2F5496"/>
      <w:sz w:val="20"/>
      <w:szCs w:val="20"/>
      <w:lang w:val="gl-ES"/>
    </w:rPr>
  </w:style>
  <w:style w:type="character" w:styleId="EnlacedeInternet" w:customStyle="1">
    <w:name w:val="Enlace de Internet"/>
    <w:basedOn w:val="DefaultParagraphFont"/>
    <w:uiPriority w:val="99"/>
    <w:semiHidden/>
    <w:unhideWhenUsed/>
    <w:rsid w:val="008d59bf"/>
    <w:rPr>
      <w:color w:val="467886" w:themeColor="hyperlink"/>
      <w:u w:val="single"/>
    </w:rPr>
  </w:style>
  <w:style w:type="character" w:styleId="UnresolvedMention1" w:customStyle="1">
    <w:name w:val="Unresolved Mention1"/>
    <w:basedOn w:val="DefaultParagraphFont"/>
    <w:uiPriority w:val="99"/>
    <w:semiHidden/>
    <w:unhideWhenUsed/>
    <w:qFormat/>
    <w:rsid w:val="008d59bf"/>
    <w:rPr>
      <w:color w:val="605E5C"/>
      <w:shd w:fill="E1DFDD" w:val="clear"/>
    </w:rPr>
  </w:style>
  <w:style w:type="character" w:styleId="TextonotapieCar" w:customStyle="1">
    <w:name w:val="Texto nota pie Car"/>
    <w:basedOn w:val="DefaultParagraphFont"/>
    <w:uiPriority w:val="99"/>
    <w:semiHidden/>
    <w:qFormat/>
    <w:rsid w:val="008d59bf"/>
    <w:rPr>
      <w:sz w:val="20"/>
      <w:szCs w:val="20"/>
      <w:lang w:val="gl-ES"/>
    </w:rPr>
  </w:style>
  <w:style w:type="character" w:styleId="Ancladenotaalpie" w:customStyle="1">
    <w:name w:val="Ancla de nota al pie"/>
    <w:rsid w:val="008d59bf"/>
    <w:rPr>
      <w:vertAlign w:val="superscript"/>
    </w:rPr>
  </w:style>
  <w:style w:type="character" w:styleId="FootnoteCharacters" w:customStyle="1">
    <w:name w:val="Footnote Characters"/>
    <w:basedOn w:val="DefaultParagraphFont"/>
    <w:uiPriority w:val="99"/>
    <w:semiHidden/>
    <w:unhideWhenUsed/>
    <w:qFormat/>
    <w:rsid w:val="008d59bf"/>
    <w:rPr>
      <w:vertAlign w:val="superscript"/>
    </w:rPr>
  </w:style>
  <w:style w:type="character" w:styleId="EncabezadoCar" w:customStyle="1">
    <w:name w:val="Encabezado Car"/>
    <w:basedOn w:val="DefaultParagraphFont"/>
    <w:uiPriority w:val="99"/>
    <w:qFormat/>
    <w:rsid w:val="008d59bf"/>
    <w:rPr>
      <w:lang w:val="gl-ES"/>
    </w:rPr>
  </w:style>
  <w:style w:type="character" w:styleId="PiedepginaCar" w:customStyle="1">
    <w:name w:val="Pie de página Car"/>
    <w:basedOn w:val="DefaultParagraphFont"/>
    <w:uiPriority w:val="99"/>
    <w:qFormat/>
    <w:rsid w:val="008d59bf"/>
    <w:rPr>
      <w:lang w:val="gl-ES"/>
    </w:rPr>
  </w:style>
  <w:style w:type="character" w:styleId="Numeracinderenglones" w:customStyle="1">
    <w:name w:val="Numeración de renglones"/>
    <w:rsid w:val="008d59bf"/>
    <w:rPr/>
  </w:style>
  <w:style w:type="character" w:styleId="TextoindependienteCar" w:customStyle="1">
    <w:name w:val="Texto independiente Car"/>
    <w:basedOn w:val="DefaultParagraphFont"/>
    <w:link w:val="Textoindependiente1"/>
    <w:qFormat/>
    <w:rsid w:val="008d59bf"/>
    <w:rPr>
      <w:lang w:val="gl-ES"/>
    </w:rPr>
  </w:style>
  <w:style w:type="character" w:styleId="TextocomentarioCar1" w:customStyle="1">
    <w:name w:val="Texto comentario Car1"/>
    <w:basedOn w:val="DefaultParagraphFont"/>
    <w:uiPriority w:val="99"/>
    <w:semiHidden/>
    <w:qFormat/>
    <w:rsid w:val="008d59bf"/>
    <w:rPr>
      <w:sz w:val="20"/>
      <w:szCs w:val="20"/>
      <w:lang w:val="gl-ES"/>
    </w:rPr>
  </w:style>
  <w:style w:type="character" w:styleId="AsuntodelcomentarioCar1" w:customStyle="1">
    <w:name w:val="Asunto del comentario Car1"/>
    <w:basedOn w:val="TextocomentarioCar1"/>
    <w:uiPriority w:val="99"/>
    <w:semiHidden/>
    <w:qFormat/>
    <w:rsid w:val="008d59bf"/>
    <w:rPr>
      <w:sz w:val="20"/>
      <w:szCs w:val="20"/>
      <w:lang w:val="gl-ES"/>
    </w:rPr>
  </w:style>
  <w:style w:type="character" w:styleId="TextonotapieCar1" w:customStyle="1">
    <w:name w:val="Texto nota pie Car1"/>
    <w:basedOn w:val="DefaultParagraphFont"/>
    <w:uiPriority w:val="99"/>
    <w:semiHidden/>
    <w:qFormat/>
    <w:rsid w:val="008d59bf"/>
    <w:rPr>
      <w:sz w:val="20"/>
      <w:szCs w:val="20"/>
      <w:lang w:val="gl-ES"/>
    </w:rPr>
  </w:style>
  <w:style w:type="character" w:styleId="EncabezadoCar1" w:customStyle="1">
    <w:name w:val="Encabezado Car1"/>
    <w:basedOn w:val="DefaultParagraphFont"/>
    <w:uiPriority w:val="99"/>
    <w:semiHidden/>
    <w:qFormat/>
    <w:rsid w:val="008d59bf"/>
    <w:rPr>
      <w:lang w:val="gl-ES"/>
    </w:rPr>
  </w:style>
  <w:style w:type="character" w:styleId="PiedepginaCar1" w:customStyle="1">
    <w:name w:val="Pie de página Car1"/>
    <w:basedOn w:val="DefaultParagraphFont"/>
    <w:uiPriority w:val="99"/>
    <w:semiHidden/>
    <w:qFormat/>
    <w:rsid w:val="008d59bf"/>
    <w:rPr>
      <w:lang w:val="gl-ES"/>
    </w:rPr>
  </w:style>
  <w:style w:type="character" w:styleId="TextodegloboCar" w:customStyle="1">
    <w:name w:val="Texto de globo Car"/>
    <w:basedOn w:val="DefaultParagraphFont"/>
    <w:link w:val="Textodeglobo1"/>
    <w:uiPriority w:val="99"/>
    <w:semiHidden/>
    <w:qFormat/>
    <w:rsid w:val="008d59bf"/>
    <w:rPr>
      <w:rFonts w:ascii="Segoe UI" w:hAnsi="Segoe UI" w:cs="Segoe UI"/>
      <w:sz w:val="18"/>
      <w:szCs w:val="18"/>
      <w:lang w:val="gl-ES"/>
    </w:rPr>
  </w:style>
  <w:style w:type="character" w:styleId="Cf01" w:customStyle="1">
    <w:name w:val="cf01"/>
    <w:basedOn w:val="DefaultParagraphFont"/>
    <w:qFormat/>
    <w:rsid w:val="008d59bf"/>
    <w:rPr>
      <w:rFonts w:ascii="Segoe UI" w:hAnsi="Segoe UI" w:cs="Segoe UI"/>
      <w:sz w:val="18"/>
      <w:szCs w:val="18"/>
    </w:rPr>
  </w:style>
  <w:style w:type="character" w:styleId="Pagenumber">
    <w:name w:val="page number"/>
    <w:basedOn w:val="DefaultParagraphFont"/>
    <w:uiPriority w:val="99"/>
    <w:semiHidden/>
    <w:unhideWhenUsed/>
    <w:qFormat/>
    <w:rsid w:val="008d59bf"/>
    <w:rPr/>
  </w:style>
  <w:style w:type="character" w:styleId="Hipervnculo1" w:customStyle="1">
    <w:name w:val="Hipervínculo1"/>
    <w:basedOn w:val="DefaultParagraphFont"/>
    <w:uiPriority w:val="99"/>
    <w:unhideWhenUsed/>
    <w:qFormat/>
    <w:rsid w:val="008d59bf"/>
    <w:rPr>
      <w:color w:val="0563C1"/>
      <w:u w:val="single"/>
    </w:rPr>
  </w:style>
  <w:style w:type="character" w:styleId="UnresolvedMention2" w:customStyle="1">
    <w:name w:val="Unresolved Mention2"/>
    <w:basedOn w:val="DefaultParagraphFont"/>
    <w:uiPriority w:val="99"/>
    <w:semiHidden/>
    <w:unhideWhenUsed/>
    <w:qFormat/>
    <w:rsid w:val="008d59bf"/>
    <w:rPr>
      <w:color w:val="605E5C"/>
      <w:shd w:fill="E1DFDD" w:val="clear"/>
    </w:rPr>
  </w:style>
  <w:style w:type="character" w:styleId="UnresolvedMention3" w:customStyle="1">
    <w:name w:val="Unresolved Mention3"/>
    <w:basedOn w:val="DefaultParagraphFont"/>
    <w:uiPriority w:val="99"/>
    <w:semiHidden/>
    <w:unhideWhenUsed/>
    <w:qFormat/>
    <w:rsid w:val="008d59bf"/>
    <w:rPr>
      <w:color w:val="605E5C"/>
      <w:shd w:fill="E1DFDD" w:val="clear"/>
    </w:rPr>
  </w:style>
  <w:style w:type="character" w:styleId="UnresolvedMention">
    <w:name w:val="Unresolved Mention"/>
    <w:basedOn w:val="DefaultParagraphFont"/>
    <w:uiPriority w:val="99"/>
    <w:semiHidden/>
    <w:unhideWhenUsed/>
    <w:qFormat/>
    <w:rsid w:val="008d59bf"/>
    <w:rPr>
      <w:color w:val="605E5C"/>
      <w:shd w:fill="E1DFDD" w:val="clear"/>
    </w:rPr>
  </w:style>
  <w:style w:type="character" w:styleId="TextocomentarioCar2" w:customStyle="1">
    <w:name w:val="Texto comentario Car2"/>
    <w:basedOn w:val="DefaultParagraphFont"/>
    <w:uiPriority w:val="99"/>
    <w:semiHidden/>
    <w:qFormat/>
    <w:rsid w:val="008d59bf"/>
    <w:rPr>
      <w:sz w:val="20"/>
      <w:szCs w:val="20"/>
    </w:rPr>
  </w:style>
  <w:style w:type="character" w:styleId="AsuntodelcomentarioCar2" w:customStyle="1">
    <w:name w:val="Asunto del comentario Car2"/>
    <w:basedOn w:val="TextocomentarioCar"/>
    <w:uiPriority w:val="99"/>
    <w:semiHidden/>
    <w:qFormat/>
    <w:rsid w:val="008d59bf"/>
    <w:rPr>
      <w:b/>
      <w:bCs/>
      <w:sz w:val="20"/>
      <w:szCs w:val="20"/>
      <w:lang w:val="gl-ES"/>
    </w:rPr>
  </w:style>
  <w:style w:type="character" w:styleId="TextonotapieCar2" w:customStyle="1">
    <w:name w:val="Texto nota pie Car2"/>
    <w:basedOn w:val="DefaultParagraphFont"/>
    <w:uiPriority w:val="99"/>
    <w:semiHidden/>
    <w:qFormat/>
    <w:rsid w:val="008d59bf"/>
    <w:rPr>
      <w:sz w:val="20"/>
      <w:szCs w:val="20"/>
    </w:rPr>
  </w:style>
  <w:style w:type="character" w:styleId="EncabezadoCar2" w:customStyle="1">
    <w:name w:val="Encabezado Car2"/>
    <w:basedOn w:val="DefaultParagraphFont"/>
    <w:uiPriority w:val="99"/>
    <w:semiHidden/>
    <w:qFormat/>
    <w:rsid w:val="008d59bf"/>
    <w:rPr/>
  </w:style>
  <w:style w:type="character" w:styleId="PiedepginaCar2" w:customStyle="1">
    <w:name w:val="Pie de página Car2"/>
    <w:basedOn w:val="DefaultParagraphFont"/>
    <w:uiPriority w:val="99"/>
    <w:semiHidden/>
    <w:qFormat/>
    <w:rsid w:val="008d59bf"/>
    <w:rPr/>
  </w:style>
  <w:style w:type="character" w:styleId="TextoindependienteCar1" w:customStyle="1">
    <w:name w:val="Texto independiente Car1"/>
    <w:basedOn w:val="DefaultParagraphFont"/>
    <w:uiPriority w:val="99"/>
    <w:semiHidden/>
    <w:qFormat/>
    <w:rsid w:val="008d59bf"/>
    <w:rPr/>
  </w:style>
  <w:style w:type="character" w:styleId="TextodegloboCar1" w:customStyle="1">
    <w:name w:val="Texto de globo Car1"/>
    <w:basedOn w:val="DefaultParagraphFont"/>
    <w:link w:val="BalloonText"/>
    <w:uiPriority w:val="99"/>
    <w:semiHidden/>
    <w:qFormat/>
    <w:rsid w:val="008d59bf"/>
    <w:rPr>
      <w:rFonts w:ascii="Segoe UI" w:hAnsi="Segoe UI" w:cs="Segoe UI"/>
      <w:sz w:val="18"/>
      <w:szCs w:val="18"/>
    </w:rPr>
  </w:style>
  <w:style w:type="character" w:styleId="PlaceholderText">
    <w:name w:val="Placeholder Text"/>
    <w:basedOn w:val="DefaultParagraphFont"/>
    <w:uiPriority w:val="99"/>
    <w:semiHidden/>
    <w:qFormat/>
    <w:rsid w:val="00ac612f"/>
    <w:rPr>
      <w:color w:val="666666"/>
    </w:rPr>
  </w:style>
  <w:style w:type="paragraph" w:styleId="Ttulo">
    <w:name w:val="Título"/>
    <w:basedOn w:val="Normal"/>
    <w:next w:val="Cuerpodetexto"/>
    <w:qFormat/>
    <w:pPr>
      <w:keepNext w:val="true"/>
      <w:spacing w:before="240" w:after="120"/>
    </w:pPr>
    <w:rPr>
      <w:rFonts w:ascii="Liberation Sans" w:hAnsi="Liberation Sans" w:eastAsia="Microsoft YaHei" w:cs="Arial"/>
      <w:sz w:val="28"/>
      <w:szCs w:val="28"/>
    </w:rPr>
  </w:style>
  <w:style w:type="paragraph" w:styleId="Cuerpodetexto">
    <w:name w:val="Body Text"/>
    <w:basedOn w:val="Normal"/>
    <w:link w:val="TextoindependienteCar1"/>
    <w:uiPriority w:val="99"/>
    <w:semiHidden/>
    <w:unhideWhenUsed/>
    <w:rsid w:val="008d59bf"/>
    <w:pPr>
      <w:spacing w:before="0" w:after="120"/>
    </w:pPr>
    <w:rPr/>
  </w:style>
  <w:style w:type="paragraph" w:styleId="Lista">
    <w:name w:val="List"/>
    <w:basedOn w:val="Normal"/>
    <w:uiPriority w:val="99"/>
    <w:semiHidden/>
    <w:unhideWhenUsed/>
    <w:rsid w:val="008d59bf"/>
    <w:pPr>
      <w:spacing w:before="0" w:after="160"/>
      <w:ind w:left="283" w:hanging="283"/>
      <w:contextualSpacing/>
    </w:pPr>
    <w:rPr/>
  </w:style>
  <w:style w:type="paragraph" w:styleId="Leyenda">
    <w:name w:val="Caption"/>
    <w:basedOn w:val="Normal"/>
    <w:qFormat/>
    <w:pPr>
      <w:suppressLineNumbers/>
      <w:spacing w:before="120" w:after="120"/>
    </w:pPr>
    <w:rPr>
      <w:rFonts w:cs="Arial"/>
      <w:i/>
      <w:iCs/>
      <w:sz w:val="24"/>
      <w:szCs w:val="24"/>
    </w:rPr>
  </w:style>
  <w:style w:type="paragraph" w:styleId="Ndice" w:customStyle="1">
    <w:name w:val="Índice"/>
    <w:basedOn w:val="Normal"/>
    <w:qFormat/>
    <w:rsid w:val="008d59bf"/>
    <w:pPr>
      <w:suppressLineNumbers/>
      <w:spacing w:lineRule="auto" w:line="240" w:before="0" w:after="0"/>
    </w:pPr>
    <w:rPr>
      <w:rFonts w:cs="Arial"/>
      <w:sz w:val="24"/>
      <w:szCs w:val="24"/>
    </w:rPr>
  </w:style>
  <w:style w:type="paragraph" w:styleId="Ttulogeneral">
    <w:name w:val="Title"/>
    <w:basedOn w:val="Normal"/>
    <w:next w:val="Cuerpodetexto"/>
    <w:link w:val="TtuloCar"/>
    <w:qFormat/>
    <w:rsid w:val="008d59bf"/>
    <w:pPr>
      <w:spacing w:lineRule="auto" w:line="240" w:before="0" w:after="80"/>
      <w:contextualSpacing/>
    </w:pPr>
    <w:rPr>
      <w:rFonts w:ascii="Aptos Display" w:hAnsi="Aptos Display" w:eastAsia="" w:cs="Times New Roman" w:asciiTheme="majorHAnsi" w:cstheme="majorBidi" w:eastAsiaTheme="majorEastAsia" w:hAnsiTheme="majorHAnsi"/>
      <w:spacing w:val="-10"/>
      <w:kern w:val="2"/>
      <w:sz w:val="56"/>
      <w:szCs w:val="56"/>
    </w:rPr>
  </w:style>
  <w:style w:type="paragraph" w:styleId="Caption">
    <w:name w:val="caption"/>
    <w:basedOn w:val="Normal"/>
    <w:next w:val="Normal"/>
    <w:uiPriority w:val="35"/>
    <w:semiHidden/>
    <w:unhideWhenUsed/>
    <w:qFormat/>
    <w:rsid w:val="008d59bf"/>
    <w:pPr>
      <w:spacing w:lineRule="auto" w:line="240" w:before="0" w:after="200"/>
    </w:pPr>
    <w:rPr>
      <w:i/>
      <w:iCs/>
      <w:color w:val="0E2841" w:themeColor="text2"/>
      <w:sz w:val="18"/>
      <w:szCs w:val="18"/>
    </w:rPr>
  </w:style>
  <w:style w:type="paragraph" w:styleId="Subttulo">
    <w:name w:val="Subtitle"/>
    <w:basedOn w:val="Normal"/>
    <w:next w:val="Normal"/>
    <w:link w:val="SubttuloCar"/>
    <w:uiPriority w:val="11"/>
    <w:qFormat/>
    <w:rsid w:val="008d59bf"/>
    <w:pPr/>
    <w:rPr>
      <w:rFonts w:eastAsia="" w:cs="Times New Roman" w:cstheme="majorBidi" w:eastAsiaTheme="majorEastAsia"/>
      <w:color w:val="595959" w:themeColor="text1" w:themeTint="a6"/>
      <w:spacing w:val="15"/>
      <w:sz w:val="28"/>
      <w:szCs w:val="28"/>
    </w:rPr>
  </w:style>
  <w:style w:type="paragraph" w:styleId="Quote">
    <w:name w:val="Quote"/>
    <w:basedOn w:val="Normal"/>
    <w:next w:val="Normal"/>
    <w:link w:val="CitaCar"/>
    <w:uiPriority w:val="29"/>
    <w:qFormat/>
    <w:rsid w:val="008d59bf"/>
    <w:pPr>
      <w:spacing w:before="160" w:after="160"/>
      <w:jc w:val="center"/>
    </w:pPr>
    <w:rPr>
      <w:i/>
      <w:iCs/>
      <w:color w:val="404040" w:themeColor="text1" w:themeTint="bf"/>
    </w:rPr>
  </w:style>
  <w:style w:type="paragraph" w:styleId="ListParagraph">
    <w:name w:val="List Paragraph"/>
    <w:basedOn w:val="Normal"/>
    <w:uiPriority w:val="34"/>
    <w:qFormat/>
    <w:rsid w:val="008d59bf"/>
    <w:pPr>
      <w:spacing w:before="0" w:after="160"/>
      <w:ind w:left="720" w:hanging="0"/>
      <w:contextualSpacing/>
    </w:pPr>
    <w:rPr/>
  </w:style>
  <w:style w:type="paragraph" w:styleId="IntenseQuote">
    <w:name w:val="Intense Quote"/>
    <w:basedOn w:val="Normal"/>
    <w:next w:val="Normal"/>
    <w:link w:val="CitadestacadaCar"/>
    <w:uiPriority w:val="30"/>
    <w:qFormat/>
    <w:rsid w:val="008d59bf"/>
    <w:pPr>
      <w:pBdr>
        <w:top w:val="single" w:sz="4" w:space="10" w:color="0F4761"/>
        <w:bottom w:val="single" w:sz="4" w:space="10" w:color="0F4761"/>
      </w:pBdr>
      <w:spacing w:before="360" w:after="360"/>
      <w:ind w:left="864" w:right="864" w:hanging="0"/>
      <w:jc w:val="center"/>
    </w:pPr>
    <w:rPr>
      <w:i/>
      <w:iCs/>
      <w:color w:val="0F4761" w:themeColor="accent1" w:themeShade="bf"/>
    </w:rPr>
  </w:style>
  <w:style w:type="paragraph" w:styleId="Textoindependiente1" w:customStyle="1">
    <w:name w:val="Texto independiente1"/>
    <w:basedOn w:val="Normal"/>
    <w:next w:val="Cuerpodetexto"/>
    <w:link w:val="TextoindependienteCar"/>
    <w:qFormat/>
    <w:rsid w:val="008d59bf"/>
    <w:pPr>
      <w:spacing w:lineRule="auto" w:line="276" w:before="0" w:after="140"/>
    </w:pPr>
    <w:rPr/>
  </w:style>
  <w:style w:type="paragraph" w:styleId="Lista1" w:customStyle="1">
    <w:name w:val="Lista1"/>
    <w:basedOn w:val="Cuerpodetexto"/>
    <w:next w:val="Lista"/>
    <w:qFormat/>
    <w:rsid w:val="008d59bf"/>
    <w:pPr>
      <w:spacing w:lineRule="auto" w:line="276" w:before="0" w:after="140"/>
    </w:pPr>
    <w:rPr>
      <w:rFonts w:cs="Arial"/>
      <w:sz w:val="24"/>
      <w:szCs w:val="24"/>
    </w:rPr>
  </w:style>
  <w:style w:type="paragraph" w:styleId="Descripcin1" w:customStyle="1">
    <w:name w:val="Descripción1"/>
    <w:basedOn w:val="Normal"/>
    <w:next w:val="Caption"/>
    <w:qFormat/>
    <w:rsid w:val="008d59bf"/>
    <w:pPr>
      <w:suppressLineNumbers/>
      <w:spacing w:lineRule="auto" w:line="240" w:before="120" w:after="120"/>
    </w:pPr>
    <w:rPr>
      <w:rFonts w:cs="Arial"/>
      <w:i/>
      <w:iCs/>
      <w:sz w:val="24"/>
      <w:szCs w:val="24"/>
    </w:rPr>
  </w:style>
  <w:style w:type="paragraph" w:styleId="Textocomentario1" w:customStyle="1">
    <w:name w:val="Texto comentario1"/>
    <w:basedOn w:val="Normal"/>
    <w:next w:val="Annotationtext"/>
    <w:uiPriority w:val="99"/>
    <w:unhideWhenUsed/>
    <w:qFormat/>
    <w:rsid w:val="008d59bf"/>
    <w:pPr>
      <w:spacing w:lineRule="auto" w:line="240" w:before="0" w:after="0"/>
    </w:pPr>
    <w:rPr>
      <w:sz w:val="20"/>
      <w:szCs w:val="20"/>
    </w:rPr>
  </w:style>
  <w:style w:type="paragraph" w:styleId="Asuntodelcomentario1" w:customStyle="1">
    <w:name w:val="Asunto del comentario1"/>
    <w:basedOn w:val="Annotationtext"/>
    <w:next w:val="Annotationtext"/>
    <w:uiPriority w:val="99"/>
    <w:semiHidden/>
    <w:unhideWhenUsed/>
    <w:qFormat/>
    <w:rsid w:val="008d59bf"/>
    <w:pPr>
      <w:spacing w:before="0" w:after="0"/>
    </w:pPr>
    <w:rPr>
      <w:b/>
      <w:bCs/>
    </w:rPr>
  </w:style>
  <w:style w:type="paragraph" w:styleId="Textonotapie1" w:customStyle="1">
    <w:name w:val="Texto nota pie1"/>
    <w:basedOn w:val="Normal"/>
    <w:next w:val="Notaalpie"/>
    <w:uiPriority w:val="99"/>
    <w:semiHidden/>
    <w:unhideWhenUsed/>
    <w:qFormat/>
    <w:rsid w:val="008d59bf"/>
    <w:pPr>
      <w:numPr>
        <w:ilvl w:val="0"/>
        <w:numId w:val="1"/>
      </w:numPr>
      <w:spacing w:lineRule="auto" w:line="240" w:before="0" w:after="0"/>
    </w:pPr>
    <w:rPr>
      <w:sz w:val="20"/>
      <w:szCs w:val="20"/>
    </w:rPr>
  </w:style>
  <w:style w:type="paragraph" w:styleId="Cabeceraypie" w:customStyle="1">
    <w:name w:val="Cabecera y pie"/>
    <w:basedOn w:val="Normal"/>
    <w:qFormat/>
    <w:rsid w:val="008d59bf"/>
    <w:pPr>
      <w:spacing w:lineRule="auto" w:line="240" w:before="0" w:after="0"/>
    </w:pPr>
    <w:rPr>
      <w:sz w:val="24"/>
      <w:szCs w:val="24"/>
    </w:rPr>
  </w:style>
  <w:style w:type="paragraph" w:styleId="Encabezado1" w:customStyle="1">
    <w:name w:val="Encabezado1"/>
    <w:basedOn w:val="Normal"/>
    <w:next w:val="Cabecera"/>
    <w:uiPriority w:val="99"/>
    <w:unhideWhenUsed/>
    <w:qFormat/>
    <w:rsid w:val="008d59bf"/>
    <w:pPr>
      <w:tabs>
        <w:tab w:val="clear" w:pos="720"/>
        <w:tab w:val="center" w:pos="4252" w:leader="none"/>
        <w:tab w:val="right" w:pos="8504" w:leader="none"/>
      </w:tabs>
      <w:spacing w:lineRule="auto" w:line="240" w:before="0" w:after="0"/>
    </w:pPr>
    <w:rPr>
      <w:sz w:val="24"/>
      <w:szCs w:val="24"/>
    </w:rPr>
  </w:style>
  <w:style w:type="paragraph" w:styleId="Piedepgina1" w:customStyle="1">
    <w:name w:val="Pie de página1"/>
    <w:basedOn w:val="Normal"/>
    <w:next w:val="Piedepgina"/>
    <w:uiPriority w:val="99"/>
    <w:unhideWhenUsed/>
    <w:qFormat/>
    <w:rsid w:val="008d59bf"/>
    <w:pPr>
      <w:tabs>
        <w:tab w:val="clear" w:pos="720"/>
        <w:tab w:val="center" w:pos="4252" w:leader="none"/>
        <w:tab w:val="right" w:pos="8504" w:leader="none"/>
      </w:tabs>
      <w:spacing w:lineRule="auto" w:line="240" w:before="0" w:after="0"/>
    </w:pPr>
    <w:rPr>
      <w:sz w:val="24"/>
      <w:szCs w:val="24"/>
    </w:rPr>
  </w:style>
  <w:style w:type="paragraph" w:styleId="Listaconvietas1" w:customStyle="1">
    <w:name w:val="Lista con viñetas1"/>
    <w:basedOn w:val="Normal"/>
    <w:next w:val="ListBullet"/>
    <w:uiPriority w:val="99"/>
    <w:unhideWhenUsed/>
    <w:qFormat/>
    <w:rsid w:val="008d59bf"/>
    <w:pPr>
      <w:tabs>
        <w:tab w:val="clear" w:pos="720"/>
        <w:tab w:val="left" w:pos="360" w:leader="none"/>
      </w:tabs>
      <w:spacing w:lineRule="auto" w:line="240" w:before="0" w:after="0"/>
      <w:ind w:left="360" w:hanging="360"/>
      <w:contextualSpacing/>
    </w:pPr>
    <w:rPr>
      <w:sz w:val="24"/>
      <w:szCs w:val="24"/>
    </w:rPr>
  </w:style>
  <w:style w:type="paragraph" w:styleId="Revisin1" w:customStyle="1">
    <w:name w:val="Revisión1"/>
    <w:next w:val="Revision"/>
    <w:uiPriority w:val="99"/>
    <w:semiHidden/>
    <w:qFormat/>
    <w:rsid w:val="008d59bf"/>
    <w:pPr>
      <w:widowControl/>
      <w:suppressAutoHyphens w:val="true"/>
      <w:bidi w:val="0"/>
      <w:spacing w:before="0" w:after="0"/>
      <w:jc w:val="left"/>
    </w:pPr>
    <w:rPr>
      <w:rFonts w:ascii="Aptos" w:hAnsi="Aptos" w:eastAsia="Aptos" w:cs="Arial" w:asciiTheme="minorHAnsi" w:cstheme="minorBidi" w:eastAsiaTheme="minorHAnsi" w:hAnsiTheme="minorHAnsi"/>
      <w:color w:val="auto"/>
      <w:kern w:val="0"/>
      <w:sz w:val="24"/>
      <w:szCs w:val="24"/>
      <w:lang w:val="gl-ES" w:eastAsia="en-US" w:bidi="ar-SA"/>
    </w:rPr>
  </w:style>
  <w:style w:type="paragraph" w:styleId="Textodeglobo1" w:customStyle="1">
    <w:name w:val="Texto de globo1"/>
    <w:basedOn w:val="Normal"/>
    <w:next w:val="BalloonText"/>
    <w:link w:val="TextodegloboCar"/>
    <w:uiPriority w:val="99"/>
    <w:semiHidden/>
    <w:unhideWhenUsed/>
    <w:qFormat/>
    <w:rsid w:val="008d59bf"/>
    <w:pPr>
      <w:spacing w:lineRule="auto" w:line="240" w:before="0" w:after="0"/>
    </w:pPr>
    <w:rPr>
      <w:rFonts w:ascii="Segoe UI" w:hAnsi="Segoe UI" w:cs="Segoe UI"/>
      <w:sz w:val="18"/>
      <w:szCs w:val="18"/>
    </w:rPr>
  </w:style>
  <w:style w:type="paragraph" w:styleId="Pf0" w:customStyle="1">
    <w:name w:val="pf0"/>
    <w:basedOn w:val="Normal"/>
    <w:qFormat/>
    <w:rsid w:val="008d59bf"/>
    <w:pPr>
      <w:spacing w:lineRule="auto" w:line="240" w:beforeAutospacing="1" w:afterAutospacing="1"/>
    </w:pPr>
    <w:rPr>
      <w:rFonts w:ascii="Times New Roman" w:hAnsi="Times New Roman" w:eastAsia="Times New Roman" w:cs="Times New Roman"/>
      <w:sz w:val="24"/>
      <w:szCs w:val="24"/>
      <w:lang w:val="en-GB" w:eastAsia="en-GB"/>
    </w:rPr>
  </w:style>
  <w:style w:type="paragraph" w:styleId="Annotationtext">
    <w:name w:val="annotation text"/>
    <w:basedOn w:val="Normal"/>
    <w:link w:val="TextocomentarioCar"/>
    <w:uiPriority w:val="99"/>
    <w:semiHidden/>
    <w:unhideWhenUsed/>
    <w:qFormat/>
    <w:rsid w:val="008d59bf"/>
    <w:pPr>
      <w:spacing w:lineRule="auto" w:line="240"/>
    </w:pPr>
    <w:rPr>
      <w:sz w:val="20"/>
      <w:szCs w:val="20"/>
    </w:rPr>
  </w:style>
  <w:style w:type="paragraph" w:styleId="Annotationsubject">
    <w:name w:val="annotation subject"/>
    <w:basedOn w:val="Annotationtext"/>
    <w:next w:val="Annotationtext"/>
    <w:link w:val="AsuntodelcomentarioCar"/>
    <w:uiPriority w:val="99"/>
    <w:semiHidden/>
    <w:unhideWhenUsed/>
    <w:qFormat/>
    <w:rsid w:val="008d59bf"/>
    <w:pPr/>
    <w:rPr>
      <w:rFonts w:eastAsia="Calibri Light" w:cs="Calibri Light"/>
      <w:color w:val="2F5496"/>
    </w:rPr>
  </w:style>
  <w:style w:type="paragraph" w:styleId="Notaalpie">
    <w:name w:val="Footnote Text"/>
    <w:basedOn w:val="Normal"/>
    <w:link w:val="TextonotapieCar"/>
    <w:uiPriority w:val="99"/>
    <w:semiHidden/>
    <w:unhideWhenUsed/>
    <w:rsid w:val="008d59bf"/>
    <w:pPr>
      <w:spacing w:lineRule="auto" w:line="240" w:before="0" w:after="0"/>
    </w:pPr>
    <w:rPr>
      <w:sz w:val="20"/>
      <w:szCs w:val="20"/>
    </w:rPr>
  </w:style>
  <w:style w:type="paragraph" w:styleId="Cabecera">
    <w:name w:val="Header"/>
    <w:basedOn w:val="Normal"/>
    <w:link w:val="EncabezadoCar"/>
    <w:uiPriority w:val="99"/>
    <w:semiHidden/>
    <w:unhideWhenUsed/>
    <w:rsid w:val="008d59bf"/>
    <w:pPr>
      <w:tabs>
        <w:tab w:val="clear" w:pos="720"/>
        <w:tab w:val="center" w:pos="4252" w:leader="none"/>
        <w:tab w:val="right" w:pos="8504" w:leader="none"/>
      </w:tabs>
      <w:spacing w:lineRule="auto" w:line="240" w:before="0" w:after="0"/>
    </w:pPr>
    <w:rPr/>
  </w:style>
  <w:style w:type="paragraph" w:styleId="Piedepgina">
    <w:name w:val="Footer"/>
    <w:basedOn w:val="Normal"/>
    <w:link w:val="PiedepginaCar"/>
    <w:uiPriority w:val="99"/>
    <w:semiHidden/>
    <w:unhideWhenUsed/>
    <w:rsid w:val="008d59bf"/>
    <w:pPr>
      <w:tabs>
        <w:tab w:val="clear" w:pos="720"/>
        <w:tab w:val="center" w:pos="4252" w:leader="none"/>
        <w:tab w:val="right" w:pos="8504" w:leader="none"/>
      </w:tabs>
      <w:spacing w:lineRule="auto" w:line="240" w:before="0" w:after="0"/>
    </w:pPr>
    <w:rPr/>
  </w:style>
  <w:style w:type="paragraph" w:styleId="ListBullet">
    <w:name w:val="List Bullet"/>
    <w:basedOn w:val="Normal"/>
    <w:uiPriority w:val="99"/>
    <w:semiHidden/>
    <w:unhideWhenUsed/>
    <w:qFormat/>
    <w:rsid w:val="008d59bf"/>
    <w:pPr>
      <w:tabs>
        <w:tab w:val="clear" w:pos="720"/>
        <w:tab w:val="left" w:pos="360" w:leader="none"/>
      </w:tabs>
      <w:spacing w:before="0" w:after="160"/>
      <w:ind w:left="360" w:hanging="360"/>
      <w:contextualSpacing/>
    </w:pPr>
    <w:rPr/>
  </w:style>
  <w:style w:type="paragraph" w:styleId="Revision">
    <w:name w:val="Revision"/>
    <w:uiPriority w:val="99"/>
    <w:semiHidden/>
    <w:qFormat/>
    <w:rsid w:val="008d59bf"/>
    <w:pPr>
      <w:widowControl/>
      <w:suppressAutoHyphens w:val="true"/>
      <w:bidi w:val="0"/>
      <w:spacing w:before="0" w:after="0"/>
      <w:jc w:val="left"/>
    </w:pPr>
    <w:rPr>
      <w:rFonts w:ascii="Aptos" w:hAnsi="Aptos" w:eastAsia="Aptos" w:cs="Arial" w:asciiTheme="minorHAnsi" w:cstheme="minorBidi" w:eastAsiaTheme="minorHAnsi" w:hAnsiTheme="minorHAnsi"/>
      <w:color w:val="auto"/>
      <w:kern w:val="0"/>
      <w:sz w:val="22"/>
      <w:szCs w:val="22"/>
      <w:lang w:val="gl-ES" w:eastAsia="en-US" w:bidi="ar-SA"/>
    </w:rPr>
  </w:style>
  <w:style w:type="paragraph" w:styleId="BalloonText">
    <w:name w:val="Balloon Text"/>
    <w:basedOn w:val="Normal"/>
    <w:link w:val="TextodegloboCar1"/>
    <w:uiPriority w:val="99"/>
    <w:semiHidden/>
    <w:unhideWhenUsed/>
    <w:qFormat/>
    <w:rsid w:val="008d59bf"/>
    <w:pPr>
      <w:spacing w:lineRule="auto" w:line="240" w:before="0" w:after="0"/>
    </w:pPr>
    <w:rPr>
      <w:rFonts w:ascii="Segoe UI" w:hAnsi="Segoe UI" w:cs="Segoe UI"/>
      <w:sz w:val="18"/>
      <w:szCs w:val="18"/>
    </w:rPr>
  </w:style>
  <w:style w:type="paragraph" w:styleId="Contenidodelatabla" w:customStyle="1">
    <w:name w:val="Contenido de la tabla"/>
    <w:basedOn w:val="Normal"/>
    <w:qFormat/>
    <w:pPr>
      <w:widowControl w:val="false"/>
      <w:suppressLineNumbers/>
    </w:pPr>
    <w:rPr/>
  </w:style>
  <w:style w:type="paragraph" w:styleId="Ttulodelatabla" w:customStyle="1">
    <w:name w:val="Título de la tabla"/>
    <w:basedOn w:val="Contenidodelatabla"/>
    <w:qFormat/>
    <w:pPr>
      <w:jc w:val="center"/>
    </w:pPr>
    <w:rPr>
      <w:b/>
      <w:bCs/>
    </w:rPr>
  </w:style>
  <w:style w:type="numbering" w:styleId="NoList" w:default="1">
    <w:name w:val="No List"/>
    <w:uiPriority w:val="99"/>
    <w:semiHidden/>
    <w:unhideWhenUsed/>
    <w:qFormat/>
  </w:style>
  <w:style w:type="numbering" w:styleId="Sinlista1" w:customStyle="1">
    <w:name w:val="Sin lista1"/>
    <w:uiPriority w:val="99"/>
    <w:semiHidden/>
    <w:unhideWhenUsed/>
    <w:qFormat/>
    <w:rsid w:val="008d59bf"/>
  </w:style>
  <w:style w:type="table" w:default="1" w:styleId="Tabla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tif"/><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glossaryDocument" Target="glossary/document.xml"/><Relationship Id="rId9" Type="http://schemas.openxmlformats.org/officeDocument/2006/relationships/customXml" Target="../customXml/item1.xml"/>
</Relationships>
</file>

<file path=word/glossary/_rels/document.xml.rels><?xml version="1.0" encoding="UTF-8"?>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
</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6E8997CB-89EE-4144-A719-8403510B3EC8}"/>
      </w:docPartPr>
      <w:docPartBody>
        <w:p w:rsidR="00623D16" w:rsidRDefault="00623D16">
          <w:r w:rsidRPr="001C3DCD">
            <w:rPr>
              <w:rStyle w:val="Textodelmarcadordeposicin"/>
            </w:rPr>
            <w:t>Haga clic o pulse aquí para escribir texto.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Math">
    <w:panose1 w:val="02040503050406030204"/>
    <w:charset w:val="00"/>
    <w:family w:val="roman"/>
    <w:pitch w:val="variable"/>
    <w:sig w:usb0="E00002FF" w:usb1="42002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3D16"/>
    <w:rsid w:val="00623D1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s-ES" w:eastAsia="es-ES_tradnl"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623D16"/>
    <w:rPr>
      <w:color w:val="666666"/>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A11C1C-ED7C-4ADD-8B3C-E0523F4B0B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305</TotalTime>
  <Application>LibreOffice/7.3.2.2$Windows_X86_64 LibreOffice_project/49f2b1bff42cfccbd8f788c8dc32c1c309559be0</Application>
  <AppVersion>15.0000</AppVersion>
  <Pages>17</Pages>
  <Words>2887</Words>
  <Characters>16609</Characters>
  <CharactersWithSpaces>18745</CharactersWithSpaces>
  <Paragraphs>705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2024-05-02T15:47:00Z</dcterms:created>
  <dc:creator>Al Soufi Novo Laila</dc:creator>
  <dc:description/>
  <dc:language>en-US</dc:language>
  <cp:lastModifiedBy>Javier Costas</cp:lastModifiedBy>
  <dcterms:modified xsi:type="dcterms:W3CDTF">2024-11-08T18:09:22Z</dcterms:modified>
  <cp:revision>46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Citation Style_1">
    <vt:lpwstr>http://www.zotero.org/styles/psychological-medicine</vt:lpwstr>
  </property>
  <property fmtid="{D5CDD505-2E9C-101B-9397-08002B2CF9AE}" pid="3" name="Mendeley Document_1">
    <vt:lpwstr>True</vt:lpwstr>
  </property>
  <property fmtid="{D5CDD505-2E9C-101B-9397-08002B2CF9AE}" pid="4" name="Mendeley Recent Style Id 0_1">
    <vt:lpwstr>http://www.zotero.org/styles/american-medical-association</vt:lpwstr>
  </property>
  <property fmtid="{D5CDD505-2E9C-101B-9397-08002B2CF9AE}" pid="5" name="Mendeley Recent Style Id 1_1">
    <vt:lpwstr>http://www.zotero.org/styles/apa</vt:lpwstr>
  </property>
  <property fmtid="{D5CDD505-2E9C-101B-9397-08002B2CF9AE}" pid="6" name="Mendeley Recent Style Id 2_1">
    <vt:lpwstr>http://www.zotero.org/styles/drug-and-alcohol-dependence</vt:lpwstr>
  </property>
  <property fmtid="{D5CDD505-2E9C-101B-9397-08002B2CF9AE}" pid="7" name="Mendeley Recent Style Id 3_1">
    <vt:lpwstr>http://www.zotero.org/styles/ieee</vt:lpwstr>
  </property>
  <property fmtid="{D5CDD505-2E9C-101B-9397-08002B2CF9AE}" pid="8" name="Mendeley Recent Style Id 4_1">
    <vt:lpwstr>http://www.zotero.org/styles/modern-humanities-research-association</vt:lpwstr>
  </property>
  <property fmtid="{D5CDD505-2E9C-101B-9397-08002B2CF9AE}" pid="9" name="Mendeley Recent Style Id 5_1">
    <vt:lpwstr>http://www.zotero.org/styles/modern-language-association</vt:lpwstr>
  </property>
  <property fmtid="{D5CDD505-2E9C-101B-9397-08002B2CF9AE}" pid="10" name="Mendeley Recent Style Id 6_1">
    <vt:lpwstr>http://www.zotero.org/styles/molecular-psychiatry</vt:lpwstr>
  </property>
  <property fmtid="{D5CDD505-2E9C-101B-9397-08002B2CF9AE}" pid="11" name="Mendeley Recent Style Id 7_1">
    <vt:lpwstr>http://www.zotero.org/styles/nature</vt:lpwstr>
  </property>
  <property fmtid="{D5CDD505-2E9C-101B-9397-08002B2CF9AE}" pid="12" name="Mendeley Recent Style Id 8_1">
    <vt:lpwstr>http://www.zotero.org/styles/progress-in-neuropsychopharmacology-and-biological-psychiatry</vt:lpwstr>
  </property>
  <property fmtid="{D5CDD505-2E9C-101B-9397-08002B2CF9AE}" pid="13" name="Mendeley Recent Style Id 9_1">
    <vt:lpwstr>http://www.zotero.org/styles/psychological-medicine</vt:lpwstr>
  </property>
  <property fmtid="{D5CDD505-2E9C-101B-9397-08002B2CF9AE}" pid="14" name="Mendeley Recent Style Name 0_1">
    <vt:lpwstr>American Medical Association</vt:lpwstr>
  </property>
  <property fmtid="{D5CDD505-2E9C-101B-9397-08002B2CF9AE}" pid="15" name="Mendeley Recent Style Name 1_1">
    <vt:lpwstr>American Psychological Association 6th edition</vt:lpwstr>
  </property>
  <property fmtid="{D5CDD505-2E9C-101B-9397-08002B2CF9AE}" pid="16" name="Mendeley Recent Style Name 2_1">
    <vt:lpwstr>Drug and Alcohol Dependence</vt:lpwstr>
  </property>
  <property fmtid="{D5CDD505-2E9C-101B-9397-08002B2CF9AE}" pid="17" name="Mendeley Recent Style Name 3_1">
    <vt:lpwstr>IEEE</vt:lpwstr>
  </property>
  <property fmtid="{D5CDD505-2E9C-101B-9397-08002B2CF9AE}" pid="18" name="Mendeley Recent Style Name 4_1">
    <vt:lpwstr>Modern Humanities Research Association 3rd edition (note with bibliography)</vt:lpwstr>
  </property>
  <property fmtid="{D5CDD505-2E9C-101B-9397-08002B2CF9AE}" pid="19" name="Mendeley Recent Style Name 5_1">
    <vt:lpwstr>Modern Language Association 8th edition</vt:lpwstr>
  </property>
  <property fmtid="{D5CDD505-2E9C-101B-9397-08002B2CF9AE}" pid="20" name="Mendeley Recent Style Name 6_1">
    <vt:lpwstr>Molecular Psychiatry</vt:lpwstr>
  </property>
  <property fmtid="{D5CDD505-2E9C-101B-9397-08002B2CF9AE}" pid="21" name="Mendeley Recent Style Name 7_1">
    <vt:lpwstr>Nature</vt:lpwstr>
  </property>
  <property fmtid="{D5CDD505-2E9C-101B-9397-08002B2CF9AE}" pid="22" name="Mendeley Recent Style Name 8_1">
    <vt:lpwstr>Progress in Neuropsychopharmacology &amp; Biological Psychiatry</vt:lpwstr>
  </property>
  <property fmtid="{D5CDD505-2E9C-101B-9397-08002B2CF9AE}" pid="23" name="Mendeley Recent Style Name 9_1">
    <vt:lpwstr>Psychological Medicine</vt:lpwstr>
  </property>
  <property fmtid="{D5CDD505-2E9C-101B-9397-08002B2CF9AE}" pid="24" name="Mendeley Unique User Id_1">
    <vt:lpwstr>75e37d41-c771-3b10-8227-e9d17c0f5392</vt:lpwstr>
  </property>
</Properties>
</file>