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D3C7C9" w14:textId="500EAA29" w:rsidR="00FC27B0" w:rsidRPr="00FC27B0" w:rsidRDefault="00B47509" w:rsidP="00FC27B0">
      <w:pPr>
        <w:jc w:val="center"/>
        <w:rPr>
          <w:b/>
          <w:sz w:val="28"/>
          <w:szCs w:val="28"/>
          <w:lang w:val="en-US"/>
        </w:rPr>
      </w:pPr>
      <w:r>
        <w:rPr>
          <w:b/>
          <w:sz w:val="28"/>
          <w:szCs w:val="28"/>
          <w:lang w:val="en-US"/>
        </w:rPr>
        <w:t>Supplement</w:t>
      </w:r>
      <w:r w:rsidR="007014C1">
        <w:rPr>
          <w:b/>
          <w:sz w:val="28"/>
          <w:szCs w:val="28"/>
          <w:lang w:val="en-US"/>
        </w:rPr>
        <w:t>ary Information</w:t>
      </w:r>
      <w:r w:rsidR="0002645C">
        <w:rPr>
          <w:b/>
          <w:sz w:val="28"/>
          <w:szCs w:val="28"/>
          <w:lang w:val="en-US"/>
        </w:rPr>
        <w:t xml:space="preserve"> </w:t>
      </w:r>
      <w:r w:rsidR="00FC27B0">
        <w:rPr>
          <w:b/>
          <w:sz w:val="28"/>
          <w:szCs w:val="28"/>
          <w:lang w:val="en-US"/>
        </w:rPr>
        <w:t>for</w:t>
      </w:r>
      <w:r w:rsidR="0002645C">
        <w:rPr>
          <w:b/>
          <w:sz w:val="28"/>
          <w:szCs w:val="28"/>
          <w:lang w:val="en-US"/>
        </w:rPr>
        <w:t xml:space="preserve"> the </w:t>
      </w:r>
      <w:r w:rsidR="00FC27B0">
        <w:rPr>
          <w:b/>
          <w:sz w:val="28"/>
          <w:szCs w:val="28"/>
          <w:lang w:val="en-US"/>
        </w:rPr>
        <w:t>Paper: “</w:t>
      </w:r>
      <w:r w:rsidR="00FC27B0" w:rsidRPr="00FC27B0">
        <w:rPr>
          <w:b/>
          <w:sz w:val="28"/>
          <w:szCs w:val="28"/>
          <w:lang w:val="en-US"/>
        </w:rPr>
        <w:t>Efficacy of Cognitive Behavioral Therapy in Treating Repetitive Negative Thinking, Rumination, and Worry - A Transdiagnostic Meta-analysis.</w:t>
      </w:r>
      <w:r w:rsidR="00FC27B0">
        <w:rPr>
          <w:b/>
          <w:sz w:val="28"/>
          <w:szCs w:val="28"/>
          <w:lang w:val="en-US"/>
        </w:rPr>
        <w:t>”</w:t>
      </w:r>
    </w:p>
    <w:p w14:paraId="6E515CA5" w14:textId="18F1943D" w:rsidR="00FC27B0" w:rsidRDefault="00FC27B0" w:rsidP="00FC27B0">
      <w:pPr>
        <w:jc w:val="center"/>
        <w:rPr>
          <w:sz w:val="28"/>
          <w:szCs w:val="28"/>
          <w:lang w:val="en-US"/>
        </w:rPr>
      </w:pPr>
      <w:r>
        <w:rPr>
          <w:sz w:val="28"/>
          <w:szCs w:val="28"/>
          <w:lang w:val="en-US"/>
        </w:rPr>
        <w:t>by</w:t>
      </w:r>
    </w:p>
    <w:p w14:paraId="71C66AF4" w14:textId="1CF1804D" w:rsidR="00FC27B0" w:rsidRPr="00FC27B0" w:rsidRDefault="00FC27B0" w:rsidP="00FC27B0">
      <w:pPr>
        <w:jc w:val="center"/>
        <w:rPr>
          <w:sz w:val="28"/>
          <w:szCs w:val="28"/>
          <w:lang w:val="en-US"/>
        </w:rPr>
      </w:pPr>
      <w:r w:rsidRPr="00FC27B0">
        <w:rPr>
          <w:sz w:val="28"/>
          <w:szCs w:val="28"/>
          <w:lang w:val="en-US"/>
        </w:rPr>
        <w:t xml:space="preserve">Kilian Stenzel et al. </w:t>
      </w:r>
    </w:p>
    <w:p w14:paraId="03EAF887" w14:textId="77777777" w:rsidR="00AA5025" w:rsidRDefault="00AA5025" w:rsidP="00AA5025">
      <w:pPr>
        <w:spacing w:line="276" w:lineRule="auto"/>
        <w:jc w:val="center"/>
        <w:rPr>
          <w:b/>
          <w:sz w:val="28"/>
          <w:szCs w:val="28"/>
          <w:lang w:val="en-US"/>
        </w:rPr>
      </w:pPr>
    </w:p>
    <w:p w14:paraId="684D00AC" w14:textId="77777777" w:rsidR="00114532" w:rsidRDefault="004D503F" w:rsidP="00012821">
      <w:pPr>
        <w:spacing w:line="276" w:lineRule="auto"/>
        <w:rPr>
          <w:bCs/>
          <w:sz w:val="28"/>
          <w:szCs w:val="28"/>
          <w:lang w:val="en-US"/>
        </w:rPr>
      </w:pPr>
      <w:r>
        <w:rPr>
          <w:b/>
          <w:sz w:val="28"/>
          <w:szCs w:val="28"/>
          <w:lang w:val="en-US"/>
        </w:rPr>
        <w:t>S</w:t>
      </w:r>
      <w:r w:rsidR="007C6841">
        <w:rPr>
          <w:b/>
          <w:sz w:val="28"/>
          <w:szCs w:val="28"/>
          <w:lang w:val="en-US"/>
        </w:rPr>
        <w:t>I</w:t>
      </w:r>
      <w:r>
        <w:rPr>
          <w:b/>
          <w:sz w:val="28"/>
          <w:szCs w:val="28"/>
          <w:lang w:val="en-US"/>
        </w:rPr>
        <w:t>1</w:t>
      </w:r>
      <w:r w:rsidR="002154C7">
        <w:rPr>
          <w:b/>
          <w:sz w:val="28"/>
          <w:szCs w:val="28"/>
          <w:lang w:val="en-US"/>
        </w:rPr>
        <w:t xml:space="preserve">: </w:t>
      </w:r>
      <w:r w:rsidR="00BE442E" w:rsidRPr="001F6003">
        <w:rPr>
          <w:bCs/>
          <w:sz w:val="28"/>
          <w:szCs w:val="28"/>
          <w:lang w:val="en-US"/>
        </w:rPr>
        <w:t>Final list of search strings applied for databases</w:t>
      </w:r>
    </w:p>
    <w:p w14:paraId="23A91345" w14:textId="77777777" w:rsidR="007A6CAF" w:rsidRDefault="00647F57" w:rsidP="00655EF9">
      <w:pPr>
        <w:spacing w:line="276" w:lineRule="auto"/>
        <w:jc w:val="both"/>
        <w:rPr>
          <w:lang w:val="en-US"/>
        </w:rPr>
      </w:pPr>
      <w:r w:rsidRPr="004D0193">
        <w:rPr>
          <w:lang w:val="en-US"/>
        </w:rPr>
        <w:t xml:space="preserve">The search strategy </w:t>
      </w:r>
      <w:r>
        <w:rPr>
          <w:lang w:val="en-US"/>
        </w:rPr>
        <w:t>was</w:t>
      </w:r>
      <w:r w:rsidRPr="004D0193">
        <w:rPr>
          <w:lang w:val="en-US"/>
        </w:rPr>
        <w:t xml:space="preserve"> identical for all five databases apart from differences in controlled vocabulary which was adapted to the respective database. For example, the following search string was applied to EMBASE:</w:t>
      </w:r>
    </w:p>
    <w:p w14:paraId="40FDE948" w14:textId="21D99B90" w:rsidR="00A5091D" w:rsidRDefault="00655EF9" w:rsidP="00655EF9">
      <w:pPr>
        <w:spacing w:line="276" w:lineRule="auto"/>
        <w:jc w:val="both"/>
        <w:rPr>
          <w:lang w:val="en-US"/>
        </w:rPr>
      </w:pPr>
      <w:r w:rsidRPr="00655EF9">
        <w:rPr>
          <w:lang w:val="en-US"/>
        </w:rPr>
        <w:t xml:space="preserve">(‘psychosexual disorder’:ab,kw,ti OR ‘sexual dysfunction’:ab,kw,ti OR ‘sexual problems’:ab,kw,ti OR ‘eating disorder’:ab,kw,ti OR ‘anorexia nervosa’:ab,kw,ti OR ‘anorexia‘:ab,kw,ti OR ‘binge eating‘:ab,kw,ti OR ‘binge eating disorder’:ab,kw,ti OR ‘bulimia’:ab,kw,ti OR ‘eating pathology’:ab,kw,ti OR ‘fear’:ab,kw,ti OR ‘anxiety disorder’:ab,kw,ti OR ‘anxiety‘:ab,kw,ti OR ‘obsessive compulsive disorder’:ab,kw,ti OR ‘OCD‘:ab,kw,ti OR ‘social anxiety’:ab,kw,ti OR ‘social phobia’:ab,kw,ti OR ‘SAD‘:ab,kw,ti OR ‘Panic Disorder‘:ab,kw,ti OR ‘panic’:ab,kw,ti OR ‘PD’:ab,kw,ti OR ‘phobia‘:ab,kw,ti OR ‘agoraphobia‘:ab,kw,ti OR ‘generalized anxiety disorder‘:ab,kw,ti OR ‘generalised anxiety disorder‘:ab,kw,ti OR ‘GAD‘:ab,kw,ti OR ‘posttraumatic stress disorder‘:ab,kw,ti OR ‘post-traumatic’:ab,kw,ti OR ‘PTSD‘:ab,kw,ti OR ‘cluster B personality disorder’:ab,kw,ti OR ‘Borderline personality disorder’:ab,kw,ti OR ‘borderline state’:ab,kw,ti OR ‘Borderline’:ab,kw,ti OR ‘BPD’:ab,kw,ti OR ‘mood disorder’:ab,kw,ti OR ‘depressive disorder’:ab,kw,ti OR ‘depression’:ab,kw,ti OR ‘affective disorder’:ab,kw,ti OR ‘affective’:ab,kw,ti OR ‘depressed’:ab,kw,ti OR ‘depressive’:ab,kw,ti OR ‘major depression’:ab,kw,ti OR ‘MDD’:ab,kw,ti OR ‘dysthymia‘:ab,kw,ti OR ‘dysthymic disorder’:ab,kw,ti OR ‘bipolar disorder‘:ab,kw,ti OR ‘bipolar‘:ab,kw,ti OR ‘bipolar I disorder’:ab,kw,ti OR ‘bipolar II disorder’:ab,kw,ti OR ‘mania’:ab,kw,ti OR ‘manic’:ab,kw,ti OR ‘schizophrenia’:ab,kw,ti OR ‘schizophrenia spectrum disorder’:ab,kw,ti OR ‘psychosis’:ab,kw,ti OR ‘psychotic’:ab,kw,ti OR ‘psychotic mood disorder’:ab,kw,ti OR ‘schizotypal personality disorder’:ab,kw,ti OR ‘schizoid personality disorder’:ab,kw,ti OR ‘paranoid personality disorder’:ab,kw,ti OR ‘substance abuse’:ab,kw,ti OR ‘substance-related disorders’:ab,kw,ti OR ‘substance use disorder’:ab,kw,ti OR ‘addiction’:ab,kw,ti OR ‘drug abuse’:ab,kw,ti OR ‘drug use’:ab,kw,ti or ‘alcoholism’:ab,kw,ti OR ‘drug dependence’:ab,kw,ti OR ‘drug misuse’:ab,kw,ti OR ‘antisocial personality disorder’:ab,kw,ti OR ‘conduct disorder’:ab,kw,ti OR ‘oppositional defiant disorder’:ab,kw,ti OR ‘ADHD’:ab,kw,ti OR ‘attention deficit hyperactivity disorder’:ab,kw,ti OR ‘intermittent explosive disorder’:ab,kw,ti OR ‘narcissistic personality disorder’:ab,kw,ti OR ‘histrionic personality disorder’:ab,kw,ti OR ‘paranoid personality disorder’:ab,kw,ti OR ‘avoidant personality disorder’:ab,kw,ti OR ‘dependent personality disorder’:ab,kw,ti OR ‘histrionic personality disorder’:ab,kw,ti) AND (‘cognitive behavioral therapy’:ab,kw,ti OR ‘cognitive behaviour therapy’:ab,kw,ti OR ‘cognitive behavior therapy’:ab,kw,ti OR ‘CBT’:ab,kw,ti OR ‘cognitive </w:t>
      </w:r>
      <w:r w:rsidRPr="00655EF9">
        <w:rPr>
          <w:lang w:val="en-US"/>
        </w:rPr>
        <w:lastRenderedPageBreak/>
        <w:t>therapy‘:ab,kw,ti OR ‘cognitive treatment’:ab,kw,ti OR ‘cognitive intervention’:ab,kw,ti OR ‘Thirdwave therapies’:ab,kw,ti OR ‘Third wave cognitive behavioural therapies’:ab,kw,ti OR ‘acceptance and commitment therapy’:ab,kw,ti OR ‘ACT’:ab,kw,ti OR ‘mindfulness-based cognitive therapy’:ab,kw,ti OR ‘MBCT’:ab,kw,ti OR ‘mindfulness-based stress reduction’:ab,kw,ti OR ‘MBSR’:ab,kw,ti OR ‘rumination-focused’:ab,kw,ti OR ‘RFCBT’:ab,kw,ti OR ‘Metacognitive Therapy’:ab,kw,ti OR ‘MCT’:ab,kw,ti OR ‘dialectical behavior therapy’:ab,kw,ti OR ‘DBT’:ab,kw,ti OR ‘schema therapy’:ab,kw,ti OR ‘CBASP’:ab,kw,ti) AND (‘ruminat*’:ab,kw,ti OR ‘cognitive rumination’:ab,kw,ti OR ‘repetitive thought’:ab,kw,ti OR ‘repetitive thinking’:ab,kw,ti OR ‘recurrent thought’:ab,kw,ti OR ‘repetitive negative thinking’:ab,kw,ti OR ‘repetitive negative thought’:ab,kw,ti OR ‘RNT’:ab,kw,ti OR ‘worry’:ab,kw,ti OR ‘worrying’:ab,kw,ti OR persev*:ab,kw,ti OR ‘intrusive thought’:ab,kw,ti OR ‘intrusive thinking’:ab,kw,ti OR ‘negative thought’:ab,kw,ti OR ‘negative thinking’:ab,kw,ti OR ‘stress thought’:ab,kw,ti OR ‘stress thinking’:ab,kw,ti OR ‘obsessive thought’:ab,kw,ti OR ‘obsessive thinking’:ab,kw,ti OR ‘unconscious stress’:ab,kw,ti OR ‘implicit stress’:ab,kw,ti OR ‘anticipatory stress’:ab,kw,ti OR ‘anticipation stress’:ab,kw,ti OR ‘cognitive intrusion*’:ab,kw,ti OR reflection:ab,kw,ti OR brooding:ab,kw,ti OR ‘reflect*’:ab,kw,ti OR ‘self referential thought’:ab,kw,ti OR ‘counterfactual thinking’:ab,kw,ti OR ‘mind wandering’:ab,kw,ti OR ‘post-event processing’:ab,kw,ti OR ‘habitual negative self-thinking’:ab,kw,ti OR ‘catastrophizing’:ab,kw,ti OR ‘automatic thoughts’:ab,kw,ti OR ‘everyday thought’:ab,kw,ti OR metacogn*:ab,kw,ti) AND (‘controlled clinical trial’:ab,kw,ti OR ‘randomized controlled trial’:ab,kw,ti OR ‘randomised controlled trial’:ab,kw,ti OR ‘RCT’:ab,kw,ti OR ‘randomized’:ab,kw,ti OR ‘randomised’:ab,kw,ti) AND ([english]/lim OR [german]/lim) AND ([adult]/lim OR [aged]/lim) AND [humans]/lim</w:t>
      </w:r>
    </w:p>
    <w:p w14:paraId="2DC01CC7" w14:textId="77777777" w:rsidR="00655EF9" w:rsidRDefault="00655EF9" w:rsidP="00655EF9">
      <w:pPr>
        <w:spacing w:line="276" w:lineRule="auto"/>
        <w:jc w:val="both"/>
        <w:rPr>
          <w:lang w:val="en-US"/>
        </w:rPr>
      </w:pPr>
    </w:p>
    <w:p w14:paraId="67EB38E2" w14:textId="77777777" w:rsidR="0016523C" w:rsidRPr="00A5091D" w:rsidRDefault="00A5091D" w:rsidP="00A5091D">
      <w:pPr>
        <w:spacing w:line="276" w:lineRule="auto"/>
        <w:rPr>
          <w:bCs/>
          <w:sz w:val="28"/>
          <w:szCs w:val="28"/>
          <w:lang w:val="en-US"/>
        </w:rPr>
      </w:pPr>
      <w:r>
        <w:rPr>
          <w:b/>
          <w:sz w:val="28"/>
          <w:szCs w:val="28"/>
          <w:lang w:val="en-US"/>
        </w:rPr>
        <w:t xml:space="preserve">SI2: </w:t>
      </w:r>
      <w:r w:rsidR="008C79F2">
        <w:rPr>
          <w:bCs/>
          <w:sz w:val="28"/>
          <w:szCs w:val="28"/>
          <w:lang w:val="en-US"/>
        </w:rPr>
        <w:t>Reviews</w:t>
      </w:r>
      <w:r w:rsidR="00E02114">
        <w:rPr>
          <w:bCs/>
          <w:sz w:val="28"/>
          <w:szCs w:val="28"/>
          <w:lang w:val="en-US"/>
        </w:rPr>
        <w:t xml:space="preserve"> screened</w:t>
      </w:r>
      <w:r>
        <w:rPr>
          <w:bCs/>
          <w:sz w:val="28"/>
          <w:szCs w:val="28"/>
          <w:lang w:val="en-US"/>
        </w:rPr>
        <w:t xml:space="preserve"> </w:t>
      </w:r>
      <w:r w:rsidR="00E02114">
        <w:rPr>
          <w:bCs/>
          <w:sz w:val="28"/>
          <w:szCs w:val="28"/>
          <w:lang w:val="en-US"/>
        </w:rPr>
        <w:t xml:space="preserve">to expand study pool </w:t>
      </w:r>
    </w:p>
    <w:p w14:paraId="3D5F48B5" w14:textId="77777777" w:rsidR="0076040E" w:rsidRPr="0016523C" w:rsidRDefault="0076040E" w:rsidP="0076040E">
      <w:pPr>
        <w:pStyle w:val="ListParagraph"/>
        <w:numPr>
          <w:ilvl w:val="0"/>
          <w:numId w:val="30"/>
        </w:numPr>
        <w:spacing w:line="276" w:lineRule="auto"/>
        <w:jc w:val="both"/>
        <w:rPr>
          <w:lang w:val="en-US"/>
        </w:rPr>
      </w:pPr>
      <w:r w:rsidRPr="0016523C">
        <w:rPr>
          <w:lang w:val="en-US"/>
        </w:rPr>
        <w:fldChar w:fldCharType="begin"/>
      </w:r>
      <w:r w:rsidRPr="0016523C">
        <w:rPr>
          <w:lang w:val="en-US"/>
        </w:rPr>
        <w:instrText xml:space="preserve"> ADDIN ZOTERO_BIBL {"uncited":[],"omitted":[],"custom":[]} CSL_BIBLIOGRAPHY </w:instrText>
      </w:r>
      <w:r w:rsidRPr="0016523C">
        <w:rPr>
          <w:lang w:val="en-US"/>
        </w:rPr>
        <w:fldChar w:fldCharType="separate"/>
      </w:r>
      <w:r w:rsidRPr="0016523C">
        <w:rPr>
          <w:lang w:val="en-US"/>
        </w:rPr>
        <w:t xml:space="preserve">Bell, I. H., Marx, W., Nguyen, K., Grace, S., Gleeson, J., &amp; Alvarez-Jimenez, M. (2023). The effect of psychological treatment on repetitive negative thinking in youth depression and anxiety: A meta-analysis and meta-regression. </w:t>
      </w:r>
      <w:r w:rsidRPr="0016523C">
        <w:rPr>
          <w:i/>
          <w:iCs/>
          <w:lang w:val="en-US"/>
        </w:rPr>
        <w:t>Psychological Medicine</w:t>
      </w:r>
      <w:r w:rsidRPr="0016523C">
        <w:rPr>
          <w:lang w:val="en-US"/>
        </w:rPr>
        <w:t xml:space="preserve">, </w:t>
      </w:r>
      <w:r w:rsidRPr="0016523C">
        <w:rPr>
          <w:i/>
          <w:iCs/>
          <w:lang w:val="en-US"/>
        </w:rPr>
        <w:t>53</w:t>
      </w:r>
      <w:r w:rsidRPr="0016523C">
        <w:rPr>
          <w:lang w:val="en-US"/>
        </w:rPr>
        <w:t>(1), 6–16. https://doi.org/10.1017/S0033291722003373</w:t>
      </w:r>
    </w:p>
    <w:p w14:paraId="0B751FE0" w14:textId="77777777" w:rsidR="0076040E" w:rsidRPr="0016523C" w:rsidRDefault="0076040E" w:rsidP="0076040E">
      <w:pPr>
        <w:pStyle w:val="ListParagraph"/>
        <w:numPr>
          <w:ilvl w:val="0"/>
          <w:numId w:val="30"/>
        </w:numPr>
        <w:spacing w:line="276" w:lineRule="auto"/>
        <w:jc w:val="both"/>
        <w:rPr>
          <w:lang w:val="en-US"/>
        </w:rPr>
      </w:pPr>
      <w:r w:rsidRPr="0016523C">
        <w:rPr>
          <w:lang w:val="en-US"/>
        </w:rPr>
        <w:t xml:space="preserve">Covin, R., Ouimet, A. J., Seeds, P. M., &amp; Dozois, D. J. A. (2008). A meta-analysis of CBT for pathological worry among clients with GAD. </w:t>
      </w:r>
      <w:r w:rsidRPr="0016523C">
        <w:rPr>
          <w:i/>
          <w:iCs/>
          <w:lang w:val="en-US"/>
        </w:rPr>
        <w:t>Journal of Anxiety Disorders</w:t>
      </w:r>
      <w:r w:rsidRPr="0016523C">
        <w:rPr>
          <w:lang w:val="en-US"/>
        </w:rPr>
        <w:t xml:space="preserve">, </w:t>
      </w:r>
      <w:r w:rsidRPr="0016523C">
        <w:rPr>
          <w:i/>
          <w:iCs/>
          <w:lang w:val="en-US"/>
        </w:rPr>
        <w:t>22</w:t>
      </w:r>
      <w:r w:rsidRPr="0016523C">
        <w:rPr>
          <w:lang w:val="en-US"/>
        </w:rPr>
        <w:t>(1), 108–116. https://doi.org/10.1016/j.janxdis.2007.01.002</w:t>
      </w:r>
    </w:p>
    <w:p w14:paraId="275478DE" w14:textId="77777777" w:rsidR="0076040E" w:rsidRPr="0016523C" w:rsidRDefault="0076040E" w:rsidP="0076040E">
      <w:pPr>
        <w:pStyle w:val="ListParagraph"/>
        <w:numPr>
          <w:ilvl w:val="0"/>
          <w:numId w:val="30"/>
        </w:numPr>
        <w:spacing w:line="276" w:lineRule="auto"/>
        <w:jc w:val="both"/>
        <w:rPr>
          <w:lang w:val="en-US"/>
        </w:rPr>
      </w:pPr>
      <w:r w:rsidRPr="0016523C">
        <w:rPr>
          <w:lang w:val="en-US"/>
        </w:rPr>
        <w:t xml:space="preserve">Hall, J., Kellett, S., Berrios, R., Bains, M. K., &amp; Scott, S. (2016). Efficacy of Cognitive Behavioral Therapy for Generalized Anxiety Disorder in Older Adults: Systematic Review, Meta-Analysis, and Meta-Regression. </w:t>
      </w:r>
      <w:r w:rsidRPr="0016523C">
        <w:rPr>
          <w:i/>
          <w:iCs/>
          <w:lang w:val="en-US"/>
        </w:rPr>
        <w:t>The American Journal of Geriatric Psychiatry</w:t>
      </w:r>
      <w:r w:rsidRPr="0016523C">
        <w:rPr>
          <w:lang w:val="en-US"/>
        </w:rPr>
        <w:t xml:space="preserve">, </w:t>
      </w:r>
      <w:r w:rsidRPr="0016523C">
        <w:rPr>
          <w:i/>
          <w:iCs/>
          <w:lang w:val="en-US"/>
        </w:rPr>
        <w:t>24</w:t>
      </w:r>
      <w:r w:rsidRPr="0016523C">
        <w:rPr>
          <w:lang w:val="en-US"/>
        </w:rPr>
        <w:t>(11), 1063–1073. https://doi.org/10.1016/j.jagp.2016.06.006</w:t>
      </w:r>
    </w:p>
    <w:p w14:paraId="6EADA1BB" w14:textId="77777777" w:rsidR="0076040E" w:rsidRPr="0016523C" w:rsidRDefault="0076040E" w:rsidP="0076040E">
      <w:pPr>
        <w:pStyle w:val="ListParagraph"/>
        <w:numPr>
          <w:ilvl w:val="0"/>
          <w:numId w:val="30"/>
        </w:numPr>
        <w:spacing w:line="276" w:lineRule="auto"/>
        <w:jc w:val="both"/>
        <w:rPr>
          <w:lang w:val="en-US"/>
        </w:rPr>
      </w:pPr>
      <w:r w:rsidRPr="0016523C">
        <w:rPr>
          <w:lang w:val="en-US"/>
        </w:rPr>
        <w:t xml:space="preserve">Hanrahan, F., Field, A. P., Jones, F. W., &amp; Davey, G. C. L. (2013). A meta-analysis of cognitive therapy for worry in generalized anxiety disorder. </w:t>
      </w:r>
      <w:r w:rsidRPr="0016523C">
        <w:rPr>
          <w:i/>
          <w:iCs/>
          <w:lang w:val="en-US"/>
        </w:rPr>
        <w:t>Clinical Psychology Review</w:t>
      </w:r>
      <w:r w:rsidRPr="0016523C">
        <w:rPr>
          <w:lang w:val="en-US"/>
        </w:rPr>
        <w:t xml:space="preserve">, </w:t>
      </w:r>
      <w:r w:rsidRPr="0016523C">
        <w:rPr>
          <w:i/>
          <w:iCs/>
          <w:lang w:val="en-US"/>
        </w:rPr>
        <w:t>33</w:t>
      </w:r>
      <w:r w:rsidRPr="0016523C">
        <w:rPr>
          <w:lang w:val="en-US"/>
        </w:rPr>
        <w:t>(1), 120–132. https://doi.org/10.1016/j.cpr.2012.10.008</w:t>
      </w:r>
    </w:p>
    <w:p w14:paraId="16226EE8" w14:textId="77777777" w:rsidR="0076040E" w:rsidRPr="0016523C" w:rsidRDefault="0076040E" w:rsidP="0076040E">
      <w:pPr>
        <w:pStyle w:val="ListParagraph"/>
        <w:numPr>
          <w:ilvl w:val="0"/>
          <w:numId w:val="30"/>
        </w:numPr>
        <w:spacing w:line="276" w:lineRule="auto"/>
        <w:jc w:val="both"/>
        <w:rPr>
          <w:lang w:val="en-US"/>
        </w:rPr>
      </w:pPr>
      <w:r w:rsidRPr="001A65C1">
        <w:rPr>
          <w:lang w:val="en-US"/>
        </w:rPr>
        <w:lastRenderedPageBreak/>
        <w:t xml:space="preserve">Li, P., Mao, L., Hu, M., Lu, Z., Yuan, X., Zhang, Y., &amp; Hu, Z. (2022). </w:t>
      </w:r>
      <w:r w:rsidRPr="0016523C">
        <w:rPr>
          <w:lang w:val="en-US"/>
        </w:rPr>
        <w:t xml:space="preserve">Mindfulness on Rumination in Patients with Depressive Disorder: A Systematic Review and Meta-Analysis of Randomized Controlled Trials. </w:t>
      </w:r>
      <w:r w:rsidRPr="0016523C">
        <w:rPr>
          <w:i/>
          <w:iCs/>
          <w:lang w:val="en-US"/>
        </w:rPr>
        <w:t>Int. J. Environ. Res. Public Health</w:t>
      </w:r>
      <w:r w:rsidRPr="0016523C">
        <w:rPr>
          <w:lang w:val="en-US"/>
        </w:rPr>
        <w:t>. https://doi.org/10.3390/ijerph192316101</w:t>
      </w:r>
    </w:p>
    <w:p w14:paraId="42058A61" w14:textId="77777777" w:rsidR="0076040E" w:rsidRPr="0016523C" w:rsidRDefault="0076040E" w:rsidP="0076040E">
      <w:pPr>
        <w:pStyle w:val="ListParagraph"/>
        <w:numPr>
          <w:ilvl w:val="0"/>
          <w:numId w:val="30"/>
        </w:numPr>
        <w:spacing w:line="276" w:lineRule="auto"/>
        <w:jc w:val="both"/>
        <w:rPr>
          <w:lang w:val="en-US"/>
        </w:rPr>
      </w:pPr>
      <w:r w:rsidRPr="0016523C">
        <w:rPr>
          <w:lang w:val="en-US"/>
        </w:rPr>
        <w:t xml:space="preserve">Mao, L., Li, P., Wu, Y., Luo, L., &amp; Hu, M. (2023). The effectiveness of mindfulness-based interventions for ruminative thinking: A systematic review and meta-analysis of randomized controlled trials. </w:t>
      </w:r>
      <w:r w:rsidRPr="0016523C">
        <w:rPr>
          <w:i/>
          <w:iCs/>
          <w:lang w:val="en-US"/>
        </w:rPr>
        <w:t>Journal of Affective Disorders</w:t>
      </w:r>
      <w:r w:rsidRPr="0016523C">
        <w:rPr>
          <w:lang w:val="en-US"/>
        </w:rPr>
        <w:t xml:space="preserve">, </w:t>
      </w:r>
      <w:r w:rsidRPr="0016523C">
        <w:rPr>
          <w:i/>
          <w:iCs/>
          <w:lang w:val="en-US"/>
        </w:rPr>
        <w:t>321</w:t>
      </w:r>
      <w:r w:rsidRPr="0016523C">
        <w:rPr>
          <w:lang w:val="en-US"/>
        </w:rPr>
        <w:t>, 83–95. https://doi.org/10.1016/j.jad.2022.10.022</w:t>
      </w:r>
    </w:p>
    <w:p w14:paraId="699A8BBE" w14:textId="77777777" w:rsidR="0076040E" w:rsidRPr="0016523C" w:rsidRDefault="0076040E" w:rsidP="0076040E">
      <w:pPr>
        <w:pStyle w:val="ListParagraph"/>
        <w:numPr>
          <w:ilvl w:val="0"/>
          <w:numId w:val="30"/>
        </w:numPr>
        <w:spacing w:line="276" w:lineRule="auto"/>
        <w:jc w:val="both"/>
        <w:rPr>
          <w:lang w:val="en-US"/>
        </w:rPr>
      </w:pPr>
      <w:r w:rsidRPr="0016523C">
        <w:rPr>
          <w:lang w:val="en-US"/>
        </w:rPr>
        <w:t xml:space="preserve">Monteregge, S., Tsagkalidou, A., Cuijpers, P., &amp; Spinhoven, P. (2020). The effects of different types of treatment for anxiety on repetitive negative thinking: A meta‐analysis. </w:t>
      </w:r>
      <w:r w:rsidRPr="0016523C">
        <w:rPr>
          <w:i/>
          <w:iCs/>
          <w:lang w:val="en-US"/>
        </w:rPr>
        <w:t>Clinical Psychology: Science and Practice</w:t>
      </w:r>
      <w:r w:rsidRPr="0016523C">
        <w:rPr>
          <w:lang w:val="en-US"/>
        </w:rPr>
        <w:t xml:space="preserve">, </w:t>
      </w:r>
      <w:r w:rsidRPr="0016523C">
        <w:rPr>
          <w:i/>
          <w:iCs/>
          <w:lang w:val="en-US"/>
        </w:rPr>
        <w:t>27</w:t>
      </w:r>
      <w:r w:rsidRPr="0016523C">
        <w:rPr>
          <w:lang w:val="en-US"/>
        </w:rPr>
        <w:t>(2). https://doi.org/10.1111/cpsp.12316</w:t>
      </w:r>
    </w:p>
    <w:p w14:paraId="68EFF66D" w14:textId="77777777" w:rsidR="0076040E" w:rsidRPr="0016523C" w:rsidRDefault="0076040E" w:rsidP="0076040E">
      <w:pPr>
        <w:pStyle w:val="ListParagraph"/>
        <w:numPr>
          <w:ilvl w:val="0"/>
          <w:numId w:val="30"/>
        </w:numPr>
        <w:spacing w:line="276" w:lineRule="auto"/>
        <w:jc w:val="both"/>
        <w:rPr>
          <w:lang w:val="en-US"/>
        </w:rPr>
      </w:pPr>
      <w:r w:rsidRPr="0016523C">
        <w:rPr>
          <w:lang w:val="en-US"/>
        </w:rPr>
        <w:t xml:space="preserve">Olatunji, B. O., Davis, M. L., Powers, M. B., &amp; Smits, J. A. J. (2013). Cognitive-behavioral therapy for obsessive-compulsive disorder: A meta-analysis of treatment outcome and moderators. </w:t>
      </w:r>
      <w:r w:rsidRPr="0016523C">
        <w:rPr>
          <w:i/>
          <w:iCs/>
          <w:lang w:val="en-US"/>
        </w:rPr>
        <w:t>Journal of Psychiatric Research</w:t>
      </w:r>
      <w:r w:rsidRPr="0016523C">
        <w:rPr>
          <w:lang w:val="en-US"/>
        </w:rPr>
        <w:t xml:space="preserve">, </w:t>
      </w:r>
      <w:r w:rsidRPr="0016523C">
        <w:rPr>
          <w:i/>
          <w:iCs/>
          <w:lang w:val="en-US"/>
        </w:rPr>
        <w:t>47</w:t>
      </w:r>
      <w:r w:rsidRPr="0016523C">
        <w:rPr>
          <w:lang w:val="en-US"/>
        </w:rPr>
        <w:t>(1), 33–41. https://doi.org/10.1016/j.jpsychires.2012.08.020</w:t>
      </w:r>
    </w:p>
    <w:p w14:paraId="58CD9DD8" w14:textId="77777777" w:rsidR="0076040E" w:rsidRPr="0016523C" w:rsidRDefault="0076040E" w:rsidP="0076040E">
      <w:pPr>
        <w:pStyle w:val="ListParagraph"/>
        <w:numPr>
          <w:ilvl w:val="0"/>
          <w:numId w:val="30"/>
        </w:numPr>
        <w:spacing w:line="276" w:lineRule="auto"/>
        <w:jc w:val="both"/>
        <w:rPr>
          <w:lang w:val="en-US"/>
        </w:rPr>
      </w:pPr>
      <w:r w:rsidRPr="0016523C">
        <w:rPr>
          <w:lang w:val="en-US"/>
        </w:rPr>
        <w:t xml:space="preserve">Perestelo-Perez, L., Barraca, J., Peñate, W., Rivero-Santana, A., &amp; Alvarez-Perez, Y. (2017). Mindfulness-based interventions for the treatment of depressive rumination: Systematic review and meta-analysis. </w:t>
      </w:r>
      <w:r w:rsidRPr="0016523C">
        <w:rPr>
          <w:i/>
          <w:iCs/>
          <w:lang w:val="en-US"/>
        </w:rPr>
        <w:t>International Journal of Clinical and Health Psychology</w:t>
      </w:r>
      <w:r w:rsidRPr="0016523C">
        <w:rPr>
          <w:lang w:val="en-US"/>
        </w:rPr>
        <w:t xml:space="preserve">, </w:t>
      </w:r>
      <w:r w:rsidRPr="0016523C">
        <w:rPr>
          <w:i/>
          <w:iCs/>
          <w:lang w:val="en-US"/>
        </w:rPr>
        <w:t>17</w:t>
      </w:r>
      <w:r w:rsidRPr="0016523C">
        <w:rPr>
          <w:lang w:val="en-US"/>
        </w:rPr>
        <w:t>(3), 282–295. https://doi.org/10.1016/j.ijchp.2017.07.004</w:t>
      </w:r>
    </w:p>
    <w:p w14:paraId="632D5709" w14:textId="77777777" w:rsidR="0076040E" w:rsidRPr="0016523C" w:rsidRDefault="0076040E" w:rsidP="0076040E">
      <w:pPr>
        <w:pStyle w:val="ListParagraph"/>
        <w:numPr>
          <w:ilvl w:val="0"/>
          <w:numId w:val="30"/>
        </w:numPr>
        <w:spacing w:line="276" w:lineRule="auto"/>
        <w:jc w:val="both"/>
        <w:rPr>
          <w:lang w:val="en-US"/>
        </w:rPr>
      </w:pPr>
      <w:r w:rsidRPr="0016523C">
        <w:rPr>
          <w:lang w:val="en-US"/>
        </w:rPr>
        <w:t xml:space="preserve">Spinhoven, P., Klein, N., Kennis, M., Cramer, A. O. J., Siegle, G., Cuijpers, P., Ormel, J., Hollon, S. D., &amp; Bockting, C. L. (2018). The effects of cognitive-behavior therapy for depression on repetitive negative thinking: A meta-analysis. </w:t>
      </w:r>
      <w:r w:rsidRPr="0016523C">
        <w:rPr>
          <w:i/>
          <w:iCs/>
          <w:lang w:val="en-US"/>
        </w:rPr>
        <w:t>Behaviour Research and Therapy</w:t>
      </w:r>
      <w:r w:rsidRPr="0016523C">
        <w:rPr>
          <w:lang w:val="en-US"/>
        </w:rPr>
        <w:t xml:space="preserve">, </w:t>
      </w:r>
      <w:r w:rsidRPr="0016523C">
        <w:rPr>
          <w:i/>
          <w:iCs/>
          <w:lang w:val="en-US"/>
        </w:rPr>
        <w:t>106</w:t>
      </w:r>
      <w:r w:rsidRPr="0016523C">
        <w:rPr>
          <w:lang w:val="en-US"/>
        </w:rPr>
        <w:t>, 71–85. https://doi.org/10.1016/j.brat.2018.04.002</w:t>
      </w:r>
    </w:p>
    <w:p w14:paraId="0B062926" w14:textId="16C07C4B" w:rsidR="00C502A3" w:rsidRDefault="0076040E" w:rsidP="009B25B7">
      <w:pPr>
        <w:spacing w:line="276" w:lineRule="auto"/>
        <w:jc w:val="both"/>
        <w:rPr>
          <w:lang w:val="en-US"/>
        </w:rPr>
      </w:pPr>
      <w:r w:rsidRPr="0016523C">
        <w:rPr>
          <w:lang w:val="en-US"/>
        </w:rPr>
        <w:fldChar w:fldCharType="end"/>
      </w:r>
    </w:p>
    <w:p w14:paraId="06655D51" w14:textId="2F869AA2" w:rsidR="003D5230" w:rsidRPr="00FA7717" w:rsidRDefault="00561BF3" w:rsidP="00012821">
      <w:pPr>
        <w:spacing w:line="276" w:lineRule="auto"/>
        <w:rPr>
          <w:sz w:val="28"/>
          <w:szCs w:val="28"/>
          <w:lang w:val="en-US"/>
        </w:rPr>
      </w:pPr>
      <w:r w:rsidRPr="00561BF3">
        <w:rPr>
          <w:b/>
          <w:bCs/>
          <w:sz w:val="28"/>
          <w:szCs w:val="28"/>
          <w:lang w:val="en-US"/>
        </w:rPr>
        <w:t>S</w:t>
      </w:r>
      <w:r w:rsidR="007C6841">
        <w:rPr>
          <w:b/>
          <w:bCs/>
          <w:sz w:val="28"/>
          <w:szCs w:val="28"/>
          <w:lang w:val="en-US"/>
        </w:rPr>
        <w:t>I</w:t>
      </w:r>
      <w:r w:rsidR="00055480">
        <w:rPr>
          <w:b/>
          <w:bCs/>
          <w:sz w:val="28"/>
          <w:szCs w:val="28"/>
          <w:lang w:val="en-US"/>
        </w:rPr>
        <w:t>3</w:t>
      </w:r>
      <w:r w:rsidRPr="00561BF3">
        <w:rPr>
          <w:b/>
          <w:bCs/>
          <w:sz w:val="28"/>
          <w:szCs w:val="28"/>
          <w:lang w:val="en-US"/>
        </w:rPr>
        <w:t xml:space="preserve">: </w:t>
      </w:r>
      <w:r w:rsidR="003D5230" w:rsidRPr="00FA7717">
        <w:rPr>
          <w:sz w:val="28"/>
          <w:szCs w:val="28"/>
          <w:lang w:val="en-US"/>
        </w:rPr>
        <w:t xml:space="preserve">Full </w:t>
      </w:r>
      <w:r w:rsidR="0016523C">
        <w:rPr>
          <w:sz w:val="28"/>
          <w:szCs w:val="28"/>
          <w:lang w:val="en-US"/>
        </w:rPr>
        <w:t>l</w:t>
      </w:r>
      <w:r w:rsidR="003D5230" w:rsidRPr="00FA7717">
        <w:rPr>
          <w:sz w:val="28"/>
          <w:szCs w:val="28"/>
          <w:lang w:val="en-US"/>
        </w:rPr>
        <w:t xml:space="preserve">ist of </w:t>
      </w:r>
      <w:r w:rsidR="00E25A4B" w:rsidRPr="00FA7717">
        <w:rPr>
          <w:sz w:val="28"/>
          <w:szCs w:val="28"/>
          <w:lang w:val="en-US"/>
        </w:rPr>
        <w:t>outcome</w:t>
      </w:r>
      <w:r w:rsidR="003D5230" w:rsidRPr="00FA7717">
        <w:rPr>
          <w:sz w:val="28"/>
          <w:szCs w:val="28"/>
          <w:lang w:val="en-US"/>
        </w:rPr>
        <w:t xml:space="preserve"> </w:t>
      </w:r>
      <w:r w:rsidR="00E25A4B" w:rsidRPr="00FA7717">
        <w:rPr>
          <w:sz w:val="28"/>
          <w:szCs w:val="28"/>
          <w:lang w:val="en-US"/>
        </w:rPr>
        <w:t>measures</w:t>
      </w:r>
      <w:r w:rsidR="003D5230" w:rsidRPr="00FA7717">
        <w:rPr>
          <w:sz w:val="28"/>
          <w:szCs w:val="28"/>
          <w:lang w:val="en-US"/>
        </w:rPr>
        <w:t xml:space="preserve"> </w:t>
      </w:r>
      <w:r w:rsidR="00552A54">
        <w:rPr>
          <w:sz w:val="28"/>
          <w:szCs w:val="28"/>
          <w:lang w:val="en-US"/>
        </w:rPr>
        <w:t xml:space="preserve">and references </w:t>
      </w:r>
      <w:r w:rsidR="003D5230" w:rsidRPr="00FA7717">
        <w:rPr>
          <w:sz w:val="28"/>
          <w:szCs w:val="28"/>
          <w:lang w:val="en-US"/>
        </w:rPr>
        <w:t xml:space="preserve">included in </w:t>
      </w:r>
      <w:r w:rsidR="00FA7717">
        <w:rPr>
          <w:sz w:val="28"/>
          <w:szCs w:val="28"/>
          <w:lang w:val="en-US"/>
        </w:rPr>
        <w:t xml:space="preserve">the </w:t>
      </w:r>
      <w:r w:rsidR="003D5230" w:rsidRPr="00FA7717">
        <w:rPr>
          <w:sz w:val="28"/>
          <w:szCs w:val="28"/>
          <w:lang w:val="en-US"/>
        </w:rPr>
        <w:t>search</w:t>
      </w:r>
    </w:p>
    <w:p w14:paraId="79B99CFA" w14:textId="77777777" w:rsidR="00FF54C4" w:rsidRDefault="003D5230" w:rsidP="00655EF9">
      <w:pPr>
        <w:spacing w:line="276" w:lineRule="auto"/>
        <w:jc w:val="both"/>
      </w:pPr>
      <w:r w:rsidRPr="00A93C21">
        <w:t xml:space="preserve">We considered transdiagnostic RNT as measured by the following instruments: </w:t>
      </w:r>
      <w:r>
        <w:t xml:space="preserve">(1) </w:t>
      </w:r>
      <w:r w:rsidRPr="00A93C21">
        <w:t xml:space="preserve">Perseverative Thinking Questionnaire (PTQ; </w:t>
      </w:r>
      <w:r w:rsidRPr="00A93C21">
        <w:fldChar w:fldCharType="begin"/>
      </w:r>
      <w:r w:rsidRPr="00A93C21">
        <w:instrText xml:space="preserve"> ADDIN ZOTERO_ITEM CSL_CITATION {"citationID":"arsrJB5H","properties":{"formattedCitation":"(Ehring et al., 2011)","plainCitation":"(Ehring et al., 2011)","dontUpdate":true,"noteIndex":0},"citationItems":[{"id":7223,"uris":["http://zotero.org/users/6457224/items/3CFEVEK3"],"itemData":{"id":7223,"type":"article-journal","abstract":"Repetitive negative thinking (RNT) has been found to be involved in the maintenance of several types of emotional problems and has therefore been suggested to be a transdiagnostic process. However, existing measures of RNT typically focus on a particular disorder-specific content. In this article, the preliminary validation of a content-independent self-report questionnaire of RNT is presented. The 15-item Perseverative Thinking Questionnaire was evaluated in two studies (total N = 1832), comprising non-clinical as well as clinical participants. Results of confirmatory factor analyses across samples supported a second-order model with one higher-order factor representing RNT in general and three lower-order factors representing (1) the core characteristics of RNT (repetitiveness, intrusiveness, difficulties with disengagement), (2) perceived unproductiveness of RNT and (3) RNT capturing mental capacity. High internal consistencies and high re-test reliability were found for the total scale and all three subscales. The validity of the Perseverative Thinking Questionnaire was supported by substantial correlations with existing measures of RNT and associations with symptom levels and clinical diagnoses of depression and anxiety. Results suggest the usefulness of the new measure for research into RNT as a transdiagnostic process., ► The new questionnaire (PTQ) is a content-independent measures of repetitive negative thinking. ► The PTQ shows good reliability and validity. ► The factor structure is stable across samples. ► The PTQ enables the investigation of repetitive negative thinking across disorders.","container-title":"Journal of Behavior Therapy and Experimental Psychiatry","DOI":"10.1016/j.jbtep.2010.12.003","ISSN":"0005-7916","issue":"2","journalAbbreviation":"J Behav Ther Exp Psychiatry","note":"PMID: 21315886\nPMCID: PMC3042595","page":"225-232","source":"PubMed Central","title":"The Perseverative Thinking Questionnaire (PTQ): Validation of a content-independent measure of repetitive negative thinking","title-short":"The Perseverative Thinking Questionnaire (PTQ)","volume":"42","author":[{"family":"Ehring","given":"Thomas"},{"family":"Zetsche","given":"Ulrike"},{"family":"Weidacker","given":"Kathrin"},{"family":"Wahl","given":"Karina"},{"family":"Schönfeld","given":"Sabine"},{"family":"Ehlers","given":"Anke"}],"issued":{"date-parts":[["2011",6]]}}}],"schema":"https://github.com/citation-style-language/schema/raw/master/csl-citation.json"} </w:instrText>
      </w:r>
      <w:r w:rsidRPr="00A93C21">
        <w:fldChar w:fldCharType="separate"/>
      </w:r>
      <w:r w:rsidRPr="00A93C21">
        <w:t>Ehring et al., 2011)</w:t>
      </w:r>
      <w:r w:rsidRPr="00A93C21">
        <w:fldChar w:fldCharType="end"/>
      </w:r>
      <w:r>
        <w:t xml:space="preserve"> </w:t>
      </w:r>
      <w:r w:rsidRPr="00A93C21">
        <w:t xml:space="preserve">and </w:t>
      </w:r>
      <w:r>
        <w:t xml:space="preserve">(2) </w:t>
      </w:r>
      <w:r w:rsidRPr="00A93C21">
        <w:t>the Repetitive Thinking Questionnaire (RTQ)</w:t>
      </w:r>
      <w:r w:rsidR="00FF54C4">
        <w:t xml:space="preserve"> </w:t>
      </w:r>
      <w:r w:rsidR="00FF54C4" w:rsidRPr="00A93C21">
        <w:t xml:space="preserve">as well as its short version (RTQ-10; </w:t>
      </w:r>
      <w:r w:rsidR="00FF54C4" w:rsidRPr="00A93C21">
        <w:fldChar w:fldCharType="begin"/>
      </w:r>
      <w:r w:rsidR="001E1418">
        <w:instrText xml:space="preserve"> ADDIN ZOTERO_ITEM CSL_CITATION {"citationID":"hVm5SMLT","properties":{"formattedCitation":"(McEvoy et al., 2010)","plainCitation":"(McEvoy et al., 2010)","dontUpdate":true,"noteIndex":0},"citationItems":[{"id":7810,"uris":["http://zotero.org/users/6457224/items/HFGF3Y7W","http://zotero.org/users/6457224/items/EN5NZQ7S"],"itemData":{"id":7810,"type":"article-journal","abstract":"Accumulating evidence suggests that repetitive negative thinking (RNT) is a transdiagnostic phenomenon. However, various forms of RNT such as worry, rumination, and post-event processing have been assessed using separate measures and have almost exclusively been examined within the anxiety, depression, and social phobia literatures, respectively. A single transdiagnostic measure of RNT would facilitate the identiﬁcation of transdiagnostic maintaining factors of RNT, and would be more efﬁcient than administering separate measures for each disorder. Items from three existing measures of RNT were modiﬁed to remove diagnosis-speciﬁc content and administered to a sample of undergraduate students (N = 284). Exploratory factor analysis yielded two factors labeled Repetitive Negative Thinking and Absence of Repetitive Thinking (ART). The RNT scale demonstrated high internal reliability and was associated with anxiety, depression, anger, shame, and general distress. Moreover, the RNT scale was associated with constructs that are theoretically related to engagement in RNT, including positive and negative metacognitions, cognitive avoidance, thought suppression, and thought control strategies. The ART scale had little predictive utility. Theoretical and clinical implications are discussed.","container-title":"Journal of Anxiety Disorders","DOI":"10.1016/j.janxdis.2010.03.008","ISSN":"08876185","issue":"5","journalAbbreviation":"Journal of Anxiety Disorders","language":"en","page":"509-519","source":"DOI.org (Crossref)","title":"Are worry, rumination, and post-event processing one and the same?","volume":"24","author":[{"family":"McEvoy","given":"Peter M."},{"family":"Mahoney","given":"Alison E.J."},{"family":"Moulds","given":"Michelle L."}],"issued":{"date-parts":[["2010",6]]}}}],"schema":"https://github.com/citation-style-language/schema/raw/master/csl-citation.json"} </w:instrText>
      </w:r>
      <w:r w:rsidR="00FF54C4" w:rsidRPr="00A93C21">
        <w:fldChar w:fldCharType="separate"/>
      </w:r>
      <w:r w:rsidR="00FF54C4" w:rsidRPr="00A93C21">
        <w:t>McEvoy et al., 2010)</w:t>
      </w:r>
      <w:r w:rsidR="00FF54C4" w:rsidRPr="00A93C21">
        <w:fldChar w:fldCharType="end"/>
      </w:r>
      <w:r w:rsidRPr="00A93C21">
        <w:t>.</w:t>
      </w:r>
      <w:r>
        <w:t xml:space="preserve"> </w:t>
      </w:r>
    </w:p>
    <w:p w14:paraId="60C817A2" w14:textId="75A40847" w:rsidR="00FF54C4" w:rsidRDefault="003D5230" w:rsidP="003D5230">
      <w:pPr>
        <w:spacing w:line="276" w:lineRule="auto"/>
        <w:jc w:val="both"/>
      </w:pPr>
      <w:r w:rsidRPr="00A93C21">
        <w:t xml:space="preserve">We considered rumination as measured by the following instruments: (1) Ruminative Response Scale (RRS) from the Response Styles Questionnaire (RSQ; </w:t>
      </w:r>
      <w:r w:rsidRPr="00A93C21">
        <w:fldChar w:fldCharType="begin"/>
      </w:r>
      <w:r w:rsidRPr="00A93C21">
        <w:instrText xml:space="preserve"> ADDIN ZOTERO_ITEM CSL_CITATION {"citationID":"lJveFOgP","properties":{"formattedCitation":"(Nolen-Hoeksema &amp; Morrow, 1991)","plainCitation":"(Nolen-Hoeksema &amp; Morrow, 1991)","dontUpdate":true,"noteIndex":0},"citationItems":[{"id":6269,"uris":["http://zotero.org/users/6457224/items/XAB92KCI"],"itemData":{"id":6269,"type":"article-journal","container-title":"Journal of Personality and Social Psychology","DOI":"10.1037/0022-3514.61.1.115","ISSN":"1939-1315, 0022-3514","issue":"1","journalAbbreviation":"Journal of Personality and Social Psychology","language":"en","page":"115-121","source":"DOI.org (Crossref)","title":"A prospective study of depression and posttraumatic stress symptoms after a natural disaster: The 1989 Loma Prieta earthquake.","title-short":"A prospective study of depression and posttraumatic stress symptoms after a natural disaster","volume":"61","author":[{"family":"Nolen-Hoeksema","given":"Susan"},{"family":"Morrow","given":"Jannay"}],"issued":{"date-parts":[["1991"]]}}}],"schema":"https://github.com/citation-style-language/schema/raw/master/csl-citation.json"} </w:instrText>
      </w:r>
      <w:r w:rsidRPr="00A93C21">
        <w:fldChar w:fldCharType="separate"/>
      </w:r>
      <w:r w:rsidRPr="00A93C21">
        <w:rPr>
          <w:noProof/>
        </w:rPr>
        <w:t>Nolen-Hoeksema &amp; Morrow, 1991)</w:t>
      </w:r>
      <w:r w:rsidRPr="00A93C21">
        <w:fldChar w:fldCharType="end"/>
      </w:r>
      <w:r w:rsidRPr="00A93C21">
        <w:t xml:space="preserve"> and derived therefrom: RRS-10 </w:t>
      </w:r>
      <w:r w:rsidRPr="00A93C21">
        <w:fldChar w:fldCharType="begin"/>
      </w:r>
      <w:r w:rsidR="00552A54">
        <w:instrText xml:space="preserve"> ADDIN ZOTERO_ITEM CSL_CITATION {"citationID":"obzZIbFI","properties":{"formattedCitation":"(Treynor, Gonzalez, &amp; Nolen-Hoeksema, 2003)","plainCitation":"(Treynor, Gonzalez, &amp; Nolen-Hoeksema, 2003)","noteIndex":0},"citationItems":[{"id":7680,"uris":["http://zotero.org/users/6457224/items/SBFK93KP"],"itemData":{"id":7680,"type":"article-journal","abstract":"In an attempt to eliminate similar item content as an alternative explanation for the relation bet</w:instrText>
      </w:r>
      <w:r w:rsidR="00552A54" w:rsidRPr="00CB4E73">
        <w:rPr>
          <w:lang w:val="de-DE"/>
        </w:rPr>
        <w:instrText>ween depression and rumination, a secondary analysis was conducted using the data from S. Nolen-Hoeksema, J. Larson, and C. Grayson (1999). After constructing a measure of rumination unconfounded with depression content, support for a two factor model of rumination was found. These analyses indicate that the 2 components, reflective pondering and brooding, differentially relate to depression in terms of predictive ability and gender difference mediation. The results presented here support the general premise of Nolen-Hoeksema's Response Styles Theory (S. Nolen-Hoeksema 1987) that rumination can contribute to more depressive symptoms and to the gender difference in depression, but suggest important refinements of the theory. Such refinements include the need to differentiate between the reflective pondering component of rumination and the brooding component in rumination research.","container-title":"Cognitive Therapy and Research","DOI":"10.1023/A:1023910315561","ISSN":"1573-2819","issue":"3","journalAbbreviation":"Cognitive Therapy and Research","language":"en","page":"247-259","source":"Springer Link","title":"Rumination Reconsidered: A Psychometric Analysis","title-short":"Rumination Reconsidered","volume":"27",</w:instrText>
      </w:r>
      <w:r w:rsidR="00552A54" w:rsidRPr="001A65C1">
        <w:rPr>
          <w:lang w:val="de-DE"/>
        </w:rPr>
        <w:instrText xml:space="preserve">"author":[{"family":"Treynor","given":"Wendy"},{"family":"Gonzalez","given":"Richard"},{"family":"Nolen-Hoeksema","given":"Susan"}],"issued":{"date-parts":[["2003",6,1]]}}}],"schema":"https://github.com/citation-style-language/schema/raw/master/csl-citation.json"} </w:instrText>
      </w:r>
      <w:r w:rsidRPr="00A93C21">
        <w:fldChar w:fldCharType="separate"/>
      </w:r>
      <w:r w:rsidR="00552A54" w:rsidRPr="001A65C1">
        <w:rPr>
          <w:noProof/>
          <w:lang w:val="de-DE"/>
        </w:rPr>
        <w:t>(Treynor, Gonzalez, &amp; Nolen-Hoeksema, 2003)</w:t>
      </w:r>
      <w:r w:rsidRPr="00A93C21">
        <w:fldChar w:fldCharType="end"/>
      </w:r>
      <w:r w:rsidRPr="001A65C1">
        <w:rPr>
          <w:lang w:val="de-DE"/>
        </w:rPr>
        <w:t xml:space="preserve">, RRS-8 </w:t>
      </w:r>
      <w:r w:rsidRPr="00A93C21">
        <w:fldChar w:fldCharType="begin"/>
      </w:r>
      <w:r w:rsidRPr="001A65C1">
        <w:rPr>
          <w:lang w:val="de-DE"/>
        </w:rPr>
        <w:instrText xml:space="preserve"> ADDIN ZOTERO_ITEM CSL_CITATION {"citationID":"PVwMWkNn","properties":{"formattedCitation":"(Armey et al., 2009)","plainCitation":"(Armey et al., 2009)","noteIndex":0},"citationItems":[{"id":7682,"uris":["http://zotero.org/users/6457224/items/MUYGRKHF"],"itemData":{"id":7682,"type":"article-journal","abstract":"Depressive rumination, as assessed by Nolen-Hoeksema’s Response Styles Questionnaire (RSQ), predicts the onset, chronicity, and duration of depressed mood. However, some RSQ items contain depressive content and result in a heterogeneous factor structure. After the a priori elimination of items potentially confounded with depressed item content, Treynor, Gonzalez, and Nolen-Hoeksema identified two factors within the remaining RSQ rumination sub-scale that were differentially related to depression: brooding and pondering. However, Treynor et al. used a nonstandard form and administration of the RSQ. The present study sought to address these methodological idiosyncrasies and replicate the factor structure of Treynor et al. through exploratory factor analysis and structural equation modeling. Findings support the brooding and pondering solution and demonstrate that brooding relates more strongly to depression and anxiety than does pondering.","container-title":"Assessment","DOI":"10.1177/1073191109340388","ISSN":"1073-1911","issue":"4","journalAbbreviation":"Assessment","language":"en","note":"publisher: SAGE Publications Inc","page":"315-327","source":"SAGE Journals","title":"Brooding and Pondering: Isolating the Active Ingredients of Depressive Rumination With Exploratory Factor Analysis and Structural Equation Modeling","title-short":"Brooding and Pondering","volume":"16","author":[{"family":"Armey","given":"Michael F."},{"family":"Fresco","given":"David M."},{"family":"Moore","given":"Michael T."},{"family":"Mennin","given":"Douglas S."},{"family":"Turk","given":"Cynthia L."},{"family":"Heimberg","given":"Richard G."},{"family":"Kecmanovic","given":"Jelena"},{"family":"Alloy","given":"Lauren B."}],"issued":{"date-parts":[["2009",12,1]]}}}],"schema":"https://github.com/citation-style-language/schema/raw/master/csl-citation.json"} </w:instrText>
      </w:r>
      <w:r w:rsidRPr="00A93C21">
        <w:fldChar w:fldCharType="separate"/>
      </w:r>
      <w:r w:rsidR="00552A54" w:rsidRPr="001A65C1">
        <w:rPr>
          <w:noProof/>
          <w:lang w:val="de-DE"/>
        </w:rPr>
        <w:t>(Armey et al., 2009)</w:t>
      </w:r>
      <w:r w:rsidRPr="00A93C21">
        <w:fldChar w:fldCharType="end"/>
      </w:r>
      <w:r w:rsidRPr="001A65C1">
        <w:rPr>
          <w:lang w:val="de-DE"/>
        </w:rPr>
        <w:t xml:space="preserve">, and Response Styles Questionnaire (RSQ-D; </w:t>
      </w:r>
      <w:r w:rsidRPr="00A93C21">
        <w:fldChar w:fldCharType="begin"/>
      </w:r>
      <w:r w:rsidRPr="001A65C1">
        <w:rPr>
          <w:lang w:val="de-DE"/>
        </w:rPr>
        <w:instrText xml:space="preserve"> ADDIN ZOTERO_ITEM CSL_CITATION {"citationID":"my5uZ7a8","properties":{"formattedCitation":"(K\\uc0\\u252{}hner et al., 2007)","plainCitation":"(Kühner et al., 2007)","dontUpdate":true,"noteIndex":0},"citationItems":[{"id":7685,"uris":["http://zotero.org/users/6457224/items/M6PJEEQ4"],"itemData":{"id":7685,"type":"book","publisher":"Hogrefe","title":"Response styles questionnaire: RSQ-D","author":[{"family":"Kühner","given":"Christine"},{"family":"Huffziger","given":"Silke"},{"family":"Nolen-Hoeksema","given":"Susan"}],"issued":{"date-parts":[["2007"]]}}}],"schema":"https://github.com/citation-style-language/schema/raw/master/csl-citation.json"} </w:instrText>
      </w:r>
      <w:r w:rsidRPr="00A93C21">
        <w:fldChar w:fldCharType="separate"/>
      </w:r>
      <w:r w:rsidRPr="001A65C1">
        <w:rPr>
          <w:lang w:val="de-DE"/>
        </w:rPr>
        <w:t>Kühner et al., 2007)</w:t>
      </w:r>
      <w:r w:rsidRPr="00A93C21">
        <w:fldChar w:fldCharType="end"/>
      </w:r>
      <w:r w:rsidRPr="001A65C1">
        <w:rPr>
          <w:lang w:val="de-DE"/>
        </w:rPr>
        <w:t xml:space="preserve">, (2) Rumination-Reflection Questionnaire (RRQ; </w:t>
      </w:r>
      <w:r w:rsidRPr="00A93C21">
        <w:fldChar w:fldCharType="begin"/>
      </w:r>
      <w:r w:rsidRPr="001A65C1">
        <w:rPr>
          <w:lang w:val="de-DE"/>
        </w:rPr>
        <w:instrText xml:space="preserve"> ADDIN ZOTERO_ITEM CSL_CITATION {"citationID":"aDYy0viS","properties":{"formattedCitation":"(Trapnell &amp; Campbell, 1999)","plainCitation":"(Trapnell &amp; Campbell, 1999)","dontUpdate":true,"noteIndex":0},"citationItems":[{"id":7686,"uris":["http://zotero.org/users/6457224/items/IEILD3RF"],"itemData":{"id":7686,"type":"article-journal","abstract":"A distinction between ruminative and reflective types of private self-attentiveness is introduced and evaluated with respect to L. R. Goldberg's (1982) list of 1,710 English trait adjectives (Study 1), the five-factor model of personality (FFM</w:instrText>
      </w:r>
      <w:r w:rsidRPr="00CB4E73">
        <w:rPr>
          <w:lang w:val="en-US"/>
        </w:rPr>
        <w:instrText>) and A. Fenigstein, M. F. Scheier, and A. Buss's (1976) Self-Consciousness Scales (Study 2), and previously reported cor</w:instrText>
      </w:r>
      <w:r w:rsidRPr="00A93C21">
        <w:instrText xml:space="preserve">relates and effects of private self-consciousness (PrSC; Studies 3 and 4). Results suggest that the PrSC scale confounds two unrelated, motivationally distinct dispositions—rumination and reflection—and that this confounding may account for the \"self-absorption paradox\" implicit in PrSC research findings: Higher PrSC scores are associated with more accurate and extensive self-knowledge yet higher levels of psychological distress. The potential of the FFM to provide a comprehensive framework for conceptualizing self-attentive dispositions, and to order and integrate research findings within this domain, is discussed. (PsycINFO Database Record (c) 2016 APA, all rights reserved)","container-title":"Journal of Personality and Social Psychology","DOI":"10.1037/0022-3514.76.2.284","ISSN":"1939-1315","issue":"2","note":"publisher-place: US\npublisher: American Psychological Association","page":"284-304","source":"APA PsycNet","title":"Private self-consciousness and the five-factor model of personality: Distinguishing rumination from reflection","title-short":"Private self-consciousness and the five-factor model of personality","volume":"76","author":[{"family":"Trapnell","given":"Paul D."},{"family":"Campbell","given":"Jennifer D."}],"issued":{"date-parts":[["1999"]]}}}],"schema":"https://github.com/citation-style-language/schema/raw/master/csl-citation.json"} </w:instrText>
      </w:r>
      <w:r w:rsidRPr="00A93C21">
        <w:fldChar w:fldCharType="separate"/>
      </w:r>
      <w:r w:rsidRPr="00A93C21">
        <w:rPr>
          <w:noProof/>
        </w:rPr>
        <w:t>Trapnell &amp; Campbell, 1999)</w:t>
      </w:r>
      <w:r w:rsidRPr="00A93C21">
        <w:fldChar w:fldCharType="end"/>
      </w:r>
      <w:r w:rsidRPr="00A93C21">
        <w:t xml:space="preserve">, (3) Rumination on Sadness Scale (RSS; </w:t>
      </w:r>
      <w:r w:rsidRPr="00A93C21">
        <w:fldChar w:fldCharType="begin"/>
      </w:r>
      <w:r w:rsidRPr="00A93C21">
        <w:instrText xml:space="preserve"> ADDIN ZOTERO_ITEM CSL_CITATION {"citationID":"XAmKq5jo","properties":{"formattedCitation":"(Conway et al., 2000)","plainCitation":"(Conway et al., 2000)","dontUpdate":true,"noteIndex":0},"citationItems":[{"id":7688,"uris":["http://zotero.org/users/6457224/items/QH7ZLUUQ"],"itemData":{"id":7688,"type":"article-journal","abstract":"The Rumination on Sadness Scale (RSS), an individual-difference measure of rumination on sadness, was developed as an alternative to the Ruminative Responses scale of the Response Styles Questionnaire (RRRSQ; Nolen-Hoeksema &amp; Morrow, 1991). Research has shown the RRRSQ to consist of multiple, not highly intercorrelated factors; only 1 factor explicitly addresses rumination. In Study 1, a 1-factor solution to a principal components analysis was shown to hold for responses to the RSS. The RSS was also shown to be reliable. In Study 2, convergent and discriminant validity of the RSS were assessed. In Study 3, individuals with high RSS scores exhibited more distress regarding current concerns with the introduction of a delay period (to allow them to ruminate) after a sad mood induction.","container-title":"Journal of Personality Assessment","DOI":"10.1207/S15327752JPA7503_04","ISSN":"0022-3891","issue":"3","note":"publisher: Routledge\n_eprint: https://doi.org/10.1207/S15327752JPA7503_04\nPMID: 11117154","page":"404-425","source":"Taylor and Francis+NEJM","title":"On Assessing Individual Differences in Rumination on Sadness","volume":"75","author":[{"family":"Conway","given":"Michael"},{"family":"Csank","given":"Patricia A. R."},{"family":"Holm","given":"Susan L."},{"family":"Blake","given":"Caminee K."}],"issued":{"date-parts":[["2000",12,1]]}}}],"schema":"https://github.com/citation-style-language/schema/raw/master/csl-citation.json"} </w:instrText>
      </w:r>
      <w:r w:rsidRPr="00A93C21">
        <w:fldChar w:fldCharType="separate"/>
      </w:r>
      <w:r w:rsidRPr="00A93C21">
        <w:rPr>
          <w:noProof/>
        </w:rPr>
        <w:t>Conway et al., 2000)</w:t>
      </w:r>
      <w:r w:rsidRPr="00A93C21">
        <w:fldChar w:fldCharType="end"/>
      </w:r>
      <w:r w:rsidRPr="00A93C21">
        <w:t xml:space="preserve">, (4) Post Event Processing Questionnaire (PEPQ; </w:t>
      </w:r>
      <w:r w:rsidRPr="00A93C21">
        <w:fldChar w:fldCharType="begin"/>
      </w:r>
      <w:r w:rsidRPr="00A93C21">
        <w:instrText xml:space="preserve"> ADDIN ZOTERO_ITEM CSL_CITATION {"citationID":"aOKb2ASI","properties":{"formattedCitation":"(Rachman et al., 2000)","plainCitation":"(Rachman et al., 2000)","dontUpdate":true,"noteIndex":0},"citationItems":[{"id":7689,"uris":["http://zotero.org/users/6457224/items/VRQJCM6K"],"itemData":{"id":7689,"type":"article-journal","abstract":"A psychometric study was conducted in order to collect basic information about post-event processing in social anxiety. It was found that such processing occurs commonly after an anxiety-evoking or embarrassing social event and post-event processing scores were significantly correlated (r=0.40) with social anxiety. The recollections of the social event tended to be recurrent and intrusive, interfering with concentration. Post-event processing was associated with the avoidance of similar social situations. The results are discussed in terms of the Clark and Wells model of social phobia.","container-title":"Behaviour Research and Therapy","DOI":"10.1016/S0005-7967(99)00089-3","ISSN":"0005-7967","issue":"6","journalAbbreviation":"Behaviour Research and Therapy","page":"611-617","source":"ScienceDirect","title":"Post-event processing in social anxiety","volume":"38","author":[{"family":"Rachman","given":"S"},{"family":"Grüter-Andrew","given":"J"},{"family":"Shafran","given":"R"}],"issued":{"date-parts":[["2000",6,1]]}}}],"schema":"https://github.com/citation-style-language/schema/raw/master/csl-citation.json"} </w:instrText>
      </w:r>
      <w:r w:rsidRPr="00A93C21">
        <w:fldChar w:fldCharType="separate"/>
      </w:r>
      <w:r w:rsidRPr="00A93C21">
        <w:rPr>
          <w:noProof/>
        </w:rPr>
        <w:t>Rachman et al., 2000)</w:t>
      </w:r>
      <w:r w:rsidRPr="00A93C21">
        <w:fldChar w:fldCharType="end"/>
      </w:r>
      <w:r w:rsidRPr="00A93C21">
        <w:t xml:space="preserve"> and derived therefrom: PEPQ-R </w:t>
      </w:r>
      <w:r w:rsidRPr="00A93C21">
        <w:fldChar w:fldCharType="begin"/>
      </w:r>
      <w:r w:rsidRPr="00A93C21">
        <w:instrText xml:space="preserve"> ADDIN ZOTERO_ITEM CSL_CITATION {"citationID":"JQc03RlB","properties":{"formattedCitation":"(McEvoy &amp; Kingsep, 2006)","plainCitation":"(McEvoy &amp; Kingsep, 2006)","noteIndex":0},"citationItems":[{"id":7691,"uris":["http://zotero.org/users/6457224/items/IRXNNC2X"],"itemData":{"id":7691,"type":"article-journal","abstract":"Post-event processing (PEP) involving rumination about perceived inadequacy in a past social situation has been proposed as an important maintaining factor in social phobia. The three aims of this study were to examine (a) the factor structure and internal reliability of a modified version of the Post-Event Processing Questionnaire [Rachman, S., Grüter-Andrew, J., &amp; Shafran, R. (2000). Post-event processing in social anxiety. Behaviour Research and Therapy, 38, 611–617] in a clinical sample with social phobia (N=117), (b) the associations between PEP and symptoms of anxiety and depression, and (c) the relationship between perspective-taking (‘field’ and ‘observer’) and anxiety. Principal axis factor analysis yielded a highly reliable one-factor solution in our clinical sample, which generally replicated Rachman et al.'s findings with a sample of undergraduate students. PEP was most strongly and independently associated with state anxiety when depression, general anxiety and stress were controlled for. Contrary to expectations, PEP was not related to measures of social anxiety. The relationship between perspective-taking and anxiety was more complex than expected. Theoretical implications of these findings are discussed with reference to contemporary cognitive-behavioural models of social phobia.","container-title":"Behaviour Research and Therapy","DOI":"10.1016/j.brat.2005.12.005","ISSN":"0005-7967","issue":"11","journalAbbreviation":"Behaviour Research and Therapy","page":"1689-1697","source":"ScienceDirect","title":"The post-event processing questionnaire in a clinical sample with social phobia","volume":"44","author":[{"family":"McEvoy","given":"Peter M."},{"family":"Kingsep","given":"Patrick"}],"issued":{"date-parts":[["2006",11,1]]}}}],"schema":"https://github.com/citation-style-language/schema/raw/master/csl-citation.json"} </w:instrText>
      </w:r>
      <w:r w:rsidRPr="00A93C21">
        <w:fldChar w:fldCharType="separate"/>
      </w:r>
      <w:r w:rsidR="00552A54">
        <w:rPr>
          <w:noProof/>
        </w:rPr>
        <w:t>(McEvoy &amp; Kingsep, 2006)</w:t>
      </w:r>
      <w:r w:rsidRPr="00A93C21">
        <w:fldChar w:fldCharType="end"/>
      </w:r>
      <w:r w:rsidRPr="00A93C21">
        <w:t xml:space="preserve">, PEPQ-7 </w:t>
      </w:r>
      <w:r w:rsidRPr="00A93C21">
        <w:fldChar w:fldCharType="begin"/>
      </w:r>
      <w:r w:rsidRPr="00A93C21">
        <w:instrText xml:space="preserve"> ADDIN ZOTERO_ITEM CSL_CITATION {"citationID":"WvIQs1P1","properties":{"formattedCitation":"(Kocovski &amp; Rector, 2007)","plainCitation":"(Kocovski &amp; Rector, 2007)","noteIndex":0},"citationItems":[{"id":7693,"uris":["http://zotero.org/users/6457224/items/Y87NCRA3"],"itemData":{"id":7693,"type":"article-journal","abstract":"Post</w:instrText>
      </w:r>
      <w:r w:rsidRPr="00A93C21">
        <w:rPr>
          <w:rFonts w:ascii="Cambria Math" w:hAnsi="Cambria Math" w:cs="Cambria Math"/>
        </w:rPr>
        <w:instrText>‐</w:instrText>
      </w:r>
      <w:r w:rsidRPr="00A93C21">
        <w:instrText>event processing is the cognitive rumination that follows social events in cognitive models of social anxiety. The aim of this study was to examine factors that may predict the extent to which individuals engage in post</w:instrText>
      </w:r>
      <w:r w:rsidRPr="00A93C21">
        <w:rPr>
          <w:rFonts w:ascii="Cambria Math" w:hAnsi="Cambria Math" w:cs="Cambria Math"/>
        </w:rPr>
        <w:instrText>‐</w:instrText>
      </w:r>
      <w:r w:rsidRPr="00A93C21">
        <w:instrText>event processing. Anxious rumination, social anxiety, anxiety sensitivity and post</w:instrText>
      </w:r>
      <w:r w:rsidRPr="00A93C21">
        <w:rPr>
          <w:rFonts w:ascii="Cambria Math" w:hAnsi="Cambria Math" w:cs="Cambria Math"/>
        </w:rPr>
        <w:instrText>‐</w:instrText>
      </w:r>
      <w:r w:rsidRPr="00A93C21">
        <w:instrText>event processing related to a recent anxiety</w:instrText>
      </w:r>
      <w:r w:rsidRPr="00A93C21">
        <w:rPr>
          <w:rFonts w:ascii="Cambria Math" w:hAnsi="Cambria Math" w:cs="Cambria Math"/>
        </w:rPr>
        <w:instrText>‐</w:instrText>
      </w:r>
      <w:r w:rsidRPr="00A93C21">
        <w:instrText>provoking social event were assessed in a college student sample (n = 439). Social anxiety and anxious rumination, but not anxiety sensitivity, significantly predicted the extent to which the participants engaged in post</w:instrText>
      </w:r>
      <w:r w:rsidRPr="00A93C21">
        <w:rPr>
          <w:rFonts w:ascii="Cambria Math" w:hAnsi="Cambria Math" w:cs="Cambria Math"/>
        </w:rPr>
        <w:instrText>‐</w:instrText>
      </w:r>
      <w:r w:rsidRPr="00A93C21">
        <w:instrText>event processing related to an anxiety</w:instrText>
      </w:r>
      <w:r w:rsidRPr="00A93C21">
        <w:rPr>
          <w:rFonts w:ascii="Cambria Math" w:hAnsi="Cambria Math" w:cs="Cambria Math"/>
        </w:rPr>
        <w:instrText>‐</w:instrText>
      </w:r>
      <w:r w:rsidRPr="00A93C21">
        <w:instrText>provoking social event. Factors that appear to impact on the post</w:instrText>
      </w:r>
      <w:r w:rsidRPr="00A93C21">
        <w:rPr>
          <w:rFonts w:ascii="Cambria Math" w:hAnsi="Cambria Math" w:cs="Cambria Math"/>
        </w:rPr>
        <w:instrText>‐</w:instrText>
      </w:r>
      <w:r w:rsidRPr="00A93C21">
        <w:instrText>event period include the nature of the social situation and the ethnicity of the participant. It appears that both general rumination over anxious symptoms, and specific rumination related to social events are relevant for cognitive models of social anxiety.","container-title":"Cognitive Behaviour Therapy","DOI":"10.1080/16506070701232090","ISSN":"1650-6073","issue":"2","note":"publisher: Routledge\n_eprint: https://doi.org/10.1080/16506070701232090\nPMID: 17530497","page":"112-122","source":"Taylor and Francis+NEJM","title":"Predictors of Post</w:instrText>
      </w:r>
      <w:r w:rsidRPr="00A93C21">
        <w:rPr>
          <w:rFonts w:ascii="Cambria Math" w:hAnsi="Cambria Math" w:cs="Cambria Math"/>
        </w:rPr>
        <w:instrText>‐</w:instrText>
      </w:r>
      <w:r w:rsidRPr="00A93C21">
        <w:instrText xml:space="preserve">Event Rumination Related to Social Anxiety","volume":"36","author":[{"family":"Kocovski","given":"Nancy L."},{"family":"Rector","given":"Neil A."}],"issued":{"date-parts":[["2007",6,1]]}}}],"schema":"https://github.com/citation-style-language/schema/raw/master/csl-citation.json"} </w:instrText>
      </w:r>
      <w:r w:rsidRPr="00A93C21">
        <w:fldChar w:fldCharType="separate"/>
      </w:r>
      <w:r w:rsidR="00552A54">
        <w:rPr>
          <w:noProof/>
        </w:rPr>
        <w:t>(Kocovski &amp; Rector, 2007)</w:t>
      </w:r>
      <w:r w:rsidRPr="00A93C21">
        <w:fldChar w:fldCharType="end"/>
      </w:r>
      <w:r w:rsidRPr="00A93C21">
        <w:t xml:space="preserve">, and E-PEPQ </w:t>
      </w:r>
      <w:r w:rsidRPr="00A93C21">
        <w:fldChar w:fldCharType="begin"/>
      </w:r>
      <w:r w:rsidR="00552A54">
        <w:instrText xml:space="preserve"> ADDIN ZOTERO_ITEM CSL_CITATION {"citationID":"kDU5agV1","properties":{"formattedCitation":"(Fehm, Hoyer, Schneider, Lindemann, &amp; Klusmann, 2008)","plainCitation":"(Fehm, Hoyer, Schneider, Lindemann, &amp; Klusmann, 2008)","noteIndex":0},"citationItems":[{"id":7700,"uris":["http://zotero.org/users/6457224/items/F4QPSEAX"],"itemData":{"id":7700,"type":"article-journal","abstract":"In their cognitive model of social phobia, Clark and Wells (1995) described a process called post-event processing that is characterized by prolonged ruminative and negative thinking about a past social event. Referring to this concept, Rachman and colleagues (2000) developed a questionnaire that has been used in several studies subsequently (Post-Event Processing Questionnaire (PEPQ)). Our aim was to examine a German version of the PEPQ and, where necessary, modify this measure. In Study 1 (N=130 students), we inspected the psychometric properties of the German version of the PEPQ. According to the item analyses, problematic items were identified and eliminated or reformulated. To map aspects of post-event processing that were missing in the original questionnaire, new items were developed. In Study 2, the psychometric properties of the revised instrument were analyzed in a sample of students (N=268).The revised instrument showed excellent internal consistency and a meaningful pattern of correlations with anxiety, depression, and dysfunctional self-consciousness. With regard to the factorial structure of the construct, our data suggest that a four-factorial model may be more appropriate than the one-dimensional structure proposed by Rachman and colleagues.","container-title":"Anxiety, Stress, &amp; Coping","DOI":"10.1080/10615800701424672","ISSN":"1061-5806","issue":"2","note":"publisher: Routledge\n_eprint: https://doi.org/10.1080/10615800701424672\nPMID: 18350392","page":"129-142","source":"Taylor and Francis+NEJM","title":"Assessing post-event processing after social situations: a measure based on the cognitive model for social phobia","title-short":"Assessing post-event processing after social situations","volume":"21","author":[{"family":"Fehm","given":"Lydia"},{"family":"Hoyer","given":"Jürgen"},{"family":"Schneider","given":"Gesine"},{"family":"Lindemann","given":"Christiane"},{"family":"Klusmann","given":"Uta"}],"issued":{"date-parts":[["2008",4,1]]}}}],"schema":"https://github.com/citation-style-language/schema/raw/master/csl-citation.json"} </w:instrText>
      </w:r>
      <w:r w:rsidRPr="00A93C21">
        <w:fldChar w:fldCharType="separate"/>
      </w:r>
      <w:r w:rsidR="00552A54">
        <w:rPr>
          <w:noProof/>
        </w:rPr>
        <w:t>(Fehm, Hoyer, Schneider, Lindemann, &amp; Klusmann, 2008)</w:t>
      </w:r>
      <w:r w:rsidRPr="00A93C21">
        <w:fldChar w:fldCharType="end"/>
      </w:r>
      <w:r w:rsidRPr="00A93C21">
        <w:t>.</w:t>
      </w:r>
      <w:r>
        <w:t xml:space="preserve"> </w:t>
      </w:r>
    </w:p>
    <w:p w14:paraId="773F8295" w14:textId="35666014" w:rsidR="003D5230" w:rsidRDefault="003D5230" w:rsidP="00AA5025">
      <w:pPr>
        <w:spacing w:line="276" w:lineRule="auto"/>
        <w:jc w:val="both"/>
      </w:pPr>
      <w:r w:rsidRPr="00A93C21">
        <w:t xml:space="preserve">We considered worry as measured by the following instruments: (1) Penn State Worry Questionnaire (PSWQ; </w:t>
      </w:r>
      <w:r w:rsidRPr="00A93C21">
        <w:fldChar w:fldCharType="begin"/>
      </w:r>
      <w:r w:rsidRPr="00A93C21">
        <w:instrText xml:space="preserve"> ADDIN ZOTERO_ITEM CSL_CITATION {"citationID":"UUKteFoh","properties":{"formattedCitation":"(Meyer et al., 1990)","plainCitation":"(Meyer et al., 1990)","dontUpdate":true,"noteIndex":0},"citationItems":[{"id":7337,"uris":["http://zotero.org/users/6457224/items/P9J486N5"],"itemData":{"id":7337,"type":"article-journal","abstract":"The present report describes the development of the Penn State Worry Questionnaire to measure the trait of worry. The 16-item instrument emerged from factor analysis of a large number of items and was found to possess high internal consistency and good test-retest reliability. The questionnaire correlates predictably with several psychological measures reasonably related to worry, and does not correlate with other measures more remote to the construct. Responses to the questionnaire are not influenced by social desirability. The measure was found to significantly discriminate college samples (a) who met all, some, or none of the DSM-III-R diagnostic criteria for generalized anxiety disorder and (b) who met criteria for GAD vs posttraumatic stress disorder. Among 34 GAD-diagnosed clinical subjects, the worry questionnaire was found not to correlate with other measures of anxiety or depression, indicating that it is tapping an independent construct with severely anxious individuals, and coping desensitization plus cognitive therapy was found to produce significantly greater reductions in the measure than did a nondirective therapy condition.","container-title":"Behaviour Research and Therapy","DOI":"10.1016/0005-7967(90)90135-6","ISSN":"0005-7967","issue":"6","journalAbbreviation":"Behaviour Research and Therapy","page":"487-495","source":"ScienceDirect","title":"Development and validation of the penn state worry questionnaire","volume":"28","author":[{"family":"Meyer","given":"T. J."},{"family":"Miller","given":"M. L."},{"family":"Metzger","given":"R. L."},{"family":"Borkovec","given":"Thomas D."}],"issued":{"date-parts":[["1990",1,1]]}}}],"schema":"https://github.com/citation-style-language/schema/raw/master/csl-citation.json"} </w:instrText>
      </w:r>
      <w:r w:rsidRPr="00A93C21">
        <w:fldChar w:fldCharType="separate"/>
      </w:r>
      <w:r w:rsidRPr="00A93C21">
        <w:rPr>
          <w:noProof/>
        </w:rPr>
        <w:t>Meyer et al., 1990)</w:t>
      </w:r>
      <w:r w:rsidRPr="00A93C21">
        <w:fldChar w:fldCharType="end"/>
      </w:r>
      <w:r w:rsidRPr="00A93C21">
        <w:t xml:space="preserve"> and derived therefrom: PSWQ-11 </w:t>
      </w:r>
      <w:r w:rsidRPr="00A93C21">
        <w:fldChar w:fldCharType="begin"/>
      </w:r>
      <w:r w:rsidR="00552A54">
        <w:instrText xml:space="preserve"> ADDIN ZOTERO_ITEM CSL_CITATION {"citationID":"06L1DsE3","properties":{"formattedCitation":"(Hazlett-Stevens, Ullman, &amp; Craske, 2004)","plainCitation":"(Hazlett-Stevens, Ullman, &amp; Craske, 2004)","noteIndex":0},"citationItems":[{"id":7696,"uris":["http://zotero.org/users/6457224/items/CUK2RAH6"],"itemData":{"id":7696,"type":"article-journal","abstract":"The Penn State Worry Questionnaire (PSWQ) was originally designed as a unifactorial measure of pathological trait worry. However, recent studies supported a two-factor solution with positively worded items loading on the first factor and reverse-scored items loading on a second factor. The current study compared this two-factor model to a negative wording method factor solution among college students. A method factor model with all PSWQ items loading on a single worry factor and reverse-scored items loading on a negative wording method factor provided as good a fit as the two-factor model. This method factor alone did not predict a generalized anxiety disorder diagnosis. Finally, the psychometric properties of an abbreviated scale containing only positively worded items were examined. The PSWQ appears to measure a single unitary construct, but response patterns differ between positively worded and reverse-scored items. Theoretical implications for pathological worry and assessment-related issues are discussed.","container-title":"Assessment","DOI":"10.1177/1073191104269872","ISSN":"1073-1911","issue":"4","journalAbbreviation":"Assessment","language":"en","note":"publisher: SAGE Publications Inc","page":"361-370","source":"SAGE Journals","title":"Factor Structure of the Penn State Worry Questionnaire: Examination of a Method Factor","title-short":"Factor Structure of the Penn State Worry Questionnaire","volume":"11","author":[{"family":"Hazlett-Stevens","given":"Holly"},{"family":"Ullman","given":"Jodie B."},{"family":"Craske","given":"Michelle G."}],"issued":{"date-parts":[["2004",12,1]]}}}],"schema":"https://github.com/citation-style-language/schema/raw/master/csl-citation.json"} </w:instrText>
      </w:r>
      <w:r w:rsidRPr="00A93C21">
        <w:fldChar w:fldCharType="separate"/>
      </w:r>
      <w:r w:rsidR="00552A54">
        <w:rPr>
          <w:noProof/>
        </w:rPr>
        <w:t>(Hazlett-Stevens, Ullman, &amp; Craske, 2004)</w:t>
      </w:r>
      <w:r w:rsidRPr="00A93C21">
        <w:fldChar w:fldCharType="end"/>
      </w:r>
      <w:r w:rsidRPr="00A93C21">
        <w:t xml:space="preserve">, PSWQ-Past Week </w:t>
      </w:r>
      <w:r w:rsidRPr="00A93C21">
        <w:fldChar w:fldCharType="begin"/>
      </w:r>
      <w:r w:rsidRPr="00A93C21">
        <w:instrText xml:space="preserve"> ADDIN ZOTERO_ITEM CSL_CITATION {"citationID":"f07cMrJ9","properties":{"formattedCitation":"(St\\uc0\\u246{}ber &amp; Bittencourt, 1998)","plainCitation":"(Stöber &amp; Bittencourt, 1998)","noteIndex":0},"citationItems":[{"id":7697,"uris":["http://zotero.org/users/6457224/items/RVKDPAIQ"],"itemData":{"id":7697,"type":"article-journal","abstract":"An adaptation of the Penn State Worry Questionnaire (PSWQ) [Meyer, T. J., Miller, M. L., Metzger, R. L. and Borkovec, T. D. (1990). Development and validation of the Penn State Worry Questionnaire. Behaviour Research and Therapy, 28, 487–495.] for weekly assessment of worry was evaluated in a brief treatment study. Cognitive restructuring techniques were taught to 28 nonclinical high-worriers, 14 of whom served as a control group in a lagged waiting-list design. Results showed that the Penn State Worry Questionnaire-Past Week (PSWQ-PW) was highly reliable and substantially valid in the assessment of both (a) weekly status of worry and (b) treatment-related changes in worry: average Cronbach's alpha was 0.91; average convergent correlation with a past-week adaptation of the Worry Domains Questionnaire [Tallis, F., Eysenck, M. W. and Mathews, A. (1992). A questionnaire for the measurement of nonpathological worry. Personality and Individual Differences, 13, 161–168.] was 0.63 and pre-post improvement on PSWQ-PW showed a 0.71 correlation with the Questionnaire of Changes in Experiencing and Behavior [Zielke, M. and Kopf-Mehnert, C. (1978). Veränderungsfragebogen des Erlebens und Verhaltens. Weinheim, Germany: Beltz Test Gesellschaft.]. It is concluded that the PSWQ-PW is a useful instrument for monitoring pathological worry in experimental and applied settings.","container-title":"Behaviour Research and Therapy","DOI":"10.1016/S0005-7967(98)00031-X","ISSN":"0005-7967","issue":"6","journalAbbreviation":"Behaviour Research and Therapy","page":"645-656","source":"ScienceDirect","title":"Weekly assessment of worry: an adaptation of the Penn State Worry Questionnaire for monitoring changes during treatment","title-short":"Weekly assessment of worry","volume":"36","author":[{"family":"Stöber","given":"Joachim"},{"family":"Bittencourt","given":"Jussara"}],"issued":{"date-parts":[["1998",6,1]]}}}],"schema":"https://github.com/citation-style-language/schema/raw/master/csl-citation.json"} </w:instrText>
      </w:r>
      <w:r w:rsidRPr="00A93C21">
        <w:fldChar w:fldCharType="separate"/>
      </w:r>
      <w:r w:rsidR="00552A54" w:rsidRPr="00552A54">
        <w:t>(Stöber &amp; Bittencourt, 1998)</w:t>
      </w:r>
      <w:r w:rsidRPr="00A93C21">
        <w:fldChar w:fldCharType="end"/>
      </w:r>
      <w:r w:rsidRPr="00A93C21">
        <w:t xml:space="preserve">, and PSWQ-Past Day </w:t>
      </w:r>
      <w:r w:rsidRPr="00A93C21">
        <w:fldChar w:fldCharType="begin"/>
      </w:r>
      <w:r w:rsidRPr="00A93C21">
        <w:instrText xml:space="preserve"> ADDIN ZOTERO_ITEM CSL_CITATION {"citationID":"AEWv8vvl","properties":{"formattedCitation":"(Joos et al., 2012)","plainCitation":"(Joos et al., 2012)","noteIndex":0},"citationItems":[{"id":7701,"uris":["http://zotero.org/users/6457224/items/9AMRI5R5"],"itemData":{"id":7701,"type":"article-journal","abstract":"Based on the widely used Penn State Worry Questionnaire for trait worry, a scale was developed to measure the level of worry experienced during the past 24 h. This instrument, the Penn State Worry Questionnaire—Past Day (PSWQ-PD), was administered to a student sample and two clinical samples. The PSWQ-PD demonstrated high internal consistency, good convergent validity and adequate test-retest reliability. A confirmatory factor analysis revealed that a unifactorial solution provided the best fit. Moreover, it was shown that the PSWQ-PD is a more state-like worry measure than the original PSWQ. The PSWQ-PD is a promising, brief tool for daily worry assessment, which is apt for frequent administration.","container-title":"Journal of Psychopathology and Behavioral Assessment","DOI":"10.1007/s10862-011-9265-2","ISSN":"1573-3505","issue":"1","journalAbbreviation":"J Psychopathol Behav Assess","language":"en","page":"35-47","source":"Springer Link","title":"The Penn State Worry Questionnaire—Past Day: Development and Validation of a Measure Assessing Daily Levels of Worry","title-short":"The Penn State Worry Questionnaire—Past Day","volume":"34","author":[{"family":"Joos","given":"Els"},{"family":"Vansteenwegen","given":"Debora"},{"family":"Brunfaut","given":"Els"},{"family":"Bastiaens","given":"Tim"},{"family":"Demyttenaere","given":"Koen"},{"family":"Pieters","given":"Guido"},{"family":"Hermans","given":"Dirk"}],"issued":{"date-parts":[["2012",3,1]]}}}],"schema":"https://github.com/citation-style-language/schema/raw/master/csl-citation.json"} </w:instrText>
      </w:r>
      <w:r w:rsidRPr="00A93C21">
        <w:fldChar w:fldCharType="separate"/>
      </w:r>
      <w:r w:rsidR="00552A54">
        <w:rPr>
          <w:noProof/>
        </w:rPr>
        <w:t>(Joos et al., 2012)</w:t>
      </w:r>
      <w:r w:rsidRPr="00A93C21">
        <w:fldChar w:fldCharType="end"/>
      </w:r>
      <w:r w:rsidRPr="00A93C21">
        <w:t xml:space="preserve">, (2) worry subscale of the Thought Control Questionnaire (TCQ; </w:t>
      </w:r>
      <w:r w:rsidRPr="00A93C21">
        <w:fldChar w:fldCharType="begin"/>
      </w:r>
      <w:r w:rsidRPr="00A93C21">
        <w:instrText xml:space="preserve"> ADDIN ZOTERO_ITEM CSL_CITATION {"citationID":"dNWUvUao","properties":{"formattedCitation":"(Wells &amp; Davies, 1994)","plainCitation":"(Wells &amp; Davies, 1994)","dontUpdate":true,"noteIndex":0},"citationItems":[{"id":7705,"uris":["http://zotero.org/users/6457224/items/LJVSF3MC"],"itemData":{"id":7705,"type":"article-journal","abstract":"Previous research has suggested that unpleasant and unwanted thoughts are a frequent experience in both normal and clinical populations. This paper describes the development and validation of a questionnaire that assesses strategies for controlling such thoughts. Analyses of the Thought Control Questionnaire (TCQ) demonstrated five replicable factors: Distraction; Social Control; Worry; Punishment and Reappraisal. Significant associations were found between the punishment and worry subscales of the TCQ and various measures of emotional vulnerability and perceptions of impaired control over cognition. The implications of these findings are discussed in relation to the literature on thought suppression, worry and mental self-regulation.","container-title":"Behaviour Research and Therapy","DOI":"10.1016/0005-7967(94)90168-6","ISSN":"0005-7967","issue":"8","journalAbbreviation":"Behaviour Research and Therapy","page":"871-878","source":"ScienceDirect","title":"The thought control questionnaire: A measure of individual differences in the control of unwanted thoughts","title-short":"The thought control questionnaire","volume":"32","author":[{"family":"Wells","given":"Adrian"},{"family":"Davies","given":"Mark I."}],"issued":{"date-parts":[["1994",11,1]]}}}],"schema":"https://github.com/citation-style-language/schema/raw/master/csl-citation.json"} </w:instrText>
      </w:r>
      <w:r w:rsidRPr="00A93C21">
        <w:fldChar w:fldCharType="separate"/>
      </w:r>
      <w:r w:rsidRPr="00A93C21">
        <w:rPr>
          <w:noProof/>
        </w:rPr>
        <w:t xml:space="preserve">Wells &amp; </w:t>
      </w:r>
      <w:r w:rsidRPr="00A93C21">
        <w:rPr>
          <w:noProof/>
        </w:rPr>
        <w:lastRenderedPageBreak/>
        <w:t>Davies, 1994)</w:t>
      </w:r>
      <w:r w:rsidRPr="00A93C21">
        <w:fldChar w:fldCharType="end"/>
      </w:r>
      <w:r w:rsidRPr="00A93C21">
        <w:t xml:space="preserve">, (3) Worry Domains Questionnaire (WDQ; </w:t>
      </w:r>
      <w:r w:rsidRPr="00A93C21">
        <w:fldChar w:fldCharType="begin"/>
      </w:r>
      <w:r w:rsidRPr="00A93C21">
        <w:instrText xml:space="preserve"> ADDIN ZOTERO_ITEM CSL_CITATION {"citationID":"eix8wNwE","properties":{"formattedCitation":"(Tallis et al., 1992)","plainCitation":"(Tallis et al., 1992)","dontUpdate":true,"noteIndex":0},"citationItems":[{"id":7710,"uris":["http://zotero.org/users/6457224/items/E6KG9CUQ"],"itemData":{"id":7710,"type":"article-journal","container-title":"Personality and Individual Differences","DOI":"10.1016/0191-8869(92)90038-Q","ISSN":"01918869","issue":"2","journalAbbreviation":"Personality and Individual Differences","language":"en","page":"161-168","source":"DOI.org (Crossref)","title":"A questionnaire for the measurement of nonpathological worry","volume":"13","author":[{"family":"Tallis","given":"Frank"},{"family":"Eysenck","given":"Michael"},{"family":"Mathews","given":"Andrew"}],"issued":{"date-parts":[["1992",2]]}}}],"schema":"https://github.com/citation-style-language/schema/raw/master/csl-citation.json"} </w:instrText>
      </w:r>
      <w:r w:rsidRPr="00A93C21">
        <w:fldChar w:fldCharType="separate"/>
      </w:r>
      <w:r w:rsidRPr="00A93C21">
        <w:rPr>
          <w:noProof/>
        </w:rPr>
        <w:t>Tallis et al., 1992)</w:t>
      </w:r>
      <w:r w:rsidRPr="00A93C21">
        <w:fldChar w:fldCharType="end"/>
      </w:r>
      <w:r w:rsidRPr="00A93C21">
        <w:t xml:space="preserve">, as well as the aWDQ (McCarthy-Larzelere et al., 2001), (4) Anxious Thoughts Inventory (ATI; </w:t>
      </w:r>
      <w:r w:rsidRPr="00A93C21">
        <w:fldChar w:fldCharType="begin"/>
      </w:r>
      <w:r w:rsidRPr="00A93C21">
        <w:instrText xml:space="preserve"> ADDIN ZOTERO_ITEM CSL_CITATION {"citationID":"la3YTVKH","properties":{"formattedCitation":"(Wells, 1994)","plainCitation":"(Wells, 1994)","dontUpdate":true,"noteIndex":0},"citationItems":[{"id":7716,"uris":["http://zotero.org/users/6457224/items/FXSC3EEP"],"itemData":{"id":7716,"type":"article-journal","abstract":"This paper reports the development of a dispositional self-report measure of multiple dimensions of generalisedworry. Factor analyses demonstrated a replicable three factor structure indicating that this measure of worry comprises three basic dimensions: social worry, health worry, and meta-worry. The first two factors reflect different content dimensions whereas the meta-worry factor consists of both content and process dimensions of worry. Individual differences in subscale scores show moderate stability over time, and the subscales possess good psychometric properties. Significant correlations were found between worry subscalesand personality dimensions of selfconsciousness and EPI scores. The role of multidimensional measurement in the exploration of worry is discussed.","container-title":"Anxiety, Stress &amp; Coping","DOI":"10.1080/10615809408248803","ISSN":"1061-5806, 1477-2205","issue":"4","journalAbbreviation":"Anxiety, Stress &amp; Coping","language":"en","page":"289-299","source":"DOI.org (Crossref)","title":"A multi-dimensional measure of worry: Development and preliminary validation of the anxious thoughts inventory","title-short":"A multi-dimensional measure of worry","volume":"6","author":[{"family":"Wells","given":"Adrian"}],"issued":{"date-parts":[["1994",1]]}}}],"schema":"https://github.com/citation-style-language/schema/raw/master/csl-citation.json"} </w:instrText>
      </w:r>
      <w:r w:rsidRPr="00A93C21">
        <w:fldChar w:fldCharType="separate"/>
      </w:r>
      <w:r w:rsidRPr="00A93C21">
        <w:rPr>
          <w:noProof/>
        </w:rPr>
        <w:t>Wells, 1994)</w:t>
      </w:r>
      <w:r w:rsidRPr="00A93C21">
        <w:fldChar w:fldCharType="end"/>
      </w:r>
      <w:r w:rsidRPr="00A93C21">
        <w:t>.</w:t>
      </w:r>
    </w:p>
    <w:p w14:paraId="2970A047" w14:textId="77777777" w:rsidR="00552A54" w:rsidRDefault="00552A54" w:rsidP="00AA5025">
      <w:pPr>
        <w:spacing w:line="276" w:lineRule="auto"/>
        <w:jc w:val="both"/>
      </w:pPr>
    </w:p>
    <w:p w14:paraId="45DE7E6F" w14:textId="77777777" w:rsidR="00552A54" w:rsidRPr="00552A54" w:rsidRDefault="00552A54" w:rsidP="00216050">
      <w:pPr>
        <w:pStyle w:val="Bibliography"/>
        <w:spacing w:line="276" w:lineRule="auto"/>
        <w:rPr>
          <w:rFonts w:ascii="Times New Roman" w:hAnsi="Times New Roman" w:cs="Times New Roman"/>
          <w:sz w:val="24"/>
        </w:rPr>
      </w:pPr>
      <w:r w:rsidRPr="0016523C">
        <w:fldChar w:fldCharType="begin"/>
      </w:r>
      <w:r>
        <w:instrText xml:space="preserve"> ADDIN ZOTERO_BIBL {"uncited":[],"omitted":[],"custom":[]} CSL_BIBLIOGRAPHY </w:instrText>
      </w:r>
      <w:r w:rsidRPr="0016523C">
        <w:fldChar w:fldCharType="separate"/>
      </w:r>
      <w:r w:rsidRPr="00552A54">
        <w:rPr>
          <w:rFonts w:ascii="Times New Roman" w:hAnsi="Times New Roman" w:cs="Times New Roman"/>
          <w:sz w:val="24"/>
        </w:rPr>
        <w:t xml:space="preserve">Armey, M. F., Fresco, D. M., Moore, M. T., Mennin, D. S., Turk, C. L., Heimberg, R. G., … Alloy, L. B. (2009). Brooding and Pondering: Isolating the Active Ingredients of Depressive Rumination With Exploratory Factor Analysis and Structural Equation Modeling. </w:t>
      </w:r>
      <w:r w:rsidRPr="00552A54">
        <w:rPr>
          <w:rFonts w:ascii="Times New Roman" w:hAnsi="Times New Roman" w:cs="Times New Roman"/>
          <w:i/>
          <w:iCs/>
          <w:sz w:val="24"/>
        </w:rPr>
        <w:t>Assessment</w:t>
      </w:r>
      <w:r w:rsidRPr="00552A54">
        <w:rPr>
          <w:rFonts w:ascii="Times New Roman" w:hAnsi="Times New Roman" w:cs="Times New Roman"/>
          <w:sz w:val="24"/>
        </w:rPr>
        <w:t xml:space="preserve">, </w:t>
      </w:r>
      <w:r w:rsidRPr="00552A54">
        <w:rPr>
          <w:rFonts w:ascii="Times New Roman" w:hAnsi="Times New Roman" w:cs="Times New Roman"/>
          <w:i/>
          <w:iCs/>
          <w:sz w:val="24"/>
        </w:rPr>
        <w:t>16</w:t>
      </w:r>
      <w:r w:rsidRPr="00552A54">
        <w:rPr>
          <w:rFonts w:ascii="Times New Roman" w:hAnsi="Times New Roman" w:cs="Times New Roman"/>
          <w:sz w:val="24"/>
        </w:rPr>
        <w:t>(4), 315–327. https://doi.org/10.1177/1073191109340388</w:t>
      </w:r>
    </w:p>
    <w:p w14:paraId="03A55400" w14:textId="77777777" w:rsidR="00552A54" w:rsidRPr="00552A54" w:rsidRDefault="00552A54" w:rsidP="00216050">
      <w:pPr>
        <w:pStyle w:val="Bibliography"/>
        <w:spacing w:line="276" w:lineRule="auto"/>
        <w:rPr>
          <w:rFonts w:ascii="Times New Roman" w:hAnsi="Times New Roman" w:cs="Times New Roman"/>
          <w:sz w:val="24"/>
        </w:rPr>
      </w:pPr>
      <w:r w:rsidRPr="00552A54">
        <w:rPr>
          <w:rFonts w:ascii="Times New Roman" w:hAnsi="Times New Roman" w:cs="Times New Roman"/>
          <w:sz w:val="24"/>
        </w:rPr>
        <w:t xml:space="preserve">Conway, M., Csank, P. A. R., Holm, S. L., &amp; Blake, C. K. (2000). On Assessing Individual Differences in Rumination on Sadness. </w:t>
      </w:r>
      <w:r w:rsidRPr="00552A54">
        <w:rPr>
          <w:rFonts w:ascii="Times New Roman" w:hAnsi="Times New Roman" w:cs="Times New Roman"/>
          <w:i/>
          <w:iCs/>
          <w:sz w:val="24"/>
        </w:rPr>
        <w:t>Journal of Personality Assessment</w:t>
      </w:r>
      <w:r w:rsidRPr="00552A54">
        <w:rPr>
          <w:rFonts w:ascii="Times New Roman" w:hAnsi="Times New Roman" w:cs="Times New Roman"/>
          <w:sz w:val="24"/>
        </w:rPr>
        <w:t xml:space="preserve">, </w:t>
      </w:r>
      <w:r w:rsidRPr="00552A54">
        <w:rPr>
          <w:rFonts w:ascii="Times New Roman" w:hAnsi="Times New Roman" w:cs="Times New Roman"/>
          <w:i/>
          <w:iCs/>
          <w:sz w:val="24"/>
        </w:rPr>
        <w:t>75</w:t>
      </w:r>
      <w:r w:rsidRPr="00552A54">
        <w:rPr>
          <w:rFonts w:ascii="Times New Roman" w:hAnsi="Times New Roman" w:cs="Times New Roman"/>
          <w:sz w:val="24"/>
        </w:rPr>
        <w:t>(3), 404–425. https://doi.org/10.1207/S15327752JPA7503_04</w:t>
      </w:r>
    </w:p>
    <w:p w14:paraId="78943826" w14:textId="77777777" w:rsidR="00552A54" w:rsidRPr="00552A54" w:rsidRDefault="00552A54" w:rsidP="00216050">
      <w:pPr>
        <w:pStyle w:val="Bibliography"/>
        <w:spacing w:line="276" w:lineRule="auto"/>
        <w:rPr>
          <w:rFonts w:ascii="Times New Roman" w:hAnsi="Times New Roman" w:cs="Times New Roman"/>
          <w:sz w:val="24"/>
        </w:rPr>
      </w:pPr>
      <w:r w:rsidRPr="001A65C1">
        <w:rPr>
          <w:rFonts w:ascii="Times New Roman" w:hAnsi="Times New Roman" w:cs="Times New Roman"/>
          <w:sz w:val="24"/>
          <w:lang w:val="de-DE"/>
        </w:rPr>
        <w:t xml:space="preserve">Ehring, T., Zetsche, U., Weidacker, K., Wahl, K., Schönfeld, S., &amp; Ehlers, A. (2011). </w:t>
      </w:r>
      <w:r w:rsidRPr="00552A54">
        <w:rPr>
          <w:rFonts w:ascii="Times New Roman" w:hAnsi="Times New Roman" w:cs="Times New Roman"/>
          <w:sz w:val="24"/>
        </w:rPr>
        <w:t xml:space="preserve">The Perseverative Thinking Questionnaire (PTQ): Validation of a content-independent measure of repetitive negative thinking. </w:t>
      </w:r>
      <w:r w:rsidRPr="00552A54">
        <w:rPr>
          <w:rFonts w:ascii="Times New Roman" w:hAnsi="Times New Roman" w:cs="Times New Roman"/>
          <w:i/>
          <w:iCs/>
          <w:sz w:val="24"/>
        </w:rPr>
        <w:t>Journal of Behavior Therapy and Experimental Psychiatry</w:t>
      </w:r>
      <w:r w:rsidRPr="00552A54">
        <w:rPr>
          <w:rFonts w:ascii="Times New Roman" w:hAnsi="Times New Roman" w:cs="Times New Roman"/>
          <w:sz w:val="24"/>
        </w:rPr>
        <w:t xml:space="preserve">, </w:t>
      </w:r>
      <w:r w:rsidRPr="00552A54">
        <w:rPr>
          <w:rFonts w:ascii="Times New Roman" w:hAnsi="Times New Roman" w:cs="Times New Roman"/>
          <w:i/>
          <w:iCs/>
          <w:sz w:val="24"/>
        </w:rPr>
        <w:t>42</w:t>
      </w:r>
      <w:r w:rsidRPr="00552A54">
        <w:rPr>
          <w:rFonts w:ascii="Times New Roman" w:hAnsi="Times New Roman" w:cs="Times New Roman"/>
          <w:sz w:val="24"/>
        </w:rPr>
        <w:t>(2), 225–232. https://doi.org/10.1016/j.jbtep.2010.12.003</w:t>
      </w:r>
    </w:p>
    <w:p w14:paraId="693AF3D3" w14:textId="77777777" w:rsidR="00552A54" w:rsidRPr="00552A54" w:rsidRDefault="00552A54" w:rsidP="00216050">
      <w:pPr>
        <w:pStyle w:val="Bibliography"/>
        <w:spacing w:line="276" w:lineRule="auto"/>
        <w:rPr>
          <w:rFonts w:ascii="Times New Roman" w:hAnsi="Times New Roman" w:cs="Times New Roman"/>
          <w:sz w:val="24"/>
        </w:rPr>
      </w:pPr>
      <w:r w:rsidRPr="001A65C1">
        <w:rPr>
          <w:rFonts w:ascii="Times New Roman" w:hAnsi="Times New Roman" w:cs="Times New Roman"/>
          <w:sz w:val="24"/>
          <w:lang w:val="de-DE"/>
        </w:rPr>
        <w:t xml:space="preserve">Fehm, L., Hoyer, J., Schneider, G., Lindemann, C., &amp; Klusmann, U. (2008). </w:t>
      </w:r>
      <w:r w:rsidRPr="00552A54">
        <w:rPr>
          <w:rFonts w:ascii="Times New Roman" w:hAnsi="Times New Roman" w:cs="Times New Roman"/>
          <w:sz w:val="24"/>
        </w:rPr>
        <w:t xml:space="preserve">Assessing post-event processing after social situations: A measure based on the cognitive model for social phobia. </w:t>
      </w:r>
      <w:r w:rsidRPr="00552A54">
        <w:rPr>
          <w:rFonts w:ascii="Times New Roman" w:hAnsi="Times New Roman" w:cs="Times New Roman"/>
          <w:i/>
          <w:iCs/>
          <w:sz w:val="24"/>
        </w:rPr>
        <w:t>Anxiety, Stress, &amp; Coping</w:t>
      </w:r>
      <w:r w:rsidRPr="00552A54">
        <w:rPr>
          <w:rFonts w:ascii="Times New Roman" w:hAnsi="Times New Roman" w:cs="Times New Roman"/>
          <w:sz w:val="24"/>
        </w:rPr>
        <w:t xml:space="preserve">, </w:t>
      </w:r>
      <w:r w:rsidRPr="00552A54">
        <w:rPr>
          <w:rFonts w:ascii="Times New Roman" w:hAnsi="Times New Roman" w:cs="Times New Roman"/>
          <w:i/>
          <w:iCs/>
          <w:sz w:val="24"/>
        </w:rPr>
        <w:t>21</w:t>
      </w:r>
      <w:r w:rsidRPr="00552A54">
        <w:rPr>
          <w:rFonts w:ascii="Times New Roman" w:hAnsi="Times New Roman" w:cs="Times New Roman"/>
          <w:sz w:val="24"/>
        </w:rPr>
        <w:t>(2), 129–142. https://doi.org/10.1080/10615800701424672</w:t>
      </w:r>
    </w:p>
    <w:p w14:paraId="15A8E6C2" w14:textId="77777777" w:rsidR="00552A54" w:rsidRPr="00552A54" w:rsidRDefault="00552A54" w:rsidP="00216050">
      <w:pPr>
        <w:pStyle w:val="Bibliography"/>
        <w:spacing w:line="276" w:lineRule="auto"/>
        <w:rPr>
          <w:rFonts w:ascii="Times New Roman" w:hAnsi="Times New Roman" w:cs="Times New Roman"/>
          <w:sz w:val="24"/>
        </w:rPr>
      </w:pPr>
      <w:r w:rsidRPr="00552A54">
        <w:rPr>
          <w:rFonts w:ascii="Times New Roman" w:hAnsi="Times New Roman" w:cs="Times New Roman"/>
          <w:sz w:val="24"/>
        </w:rPr>
        <w:t xml:space="preserve">Hazlett-Stevens, H., Ullman, J. B., &amp; Craske, M. G. (2004). Factor Structure of the Penn State Worry Questionnaire: Examination of a Method Factor. </w:t>
      </w:r>
      <w:r w:rsidRPr="00552A54">
        <w:rPr>
          <w:rFonts w:ascii="Times New Roman" w:hAnsi="Times New Roman" w:cs="Times New Roman"/>
          <w:i/>
          <w:iCs/>
          <w:sz w:val="24"/>
        </w:rPr>
        <w:t>Assessment</w:t>
      </w:r>
      <w:r w:rsidRPr="00552A54">
        <w:rPr>
          <w:rFonts w:ascii="Times New Roman" w:hAnsi="Times New Roman" w:cs="Times New Roman"/>
          <w:sz w:val="24"/>
        </w:rPr>
        <w:t xml:space="preserve">, </w:t>
      </w:r>
      <w:r w:rsidRPr="00552A54">
        <w:rPr>
          <w:rFonts w:ascii="Times New Roman" w:hAnsi="Times New Roman" w:cs="Times New Roman"/>
          <w:i/>
          <w:iCs/>
          <w:sz w:val="24"/>
        </w:rPr>
        <w:t>11</w:t>
      </w:r>
      <w:r w:rsidRPr="00552A54">
        <w:rPr>
          <w:rFonts w:ascii="Times New Roman" w:hAnsi="Times New Roman" w:cs="Times New Roman"/>
          <w:sz w:val="24"/>
        </w:rPr>
        <w:t>(4), 361–370. https://doi.org/10.1177/1073191104269872</w:t>
      </w:r>
    </w:p>
    <w:p w14:paraId="0BA952AF" w14:textId="77777777" w:rsidR="00552A54" w:rsidRPr="00552A54" w:rsidRDefault="00552A54" w:rsidP="00216050">
      <w:pPr>
        <w:pStyle w:val="Bibliography"/>
        <w:spacing w:line="276" w:lineRule="auto"/>
        <w:rPr>
          <w:rFonts w:ascii="Times New Roman" w:hAnsi="Times New Roman" w:cs="Times New Roman"/>
          <w:sz w:val="24"/>
        </w:rPr>
      </w:pPr>
      <w:r w:rsidRPr="00552A54">
        <w:rPr>
          <w:rFonts w:ascii="Times New Roman" w:hAnsi="Times New Roman" w:cs="Times New Roman"/>
          <w:sz w:val="24"/>
        </w:rPr>
        <w:t xml:space="preserve">Joos, E., Vansteenwegen, D., Brunfaut, E., Bastiaens, T., Demyttenaere, K., Pieters, G., &amp; Hermans, D. (2012). The Penn State Worry Questionnaire—Past Day: Development and Validation of a Measure Assessing Daily Levels of Worry. </w:t>
      </w:r>
      <w:r w:rsidRPr="00552A54">
        <w:rPr>
          <w:rFonts w:ascii="Times New Roman" w:hAnsi="Times New Roman" w:cs="Times New Roman"/>
          <w:i/>
          <w:iCs/>
          <w:sz w:val="24"/>
        </w:rPr>
        <w:t>Journal of Psychopathology and Behavioral Assessment</w:t>
      </w:r>
      <w:r w:rsidRPr="00552A54">
        <w:rPr>
          <w:rFonts w:ascii="Times New Roman" w:hAnsi="Times New Roman" w:cs="Times New Roman"/>
          <w:sz w:val="24"/>
        </w:rPr>
        <w:t xml:space="preserve">, </w:t>
      </w:r>
      <w:r w:rsidRPr="00552A54">
        <w:rPr>
          <w:rFonts w:ascii="Times New Roman" w:hAnsi="Times New Roman" w:cs="Times New Roman"/>
          <w:i/>
          <w:iCs/>
          <w:sz w:val="24"/>
        </w:rPr>
        <w:t>34</w:t>
      </w:r>
      <w:r w:rsidRPr="00552A54">
        <w:rPr>
          <w:rFonts w:ascii="Times New Roman" w:hAnsi="Times New Roman" w:cs="Times New Roman"/>
          <w:sz w:val="24"/>
        </w:rPr>
        <w:t>(1), 35–47. https://doi.org/10.1007/s10862-011-9265-2</w:t>
      </w:r>
    </w:p>
    <w:p w14:paraId="79D5AB82" w14:textId="77777777" w:rsidR="00552A54" w:rsidRPr="00552A54" w:rsidRDefault="00552A54" w:rsidP="00216050">
      <w:pPr>
        <w:pStyle w:val="Bibliography"/>
        <w:spacing w:line="276" w:lineRule="auto"/>
        <w:rPr>
          <w:rFonts w:ascii="Times New Roman" w:hAnsi="Times New Roman" w:cs="Times New Roman"/>
          <w:sz w:val="24"/>
        </w:rPr>
      </w:pPr>
      <w:r w:rsidRPr="00552A54">
        <w:rPr>
          <w:rFonts w:ascii="Times New Roman" w:hAnsi="Times New Roman" w:cs="Times New Roman"/>
          <w:sz w:val="24"/>
        </w:rPr>
        <w:t xml:space="preserve">Kocovski, N. L., &amp; Rector, N. A. (2007). Predictors of Post‐Event Rumination Related to Social Anxiety. </w:t>
      </w:r>
      <w:r w:rsidRPr="00552A54">
        <w:rPr>
          <w:rFonts w:ascii="Times New Roman" w:hAnsi="Times New Roman" w:cs="Times New Roman"/>
          <w:i/>
          <w:iCs/>
          <w:sz w:val="24"/>
        </w:rPr>
        <w:t>Cognitive Behaviour Therapy</w:t>
      </w:r>
      <w:r w:rsidRPr="00552A54">
        <w:rPr>
          <w:rFonts w:ascii="Times New Roman" w:hAnsi="Times New Roman" w:cs="Times New Roman"/>
          <w:sz w:val="24"/>
        </w:rPr>
        <w:t xml:space="preserve">, </w:t>
      </w:r>
      <w:r w:rsidRPr="00552A54">
        <w:rPr>
          <w:rFonts w:ascii="Times New Roman" w:hAnsi="Times New Roman" w:cs="Times New Roman"/>
          <w:i/>
          <w:iCs/>
          <w:sz w:val="24"/>
        </w:rPr>
        <w:t>36</w:t>
      </w:r>
      <w:r w:rsidRPr="00552A54">
        <w:rPr>
          <w:rFonts w:ascii="Times New Roman" w:hAnsi="Times New Roman" w:cs="Times New Roman"/>
          <w:sz w:val="24"/>
        </w:rPr>
        <w:t>(2), 112–122. https://doi.org/10.1080/16506070701232090</w:t>
      </w:r>
    </w:p>
    <w:p w14:paraId="15219350" w14:textId="77777777" w:rsidR="00552A54" w:rsidRPr="00552A54" w:rsidRDefault="00552A54" w:rsidP="00216050">
      <w:pPr>
        <w:pStyle w:val="Bibliography"/>
        <w:spacing w:line="276" w:lineRule="auto"/>
        <w:rPr>
          <w:rFonts w:ascii="Times New Roman" w:hAnsi="Times New Roman" w:cs="Times New Roman"/>
          <w:sz w:val="24"/>
        </w:rPr>
      </w:pPr>
      <w:r w:rsidRPr="00552A54">
        <w:rPr>
          <w:rFonts w:ascii="Times New Roman" w:hAnsi="Times New Roman" w:cs="Times New Roman"/>
          <w:sz w:val="24"/>
        </w:rPr>
        <w:t xml:space="preserve">Kühner, C., Huffziger, S., &amp; Nolen-Hoeksema, S. (2007). </w:t>
      </w:r>
      <w:r w:rsidRPr="00552A54">
        <w:rPr>
          <w:rFonts w:ascii="Times New Roman" w:hAnsi="Times New Roman" w:cs="Times New Roman"/>
          <w:i/>
          <w:iCs/>
          <w:sz w:val="24"/>
        </w:rPr>
        <w:t>Response styles questionnaire: RSQ-D</w:t>
      </w:r>
      <w:r w:rsidRPr="00552A54">
        <w:rPr>
          <w:rFonts w:ascii="Times New Roman" w:hAnsi="Times New Roman" w:cs="Times New Roman"/>
          <w:sz w:val="24"/>
        </w:rPr>
        <w:t>. Hogrefe.</w:t>
      </w:r>
    </w:p>
    <w:p w14:paraId="441D2BEB" w14:textId="77777777" w:rsidR="00552A54" w:rsidRPr="00552A54" w:rsidRDefault="00552A54" w:rsidP="00216050">
      <w:pPr>
        <w:pStyle w:val="Bibliography"/>
        <w:spacing w:line="276" w:lineRule="auto"/>
        <w:rPr>
          <w:rFonts w:ascii="Times New Roman" w:hAnsi="Times New Roman" w:cs="Times New Roman"/>
          <w:sz w:val="24"/>
        </w:rPr>
      </w:pPr>
      <w:r w:rsidRPr="00552A54">
        <w:rPr>
          <w:rFonts w:ascii="Times New Roman" w:hAnsi="Times New Roman" w:cs="Times New Roman"/>
          <w:sz w:val="24"/>
        </w:rPr>
        <w:t xml:space="preserve">McEvoy, P. M., &amp; Kingsep, P. (2006). The post-event processing questionnaire in a clinical sample with social phobia. </w:t>
      </w:r>
      <w:r w:rsidRPr="00552A54">
        <w:rPr>
          <w:rFonts w:ascii="Times New Roman" w:hAnsi="Times New Roman" w:cs="Times New Roman"/>
          <w:i/>
          <w:iCs/>
          <w:sz w:val="24"/>
        </w:rPr>
        <w:t>Behaviour Research and Therapy</w:t>
      </w:r>
      <w:r w:rsidRPr="00552A54">
        <w:rPr>
          <w:rFonts w:ascii="Times New Roman" w:hAnsi="Times New Roman" w:cs="Times New Roman"/>
          <w:sz w:val="24"/>
        </w:rPr>
        <w:t xml:space="preserve">, </w:t>
      </w:r>
      <w:r w:rsidRPr="00552A54">
        <w:rPr>
          <w:rFonts w:ascii="Times New Roman" w:hAnsi="Times New Roman" w:cs="Times New Roman"/>
          <w:i/>
          <w:iCs/>
          <w:sz w:val="24"/>
        </w:rPr>
        <w:t>44</w:t>
      </w:r>
      <w:r w:rsidRPr="00552A54">
        <w:rPr>
          <w:rFonts w:ascii="Times New Roman" w:hAnsi="Times New Roman" w:cs="Times New Roman"/>
          <w:sz w:val="24"/>
        </w:rPr>
        <w:t>(11), 1689–1697. https://doi.org/10.1016/j.brat.2005.12.005</w:t>
      </w:r>
    </w:p>
    <w:p w14:paraId="2E2AB7A1" w14:textId="77777777" w:rsidR="00552A54" w:rsidRPr="00552A54" w:rsidRDefault="00552A54" w:rsidP="00216050">
      <w:pPr>
        <w:pStyle w:val="Bibliography"/>
        <w:spacing w:line="276" w:lineRule="auto"/>
        <w:rPr>
          <w:rFonts w:ascii="Times New Roman" w:hAnsi="Times New Roman" w:cs="Times New Roman"/>
          <w:sz w:val="24"/>
        </w:rPr>
      </w:pPr>
      <w:r w:rsidRPr="00552A54">
        <w:rPr>
          <w:rFonts w:ascii="Times New Roman" w:hAnsi="Times New Roman" w:cs="Times New Roman"/>
          <w:sz w:val="24"/>
        </w:rPr>
        <w:t xml:space="preserve">McEvoy, P. M., Mahoney, A. E. J., &amp; Moulds, M. L. (2010). Are worry, rumination, and post-event processing one and the same? </w:t>
      </w:r>
      <w:r w:rsidRPr="00552A54">
        <w:rPr>
          <w:rFonts w:ascii="Times New Roman" w:hAnsi="Times New Roman" w:cs="Times New Roman"/>
          <w:i/>
          <w:iCs/>
          <w:sz w:val="24"/>
        </w:rPr>
        <w:t>Journal of Anxiety Disorders</w:t>
      </w:r>
      <w:r w:rsidRPr="00552A54">
        <w:rPr>
          <w:rFonts w:ascii="Times New Roman" w:hAnsi="Times New Roman" w:cs="Times New Roman"/>
          <w:sz w:val="24"/>
        </w:rPr>
        <w:t xml:space="preserve">, </w:t>
      </w:r>
      <w:r w:rsidRPr="00552A54">
        <w:rPr>
          <w:rFonts w:ascii="Times New Roman" w:hAnsi="Times New Roman" w:cs="Times New Roman"/>
          <w:i/>
          <w:iCs/>
          <w:sz w:val="24"/>
        </w:rPr>
        <w:t>24</w:t>
      </w:r>
      <w:r w:rsidRPr="00552A54">
        <w:rPr>
          <w:rFonts w:ascii="Times New Roman" w:hAnsi="Times New Roman" w:cs="Times New Roman"/>
          <w:sz w:val="24"/>
        </w:rPr>
        <w:t>(5), 509–519. https://doi.org/10.1016/j.janxdis.2010.03.008</w:t>
      </w:r>
    </w:p>
    <w:p w14:paraId="37D36C7D" w14:textId="77777777" w:rsidR="00552A54" w:rsidRPr="00552A54" w:rsidRDefault="00552A54" w:rsidP="00216050">
      <w:pPr>
        <w:pStyle w:val="Bibliography"/>
        <w:spacing w:line="276" w:lineRule="auto"/>
        <w:rPr>
          <w:rFonts w:ascii="Times New Roman" w:hAnsi="Times New Roman" w:cs="Times New Roman"/>
          <w:sz w:val="24"/>
        </w:rPr>
      </w:pPr>
      <w:r w:rsidRPr="00552A54">
        <w:rPr>
          <w:rFonts w:ascii="Times New Roman" w:hAnsi="Times New Roman" w:cs="Times New Roman"/>
          <w:sz w:val="24"/>
        </w:rPr>
        <w:t xml:space="preserve">Meyer, T. J., Miller, M. L., Metzger, R. L., &amp; Borkovec, T. D. (1990). Development and validation of the penn state worry questionnaire. </w:t>
      </w:r>
      <w:r w:rsidRPr="00552A54">
        <w:rPr>
          <w:rFonts w:ascii="Times New Roman" w:hAnsi="Times New Roman" w:cs="Times New Roman"/>
          <w:i/>
          <w:iCs/>
          <w:sz w:val="24"/>
        </w:rPr>
        <w:t>Behaviour Research and Therapy</w:t>
      </w:r>
      <w:r w:rsidRPr="00552A54">
        <w:rPr>
          <w:rFonts w:ascii="Times New Roman" w:hAnsi="Times New Roman" w:cs="Times New Roman"/>
          <w:sz w:val="24"/>
        </w:rPr>
        <w:t xml:space="preserve">, </w:t>
      </w:r>
      <w:r w:rsidRPr="00552A54">
        <w:rPr>
          <w:rFonts w:ascii="Times New Roman" w:hAnsi="Times New Roman" w:cs="Times New Roman"/>
          <w:i/>
          <w:iCs/>
          <w:sz w:val="24"/>
        </w:rPr>
        <w:t>28</w:t>
      </w:r>
      <w:r w:rsidRPr="00552A54">
        <w:rPr>
          <w:rFonts w:ascii="Times New Roman" w:hAnsi="Times New Roman" w:cs="Times New Roman"/>
          <w:sz w:val="24"/>
        </w:rPr>
        <w:t>(6), 487–495. https://doi.org/10.1016/0005-7967(90)90135-6</w:t>
      </w:r>
    </w:p>
    <w:p w14:paraId="44F5B873" w14:textId="77777777" w:rsidR="00552A54" w:rsidRPr="00552A54" w:rsidRDefault="00552A54" w:rsidP="00216050">
      <w:pPr>
        <w:pStyle w:val="Bibliography"/>
        <w:spacing w:line="276" w:lineRule="auto"/>
        <w:rPr>
          <w:rFonts w:ascii="Times New Roman" w:hAnsi="Times New Roman" w:cs="Times New Roman"/>
          <w:sz w:val="24"/>
        </w:rPr>
      </w:pPr>
      <w:r w:rsidRPr="00552A54">
        <w:rPr>
          <w:rFonts w:ascii="Times New Roman" w:hAnsi="Times New Roman" w:cs="Times New Roman"/>
          <w:sz w:val="24"/>
        </w:rPr>
        <w:lastRenderedPageBreak/>
        <w:t xml:space="preserve">Nolen-Hoeksema, S., &amp; Morrow, J. (1991). A prospective study of depression and posttraumatic stress symptoms after a natural disaster: The 1989 Loma Prieta earthquake. </w:t>
      </w:r>
      <w:r w:rsidRPr="00552A54">
        <w:rPr>
          <w:rFonts w:ascii="Times New Roman" w:hAnsi="Times New Roman" w:cs="Times New Roman"/>
          <w:i/>
          <w:iCs/>
          <w:sz w:val="24"/>
        </w:rPr>
        <w:t>Journal of Personality and Social Psychology</w:t>
      </w:r>
      <w:r w:rsidRPr="00552A54">
        <w:rPr>
          <w:rFonts w:ascii="Times New Roman" w:hAnsi="Times New Roman" w:cs="Times New Roman"/>
          <w:sz w:val="24"/>
        </w:rPr>
        <w:t xml:space="preserve">, </w:t>
      </w:r>
      <w:r w:rsidRPr="00552A54">
        <w:rPr>
          <w:rFonts w:ascii="Times New Roman" w:hAnsi="Times New Roman" w:cs="Times New Roman"/>
          <w:i/>
          <w:iCs/>
          <w:sz w:val="24"/>
        </w:rPr>
        <w:t>61</w:t>
      </w:r>
      <w:r w:rsidRPr="00552A54">
        <w:rPr>
          <w:rFonts w:ascii="Times New Roman" w:hAnsi="Times New Roman" w:cs="Times New Roman"/>
          <w:sz w:val="24"/>
        </w:rPr>
        <w:t>(1), 115–121. https://doi.org/10.1037/0022-3514.61.1.115</w:t>
      </w:r>
    </w:p>
    <w:p w14:paraId="21B1E0BB" w14:textId="77777777" w:rsidR="00552A54" w:rsidRPr="00552A54" w:rsidRDefault="00552A54" w:rsidP="00216050">
      <w:pPr>
        <w:pStyle w:val="Bibliography"/>
        <w:spacing w:line="276" w:lineRule="auto"/>
        <w:rPr>
          <w:rFonts w:ascii="Times New Roman" w:hAnsi="Times New Roman" w:cs="Times New Roman"/>
          <w:sz w:val="24"/>
        </w:rPr>
      </w:pPr>
      <w:r w:rsidRPr="00552A54">
        <w:rPr>
          <w:rFonts w:ascii="Times New Roman" w:hAnsi="Times New Roman" w:cs="Times New Roman"/>
          <w:sz w:val="24"/>
        </w:rPr>
        <w:t xml:space="preserve">Rachman, S., Grüter-Andrew, J., &amp; Shafran, R. (2000). Post-event processing in social anxiety. </w:t>
      </w:r>
      <w:r w:rsidRPr="00552A54">
        <w:rPr>
          <w:rFonts w:ascii="Times New Roman" w:hAnsi="Times New Roman" w:cs="Times New Roman"/>
          <w:i/>
          <w:iCs/>
          <w:sz w:val="24"/>
        </w:rPr>
        <w:t>Behaviour Research and Therapy</w:t>
      </w:r>
      <w:r w:rsidRPr="00552A54">
        <w:rPr>
          <w:rFonts w:ascii="Times New Roman" w:hAnsi="Times New Roman" w:cs="Times New Roman"/>
          <w:sz w:val="24"/>
        </w:rPr>
        <w:t xml:space="preserve">, </w:t>
      </w:r>
      <w:r w:rsidRPr="00552A54">
        <w:rPr>
          <w:rFonts w:ascii="Times New Roman" w:hAnsi="Times New Roman" w:cs="Times New Roman"/>
          <w:i/>
          <w:iCs/>
          <w:sz w:val="24"/>
        </w:rPr>
        <w:t>38</w:t>
      </w:r>
      <w:r w:rsidRPr="00552A54">
        <w:rPr>
          <w:rFonts w:ascii="Times New Roman" w:hAnsi="Times New Roman" w:cs="Times New Roman"/>
          <w:sz w:val="24"/>
        </w:rPr>
        <w:t>(6), 611–617. https://doi.org/10.1016/S0005-7967(99)00089-3</w:t>
      </w:r>
    </w:p>
    <w:p w14:paraId="40072E51" w14:textId="77777777" w:rsidR="00552A54" w:rsidRPr="00552A54" w:rsidRDefault="00552A54" w:rsidP="00216050">
      <w:pPr>
        <w:pStyle w:val="Bibliography"/>
        <w:spacing w:line="276" w:lineRule="auto"/>
        <w:rPr>
          <w:rFonts w:ascii="Times New Roman" w:hAnsi="Times New Roman" w:cs="Times New Roman"/>
          <w:sz w:val="24"/>
        </w:rPr>
      </w:pPr>
      <w:r w:rsidRPr="00552A54">
        <w:rPr>
          <w:rFonts w:ascii="Times New Roman" w:hAnsi="Times New Roman" w:cs="Times New Roman"/>
          <w:sz w:val="24"/>
        </w:rPr>
        <w:t xml:space="preserve">Stöber, J., &amp; Bittencourt, J. (1998). Weekly assessment of worry: An adaptation of the Penn State Worry Questionnaire for monitoring changes during treatment. </w:t>
      </w:r>
      <w:r w:rsidRPr="00552A54">
        <w:rPr>
          <w:rFonts w:ascii="Times New Roman" w:hAnsi="Times New Roman" w:cs="Times New Roman"/>
          <w:i/>
          <w:iCs/>
          <w:sz w:val="24"/>
        </w:rPr>
        <w:t>Behaviour Research and Therapy</w:t>
      </w:r>
      <w:r w:rsidRPr="00552A54">
        <w:rPr>
          <w:rFonts w:ascii="Times New Roman" w:hAnsi="Times New Roman" w:cs="Times New Roman"/>
          <w:sz w:val="24"/>
        </w:rPr>
        <w:t xml:space="preserve">, </w:t>
      </w:r>
      <w:r w:rsidRPr="00552A54">
        <w:rPr>
          <w:rFonts w:ascii="Times New Roman" w:hAnsi="Times New Roman" w:cs="Times New Roman"/>
          <w:i/>
          <w:iCs/>
          <w:sz w:val="24"/>
        </w:rPr>
        <w:t>36</w:t>
      </w:r>
      <w:r w:rsidRPr="00552A54">
        <w:rPr>
          <w:rFonts w:ascii="Times New Roman" w:hAnsi="Times New Roman" w:cs="Times New Roman"/>
          <w:sz w:val="24"/>
        </w:rPr>
        <w:t>(6), 645–656. https://doi.org/10.1016/S0005-7967(98)00031-X</w:t>
      </w:r>
    </w:p>
    <w:p w14:paraId="6E889EBB" w14:textId="77777777" w:rsidR="00552A54" w:rsidRPr="00552A54" w:rsidRDefault="00552A54" w:rsidP="00216050">
      <w:pPr>
        <w:pStyle w:val="Bibliography"/>
        <w:spacing w:line="276" w:lineRule="auto"/>
        <w:rPr>
          <w:rFonts w:ascii="Times New Roman" w:hAnsi="Times New Roman" w:cs="Times New Roman"/>
          <w:sz w:val="24"/>
        </w:rPr>
      </w:pPr>
      <w:r w:rsidRPr="00552A54">
        <w:rPr>
          <w:rFonts w:ascii="Times New Roman" w:hAnsi="Times New Roman" w:cs="Times New Roman"/>
          <w:sz w:val="24"/>
        </w:rPr>
        <w:t xml:space="preserve">Tallis, F., Eysenck, M., &amp; Mathews, A. (1992). A questionnaire for the measurement of nonpathological worry. </w:t>
      </w:r>
      <w:r w:rsidRPr="00552A54">
        <w:rPr>
          <w:rFonts w:ascii="Times New Roman" w:hAnsi="Times New Roman" w:cs="Times New Roman"/>
          <w:i/>
          <w:iCs/>
          <w:sz w:val="24"/>
        </w:rPr>
        <w:t>Personality and Individual Differences</w:t>
      </w:r>
      <w:r w:rsidRPr="00552A54">
        <w:rPr>
          <w:rFonts w:ascii="Times New Roman" w:hAnsi="Times New Roman" w:cs="Times New Roman"/>
          <w:sz w:val="24"/>
        </w:rPr>
        <w:t xml:space="preserve">, </w:t>
      </w:r>
      <w:r w:rsidRPr="00552A54">
        <w:rPr>
          <w:rFonts w:ascii="Times New Roman" w:hAnsi="Times New Roman" w:cs="Times New Roman"/>
          <w:i/>
          <w:iCs/>
          <w:sz w:val="24"/>
        </w:rPr>
        <w:t>13</w:t>
      </w:r>
      <w:r w:rsidRPr="00552A54">
        <w:rPr>
          <w:rFonts w:ascii="Times New Roman" w:hAnsi="Times New Roman" w:cs="Times New Roman"/>
          <w:sz w:val="24"/>
        </w:rPr>
        <w:t>(2), 161–168. https://doi.org/10.1016/0191-8869(92)90038-Q</w:t>
      </w:r>
    </w:p>
    <w:p w14:paraId="0A3E6CD0" w14:textId="77777777" w:rsidR="00552A54" w:rsidRPr="00552A54" w:rsidRDefault="00552A54" w:rsidP="00216050">
      <w:pPr>
        <w:pStyle w:val="Bibliography"/>
        <w:spacing w:line="276" w:lineRule="auto"/>
        <w:rPr>
          <w:rFonts w:ascii="Times New Roman" w:hAnsi="Times New Roman" w:cs="Times New Roman"/>
          <w:sz w:val="24"/>
        </w:rPr>
      </w:pPr>
      <w:r w:rsidRPr="00552A54">
        <w:rPr>
          <w:rFonts w:ascii="Times New Roman" w:hAnsi="Times New Roman" w:cs="Times New Roman"/>
          <w:sz w:val="24"/>
        </w:rPr>
        <w:t xml:space="preserve">Trapnell, P. D., &amp; Campbell, J. D. (1999). Private self-consciousness and the five-factor model of personality: Distinguishing rumination from reflection. </w:t>
      </w:r>
      <w:r w:rsidRPr="00552A54">
        <w:rPr>
          <w:rFonts w:ascii="Times New Roman" w:hAnsi="Times New Roman" w:cs="Times New Roman"/>
          <w:i/>
          <w:iCs/>
          <w:sz w:val="24"/>
        </w:rPr>
        <w:t>Journal of Personality and Social Psychology</w:t>
      </w:r>
      <w:r w:rsidRPr="00552A54">
        <w:rPr>
          <w:rFonts w:ascii="Times New Roman" w:hAnsi="Times New Roman" w:cs="Times New Roman"/>
          <w:sz w:val="24"/>
        </w:rPr>
        <w:t xml:space="preserve">, </w:t>
      </w:r>
      <w:r w:rsidRPr="00552A54">
        <w:rPr>
          <w:rFonts w:ascii="Times New Roman" w:hAnsi="Times New Roman" w:cs="Times New Roman"/>
          <w:i/>
          <w:iCs/>
          <w:sz w:val="24"/>
        </w:rPr>
        <w:t>76</w:t>
      </w:r>
      <w:r w:rsidRPr="00552A54">
        <w:rPr>
          <w:rFonts w:ascii="Times New Roman" w:hAnsi="Times New Roman" w:cs="Times New Roman"/>
          <w:sz w:val="24"/>
        </w:rPr>
        <w:t>(2), 284–304. https://doi.org/10.1037/0022-3514.76.2.284</w:t>
      </w:r>
    </w:p>
    <w:p w14:paraId="17E12B3A" w14:textId="77777777" w:rsidR="00552A54" w:rsidRPr="00552A54" w:rsidRDefault="00552A54" w:rsidP="00216050">
      <w:pPr>
        <w:pStyle w:val="Bibliography"/>
        <w:spacing w:line="276" w:lineRule="auto"/>
        <w:rPr>
          <w:rFonts w:ascii="Times New Roman" w:hAnsi="Times New Roman" w:cs="Times New Roman"/>
          <w:sz w:val="24"/>
        </w:rPr>
      </w:pPr>
      <w:r w:rsidRPr="00552A54">
        <w:rPr>
          <w:rFonts w:ascii="Times New Roman" w:hAnsi="Times New Roman" w:cs="Times New Roman"/>
          <w:sz w:val="24"/>
        </w:rPr>
        <w:t xml:space="preserve">Treynor, W., Gonzalez, R., &amp; Nolen-Hoeksema, S. (2003). Rumination Reconsidered: A Psychometric Analysis. </w:t>
      </w:r>
      <w:r w:rsidRPr="00552A54">
        <w:rPr>
          <w:rFonts w:ascii="Times New Roman" w:hAnsi="Times New Roman" w:cs="Times New Roman"/>
          <w:i/>
          <w:iCs/>
          <w:sz w:val="24"/>
        </w:rPr>
        <w:t>Cognitive Therapy and Research</w:t>
      </w:r>
      <w:r w:rsidRPr="00552A54">
        <w:rPr>
          <w:rFonts w:ascii="Times New Roman" w:hAnsi="Times New Roman" w:cs="Times New Roman"/>
          <w:sz w:val="24"/>
        </w:rPr>
        <w:t xml:space="preserve">, </w:t>
      </w:r>
      <w:r w:rsidRPr="00552A54">
        <w:rPr>
          <w:rFonts w:ascii="Times New Roman" w:hAnsi="Times New Roman" w:cs="Times New Roman"/>
          <w:i/>
          <w:iCs/>
          <w:sz w:val="24"/>
        </w:rPr>
        <w:t>27</w:t>
      </w:r>
      <w:r w:rsidRPr="00552A54">
        <w:rPr>
          <w:rFonts w:ascii="Times New Roman" w:hAnsi="Times New Roman" w:cs="Times New Roman"/>
          <w:sz w:val="24"/>
        </w:rPr>
        <w:t>(3), 247–259. https://doi.org/10.1023/A:1023910315561</w:t>
      </w:r>
    </w:p>
    <w:p w14:paraId="3444045F" w14:textId="77777777" w:rsidR="00552A54" w:rsidRPr="00552A54" w:rsidRDefault="00552A54" w:rsidP="00216050">
      <w:pPr>
        <w:pStyle w:val="Bibliography"/>
        <w:spacing w:line="276" w:lineRule="auto"/>
        <w:rPr>
          <w:rFonts w:ascii="Times New Roman" w:hAnsi="Times New Roman" w:cs="Times New Roman"/>
          <w:sz w:val="24"/>
        </w:rPr>
      </w:pPr>
      <w:r w:rsidRPr="00552A54">
        <w:rPr>
          <w:rFonts w:ascii="Times New Roman" w:hAnsi="Times New Roman" w:cs="Times New Roman"/>
          <w:sz w:val="24"/>
        </w:rPr>
        <w:t xml:space="preserve">Wells, A. (1994). A multi-dimensional measure of worry: Development and preliminary validation of the anxious thoughts inventory. </w:t>
      </w:r>
      <w:r w:rsidRPr="00552A54">
        <w:rPr>
          <w:rFonts w:ascii="Times New Roman" w:hAnsi="Times New Roman" w:cs="Times New Roman"/>
          <w:i/>
          <w:iCs/>
          <w:sz w:val="24"/>
        </w:rPr>
        <w:t>Anxiety, Stress &amp; Coping</w:t>
      </w:r>
      <w:r w:rsidRPr="00552A54">
        <w:rPr>
          <w:rFonts w:ascii="Times New Roman" w:hAnsi="Times New Roman" w:cs="Times New Roman"/>
          <w:sz w:val="24"/>
        </w:rPr>
        <w:t xml:space="preserve">, </w:t>
      </w:r>
      <w:r w:rsidRPr="00552A54">
        <w:rPr>
          <w:rFonts w:ascii="Times New Roman" w:hAnsi="Times New Roman" w:cs="Times New Roman"/>
          <w:i/>
          <w:iCs/>
          <w:sz w:val="24"/>
        </w:rPr>
        <w:t>6</w:t>
      </w:r>
      <w:r w:rsidRPr="00552A54">
        <w:rPr>
          <w:rFonts w:ascii="Times New Roman" w:hAnsi="Times New Roman" w:cs="Times New Roman"/>
          <w:sz w:val="24"/>
        </w:rPr>
        <w:t>(4), 289–299. https://doi.org/10.1080/10615809408248803</w:t>
      </w:r>
    </w:p>
    <w:p w14:paraId="3068821C" w14:textId="77777777" w:rsidR="00552A54" w:rsidRPr="00552A54" w:rsidRDefault="00552A54" w:rsidP="00216050">
      <w:pPr>
        <w:pStyle w:val="Bibliography"/>
        <w:spacing w:line="276" w:lineRule="auto"/>
        <w:rPr>
          <w:rFonts w:ascii="Times New Roman" w:hAnsi="Times New Roman" w:cs="Times New Roman"/>
          <w:sz w:val="24"/>
        </w:rPr>
      </w:pPr>
      <w:r w:rsidRPr="00552A54">
        <w:rPr>
          <w:rFonts w:ascii="Times New Roman" w:hAnsi="Times New Roman" w:cs="Times New Roman"/>
          <w:sz w:val="24"/>
        </w:rPr>
        <w:t xml:space="preserve">Wells, A., &amp; Davies, M. I. (1994). The thought control questionnaire: A measure of individual differences in the control of unwanted thoughts. </w:t>
      </w:r>
      <w:r w:rsidRPr="00552A54">
        <w:rPr>
          <w:rFonts w:ascii="Times New Roman" w:hAnsi="Times New Roman" w:cs="Times New Roman"/>
          <w:i/>
          <w:iCs/>
          <w:sz w:val="24"/>
        </w:rPr>
        <w:t>Behaviour Research and Therapy</w:t>
      </w:r>
      <w:r w:rsidRPr="00552A54">
        <w:rPr>
          <w:rFonts w:ascii="Times New Roman" w:hAnsi="Times New Roman" w:cs="Times New Roman"/>
          <w:sz w:val="24"/>
        </w:rPr>
        <w:t xml:space="preserve">, </w:t>
      </w:r>
      <w:r w:rsidRPr="00552A54">
        <w:rPr>
          <w:rFonts w:ascii="Times New Roman" w:hAnsi="Times New Roman" w:cs="Times New Roman"/>
          <w:i/>
          <w:iCs/>
          <w:sz w:val="24"/>
        </w:rPr>
        <w:t>32</w:t>
      </w:r>
      <w:r w:rsidRPr="00552A54">
        <w:rPr>
          <w:rFonts w:ascii="Times New Roman" w:hAnsi="Times New Roman" w:cs="Times New Roman"/>
          <w:sz w:val="24"/>
        </w:rPr>
        <w:t>(8), 871–878. https://doi.org/10.1016/0005-7967(94)90168-6</w:t>
      </w:r>
    </w:p>
    <w:p w14:paraId="5A817B13" w14:textId="55306390" w:rsidR="0016523C" w:rsidRPr="00AA5025" w:rsidRDefault="00552A54" w:rsidP="00AA5025">
      <w:pPr>
        <w:spacing w:line="276" w:lineRule="auto"/>
        <w:jc w:val="both"/>
      </w:pPr>
      <w:r w:rsidRPr="0016523C">
        <w:rPr>
          <w:lang w:val="en-US"/>
        </w:rPr>
        <w:fldChar w:fldCharType="end"/>
      </w:r>
    </w:p>
    <w:p w14:paraId="4577E4E7" w14:textId="618AB07D" w:rsidR="00022728" w:rsidRPr="00022728" w:rsidRDefault="001E1418" w:rsidP="00022728">
      <w:pPr>
        <w:spacing w:line="276" w:lineRule="auto"/>
        <w:rPr>
          <w:bCs/>
          <w:sz w:val="28"/>
          <w:szCs w:val="28"/>
          <w:lang w:val="en-US"/>
        </w:rPr>
      </w:pPr>
      <w:r>
        <w:rPr>
          <w:b/>
          <w:sz w:val="28"/>
          <w:szCs w:val="28"/>
          <w:lang w:val="en-US"/>
        </w:rPr>
        <w:t>SI</w:t>
      </w:r>
      <w:r w:rsidR="00055480">
        <w:rPr>
          <w:b/>
          <w:sz w:val="28"/>
          <w:szCs w:val="28"/>
          <w:lang w:val="en-US"/>
        </w:rPr>
        <w:t>4</w:t>
      </w:r>
      <w:r>
        <w:rPr>
          <w:b/>
          <w:sz w:val="28"/>
          <w:szCs w:val="28"/>
          <w:lang w:val="en-US"/>
        </w:rPr>
        <w:t xml:space="preserve">: </w:t>
      </w:r>
      <w:r w:rsidR="0016523C" w:rsidRPr="0016523C">
        <w:rPr>
          <w:bCs/>
          <w:sz w:val="28"/>
          <w:szCs w:val="28"/>
          <w:lang w:val="en-US"/>
        </w:rPr>
        <w:t xml:space="preserve">References of </w:t>
      </w:r>
      <w:r w:rsidRPr="0016523C">
        <w:rPr>
          <w:bCs/>
          <w:sz w:val="28"/>
          <w:szCs w:val="28"/>
          <w:lang w:val="en-US"/>
        </w:rPr>
        <w:t xml:space="preserve">R </w:t>
      </w:r>
      <w:r w:rsidR="0016523C">
        <w:rPr>
          <w:bCs/>
          <w:sz w:val="28"/>
          <w:szCs w:val="28"/>
          <w:lang w:val="en-US"/>
        </w:rPr>
        <w:t>t</w:t>
      </w:r>
      <w:r w:rsidRPr="0016523C">
        <w:rPr>
          <w:bCs/>
          <w:sz w:val="28"/>
          <w:szCs w:val="28"/>
          <w:lang w:val="en-US"/>
        </w:rPr>
        <w:t>oolboxes used</w:t>
      </w:r>
    </w:p>
    <w:p w14:paraId="23955EDE" w14:textId="77777777" w:rsidR="00022728" w:rsidRPr="009C26FB" w:rsidRDefault="00022728" w:rsidP="00022728">
      <w:pPr>
        <w:pStyle w:val="Bibliography"/>
        <w:spacing w:line="276" w:lineRule="auto"/>
        <w:rPr>
          <w:rFonts w:ascii="Times New Roman" w:hAnsi="Times New Roman" w:cs="Times New Roman"/>
          <w:sz w:val="24"/>
        </w:rPr>
      </w:pPr>
      <w:r w:rsidRPr="009C26FB">
        <w:rPr>
          <w:rFonts w:ascii="Times New Roman" w:hAnsi="Times New Roman" w:cs="Times New Roman"/>
        </w:rPr>
        <w:fldChar w:fldCharType="begin"/>
      </w:r>
      <w:r w:rsidRPr="009C26FB">
        <w:rPr>
          <w:rFonts w:ascii="Times New Roman" w:hAnsi="Times New Roman" w:cs="Times New Roman"/>
          <w:lang w:val="de-DE"/>
        </w:rPr>
        <w:instrText xml:space="preserve"> ADDIN ZOTERO_BIBL {"uncited":[],"omitted":[],"custom":[]} CSL_BIBLIOGRAPHY </w:instrText>
      </w:r>
      <w:r w:rsidRPr="009C26FB">
        <w:rPr>
          <w:rFonts w:ascii="Times New Roman" w:hAnsi="Times New Roman" w:cs="Times New Roman"/>
        </w:rPr>
        <w:fldChar w:fldCharType="separate"/>
      </w:r>
      <w:r w:rsidRPr="001A65C1">
        <w:rPr>
          <w:rFonts w:ascii="Times New Roman" w:hAnsi="Times New Roman" w:cs="Times New Roman"/>
          <w:sz w:val="24"/>
          <w:lang w:val="de-DE"/>
        </w:rPr>
        <w:t xml:space="preserve">Balduzzi, S., Rücker, G., &amp; Schwarzer, G. (2019). </w:t>
      </w:r>
      <w:r w:rsidRPr="009C26FB">
        <w:rPr>
          <w:rFonts w:ascii="Times New Roman" w:hAnsi="Times New Roman" w:cs="Times New Roman"/>
          <w:sz w:val="24"/>
        </w:rPr>
        <w:t xml:space="preserve">How to perform a meta-analysis with R: A practical tutorial. </w:t>
      </w:r>
      <w:r w:rsidRPr="009C26FB">
        <w:rPr>
          <w:rFonts w:ascii="Times New Roman" w:hAnsi="Times New Roman" w:cs="Times New Roman"/>
          <w:i/>
          <w:iCs/>
          <w:sz w:val="24"/>
        </w:rPr>
        <w:t>Evidence Based Mental Health</w:t>
      </w:r>
      <w:r w:rsidRPr="009C26FB">
        <w:rPr>
          <w:rFonts w:ascii="Times New Roman" w:hAnsi="Times New Roman" w:cs="Times New Roman"/>
          <w:sz w:val="24"/>
        </w:rPr>
        <w:t xml:space="preserve">, </w:t>
      </w:r>
      <w:r w:rsidRPr="009C26FB">
        <w:rPr>
          <w:rFonts w:ascii="Times New Roman" w:hAnsi="Times New Roman" w:cs="Times New Roman"/>
          <w:i/>
          <w:iCs/>
          <w:sz w:val="24"/>
        </w:rPr>
        <w:t>22</w:t>
      </w:r>
      <w:r w:rsidRPr="009C26FB">
        <w:rPr>
          <w:rFonts w:ascii="Times New Roman" w:hAnsi="Times New Roman" w:cs="Times New Roman"/>
          <w:sz w:val="24"/>
        </w:rPr>
        <w:t>(4), 153–160. https://doi.org/10.1136/ebmental-2019-300117</w:t>
      </w:r>
    </w:p>
    <w:p w14:paraId="3465222C" w14:textId="77777777" w:rsidR="00022728" w:rsidRPr="009C26FB" w:rsidRDefault="00022728" w:rsidP="00022728">
      <w:pPr>
        <w:pStyle w:val="Bibliography"/>
        <w:spacing w:line="276" w:lineRule="auto"/>
        <w:rPr>
          <w:rFonts w:ascii="Times New Roman" w:hAnsi="Times New Roman" w:cs="Times New Roman"/>
          <w:sz w:val="24"/>
        </w:rPr>
      </w:pPr>
      <w:r w:rsidRPr="009C26FB">
        <w:rPr>
          <w:rFonts w:ascii="Times New Roman" w:hAnsi="Times New Roman" w:cs="Times New Roman"/>
          <w:sz w:val="24"/>
        </w:rPr>
        <w:t xml:space="preserve">Harrer, M., Cuijpers, P., Furukawa, T., &amp; Ebert, D. D. (2019). </w:t>
      </w:r>
      <w:r w:rsidRPr="009C26FB">
        <w:rPr>
          <w:rFonts w:ascii="Times New Roman" w:hAnsi="Times New Roman" w:cs="Times New Roman"/>
          <w:i/>
          <w:iCs/>
          <w:sz w:val="24"/>
        </w:rPr>
        <w:t>dmetar: Companion R Package For The Guide “Doing Meta-Analysis in R.”</w:t>
      </w:r>
      <w:r w:rsidRPr="009C26FB">
        <w:rPr>
          <w:rFonts w:ascii="Times New Roman" w:hAnsi="Times New Roman" w:cs="Times New Roman"/>
          <w:sz w:val="24"/>
        </w:rPr>
        <w:t xml:space="preserve"> Retrieved from http://dmetar.protectlab.org/</w:t>
      </w:r>
    </w:p>
    <w:p w14:paraId="26DCBC51" w14:textId="77777777" w:rsidR="00022728" w:rsidRPr="009C26FB" w:rsidRDefault="00022728" w:rsidP="00022728">
      <w:pPr>
        <w:pStyle w:val="Bibliography"/>
        <w:spacing w:line="276" w:lineRule="auto"/>
        <w:rPr>
          <w:rFonts w:ascii="Times New Roman" w:hAnsi="Times New Roman" w:cs="Times New Roman"/>
          <w:sz w:val="24"/>
        </w:rPr>
      </w:pPr>
      <w:r w:rsidRPr="009C26FB">
        <w:rPr>
          <w:rFonts w:ascii="Times New Roman" w:hAnsi="Times New Roman" w:cs="Times New Roman"/>
          <w:sz w:val="24"/>
        </w:rPr>
        <w:t xml:space="preserve">Nagashima, K., Noma, H., &amp; Furukawa, T. A. (2019). Prediction interval for random-effects meta-analysis: A confidence distribution approach. </w:t>
      </w:r>
      <w:r w:rsidRPr="009C26FB">
        <w:rPr>
          <w:rFonts w:ascii="Times New Roman" w:hAnsi="Times New Roman" w:cs="Times New Roman"/>
          <w:i/>
          <w:iCs/>
          <w:sz w:val="24"/>
        </w:rPr>
        <w:t>Statistical Methods in Medical Research</w:t>
      </w:r>
      <w:r w:rsidRPr="009C26FB">
        <w:rPr>
          <w:rFonts w:ascii="Times New Roman" w:hAnsi="Times New Roman" w:cs="Times New Roman"/>
          <w:sz w:val="24"/>
        </w:rPr>
        <w:t xml:space="preserve">, </w:t>
      </w:r>
      <w:r w:rsidRPr="009C26FB">
        <w:rPr>
          <w:rFonts w:ascii="Times New Roman" w:hAnsi="Times New Roman" w:cs="Times New Roman"/>
          <w:i/>
          <w:iCs/>
          <w:sz w:val="24"/>
        </w:rPr>
        <w:t>28</w:t>
      </w:r>
      <w:r w:rsidRPr="009C26FB">
        <w:rPr>
          <w:rFonts w:ascii="Times New Roman" w:hAnsi="Times New Roman" w:cs="Times New Roman"/>
          <w:sz w:val="24"/>
        </w:rPr>
        <w:t>(6). https://doi.org/10.1177/0962280218773520</w:t>
      </w:r>
    </w:p>
    <w:p w14:paraId="7D312A17" w14:textId="77777777" w:rsidR="00022728" w:rsidRPr="009C26FB" w:rsidRDefault="00022728" w:rsidP="00022728">
      <w:pPr>
        <w:pStyle w:val="Bibliography"/>
        <w:spacing w:line="276" w:lineRule="auto"/>
        <w:rPr>
          <w:rFonts w:ascii="Times New Roman" w:hAnsi="Times New Roman" w:cs="Times New Roman"/>
          <w:sz w:val="24"/>
        </w:rPr>
      </w:pPr>
      <w:r w:rsidRPr="009C26FB">
        <w:rPr>
          <w:rFonts w:ascii="Times New Roman" w:hAnsi="Times New Roman" w:cs="Times New Roman"/>
          <w:sz w:val="24"/>
        </w:rPr>
        <w:t xml:space="preserve">Peterson, B. G., &amp; Carl, P. (2020). </w:t>
      </w:r>
      <w:r w:rsidRPr="009C26FB">
        <w:rPr>
          <w:rFonts w:ascii="Times New Roman" w:hAnsi="Times New Roman" w:cs="Times New Roman"/>
          <w:i/>
          <w:iCs/>
          <w:sz w:val="24"/>
        </w:rPr>
        <w:t>PerformanceAnalytics: Econometric Tools for Performance and Risk Analysis</w:t>
      </w:r>
      <w:r w:rsidRPr="009C26FB">
        <w:rPr>
          <w:rFonts w:ascii="Times New Roman" w:hAnsi="Times New Roman" w:cs="Times New Roman"/>
          <w:sz w:val="24"/>
        </w:rPr>
        <w:t>. Retrieved from https://CRAN.R-project.org/package=PerformanceAnalytics</w:t>
      </w:r>
    </w:p>
    <w:p w14:paraId="6228BD2C" w14:textId="77777777" w:rsidR="00022728" w:rsidRPr="009C26FB" w:rsidRDefault="00022728" w:rsidP="00022728">
      <w:pPr>
        <w:pStyle w:val="Bibliography"/>
        <w:spacing w:line="276" w:lineRule="auto"/>
        <w:rPr>
          <w:rFonts w:ascii="Times New Roman" w:hAnsi="Times New Roman" w:cs="Times New Roman"/>
          <w:sz w:val="24"/>
        </w:rPr>
      </w:pPr>
      <w:r w:rsidRPr="009C26FB">
        <w:rPr>
          <w:rFonts w:ascii="Times New Roman" w:hAnsi="Times New Roman" w:cs="Times New Roman"/>
          <w:sz w:val="24"/>
        </w:rPr>
        <w:lastRenderedPageBreak/>
        <w:t xml:space="preserve">Pick, J. L., Nakagawa, S., &amp; Noble, D. W. A. (2018, January 15). </w:t>
      </w:r>
      <w:r w:rsidRPr="009C26FB">
        <w:rPr>
          <w:rFonts w:ascii="Times New Roman" w:hAnsi="Times New Roman" w:cs="Times New Roman"/>
          <w:i/>
          <w:iCs/>
          <w:sz w:val="24"/>
        </w:rPr>
        <w:t xml:space="preserve">Reproducible, flexible and high-throughput data extraction from primary literature: The metaDigitise </w:t>
      </w:r>
      <w:r w:rsidRPr="009C26FB">
        <w:rPr>
          <w:rFonts w:ascii="Times New Roman" w:hAnsi="Times New Roman" w:cs="Times New Roman"/>
          <w:b/>
          <w:bCs/>
          <w:i/>
          <w:iCs/>
          <w:sz w:val="24"/>
        </w:rPr>
        <w:t>R</w:t>
      </w:r>
      <w:r w:rsidRPr="009C26FB">
        <w:rPr>
          <w:rFonts w:ascii="Times New Roman" w:hAnsi="Times New Roman" w:cs="Times New Roman"/>
          <w:i/>
          <w:iCs/>
          <w:sz w:val="24"/>
        </w:rPr>
        <w:t xml:space="preserve"> package</w:t>
      </w:r>
      <w:r w:rsidRPr="009C26FB">
        <w:rPr>
          <w:rFonts w:ascii="Times New Roman" w:hAnsi="Times New Roman" w:cs="Times New Roman"/>
          <w:sz w:val="24"/>
        </w:rPr>
        <w:t>. https://doi.org/10.1101/247775</w:t>
      </w:r>
    </w:p>
    <w:p w14:paraId="4FEE34BF" w14:textId="77777777" w:rsidR="00022728" w:rsidRPr="009C26FB" w:rsidRDefault="00022728" w:rsidP="00022728">
      <w:pPr>
        <w:pStyle w:val="Bibliography"/>
        <w:spacing w:line="276" w:lineRule="auto"/>
        <w:rPr>
          <w:rFonts w:ascii="Times New Roman" w:hAnsi="Times New Roman" w:cs="Times New Roman"/>
          <w:sz w:val="24"/>
        </w:rPr>
      </w:pPr>
      <w:r w:rsidRPr="009C26FB">
        <w:rPr>
          <w:rFonts w:ascii="Times New Roman" w:hAnsi="Times New Roman" w:cs="Times New Roman"/>
          <w:sz w:val="24"/>
        </w:rPr>
        <w:t xml:space="preserve">Schwarzer, G., Carpenter, J. R., &amp; Rücker, G. (2023). </w:t>
      </w:r>
      <w:r w:rsidRPr="009C26FB">
        <w:rPr>
          <w:rFonts w:ascii="Times New Roman" w:hAnsi="Times New Roman" w:cs="Times New Roman"/>
          <w:i/>
          <w:iCs/>
          <w:sz w:val="24"/>
        </w:rPr>
        <w:t>metasens: Statistical Methods for Sensitivity Analysis in Meta-Analysis</w:t>
      </w:r>
      <w:r w:rsidRPr="009C26FB">
        <w:rPr>
          <w:rFonts w:ascii="Times New Roman" w:hAnsi="Times New Roman" w:cs="Times New Roman"/>
          <w:sz w:val="24"/>
        </w:rPr>
        <w:t>. Retrieved from https://CRAN.R-project.org/package=metasens</w:t>
      </w:r>
    </w:p>
    <w:p w14:paraId="006A7595" w14:textId="77777777" w:rsidR="00022728" w:rsidRPr="009C26FB" w:rsidRDefault="00022728" w:rsidP="00022728">
      <w:pPr>
        <w:pStyle w:val="Bibliography"/>
        <w:spacing w:line="276" w:lineRule="auto"/>
        <w:rPr>
          <w:rFonts w:ascii="Times New Roman" w:hAnsi="Times New Roman" w:cs="Times New Roman"/>
          <w:sz w:val="24"/>
        </w:rPr>
      </w:pPr>
      <w:r w:rsidRPr="001A65C1">
        <w:rPr>
          <w:rFonts w:ascii="Times New Roman" w:hAnsi="Times New Roman" w:cs="Times New Roman"/>
          <w:sz w:val="24"/>
          <w:lang w:val="de-DE"/>
        </w:rPr>
        <w:t xml:space="preserve">Viechtbauer, W., &amp; Cheung, M. W.-L. (2010). </w:t>
      </w:r>
      <w:r w:rsidRPr="009C26FB">
        <w:rPr>
          <w:rFonts w:ascii="Times New Roman" w:hAnsi="Times New Roman" w:cs="Times New Roman"/>
          <w:sz w:val="24"/>
        </w:rPr>
        <w:t xml:space="preserve">Outlier and influence diagnostics for meta-analysis. </w:t>
      </w:r>
      <w:r w:rsidRPr="009C26FB">
        <w:rPr>
          <w:rFonts w:ascii="Times New Roman" w:hAnsi="Times New Roman" w:cs="Times New Roman"/>
          <w:i/>
          <w:iCs/>
          <w:sz w:val="24"/>
        </w:rPr>
        <w:t>Research Synthesis Methods</w:t>
      </w:r>
      <w:r w:rsidRPr="009C26FB">
        <w:rPr>
          <w:rFonts w:ascii="Times New Roman" w:hAnsi="Times New Roman" w:cs="Times New Roman"/>
          <w:sz w:val="24"/>
        </w:rPr>
        <w:t xml:space="preserve">, </w:t>
      </w:r>
      <w:r w:rsidRPr="009C26FB">
        <w:rPr>
          <w:rFonts w:ascii="Times New Roman" w:hAnsi="Times New Roman" w:cs="Times New Roman"/>
          <w:i/>
          <w:iCs/>
          <w:sz w:val="24"/>
        </w:rPr>
        <w:t>1</w:t>
      </w:r>
      <w:r w:rsidRPr="009C26FB">
        <w:rPr>
          <w:rFonts w:ascii="Times New Roman" w:hAnsi="Times New Roman" w:cs="Times New Roman"/>
          <w:sz w:val="24"/>
        </w:rPr>
        <w:t>(2), 112–125. https://doi.org/10.1002/jrsm.11</w:t>
      </w:r>
    </w:p>
    <w:p w14:paraId="7F4FF185" w14:textId="0F2D81B7" w:rsidR="001E1418" w:rsidRDefault="00022728" w:rsidP="00022728">
      <w:pPr>
        <w:spacing w:line="276" w:lineRule="auto"/>
        <w:jc w:val="both"/>
        <w:rPr>
          <w:b/>
          <w:sz w:val="28"/>
          <w:szCs w:val="28"/>
          <w:lang w:val="en-US"/>
        </w:rPr>
      </w:pPr>
      <w:r w:rsidRPr="009C26FB">
        <w:fldChar w:fldCharType="end"/>
      </w:r>
    </w:p>
    <w:p w14:paraId="7C748BC4" w14:textId="096C5DE0" w:rsidR="00552A54" w:rsidRPr="00976032" w:rsidRDefault="004D503F" w:rsidP="00976032">
      <w:pPr>
        <w:spacing w:line="276" w:lineRule="auto"/>
        <w:rPr>
          <w:bCs/>
          <w:sz w:val="28"/>
          <w:szCs w:val="28"/>
          <w:shd w:val="clear" w:color="auto" w:fill="FFFFFF"/>
        </w:rPr>
      </w:pPr>
      <w:r w:rsidRPr="008C10A4">
        <w:rPr>
          <w:b/>
          <w:sz w:val="28"/>
          <w:szCs w:val="28"/>
          <w:lang w:val="en-US"/>
        </w:rPr>
        <w:t>S</w:t>
      </w:r>
      <w:r w:rsidR="001E1418">
        <w:rPr>
          <w:b/>
          <w:sz w:val="28"/>
          <w:szCs w:val="28"/>
          <w:lang w:val="en-US"/>
        </w:rPr>
        <w:t>I</w:t>
      </w:r>
      <w:r w:rsidR="00055480">
        <w:rPr>
          <w:b/>
          <w:sz w:val="28"/>
          <w:szCs w:val="28"/>
          <w:lang w:val="en-US"/>
        </w:rPr>
        <w:t>5</w:t>
      </w:r>
      <w:r w:rsidR="00F5240A" w:rsidRPr="008C10A4">
        <w:rPr>
          <w:b/>
          <w:sz w:val="28"/>
          <w:szCs w:val="28"/>
          <w:lang w:val="en-US"/>
        </w:rPr>
        <w:t xml:space="preserve">: </w:t>
      </w:r>
      <w:r w:rsidR="00554E65" w:rsidRPr="008C10A4">
        <w:rPr>
          <w:bCs/>
          <w:sz w:val="28"/>
          <w:szCs w:val="28"/>
          <w:lang w:val="en-US"/>
        </w:rPr>
        <w:t>Final l</w:t>
      </w:r>
      <w:r w:rsidR="00F92116" w:rsidRPr="008C10A4">
        <w:rPr>
          <w:bCs/>
          <w:sz w:val="28"/>
          <w:szCs w:val="28"/>
          <w:lang w:val="en-US"/>
        </w:rPr>
        <w:t xml:space="preserve">ist of </w:t>
      </w:r>
      <w:r w:rsidR="001A65C1">
        <w:rPr>
          <w:bCs/>
          <w:sz w:val="28"/>
          <w:szCs w:val="28"/>
          <w:lang w:val="en-US"/>
        </w:rPr>
        <w:t>studies</w:t>
      </w:r>
      <w:r w:rsidR="001A65C1" w:rsidRPr="008C10A4">
        <w:rPr>
          <w:bCs/>
          <w:sz w:val="28"/>
          <w:szCs w:val="28"/>
          <w:lang w:val="en-US"/>
        </w:rPr>
        <w:t xml:space="preserve"> </w:t>
      </w:r>
      <w:r w:rsidR="00F92116" w:rsidRPr="008C10A4">
        <w:rPr>
          <w:bCs/>
          <w:sz w:val="28"/>
          <w:szCs w:val="28"/>
          <w:lang w:val="en-US"/>
        </w:rPr>
        <w:t>included in the meta-analysis</w:t>
      </w:r>
    </w:p>
    <w:p w14:paraId="1E22E740" w14:textId="77777777" w:rsidR="00552A54" w:rsidRPr="00552A54" w:rsidRDefault="00552A54" w:rsidP="00552A54">
      <w:pPr>
        <w:pStyle w:val="ListParagraph"/>
        <w:numPr>
          <w:ilvl w:val="0"/>
          <w:numId w:val="32"/>
        </w:numPr>
        <w:spacing w:line="276" w:lineRule="auto"/>
        <w:rPr>
          <w:lang w:val="de-DE"/>
        </w:rPr>
      </w:pPr>
      <w:r w:rsidRPr="00552A54">
        <w:rPr>
          <w:lang w:val="de-DE"/>
        </w:rPr>
        <w:t xml:space="preserve">Aalderen, J. R. van, Donders, A. R. T., Giommi, F., Spinhoven, P., Barendregt, H. P., &amp; Speckens, A. E. M. (2012). </w:t>
      </w:r>
      <w:r w:rsidRPr="001A65C1">
        <w:rPr>
          <w:lang w:val="en-US"/>
        </w:rPr>
        <w:t xml:space="preserve">The efficacy of mindfulness-based cognitive therapy in recurrent depressed patients with and without a current depressive episode: A randomized controlled trial. </w:t>
      </w:r>
      <w:r w:rsidRPr="00552A54">
        <w:rPr>
          <w:lang w:val="de-DE"/>
        </w:rPr>
        <w:t>Psychological Medicine, 42(5), 989–1001. https://doi.org/10.1017/S0033291711002054</w:t>
      </w:r>
    </w:p>
    <w:p w14:paraId="3C0E3E45" w14:textId="77777777" w:rsidR="00552A54" w:rsidRPr="00552A54" w:rsidRDefault="00552A54" w:rsidP="00552A54">
      <w:pPr>
        <w:pStyle w:val="ListParagraph"/>
        <w:numPr>
          <w:ilvl w:val="0"/>
          <w:numId w:val="32"/>
        </w:numPr>
        <w:spacing w:line="276" w:lineRule="auto"/>
        <w:rPr>
          <w:lang w:val="de-DE"/>
        </w:rPr>
      </w:pPr>
      <w:r w:rsidRPr="00552A54">
        <w:rPr>
          <w:lang w:val="de-DE"/>
        </w:rPr>
        <w:t xml:space="preserve">Abdollahi, A., Hosseinian, S., Panahipour, H., &amp; Allen, K. A. (2021). </w:t>
      </w:r>
      <w:r w:rsidRPr="001A65C1">
        <w:rPr>
          <w:lang w:val="en-US"/>
        </w:rPr>
        <w:t xml:space="preserve">Cognitive behavioural therapy as an effective treatment for social anxiety, perfectionism, and rumination. </w:t>
      </w:r>
      <w:r w:rsidRPr="00552A54">
        <w:rPr>
          <w:lang w:val="de-DE"/>
        </w:rPr>
        <w:t>Current Psychology, 40(9), 4698–4707. https://doi.org/10.1007/s12144-019-00411-w</w:t>
      </w:r>
    </w:p>
    <w:p w14:paraId="0977A381" w14:textId="77777777" w:rsidR="00552A54" w:rsidRPr="00552A54" w:rsidRDefault="00552A54" w:rsidP="00552A54">
      <w:pPr>
        <w:pStyle w:val="ListParagraph"/>
        <w:numPr>
          <w:ilvl w:val="0"/>
          <w:numId w:val="32"/>
        </w:numPr>
        <w:spacing w:line="276" w:lineRule="auto"/>
        <w:rPr>
          <w:lang w:val="de-DE"/>
        </w:rPr>
      </w:pPr>
      <w:r w:rsidRPr="00552A54">
        <w:rPr>
          <w:lang w:val="de-DE"/>
        </w:rPr>
        <w:t xml:space="preserve">Andersson, G., Paxling, B., Roch-Norlund, P., Östman, G., Norgren, A., Almlöv, J., … </w:t>
      </w:r>
      <w:r w:rsidRPr="001A65C1">
        <w:rPr>
          <w:lang w:val="en-US"/>
        </w:rPr>
        <w:t xml:space="preserve">Silverberg, F. (2012). Internet-Based Psychodynamic versus Cognitive Behavioral Guided Self-Help for Generalized Anxiety Disorder: A Randomized Controlled Trial. </w:t>
      </w:r>
      <w:r w:rsidRPr="00552A54">
        <w:rPr>
          <w:lang w:val="de-DE"/>
        </w:rPr>
        <w:t>Psychotherapy and Psychosomatics, 81(6), 344–355. https://doi.org/10.1159/000339371</w:t>
      </w:r>
    </w:p>
    <w:p w14:paraId="4DC83573" w14:textId="77777777" w:rsidR="00552A54" w:rsidRPr="001A65C1" w:rsidRDefault="00552A54" w:rsidP="00552A54">
      <w:pPr>
        <w:pStyle w:val="ListParagraph"/>
        <w:numPr>
          <w:ilvl w:val="0"/>
          <w:numId w:val="32"/>
        </w:numPr>
        <w:spacing w:line="276" w:lineRule="auto"/>
        <w:rPr>
          <w:lang w:val="en-US"/>
        </w:rPr>
      </w:pPr>
      <w:r w:rsidRPr="001A65C1">
        <w:rPr>
          <w:lang w:val="en-US"/>
        </w:rPr>
        <w:t>Bell, C. J., Colhoun, H. C., Carter, F. A., &amp; Frampton, C. M. (2012). Effectiveness of computerised cognitive behaviour therapy for anxiety disorders in secondary care. The Australian and New Zealand Journal of Psychiatry, 46(7), 630–640. https://doi.org/10.1177/0004867412437345</w:t>
      </w:r>
    </w:p>
    <w:p w14:paraId="14B74F5A" w14:textId="77777777" w:rsidR="00552A54" w:rsidRPr="001A65C1" w:rsidRDefault="00552A54" w:rsidP="00552A54">
      <w:pPr>
        <w:pStyle w:val="ListParagraph"/>
        <w:numPr>
          <w:ilvl w:val="0"/>
          <w:numId w:val="32"/>
        </w:numPr>
        <w:spacing w:line="276" w:lineRule="auto"/>
        <w:rPr>
          <w:lang w:val="en-US"/>
        </w:rPr>
      </w:pPr>
      <w:r w:rsidRPr="00552A54">
        <w:rPr>
          <w:lang w:val="de-DE"/>
        </w:rPr>
        <w:t xml:space="preserve">Brenes, G. A., Danhauer, S. C., Lyles, M. F., Anderson, A., &amp; Miller, M. E. (2017). </w:t>
      </w:r>
      <w:r w:rsidRPr="001A65C1">
        <w:rPr>
          <w:lang w:val="en-US"/>
        </w:rPr>
        <w:t>Long-Term Effects of Telephone-Delivered Psychotherapy for Late-Life GAD. The American Journal of Geriatric Psychiatry : Official Journal of the American Association for Geriatric Psychiatry, 25(11), 1249–1257. https://doi.org/10.1016/j.jagp.2017.05.013</w:t>
      </w:r>
    </w:p>
    <w:p w14:paraId="576BE99D" w14:textId="77777777" w:rsidR="00552A54" w:rsidRPr="001A65C1" w:rsidRDefault="00552A54" w:rsidP="00552A54">
      <w:pPr>
        <w:pStyle w:val="ListParagraph"/>
        <w:numPr>
          <w:ilvl w:val="0"/>
          <w:numId w:val="32"/>
        </w:numPr>
        <w:spacing w:line="276" w:lineRule="auto"/>
        <w:rPr>
          <w:lang w:val="en-US"/>
        </w:rPr>
      </w:pPr>
      <w:r w:rsidRPr="001A65C1">
        <w:rPr>
          <w:lang w:val="en-US"/>
        </w:rPr>
        <w:t>Brenes, G. A., Miller, M. E., Williamson, J. D., McCall, W. V., Knudson, M., &amp; Stanley, M. A. (2012). A Randomized Controlled Trial of Telephone-Delivered Cognitive-Behavioral Therapy for Late-Life Anxiety Disorders. The American Journal of Geriatric Psychiatry, 20(8), 707–716. https://doi.org/10.1097/JGP.0b013e31822ccd3e</w:t>
      </w:r>
    </w:p>
    <w:p w14:paraId="61EE1588" w14:textId="77777777" w:rsidR="00552A54" w:rsidRPr="00552A54" w:rsidRDefault="00552A54" w:rsidP="00552A54">
      <w:pPr>
        <w:pStyle w:val="ListParagraph"/>
        <w:numPr>
          <w:ilvl w:val="0"/>
          <w:numId w:val="32"/>
        </w:numPr>
        <w:spacing w:line="276" w:lineRule="auto"/>
        <w:rPr>
          <w:lang w:val="de-DE"/>
        </w:rPr>
      </w:pPr>
      <w:r w:rsidRPr="001A65C1">
        <w:rPr>
          <w:lang w:val="en-US"/>
        </w:rPr>
        <w:t xml:space="preserve">Carl, J. R., Miller, C. B., Henry, A. L., Davis, M. L., Stott, R., Smits, J. A. J., … Espie, C. A. (2020). Efficacy of digital cognitive behavioral therapy for moderate-to-severe symptoms of generalized anxiety disorder: A randomized controlled trial. </w:t>
      </w:r>
      <w:r w:rsidRPr="00552A54">
        <w:rPr>
          <w:lang w:val="de-DE"/>
        </w:rPr>
        <w:t>Depression and Anxiety, 37(12), 1168–1178. https://doi.org/10.1002/da.23079</w:t>
      </w:r>
    </w:p>
    <w:p w14:paraId="05BCF906" w14:textId="77777777" w:rsidR="00552A54" w:rsidRPr="00552A54" w:rsidRDefault="00552A54" w:rsidP="00552A54">
      <w:pPr>
        <w:pStyle w:val="ListParagraph"/>
        <w:numPr>
          <w:ilvl w:val="0"/>
          <w:numId w:val="32"/>
        </w:numPr>
        <w:spacing w:line="276" w:lineRule="auto"/>
        <w:rPr>
          <w:lang w:val="de-DE"/>
        </w:rPr>
      </w:pPr>
      <w:r w:rsidRPr="00552A54">
        <w:rPr>
          <w:lang w:val="de-DE"/>
        </w:rPr>
        <w:t xml:space="preserve">Cheng, P., Kalmbach, D. A., Castelan, A. C., Murugan, N., &amp; Drake, C. L. (2020). </w:t>
      </w:r>
      <w:r w:rsidRPr="001A65C1">
        <w:rPr>
          <w:lang w:val="en-US"/>
        </w:rPr>
        <w:t xml:space="preserve">Depression prevention in digital cognitive behavioral therapy for insomnia: Is rumination </w:t>
      </w:r>
      <w:r w:rsidRPr="001A65C1">
        <w:rPr>
          <w:lang w:val="en-US"/>
        </w:rPr>
        <w:lastRenderedPageBreak/>
        <w:t xml:space="preserve">a mediator? </w:t>
      </w:r>
      <w:r w:rsidRPr="00552A54">
        <w:rPr>
          <w:lang w:val="de-DE"/>
        </w:rPr>
        <w:t>Journal of Affective Disorders, 273, 434–441. https://doi.org/10.1016/j.jad.2020.03.184</w:t>
      </w:r>
    </w:p>
    <w:p w14:paraId="3DA9FCE6" w14:textId="77777777" w:rsidR="00552A54" w:rsidRPr="00552A54" w:rsidRDefault="00552A54" w:rsidP="00552A54">
      <w:pPr>
        <w:pStyle w:val="ListParagraph"/>
        <w:numPr>
          <w:ilvl w:val="0"/>
          <w:numId w:val="32"/>
        </w:numPr>
        <w:spacing w:line="276" w:lineRule="auto"/>
        <w:rPr>
          <w:lang w:val="de-DE"/>
        </w:rPr>
      </w:pPr>
      <w:r w:rsidRPr="00552A54">
        <w:rPr>
          <w:lang w:val="de-DE"/>
        </w:rPr>
        <w:t xml:space="preserve">Cladder-Micus, M. B., Speckens, A. E. M., Vrijsen, J. N., T. Donders, A. R., Becker, E. S., &amp; Spijker, J. (2018). </w:t>
      </w:r>
      <w:r w:rsidRPr="001A65C1">
        <w:rPr>
          <w:lang w:val="en-US"/>
        </w:rPr>
        <w:t xml:space="preserve">Mindfulness-based cognitive therapy for patients with chronic, treatment-resistant depression: A pragmatic randomized controlled trial. </w:t>
      </w:r>
      <w:r w:rsidRPr="00552A54">
        <w:rPr>
          <w:lang w:val="de-DE"/>
        </w:rPr>
        <w:t>Depression and Anxiety, 35(10), 914–924. https://doi.org/10.1002/da.22788</w:t>
      </w:r>
    </w:p>
    <w:p w14:paraId="3D57D35B" w14:textId="77777777" w:rsidR="00552A54" w:rsidRPr="00552A54" w:rsidRDefault="00552A54" w:rsidP="00552A54">
      <w:pPr>
        <w:pStyle w:val="ListParagraph"/>
        <w:numPr>
          <w:ilvl w:val="0"/>
          <w:numId w:val="32"/>
        </w:numPr>
        <w:spacing w:line="276" w:lineRule="auto"/>
        <w:rPr>
          <w:lang w:val="de-DE"/>
        </w:rPr>
      </w:pPr>
      <w:r w:rsidRPr="001A65C1">
        <w:rPr>
          <w:lang w:val="en-US"/>
        </w:rPr>
        <w:t xml:space="preserve">Corpas, J., Moriana, J. A., Venceslá, J. F., &amp; Gálvez-Lara, M. (2022). Effectiveness of brief group transdiagnostic therapy for emotional disorders in primary care: A randomized controlled trial identifying predictors of outcome. </w:t>
      </w:r>
      <w:r w:rsidRPr="00552A54">
        <w:rPr>
          <w:lang w:val="de-DE"/>
        </w:rPr>
        <w:t>Psychotherapy Research, 32(4), 456–469. https://doi.org/10.1080/10503307.2021.1952331</w:t>
      </w:r>
    </w:p>
    <w:p w14:paraId="6D540EB1" w14:textId="77777777" w:rsidR="00552A54" w:rsidRPr="00552A54" w:rsidRDefault="00552A54" w:rsidP="00552A54">
      <w:pPr>
        <w:pStyle w:val="ListParagraph"/>
        <w:numPr>
          <w:ilvl w:val="0"/>
          <w:numId w:val="32"/>
        </w:numPr>
        <w:spacing w:line="276" w:lineRule="auto"/>
        <w:rPr>
          <w:lang w:val="de-DE"/>
        </w:rPr>
      </w:pPr>
      <w:r w:rsidRPr="00552A54">
        <w:rPr>
          <w:lang w:val="de-DE"/>
        </w:rPr>
        <w:t xml:space="preserve">Costa, M. de A., Gonçalves, F. G., Tatton-Ramos, T., Fonseca, N. K. de O. da, Schwinn, J. K., Alves, S. G., … </w:t>
      </w:r>
      <w:r w:rsidRPr="001A65C1">
        <w:rPr>
          <w:lang w:val="en-US"/>
        </w:rPr>
        <w:t xml:space="preserve">Manfro, G. G. (2020). A Three-Arm Randomized Clinical Trial Comparing the Efficacy of a Mindfulness-Based Intervention with an Active Comparison Group and Fluoxetine Treatment for Adults with Generalized Anxiety Disorder. </w:t>
      </w:r>
      <w:r w:rsidRPr="00552A54">
        <w:rPr>
          <w:lang w:val="de-DE"/>
        </w:rPr>
        <w:t>Psychotherapy and Psychosomatics, 90(4), 269–279. https://doi.org/10.1159/000511880</w:t>
      </w:r>
    </w:p>
    <w:p w14:paraId="4CC484D3" w14:textId="77777777" w:rsidR="00552A54" w:rsidRPr="00552A54" w:rsidRDefault="00552A54" w:rsidP="00552A54">
      <w:pPr>
        <w:pStyle w:val="ListParagraph"/>
        <w:numPr>
          <w:ilvl w:val="0"/>
          <w:numId w:val="32"/>
        </w:numPr>
        <w:spacing w:line="276" w:lineRule="auto"/>
        <w:rPr>
          <w:lang w:val="de-DE"/>
        </w:rPr>
      </w:pPr>
      <w:r w:rsidRPr="00552A54">
        <w:rPr>
          <w:lang w:val="de-DE"/>
        </w:rPr>
        <w:t xml:space="preserve">de Almeida Sampaio, T. P., Jorge, R. C., Martins, D. S., Gandarela, L. M., Hayes-Skelton, S., Bernik, M. A., &amp; Lotufo-Neto, F. (2020). </w:t>
      </w:r>
      <w:r w:rsidRPr="001A65C1">
        <w:rPr>
          <w:lang w:val="en-US"/>
        </w:rPr>
        <w:t xml:space="preserve">Efficacy of an acceptance-based group behavioral therapy for generalized anxiety disorder. </w:t>
      </w:r>
      <w:r w:rsidRPr="00552A54">
        <w:rPr>
          <w:lang w:val="de-DE"/>
        </w:rPr>
        <w:t>Depression and Anxiety, 37(12), 1179–1193. https://doi.org/10.1002/da.23021</w:t>
      </w:r>
    </w:p>
    <w:p w14:paraId="2A287B7B" w14:textId="77777777" w:rsidR="00552A54" w:rsidRPr="00552A54" w:rsidRDefault="00552A54" w:rsidP="00552A54">
      <w:pPr>
        <w:pStyle w:val="ListParagraph"/>
        <w:numPr>
          <w:ilvl w:val="0"/>
          <w:numId w:val="32"/>
        </w:numPr>
        <w:spacing w:line="276" w:lineRule="auto"/>
        <w:rPr>
          <w:lang w:val="de-DE"/>
        </w:rPr>
      </w:pPr>
      <w:r w:rsidRPr="001A65C1">
        <w:rPr>
          <w:lang w:val="en-US"/>
        </w:rPr>
        <w:t xml:space="preserve">Dugas, M. J., Brillon, P., Savard, P., Turcotte, J., Gaudet, A., Ladouceur, R., … Gervais, N. J. (2010). A Randomized Clinical Trial of Cognitive-Behavioral Therapy and Applied Relaxation for Adults With Generalized Anxiety Disorder. </w:t>
      </w:r>
      <w:r w:rsidRPr="00552A54">
        <w:rPr>
          <w:lang w:val="de-DE"/>
        </w:rPr>
        <w:t>Behavior Therapy, 41(1), 46–58. https://doi.org/10.1016/j.beth.2008.12.004</w:t>
      </w:r>
    </w:p>
    <w:p w14:paraId="6E15D594" w14:textId="77777777" w:rsidR="00552A54" w:rsidRPr="001A65C1" w:rsidRDefault="00552A54" w:rsidP="00552A54">
      <w:pPr>
        <w:pStyle w:val="ListParagraph"/>
        <w:numPr>
          <w:ilvl w:val="0"/>
          <w:numId w:val="32"/>
        </w:numPr>
        <w:spacing w:line="276" w:lineRule="auto"/>
        <w:rPr>
          <w:lang w:val="en-US"/>
        </w:rPr>
      </w:pPr>
      <w:r w:rsidRPr="001A65C1">
        <w:rPr>
          <w:lang w:val="en-US"/>
        </w:rPr>
        <w:t>Dugas, M. J., Ladouceur, R., Léger, E., Freeston, M. H., Langolis, F., Provencher, M. D., &amp; Boisvert, J.-M. (2003). Group cognitive-behavioral therapy for generalized anxiety disorder: Treatment outcome and long-term follow-up. Journal of Consulting and Clinical Psychology, 71(4), 821–825. https://doi.org/10.1037/0022-006X.71.4.821</w:t>
      </w:r>
    </w:p>
    <w:p w14:paraId="56AF7BEF" w14:textId="77777777" w:rsidR="00552A54" w:rsidRPr="00552A54" w:rsidRDefault="00552A54" w:rsidP="00552A54">
      <w:pPr>
        <w:pStyle w:val="ListParagraph"/>
        <w:numPr>
          <w:ilvl w:val="0"/>
          <w:numId w:val="32"/>
        </w:numPr>
        <w:spacing w:line="276" w:lineRule="auto"/>
        <w:rPr>
          <w:lang w:val="de-DE"/>
        </w:rPr>
      </w:pPr>
      <w:r w:rsidRPr="001A65C1">
        <w:rPr>
          <w:lang w:val="en-US"/>
        </w:rPr>
        <w:t xml:space="preserve">Dugas, M. J., Sexton, K. A., Hebert, E. A., Bouchard, S., Gouin, J.-P., &amp; Shafran, R. (2022). Behavioral Experiments for Intolerance of Uncertainty: A Randomized Clinical Trial for Adults With Generalized Anxiety Disorder. </w:t>
      </w:r>
      <w:r w:rsidRPr="00552A54">
        <w:rPr>
          <w:lang w:val="de-DE"/>
        </w:rPr>
        <w:t>Behavior Therapy, 53(6), 1147–1160. https://doi.org/10.1016/j.beth.2022.05.003</w:t>
      </w:r>
    </w:p>
    <w:p w14:paraId="253272B1" w14:textId="77777777" w:rsidR="00552A54" w:rsidRPr="00552A54" w:rsidRDefault="00552A54" w:rsidP="00552A54">
      <w:pPr>
        <w:pStyle w:val="ListParagraph"/>
        <w:numPr>
          <w:ilvl w:val="0"/>
          <w:numId w:val="32"/>
        </w:numPr>
        <w:spacing w:line="276" w:lineRule="auto"/>
        <w:rPr>
          <w:lang w:val="de-DE"/>
        </w:rPr>
      </w:pPr>
      <w:r w:rsidRPr="00552A54">
        <w:rPr>
          <w:lang w:val="de-DE"/>
        </w:rPr>
        <w:t xml:space="preserve">Ekkers, W., Korrelboom, K., Huijbrechts, I., Smits, N., Cuijpers, P., &amp; Van Der Gaag, M. (2011). </w:t>
      </w:r>
      <w:r w:rsidRPr="001A65C1">
        <w:rPr>
          <w:lang w:val="en-US"/>
        </w:rPr>
        <w:t xml:space="preserve">Competitive Memory Training for treating depression and rumination in depressed older adults: A randomized controlled trial. </w:t>
      </w:r>
      <w:r w:rsidRPr="00552A54">
        <w:rPr>
          <w:lang w:val="de-DE"/>
        </w:rPr>
        <w:t>Behaviour Research and Therapy, 49(10), 588–596. https://doi.org/10.1016/j.brat.2011.05.010</w:t>
      </w:r>
    </w:p>
    <w:p w14:paraId="1B66B53D" w14:textId="77777777" w:rsidR="00552A54" w:rsidRPr="00552A54" w:rsidRDefault="00552A54" w:rsidP="00552A54">
      <w:pPr>
        <w:pStyle w:val="ListParagraph"/>
        <w:numPr>
          <w:ilvl w:val="0"/>
          <w:numId w:val="32"/>
        </w:numPr>
        <w:spacing w:line="276" w:lineRule="auto"/>
        <w:rPr>
          <w:lang w:val="de-DE"/>
        </w:rPr>
      </w:pPr>
      <w:r w:rsidRPr="001A65C1">
        <w:rPr>
          <w:lang w:val="en-US"/>
        </w:rPr>
        <w:t xml:space="preserve">Foroughi, A., Sadeghi, K., Parvizifard, A., Parsa Moghadam, A., Davarinejad, O., Farnia, V., &amp; Azar, G. (2020). The effectiveness of mindfulness-based cognitive therapy for reducing rumination and improving mindfulness and self-compassion in patients with treatment-resistant depression. </w:t>
      </w:r>
      <w:r w:rsidRPr="00552A54">
        <w:rPr>
          <w:lang w:val="de-DE"/>
        </w:rPr>
        <w:t>Trends in Psychiatry and Psychotherapy, 42(2), 138–146. https://doi.org/10.1590/2237-6089-2019-0016</w:t>
      </w:r>
    </w:p>
    <w:p w14:paraId="4E439CD5" w14:textId="77777777" w:rsidR="00552A54" w:rsidRPr="00552A54" w:rsidRDefault="00552A54" w:rsidP="00552A54">
      <w:pPr>
        <w:pStyle w:val="ListParagraph"/>
        <w:numPr>
          <w:ilvl w:val="0"/>
          <w:numId w:val="32"/>
        </w:numPr>
        <w:spacing w:line="276" w:lineRule="auto"/>
        <w:rPr>
          <w:lang w:val="de-DE"/>
        </w:rPr>
      </w:pPr>
      <w:r w:rsidRPr="00552A54">
        <w:rPr>
          <w:lang w:val="de-DE"/>
        </w:rPr>
        <w:lastRenderedPageBreak/>
        <w:t xml:space="preserve">Giommi, F., Castagner, V., Zaccaro, A., Gemignani, A., Serretti, A., Mandelli, L., … </w:t>
      </w:r>
      <w:r w:rsidRPr="001A65C1">
        <w:rPr>
          <w:lang w:val="en-US"/>
        </w:rPr>
        <w:t xml:space="preserve">Chiesa, A. (2021). Mindfulness-Based Cognitive Therapy vs. Psycho-education for Patients with Anxiety Disorders Who Did Not Achieve Remission Following Adequate Pharmacological Treatment. </w:t>
      </w:r>
      <w:r w:rsidRPr="00552A54">
        <w:rPr>
          <w:lang w:val="de-DE"/>
        </w:rPr>
        <w:t>Mindfulness, 12(8), 2059–2075. https://doi.org/10.1007/s12671-021-01664-y</w:t>
      </w:r>
    </w:p>
    <w:p w14:paraId="12E46FA6" w14:textId="77777777" w:rsidR="00552A54" w:rsidRPr="00552A54" w:rsidRDefault="00552A54" w:rsidP="00552A54">
      <w:pPr>
        <w:pStyle w:val="ListParagraph"/>
        <w:numPr>
          <w:ilvl w:val="0"/>
          <w:numId w:val="32"/>
        </w:numPr>
        <w:spacing w:line="276" w:lineRule="auto"/>
        <w:rPr>
          <w:lang w:val="de-DE"/>
        </w:rPr>
      </w:pPr>
      <w:r w:rsidRPr="001A65C1">
        <w:rPr>
          <w:lang w:val="en-US"/>
        </w:rPr>
        <w:t xml:space="preserve">Goldin, P. R., Morrison, A., Jazaieri, H., Brozovich, F., Heimberg, R., &amp; Gross, J. J. (2016). Group CBT versus MBSR for Social Anxiety Disorder: A Randomized Controlled Trial. </w:t>
      </w:r>
      <w:r w:rsidRPr="00552A54">
        <w:rPr>
          <w:lang w:val="de-DE"/>
        </w:rPr>
        <w:t>Journal of Consulting and Clinical Psychology, 84(5), 427–437. https://doi.org/10.1037/ccp0000092</w:t>
      </w:r>
    </w:p>
    <w:p w14:paraId="609BE5BB" w14:textId="77777777" w:rsidR="00552A54" w:rsidRPr="00552A54" w:rsidRDefault="00552A54" w:rsidP="00552A54">
      <w:pPr>
        <w:pStyle w:val="ListParagraph"/>
        <w:numPr>
          <w:ilvl w:val="0"/>
          <w:numId w:val="32"/>
        </w:numPr>
        <w:spacing w:line="276" w:lineRule="auto"/>
        <w:rPr>
          <w:lang w:val="de-DE"/>
        </w:rPr>
      </w:pPr>
      <w:r w:rsidRPr="001A65C1">
        <w:rPr>
          <w:lang w:val="en-US"/>
        </w:rPr>
        <w:t xml:space="preserve">Green, S. M., Donegan, E., McCabe, R. E., Streiner, D. L., Agako, A., &amp; Frey, B. N. (2020). Cognitive behavioral therapy for perinatal anxiety: A randomized controlled trial. </w:t>
      </w:r>
      <w:r w:rsidRPr="00552A54">
        <w:rPr>
          <w:lang w:val="de-DE"/>
        </w:rPr>
        <w:t>Australian &amp; New Zealand Journal of Psychiatry, 54(4), 423–432. https://doi.org/10.1177/0004867419898528</w:t>
      </w:r>
    </w:p>
    <w:p w14:paraId="57C91A23" w14:textId="77777777" w:rsidR="00552A54" w:rsidRPr="00552A54" w:rsidRDefault="00552A54" w:rsidP="00552A54">
      <w:pPr>
        <w:pStyle w:val="ListParagraph"/>
        <w:numPr>
          <w:ilvl w:val="0"/>
          <w:numId w:val="32"/>
        </w:numPr>
        <w:spacing w:line="276" w:lineRule="auto"/>
        <w:rPr>
          <w:lang w:val="de-DE"/>
        </w:rPr>
      </w:pPr>
      <w:r w:rsidRPr="00552A54">
        <w:rPr>
          <w:lang w:val="de-DE"/>
        </w:rPr>
        <w:t xml:space="preserve">Hanssen, I., Huijbers, M., Regeer, E., Bennekom, M. L. van, Stevens, A., Dijk, P. van, … </w:t>
      </w:r>
      <w:r w:rsidRPr="001A65C1">
        <w:rPr>
          <w:lang w:val="en-US"/>
        </w:rPr>
        <w:t xml:space="preserve">Speckens, A. E. (2023). Mindfulness-based cognitive therapy v. treatment as usual in people with bipolar disorder: A multicentre, randomised controlled trial. </w:t>
      </w:r>
      <w:r w:rsidRPr="00552A54">
        <w:rPr>
          <w:lang w:val="de-DE"/>
        </w:rPr>
        <w:t>Psychological Medicine, 53(14), 6678–6690. https://doi.org/10.1017/S0033291723000090</w:t>
      </w:r>
    </w:p>
    <w:p w14:paraId="58FC9D6F" w14:textId="77777777" w:rsidR="00552A54" w:rsidRPr="00552A54" w:rsidRDefault="00552A54" w:rsidP="00552A54">
      <w:pPr>
        <w:pStyle w:val="ListParagraph"/>
        <w:numPr>
          <w:ilvl w:val="0"/>
          <w:numId w:val="32"/>
        </w:numPr>
        <w:spacing w:line="276" w:lineRule="auto"/>
        <w:rPr>
          <w:lang w:val="de-DE"/>
        </w:rPr>
      </w:pPr>
      <w:r w:rsidRPr="00552A54">
        <w:rPr>
          <w:lang w:val="de-DE"/>
        </w:rPr>
        <w:t xml:space="preserve">Hoyer, J., Beesdo, K., Gloster, A. T., Runge, J., Höfler, M., &amp; Becker, E. S. (2009). </w:t>
      </w:r>
      <w:r w:rsidRPr="001A65C1">
        <w:rPr>
          <w:lang w:val="en-US"/>
        </w:rPr>
        <w:t xml:space="preserve">Worry Exposure versus Applied Relaxation in the Treatment of Generalized Anxiety Disorder. </w:t>
      </w:r>
      <w:r w:rsidRPr="00552A54">
        <w:rPr>
          <w:lang w:val="de-DE"/>
        </w:rPr>
        <w:t>Psychotherapy and Psychosomatics, 78(2), 106–115. https://doi.org/10.1159/000201936</w:t>
      </w:r>
    </w:p>
    <w:p w14:paraId="6E309AAA" w14:textId="77777777" w:rsidR="00552A54" w:rsidRPr="00552A54" w:rsidRDefault="00552A54" w:rsidP="00552A54">
      <w:pPr>
        <w:pStyle w:val="ListParagraph"/>
        <w:numPr>
          <w:ilvl w:val="0"/>
          <w:numId w:val="32"/>
        </w:numPr>
        <w:spacing w:line="276" w:lineRule="auto"/>
        <w:rPr>
          <w:lang w:val="de-DE"/>
        </w:rPr>
      </w:pPr>
      <w:r w:rsidRPr="001A65C1">
        <w:rPr>
          <w:lang w:val="en-US"/>
        </w:rPr>
        <w:t xml:space="preserve">Hyett, M. P., Bank, S. R., Lipp, O. V., Erceg-Hurn, D. M., Alvares, G. A., Maclaine, E., … McEvoy, P. M. (2018). Attenuated Psychophysiological Reactivity following Single-Session Group Imagery Rescripting versus Verbal Restructuring in Social Anxiety Disorder: Results from a Randomized Controlled Trial. </w:t>
      </w:r>
      <w:r w:rsidRPr="00552A54">
        <w:rPr>
          <w:lang w:val="de-DE"/>
        </w:rPr>
        <w:t>Psychotherapy and Psychosomatics, 87(6), 340–349. https://doi.org/10.1159/000493897</w:t>
      </w:r>
    </w:p>
    <w:p w14:paraId="59AA68D0" w14:textId="77777777" w:rsidR="00552A54" w:rsidRPr="00552A54" w:rsidRDefault="00552A54" w:rsidP="00552A54">
      <w:pPr>
        <w:pStyle w:val="ListParagraph"/>
        <w:numPr>
          <w:ilvl w:val="0"/>
          <w:numId w:val="32"/>
        </w:numPr>
        <w:spacing w:line="276" w:lineRule="auto"/>
        <w:rPr>
          <w:lang w:val="de-DE"/>
        </w:rPr>
      </w:pPr>
      <w:r w:rsidRPr="001A65C1">
        <w:rPr>
          <w:lang w:val="en-US"/>
        </w:rPr>
        <w:t xml:space="preserve">Jacoby, R. J., Brown, M. L., Wieman, S. T., Rosenfield, D., Hoeppner, S. S., Bui, E., … Simon, N. M. (2023). Effect of cognitive behavioural therapy and yoga for generalised anxiety disorder on sleep quality in a randomised controlled trial: The role of worry, mindfulness, and perceived stress as mediators. </w:t>
      </w:r>
      <w:r w:rsidRPr="00552A54">
        <w:rPr>
          <w:lang w:val="de-DE"/>
        </w:rPr>
        <w:t>Journal of Sleep Research, jsr.13992. https://doi.org/10.1111/jsr.13992</w:t>
      </w:r>
    </w:p>
    <w:p w14:paraId="7983D38B" w14:textId="77777777" w:rsidR="00552A54" w:rsidRPr="00552A54" w:rsidRDefault="00552A54" w:rsidP="00552A54">
      <w:pPr>
        <w:pStyle w:val="ListParagraph"/>
        <w:numPr>
          <w:ilvl w:val="0"/>
          <w:numId w:val="32"/>
        </w:numPr>
        <w:spacing w:line="276" w:lineRule="auto"/>
        <w:rPr>
          <w:lang w:val="de-DE"/>
        </w:rPr>
      </w:pPr>
      <w:r w:rsidRPr="001A65C1">
        <w:rPr>
          <w:lang w:val="en-US"/>
        </w:rPr>
        <w:t xml:space="preserve">Kalmbach, D. A., Cheng, P., Arnedt, J. T., Anderson, J. R., Roth, T., Fellman-Couture, C., … Drake, C. L. (2019). Treating Insomnia Improves Depression, Maladaptive Thinking, and Hyperarousal in Postmenopausal Women: Comparing Cognitive-Behavioral Therapy for Insomnia (CBTI), Sleep Restriction Therapy, and Sleep Hygiene Education. </w:t>
      </w:r>
      <w:r w:rsidRPr="00552A54">
        <w:rPr>
          <w:lang w:val="de-DE"/>
        </w:rPr>
        <w:t>Sleep Medicine, 55, 124–134. https://doi.org/10.1016/j.sleep.2018.11.019</w:t>
      </w:r>
    </w:p>
    <w:p w14:paraId="51576F7C" w14:textId="77777777" w:rsidR="00552A54" w:rsidRPr="00552A54" w:rsidRDefault="00552A54" w:rsidP="00552A54">
      <w:pPr>
        <w:pStyle w:val="ListParagraph"/>
        <w:numPr>
          <w:ilvl w:val="0"/>
          <w:numId w:val="32"/>
        </w:numPr>
        <w:spacing w:line="276" w:lineRule="auto"/>
        <w:rPr>
          <w:lang w:val="de-DE"/>
        </w:rPr>
      </w:pPr>
      <w:r w:rsidRPr="001A65C1">
        <w:rPr>
          <w:lang w:val="en-US"/>
        </w:rPr>
        <w:t xml:space="preserve">Kocovski, N. L., Fleming, J. E., Hawley, L. L., Huta, V., &amp; Antony, M. M. (2013). Mindfulness and acceptance-based group therapy versus traditional cognitive behavioral group therapy for social anxiety disorder: A randomized controlled trial. </w:t>
      </w:r>
      <w:r w:rsidRPr="00552A54">
        <w:rPr>
          <w:lang w:val="de-DE"/>
        </w:rPr>
        <w:t>Behaviour Research and Therapy, 51(12), 889–898. https://doi.org/10.1016/j.brat.2013.10.007</w:t>
      </w:r>
    </w:p>
    <w:p w14:paraId="225CC8C8" w14:textId="77777777" w:rsidR="00552A54" w:rsidRPr="00552A54" w:rsidRDefault="00552A54" w:rsidP="00552A54">
      <w:pPr>
        <w:pStyle w:val="ListParagraph"/>
        <w:numPr>
          <w:ilvl w:val="0"/>
          <w:numId w:val="32"/>
        </w:numPr>
        <w:spacing w:line="276" w:lineRule="auto"/>
        <w:rPr>
          <w:lang w:val="de-DE"/>
        </w:rPr>
      </w:pPr>
      <w:r w:rsidRPr="001A65C1">
        <w:rPr>
          <w:lang w:val="en-US"/>
        </w:rPr>
        <w:lastRenderedPageBreak/>
        <w:t xml:space="preserve">Koszycki, D., Raab, K., Aldosary, F., &amp; Bradwejn, J. (2010). A multifaith spiritually based intervention for generalized anxiety disorder: A pilot randomized trial. </w:t>
      </w:r>
      <w:r w:rsidRPr="00552A54">
        <w:rPr>
          <w:lang w:val="de-DE"/>
        </w:rPr>
        <w:t>Journal of Clinical Psychology, 66(4), 430–441. https://doi.org/10.1002/jclp.20663</w:t>
      </w:r>
    </w:p>
    <w:p w14:paraId="5C8F673D" w14:textId="77777777" w:rsidR="00552A54" w:rsidRPr="001A65C1" w:rsidRDefault="00552A54" w:rsidP="00552A54">
      <w:pPr>
        <w:pStyle w:val="ListParagraph"/>
        <w:numPr>
          <w:ilvl w:val="0"/>
          <w:numId w:val="32"/>
        </w:numPr>
        <w:spacing w:line="276" w:lineRule="auto"/>
        <w:rPr>
          <w:lang w:val="en-US"/>
        </w:rPr>
      </w:pPr>
      <w:r w:rsidRPr="001A65C1">
        <w:rPr>
          <w:lang w:val="en-US"/>
        </w:rPr>
        <w:t>Ladouceur, R., Dugas, M. J., Freeston, M. H., Léger, E., Gagnon, F., &amp; Thibodeau, N. (2000). Efficacy of a cognitive-behavioral treatment for generalized anxiety disorder: Evaluation in a controlled clinical trial. Journal of Consulting and Clinical Psychology, 68(6), 957–964. https://doi.org/10.1037//0022-006X.68.6.957</w:t>
      </w:r>
    </w:p>
    <w:p w14:paraId="04786D0D" w14:textId="77777777" w:rsidR="00552A54" w:rsidRPr="00552A54" w:rsidRDefault="00552A54" w:rsidP="00552A54">
      <w:pPr>
        <w:pStyle w:val="ListParagraph"/>
        <w:numPr>
          <w:ilvl w:val="0"/>
          <w:numId w:val="32"/>
        </w:numPr>
        <w:spacing w:line="276" w:lineRule="auto"/>
        <w:rPr>
          <w:lang w:val="de-DE"/>
        </w:rPr>
      </w:pPr>
      <w:r w:rsidRPr="001A65C1">
        <w:rPr>
          <w:lang w:val="en-US"/>
        </w:rPr>
        <w:t xml:space="preserve">Leterme, A. C., Behal, H., Demarty, A. L., Barasino, O., Rougegrez, L., Labreuche, J., … Servant, D. (2020). A blended cognitive behavioral intervention for patients with adjustment disorder with anxiety: A randomized controlled trial. </w:t>
      </w:r>
      <w:r w:rsidRPr="00552A54">
        <w:rPr>
          <w:lang w:val="de-DE"/>
        </w:rPr>
        <w:t>Internet Interventions, 21, 100329. https://doi.org/10.1016/j.invent.2020.100329</w:t>
      </w:r>
    </w:p>
    <w:p w14:paraId="1AFC2FB1" w14:textId="77777777" w:rsidR="00552A54" w:rsidRPr="00552A54" w:rsidRDefault="00552A54" w:rsidP="00552A54">
      <w:pPr>
        <w:pStyle w:val="ListParagraph"/>
        <w:numPr>
          <w:ilvl w:val="0"/>
          <w:numId w:val="32"/>
        </w:numPr>
        <w:spacing w:line="276" w:lineRule="auto"/>
        <w:rPr>
          <w:lang w:val="de-DE"/>
        </w:rPr>
      </w:pPr>
      <w:r w:rsidRPr="001A65C1">
        <w:rPr>
          <w:lang w:val="en-US"/>
        </w:rPr>
        <w:t xml:space="preserve">Lubbers, J., Geurts, D., Hanssen, I., Huijbers, M., Spijker, J., Speckens, A., &amp; Cladder-Micus, M. (2022). The effect of mindfulness-based cognitive therapy on rumination and a task-based measure of intrusive thoughts in patients with bipolar disorder. </w:t>
      </w:r>
      <w:r w:rsidRPr="00552A54">
        <w:rPr>
          <w:lang w:val="de-DE"/>
        </w:rPr>
        <w:t>International Journal of Bipolar Disorders, 10, 22. https://doi.org/10.1186/s40345-022-00269-1</w:t>
      </w:r>
    </w:p>
    <w:p w14:paraId="57BE53F8" w14:textId="77777777" w:rsidR="00552A54" w:rsidRPr="00552A54" w:rsidRDefault="00552A54" w:rsidP="00552A54">
      <w:pPr>
        <w:pStyle w:val="ListParagraph"/>
        <w:numPr>
          <w:ilvl w:val="0"/>
          <w:numId w:val="32"/>
        </w:numPr>
        <w:spacing w:line="276" w:lineRule="auto"/>
        <w:rPr>
          <w:lang w:val="de-DE"/>
        </w:rPr>
      </w:pPr>
      <w:r w:rsidRPr="001A65C1">
        <w:rPr>
          <w:lang w:val="en-US"/>
        </w:rPr>
        <w:t xml:space="preserve">Mennin, D. S., Fresco, D. M., O’Toole, M. S., &amp; Heimberg, R. G. (2018). A randomized controlled trial of emotion regulation therapy for generalized anxiety disorder with and without co-occurring depression. </w:t>
      </w:r>
      <w:r w:rsidRPr="00552A54">
        <w:rPr>
          <w:lang w:val="de-DE"/>
        </w:rPr>
        <w:t>Journal of Consulting and Clinical Psychology, 86(3), 268–281. https://doi.org/10.1037/ccp0000289</w:t>
      </w:r>
    </w:p>
    <w:p w14:paraId="3BA8338D" w14:textId="77777777" w:rsidR="00552A54" w:rsidRPr="00552A54" w:rsidRDefault="00552A54" w:rsidP="00552A54">
      <w:pPr>
        <w:pStyle w:val="ListParagraph"/>
        <w:numPr>
          <w:ilvl w:val="0"/>
          <w:numId w:val="32"/>
        </w:numPr>
        <w:spacing w:line="276" w:lineRule="auto"/>
        <w:rPr>
          <w:lang w:val="de-DE"/>
        </w:rPr>
      </w:pPr>
      <w:r w:rsidRPr="00552A54">
        <w:rPr>
          <w:lang w:val="de-DE"/>
        </w:rPr>
        <w:t xml:space="preserve">Monnart, A., Vanderhasselt, M.-A., Schroder, E., Campanella, S., Fontaine, P., &amp; Kornreich, C. (2019). </w:t>
      </w:r>
      <w:r w:rsidRPr="001A65C1">
        <w:rPr>
          <w:lang w:val="en-US"/>
        </w:rPr>
        <w:t xml:space="preserve">Treatment of Resistant Depression: A Pilot Study Assessing the Efficacy of a tDCS-Mindfulness Program Compared With a tDCS-Relaxation Program. </w:t>
      </w:r>
      <w:r w:rsidRPr="00552A54">
        <w:rPr>
          <w:lang w:val="de-DE"/>
        </w:rPr>
        <w:t>Frontiers in Psychiatry, 10. https://doi.org/10.3389/fpsyt.2019.00730</w:t>
      </w:r>
    </w:p>
    <w:p w14:paraId="3ECE75A0" w14:textId="77777777" w:rsidR="00552A54" w:rsidRPr="00552A54" w:rsidRDefault="00552A54" w:rsidP="00552A54">
      <w:pPr>
        <w:pStyle w:val="ListParagraph"/>
        <w:numPr>
          <w:ilvl w:val="0"/>
          <w:numId w:val="32"/>
        </w:numPr>
        <w:spacing w:line="276" w:lineRule="auto"/>
        <w:rPr>
          <w:lang w:val="de-DE"/>
        </w:rPr>
      </w:pPr>
      <w:r w:rsidRPr="001A65C1">
        <w:rPr>
          <w:lang w:val="en-US"/>
        </w:rPr>
        <w:t xml:space="preserve">Nasiri, F., Mashhadi, A., Bigdeli, I., Chamanabad, A. G., &amp; Ellard, K. K. (2020). Augmenting the unified protocol for transdiagnostic treatment of emotional disorders with transcranial direct current stimulation in individuals with generalized anxiety disorder and comorbid depression: A randomized controlled trial. </w:t>
      </w:r>
      <w:r w:rsidRPr="00552A54">
        <w:rPr>
          <w:lang w:val="de-DE"/>
        </w:rPr>
        <w:t>Journal of Affective Disorders, 262, 405–413. https://doi.org/10.1016/j.jad.2019.11.064</w:t>
      </w:r>
    </w:p>
    <w:p w14:paraId="118346F5" w14:textId="77777777" w:rsidR="00552A54" w:rsidRPr="00552A54" w:rsidRDefault="00552A54" w:rsidP="00552A54">
      <w:pPr>
        <w:pStyle w:val="ListParagraph"/>
        <w:numPr>
          <w:ilvl w:val="0"/>
          <w:numId w:val="32"/>
        </w:numPr>
        <w:spacing w:line="276" w:lineRule="auto"/>
        <w:rPr>
          <w:lang w:val="de-DE"/>
        </w:rPr>
      </w:pPr>
      <w:r w:rsidRPr="001A65C1">
        <w:rPr>
          <w:lang w:val="en-US"/>
        </w:rPr>
        <w:t xml:space="preserve">Newby, J. M., Williams, A. D., &amp; Andrews, G. (2014). Reductions in negative repetitive thinking and metacognitive beliefs during transdiagnostic internet cognitive behavioural therapy (iCBT) for mixed anxiety and depression. </w:t>
      </w:r>
      <w:r w:rsidRPr="00552A54">
        <w:rPr>
          <w:lang w:val="de-DE"/>
        </w:rPr>
        <w:t>Behaviour Research and Therapy, 59, 52–60. https://doi.org/10.1016/j.brat.2014.05.009</w:t>
      </w:r>
    </w:p>
    <w:p w14:paraId="7445D195" w14:textId="77777777" w:rsidR="00552A54" w:rsidRPr="00552A54" w:rsidRDefault="00552A54" w:rsidP="00552A54">
      <w:pPr>
        <w:pStyle w:val="ListParagraph"/>
        <w:numPr>
          <w:ilvl w:val="0"/>
          <w:numId w:val="32"/>
        </w:numPr>
        <w:spacing w:line="276" w:lineRule="auto"/>
        <w:rPr>
          <w:lang w:val="de-DE"/>
        </w:rPr>
      </w:pPr>
      <w:r w:rsidRPr="00552A54">
        <w:rPr>
          <w:lang w:val="de-DE"/>
        </w:rPr>
        <w:t xml:space="preserve">Nordahl, H. M., Borkovec, T. D., Hagen, R., Kennair, L. E. O., Hjemdal, O., Solem, S., … </w:t>
      </w:r>
      <w:r w:rsidRPr="001A65C1">
        <w:rPr>
          <w:lang w:val="en-US"/>
        </w:rPr>
        <w:t xml:space="preserve">Wells, A. (2018). Metacognitive therapy versus cognitive–behavioural therapy in adults with generalised anxiety disorder. </w:t>
      </w:r>
      <w:r w:rsidRPr="00552A54">
        <w:rPr>
          <w:lang w:val="de-DE"/>
        </w:rPr>
        <w:t>BJPsych Open, 4(5), 393–400. https://doi.org/10.1192/bjo.2018.54</w:t>
      </w:r>
    </w:p>
    <w:p w14:paraId="35864441" w14:textId="77777777" w:rsidR="00552A54" w:rsidRPr="00552A54" w:rsidRDefault="00552A54" w:rsidP="00552A54">
      <w:pPr>
        <w:pStyle w:val="ListParagraph"/>
        <w:numPr>
          <w:ilvl w:val="0"/>
          <w:numId w:val="32"/>
        </w:numPr>
        <w:spacing w:line="276" w:lineRule="auto"/>
        <w:rPr>
          <w:lang w:val="de-DE"/>
        </w:rPr>
      </w:pPr>
      <w:r w:rsidRPr="00552A54">
        <w:rPr>
          <w:lang w:val="de-DE"/>
        </w:rPr>
        <w:t xml:space="preserve">Omvik, S., Sivertsen, B., Pallesen, S., Bjorvatn, B., Havik, O. E., &amp; Nordhus, I. H. (2008). </w:t>
      </w:r>
      <w:r w:rsidRPr="001A65C1">
        <w:rPr>
          <w:lang w:val="en-US"/>
        </w:rPr>
        <w:t xml:space="preserve">Daytime functioning in older patients suffering from chronic insomnia: Treatment outcome in a randomized controlled trial comparing CBT with Zopiclone. </w:t>
      </w:r>
      <w:r w:rsidRPr="00552A54">
        <w:rPr>
          <w:lang w:val="de-DE"/>
        </w:rPr>
        <w:lastRenderedPageBreak/>
        <w:t>Behaviour Research and Therapy, 46(5), 623–641. https://doi.org/10.1016/j.brat.2008.02.013</w:t>
      </w:r>
    </w:p>
    <w:p w14:paraId="7AF54681" w14:textId="77777777" w:rsidR="00552A54" w:rsidRPr="00552A54" w:rsidRDefault="00552A54" w:rsidP="00552A54">
      <w:pPr>
        <w:pStyle w:val="ListParagraph"/>
        <w:numPr>
          <w:ilvl w:val="0"/>
          <w:numId w:val="32"/>
        </w:numPr>
        <w:spacing w:line="276" w:lineRule="auto"/>
        <w:rPr>
          <w:lang w:val="de-DE"/>
        </w:rPr>
      </w:pPr>
      <w:r w:rsidRPr="001A65C1">
        <w:rPr>
          <w:lang w:val="en-US"/>
        </w:rPr>
        <w:t xml:space="preserve">Paxling, B., Almlöv, J., Dahlin, M., Carlbring, P., Breitholtz, E., Eriksson, T., &amp; Andersson, G. (2011). Guided Internet-Delivered Cognitive Behavior Therapy for Generalized Anxiety Disorder: A Randomized Controlled Trial. </w:t>
      </w:r>
      <w:r w:rsidRPr="00552A54">
        <w:rPr>
          <w:lang w:val="de-DE"/>
        </w:rPr>
        <w:t>Cognitive Behaviour Therapy, 40(3), 159–173. https://doi.org/10.1080/16506073.2011.576699</w:t>
      </w:r>
    </w:p>
    <w:p w14:paraId="2E9EBB59" w14:textId="77777777" w:rsidR="00552A54" w:rsidRPr="00552A54" w:rsidRDefault="00552A54" w:rsidP="00552A54">
      <w:pPr>
        <w:pStyle w:val="ListParagraph"/>
        <w:numPr>
          <w:ilvl w:val="0"/>
          <w:numId w:val="32"/>
        </w:numPr>
        <w:spacing w:line="276" w:lineRule="auto"/>
        <w:rPr>
          <w:lang w:val="de-DE"/>
        </w:rPr>
      </w:pPr>
      <w:r w:rsidRPr="001A65C1">
        <w:rPr>
          <w:lang w:val="en-US"/>
        </w:rPr>
        <w:t xml:space="preserve">Robinson, E., Titov, N., Andrews, G., McIntyre, K., Schwencke, G., &amp; Solley, K. (2010). Internet Treatment for Generalized Anxiety Disorder: A Randomized Controlled Trial Comparing Clinician vs. Technician Assistance. </w:t>
      </w:r>
      <w:r w:rsidRPr="00552A54">
        <w:rPr>
          <w:lang w:val="de-DE"/>
        </w:rPr>
        <w:t>PLoS ONE, 5(6), e10942. https://doi.org/10.1371/journal.pone.0010942</w:t>
      </w:r>
    </w:p>
    <w:p w14:paraId="1A86222C" w14:textId="77777777" w:rsidR="00552A54" w:rsidRPr="00552A54" w:rsidRDefault="00552A54" w:rsidP="00552A54">
      <w:pPr>
        <w:pStyle w:val="ListParagraph"/>
        <w:numPr>
          <w:ilvl w:val="0"/>
          <w:numId w:val="32"/>
        </w:numPr>
        <w:spacing w:line="276" w:lineRule="auto"/>
        <w:rPr>
          <w:lang w:val="de-DE"/>
        </w:rPr>
      </w:pPr>
      <w:r w:rsidRPr="001A65C1">
        <w:rPr>
          <w:lang w:val="en-US"/>
        </w:rPr>
        <w:t xml:space="preserve">Roemer, L., Orsillo, S. M., &amp; Salters-Pedneault, K. (2008). Efficacy of an acceptance-based behavior therapy for generalized anxiety disorder: Evaluation in a randomized controlled trial. </w:t>
      </w:r>
      <w:r w:rsidRPr="00552A54">
        <w:rPr>
          <w:lang w:val="de-DE"/>
        </w:rPr>
        <w:t>Journal of Consulting and Clinical Psychology, 76(6), 1083–1089. https://doi.org/10.1037/a0012720</w:t>
      </w:r>
    </w:p>
    <w:p w14:paraId="26D9A77C" w14:textId="77777777" w:rsidR="00552A54" w:rsidRPr="00552A54" w:rsidRDefault="00552A54" w:rsidP="00552A54">
      <w:pPr>
        <w:pStyle w:val="ListParagraph"/>
        <w:numPr>
          <w:ilvl w:val="0"/>
          <w:numId w:val="32"/>
        </w:numPr>
        <w:spacing w:line="276" w:lineRule="auto"/>
        <w:rPr>
          <w:lang w:val="de-DE"/>
        </w:rPr>
      </w:pPr>
      <w:r w:rsidRPr="00552A54">
        <w:rPr>
          <w:lang w:val="de-DE"/>
        </w:rPr>
        <w:t xml:space="preserve">Ruiz, F. J., Peña-Vargas, A., Ramírez, E. S., Suárez-Falcón, J. C., García-Martín, M. B., García-Beltrán, D. M., … </w:t>
      </w:r>
      <w:r w:rsidRPr="001A65C1">
        <w:rPr>
          <w:lang w:val="en-US"/>
        </w:rPr>
        <w:t xml:space="preserve">Sánchez, P. D. (2020). Efficacy of a two-session repetitive negative thinking-focused acceptance and commitment therapy (ACT) protocol for depression and generalized anxiety disorder: A randomized waitlist control trial. </w:t>
      </w:r>
      <w:r w:rsidRPr="00552A54">
        <w:rPr>
          <w:lang w:val="de-DE"/>
        </w:rPr>
        <w:t>Psychotherapy (Chicago, Ill.), 57(3), 444–456. https://doi.org/10.1037/pst0000273</w:t>
      </w:r>
    </w:p>
    <w:p w14:paraId="06FB0E0D" w14:textId="77777777" w:rsidR="00552A54" w:rsidRPr="00552A54" w:rsidRDefault="00552A54" w:rsidP="00552A54">
      <w:pPr>
        <w:pStyle w:val="ListParagraph"/>
        <w:numPr>
          <w:ilvl w:val="0"/>
          <w:numId w:val="32"/>
        </w:numPr>
        <w:spacing w:line="276" w:lineRule="auto"/>
        <w:rPr>
          <w:lang w:val="de-DE"/>
        </w:rPr>
      </w:pPr>
      <w:r w:rsidRPr="00552A54">
        <w:rPr>
          <w:lang w:val="de-DE"/>
        </w:rPr>
        <w:t xml:space="preserve">Schoenberg, P. L. A., &amp; Speckens, A. E. M. (2014). </w:t>
      </w:r>
      <w:r w:rsidRPr="001A65C1">
        <w:rPr>
          <w:lang w:val="en-US"/>
        </w:rPr>
        <w:t>Modulation of induced frontocentral theta (Fm-</w:t>
      </w:r>
      <w:r w:rsidRPr="00552A54">
        <w:rPr>
          <w:lang w:val="de-DE"/>
        </w:rPr>
        <w:t>θ</w:t>
      </w:r>
      <w:r w:rsidRPr="001A65C1">
        <w:rPr>
          <w:lang w:val="en-US"/>
        </w:rPr>
        <w:t xml:space="preserve">) event-related (de-)synchronisation dynamics following mindfulness-based cognitive therapy in Major Depressive Disorder. </w:t>
      </w:r>
      <w:r w:rsidRPr="00552A54">
        <w:rPr>
          <w:lang w:val="de-DE"/>
        </w:rPr>
        <w:t>Cognitive Neurodynamics, 8(5), 373–388. https://doi.org/10.1007/s11571-014-9294-0</w:t>
      </w:r>
    </w:p>
    <w:p w14:paraId="6856BF91" w14:textId="77777777" w:rsidR="00552A54" w:rsidRPr="00552A54" w:rsidRDefault="00552A54" w:rsidP="00552A54">
      <w:pPr>
        <w:pStyle w:val="ListParagraph"/>
        <w:numPr>
          <w:ilvl w:val="0"/>
          <w:numId w:val="32"/>
        </w:numPr>
        <w:spacing w:line="276" w:lineRule="auto"/>
        <w:rPr>
          <w:lang w:val="de-DE"/>
        </w:rPr>
      </w:pPr>
      <w:r w:rsidRPr="00552A54">
        <w:rPr>
          <w:lang w:val="de-DE"/>
        </w:rPr>
        <w:t xml:space="preserve">Stanley, M. A., Wilson, N. L., Amspoker, A. B., Kraus-Schuman, C., Wagener, P. D., Calleo, J. S., … Kunik, M. E. (2014). </w:t>
      </w:r>
      <w:r w:rsidRPr="001A65C1">
        <w:rPr>
          <w:lang w:val="en-US"/>
        </w:rPr>
        <w:t xml:space="preserve">Lay providers can deliver effective cognitive behavior therapy for older adults with generalized anxiety disorder: A randomized trial. </w:t>
      </w:r>
      <w:r w:rsidRPr="00552A54">
        <w:rPr>
          <w:lang w:val="de-DE"/>
        </w:rPr>
        <w:t>Depression and Anxiety, 31(5), 391–401. https://doi.org/10.1002/da.22239</w:t>
      </w:r>
    </w:p>
    <w:p w14:paraId="63001C61" w14:textId="77777777" w:rsidR="00552A54" w:rsidRPr="00552A54" w:rsidRDefault="00552A54" w:rsidP="00552A54">
      <w:pPr>
        <w:pStyle w:val="ListParagraph"/>
        <w:numPr>
          <w:ilvl w:val="0"/>
          <w:numId w:val="32"/>
        </w:numPr>
        <w:spacing w:line="276" w:lineRule="auto"/>
        <w:rPr>
          <w:lang w:val="de-DE"/>
        </w:rPr>
      </w:pPr>
      <w:r w:rsidRPr="00552A54">
        <w:rPr>
          <w:lang w:val="de-DE"/>
        </w:rPr>
        <w:t xml:space="preserve">Stanley, M. A., Wilson, N. L., Novy, D. M., Rhoades, H. M., Wagener, P. D., Greisinger, A. J., … Kunik, M. E. (2009). </w:t>
      </w:r>
      <w:r w:rsidRPr="001A65C1">
        <w:rPr>
          <w:lang w:val="en-US"/>
        </w:rPr>
        <w:t xml:space="preserve">Cognitive Behavior Therapy for Generalized Anxiety Disorder Among Older Adults in Primary Care: A Randomized Clinical Trial. </w:t>
      </w:r>
      <w:r w:rsidRPr="00552A54">
        <w:rPr>
          <w:lang w:val="de-DE"/>
        </w:rPr>
        <w:t>JAMA, 301(14), 1460–1467. https://doi.org/10.1001/jama.2009.458</w:t>
      </w:r>
    </w:p>
    <w:p w14:paraId="164D9500" w14:textId="77777777" w:rsidR="00552A54" w:rsidRPr="001A65C1" w:rsidRDefault="00552A54" w:rsidP="00552A54">
      <w:pPr>
        <w:pStyle w:val="ListParagraph"/>
        <w:numPr>
          <w:ilvl w:val="0"/>
          <w:numId w:val="32"/>
        </w:numPr>
        <w:spacing w:line="276" w:lineRule="auto"/>
        <w:rPr>
          <w:lang w:val="en-US"/>
        </w:rPr>
      </w:pPr>
      <w:r w:rsidRPr="001A65C1">
        <w:rPr>
          <w:lang w:val="en-US"/>
        </w:rPr>
        <w:t>Thomas, P. J., Leow, A., Klumpp, H., Phan, K. L., &amp; Ajilore, O. (2023). Default Mode Network Hypoalignment of Function to Structure Correlates With Depression and Rumination. Biological Psychiatry: Cognitive Neuroscience and Neuroimaging, S2451902223001854. https://doi.org/10.1016/j.bpsc.2023.06.008</w:t>
      </w:r>
    </w:p>
    <w:p w14:paraId="3959D9B9" w14:textId="77777777" w:rsidR="00552A54" w:rsidRPr="00552A54" w:rsidRDefault="00552A54" w:rsidP="00552A54">
      <w:pPr>
        <w:pStyle w:val="ListParagraph"/>
        <w:numPr>
          <w:ilvl w:val="0"/>
          <w:numId w:val="32"/>
        </w:numPr>
        <w:spacing w:line="276" w:lineRule="auto"/>
        <w:rPr>
          <w:lang w:val="de-DE"/>
        </w:rPr>
      </w:pPr>
      <w:r w:rsidRPr="001A65C1">
        <w:rPr>
          <w:lang w:val="en-US"/>
        </w:rPr>
        <w:t xml:space="preserve">Titov, N., Andrews, G., Johnston, L., Robinson, E., &amp; Spence, J. (2010). Transdiagnostic Internet treatment for anxiety disorders: A randomized controlled trial. </w:t>
      </w:r>
      <w:r w:rsidRPr="00552A54">
        <w:rPr>
          <w:lang w:val="de-DE"/>
        </w:rPr>
        <w:t>Behaviour Research and Therapy, 48(9), 890–899. https://doi.org/10.1016/j.brat.2010.05.014</w:t>
      </w:r>
    </w:p>
    <w:p w14:paraId="470254F0" w14:textId="77777777" w:rsidR="00552A54" w:rsidRPr="00552A54" w:rsidRDefault="00552A54" w:rsidP="00552A54">
      <w:pPr>
        <w:pStyle w:val="ListParagraph"/>
        <w:numPr>
          <w:ilvl w:val="0"/>
          <w:numId w:val="32"/>
        </w:numPr>
        <w:spacing w:line="276" w:lineRule="auto"/>
        <w:rPr>
          <w:lang w:val="de-DE"/>
        </w:rPr>
      </w:pPr>
      <w:r w:rsidRPr="001A65C1">
        <w:rPr>
          <w:lang w:val="en-US"/>
        </w:rPr>
        <w:t xml:space="preserve">Titov, N., Andrews, G., Robinson, E., Schwencke, G., Johnston, L., Solley, K., &amp; Choi, I. (2009). Clinician-Assisted Internet-Based Treatment is Effective for Generalized Anxiety </w:t>
      </w:r>
      <w:r w:rsidRPr="001A65C1">
        <w:rPr>
          <w:lang w:val="en-US"/>
        </w:rPr>
        <w:lastRenderedPageBreak/>
        <w:t xml:space="preserve">Disorder: Randomized Controlled Trial. </w:t>
      </w:r>
      <w:r w:rsidRPr="00552A54">
        <w:rPr>
          <w:lang w:val="de-DE"/>
        </w:rPr>
        <w:t>Australian &amp; New Zealand Journal of Psychiatry, 43(10), 905–912. https://doi.org/10.1080/00048670903179269</w:t>
      </w:r>
    </w:p>
    <w:p w14:paraId="3F816702" w14:textId="77777777" w:rsidR="00552A54" w:rsidRPr="00552A54" w:rsidRDefault="00552A54" w:rsidP="00552A54">
      <w:pPr>
        <w:pStyle w:val="ListParagraph"/>
        <w:numPr>
          <w:ilvl w:val="0"/>
          <w:numId w:val="32"/>
        </w:numPr>
        <w:spacing w:line="276" w:lineRule="auto"/>
        <w:rPr>
          <w:lang w:val="de-DE"/>
        </w:rPr>
      </w:pPr>
      <w:r w:rsidRPr="00552A54">
        <w:rPr>
          <w:lang w:val="de-DE"/>
        </w:rPr>
        <w:t xml:space="preserve">van der Heiden, C., Muris, P., &amp; van der Molen, H. T. (2012). </w:t>
      </w:r>
      <w:r w:rsidRPr="001A65C1">
        <w:rPr>
          <w:lang w:val="en-US"/>
        </w:rPr>
        <w:t xml:space="preserve">Randomized controlled trial on the effectiveness of metacognitive therapy and intolerance-of-uncertainty therapy for generalized anxiety disorder. </w:t>
      </w:r>
      <w:r w:rsidRPr="00552A54">
        <w:rPr>
          <w:lang w:val="de-DE"/>
        </w:rPr>
        <w:t>Behaviour Research and Therapy, 50(2), 100–109. https://doi.org/10.1016/j.brat.2011.12.005</w:t>
      </w:r>
    </w:p>
    <w:p w14:paraId="6259A02D" w14:textId="77777777" w:rsidR="00552A54" w:rsidRPr="00552A54" w:rsidRDefault="00552A54" w:rsidP="00552A54">
      <w:pPr>
        <w:pStyle w:val="ListParagraph"/>
        <w:numPr>
          <w:ilvl w:val="0"/>
          <w:numId w:val="32"/>
        </w:numPr>
        <w:spacing w:line="276" w:lineRule="auto"/>
        <w:rPr>
          <w:lang w:val="de-DE"/>
        </w:rPr>
      </w:pPr>
      <w:r w:rsidRPr="00552A54">
        <w:rPr>
          <w:lang w:val="de-DE"/>
        </w:rPr>
        <w:t xml:space="preserve">van der Zweerde, T., van Straten, A., Effting, M., Kyle, S. D., &amp; Lancee, J. (2019). </w:t>
      </w:r>
      <w:r w:rsidRPr="001A65C1">
        <w:rPr>
          <w:lang w:val="en-US"/>
        </w:rPr>
        <w:t xml:space="preserve">Does online insomnia treatment reduce depressive symptoms? A randomized controlled trial in individuals with both insomnia and depressive symptoms. </w:t>
      </w:r>
      <w:r w:rsidRPr="00552A54">
        <w:rPr>
          <w:lang w:val="de-DE"/>
        </w:rPr>
        <w:t>Psychological Medicine, 49(3), 501–509. https://doi.org/10.1017/S0033291718001149</w:t>
      </w:r>
    </w:p>
    <w:p w14:paraId="2362C022" w14:textId="77777777" w:rsidR="00552A54" w:rsidRPr="00552A54" w:rsidRDefault="00552A54" w:rsidP="00552A54">
      <w:pPr>
        <w:pStyle w:val="ListParagraph"/>
        <w:numPr>
          <w:ilvl w:val="0"/>
          <w:numId w:val="32"/>
        </w:numPr>
        <w:spacing w:line="276" w:lineRule="auto"/>
        <w:rPr>
          <w:lang w:val="de-DE"/>
        </w:rPr>
      </w:pPr>
      <w:r w:rsidRPr="00552A54">
        <w:rPr>
          <w:lang w:val="de-DE"/>
        </w:rPr>
        <w:t xml:space="preserve">Vøllestad, J., Sivertsen, B., &amp; Nielsen, G. H. (2011). </w:t>
      </w:r>
      <w:r w:rsidRPr="001A65C1">
        <w:rPr>
          <w:lang w:val="en-US"/>
        </w:rPr>
        <w:t xml:space="preserve">Mindfulness-based stress reduction for patients with anxiety disorders: Evaluation in a randomized controlled trial. </w:t>
      </w:r>
      <w:r w:rsidRPr="00552A54">
        <w:rPr>
          <w:lang w:val="de-DE"/>
        </w:rPr>
        <w:t>Behaviour Research and Therapy, 49(4), 281–288. https://doi.org/10.1016/j.brat.2011.01.007</w:t>
      </w:r>
    </w:p>
    <w:p w14:paraId="1E718D67" w14:textId="77777777" w:rsidR="00552A54" w:rsidRPr="00552A54" w:rsidRDefault="00552A54" w:rsidP="00552A54">
      <w:pPr>
        <w:pStyle w:val="ListParagraph"/>
        <w:numPr>
          <w:ilvl w:val="0"/>
          <w:numId w:val="32"/>
        </w:numPr>
        <w:spacing w:line="276" w:lineRule="auto"/>
        <w:rPr>
          <w:lang w:val="de-DE"/>
        </w:rPr>
      </w:pPr>
      <w:r w:rsidRPr="001A65C1">
        <w:rPr>
          <w:lang w:val="en-US"/>
        </w:rPr>
        <w:t xml:space="preserve">Wells, A., &amp; Colbear, J. S. (2012). Treating Posttraumatic Stress Disorder With Metacognitive Therapy: A Preliminary Controlled Trial. </w:t>
      </w:r>
      <w:r w:rsidRPr="00552A54">
        <w:rPr>
          <w:lang w:val="de-DE"/>
        </w:rPr>
        <w:t>Journal of Clinical Psychology, 68(4), 373–381. https://doi.org/10.1002/jclp.20871</w:t>
      </w:r>
    </w:p>
    <w:p w14:paraId="054A72FA" w14:textId="77777777" w:rsidR="00552A54" w:rsidRPr="001A65C1" w:rsidRDefault="00552A54" w:rsidP="00552A54">
      <w:pPr>
        <w:pStyle w:val="ListParagraph"/>
        <w:numPr>
          <w:ilvl w:val="0"/>
          <w:numId w:val="32"/>
        </w:numPr>
        <w:spacing w:line="276" w:lineRule="auto"/>
        <w:rPr>
          <w:lang w:val="en-US"/>
        </w:rPr>
      </w:pPr>
      <w:r w:rsidRPr="001A65C1">
        <w:rPr>
          <w:lang w:val="en-US"/>
        </w:rPr>
        <w:t>Wetherell, J. L., Gatz, M., &amp; Craske, M. G. (2003). Treatment of generalized anxiety disorder in older adults. Journal of Consulting and Clinical Psychology, 71(1), 31–40. https://doi.org/10.1037/0022-006X.71.1.31</w:t>
      </w:r>
    </w:p>
    <w:p w14:paraId="14298A09" w14:textId="77777777" w:rsidR="00552A54" w:rsidRPr="00552A54" w:rsidRDefault="00552A54" w:rsidP="00552A54">
      <w:pPr>
        <w:pStyle w:val="ListParagraph"/>
        <w:numPr>
          <w:ilvl w:val="0"/>
          <w:numId w:val="32"/>
        </w:numPr>
        <w:spacing w:line="276" w:lineRule="auto"/>
        <w:rPr>
          <w:lang w:val="de-DE"/>
        </w:rPr>
      </w:pPr>
      <w:r w:rsidRPr="00552A54">
        <w:rPr>
          <w:lang w:val="de-DE"/>
        </w:rPr>
        <w:t xml:space="preserve">Winnebeck, E., Fissler, M., Gärtner, M., Chadwick, P., &amp; Barnhofer, T. (2017). </w:t>
      </w:r>
      <w:r w:rsidRPr="001A65C1">
        <w:rPr>
          <w:lang w:val="en-US"/>
        </w:rPr>
        <w:t xml:space="preserve">Brief training in mindfulness meditation reduces symptoms in patients with a chronic or recurrent lifetime history of depression: A randomized controlled study. </w:t>
      </w:r>
      <w:r w:rsidRPr="00552A54">
        <w:rPr>
          <w:lang w:val="de-DE"/>
        </w:rPr>
        <w:t>Behaviour Research and Therapy, 99, 124–130. https://doi.org/10.1016/j.brat.2017.10.005</w:t>
      </w:r>
    </w:p>
    <w:p w14:paraId="18A12B00" w14:textId="77777777" w:rsidR="00552A54" w:rsidRPr="001A65C1" w:rsidRDefault="00552A54" w:rsidP="00552A54">
      <w:pPr>
        <w:pStyle w:val="ListParagraph"/>
        <w:numPr>
          <w:ilvl w:val="0"/>
          <w:numId w:val="32"/>
        </w:numPr>
        <w:spacing w:line="276" w:lineRule="auto"/>
        <w:rPr>
          <w:lang w:val="en-US"/>
        </w:rPr>
      </w:pPr>
      <w:r w:rsidRPr="001A65C1">
        <w:rPr>
          <w:lang w:val="en-US"/>
        </w:rPr>
        <w:t>Wong, S. Y. S., Yip, B. H. K., Mak, W. W. S., Mercer, S., Cheung, E. Y. L., Ling, C. Y. M., … Ma, H. S. W. (2016). Mindfulness-based cognitive therapy v. group psychoeducation for people with generalised anxiety disorder: Randomised controlled trial. The British Journal of Psychiatry, 209(1), 68–75. https://doi.org/10.1192/bjp.bp.115.166124</w:t>
      </w:r>
    </w:p>
    <w:p w14:paraId="79FB6D86" w14:textId="77777777" w:rsidR="00552A54" w:rsidRPr="00552A54" w:rsidRDefault="00552A54" w:rsidP="00552A54">
      <w:pPr>
        <w:pStyle w:val="ListParagraph"/>
        <w:numPr>
          <w:ilvl w:val="0"/>
          <w:numId w:val="32"/>
        </w:numPr>
        <w:spacing w:line="276" w:lineRule="auto"/>
        <w:rPr>
          <w:lang w:val="de-DE"/>
        </w:rPr>
      </w:pPr>
      <w:r w:rsidRPr="00552A54">
        <w:rPr>
          <w:lang w:val="de-DE"/>
        </w:rPr>
        <w:t xml:space="preserve">Zemestani, M., Beheshti, N., Rezaei, F., Van Der Heiden, C., &amp; Kendall, P. C. (2021). </w:t>
      </w:r>
      <w:r w:rsidRPr="001A65C1">
        <w:rPr>
          <w:lang w:val="en-US"/>
        </w:rPr>
        <w:t xml:space="preserve">Cognitive Behavior Therapy Targeting Intolerance of Uncertainty Versus Selective Serotonin Reuptake Inhibitor for Generalized Anxiety Disorder: A Randomized Clinical Trial. </w:t>
      </w:r>
      <w:r w:rsidRPr="00552A54">
        <w:rPr>
          <w:lang w:val="de-DE"/>
        </w:rPr>
        <w:t>Behaviour Change, 38(4), 250–262. https://doi.org/10.1017/bec.2021.16</w:t>
      </w:r>
    </w:p>
    <w:p w14:paraId="6D009D06" w14:textId="4F33D4A7" w:rsidR="00D21CE9" w:rsidRPr="00C948B6" w:rsidRDefault="00552A54" w:rsidP="00C948B6">
      <w:pPr>
        <w:pStyle w:val="ListParagraph"/>
        <w:numPr>
          <w:ilvl w:val="0"/>
          <w:numId w:val="32"/>
        </w:numPr>
        <w:spacing w:line="276" w:lineRule="auto"/>
        <w:rPr>
          <w:lang w:val="de-DE"/>
        </w:rPr>
      </w:pPr>
      <w:r w:rsidRPr="00552A54">
        <w:rPr>
          <w:lang w:val="de-DE"/>
        </w:rPr>
        <w:t xml:space="preserve">Zinbarg, R. E., Eun Lee, J., &amp; Lira Yoon, K. (2007). </w:t>
      </w:r>
      <w:r w:rsidRPr="001A65C1">
        <w:rPr>
          <w:lang w:val="en-US"/>
        </w:rPr>
        <w:t xml:space="preserve">Dyadic predictors of outcome in a cognitive-behavioral program for patients with generalized anxiety disorder in committed relationships: A “spoonful of sugar” and a dose of non-hostile criticism may help. </w:t>
      </w:r>
      <w:r w:rsidRPr="00552A54">
        <w:rPr>
          <w:lang w:val="de-DE"/>
        </w:rPr>
        <w:t>Behaviour Research and Therapy, 45(4), 699–713. https://doi.org/10.1016/j.brat.2006.06.005</w:t>
      </w:r>
    </w:p>
    <w:p w14:paraId="4B94D59B" w14:textId="77777777" w:rsidR="00AA5025" w:rsidRDefault="00AA5025" w:rsidP="00012821">
      <w:pPr>
        <w:spacing w:after="200" w:line="276" w:lineRule="auto"/>
        <w:rPr>
          <w:b/>
          <w:sz w:val="28"/>
          <w:szCs w:val="28"/>
          <w:lang w:val="en-US"/>
        </w:rPr>
      </w:pPr>
    </w:p>
    <w:p w14:paraId="27D380D7" w14:textId="77777777" w:rsidR="00AA5025" w:rsidRDefault="00AA5025" w:rsidP="00AA5025">
      <w:pPr>
        <w:sectPr w:rsidR="00AA5025" w:rsidSect="003356A7">
          <w:headerReference w:type="default" r:id="rId8"/>
          <w:footerReference w:type="default" r:id="rId9"/>
          <w:pgSz w:w="12240" w:h="15840"/>
          <w:pgMar w:top="1440" w:right="1440" w:bottom="1440" w:left="1440" w:header="720" w:footer="720" w:gutter="0"/>
          <w:lnNumType w:countBy="1" w:restart="continuous"/>
          <w:cols w:space="720"/>
          <w:docGrid w:linePitch="360"/>
        </w:sectPr>
      </w:pPr>
    </w:p>
    <w:p w14:paraId="568B70B8" w14:textId="40FCEE39" w:rsidR="006B321E" w:rsidRPr="006B321E" w:rsidRDefault="00AA5025" w:rsidP="006B321E">
      <w:pPr>
        <w:pStyle w:val="Caption"/>
        <w:rPr>
          <w:i w:val="0"/>
          <w:iCs w:val="0"/>
          <w:color w:val="000000" w:themeColor="text1"/>
          <w:sz w:val="28"/>
          <w:szCs w:val="28"/>
        </w:rPr>
      </w:pPr>
      <w:r w:rsidRPr="00AA5025">
        <w:rPr>
          <w:b/>
          <w:bCs/>
          <w:i w:val="0"/>
          <w:iCs w:val="0"/>
          <w:color w:val="000000" w:themeColor="text1"/>
          <w:sz w:val="28"/>
          <w:szCs w:val="28"/>
        </w:rPr>
        <w:lastRenderedPageBreak/>
        <w:t>S</w:t>
      </w:r>
      <w:r w:rsidR="003535D8">
        <w:rPr>
          <w:b/>
          <w:bCs/>
          <w:i w:val="0"/>
          <w:iCs w:val="0"/>
          <w:color w:val="000000" w:themeColor="text1"/>
          <w:sz w:val="28"/>
          <w:szCs w:val="28"/>
        </w:rPr>
        <w:t>I</w:t>
      </w:r>
      <w:r w:rsidR="00055480">
        <w:rPr>
          <w:b/>
          <w:bCs/>
          <w:i w:val="0"/>
          <w:iCs w:val="0"/>
          <w:color w:val="000000" w:themeColor="text1"/>
          <w:sz w:val="28"/>
          <w:szCs w:val="28"/>
        </w:rPr>
        <w:t>6</w:t>
      </w:r>
      <w:r w:rsidRPr="00AA5025">
        <w:rPr>
          <w:b/>
          <w:bCs/>
          <w:i w:val="0"/>
          <w:iCs w:val="0"/>
          <w:color w:val="000000" w:themeColor="text1"/>
          <w:sz w:val="28"/>
          <w:szCs w:val="28"/>
        </w:rPr>
        <w:t xml:space="preserve">: </w:t>
      </w:r>
      <w:r w:rsidRPr="00AA5025">
        <w:rPr>
          <w:i w:val="0"/>
          <w:iCs w:val="0"/>
          <w:color w:val="000000" w:themeColor="text1"/>
          <w:sz w:val="28"/>
          <w:szCs w:val="28"/>
        </w:rPr>
        <w:t>Selected Characteristics of Included Studies Investigating the Effects of Cognitive-behavioral Interventions on Repetitive Negative Thinking</w:t>
      </w:r>
    </w:p>
    <w:tbl>
      <w:tblPr>
        <w:tblStyle w:val="PlainTable1"/>
        <w:tblW w:w="13963" w:type="dxa"/>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
        <w:gridCol w:w="1731"/>
        <w:gridCol w:w="1269"/>
        <w:gridCol w:w="720"/>
        <w:gridCol w:w="631"/>
        <w:gridCol w:w="720"/>
        <w:gridCol w:w="763"/>
        <w:gridCol w:w="922"/>
        <w:gridCol w:w="1037"/>
        <w:gridCol w:w="697"/>
        <w:gridCol w:w="1094"/>
        <w:gridCol w:w="576"/>
        <w:gridCol w:w="1080"/>
        <w:gridCol w:w="749"/>
        <w:gridCol w:w="684"/>
        <w:gridCol w:w="786"/>
      </w:tblGrid>
      <w:tr w:rsidR="00F8095D" w:rsidRPr="00D45CB4" w14:paraId="43AD03F7" w14:textId="77777777" w:rsidTr="006B321E">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504" w:type="dxa"/>
            <w:tcBorders>
              <w:top w:val="single" w:sz="12" w:space="0" w:color="auto"/>
              <w:bottom w:val="single" w:sz="12" w:space="0" w:color="000000"/>
            </w:tcBorders>
            <w:noWrap/>
            <w:vAlign w:val="center"/>
            <w:hideMark/>
          </w:tcPr>
          <w:p w14:paraId="109B1CA8" w14:textId="77777777" w:rsidR="00517516" w:rsidRPr="00D45CB4" w:rsidRDefault="00517516" w:rsidP="00517516">
            <w:pPr>
              <w:spacing w:line="276" w:lineRule="auto"/>
              <w:rPr>
                <w:kern w:val="0"/>
                <w:sz w:val="16"/>
                <w:szCs w:val="16"/>
              </w:rPr>
            </w:pPr>
          </w:p>
        </w:tc>
        <w:tc>
          <w:tcPr>
            <w:tcW w:w="1731" w:type="dxa"/>
            <w:tcBorders>
              <w:top w:val="single" w:sz="12" w:space="0" w:color="auto"/>
              <w:bottom w:val="single" w:sz="12" w:space="0" w:color="000000"/>
            </w:tcBorders>
            <w:noWrap/>
            <w:hideMark/>
          </w:tcPr>
          <w:p w14:paraId="29A7150D" w14:textId="77777777" w:rsidR="00517516" w:rsidRPr="00D45CB4" w:rsidRDefault="00517516" w:rsidP="00517516">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Study Label</w:t>
            </w:r>
          </w:p>
        </w:tc>
        <w:tc>
          <w:tcPr>
            <w:tcW w:w="1269" w:type="dxa"/>
            <w:tcBorders>
              <w:top w:val="single" w:sz="12" w:space="0" w:color="auto"/>
              <w:bottom w:val="single" w:sz="12" w:space="0" w:color="000000"/>
            </w:tcBorders>
            <w:noWrap/>
            <w:hideMark/>
          </w:tcPr>
          <w:p w14:paraId="09DF5A29" w14:textId="77777777" w:rsidR="00517516" w:rsidRPr="00D45CB4" w:rsidRDefault="00517516" w:rsidP="00517516">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 xml:space="preserve">Primary Diagnoses </w:t>
            </w:r>
          </w:p>
        </w:tc>
        <w:tc>
          <w:tcPr>
            <w:tcW w:w="720" w:type="dxa"/>
            <w:tcBorders>
              <w:top w:val="single" w:sz="12" w:space="0" w:color="auto"/>
              <w:bottom w:val="single" w:sz="12" w:space="0" w:color="000000"/>
            </w:tcBorders>
            <w:noWrap/>
            <w:hideMark/>
          </w:tcPr>
          <w:p w14:paraId="5892807B" w14:textId="77777777" w:rsidR="00517516" w:rsidRPr="00D45CB4" w:rsidRDefault="00517516" w:rsidP="00517516">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000000"/>
                <w:kern w:val="0"/>
                <w:sz w:val="16"/>
                <w:szCs w:val="16"/>
              </w:rPr>
            </w:pPr>
            <w:r w:rsidRPr="00D45CB4">
              <w:rPr>
                <w:color w:val="000000"/>
                <w:kern w:val="0"/>
                <w:sz w:val="16"/>
                <w:szCs w:val="16"/>
              </w:rPr>
              <w:t xml:space="preserve">% </w:t>
            </w:r>
          </w:p>
          <w:p w14:paraId="0757C142" w14:textId="77777777" w:rsidR="00517516" w:rsidRPr="00D45CB4" w:rsidRDefault="00517516" w:rsidP="00517516">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Female</w:t>
            </w:r>
          </w:p>
        </w:tc>
        <w:tc>
          <w:tcPr>
            <w:tcW w:w="631" w:type="dxa"/>
            <w:tcBorders>
              <w:top w:val="single" w:sz="12" w:space="0" w:color="auto"/>
              <w:bottom w:val="single" w:sz="12" w:space="0" w:color="000000"/>
            </w:tcBorders>
            <w:noWrap/>
            <w:hideMark/>
          </w:tcPr>
          <w:p w14:paraId="4C9DBAE5" w14:textId="77777777" w:rsidR="00517516" w:rsidRPr="00D45CB4" w:rsidRDefault="00517516" w:rsidP="00517516">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Mean Age</w:t>
            </w:r>
          </w:p>
        </w:tc>
        <w:tc>
          <w:tcPr>
            <w:tcW w:w="720" w:type="dxa"/>
            <w:tcBorders>
              <w:top w:val="single" w:sz="12" w:space="0" w:color="auto"/>
              <w:bottom w:val="single" w:sz="12" w:space="0" w:color="000000"/>
            </w:tcBorders>
            <w:noWrap/>
            <w:hideMark/>
          </w:tcPr>
          <w:p w14:paraId="5A17CCB0" w14:textId="77777777" w:rsidR="00517516" w:rsidRPr="00D45CB4" w:rsidRDefault="00517516" w:rsidP="00517516">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kern w:val="0"/>
                <w:sz w:val="16"/>
                <w:szCs w:val="16"/>
              </w:rPr>
            </w:pPr>
            <w:r w:rsidRPr="00D45CB4">
              <w:rPr>
                <w:i/>
                <w:iCs/>
                <w:color w:val="000000"/>
                <w:kern w:val="0"/>
                <w:sz w:val="16"/>
                <w:szCs w:val="16"/>
              </w:rPr>
              <w:t>N</w:t>
            </w:r>
            <w:r w:rsidRPr="00D45CB4">
              <w:rPr>
                <w:color w:val="000000"/>
                <w:kern w:val="0"/>
                <w:sz w:val="16"/>
                <w:szCs w:val="16"/>
              </w:rPr>
              <w:t xml:space="preserve"> Post Treat</w:t>
            </w:r>
          </w:p>
        </w:tc>
        <w:tc>
          <w:tcPr>
            <w:tcW w:w="763" w:type="dxa"/>
            <w:tcBorders>
              <w:top w:val="single" w:sz="12" w:space="0" w:color="auto"/>
              <w:bottom w:val="single" w:sz="12" w:space="0" w:color="000000"/>
            </w:tcBorders>
            <w:noWrap/>
            <w:hideMark/>
          </w:tcPr>
          <w:p w14:paraId="5E14728C" w14:textId="77777777" w:rsidR="00517516" w:rsidRPr="00D45CB4" w:rsidRDefault="00517516" w:rsidP="00517516">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kern w:val="0"/>
                <w:sz w:val="16"/>
                <w:szCs w:val="16"/>
              </w:rPr>
            </w:pPr>
            <w:r w:rsidRPr="00D45CB4">
              <w:rPr>
                <w:i/>
                <w:iCs/>
                <w:color w:val="000000"/>
                <w:kern w:val="0"/>
                <w:sz w:val="16"/>
                <w:szCs w:val="16"/>
              </w:rPr>
              <w:t>N</w:t>
            </w:r>
            <w:r w:rsidRPr="00D45CB4">
              <w:rPr>
                <w:color w:val="000000"/>
                <w:kern w:val="0"/>
                <w:sz w:val="16"/>
                <w:szCs w:val="16"/>
              </w:rPr>
              <w:t xml:space="preserve"> Post Control</w:t>
            </w:r>
          </w:p>
        </w:tc>
        <w:tc>
          <w:tcPr>
            <w:tcW w:w="922" w:type="dxa"/>
            <w:tcBorders>
              <w:top w:val="single" w:sz="12" w:space="0" w:color="auto"/>
              <w:bottom w:val="single" w:sz="12" w:space="0" w:color="000000"/>
            </w:tcBorders>
            <w:noWrap/>
            <w:hideMark/>
          </w:tcPr>
          <w:p w14:paraId="517B534E" w14:textId="77777777" w:rsidR="00517516" w:rsidRPr="00D45CB4" w:rsidRDefault="00517516" w:rsidP="00517516">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Outcome</w:t>
            </w:r>
          </w:p>
        </w:tc>
        <w:tc>
          <w:tcPr>
            <w:tcW w:w="1037" w:type="dxa"/>
            <w:tcBorders>
              <w:top w:val="single" w:sz="12" w:space="0" w:color="auto"/>
              <w:bottom w:val="single" w:sz="12" w:space="0" w:color="000000"/>
            </w:tcBorders>
            <w:noWrap/>
            <w:hideMark/>
          </w:tcPr>
          <w:p w14:paraId="0337A723" w14:textId="77777777" w:rsidR="00517516" w:rsidRPr="00D45CB4" w:rsidRDefault="00517516" w:rsidP="00517516">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Treatment</w:t>
            </w:r>
          </w:p>
        </w:tc>
        <w:tc>
          <w:tcPr>
            <w:tcW w:w="697" w:type="dxa"/>
            <w:tcBorders>
              <w:top w:val="single" w:sz="12" w:space="0" w:color="auto"/>
              <w:bottom w:val="single" w:sz="12" w:space="0" w:color="000000"/>
            </w:tcBorders>
            <w:noWrap/>
            <w:hideMark/>
          </w:tcPr>
          <w:p w14:paraId="0913AE5A" w14:textId="77777777" w:rsidR="00517516" w:rsidRPr="00D45CB4" w:rsidRDefault="00517516" w:rsidP="00517516">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Speci-ficity</w:t>
            </w:r>
          </w:p>
        </w:tc>
        <w:tc>
          <w:tcPr>
            <w:tcW w:w="1094" w:type="dxa"/>
            <w:tcBorders>
              <w:top w:val="single" w:sz="12" w:space="0" w:color="auto"/>
              <w:bottom w:val="single" w:sz="12" w:space="0" w:color="000000"/>
            </w:tcBorders>
            <w:noWrap/>
            <w:hideMark/>
          </w:tcPr>
          <w:p w14:paraId="531474DC" w14:textId="77777777" w:rsidR="00517516" w:rsidRPr="00D45CB4" w:rsidRDefault="00517516" w:rsidP="00517516">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Setting</w:t>
            </w:r>
          </w:p>
        </w:tc>
        <w:tc>
          <w:tcPr>
            <w:tcW w:w="576" w:type="dxa"/>
            <w:tcBorders>
              <w:top w:val="single" w:sz="12" w:space="0" w:color="auto"/>
              <w:bottom w:val="single" w:sz="12" w:space="0" w:color="000000"/>
            </w:tcBorders>
            <w:noWrap/>
            <w:hideMark/>
          </w:tcPr>
          <w:p w14:paraId="52D3F54D" w14:textId="77777777" w:rsidR="00517516" w:rsidRPr="00D45CB4" w:rsidRDefault="00517516" w:rsidP="00517516">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Ses-sions</w:t>
            </w:r>
          </w:p>
        </w:tc>
        <w:tc>
          <w:tcPr>
            <w:tcW w:w="1080" w:type="dxa"/>
            <w:tcBorders>
              <w:top w:val="single" w:sz="12" w:space="0" w:color="auto"/>
              <w:bottom w:val="single" w:sz="12" w:space="0" w:color="000000"/>
            </w:tcBorders>
            <w:noWrap/>
            <w:hideMark/>
          </w:tcPr>
          <w:p w14:paraId="28767047" w14:textId="77777777" w:rsidR="00517516" w:rsidRPr="00D45CB4" w:rsidRDefault="00517516" w:rsidP="00517516">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Control Group</w:t>
            </w:r>
          </w:p>
        </w:tc>
        <w:tc>
          <w:tcPr>
            <w:tcW w:w="749" w:type="dxa"/>
            <w:tcBorders>
              <w:top w:val="single" w:sz="12" w:space="0" w:color="auto"/>
              <w:bottom w:val="single" w:sz="12" w:space="0" w:color="000000"/>
            </w:tcBorders>
            <w:vAlign w:val="center"/>
          </w:tcPr>
          <w:p w14:paraId="62BE1D72" w14:textId="77777777" w:rsidR="00517516" w:rsidRPr="00D45CB4" w:rsidRDefault="00517516" w:rsidP="00FE2E1C">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sz w:val="16"/>
                <w:szCs w:val="16"/>
                <w:lang w:val="en-US" w:eastAsia="en-US"/>
              </w:rPr>
            </w:pPr>
            <w:r w:rsidRPr="00D45CB4">
              <w:rPr>
                <w:color w:val="000000"/>
                <w:sz w:val="16"/>
                <w:szCs w:val="16"/>
              </w:rPr>
              <w:t>Control type</w:t>
            </w:r>
          </w:p>
        </w:tc>
        <w:tc>
          <w:tcPr>
            <w:tcW w:w="684" w:type="dxa"/>
            <w:tcBorders>
              <w:top w:val="single" w:sz="12" w:space="0" w:color="auto"/>
              <w:bottom w:val="single" w:sz="12" w:space="0" w:color="000000"/>
            </w:tcBorders>
            <w:noWrap/>
            <w:hideMark/>
          </w:tcPr>
          <w:p w14:paraId="327C8D75" w14:textId="77777777" w:rsidR="00517516" w:rsidRPr="00D45CB4" w:rsidRDefault="00517516" w:rsidP="00517516">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000000"/>
                <w:kern w:val="0"/>
                <w:sz w:val="16"/>
                <w:szCs w:val="16"/>
              </w:rPr>
            </w:pPr>
            <w:r w:rsidRPr="00D45CB4">
              <w:rPr>
                <w:color w:val="000000"/>
                <w:kern w:val="0"/>
                <w:sz w:val="16"/>
                <w:szCs w:val="16"/>
              </w:rPr>
              <w:t>Qua-lity</w:t>
            </w:r>
          </w:p>
        </w:tc>
        <w:tc>
          <w:tcPr>
            <w:tcW w:w="786" w:type="dxa"/>
            <w:tcBorders>
              <w:top w:val="single" w:sz="12" w:space="0" w:color="auto"/>
              <w:bottom w:val="single" w:sz="12" w:space="0" w:color="000000"/>
            </w:tcBorders>
            <w:noWrap/>
            <w:hideMark/>
          </w:tcPr>
          <w:p w14:paraId="6F4BA2AF" w14:textId="77777777" w:rsidR="00517516" w:rsidRPr="00D45CB4" w:rsidRDefault="00517516" w:rsidP="00517516">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Risk of Bias</w:t>
            </w:r>
          </w:p>
        </w:tc>
      </w:tr>
      <w:tr w:rsidR="00F8095D" w:rsidRPr="00D45CB4" w14:paraId="3EABF202" w14:textId="77777777" w:rsidTr="006B32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 w:type="dxa"/>
            <w:tcBorders>
              <w:top w:val="single" w:sz="12" w:space="0" w:color="000000"/>
            </w:tcBorders>
            <w:noWrap/>
            <w:vAlign w:val="center"/>
            <w:hideMark/>
          </w:tcPr>
          <w:p w14:paraId="5F7E0640"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1</w:t>
            </w:r>
          </w:p>
        </w:tc>
        <w:tc>
          <w:tcPr>
            <w:tcW w:w="1731" w:type="dxa"/>
            <w:tcBorders>
              <w:top w:val="single" w:sz="12" w:space="0" w:color="000000"/>
            </w:tcBorders>
            <w:noWrap/>
            <w:vAlign w:val="center"/>
            <w:hideMark/>
          </w:tcPr>
          <w:p w14:paraId="00C2B832"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Aalderen et al., 2012</w:t>
            </w:r>
          </w:p>
        </w:tc>
        <w:tc>
          <w:tcPr>
            <w:tcW w:w="1269" w:type="dxa"/>
            <w:tcBorders>
              <w:top w:val="single" w:sz="12" w:space="0" w:color="000000"/>
            </w:tcBorders>
            <w:noWrap/>
            <w:vAlign w:val="center"/>
            <w:hideMark/>
          </w:tcPr>
          <w:p w14:paraId="4920FBB4"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MDD</w:t>
            </w:r>
          </w:p>
        </w:tc>
        <w:tc>
          <w:tcPr>
            <w:tcW w:w="720" w:type="dxa"/>
            <w:tcBorders>
              <w:top w:val="single" w:sz="12" w:space="0" w:color="000000"/>
            </w:tcBorders>
            <w:noWrap/>
            <w:vAlign w:val="center"/>
            <w:hideMark/>
          </w:tcPr>
          <w:p w14:paraId="1165024F"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65.22</w:t>
            </w:r>
          </w:p>
        </w:tc>
        <w:tc>
          <w:tcPr>
            <w:tcW w:w="631" w:type="dxa"/>
            <w:tcBorders>
              <w:top w:val="single" w:sz="12" w:space="0" w:color="000000"/>
            </w:tcBorders>
            <w:noWrap/>
            <w:vAlign w:val="center"/>
            <w:hideMark/>
          </w:tcPr>
          <w:p w14:paraId="6B164E70"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47.50</w:t>
            </w:r>
          </w:p>
        </w:tc>
        <w:tc>
          <w:tcPr>
            <w:tcW w:w="720" w:type="dxa"/>
            <w:tcBorders>
              <w:top w:val="single" w:sz="12" w:space="0" w:color="000000"/>
            </w:tcBorders>
            <w:noWrap/>
            <w:vAlign w:val="center"/>
            <w:hideMark/>
          </w:tcPr>
          <w:p w14:paraId="51CC124D"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34</w:t>
            </w:r>
          </w:p>
        </w:tc>
        <w:tc>
          <w:tcPr>
            <w:tcW w:w="763" w:type="dxa"/>
            <w:tcBorders>
              <w:top w:val="single" w:sz="12" w:space="0" w:color="000000"/>
            </w:tcBorders>
            <w:noWrap/>
            <w:vAlign w:val="center"/>
            <w:hideMark/>
          </w:tcPr>
          <w:p w14:paraId="1CE6F84E"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35</w:t>
            </w:r>
          </w:p>
        </w:tc>
        <w:tc>
          <w:tcPr>
            <w:tcW w:w="922" w:type="dxa"/>
            <w:tcBorders>
              <w:top w:val="single" w:sz="12" w:space="0" w:color="000000"/>
            </w:tcBorders>
            <w:noWrap/>
            <w:vAlign w:val="center"/>
            <w:hideMark/>
          </w:tcPr>
          <w:p w14:paraId="63D08420"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rumination</w:t>
            </w:r>
          </w:p>
        </w:tc>
        <w:tc>
          <w:tcPr>
            <w:tcW w:w="1037" w:type="dxa"/>
            <w:tcBorders>
              <w:top w:val="single" w:sz="12" w:space="0" w:color="000000"/>
            </w:tcBorders>
            <w:noWrap/>
            <w:vAlign w:val="center"/>
            <w:hideMark/>
          </w:tcPr>
          <w:p w14:paraId="5169BDE1"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MBCT</w:t>
            </w:r>
          </w:p>
        </w:tc>
        <w:tc>
          <w:tcPr>
            <w:tcW w:w="697" w:type="dxa"/>
            <w:tcBorders>
              <w:top w:val="single" w:sz="12" w:space="0" w:color="000000"/>
            </w:tcBorders>
            <w:noWrap/>
            <w:vAlign w:val="center"/>
            <w:hideMark/>
          </w:tcPr>
          <w:p w14:paraId="60A63D0C"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tcBorders>
              <w:top w:val="single" w:sz="12" w:space="0" w:color="000000"/>
            </w:tcBorders>
            <w:noWrap/>
            <w:vAlign w:val="center"/>
            <w:hideMark/>
          </w:tcPr>
          <w:p w14:paraId="6480ED2B"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gr, i.-p.</w:t>
            </w:r>
          </w:p>
        </w:tc>
        <w:tc>
          <w:tcPr>
            <w:tcW w:w="576" w:type="dxa"/>
            <w:tcBorders>
              <w:top w:val="single" w:sz="12" w:space="0" w:color="000000"/>
            </w:tcBorders>
            <w:noWrap/>
            <w:vAlign w:val="center"/>
            <w:hideMark/>
          </w:tcPr>
          <w:p w14:paraId="4117757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8</w:t>
            </w:r>
          </w:p>
        </w:tc>
        <w:tc>
          <w:tcPr>
            <w:tcW w:w="1080" w:type="dxa"/>
            <w:tcBorders>
              <w:top w:val="single" w:sz="12" w:space="0" w:color="000000"/>
            </w:tcBorders>
            <w:noWrap/>
            <w:vAlign w:val="center"/>
            <w:hideMark/>
          </w:tcPr>
          <w:p w14:paraId="3C02572F"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TAU</w:t>
            </w:r>
          </w:p>
        </w:tc>
        <w:tc>
          <w:tcPr>
            <w:tcW w:w="749" w:type="dxa"/>
            <w:tcBorders>
              <w:top w:val="single" w:sz="12" w:space="0" w:color="000000"/>
            </w:tcBorders>
            <w:vAlign w:val="center"/>
          </w:tcPr>
          <w:p w14:paraId="40D770B4"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passive</w:t>
            </w:r>
          </w:p>
        </w:tc>
        <w:tc>
          <w:tcPr>
            <w:tcW w:w="684" w:type="dxa"/>
            <w:tcBorders>
              <w:top w:val="single" w:sz="12" w:space="0" w:color="000000"/>
            </w:tcBorders>
            <w:noWrap/>
            <w:vAlign w:val="center"/>
            <w:hideMark/>
          </w:tcPr>
          <w:p w14:paraId="240B7FEF"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++o++</w:t>
            </w:r>
          </w:p>
        </w:tc>
        <w:tc>
          <w:tcPr>
            <w:tcW w:w="786" w:type="dxa"/>
            <w:tcBorders>
              <w:top w:val="single" w:sz="12" w:space="0" w:color="000000"/>
            </w:tcBorders>
            <w:noWrap/>
            <w:vAlign w:val="center"/>
            <w:hideMark/>
          </w:tcPr>
          <w:p w14:paraId="6837C5CB"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medium</w:t>
            </w:r>
          </w:p>
        </w:tc>
      </w:tr>
      <w:tr w:rsidR="00F8095D" w:rsidRPr="00D45CB4" w14:paraId="2C6E8531" w14:textId="77777777" w:rsidTr="006B321E">
        <w:trPr>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65701AD4"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2</w:t>
            </w:r>
          </w:p>
        </w:tc>
        <w:tc>
          <w:tcPr>
            <w:tcW w:w="1731" w:type="dxa"/>
            <w:noWrap/>
            <w:vAlign w:val="center"/>
            <w:hideMark/>
          </w:tcPr>
          <w:p w14:paraId="18C22AA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Abdollahi et al., 2021</w:t>
            </w:r>
          </w:p>
        </w:tc>
        <w:tc>
          <w:tcPr>
            <w:tcW w:w="1269" w:type="dxa"/>
            <w:noWrap/>
            <w:vAlign w:val="center"/>
            <w:hideMark/>
          </w:tcPr>
          <w:p w14:paraId="6BEA46BD"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SAD</w:t>
            </w:r>
          </w:p>
        </w:tc>
        <w:tc>
          <w:tcPr>
            <w:tcW w:w="720" w:type="dxa"/>
            <w:noWrap/>
            <w:vAlign w:val="center"/>
            <w:hideMark/>
          </w:tcPr>
          <w:p w14:paraId="15A8C23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57.69</w:t>
            </w:r>
          </w:p>
        </w:tc>
        <w:tc>
          <w:tcPr>
            <w:tcW w:w="631" w:type="dxa"/>
            <w:noWrap/>
            <w:vAlign w:val="center"/>
            <w:hideMark/>
          </w:tcPr>
          <w:p w14:paraId="062F6DB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35.82</w:t>
            </w:r>
          </w:p>
        </w:tc>
        <w:tc>
          <w:tcPr>
            <w:tcW w:w="720" w:type="dxa"/>
            <w:noWrap/>
            <w:vAlign w:val="center"/>
            <w:hideMark/>
          </w:tcPr>
          <w:p w14:paraId="6490754B"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22</w:t>
            </w:r>
          </w:p>
        </w:tc>
        <w:tc>
          <w:tcPr>
            <w:tcW w:w="763" w:type="dxa"/>
            <w:noWrap/>
            <w:vAlign w:val="center"/>
            <w:hideMark/>
          </w:tcPr>
          <w:p w14:paraId="14F0B576"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21</w:t>
            </w:r>
          </w:p>
        </w:tc>
        <w:tc>
          <w:tcPr>
            <w:tcW w:w="922" w:type="dxa"/>
            <w:noWrap/>
            <w:vAlign w:val="center"/>
            <w:hideMark/>
          </w:tcPr>
          <w:p w14:paraId="716E22F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rumination</w:t>
            </w:r>
          </w:p>
        </w:tc>
        <w:tc>
          <w:tcPr>
            <w:tcW w:w="1037" w:type="dxa"/>
            <w:noWrap/>
            <w:vAlign w:val="center"/>
            <w:hideMark/>
          </w:tcPr>
          <w:p w14:paraId="2940594A"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CBT</w:t>
            </w:r>
          </w:p>
        </w:tc>
        <w:tc>
          <w:tcPr>
            <w:tcW w:w="697" w:type="dxa"/>
            <w:noWrap/>
            <w:vAlign w:val="center"/>
            <w:hideMark/>
          </w:tcPr>
          <w:p w14:paraId="24AE339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49FDFB2D"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gr, i.-p.</w:t>
            </w:r>
          </w:p>
        </w:tc>
        <w:tc>
          <w:tcPr>
            <w:tcW w:w="576" w:type="dxa"/>
            <w:noWrap/>
            <w:vAlign w:val="center"/>
            <w:hideMark/>
          </w:tcPr>
          <w:p w14:paraId="2F99C69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8</w:t>
            </w:r>
          </w:p>
        </w:tc>
        <w:tc>
          <w:tcPr>
            <w:tcW w:w="1080" w:type="dxa"/>
            <w:noWrap/>
            <w:vAlign w:val="center"/>
            <w:hideMark/>
          </w:tcPr>
          <w:p w14:paraId="39644F2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WLC</w:t>
            </w:r>
          </w:p>
        </w:tc>
        <w:tc>
          <w:tcPr>
            <w:tcW w:w="749" w:type="dxa"/>
            <w:vAlign w:val="center"/>
          </w:tcPr>
          <w:p w14:paraId="583D126F"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39F91DEB"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24FD81EF"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high</w:t>
            </w:r>
          </w:p>
        </w:tc>
      </w:tr>
      <w:tr w:rsidR="00F8095D" w:rsidRPr="00D45CB4" w14:paraId="70728E42" w14:textId="77777777" w:rsidTr="006B32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26F87AB3"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3</w:t>
            </w:r>
          </w:p>
        </w:tc>
        <w:tc>
          <w:tcPr>
            <w:tcW w:w="1731" w:type="dxa"/>
            <w:noWrap/>
            <w:vAlign w:val="center"/>
            <w:hideMark/>
          </w:tcPr>
          <w:p w14:paraId="2587ECF6"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Andersson et al., 2012</w:t>
            </w:r>
          </w:p>
        </w:tc>
        <w:tc>
          <w:tcPr>
            <w:tcW w:w="1269" w:type="dxa"/>
            <w:noWrap/>
            <w:vAlign w:val="center"/>
            <w:hideMark/>
          </w:tcPr>
          <w:p w14:paraId="6A9A5B3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GAD</w:t>
            </w:r>
          </w:p>
        </w:tc>
        <w:tc>
          <w:tcPr>
            <w:tcW w:w="720" w:type="dxa"/>
            <w:noWrap/>
            <w:vAlign w:val="center"/>
            <w:hideMark/>
          </w:tcPr>
          <w:p w14:paraId="3EAAB34F"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75.93</w:t>
            </w:r>
          </w:p>
        </w:tc>
        <w:tc>
          <w:tcPr>
            <w:tcW w:w="631" w:type="dxa"/>
            <w:noWrap/>
            <w:vAlign w:val="center"/>
            <w:hideMark/>
          </w:tcPr>
          <w:p w14:paraId="35ADC57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42.00</w:t>
            </w:r>
          </w:p>
        </w:tc>
        <w:tc>
          <w:tcPr>
            <w:tcW w:w="720" w:type="dxa"/>
            <w:noWrap/>
            <w:vAlign w:val="center"/>
            <w:hideMark/>
          </w:tcPr>
          <w:p w14:paraId="667DA2BF"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23</w:t>
            </w:r>
          </w:p>
        </w:tc>
        <w:tc>
          <w:tcPr>
            <w:tcW w:w="763" w:type="dxa"/>
            <w:noWrap/>
            <w:vAlign w:val="center"/>
            <w:hideMark/>
          </w:tcPr>
          <w:p w14:paraId="7CD979E3"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26</w:t>
            </w:r>
          </w:p>
        </w:tc>
        <w:tc>
          <w:tcPr>
            <w:tcW w:w="922" w:type="dxa"/>
            <w:noWrap/>
            <w:vAlign w:val="center"/>
            <w:hideMark/>
          </w:tcPr>
          <w:p w14:paraId="3E25E703"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4F1C2725"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AR</w:t>
            </w:r>
          </w:p>
        </w:tc>
        <w:tc>
          <w:tcPr>
            <w:tcW w:w="697" w:type="dxa"/>
            <w:noWrap/>
            <w:vAlign w:val="center"/>
            <w:hideMark/>
          </w:tcPr>
          <w:p w14:paraId="0616941B"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2B3C853C"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ind, i.-b.</w:t>
            </w:r>
          </w:p>
        </w:tc>
        <w:tc>
          <w:tcPr>
            <w:tcW w:w="576" w:type="dxa"/>
            <w:noWrap/>
            <w:vAlign w:val="center"/>
            <w:hideMark/>
          </w:tcPr>
          <w:p w14:paraId="4BD015D4"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8</w:t>
            </w:r>
          </w:p>
        </w:tc>
        <w:tc>
          <w:tcPr>
            <w:tcW w:w="1080" w:type="dxa"/>
            <w:noWrap/>
            <w:vAlign w:val="center"/>
            <w:hideMark/>
          </w:tcPr>
          <w:p w14:paraId="08E2475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WLC</w:t>
            </w:r>
          </w:p>
        </w:tc>
        <w:tc>
          <w:tcPr>
            <w:tcW w:w="749" w:type="dxa"/>
            <w:vAlign w:val="center"/>
          </w:tcPr>
          <w:p w14:paraId="6BD7F94C"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5783BBE3"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++o++</w:t>
            </w:r>
          </w:p>
        </w:tc>
        <w:tc>
          <w:tcPr>
            <w:tcW w:w="786" w:type="dxa"/>
            <w:noWrap/>
            <w:vAlign w:val="center"/>
            <w:hideMark/>
          </w:tcPr>
          <w:p w14:paraId="73CBE73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medium</w:t>
            </w:r>
          </w:p>
        </w:tc>
      </w:tr>
      <w:tr w:rsidR="00F8095D" w:rsidRPr="00D45CB4" w14:paraId="3C3F8D90" w14:textId="77777777" w:rsidTr="006B321E">
        <w:trPr>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75C87348"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4</w:t>
            </w:r>
          </w:p>
        </w:tc>
        <w:tc>
          <w:tcPr>
            <w:tcW w:w="1731" w:type="dxa"/>
            <w:noWrap/>
            <w:vAlign w:val="center"/>
            <w:hideMark/>
          </w:tcPr>
          <w:p w14:paraId="25FB945C"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Bell et al., 2012</w:t>
            </w:r>
          </w:p>
        </w:tc>
        <w:tc>
          <w:tcPr>
            <w:tcW w:w="1269" w:type="dxa"/>
            <w:noWrap/>
            <w:vAlign w:val="center"/>
            <w:hideMark/>
          </w:tcPr>
          <w:p w14:paraId="3F7742FF"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SAD, PD+/-AG, GAD</w:t>
            </w:r>
          </w:p>
        </w:tc>
        <w:tc>
          <w:tcPr>
            <w:tcW w:w="720" w:type="dxa"/>
            <w:noWrap/>
            <w:vAlign w:val="center"/>
            <w:hideMark/>
          </w:tcPr>
          <w:p w14:paraId="5D52059B"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67.82</w:t>
            </w:r>
          </w:p>
        </w:tc>
        <w:tc>
          <w:tcPr>
            <w:tcW w:w="631" w:type="dxa"/>
            <w:noWrap/>
            <w:vAlign w:val="center"/>
            <w:hideMark/>
          </w:tcPr>
          <w:p w14:paraId="2EADE466"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35.31</w:t>
            </w:r>
          </w:p>
        </w:tc>
        <w:tc>
          <w:tcPr>
            <w:tcW w:w="720" w:type="dxa"/>
            <w:noWrap/>
            <w:vAlign w:val="center"/>
            <w:hideMark/>
          </w:tcPr>
          <w:p w14:paraId="601FF5C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30</w:t>
            </w:r>
          </w:p>
        </w:tc>
        <w:tc>
          <w:tcPr>
            <w:tcW w:w="763" w:type="dxa"/>
            <w:noWrap/>
            <w:vAlign w:val="center"/>
            <w:hideMark/>
          </w:tcPr>
          <w:p w14:paraId="452462CE"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38</w:t>
            </w:r>
          </w:p>
        </w:tc>
        <w:tc>
          <w:tcPr>
            <w:tcW w:w="922" w:type="dxa"/>
            <w:noWrap/>
            <w:vAlign w:val="center"/>
            <w:hideMark/>
          </w:tcPr>
          <w:p w14:paraId="1FEF4351"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38F64308"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CCBT</w:t>
            </w:r>
          </w:p>
        </w:tc>
        <w:tc>
          <w:tcPr>
            <w:tcW w:w="697" w:type="dxa"/>
            <w:noWrap/>
            <w:vAlign w:val="center"/>
            <w:hideMark/>
          </w:tcPr>
          <w:p w14:paraId="5A76641E"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0AEBC76A"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ind, i.-b.</w:t>
            </w:r>
          </w:p>
        </w:tc>
        <w:tc>
          <w:tcPr>
            <w:tcW w:w="576" w:type="dxa"/>
            <w:noWrap/>
            <w:vAlign w:val="center"/>
            <w:hideMark/>
          </w:tcPr>
          <w:p w14:paraId="124DF24C"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5.33</w:t>
            </w:r>
          </w:p>
        </w:tc>
        <w:tc>
          <w:tcPr>
            <w:tcW w:w="1080" w:type="dxa"/>
            <w:noWrap/>
            <w:vAlign w:val="center"/>
            <w:hideMark/>
          </w:tcPr>
          <w:p w14:paraId="5354F758"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AC</w:t>
            </w:r>
          </w:p>
        </w:tc>
        <w:tc>
          <w:tcPr>
            <w:tcW w:w="749" w:type="dxa"/>
            <w:vAlign w:val="center"/>
          </w:tcPr>
          <w:p w14:paraId="7DA1CB79"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active</w:t>
            </w:r>
          </w:p>
        </w:tc>
        <w:tc>
          <w:tcPr>
            <w:tcW w:w="684" w:type="dxa"/>
            <w:noWrap/>
            <w:vAlign w:val="center"/>
            <w:hideMark/>
          </w:tcPr>
          <w:p w14:paraId="4307DF5C"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2010B6BF"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low</w:t>
            </w:r>
          </w:p>
        </w:tc>
      </w:tr>
      <w:tr w:rsidR="00F8095D" w:rsidRPr="00D45CB4" w14:paraId="691BBDAD" w14:textId="77777777" w:rsidTr="006B32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6D268E6C"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5</w:t>
            </w:r>
          </w:p>
        </w:tc>
        <w:tc>
          <w:tcPr>
            <w:tcW w:w="1731" w:type="dxa"/>
            <w:noWrap/>
            <w:vAlign w:val="center"/>
            <w:hideMark/>
          </w:tcPr>
          <w:p w14:paraId="7B32BF84"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Brenes et al., 2017</w:t>
            </w:r>
          </w:p>
        </w:tc>
        <w:tc>
          <w:tcPr>
            <w:tcW w:w="1269" w:type="dxa"/>
            <w:noWrap/>
            <w:vAlign w:val="center"/>
            <w:hideMark/>
          </w:tcPr>
          <w:p w14:paraId="64EA1593"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GAD</w:t>
            </w:r>
          </w:p>
        </w:tc>
        <w:tc>
          <w:tcPr>
            <w:tcW w:w="720" w:type="dxa"/>
            <w:noWrap/>
            <w:vAlign w:val="center"/>
            <w:hideMark/>
          </w:tcPr>
          <w:p w14:paraId="034A9487"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81.56</w:t>
            </w:r>
          </w:p>
        </w:tc>
        <w:tc>
          <w:tcPr>
            <w:tcW w:w="631" w:type="dxa"/>
            <w:noWrap/>
            <w:vAlign w:val="center"/>
            <w:hideMark/>
          </w:tcPr>
          <w:p w14:paraId="5F30B6A3"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66.80</w:t>
            </w:r>
          </w:p>
        </w:tc>
        <w:tc>
          <w:tcPr>
            <w:tcW w:w="720" w:type="dxa"/>
            <w:noWrap/>
            <w:vAlign w:val="center"/>
            <w:hideMark/>
          </w:tcPr>
          <w:p w14:paraId="6ADB82E0"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70</w:t>
            </w:r>
          </w:p>
        </w:tc>
        <w:tc>
          <w:tcPr>
            <w:tcW w:w="763" w:type="dxa"/>
            <w:noWrap/>
            <w:vAlign w:val="center"/>
            <w:hideMark/>
          </w:tcPr>
          <w:p w14:paraId="0238BF4B"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71</w:t>
            </w:r>
          </w:p>
        </w:tc>
        <w:tc>
          <w:tcPr>
            <w:tcW w:w="922" w:type="dxa"/>
            <w:noWrap/>
            <w:vAlign w:val="center"/>
            <w:hideMark/>
          </w:tcPr>
          <w:p w14:paraId="560F53B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250BB1E2"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CBT</w:t>
            </w:r>
          </w:p>
        </w:tc>
        <w:tc>
          <w:tcPr>
            <w:tcW w:w="697" w:type="dxa"/>
            <w:noWrap/>
            <w:vAlign w:val="center"/>
            <w:hideMark/>
          </w:tcPr>
          <w:p w14:paraId="4CB3F521"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2ECFDE83"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ind, phonecall</w:t>
            </w:r>
          </w:p>
        </w:tc>
        <w:tc>
          <w:tcPr>
            <w:tcW w:w="576" w:type="dxa"/>
            <w:noWrap/>
            <w:vAlign w:val="center"/>
            <w:hideMark/>
          </w:tcPr>
          <w:p w14:paraId="7798142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10</w:t>
            </w:r>
          </w:p>
        </w:tc>
        <w:tc>
          <w:tcPr>
            <w:tcW w:w="1080" w:type="dxa"/>
            <w:noWrap/>
            <w:vAlign w:val="center"/>
            <w:hideMark/>
          </w:tcPr>
          <w:p w14:paraId="204A8187"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SPT</w:t>
            </w:r>
          </w:p>
        </w:tc>
        <w:tc>
          <w:tcPr>
            <w:tcW w:w="749" w:type="dxa"/>
            <w:vAlign w:val="center"/>
          </w:tcPr>
          <w:p w14:paraId="6557CBAB"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active</w:t>
            </w:r>
          </w:p>
        </w:tc>
        <w:tc>
          <w:tcPr>
            <w:tcW w:w="684" w:type="dxa"/>
            <w:noWrap/>
            <w:vAlign w:val="center"/>
            <w:hideMark/>
          </w:tcPr>
          <w:p w14:paraId="742D3EBA"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++o--</w:t>
            </w:r>
          </w:p>
        </w:tc>
        <w:tc>
          <w:tcPr>
            <w:tcW w:w="786" w:type="dxa"/>
            <w:noWrap/>
            <w:vAlign w:val="center"/>
            <w:hideMark/>
          </w:tcPr>
          <w:p w14:paraId="06CC5D16"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medium</w:t>
            </w:r>
          </w:p>
        </w:tc>
      </w:tr>
      <w:tr w:rsidR="00F8095D" w:rsidRPr="00D45CB4" w14:paraId="2CC3454B" w14:textId="77777777" w:rsidTr="006B321E">
        <w:trPr>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684887E3"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6</w:t>
            </w:r>
          </w:p>
        </w:tc>
        <w:tc>
          <w:tcPr>
            <w:tcW w:w="1731" w:type="dxa"/>
            <w:noWrap/>
            <w:vAlign w:val="center"/>
            <w:hideMark/>
          </w:tcPr>
          <w:p w14:paraId="4191FAD6"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Brenes et al., 2012</w:t>
            </w:r>
          </w:p>
        </w:tc>
        <w:tc>
          <w:tcPr>
            <w:tcW w:w="1269" w:type="dxa"/>
            <w:noWrap/>
            <w:vAlign w:val="center"/>
            <w:hideMark/>
          </w:tcPr>
          <w:p w14:paraId="1850C8C0"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GAD, PD, ADNOS</w:t>
            </w:r>
          </w:p>
        </w:tc>
        <w:tc>
          <w:tcPr>
            <w:tcW w:w="720" w:type="dxa"/>
            <w:noWrap/>
            <w:vAlign w:val="center"/>
            <w:hideMark/>
          </w:tcPr>
          <w:p w14:paraId="6E321B8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83.30</w:t>
            </w:r>
          </w:p>
        </w:tc>
        <w:tc>
          <w:tcPr>
            <w:tcW w:w="631" w:type="dxa"/>
            <w:noWrap/>
            <w:vAlign w:val="center"/>
            <w:hideMark/>
          </w:tcPr>
          <w:p w14:paraId="13570993"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69.15</w:t>
            </w:r>
          </w:p>
        </w:tc>
        <w:tc>
          <w:tcPr>
            <w:tcW w:w="720" w:type="dxa"/>
            <w:noWrap/>
            <w:vAlign w:val="center"/>
            <w:hideMark/>
          </w:tcPr>
          <w:p w14:paraId="0D1705E0"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30</w:t>
            </w:r>
          </w:p>
        </w:tc>
        <w:tc>
          <w:tcPr>
            <w:tcW w:w="763" w:type="dxa"/>
            <w:noWrap/>
            <w:vAlign w:val="center"/>
            <w:hideMark/>
          </w:tcPr>
          <w:p w14:paraId="47492210"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30</w:t>
            </w:r>
          </w:p>
        </w:tc>
        <w:tc>
          <w:tcPr>
            <w:tcW w:w="922" w:type="dxa"/>
            <w:noWrap/>
            <w:vAlign w:val="center"/>
            <w:hideMark/>
          </w:tcPr>
          <w:p w14:paraId="5BACA8C9"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09D41338"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CBT</w:t>
            </w:r>
          </w:p>
        </w:tc>
        <w:tc>
          <w:tcPr>
            <w:tcW w:w="697" w:type="dxa"/>
            <w:noWrap/>
            <w:vAlign w:val="center"/>
            <w:hideMark/>
          </w:tcPr>
          <w:p w14:paraId="27F209E9"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0B72FCD3"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ind, phonecall</w:t>
            </w:r>
          </w:p>
        </w:tc>
        <w:tc>
          <w:tcPr>
            <w:tcW w:w="576" w:type="dxa"/>
            <w:vAlign w:val="center"/>
          </w:tcPr>
          <w:p w14:paraId="5559E193"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p>
        </w:tc>
        <w:tc>
          <w:tcPr>
            <w:tcW w:w="1080" w:type="dxa"/>
            <w:noWrap/>
            <w:vAlign w:val="center"/>
            <w:hideMark/>
          </w:tcPr>
          <w:p w14:paraId="742FA3B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PE</w:t>
            </w:r>
          </w:p>
        </w:tc>
        <w:tc>
          <w:tcPr>
            <w:tcW w:w="749" w:type="dxa"/>
            <w:vAlign w:val="center"/>
          </w:tcPr>
          <w:p w14:paraId="62A858C1"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active</w:t>
            </w:r>
          </w:p>
        </w:tc>
        <w:tc>
          <w:tcPr>
            <w:tcW w:w="684" w:type="dxa"/>
            <w:noWrap/>
            <w:vAlign w:val="center"/>
            <w:hideMark/>
          </w:tcPr>
          <w:p w14:paraId="6F61C3A5"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??o++</w:t>
            </w:r>
          </w:p>
        </w:tc>
        <w:tc>
          <w:tcPr>
            <w:tcW w:w="786" w:type="dxa"/>
            <w:noWrap/>
            <w:vAlign w:val="center"/>
            <w:hideMark/>
          </w:tcPr>
          <w:p w14:paraId="149B817D"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high</w:t>
            </w:r>
          </w:p>
        </w:tc>
      </w:tr>
      <w:tr w:rsidR="00F8095D" w:rsidRPr="00D45CB4" w14:paraId="64D7A63D" w14:textId="77777777" w:rsidTr="006B32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5A462084"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7</w:t>
            </w:r>
          </w:p>
        </w:tc>
        <w:tc>
          <w:tcPr>
            <w:tcW w:w="1731" w:type="dxa"/>
            <w:noWrap/>
            <w:vAlign w:val="center"/>
            <w:hideMark/>
          </w:tcPr>
          <w:p w14:paraId="4F5A52B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Carl et al., 2020</w:t>
            </w:r>
          </w:p>
        </w:tc>
        <w:tc>
          <w:tcPr>
            <w:tcW w:w="1269" w:type="dxa"/>
            <w:noWrap/>
            <w:vAlign w:val="center"/>
            <w:hideMark/>
          </w:tcPr>
          <w:p w14:paraId="57247D30"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GAD</w:t>
            </w:r>
          </w:p>
        </w:tc>
        <w:tc>
          <w:tcPr>
            <w:tcW w:w="720" w:type="dxa"/>
            <w:noWrap/>
            <w:vAlign w:val="center"/>
            <w:hideMark/>
          </w:tcPr>
          <w:p w14:paraId="2DE38F8D"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68.27</w:t>
            </w:r>
          </w:p>
        </w:tc>
        <w:tc>
          <w:tcPr>
            <w:tcW w:w="631" w:type="dxa"/>
            <w:noWrap/>
            <w:vAlign w:val="center"/>
            <w:hideMark/>
          </w:tcPr>
          <w:p w14:paraId="0E06EA65"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30.90</w:t>
            </w:r>
          </w:p>
        </w:tc>
        <w:tc>
          <w:tcPr>
            <w:tcW w:w="720" w:type="dxa"/>
            <w:noWrap/>
            <w:vAlign w:val="center"/>
            <w:hideMark/>
          </w:tcPr>
          <w:p w14:paraId="3A5AD3D2"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128</w:t>
            </w:r>
          </w:p>
        </w:tc>
        <w:tc>
          <w:tcPr>
            <w:tcW w:w="763" w:type="dxa"/>
            <w:noWrap/>
            <w:vAlign w:val="center"/>
            <w:hideMark/>
          </w:tcPr>
          <w:p w14:paraId="497D02CB"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128</w:t>
            </w:r>
          </w:p>
        </w:tc>
        <w:tc>
          <w:tcPr>
            <w:tcW w:w="922" w:type="dxa"/>
            <w:noWrap/>
            <w:vAlign w:val="center"/>
            <w:hideMark/>
          </w:tcPr>
          <w:p w14:paraId="5BE107F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62FBE0AD"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CBT</w:t>
            </w:r>
          </w:p>
        </w:tc>
        <w:tc>
          <w:tcPr>
            <w:tcW w:w="697" w:type="dxa"/>
            <w:noWrap/>
            <w:vAlign w:val="center"/>
            <w:hideMark/>
          </w:tcPr>
          <w:p w14:paraId="73E74B66"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spec</w:t>
            </w:r>
          </w:p>
        </w:tc>
        <w:tc>
          <w:tcPr>
            <w:tcW w:w="1094" w:type="dxa"/>
            <w:noWrap/>
            <w:vAlign w:val="center"/>
            <w:hideMark/>
          </w:tcPr>
          <w:p w14:paraId="0B44803E"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ind, i.-b.</w:t>
            </w:r>
          </w:p>
        </w:tc>
        <w:tc>
          <w:tcPr>
            <w:tcW w:w="576" w:type="dxa"/>
            <w:noWrap/>
            <w:vAlign w:val="center"/>
            <w:hideMark/>
          </w:tcPr>
          <w:p w14:paraId="5DF88B7C"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4</w:t>
            </w:r>
          </w:p>
        </w:tc>
        <w:tc>
          <w:tcPr>
            <w:tcW w:w="1080" w:type="dxa"/>
            <w:noWrap/>
            <w:vAlign w:val="center"/>
            <w:hideMark/>
          </w:tcPr>
          <w:p w14:paraId="230C0065"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WLC</w:t>
            </w:r>
          </w:p>
        </w:tc>
        <w:tc>
          <w:tcPr>
            <w:tcW w:w="749" w:type="dxa"/>
            <w:vAlign w:val="center"/>
          </w:tcPr>
          <w:p w14:paraId="1E77EF32"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7A201618"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3BFC9B1E"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low</w:t>
            </w:r>
          </w:p>
        </w:tc>
      </w:tr>
      <w:tr w:rsidR="00F8095D" w:rsidRPr="00D45CB4" w14:paraId="4B43DAD9" w14:textId="77777777" w:rsidTr="006B321E">
        <w:trPr>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401151EB"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8</w:t>
            </w:r>
          </w:p>
        </w:tc>
        <w:tc>
          <w:tcPr>
            <w:tcW w:w="1731" w:type="dxa"/>
            <w:noWrap/>
            <w:vAlign w:val="center"/>
            <w:hideMark/>
          </w:tcPr>
          <w:p w14:paraId="73808374"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Cheng et al., 2020</w:t>
            </w:r>
          </w:p>
        </w:tc>
        <w:tc>
          <w:tcPr>
            <w:tcW w:w="1269" w:type="dxa"/>
            <w:noWrap/>
            <w:vAlign w:val="center"/>
            <w:hideMark/>
          </w:tcPr>
          <w:p w14:paraId="243FE63D"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Insomnia</w:t>
            </w:r>
          </w:p>
        </w:tc>
        <w:tc>
          <w:tcPr>
            <w:tcW w:w="720" w:type="dxa"/>
            <w:noWrap/>
            <w:vAlign w:val="center"/>
            <w:hideMark/>
          </w:tcPr>
          <w:p w14:paraId="4270779E"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78.88</w:t>
            </w:r>
          </w:p>
        </w:tc>
        <w:tc>
          <w:tcPr>
            <w:tcW w:w="631" w:type="dxa"/>
            <w:noWrap/>
            <w:vAlign w:val="center"/>
            <w:hideMark/>
          </w:tcPr>
          <w:p w14:paraId="6FA9D0D9"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45.05</w:t>
            </w:r>
          </w:p>
        </w:tc>
        <w:tc>
          <w:tcPr>
            <w:tcW w:w="720" w:type="dxa"/>
            <w:noWrap/>
            <w:vAlign w:val="center"/>
            <w:hideMark/>
          </w:tcPr>
          <w:p w14:paraId="60BDF69D"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358</w:t>
            </w:r>
          </w:p>
        </w:tc>
        <w:tc>
          <w:tcPr>
            <w:tcW w:w="763" w:type="dxa"/>
            <w:noWrap/>
            <w:vAlign w:val="center"/>
            <w:hideMark/>
          </w:tcPr>
          <w:p w14:paraId="72AAC08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300</w:t>
            </w:r>
          </w:p>
        </w:tc>
        <w:tc>
          <w:tcPr>
            <w:tcW w:w="922" w:type="dxa"/>
            <w:noWrap/>
            <w:vAlign w:val="center"/>
            <w:hideMark/>
          </w:tcPr>
          <w:p w14:paraId="1BA8A634"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RNT</w:t>
            </w:r>
          </w:p>
        </w:tc>
        <w:tc>
          <w:tcPr>
            <w:tcW w:w="1037" w:type="dxa"/>
            <w:noWrap/>
            <w:vAlign w:val="center"/>
            <w:hideMark/>
          </w:tcPr>
          <w:p w14:paraId="2FFCE458"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CBT</w:t>
            </w:r>
          </w:p>
        </w:tc>
        <w:tc>
          <w:tcPr>
            <w:tcW w:w="697" w:type="dxa"/>
            <w:noWrap/>
            <w:vAlign w:val="center"/>
            <w:hideMark/>
          </w:tcPr>
          <w:p w14:paraId="13D0DA70"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4E58C5B1"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ind, i.-b.</w:t>
            </w:r>
          </w:p>
        </w:tc>
        <w:tc>
          <w:tcPr>
            <w:tcW w:w="576" w:type="dxa"/>
            <w:noWrap/>
            <w:vAlign w:val="center"/>
            <w:hideMark/>
          </w:tcPr>
          <w:p w14:paraId="3EA4EA5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4.1</w:t>
            </w:r>
          </w:p>
        </w:tc>
        <w:tc>
          <w:tcPr>
            <w:tcW w:w="1080" w:type="dxa"/>
            <w:noWrap/>
            <w:vAlign w:val="center"/>
            <w:hideMark/>
          </w:tcPr>
          <w:p w14:paraId="57BE2F84"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PE</w:t>
            </w:r>
          </w:p>
        </w:tc>
        <w:tc>
          <w:tcPr>
            <w:tcW w:w="749" w:type="dxa"/>
            <w:vAlign w:val="center"/>
          </w:tcPr>
          <w:p w14:paraId="3631D217"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active</w:t>
            </w:r>
          </w:p>
        </w:tc>
        <w:tc>
          <w:tcPr>
            <w:tcW w:w="684" w:type="dxa"/>
            <w:noWrap/>
            <w:vAlign w:val="center"/>
            <w:hideMark/>
          </w:tcPr>
          <w:p w14:paraId="30558EDA"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++o--</w:t>
            </w:r>
          </w:p>
        </w:tc>
        <w:tc>
          <w:tcPr>
            <w:tcW w:w="786" w:type="dxa"/>
            <w:noWrap/>
            <w:vAlign w:val="center"/>
            <w:hideMark/>
          </w:tcPr>
          <w:p w14:paraId="5D561A8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medium</w:t>
            </w:r>
          </w:p>
        </w:tc>
      </w:tr>
      <w:tr w:rsidR="00F8095D" w:rsidRPr="00D45CB4" w14:paraId="57D8EC69" w14:textId="77777777" w:rsidTr="006B321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052F86B6"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9</w:t>
            </w:r>
          </w:p>
        </w:tc>
        <w:tc>
          <w:tcPr>
            <w:tcW w:w="1731" w:type="dxa"/>
            <w:noWrap/>
            <w:vAlign w:val="center"/>
            <w:hideMark/>
          </w:tcPr>
          <w:p w14:paraId="0B4F995C"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Cladder-Micus et al., 2018</w:t>
            </w:r>
          </w:p>
        </w:tc>
        <w:tc>
          <w:tcPr>
            <w:tcW w:w="1269" w:type="dxa"/>
            <w:noWrap/>
            <w:vAlign w:val="center"/>
            <w:hideMark/>
          </w:tcPr>
          <w:p w14:paraId="07BB1C77"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trMDD</w:t>
            </w:r>
          </w:p>
        </w:tc>
        <w:tc>
          <w:tcPr>
            <w:tcW w:w="720" w:type="dxa"/>
            <w:noWrap/>
            <w:vAlign w:val="center"/>
            <w:hideMark/>
          </w:tcPr>
          <w:p w14:paraId="303FC3FE"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62.26</w:t>
            </w:r>
          </w:p>
        </w:tc>
        <w:tc>
          <w:tcPr>
            <w:tcW w:w="631" w:type="dxa"/>
            <w:noWrap/>
            <w:vAlign w:val="center"/>
            <w:hideMark/>
          </w:tcPr>
          <w:p w14:paraId="194EBB0C"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47.11</w:t>
            </w:r>
          </w:p>
        </w:tc>
        <w:tc>
          <w:tcPr>
            <w:tcW w:w="720" w:type="dxa"/>
            <w:noWrap/>
            <w:vAlign w:val="center"/>
            <w:hideMark/>
          </w:tcPr>
          <w:p w14:paraId="7C6A71AE"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39</w:t>
            </w:r>
          </w:p>
        </w:tc>
        <w:tc>
          <w:tcPr>
            <w:tcW w:w="763" w:type="dxa"/>
            <w:noWrap/>
            <w:vAlign w:val="center"/>
            <w:hideMark/>
          </w:tcPr>
          <w:p w14:paraId="1A981481"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51</w:t>
            </w:r>
          </w:p>
        </w:tc>
        <w:tc>
          <w:tcPr>
            <w:tcW w:w="922" w:type="dxa"/>
            <w:noWrap/>
            <w:vAlign w:val="center"/>
            <w:hideMark/>
          </w:tcPr>
          <w:p w14:paraId="575748BE"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rumination</w:t>
            </w:r>
          </w:p>
        </w:tc>
        <w:tc>
          <w:tcPr>
            <w:tcW w:w="1037" w:type="dxa"/>
            <w:noWrap/>
            <w:vAlign w:val="center"/>
            <w:hideMark/>
          </w:tcPr>
          <w:p w14:paraId="4A8E7D7C"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MBCT</w:t>
            </w:r>
          </w:p>
        </w:tc>
        <w:tc>
          <w:tcPr>
            <w:tcW w:w="697" w:type="dxa"/>
            <w:noWrap/>
            <w:vAlign w:val="center"/>
            <w:hideMark/>
          </w:tcPr>
          <w:p w14:paraId="5770DD6E"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1FEBA792"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gr, i.-p.</w:t>
            </w:r>
          </w:p>
        </w:tc>
        <w:tc>
          <w:tcPr>
            <w:tcW w:w="576" w:type="dxa"/>
            <w:noWrap/>
            <w:vAlign w:val="center"/>
            <w:hideMark/>
          </w:tcPr>
          <w:p w14:paraId="2E884104"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8</w:t>
            </w:r>
          </w:p>
        </w:tc>
        <w:tc>
          <w:tcPr>
            <w:tcW w:w="1080" w:type="dxa"/>
            <w:noWrap/>
            <w:vAlign w:val="center"/>
            <w:hideMark/>
          </w:tcPr>
          <w:p w14:paraId="3C32FA0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TAU (Pharma, PT)</w:t>
            </w:r>
          </w:p>
        </w:tc>
        <w:tc>
          <w:tcPr>
            <w:tcW w:w="749" w:type="dxa"/>
            <w:vAlign w:val="center"/>
          </w:tcPr>
          <w:p w14:paraId="0AAF2555"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active</w:t>
            </w:r>
          </w:p>
        </w:tc>
        <w:tc>
          <w:tcPr>
            <w:tcW w:w="684" w:type="dxa"/>
            <w:noWrap/>
            <w:vAlign w:val="center"/>
            <w:hideMark/>
          </w:tcPr>
          <w:p w14:paraId="7C37DD3B"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++o--</w:t>
            </w:r>
          </w:p>
        </w:tc>
        <w:tc>
          <w:tcPr>
            <w:tcW w:w="786" w:type="dxa"/>
            <w:noWrap/>
            <w:vAlign w:val="center"/>
            <w:hideMark/>
          </w:tcPr>
          <w:p w14:paraId="062F18D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medium</w:t>
            </w:r>
          </w:p>
        </w:tc>
      </w:tr>
      <w:tr w:rsidR="00F8095D" w:rsidRPr="00D45CB4" w14:paraId="4912BAD9" w14:textId="77777777" w:rsidTr="006B321E">
        <w:trPr>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37F25F19"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10</w:t>
            </w:r>
          </w:p>
        </w:tc>
        <w:tc>
          <w:tcPr>
            <w:tcW w:w="1731" w:type="dxa"/>
            <w:noWrap/>
            <w:vAlign w:val="center"/>
            <w:hideMark/>
          </w:tcPr>
          <w:p w14:paraId="68370B96"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Corpas et al., 2022</w:t>
            </w:r>
          </w:p>
        </w:tc>
        <w:tc>
          <w:tcPr>
            <w:tcW w:w="1269" w:type="dxa"/>
            <w:noWrap/>
            <w:vAlign w:val="center"/>
            <w:hideMark/>
          </w:tcPr>
          <w:p w14:paraId="22C45A9A"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lang w:val="de-DE"/>
              </w:rPr>
            </w:pPr>
            <w:r w:rsidRPr="00D45CB4">
              <w:rPr>
                <w:color w:val="000000"/>
                <w:kern w:val="0"/>
                <w:sz w:val="16"/>
                <w:szCs w:val="16"/>
                <w:lang w:val="de-DE"/>
              </w:rPr>
              <w:t>GAD, MDD, PD+/-AG, SD</w:t>
            </w:r>
          </w:p>
        </w:tc>
        <w:tc>
          <w:tcPr>
            <w:tcW w:w="720" w:type="dxa"/>
            <w:noWrap/>
            <w:vAlign w:val="center"/>
            <w:hideMark/>
          </w:tcPr>
          <w:p w14:paraId="61D48901"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68.57</w:t>
            </w:r>
          </w:p>
        </w:tc>
        <w:tc>
          <w:tcPr>
            <w:tcW w:w="631" w:type="dxa"/>
            <w:noWrap/>
            <w:vAlign w:val="center"/>
            <w:hideMark/>
          </w:tcPr>
          <w:p w14:paraId="3198DB0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39.57</w:t>
            </w:r>
          </w:p>
        </w:tc>
        <w:tc>
          <w:tcPr>
            <w:tcW w:w="720" w:type="dxa"/>
            <w:noWrap/>
            <w:vAlign w:val="center"/>
            <w:hideMark/>
          </w:tcPr>
          <w:p w14:paraId="5016A7EE"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53</w:t>
            </w:r>
          </w:p>
        </w:tc>
        <w:tc>
          <w:tcPr>
            <w:tcW w:w="763" w:type="dxa"/>
            <w:noWrap/>
            <w:vAlign w:val="center"/>
            <w:hideMark/>
          </w:tcPr>
          <w:p w14:paraId="103524E3"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52</w:t>
            </w:r>
          </w:p>
        </w:tc>
        <w:tc>
          <w:tcPr>
            <w:tcW w:w="922" w:type="dxa"/>
            <w:noWrap/>
            <w:vAlign w:val="center"/>
            <w:hideMark/>
          </w:tcPr>
          <w:p w14:paraId="61D4E09E"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3EBA0A8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UP</w:t>
            </w:r>
          </w:p>
        </w:tc>
        <w:tc>
          <w:tcPr>
            <w:tcW w:w="697" w:type="dxa"/>
            <w:noWrap/>
            <w:vAlign w:val="center"/>
            <w:hideMark/>
          </w:tcPr>
          <w:p w14:paraId="0232C3EC"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7092F74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gr, i.-p.</w:t>
            </w:r>
          </w:p>
        </w:tc>
        <w:tc>
          <w:tcPr>
            <w:tcW w:w="576" w:type="dxa"/>
            <w:noWrap/>
            <w:vAlign w:val="center"/>
            <w:hideMark/>
          </w:tcPr>
          <w:p w14:paraId="5124F74C"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8</w:t>
            </w:r>
          </w:p>
        </w:tc>
        <w:tc>
          <w:tcPr>
            <w:tcW w:w="1080" w:type="dxa"/>
            <w:noWrap/>
            <w:vAlign w:val="center"/>
            <w:hideMark/>
          </w:tcPr>
          <w:p w14:paraId="122FF84D"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Pharma + MC</w:t>
            </w:r>
          </w:p>
        </w:tc>
        <w:tc>
          <w:tcPr>
            <w:tcW w:w="749" w:type="dxa"/>
            <w:vAlign w:val="center"/>
          </w:tcPr>
          <w:p w14:paraId="555565B5"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active</w:t>
            </w:r>
          </w:p>
        </w:tc>
        <w:tc>
          <w:tcPr>
            <w:tcW w:w="684" w:type="dxa"/>
            <w:noWrap/>
            <w:vAlign w:val="center"/>
            <w:hideMark/>
          </w:tcPr>
          <w:p w14:paraId="482BB263"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4F674D71"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medium</w:t>
            </w:r>
          </w:p>
        </w:tc>
      </w:tr>
      <w:tr w:rsidR="00F8095D" w:rsidRPr="00D45CB4" w14:paraId="2934B1E2" w14:textId="77777777" w:rsidTr="006B32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6E96E5A7"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11.1</w:t>
            </w:r>
          </w:p>
        </w:tc>
        <w:tc>
          <w:tcPr>
            <w:tcW w:w="1731" w:type="dxa"/>
            <w:noWrap/>
            <w:vAlign w:val="center"/>
            <w:hideMark/>
          </w:tcPr>
          <w:p w14:paraId="2DF53B2B"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Costa et al., 2020</w:t>
            </w:r>
          </w:p>
        </w:tc>
        <w:tc>
          <w:tcPr>
            <w:tcW w:w="1269" w:type="dxa"/>
            <w:noWrap/>
            <w:vAlign w:val="center"/>
            <w:hideMark/>
          </w:tcPr>
          <w:p w14:paraId="33EBB212"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GAD</w:t>
            </w:r>
          </w:p>
        </w:tc>
        <w:tc>
          <w:tcPr>
            <w:tcW w:w="720" w:type="dxa"/>
            <w:noWrap/>
            <w:vAlign w:val="center"/>
            <w:hideMark/>
          </w:tcPr>
          <w:p w14:paraId="741B2105"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78.98</w:t>
            </w:r>
          </w:p>
        </w:tc>
        <w:tc>
          <w:tcPr>
            <w:tcW w:w="631" w:type="dxa"/>
            <w:noWrap/>
            <w:vAlign w:val="center"/>
            <w:hideMark/>
          </w:tcPr>
          <w:p w14:paraId="4FCEBDC4"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35.90</w:t>
            </w:r>
          </w:p>
        </w:tc>
        <w:tc>
          <w:tcPr>
            <w:tcW w:w="720" w:type="dxa"/>
            <w:noWrap/>
            <w:vAlign w:val="center"/>
            <w:hideMark/>
          </w:tcPr>
          <w:p w14:paraId="4952F945"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76</w:t>
            </w:r>
          </w:p>
        </w:tc>
        <w:tc>
          <w:tcPr>
            <w:tcW w:w="763" w:type="dxa"/>
            <w:noWrap/>
            <w:vAlign w:val="center"/>
            <w:hideMark/>
          </w:tcPr>
          <w:p w14:paraId="0F31A995"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79</w:t>
            </w:r>
          </w:p>
        </w:tc>
        <w:tc>
          <w:tcPr>
            <w:tcW w:w="922" w:type="dxa"/>
            <w:noWrap/>
            <w:vAlign w:val="center"/>
            <w:hideMark/>
          </w:tcPr>
          <w:p w14:paraId="7F43609D"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56DE5CAC"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MBI</w:t>
            </w:r>
          </w:p>
        </w:tc>
        <w:tc>
          <w:tcPr>
            <w:tcW w:w="697" w:type="dxa"/>
            <w:noWrap/>
            <w:vAlign w:val="center"/>
            <w:hideMark/>
          </w:tcPr>
          <w:p w14:paraId="2B96133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376C11ED"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gr, i.-p.</w:t>
            </w:r>
          </w:p>
        </w:tc>
        <w:tc>
          <w:tcPr>
            <w:tcW w:w="576" w:type="dxa"/>
            <w:noWrap/>
            <w:vAlign w:val="center"/>
            <w:hideMark/>
          </w:tcPr>
          <w:p w14:paraId="47F88EFC"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8</w:t>
            </w:r>
          </w:p>
        </w:tc>
        <w:tc>
          <w:tcPr>
            <w:tcW w:w="1080" w:type="dxa"/>
            <w:noWrap/>
            <w:vAlign w:val="center"/>
            <w:hideMark/>
          </w:tcPr>
          <w:p w14:paraId="259223E1"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Pharma</w:t>
            </w:r>
          </w:p>
        </w:tc>
        <w:tc>
          <w:tcPr>
            <w:tcW w:w="749" w:type="dxa"/>
            <w:vAlign w:val="center"/>
          </w:tcPr>
          <w:p w14:paraId="72772968"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active</w:t>
            </w:r>
          </w:p>
        </w:tc>
        <w:tc>
          <w:tcPr>
            <w:tcW w:w="684" w:type="dxa"/>
            <w:noWrap/>
            <w:vAlign w:val="center"/>
            <w:hideMark/>
          </w:tcPr>
          <w:p w14:paraId="607C5D3C"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1E11BAB7"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medium</w:t>
            </w:r>
          </w:p>
        </w:tc>
      </w:tr>
      <w:tr w:rsidR="00F8095D" w:rsidRPr="00D45CB4" w14:paraId="5B45E630" w14:textId="77777777" w:rsidTr="006B321E">
        <w:trPr>
          <w:trHeight w:val="288"/>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6598F5CE"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11.2</w:t>
            </w:r>
          </w:p>
        </w:tc>
        <w:tc>
          <w:tcPr>
            <w:tcW w:w="1731" w:type="dxa"/>
            <w:noWrap/>
            <w:vAlign w:val="center"/>
            <w:hideMark/>
          </w:tcPr>
          <w:p w14:paraId="381ABD59"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p>
        </w:tc>
        <w:tc>
          <w:tcPr>
            <w:tcW w:w="1269" w:type="dxa"/>
            <w:noWrap/>
            <w:vAlign w:val="center"/>
            <w:hideMark/>
          </w:tcPr>
          <w:p w14:paraId="74DECD2E"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720" w:type="dxa"/>
            <w:noWrap/>
            <w:vAlign w:val="center"/>
            <w:hideMark/>
          </w:tcPr>
          <w:p w14:paraId="2272535A"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631" w:type="dxa"/>
            <w:noWrap/>
            <w:vAlign w:val="center"/>
            <w:hideMark/>
          </w:tcPr>
          <w:p w14:paraId="16F45E11"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720" w:type="dxa"/>
            <w:noWrap/>
            <w:vAlign w:val="center"/>
            <w:hideMark/>
          </w:tcPr>
          <w:p w14:paraId="37C978C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763" w:type="dxa"/>
            <w:noWrap/>
            <w:vAlign w:val="center"/>
            <w:hideMark/>
          </w:tcPr>
          <w:p w14:paraId="472A885D"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68</w:t>
            </w:r>
          </w:p>
        </w:tc>
        <w:tc>
          <w:tcPr>
            <w:tcW w:w="922" w:type="dxa"/>
            <w:noWrap/>
            <w:vAlign w:val="center"/>
            <w:hideMark/>
          </w:tcPr>
          <w:p w14:paraId="45BE221D"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p>
        </w:tc>
        <w:tc>
          <w:tcPr>
            <w:tcW w:w="1037" w:type="dxa"/>
            <w:noWrap/>
            <w:vAlign w:val="center"/>
            <w:hideMark/>
          </w:tcPr>
          <w:p w14:paraId="2A2F939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697" w:type="dxa"/>
            <w:noWrap/>
            <w:vAlign w:val="center"/>
            <w:hideMark/>
          </w:tcPr>
          <w:p w14:paraId="7E3D0421"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1094" w:type="dxa"/>
            <w:noWrap/>
            <w:vAlign w:val="center"/>
            <w:hideMark/>
          </w:tcPr>
          <w:p w14:paraId="05D459C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576" w:type="dxa"/>
            <w:noWrap/>
            <w:vAlign w:val="center"/>
            <w:hideMark/>
          </w:tcPr>
          <w:p w14:paraId="3E840D04"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1080" w:type="dxa"/>
            <w:noWrap/>
            <w:vAlign w:val="center"/>
            <w:hideMark/>
          </w:tcPr>
          <w:p w14:paraId="6AF42C5D"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PE + SPT</w:t>
            </w:r>
          </w:p>
        </w:tc>
        <w:tc>
          <w:tcPr>
            <w:tcW w:w="749" w:type="dxa"/>
            <w:vAlign w:val="center"/>
          </w:tcPr>
          <w:p w14:paraId="3456EACA"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active</w:t>
            </w:r>
          </w:p>
        </w:tc>
        <w:tc>
          <w:tcPr>
            <w:tcW w:w="684" w:type="dxa"/>
            <w:vAlign w:val="center"/>
          </w:tcPr>
          <w:p w14:paraId="057A1CBB"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86" w:type="dxa"/>
            <w:noWrap/>
            <w:vAlign w:val="center"/>
            <w:hideMark/>
          </w:tcPr>
          <w:p w14:paraId="38ACE124"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8095D" w:rsidRPr="00D45CB4" w14:paraId="433BDE0A" w14:textId="77777777" w:rsidTr="006B32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239C9D8D"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12.1</w:t>
            </w:r>
          </w:p>
        </w:tc>
        <w:tc>
          <w:tcPr>
            <w:tcW w:w="1731" w:type="dxa"/>
            <w:noWrap/>
            <w:vAlign w:val="center"/>
            <w:hideMark/>
          </w:tcPr>
          <w:p w14:paraId="4A54E31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Dugas et al., 2010</w:t>
            </w:r>
          </w:p>
        </w:tc>
        <w:tc>
          <w:tcPr>
            <w:tcW w:w="1269" w:type="dxa"/>
            <w:noWrap/>
            <w:vAlign w:val="center"/>
            <w:hideMark/>
          </w:tcPr>
          <w:p w14:paraId="3598E464"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GAD</w:t>
            </w:r>
          </w:p>
        </w:tc>
        <w:tc>
          <w:tcPr>
            <w:tcW w:w="720" w:type="dxa"/>
            <w:noWrap/>
            <w:vAlign w:val="center"/>
            <w:hideMark/>
          </w:tcPr>
          <w:p w14:paraId="457E8D8B"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66.15</w:t>
            </w:r>
          </w:p>
        </w:tc>
        <w:tc>
          <w:tcPr>
            <w:tcW w:w="631" w:type="dxa"/>
            <w:noWrap/>
            <w:vAlign w:val="center"/>
            <w:hideMark/>
          </w:tcPr>
          <w:p w14:paraId="2308F6B3"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38.50</w:t>
            </w:r>
          </w:p>
        </w:tc>
        <w:tc>
          <w:tcPr>
            <w:tcW w:w="720" w:type="dxa"/>
            <w:noWrap/>
            <w:vAlign w:val="center"/>
            <w:hideMark/>
          </w:tcPr>
          <w:p w14:paraId="29ECE567"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23</w:t>
            </w:r>
          </w:p>
        </w:tc>
        <w:tc>
          <w:tcPr>
            <w:tcW w:w="763" w:type="dxa"/>
            <w:noWrap/>
            <w:vAlign w:val="center"/>
            <w:hideMark/>
          </w:tcPr>
          <w:p w14:paraId="002978FD"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20</w:t>
            </w:r>
          </w:p>
        </w:tc>
        <w:tc>
          <w:tcPr>
            <w:tcW w:w="922" w:type="dxa"/>
            <w:noWrap/>
            <w:vAlign w:val="center"/>
            <w:hideMark/>
          </w:tcPr>
          <w:p w14:paraId="521329D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44393C8E" w14:textId="323193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CBT</w:t>
            </w:r>
            <w:r w:rsidR="00B96E8C">
              <w:rPr>
                <w:color w:val="000000"/>
                <w:kern w:val="0"/>
                <w:sz w:val="16"/>
                <w:szCs w:val="16"/>
              </w:rPr>
              <w:t>-IU</w:t>
            </w:r>
          </w:p>
        </w:tc>
        <w:tc>
          <w:tcPr>
            <w:tcW w:w="697" w:type="dxa"/>
            <w:noWrap/>
            <w:vAlign w:val="center"/>
            <w:hideMark/>
          </w:tcPr>
          <w:p w14:paraId="62D4E9D4"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spec</w:t>
            </w:r>
          </w:p>
        </w:tc>
        <w:tc>
          <w:tcPr>
            <w:tcW w:w="1094" w:type="dxa"/>
            <w:noWrap/>
            <w:vAlign w:val="center"/>
            <w:hideMark/>
          </w:tcPr>
          <w:p w14:paraId="1D1B467B"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ind, i.-p.</w:t>
            </w:r>
          </w:p>
        </w:tc>
        <w:tc>
          <w:tcPr>
            <w:tcW w:w="576" w:type="dxa"/>
            <w:noWrap/>
            <w:vAlign w:val="center"/>
            <w:hideMark/>
          </w:tcPr>
          <w:p w14:paraId="3A6B95B4"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12</w:t>
            </w:r>
          </w:p>
        </w:tc>
        <w:tc>
          <w:tcPr>
            <w:tcW w:w="1080" w:type="dxa"/>
            <w:noWrap/>
            <w:vAlign w:val="center"/>
            <w:hideMark/>
          </w:tcPr>
          <w:p w14:paraId="4C5AFCFF"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AC</w:t>
            </w:r>
          </w:p>
        </w:tc>
        <w:tc>
          <w:tcPr>
            <w:tcW w:w="749" w:type="dxa"/>
            <w:vAlign w:val="center"/>
          </w:tcPr>
          <w:p w14:paraId="59A89DF9"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34C14368"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++o++</w:t>
            </w:r>
          </w:p>
        </w:tc>
        <w:tc>
          <w:tcPr>
            <w:tcW w:w="786" w:type="dxa"/>
            <w:noWrap/>
            <w:vAlign w:val="center"/>
            <w:hideMark/>
          </w:tcPr>
          <w:p w14:paraId="7543C07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medium</w:t>
            </w:r>
          </w:p>
        </w:tc>
      </w:tr>
      <w:tr w:rsidR="00F8095D" w:rsidRPr="00D45CB4" w14:paraId="13347A3B" w14:textId="77777777" w:rsidTr="006B321E">
        <w:trPr>
          <w:trHeight w:val="288"/>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6AC1F7AD"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12.2</w:t>
            </w:r>
          </w:p>
        </w:tc>
        <w:tc>
          <w:tcPr>
            <w:tcW w:w="1731" w:type="dxa"/>
            <w:noWrap/>
            <w:vAlign w:val="center"/>
            <w:hideMark/>
          </w:tcPr>
          <w:p w14:paraId="2E47A41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p>
        </w:tc>
        <w:tc>
          <w:tcPr>
            <w:tcW w:w="1269" w:type="dxa"/>
            <w:noWrap/>
            <w:vAlign w:val="center"/>
            <w:hideMark/>
          </w:tcPr>
          <w:p w14:paraId="0D6E7341"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720" w:type="dxa"/>
            <w:noWrap/>
            <w:vAlign w:val="center"/>
            <w:hideMark/>
          </w:tcPr>
          <w:p w14:paraId="61482BE0"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631" w:type="dxa"/>
            <w:noWrap/>
            <w:vAlign w:val="center"/>
            <w:hideMark/>
          </w:tcPr>
          <w:p w14:paraId="28C8111C"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720" w:type="dxa"/>
            <w:noWrap/>
            <w:vAlign w:val="center"/>
            <w:hideMark/>
          </w:tcPr>
          <w:p w14:paraId="1E4525C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22</w:t>
            </w:r>
          </w:p>
        </w:tc>
        <w:tc>
          <w:tcPr>
            <w:tcW w:w="763" w:type="dxa"/>
            <w:noWrap/>
            <w:vAlign w:val="center"/>
            <w:hideMark/>
          </w:tcPr>
          <w:p w14:paraId="5DC63AFF"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p>
        </w:tc>
        <w:tc>
          <w:tcPr>
            <w:tcW w:w="922" w:type="dxa"/>
            <w:noWrap/>
            <w:vAlign w:val="center"/>
            <w:hideMark/>
          </w:tcPr>
          <w:p w14:paraId="18D2395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1037" w:type="dxa"/>
            <w:noWrap/>
            <w:vAlign w:val="center"/>
            <w:hideMark/>
          </w:tcPr>
          <w:p w14:paraId="53EE2C8C"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AR</w:t>
            </w:r>
          </w:p>
        </w:tc>
        <w:tc>
          <w:tcPr>
            <w:tcW w:w="697" w:type="dxa"/>
            <w:noWrap/>
            <w:vAlign w:val="center"/>
            <w:hideMark/>
          </w:tcPr>
          <w:p w14:paraId="732FD950"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0DB0C5D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ind, i.-p.</w:t>
            </w:r>
          </w:p>
        </w:tc>
        <w:tc>
          <w:tcPr>
            <w:tcW w:w="576" w:type="dxa"/>
            <w:noWrap/>
            <w:vAlign w:val="center"/>
            <w:hideMark/>
          </w:tcPr>
          <w:p w14:paraId="51A221EB"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12</w:t>
            </w:r>
          </w:p>
        </w:tc>
        <w:tc>
          <w:tcPr>
            <w:tcW w:w="1080" w:type="dxa"/>
            <w:noWrap/>
            <w:vAlign w:val="center"/>
            <w:hideMark/>
          </w:tcPr>
          <w:p w14:paraId="53FC0E49"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p>
        </w:tc>
        <w:tc>
          <w:tcPr>
            <w:tcW w:w="749" w:type="dxa"/>
            <w:vAlign w:val="center"/>
          </w:tcPr>
          <w:p w14:paraId="07BCDF2A"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684" w:type="dxa"/>
            <w:noWrap/>
            <w:vAlign w:val="center"/>
            <w:hideMark/>
          </w:tcPr>
          <w:p w14:paraId="73C9FD29"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86" w:type="dxa"/>
            <w:noWrap/>
            <w:vAlign w:val="center"/>
            <w:hideMark/>
          </w:tcPr>
          <w:p w14:paraId="270202DC"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r>
      <w:tr w:rsidR="00F8095D" w:rsidRPr="00D45CB4" w14:paraId="69B00488" w14:textId="77777777" w:rsidTr="006B32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5F41E7C6"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13</w:t>
            </w:r>
          </w:p>
        </w:tc>
        <w:tc>
          <w:tcPr>
            <w:tcW w:w="1731" w:type="dxa"/>
            <w:noWrap/>
            <w:vAlign w:val="center"/>
            <w:hideMark/>
          </w:tcPr>
          <w:p w14:paraId="7E657590"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Dugas et al., 2003</w:t>
            </w:r>
          </w:p>
        </w:tc>
        <w:tc>
          <w:tcPr>
            <w:tcW w:w="1269" w:type="dxa"/>
            <w:noWrap/>
            <w:vAlign w:val="center"/>
            <w:hideMark/>
          </w:tcPr>
          <w:p w14:paraId="155BFEF7"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GAD</w:t>
            </w:r>
          </w:p>
        </w:tc>
        <w:tc>
          <w:tcPr>
            <w:tcW w:w="720" w:type="dxa"/>
            <w:noWrap/>
            <w:vAlign w:val="center"/>
            <w:hideMark/>
          </w:tcPr>
          <w:p w14:paraId="055101B5"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71.15</w:t>
            </w:r>
          </w:p>
        </w:tc>
        <w:tc>
          <w:tcPr>
            <w:tcW w:w="631" w:type="dxa"/>
            <w:noWrap/>
            <w:vAlign w:val="center"/>
            <w:hideMark/>
          </w:tcPr>
          <w:p w14:paraId="0FBB242B"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41.20</w:t>
            </w:r>
          </w:p>
        </w:tc>
        <w:tc>
          <w:tcPr>
            <w:tcW w:w="720" w:type="dxa"/>
            <w:noWrap/>
            <w:vAlign w:val="center"/>
            <w:hideMark/>
          </w:tcPr>
          <w:p w14:paraId="19674DEE"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25</w:t>
            </w:r>
          </w:p>
        </w:tc>
        <w:tc>
          <w:tcPr>
            <w:tcW w:w="763" w:type="dxa"/>
            <w:noWrap/>
            <w:vAlign w:val="center"/>
            <w:hideMark/>
          </w:tcPr>
          <w:p w14:paraId="2B2561CE"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27</w:t>
            </w:r>
          </w:p>
        </w:tc>
        <w:tc>
          <w:tcPr>
            <w:tcW w:w="922" w:type="dxa"/>
            <w:noWrap/>
            <w:vAlign w:val="center"/>
            <w:hideMark/>
          </w:tcPr>
          <w:p w14:paraId="5425D41B"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4A46F975"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CBT-IU</w:t>
            </w:r>
          </w:p>
        </w:tc>
        <w:tc>
          <w:tcPr>
            <w:tcW w:w="697" w:type="dxa"/>
            <w:noWrap/>
            <w:vAlign w:val="center"/>
            <w:hideMark/>
          </w:tcPr>
          <w:p w14:paraId="1FDCDBB1"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spec</w:t>
            </w:r>
          </w:p>
        </w:tc>
        <w:tc>
          <w:tcPr>
            <w:tcW w:w="1094" w:type="dxa"/>
            <w:noWrap/>
            <w:vAlign w:val="center"/>
            <w:hideMark/>
          </w:tcPr>
          <w:p w14:paraId="76E4D523"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gr, i.-p.</w:t>
            </w:r>
          </w:p>
        </w:tc>
        <w:tc>
          <w:tcPr>
            <w:tcW w:w="576" w:type="dxa"/>
            <w:noWrap/>
            <w:vAlign w:val="center"/>
            <w:hideMark/>
          </w:tcPr>
          <w:p w14:paraId="43D196A0"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14</w:t>
            </w:r>
          </w:p>
        </w:tc>
        <w:tc>
          <w:tcPr>
            <w:tcW w:w="1080" w:type="dxa"/>
            <w:noWrap/>
            <w:vAlign w:val="center"/>
            <w:hideMark/>
          </w:tcPr>
          <w:p w14:paraId="5A8C5C27"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AC</w:t>
            </w:r>
          </w:p>
        </w:tc>
        <w:tc>
          <w:tcPr>
            <w:tcW w:w="749" w:type="dxa"/>
            <w:vAlign w:val="center"/>
          </w:tcPr>
          <w:p w14:paraId="55B830D0"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163583F1"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1E136901"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high</w:t>
            </w:r>
          </w:p>
        </w:tc>
      </w:tr>
      <w:tr w:rsidR="00F8095D" w:rsidRPr="00D45CB4" w14:paraId="6906D21F" w14:textId="77777777" w:rsidTr="006B321E">
        <w:trPr>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20AAC5F3"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14</w:t>
            </w:r>
          </w:p>
        </w:tc>
        <w:tc>
          <w:tcPr>
            <w:tcW w:w="1731" w:type="dxa"/>
            <w:noWrap/>
            <w:vAlign w:val="center"/>
            <w:hideMark/>
          </w:tcPr>
          <w:p w14:paraId="5278CE5F"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Dugas et al., 2022</w:t>
            </w:r>
          </w:p>
        </w:tc>
        <w:tc>
          <w:tcPr>
            <w:tcW w:w="1269" w:type="dxa"/>
            <w:noWrap/>
            <w:vAlign w:val="center"/>
            <w:hideMark/>
          </w:tcPr>
          <w:p w14:paraId="7F91FD3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GAD</w:t>
            </w:r>
          </w:p>
        </w:tc>
        <w:tc>
          <w:tcPr>
            <w:tcW w:w="720" w:type="dxa"/>
            <w:noWrap/>
            <w:vAlign w:val="center"/>
            <w:hideMark/>
          </w:tcPr>
          <w:p w14:paraId="1EABCD4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85.00</w:t>
            </w:r>
          </w:p>
        </w:tc>
        <w:tc>
          <w:tcPr>
            <w:tcW w:w="631" w:type="dxa"/>
            <w:noWrap/>
            <w:vAlign w:val="center"/>
            <w:hideMark/>
          </w:tcPr>
          <w:p w14:paraId="3FEEA303"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34.60</w:t>
            </w:r>
          </w:p>
        </w:tc>
        <w:tc>
          <w:tcPr>
            <w:tcW w:w="720" w:type="dxa"/>
            <w:noWrap/>
            <w:vAlign w:val="center"/>
            <w:hideMark/>
          </w:tcPr>
          <w:p w14:paraId="40F086DA"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23</w:t>
            </w:r>
          </w:p>
        </w:tc>
        <w:tc>
          <w:tcPr>
            <w:tcW w:w="763" w:type="dxa"/>
            <w:noWrap/>
            <w:vAlign w:val="center"/>
            <w:hideMark/>
          </w:tcPr>
          <w:p w14:paraId="66722E16"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27</w:t>
            </w:r>
          </w:p>
        </w:tc>
        <w:tc>
          <w:tcPr>
            <w:tcW w:w="922" w:type="dxa"/>
            <w:noWrap/>
            <w:vAlign w:val="center"/>
            <w:hideMark/>
          </w:tcPr>
          <w:p w14:paraId="455EFA7A"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67BBF728"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CBT-IU</w:t>
            </w:r>
          </w:p>
        </w:tc>
        <w:tc>
          <w:tcPr>
            <w:tcW w:w="697" w:type="dxa"/>
            <w:noWrap/>
            <w:vAlign w:val="center"/>
            <w:hideMark/>
          </w:tcPr>
          <w:p w14:paraId="3105956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spec</w:t>
            </w:r>
          </w:p>
        </w:tc>
        <w:tc>
          <w:tcPr>
            <w:tcW w:w="1094" w:type="dxa"/>
            <w:noWrap/>
            <w:vAlign w:val="center"/>
            <w:hideMark/>
          </w:tcPr>
          <w:p w14:paraId="3E4111B1"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ind, i.-p.</w:t>
            </w:r>
          </w:p>
        </w:tc>
        <w:tc>
          <w:tcPr>
            <w:tcW w:w="576" w:type="dxa"/>
            <w:noWrap/>
            <w:vAlign w:val="center"/>
            <w:hideMark/>
          </w:tcPr>
          <w:p w14:paraId="61509083"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12</w:t>
            </w:r>
          </w:p>
        </w:tc>
        <w:tc>
          <w:tcPr>
            <w:tcW w:w="1080" w:type="dxa"/>
            <w:noWrap/>
            <w:vAlign w:val="center"/>
            <w:hideMark/>
          </w:tcPr>
          <w:p w14:paraId="6AC4C9EE"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AC</w:t>
            </w:r>
          </w:p>
        </w:tc>
        <w:tc>
          <w:tcPr>
            <w:tcW w:w="749" w:type="dxa"/>
            <w:vAlign w:val="center"/>
          </w:tcPr>
          <w:p w14:paraId="1A838F39"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441A366E"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3CA6E0B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medium</w:t>
            </w:r>
          </w:p>
        </w:tc>
      </w:tr>
      <w:tr w:rsidR="00F8095D" w:rsidRPr="00D45CB4" w14:paraId="28BB8709" w14:textId="77777777" w:rsidTr="006B321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45B7D7B6"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15</w:t>
            </w:r>
          </w:p>
        </w:tc>
        <w:tc>
          <w:tcPr>
            <w:tcW w:w="1731" w:type="dxa"/>
            <w:noWrap/>
            <w:vAlign w:val="center"/>
            <w:hideMark/>
          </w:tcPr>
          <w:p w14:paraId="38DB42E6"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Ekkers et al., 2011</w:t>
            </w:r>
          </w:p>
        </w:tc>
        <w:tc>
          <w:tcPr>
            <w:tcW w:w="1269" w:type="dxa"/>
            <w:noWrap/>
            <w:vAlign w:val="center"/>
            <w:hideMark/>
          </w:tcPr>
          <w:p w14:paraId="4EA24CF7"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MDD</w:t>
            </w:r>
          </w:p>
        </w:tc>
        <w:tc>
          <w:tcPr>
            <w:tcW w:w="720" w:type="dxa"/>
            <w:noWrap/>
            <w:vAlign w:val="center"/>
            <w:hideMark/>
          </w:tcPr>
          <w:p w14:paraId="436F90A6"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77.17</w:t>
            </w:r>
          </w:p>
        </w:tc>
        <w:tc>
          <w:tcPr>
            <w:tcW w:w="631" w:type="dxa"/>
            <w:noWrap/>
            <w:vAlign w:val="center"/>
            <w:hideMark/>
          </w:tcPr>
          <w:p w14:paraId="2A0CFFE1"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72.66</w:t>
            </w:r>
          </w:p>
        </w:tc>
        <w:tc>
          <w:tcPr>
            <w:tcW w:w="720" w:type="dxa"/>
            <w:noWrap/>
            <w:vAlign w:val="center"/>
            <w:hideMark/>
          </w:tcPr>
          <w:p w14:paraId="4FC130D5"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53</w:t>
            </w:r>
          </w:p>
        </w:tc>
        <w:tc>
          <w:tcPr>
            <w:tcW w:w="763" w:type="dxa"/>
            <w:noWrap/>
            <w:vAlign w:val="center"/>
            <w:hideMark/>
          </w:tcPr>
          <w:p w14:paraId="417B29E7"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37</w:t>
            </w:r>
          </w:p>
        </w:tc>
        <w:tc>
          <w:tcPr>
            <w:tcW w:w="922" w:type="dxa"/>
            <w:noWrap/>
            <w:vAlign w:val="center"/>
            <w:hideMark/>
          </w:tcPr>
          <w:p w14:paraId="2D036A8C"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rumination</w:t>
            </w:r>
          </w:p>
        </w:tc>
        <w:tc>
          <w:tcPr>
            <w:tcW w:w="1037" w:type="dxa"/>
            <w:noWrap/>
            <w:vAlign w:val="center"/>
            <w:hideMark/>
          </w:tcPr>
          <w:p w14:paraId="771B385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COMET</w:t>
            </w:r>
          </w:p>
        </w:tc>
        <w:tc>
          <w:tcPr>
            <w:tcW w:w="697" w:type="dxa"/>
            <w:noWrap/>
            <w:vAlign w:val="center"/>
            <w:hideMark/>
          </w:tcPr>
          <w:p w14:paraId="6A4DB713"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spec</w:t>
            </w:r>
          </w:p>
        </w:tc>
        <w:tc>
          <w:tcPr>
            <w:tcW w:w="1094" w:type="dxa"/>
            <w:noWrap/>
            <w:vAlign w:val="center"/>
            <w:hideMark/>
          </w:tcPr>
          <w:p w14:paraId="427540C6"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gr, i.-p.</w:t>
            </w:r>
          </w:p>
        </w:tc>
        <w:tc>
          <w:tcPr>
            <w:tcW w:w="576" w:type="dxa"/>
            <w:noWrap/>
            <w:vAlign w:val="center"/>
            <w:hideMark/>
          </w:tcPr>
          <w:p w14:paraId="2742C2D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7</w:t>
            </w:r>
          </w:p>
        </w:tc>
        <w:tc>
          <w:tcPr>
            <w:tcW w:w="1080" w:type="dxa"/>
            <w:noWrap/>
            <w:vAlign w:val="center"/>
            <w:hideMark/>
          </w:tcPr>
          <w:p w14:paraId="4739CD4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TAU (Pharma, PT)</w:t>
            </w:r>
          </w:p>
        </w:tc>
        <w:tc>
          <w:tcPr>
            <w:tcW w:w="749" w:type="dxa"/>
            <w:vAlign w:val="center"/>
          </w:tcPr>
          <w:p w14:paraId="0F8523D1"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active</w:t>
            </w:r>
          </w:p>
        </w:tc>
        <w:tc>
          <w:tcPr>
            <w:tcW w:w="684" w:type="dxa"/>
            <w:noWrap/>
            <w:vAlign w:val="center"/>
            <w:hideMark/>
          </w:tcPr>
          <w:p w14:paraId="01BBC88B"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1C093824"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low</w:t>
            </w:r>
          </w:p>
        </w:tc>
      </w:tr>
      <w:tr w:rsidR="00F8095D" w:rsidRPr="00D45CB4" w14:paraId="0C68E266" w14:textId="77777777" w:rsidTr="006B321E">
        <w:trPr>
          <w:trHeight w:val="360"/>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3D383977"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16</w:t>
            </w:r>
          </w:p>
        </w:tc>
        <w:tc>
          <w:tcPr>
            <w:tcW w:w="1731" w:type="dxa"/>
            <w:noWrap/>
            <w:vAlign w:val="center"/>
            <w:hideMark/>
          </w:tcPr>
          <w:p w14:paraId="310151DD"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Foroughi et al., 2020</w:t>
            </w:r>
          </w:p>
        </w:tc>
        <w:tc>
          <w:tcPr>
            <w:tcW w:w="1269" w:type="dxa"/>
            <w:noWrap/>
            <w:vAlign w:val="center"/>
            <w:hideMark/>
          </w:tcPr>
          <w:p w14:paraId="1AAE57A4"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trMDD</w:t>
            </w:r>
          </w:p>
        </w:tc>
        <w:tc>
          <w:tcPr>
            <w:tcW w:w="720" w:type="dxa"/>
            <w:noWrap/>
            <w:vAlign w:val="center"/>
            <w:hideMark/>
          </w:tcPr>
          <w:p w14:paraId="2D64E594"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72.22</w:t>
            </w:r>
          </w:p>
        </w:tc>
        <w:tc>
          <w:tcPr>
            <w:tcW w:w="631" w:type="dxa"/>
            <w:noWrap/>
            <w:vAlign w:val="center"/>
            <w:hideMark/>
          </w:tcPr>
          <w:p w14:paraId="12C81EAF"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p>
        </w:tc>
        <w:tc>
          <w:tcPr>
            <w:tcW w:w="720" w:type="dxa"/>
            <w:noWrap/>
            <w:vAlign w:val="center"/>
            <w:hideMark/>
          </w:tcPr>
          <w:p w14:paraId="224DD0BB"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10</w:t>
            </w:r>
          </w:p>
        </w:tc>
        <w:tc>
          <w:tcPr>
            <w:tcW w:w="763" w:type="dxa"/>
            <w:noWrap/>
            <w:vAlign w:val="center"/>
            <w:hideMark/>
          </w:tcPr>
          <w:p w14:paraId="1E4D4F68"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12</w:t>
            </w:r>
          </w:p>
        </w:tc>
        <w:tc>
          <w:tcPr>
            <w:tcW w:w="922" w:type="dxa"/>
            <w:noWrap/>
            <w:vAlign w:val="center"/>
            <w:hideMark/>
          </w:tcPr>
          <w:p w14:paraId="16EC0879"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rumination</w:t>
            </w:r>
          </w:p>
        </w:tc>
        <w:tc>
          <w:tcPr>
            <w:tcW w:w="1037" w:type="dxa"/>
            <w:noWrap/>
            <w:vAlign w:val="center"/>
            <w:hideMark/>
          </w:tcPr>
          <w:p w14:paraId="780DCC91"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MBCT</w:t>
            </w:r>
          </w:p>
        </w:tc>
        <w:tc>
          <w:tcPr>
            <w:tcW w:w="697" w:type="dxa"/>
            <w:noWrap/>
            <w:vAlign w:val="center"/>
            <w:hideMark/>
          </w:tcPr>
          <w:p w14:paraId="446DC2DF"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41D9C9F1"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gr, i.-p.</w:t>
            </w:r>
          </w:p>
        </w:tc>
        <w:tc>
          <w:tcPr>
            <w:tcW w:w="576" w:type="dxa"/>
            <w:noWrap/>
            <w:vAlign w:val="center"/>
            <w:hideMark/>
          </w:tcPr>
          <w:p w14:paraId="5B24EFBA"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8</w:t>
            </w:r>
          </w:p>
        </w:tc>
        <w:tc>
          <w:tcPr>
            <w:tcW w:w="1080" w:type="dxa"/>
            <w:noWrap/>
            <w:vAlign w:val="center"/>
            <w:hideMark/>
          </w:tcPr>
          <w:p w14:paraId="330D8FDB"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Pharma</w:t>
            </w:r>
          </w:p>
        </w:tc>
        <w:tc>
          <w:tcPr>
            <w:tcW w:w="749" w:type="dxa"/>
            <w:vAlign w:val="center"/>
          </w:tcPr>
          <w:p w14:paraId="2A54A3DE"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active</w:t>
            </w:r>
          </w:p>
        </w:tc>
        <w:tc>
          <w:tcPr>
            <w:tcW w:w="684" w:type="dxa"/>
            <w:noWrap/>
            <w:vAlign w:val="center"/>
            <w:hideMark/>
          </w:tcPr>
          <w:p w14:paraId="0C1F574A"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29646AFB"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high</w:t>
            </w:r>
          </w:p>
        </w:tc>
      </w:tr>
      <w:tr w:rsidR="00F8095D" w:rsidRPr="00D45CB4" w14:paraId="7A60945D" w14:textId="77777777" w:rsidTr="006B32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2EC213E9"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17</w:t>
            </w:r>
          </w:p>
        </w:tc>
        <w:tc>
          <w:tcPr>
            <w:tcW w:w="1731" w:type="dxa"/>
            <w:noWrap/>
            <w:vAlign w:val="center"/>
            <w:hideMark/>
          </w:tcPr>
          <w:p w14:paraId="6682959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Giommi et al., 2021</w:t>
            </w:r>
          </w:p>
        </w:tc>
        <w:tc>
          <w:tcPr>
            <w:tcW w:w="1269" w:type="dxa"/>
            <w:noWrap/>
            <w:vAlign w:val="center"/>
            <w:hideMark/>
          </w:tcPr>
          <w:p w14:paraId="3AB22B7C"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GAD, PD+/-AG</w:t>
            </w:r>
          </w:p>
        </w:tc>
        <w:tc>
          <w:tcPr>
            <w:tcW w:w="720" w:type="dxa"/>
            <w:noWrap/>
            <w:vAlign w:val="center"/>
            <w:hideMark/>
          </w:tcPr>
          <w:p w14:paraId="603AF52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54.66</w:t>
            </w:r>
          </w:p>
        </w:tc>
        <w:tc>
          <w:tcPr>
            <w:tcW w:w="631" w:type="dxa"/>
            <w:noWrap/>
            <w:vAlign w:val="center"/>
            <w:hideMark/>
          </w:tcPr>
          <w:p w14:paraId="50DBF9D0"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44.93</w:t>
            </w:r>
          </w:p>
        </w:tc>
        <w:tc>
          <w:tcPr>
            <w:tcW w:w="720" w:type="dxa"/>
            <w:noWrap/>
            <w:vAlign w:val="center"/>
            <w:hideMark/>
          </w:tcPr>
          <w:p w14:paraId="220B8B30"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23</w:t>
            </w:r>
          </w:p>
        </w:tc>
        <w:tc>
          <w:tcPr>
            <w:tcW w:w="763" w:type="dxa"/>
            <w:noWrap/>
            <w:vAlign w:val="center"/>
            <w:hideMark/>
          </w:tcPr>
          <w:p w14:paraId="2FE7761F"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21</w:t>
            </w:r>
          </w:p>
        </w:tc>
        <w:tc>
          <w:tcPr>
            <w:tcW w:w="922" w:type="dxa"/>
            <w:noWrap/>
            <w:vAlign w:val="center"/>
            <w:hideMark/>
          </w:tcPr>
          <w:p w14:paraId="5DAB5A41"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11B2450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MBCT</w:t>
            </w:r>
          </w:p>
        </w:tc>
        <w:tc>
          <w:tcPr>
            <w:tcW w:w="697" w:type="dxa"/>
            <w:noWrap/>
            <w:vAlign w:val="center"/>
            <w:hideMark/>
          </w:tcPr>
          <w:p w14:paraId="7F0F2070"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025C756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gr, i.-p.</w:t>
            </w:r>
          </w:p>
        </w:tc>
        <w:tc>
          <w:tcPr>
            <w:tcW w:w="576" w:type="dxa"/>
            <w:noWrap/>
            <w:vAlign w:val="center"/>
            <w:hideMark/>
          </w:tcPr>
          <w:p w14:paraId="3010CF0E"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8</w:t>
            </w:r>
          </w:p>
        </w:tc>
        <w:tc>
          <w:tcPr>
            <w:tcW w:w="1080" w:type="dxa"/>
            <w:noWrap/>
            <w:vAlign w:val="center"/>
            <w:hideMark/>
          </w:tcPr>
          <w:p w14:paraId="0FE40F61"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PE</w:t>
            </w:r>
          </w:p>
        </w:tc>
        <w:tc>
          <w:tcPr>
            <w:tcW w:w="749" w:type="dxa"/>
            <w:vAlign w:val="center"/>
          </w:tcPr>
          <w:p w14:paraId="3B2EA4B3"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active</w:t>
            </w:r>
          </w:p>
        </w:tc>
        <w:tc>
          <w:tcPr>
            <w:tcW w:w="684" w:type="dxa"/>
            <w:noWrap/>
            <w:vAlign w:val="center"/>
            <w:hideMark/>
          </w:tcPr>
          <w:p w14:paraId="0771442B"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1F50D0A2"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medium</w:t>
            </w:r>
          </w:p>
        </w:tc>
      </w:tr>
      <w:tr w:rsidR="00F8095D" w:rsidRPr="00D45CB4" w14:paraId="3E5F48A6" w14:textId="77777777" w:rsidTr="006B321E">
        <w:trPr>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6628B8DB" w14:textId="77777777" w:rsidR="00517516" w:rsidRPr="00D45CB4" w:rsidRDefault="00517516" w:rsidP="00517516">
            <w:pPr>
              <w:spacing w:line="276" w:lineRule="auto"/>
              <w:rPr>
                <w:color w:val="000000"/>
                <w:kern w:val="0"/>
                <w:sz w:val="16"/>
                <w:szCs w:val="16"/>
              </w:rPr>
            </w:pPr>
            <w:r w:rsidRPr="00D45CB4">
              <w:rPr>
                <w:color w:val="000000"/>
                <w:kern w:val="0"/>
                <w:sz w:val="16"/>
                <w:szCs w:val="16"/>
              </w:rPr>
              <w:lastRenderedPageBreak/>
              <w:t>18.1</w:t>
            </w:r>
          </w:p>
        </w:tc>
        <w:tc>
          <w:tcPr>
            <w:tcW w:w="1731" w:type="dxa"/>
            <w:noWrap/>
            <w:vAlign w:val="center"/>
            <w:hideMark/>
          </w:tcPr>
          <w:p w14:paraId="43489A2D"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Goldin et al., 2016</w:t>
            </w:r>
          </w:p>
        </w:tc>
        <w:tc>
          <w:tcPr>
            <w:tcW w:w="1269" w:type="dxa"/>
            <w:noWrap/>
            <w:vAlign w:val="center"/>
            <w:hideMark/>
          </w:tcPr>
          <w:p w14:paraId="534F8A69"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SAD</w:t>
            </w:r>
          </w:p>
        </w:tc>
        <w:tc>
          <w:tcPr>
            <w:tcW w:w="720" w:type="dxa"/>
            <w:noWrap/>
            <w:vAlign w:val="center"/>
            <w:hideMark/>
          </w:tcPr>
          <w:p w14:paraId="2D7DC4B9"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55.56</w:t>
            </w:r>
          </w:p>
        </w:tc>
        <w:tc>
          <w:tcPr>
            <w:tcW w:w="631" w:type="dxa"/>
            <w:noWrap/>
            <w:vAlign w:val="center"/>
            <w:hideMark/>
          </w:tcPr>
          <w:p w14:paraId="4CF0BA3C"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34.10</w:t>
            </w:r>
          </w:p>
        </w:tc>
        <w:tc>
          <w:tcPr>
            <w:tcW w:w="720" w:type="dxa"/>
            <w:noWrap/>
            <w:vAlign w:val="center"/>
            <w:hideMark/>
          </w:tcPr>
          <w:p w14:paraId="4A255F2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30</w:t>
            </w:r>
          </w:p>
        </w:tc>
        <w:tc>
          <w:tcPr>
            <w:tcW w:w="763" w:type="dxa"/>
            <w:noWrap/>
            <w:vAlign w:val="center"/>
            <w:hideMark/>
          </w:tcPr>
          <w:p w14:paraId="16BFF5FF"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34</w:t>
            </w:r>
          </w:p>
        </w:tc>
        <w:tc>
          <w:tcPr>
            <w:tcW w:w="922" w:type="dxa"/>
            <w:noWrap/>
            <w:vAlign w:val="center"/>
            <w:hideMark/>
          </w:tcPr>
          <w:p w14:paraId="5D4CEC29"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rumination</w:t>
            </w:r>
          </w:p>
        </w:tc>
        <w:tc>
          <w:tcPr>
            <w:tcW w:w="1037" w:type="dxa"/>
            <w:noWrap/>
            <w:vAlign w:val="center"/>
            <w:hideMark/>
          </w:tcPr>
          <w:p w14:paraId="6B0CC76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CBT</w:t>
            </w:r>
          </w:p>
        </w:tc>
        <w:tc>
          <w:tcPr>
            <w:tcW w:w="697" w:type="dxa"/>
            <w:noWrap/>
            <w:vAlign w:val="center"/>
            <w:hideMark/>
          </w:tcPr>
          <w:p w14:paraId="644A5A1C"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136FDE1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gr, i.-p.</w:t>
            </w:r>
          </w:p>
        </w:tc>
        <w:tc>
          <w:tcPr>
            <w:tcW w:w="576" w:type="dxa"/>
            <w:noWrap/>
            <w:vAlign w:val="center"/>
            <w:hideMark/>
          </w:tcPr>
          <w:p w14:paraId="45A79369"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12</w:t>
            </w:r>
          </w:p>
        </w:tc>
        <w:tc>
          <w:tcPr>
            <w:tcW w:w="1080" w:type="dxa"/>
            <w:noWrap/>
            <w:vAlign w:val="center"/>
            <w:hideMark/>
          </w:tcPr>
          <w:p w14:paraId="48CEFD6F"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WLC</w:t>
            </w:r>
          </w:p>
        </w:tc>
        <w:tc>
          <w:tcPr>
            <w:tcW w:w="749" w:type="dxa"/>
            <w:vAlign w:val="center"/>
          </w:tcPr>
          <w:p w14:paraId="47DD6071"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12C9B615"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5F5AEDBD"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high</w:t>
            </w:r>
          </w:p>
        </w:tc>
      </w:tr>
      <w:tr w:rsidR="00F8095D" w:rsidRPr="00D45CB4" w14:paraId="6866E109" w14:textId="77777777" w:rsidTr="006B32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6872CBBD"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18.2</w:t>
            </w:r>
          </w:p>
        </w:tc>
        <w:tc>
          <w:tcPr>
            <w:tcW w:w="1731" w:type="dxa"/>
            <w:noWrap/>
            <w:vAlign w:val="center"/>
            <w:hideMark/>
          </w:tcPr>
          <w:p w14:paraId="16FEFDC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p>
        </w:tc>
        <w:tc>
          <w:tcPr>
            <w:tcW w:w="1269" w:type="dxa"/>
            <w:noWrap/>
            <w:vAlign w:val="center"/>
            <w:hideMark/>
          </w:tcPr>
          <w:p w14:paraId="4F5ABF9E"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720" w:type="dxa"/>
            <w:noWrap/>
            <w:vAlign w:val="center"/>
            <w:hideMark/>
          </w:tcPr>
          <w:p w14:paraId="6775E1B2"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631" w:type="dxa"/>
            <w:noWrap/>
            <w:vAlign w:val="center"/>
            <w:hideMark/>
          </w:tcPr>
          <w:p w14:paraId="30604694"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720" w:type="dxa"/>
            <w:noWrap/>
            <w:vAlign w:val="center"/>
            <w:hideMark/>
          </w:tcPr>
          <w:p w14:paraId="7880583B"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27</w:t>
            </w:r>
          </w:p>
        </w:tc>
        <w:tc>
          <w:tcPr>
            <w:tcW w:w="763" w:type="dxa"/>
            <w:noWrap/>
            <w:vAlign w:val="center"/>
            <w:hideMark/>
          </w:tcPr>
          <w:p w14:paraId="6EC5BFAC"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p>
        </w:tc>
        <w:tc>
          <w:tcPr>
            <w:tcW w:w="922" w:type="dxa"/>
            <w:noWrap/>
            <w:vAlign w:val="center"/>
            <w:hideMark/>
          </w:tcPr>
          <w:p w14:paraId="33572D96"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1037" w:type="dxa"/>
            <w:noWrap/>
            <w:vAlign w:val="center"/>
            <w:hideMark/>
          </w:tcPr>
          <w:p w14:paraId="327C8FF6"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MBSR</w:t>
            </w:r>
          </w:p>
        </w:tc>
        <w:tc>
          <w:tcPr>
            <w:tcW w:w="697" w:type="dxa"/>
            <w:noWrap/>
            <w:vAlign w:val="center"/>
            <w:hideMark/>
          </w:tcPr>
          <w:p w14:paraId="6FAB9A3E"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2549407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gr, i.-p.</w:t>
            </w:r>
          </w:p>
        </w:tc>
        <w:tc>
          <w:tcPr>
            <w:tcW w:w="576" w:type="dxa"/>
            <w:noWrap/>
            <w:vAlign w:val="center"/>
            <w:hideMark/>
          </w:tcPr>
          <w:p w14:paraId="063B36DB"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12</w:t>
            </w:r>
          </w:p>
        </w:tc>
        <w:tc>
          <w:tcPr>
            <w:tcW w:w="1080" w:type="dxa"/>
            <w:noWrap/>
            <w:vAlign w:val="center"/>
            <w:hideMark/>
          </w:tcPr>
          <w:p w14:paraId="28B41B52"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p>
        </w:tc>
        <w:tc>
          <w:tcPr>
            <w:tcW w:w="749" w:type="dxa"/>
            <w:vAlign w:val="center"/>
          </w:tcPr>
          <w:p w14:paraId="2088CF44"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3B841934"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86" w:type="dxa"/>
            <w:noWrap/>
            <w:vAlign w:val="center"/>
            <w:hideMark/>
          </w:tcPr>
          <w:p w14:paraId="55C7ADE4"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r>
      <w:tr w:rsidR="00F8095D" w:rsidRPr="00D45CB4" w14:paraId="2364FD06" w14:textId="77777777" w:rsidTr="006B321E">
        <w:trPr>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4DD414F9"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19</w:t>
            </w:r>
          </w:p>
        </w:tc>
        <w:tc>
          <w:tcPr>
            <w:tcW w:w="1731" w:type="dxa"/>
            <w:noWrap/>
            <w:vAlign w:val="center"/>
            <w:hideMark/>
          </w:tcPr>
          <w:p w14:paraId="5C35743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Green et al., 2020</w:t>
            </w:r>
          </w:p>
        </w:tc>
        <w:tc>
          <w:tcPr>
            <w:tcW w:w="1269" w:type="dxa"/>
            <w:noWrap/>
            <w:vAlign w:val="center"/>
            <w:hideMark/>
          </w:tcPr>
          <w:p w14:paraId="09B84111"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GAD, SAD, PD+/-AG, AD</w:t>
            </w:r>
          </w:p>
        </w:tc>
        <w:tc>
          <w:tcPr>
            <w:tcW w:w="720" w:type="dxa"/>
            <w:noWrap/>
            <w:vAlign w:val="center"/>
            <w:hideMark/>
          </w:tcPr>
          <w:p w14:paraId="7CA4EFE8"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100.00</w:t>
            </w:r>
          </w:p>
        </w:tc>
        <w:tc>
          <w:tcPr>
            <w:tcW w:w="631" w:type="dxa"/>
            <w:noWrap/>
            <w:vAlign w:val="center"/>
            <w:hideMark/>
          </w:tcPr>
          <w:p w14:paraId="5E94831A"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31.91</w:t>
            </w:r>
          </w:p>
        </w:tc>
        <w:tc>
          <w:tcPr>
            <w:tcW w:w="720" w:type="dxa"/>
            <w:noWrap/>
            <w:vAlign w:val="center"/>
            <w:hideMark/>
          </w:tcPr>
          <w:p w14:paraId="027664F9"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44</w:t>
            </w:r>
          </w:p>
        </w:tc>
        <w:tc>
          <w:tcPr>
            <w:tcW w:w="763" w:type="dxa"/>
            <w:noWrap/>
            <w:vAlign w:val="center"/>
            <w:hideMark/>
          </w:tcPr>
          <w:p w14:paraId="130C66D9"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42</w:t>
            </w:r>
          </w:p>
        </w:tc>
        <w:tc>
          <w:tcPr>
            <w:tcW w:w="922" w:type="dxa"/>
            <w:noWrap/>
            <w:vAlign w:val="center"/>
            <w:hideMark/>
          </w:tcPr>
          <w:p w14:paraId="5DD243C3"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667E71C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CBT</w:t>
            </w:r>
          </w:p>
        </w:tc>
        <w:tc>
          <w:tcPr>
            <w:tcW w:w="697" w:type="dxa"/>
            <w:noWrap/>
            <w:vAlign w:val="center"/>
            <w:hideMark/>
          </w:tcPr>
          <w:p w14:paraId="1BDF7BEB"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67A1A8AE"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gr, i.-p.</w:t>
            </w:r>
          </w:p>
        </w:tc>
        <w:tc>
          <w:tcPr>
            <w:tcW w:w="576" w:type="dxa"/>
            <w:noWrap/>
            <w:vAlign w:val="center"/>
            <w:hideMark/>
          </w:tcPr>
          <w:p w14:paraId="3FD111E6"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6</w:t>
            </w:r>
          </w:p>
        </w:tc>
        <w:tc>
          <w:tcPr>
            <w:tcW w:w="1080" w:type="dxa"/>
            <w:noWrap/>
            <w:vAlign w:val="center"/>
            <w:hideMark/>
          </w:tcPr>
          <w:p w14:paraId="52A8739A"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WLC</w:t>
            </w:r>
          </w:p>
        </w:tc>
        <w:tc>
          <w:tcPr>
            <w:tcW w:w="749" w:type="dxa"/>
            <w:vAlign w:val="center"/>
          </w:tcPr>
          <w:p w14:paraId="2367CCFD"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602FCAEB"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24887E60"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medium</w:t>
            </w:r>
          </w:p>
        </w:tc>
      </w:tr>
      <w:tr w:rsidR="00F8095D" w:rsidRPr="00D45CB4" w14:paraId="36EFEA77" w14:textId="77777777" w:rsidTr="006B32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744B81FA"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20</w:t>
            </w:r>
          </w:p>
        </w:tc>
        <w:tc>
          <w:tcPr>
            <w:tcW w:w="1731" w:type="dxa"/>
            <w:noWrap/>
            <w:vAlign w:val="center"/>
            <w:hideMark/>
          </w:tcPr>
          <w:p w14:paraId="0FC659DF"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Hanssen et al., 2023</w:t>
            </w:r>
          </w:p>
        </w:tc>
        <w:tc>
          <w:tcPr>
            <w:tcW w:w="1269" w:type="dxa"/>
            <w:noWrap/>
            <w:vAlign w:val="center"/>
            <w:hideMark/>
          </w:tcPr>
          <w:p w14:paraId="477271D7"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BP-I, BP-II</w:t>
            </w:r>
          </w:p>
        </w:tc>
        <w:tc>
          <w:tcPr>
            <w:tcW w:w="720" w:type="dxa"/>
            <w:noWrap/>
            <w:vAlign w:val="center"/>
            <w:hideMark/>
          </w:tcPr>
          <w:p w14:paraId="0C8616EE"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60.42</w:t>
            </w:r>
          </w:p>
        </w:tc>
        <w:tc>
          <w:tcPr>
            <w:tcW w:w="631" w:type="dxa"/>
            <w:noWrap/>
            <w:vAlign w:val="center"/>
            <w:hideMark/>
          </w:tcPr>
          <w:p w14:paraId="0F2A696D"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46.60</w:t>
            </w:r>
          </w:p>
        </w:tc>
        <w:tc>
          <w:tcPr>
            <w:tcW w:w="720" w:type="dxa"/>
            <w:noWrap/>
            <w:vAlign w:val="center"/>
            <w:hideMark/>
          </w:tcPr>
          <w:p w14:paraId="691B4094"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72</w:t>
            </w:r>
          </w:p>
        </w:tc>
        <w:tc>
          <w:tcPr>
            <w:tcW w:w="763" w:type="dxa"/>
            <w:noWrap/>
            <w:vAlign w:val="center"/>
            <w:hideMark/>
          </w:tcPr>
          <w:p w14:paraId="558960A1"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72</w:t>
            </w:r>
          </w:p>
        </w:tc>
        <w:tc>
          <w:tcPr>
            <w:tcW w:w="922" w:type="dxa"/>
            <w:noWrap/>
            <w:vAlign w:val="center"/>
            <w:hideMark/>
          </w:tcPr>
          <w:p w14:paraId="124CEBC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rumination</w:t>
            </w:r>
          </w:p>
        </w:tc>
        <w:tc>
          <w:tcPr>
            <w:tcW w:w="1037" w:type="dxa"/>
            <w:noWrap/>
            <w:vAlign w:val="center"/>
            <w:hideMark/>
          </w:tcPr>
          <w:p w14:paraId="2BFE5C0E"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MBCT</w:t>
            </w:r>
          </w:p>
        </w:tc>
        <w:tc>
          <w:tcPr>
            <w:tcW w:w="697" w:type="dxa"/>
            <w:noWrap/>
            <w:vAlign w:val="center"/>
            <w:hideMark/>
          </w:tcPr>
          <w:p w14:paraId="581E5D5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1FF01E7D"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gr, i.-p.</w:t>
            </w:r>
          </w:p>
        </w:tc>
        <w:tc>
          <w:tcPr>
            <w:tcW w:w="576" w:type="dxa"/>
            <w:noWrap/>
            <w:vAlign w:val="center"/>
            <w:hideMark/>
          </w:tcPr>
          <w:p w14:paraId="59CE5E40"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8</w:t>
            </w:r>
          </w:p>
        </w:tc>
        <w:tc>
          <w:tcPr>
            <w:tcW w:w="1080" w:type="dxa"/>
            <w:noWrap/>
            <w:vAlign w:val="center"/>
            <w:hideMark/>
          </w:tcPr>
          <w:p w14:paraId="5D02A9F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TAU</w:t>
            </w:r>
          </w:p>
        </w:tc>
        <w:tc>
          <w:tcPr>
            <w:tcW w:w="749" w:type="dxa"/>
            <w:vAlign w:val="center"/>
          </w:tcPr>
          <w:p w14:paraId="4A3F7E70"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active</w:t>
            </w:r>
          </w:p>
        </w:tc>
        <w:tc>
          <w:tcPr>
            <w:tcW w:w="684" w:type="dxa"/>
            <w:noWrap/>
            <w:vAlign w:val="center"/>
            <w:hideMark/>
          </w:tcPr>
          <w:p w14:paraId="00E26562"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08581A26"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low</w:t>
            </w:r>
          </w:p>
        </w:tc>
      </w:tr>
      <w:tr w:rsidR="00F8095D" w:rsidRPr="00D45CB4" w14:paraId="18A2DBF6" w14:textId="77777777" w:rsidTr="006B321E">
        <w:trPr>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2D02A139"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21.1</w:t>
            </w:r>
          </w:p>
        </w:tc>
        <w:tc>
          <w:tcPr>
            <w:tcW w:w="1731" w:type="dxa"/>
            <w:noWrap/>
            <w:vAlign w:val="center"/>
            <w:hideMark/>
          </w:tcPr>
          <w:p w14:paraId="58EFDC86"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Hoyer et al., 2009</w:t>
            </w:r>
          </w:p>
        </w:tc>
        <w:tc>
          <w:tcPr>
            <w:tcW w:w="1269" w:type="dxa"/>
            <w:noWrap/>
            <w:vAlign w:val="center"/>
            <w:hideMark/>
          </w:tcPr>
          <w:p w14:paraId="04EBF233"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GAD</w:t>
            </w:r>
          </w:p>
        </w:tc>
        <w:tc>
          <w:tcPr>
            <w:tcW w:w="720" w:type="dxa"/>
            <w:noWrap/>
            <w:vAlign w:val="center"/>
            <w:hideMark/>
          </w:tcPr>
          <w:p w14:paraId="6AB7491E"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71.00</w:t>
            </w:r>
          </w:p>
        </w:tc>
        <w:tc>
          <w:tcPr>
            <w:tcW w:w="631" w:type="dxa"/>
            <w:noWrap/>
            <w:vAlign w:val="center"/>
            <w:hideMark/>
          </w:tcPr>
          <w:p w14:paraId="147D05C1"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45.40</w:t>
            </w:r>
          </w:p>
        </w:tc>
        <w:tc>
          <w:tcPr>
            <w:tcW w:w="720" w:type="dxa"/>
            <w:noWrap/>
            <w:vAlign w:val="center"/>
            <w:hideMark/>
          </w:tcPr>
          <w:p w14:paraId="1B526846"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27</w:t>
            </w:r>
          </w:p>
        </w:tc>
        <w:tc>
          <w:tcPr>
            <w:tcW w:w="763" w:type="dxa"/>
            <w:noWrap/>
            <w:vAlign w:val="center"/>
            <w:hideMark/>
          </w:tcPr>
          <w:p w14:paraId="437710E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29</w:t>
            </w:r>
          </w:p>
        </w:tc>
        <w:tc>
          <w:tcPr>
            <w:tcW w:w="922" w:type="dxa"/>
            <w:noWrap/>
            <w:vAlign w:val="center"/>
            <w:hideMark/>
          </w:tcPr>
          <w:p w14:paraId="49CF849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391DA00B"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Worry Exposure</w:t>
            </w:r>
          </w:p>
        </w:tc>
        <w:tc>
          <w:tcPr>
            <w:tcW w:w="697" w:type="dxa"/>
            <w:noWrap/>
            <w:vAlign w:val="center"/>
            <w:hideMark/>
          </w:tcPr>
          <w:p w14:paraId="40919904"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spec</w:t>
            </w:r>
          </w:p>
        </w:tc>
        <w:tc>
          <w:tcPr>
            <w:tcW w:w="1094" w:type="dxa"/>
            <w:noWrap/>
            <w:vAlign w:val="center"/>
            <w:hideMark/>
          </w:tcPr>
          <w:p w14:paraId="2CA8122F"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ind, i.-p.</w:t>
            </w:r>
          </w:p>
        </w:tc>
        <w:tc>
          <w:tcPr>
            <w:tcW w:w="576" w:type="dxa"/>
            <w:noWrap/>
            <w:vAlign w:val="center"/>
            <w:hideMark/>
          </w:tcPr>
          <w:p w14:paraId="46CE65D9"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15</w:t>
            </w:r>
          </w:p>
        </w:tc>
        <w:tc>
          <w:tcPr>
            <w:tcW w:w="1080" w:type="dxa"/>
            <w:noWrap/>
            <w:vAlign w:val="center"/>
            <w:hideMark/>
          </w:tcPr>
          <w:p w14:paraId="77260853"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WLC</w:t>
            </w:r>
          </w:p>
        </w:tc>
        <w:tc>
          <w:tcPr>
            <w:tcW w:w="749" w:type="dxa"/>
            <w:vAlign w:val="center"/>
          </w:tcPr>
          <w:p w14:paraId="091A57D5"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52A84DA3"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+?o++</w:t>
            </w:r>
          </w:p>
        </w:tc>
        <w:tc>
          <w:tcPr>
            <w:tcW w:w="786" w:type="dxa"/>
            <w:noWrap/>
            <w:vAlign w:val="center"/>
            <w:hideMark/>
          </w:tcPr>
          <w:p w14:paraId="1DB7361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high</w:t>
            </w:r>
          </w:p>
        </w:tc>
      </w:tr>
      <w:tr w:rsidR="00F8095D" w:rsidRPr="00D45CB4" w14:paraId="5A525F25" w14:textId="77777777" w:rsidTr="006B32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3ADD2A69"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21.2</w:t>
            </w:r>
          </w:p>
        </w:tc>
        <w:tc>
          <w:tcPr>
            <w:tcW w:w="1731" w:type="dxa"/>
            <w:noWrap/>
            <w:vAlign w:val="center"/>
            <w:hideMark/>
          </w:tcPr>
          <w:p w14:paraId="51B0C0E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p>
        </w:tc>
        <w:tc>
          <w:tcPr>
            <w:tcW w:w="1269" w:type="dxa"/>
            <w:noWrap/>
            <w:vAlign w:val="center"/>
            <w:hideMark/>
          </w:tcPr>
          <w:p w14:paraId="04E5580E"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720" w:type="dxa"/>
            <w:noWrap/>
            <w:vAlign w:val="center"/>
            <w:hideMark/>
          </w:tcPr>
          <w:p w14:paraId="6D6FC76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631" w:type="dxa"/>
            <w:noWrap/>
            <w:vAlign w:val="center"/>
            <w:hideMark/>
          </w:tcPr>
          <w:p w14:paraId="7441D511"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720" w:type="dxa"/>
            <w:noWrap/>
            <w:vAlign w:val="center"/>
            <w:hideMark/>
          </w:tcPr>
          <w:p w14:paraId="1C97E9C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28</w:t>
            </w:r>
          </w:p>
        </w:tc>
        <w:tc>
          <w:tcPr>
            <w:tcW w:w="763" w:type="dxa"/>
            <w:noWrap/>
            <w:vAlign w:val="center"/>
            <w:hideMark/>
          </w:tcPr>
          <w:p w14:paraId="0AF07A32"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p>
        </w:tc>
        <w:tc>
          <w:tcPr>
            <w:tcW w:w="922" w:type="dxa"/>
            <w:noWrap/>
            <w:vAlign w:val="center"/>
            <w:hideMark/>
          </w:tcPr>
          <w:p w14:paraId="468C9027"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1037" w:type="dxa"/>
            <w:noWrap/>
            <w:vAlign w:val="center"/>
            <w:hideMark/>
          </w:tcPr>
          <w:p w14:paraId="198306A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AR</w:t>
            </w:r>
          </w:p>
        </w:tc>
        <w:tc>
          <w:tcPr>
            <w:tcW w:w="697" w:type="dxa"/>
            <w:noWrap/>
            <w:vAlign w:val="center"/>
            <w:hideMark/>
          </w:tcPr>
          <w:p w14:paraId="52A31061"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54B83FA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ind, i.-p.</w:t>
            </w:r>
          </w:p>
        </w:tc>
        <w:tc>
          <w:tcPr>
            <w:tcW w:w="576" w:type="dxa"/>
            <w:noWrap/>
            <w:vAlign w:val="center"/>
            <w:hideMark/>
          </w:tcPr>
          <w:p w14:paraId="3B6F4236"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15</w:t>
            </w:r>
          </w:p>
        </w:tc>
        <w:tc>
          <w:tcPr>
            <w:tcW w:w="1080" w:type="dxa"/>
            <w:noWrap/>
            <w:vAlign w:val="center"/>
            <w:hideMark/>
          </w:tcPr>
          <w:p w14:paraId="364BE936"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p>
        </w:tc>
        <w:tc>
          <w:tcPr>
            <w:tcW w:w="749" w:type="dxa"/>
            <w:vAlign w:val="center"/>
          </w:tcPr>
          <w:p w14:paraId="193E7D0F"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684" w:type="dxa"/>
            <w:noWrap/>
            <w:vAlign w:val="center"/>
            <w:hideMark/>
          </w:tcPr>
          <w:p w14:paraId="0D506405"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86" w:type="dxa"/>
            <w:noWrap/>
            <w:vAlign w:val="center"/>
            <w:hideMark/>
          </w:tcPr>
          <w:p w14:paraId="6019D6CD"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r>
      <w:tr w:rsidR="00F8095D" w:rsidRPr="00D45CB4" w14:paraId="3072CE1A" w14:textId="77777777" w:rsidTr="006B321E">
        <w:trPr>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25190521"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22.1</w:t>
            </w:r>
          </w:p>
        </w:tc>
        <w:tc>
          <w:tcPr>
            <w:tcW w:w="1731" w:type="dxa"/>
            <w:noWrap/>
            <w:vAlign w:val="center"/>
            <w:hideMark/>
          </w:tcPr>
          <w:p w14:paraId="4BE6920A"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Hyett et al., 2018</w:t>
            </w:r>
          </w:p>
        </w:tc>
        <w:tc>
          <w:tcPr>
            <w:tcW w:w="1269" w:type="dxa"/>
            <w:noWrap/>
            <w:vAlign w:val="center"/>
            <w:hideMark/>
          </w:tcPr>
          <w:p w14:paraId="677D554F"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SAD</w:t>
            </w:r>
          </w:p>
        </w:tc>
        <w:tc>
          <w:tcPr>
            <w:tcW w:w="720" w:type="dxa"/>
            <w:noWrap/>
            <w:vAlign w:val="center"/>
            <w:hideMark/>
          </w:tcPr>
          <w:p w14:paraId="4E3EA31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67.24</w:t>
            </w:r>
          </w:p>
        </w:tc>
        <w:tc>
          <w:tcPr>
            <w:tcW w:w="631" w:type="dxa"/>
            <w:noWrap/>
            <w:vAlign w:val="center"/>
            <w:hideMark/>
          </w:tcPr>
          <w:p w14:paraId="5402CE8B"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35.22</w:t>
            </w:r>
          </w:p>
        </w:tc>
        <w:tc>
          <w:tcPr>
            <w:tcW w:w="720" w:type="dxa"/>
            <w:noWrap/>
            <w:vAlign w:val="center"/>
            <w:hideMark/>
          </w:tcPr>
          <w:p w14:paraId="0ABA7EA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14</w:t>
            </w:r>
          </w:p>
        </w:tc>
        <w:tc>
          <w:tcPr>
            <w:tcW w:w="763" w:type="dxa"/>
            <w:noWrap/>
            <w:vAlign w:val="center"/>
            <w:hideMark/>
          </w:tcPr>
          <w:p w14:paraId="2F9932BE"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18</w:t>
            </w:r>
          </w:p>
        </w:tc>
        <w:tc>
          <w:tcPr>
            <w:tcW w:w="922" w:type="dxa"/>
            <w:noWrap/>
            <w:vAlign w:val="center"/>
            <w:hideMark/>
          </w:tcPr>
          <w:p w14:paraId="233C82B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RNT</w:t>
            </w:r>
          </w:p>
        </w:tc>
        <w:tc>
          <w:tcPr>
            <w:tcW w:w="1037" w:type="dxa"/>
            <w:noWrap/>
            <w:vAlign w:val="center"/>
            <w:hideMark/>
          </w:tcPr>
          <w:p w14:paraId="636F31DE"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CBT-imagery rescripting</w:t>
            </w:r>
          </w:p>
        </w:tc>
        <w:tc>
          <w:tcPr>
            <w:tcW w:w="697" w:type="dxa"/>
            <w:noWrap/>
            <w:vAlign w:val="center"/>
            <w:hideMark/>
          </w:tcPr>
          <w:p w14:paraId="3BD902DE"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0F4FC3BC"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gr, i.-p.</w:t>
            </w:r>
          </w:p>
        </w:tc>
        <w:tc>
          <w:tcPr>
            <w:tcW w:w="576" w:type="dxa"/>
            <w:noWrap/>
            <w:vAlign w:val="center"/>
            <w:hideMark/>
          </w:tcPr>
          <w:p w14:paraId="0214C8E9"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w:t>
            </w:r>
          </w:p>
        </w:tc>
        <w:tc>
          <w:tcPr>
            <w:tcW w:w="1080" w:type="dxa"/>
            <w:noWrap/>
            <w:vAlign w:val="center"/>
            <w:hideMark/>
          </w:tcPr>
          <w:p w14:paraId="726C3C4D"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WLC</w:t>
            </w:r>
          </w:p>
        </w:tc>
        <w:tc>
          <w:tcPr>
            <w:tcW w:w="749" w:type="dxa"/>
            <w:vAlign w:val="center"/>
          </w:tcPr>
          <w:p w14:paraId="3D5255E1"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1AB5658B"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3C053FF1"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low</w:t>
            </w:r>
          </w:p>
        </w:tc>
      </w:tr>
      <w:tr w:rsidR="00F8095D" w:rsidRPr="00D45CB4" w14:paraId="0957CCB8" w14:textId="77777777" w:rsidTr="006B32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3F599536"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22.2</w:t>
            </w:r>
          </w:p>
        </w:tc>
        <w:tc>
          <w:tcPr>
            <w:tcW w:w="1731" w:type="dxa"/>
            <w:noWrap/>
            <w:vAlign w:val="center"/>
            <w:hideMark/>
          </w:tcPr>
          <w:p w14:paraId="6ABE0352"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p>
        </w:tc>
        <w:tc>
          <w:tcPr>
            <w:tcW w:w="1269" w:type="dxa"/>
            <w:noWrap/>
            <w:vAlign w:val="center"/>
            <w:hideMark/>
          </w:tcPr>
          <w:p w14:paraId="16923E4D"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720" w:type="dxa"/>
            <w:noWrap/>
            <w:vAlign w:val="center"/>
            <w:hideMark/>
          </w:tcPr>
          <w:p w14:paraId="036CDDD4"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631" w:type="dxa"/>
            <w:noWrap/>
            <w:vAlign w:val="center"/>
            <w:hideMark/>
          </w:tcPr>
          <w:p w14:paraId="0286B6EE"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720" w:type="dxa"/>
            <w:noWrap/>
            <w:vAlign w:val="center"/>
            <w:hideMark/>
          </w:tcPr>
          <w:p w14:paraId="052482AF"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15</w:t>
            </w:r>
          </w:p>
        </w:tc>
        <w:tc>
          <w:tcPr>
            <w:tcW w:w="763" w:type="dxa"/>
            <w:noWrap/>
            <w:vAlign w:val="center"/>
            <w:hideMark/>
          </w:tcPr>
          <w:p w14:paraId="64B62C3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p>
        </w:tc>
        <w:tc>
          <w:tcPr>
            <w:tcW w:w="922" w:type="dxa"/>
            <w:noWrap/>
            <w:vAlign w:val="center"/>
            <w:hideMark/>
          </w:tcPr>
          <w:p w14:paraId="3BCB5D77"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1037" w:type="dxa"/>
            <w:noWrap/>
            <w:vAlign w:val="center"/>
            <w:hideMark/>
          </w:tcPr>
          <w:p w14:paraId="03CD75D3"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CBT-verbal restructuring</w:t>
            </w:r>
          </w:p>
        </w:tc>
        <w:tc>
          <w:tcPr>
            <w:tcW w:w="697" w:type="dxa"/>
            <w:noWrap/>
            <w:vAlign w:val="center"/>
            <w:hideMark/>
          </w:tcPr>
          <w:p w14:paraId="7C2DE016"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06FAB44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gr, i.-p.</w:t>
            </w:r>
          </w:p>
        </w:tc>
        <w:tc>
          <w:tcPr>
            <w:tcW w:w="576" w:type="dxa"/>
            <w:noWrap/>
            <w:vAlign w:val="center"/>
            <w:hideMark/>
          </w:tcPr>
          <w:p w14:paraId="5AE33DF1"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1</w:t>
            </w:r>
          </w:p>
        </w:tc>
        <w:tc>
          <w:tcPr>
            <w:tcW w:w="1080" w:type="dxa"/>
            <w:noWrap/>
            <w:vAlign w:val="center"/>
            <w:hideMark/>
          </w:tcPr>
          <w:p w14:paraId="5ACC3631"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p>
        </w:tc>
        <w:tc>
          <w:tcPr>
            <w:tcW w:w="749" w:type="dxa"/>
            <w:vAlign w:val="center"/>
          </w:tcPr>
          <w:p w14:paraId="6747E85D"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684" w:type="dxa"/>
            <w:noWrap/>
            <w:vAlign w:val="center"/>
            <w:hideMark/>
          </w:tcPr>
          <w:p w14:paraId="4CAA2D92"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86" w:type="dxa"/>
            <w:noWrap/>
            <w:vAlign w:val="center"/>
            <w:hideMark/>
          </w:tcPr>
          <w:p w14:paraId="37A3288F"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r>
      <w:tr w:rsidR="00F8095D" w:rsidRPr="00D45CB4" w14:paraId="61B33F2E" w14:textId="77777777" w:rsidTr="006B321E">
        <w:trPr>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08556F5C"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23.1</w:t>
            </w:r>
          </w:p>
        </w:tc>
        <w:tc>
          <w:tcPr>
            <w:tcW w:w="1731" w:type="dxa"/>
            <w:noWrap/>
            <w:vAlign w:val="center"/>
            <w:hideMark/>
          </w:tcPr>
          <w:p w14:paraId="509DDEF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Jacoby et al., 2023</w:t>
            </w:r>
          </w:p>
        </w:tc>
        <w:tc>
          <w:tcPr>
            <w:tcW w:w="1269" w:type="dxa"/>
            <w:noWrap/>
            <w:vAlign w:val="center"/>
            <w:hideMark/>
          </w:tcPr>
          <w:p w14:paraId="537F423B"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GAD</w:t>
            </w:r>
          </w:p>
        </w:tc>
        <w:tc>
          <w:tcPr>
            <w:tcW w:w="720" w:type="dxa"/>
            <w:noWrap/>
            <w:vAlign w:val="center"/>
            <w:hideMark/>
          </w:tcPr>
          <w:p w14:paraId="541CBA7B"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70.48</w:t>
            </w:r>
          </w:p>
        </w:tc>
        <w:tc>
          <w:tcPr>
            <w:tcW w:w="631" w:type="dxa"/>
            <w:noWrap/>
            <w:vAlign w:val="center"/>
            <w:hideMark/>
          </w:tcPr>
          <w:p w14:paraId="6D2AF3D9"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33.83</w:t>
            </w:r>
          </w:p>
        </w:tc>
        <w:tc>
          <w:tcPr>
            <w:tcW w:w="720" w:type="dxa"/>
            <w:noWrap/>
            <w:vAlign w:val="center"/>
            <w:hideMark/>
          </w:tcPr>
          <w:p w14:paraId="23D9ACA4"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67</w:t>
            </w:r>
          </w:p>
        </w:tc>
        <w:tc>
          <w:tcPr>
            <w:tcW w:w="763" w:type="dxa"/>
            <w:noWrap/>
            <w:vAlign w:val="center"/>
            <w:hideMark/>
          </w:tcPr>
          <w:p w14:paraId="70C0DD20"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59</w:t>
            </w:r>
          </w:p>
        </w:tc>
        <w:tc>
          <w:tcPr>
            <w:tcW w:w="922" w:type="dxa"/>
            <w:noWrap/>
            <w:vAlign w:val="center"/>
            <w:hideMark/>
          </w:tcPr>
          <w:p w14:paraId="31F014C1"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6258FAF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CBT</w:t>
            </w:r>
          </w:p>
        </w:tc>
        <w:tc>
          <w:tcPr>
            <w:tcW w:w="697" w:type="dxa"/>
            <w:noWrap/>
            <w:vAlign w:val="center"/>
            <w:hideMark/>
          </w:tcPr>
          <w:p w14:paraId="0AA0C12E"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541FC75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gr, i.-p.</w:t>
            </w:r>
          </w:p>
        </w:tc>
        <w:tc>
          <w:tcPr>
            <w:tcW w:w="576" w:type="dxa"/>
            <w:noWrap/>
            <w:vAlign w:val="center"/>
            <w:hideMark/>
          </w:tcPr>
          <w:p w14:paraId="622E64D0"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12</w:t>
            </w:r>
          </w:p>
        </w:tc>
        <w:tc>
          <w:tcPr>
            <w:tcW w:w="1080" w:type="dxa"/>
            <w:noWrap/>
            <w:vAlign w:val="center"/>
            <w:hideMark/>
          </w:tcPr>
          <w:p w14:paraId="28DE591B"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Kundalini yoga</w:t>
            </w:r>
          </w:p>
        </w:tc>
        <w:tc>
          <w:tcPr>
            <w:tcW w:w="749" w:type="dxa"/>
            <w:vAlign w:val="center"/>
          </w:tcPr>
          <w:p w14:paraId="750D169B"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active</w:t>
            </w:r>
          </w:p>
        </w:tc>
        <w:tc>
          <w:tcPr>
            <w:tcW w:w="684" w:type="dxa"/>
            <w:noWrap/>
            <w:vAlign w:val="center"/>
            <w:hideMark/>
          </w:tcPr>
          <w:p w14:paraId="1229222F"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4F1131E0"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high</w:t>
            </w:r>
          </w:p>
        </w:tc>
      </w:tr>
      <w:tr w:rsidR="00F8095D" w:rsidRPr="00D45CB4" w14:paraId="3107D8CF" w14:textId="77777777" w:rsidTr="006B32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348BBBA0"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23.2</w:t>
            </w:r>
          </w:p>
        </w:tc>
        <w:tc>
          <w:tcPr>
            <w:tcW w:w="1731" w:type="dxa"/>
            <w:noWrap/>
            <w:vAlign w:val="center"/>
            <w:hideMark/>
          </w:tcPr>
          <w:p w14:paraId="6FA9C2E3"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p>
        </w:tc>
        <w:tc>
          <w:tcPr>
            <w:tcW w:w="1269" w:type="dxa"/>
            <w:noWrap/>
            <w:vAlign w:val="center"/>
            <w:hideMark/>
          </w:tcPr>
          <w:p w14:paraId="5EA66F8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720" w:type="dxa"/>
            <w:noWrap/>
            <w:vAlign w:val="center"/>
            <w:hideMark/>
          </w:tcPr>
          <w:p w14:paraId="321191FE"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631" w:type="dxa"/>
            <w:noWrap/>
            <w:vAlign w:val="center"/>
            <w:hideMark/>
          </w:tcPr>
          <w:p w14:paraId="671A9217"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720" w:type="dxa"/>
            <w:noWrap/>
            <w:vAlign w:val="center"/>
            <w:hideMark/>
          </w:tcPr>
          <w:p w14:paraId="01636DE0"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763" w:type="dxa"/>
            <w:noWrap/>
            <w:vAlign w:val="center"/>
            <w:hideMark/>
          </w:tcPr>
          <w:p w14:paraId="5E7AE4F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29</w:t>
            </w:r>
          </w:p>
        </w:tc>
        <w:tc>
          <w:tcPr>
            <w:tcW w:w="922" w:type="dxa"/>
            <w:noWrap/>
            <w:vAlign w:val="center"/>
            <w:hideMark/>
          </w:tcPr>
          <w:p w14:paraId="2BAED995"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p>
        </w:tc>
        <w:tc>
          <w:tcPr>
            <w:tcW w:w="1037" w:type="dxa"/>
            <w:noWrap/>
            <w:vAlign w:val="center"/>
            <w:hideMark/>
          </w:tcPr>
          <w:p w14:paraId="6DDE061D"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697" w:type="dxa"/>
            <w:noWrap/>
            <w:vAlign w:val="center"/>
            <w:hideMark/>
          </w:tcPr>
          <w:p w14:paraId="799D7055"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1094" w:type="dxa"/>
            <w:noWrap/>
            <w:vAlign w:val="center"/>
            <w:hideMark/>
          </w:tcPr>
          <w:p w14:paraId="27EB5901"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576" w:type="dxa"/>
            <w:noWrap/>
            <w:vAlign w:val="center"/>
            <w:hideMark/>
          </w:tcPr>
          <w:p w14:paraId="0AC2330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1080" w:type="dxa"/>
            <w:noWrap/>
            <w:vAlign w:val="center"/>
            <w:hideMark/>
          </w:tcPr>
          <w:p w14:paraId="572CB88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Stress education</w:t>
            </w:r>
          </w:p>
        </w:tc>
        <w:tc>
          <w:tcPr>
            <w:tcW w:w="749" w:type="dxa"/>
            <w:vAlign w:val="center"/>
          </w:tcPr>
          <w:p w14:paraId="69B0388F"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active</w:t>
            </w:r>
          </w:p>
        </w:tc>
        <w:tc>
          <w:tcPr>
            <w:tcW w:w="684" w:type="dxa"/>
            <w:noWrap/>
            <w:vAlign w:val="center"/>
            <w:hideMark/>
          </w:tcPr>
          <w:p w14:paraId="2876A928"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86" w:type="dxa"/>
            <w:vAlign w:val="center"/>
          </w:tcPr>
          <w:p w14:paraId="6B4429E3"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r>
      <w:tr w:rsidR="00F8095D" w:rsidRPr="00D45CB4" w14:paraId="3FCA84A3" w14:textId="77777777" w:rsidTr="006B321E">
        <w:trPr>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1515540B"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24</w:t>
            </w:r>
          </w:p>
        </w:tc>
        <w:tc>
          <w:tcPr>
            <w:tcW w:w="1731" w:type="dxa"/>
            <w:noWrap/>
            <w:vAlign w:val="center"/>
            <w:hideMark/>
          </w:tcPr>
          <w:p w14:paraId="6E45F17A"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Kalmbach et al., 2019</w:t>
            </w:r>
          </w:p>
        </w:tc>
        <w:tc>
          <w:tcPr>
            <w:tcW w:w="1269" w:type="dxa"/>
            <w:noWrap/>
            <w:vAlign w:val="center"/>
            <w:hideMark/>
          </w:tcPr>
          <w:p w14:paraId="0C4DBA1A"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Insomnia</w:t>
            </w:r>
          </w:p>
        </w:tc>
        <w:tc>
          <w:tcPr>
            <w:tcW w:w="720" w:type="dxa"/>
            <w:noWrap/>
            <w:vAlign w:val="center"/>
            <w:hideMark/>
          </w:tcPr>
          <w:p w14:paraId="1CE936C3"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100.00</w:t>
            </w:r>
          </w:p>
        </w:tc>
        <w:tc>
          <w:tcPr>
            <w:tcW w:w="631" w:type="dxa"/>
            <w:noWrap/>
            <w:vAlign w:val="center"/>
            <w:hideMark/>
          </w:tcPr>
          <w:p w14:paraId="39E69CF9"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56.23</w:t>
            </w:r>
          </w:p>
        </w:tc>
        <w:tc>
          <w:tcPr>
            <w:tcW w:w="720" w:type="dxa"/>
            <w:noWrap/>
            <w:vAlign w:val="center"/>
            <w:hideMark/>
          </w:tcPr>
          <w:p w14:paraId="5F20D6E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41</w:t>
            </w:r>
          </w:p>
        </w:tc>
        <w:tc>
          <w:tcPr>
            <w:tcW w:w="763" w:type="dxa"/>
            <w:noWrap/>
            <w:vAlign w:val="center"/>
            <w:hideMark/>
          </w:tcPr>
          <w:p w14:paraId="09E0F240"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41</w:t>
            </w:r>
          </w:p>
        </w:tc>
        <w:tc>
          <w:tcPr>
            <w:tcW w:w="922" w:type="dxa"/>
            <w:noWrap/>
            <w:vAlign w:val="center"/>
            <w:hideMark/>
          </w:tcPr>
          <w:p w14:paraId="15BA39AD"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24434CB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CBT</w:t>
            </w:r>
          </w:p>
        </w:tc>
        <w:tc>
          <w:tcPr>
            <w:tcW w:w="697" w:type="dxa"/>
            <w:noWrap/>
            <w:vAlign w:val="center"/>
            <w:hideMark/>
          </w:tcPr>
          <w:p w14:paraId="44E291B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42FC409E"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ind, i.-p.</w:t>
            </w:r>
          </w:p>
        </w:tc>
        <w:tc>
          <w:tcPr>
            <w:tcW w:w="576" w:type="dxa"/>
            <w:noWrap/>
            <w:vAlign w:val="center"/>
            <w:hideMark/>
          </w:tcPr>
          <w:p w14:paraId="6247B6E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6</w:t>
            </w:r>
          </w:p>
        </w:tc>
        <w:tc>
          <w:tcPr>
            <w:tcW w:w="1080" w:type="dxa"/>
            <w:noWrap/>
            <w:vAlign w:val="center"/>
            <w:hideMark/>
          </w:tcPr>
          <w:p w14:paraId="74409D06"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PE</w:t>
            </w:r>
          </w:p>
        </w:tc>
        <w:tc>
          <w:tcPr>
            <w:tcW w:w="749" w:type="dxa"/>
            <w:vAlign w:val="center"/>
          </w:tcPr>
          <w:p w14:paraId="6DD4D89A"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active</w:t>
            </w:r>
          </w:p>
        </w:tc>
        <w:tc>
          <w:tcPr>
            <w:tcW w:w="684" w:type="dxa"/>
            <w:noWrap/>
            <w:vAlign w:val="center"/>
            <w:hideMark/>
          </w:tcPr>
          <w:p w14:paraId="19867BAB"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5742FC01"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medium</w:t>
            </w:r>
          </w:p>
        </w:tc>
      </w:tr>
      <w:tr w:rsidR="00F8095D" w:rsidRPr="00D45CB4" w14:paraId="1B1D2CA7" w14:textId="77777777" w:rsidTr="006B32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574F25A0"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25.1</w:t>
            </w:r>
          </w:p>
        </w:tc>
        <w:tc>
          <w:tcPr>
            <w:tcW w:w="1731" w:type="dxa"/>
            <w:noWrap/>
            <w:vAlign w:val="center"/>
            <w:hideMark/>
          </w:tcPr>
          <w:p w14:paraId="12633EC0"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Kocovski et al., 2013</w:t>
            </w:r>
          </w:p>
        </w:tc>
        <w:tc>
          <w:tcPr>
            <w:tcW w:w="1269" w:type="dxa"/>
            <w:noWrap/>
            <w:vAlign w:val="center"/>
            <w:hideMark/>
          </w:tcPr>
          <w:p w14:paraId="046AF424"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SAD</w:t>
            </w:r>
          </w:p>
        </w:tc>
        <w:tc>
          <w:tcPr>
            <w:tcW w:w="720" w:type="dxa"/>
            <w:noWrap/>
            <w:vAlign w:val="center"/>
            <w:hideMark/>
          </w:tcPr>
          <w:p w14:paraId="1624B8E3"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57.14</w:t>
            </w:r>
          </w:p>
        </w:tc>
        <w:tc>
          <w:tcPr>
            <w:tcW w:w="631" w:type="dxa"/>
            <w:noWrap/>
            <w:vAlign w:val="center"/>
            <w:hideMark/>
          </w:tcPr>
          <w:p w14:paraId="19D58B9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34.10</w:t>
            </w:r>
          </w:p>
        </w:tc>
        <w:tc>
          <w:tcPr>
            <w:tcW w:w="720" w:type="dxa"/>
            <w:noWrap/>
            <w:vAlign w:val="center"/>
            <w:hideMark/>
          </w:tcPr>
          <w:p w14:paraId="305929B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53</w:t>
            </w:r>
          </w:p>
        </w:tc>
        <w:tc>
          <w:tcPr>
            <w:tcW w:w="763" w:type="dxa"/>
            <w:noWrap/>
            <w:vAlign w:val="center"/>
            <w:hideMark/>
          </w:tcPr>
          <w:p w14:paraId="67A28070"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31</w:t>
            </w:r>
          </w:p>
        </w:tc>
        <w:tc>
          <w:tcPr>
            <w:tcW w:w="922" w:type="dxa"/>
            <w:noWrap/>
            <w:vAlign w:val="center"/>
            <w:hideMark/>
          </w:tcPr>
          <w:p w14:paraId="6026278C"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rumination</w:t>
            </w:r>
          </w:p>
        </w:tc>
        <w:tc>
          <w:tcPr>
            <w:tcW w:w="1037" w:type="dxa"/>
            <w:noWrap/>
            <w:vAlign w:val="center"/>
            <w:hideMark/>
          </w:tcPr>
          <w:p w14:paraId="32C7FE0D"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CBT</w:t>
            </w:r>
          </w:p>
        </w:tc>
        <w:tc>
          <w:tcPr>
            <w:tcW w:w="697" w:type="dxa"/>
            <w:noWrap/>
            <w:vAlign w:val="center"/>
            <w:hideMark/>
          </w:tcPr>
          <w:p w14:paraId="3D6A0A8B"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28235DD3"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gr, i.-p.</w:t>
            </w:r>
          </w:p>
        </w:tc>
        <w:tc>
          <w:tcPr>
            <w:tcW w:w="576" w:type="dxa"/>
            <w:noWrap/>
            <w:vAlign w:val="center"/>
            <w:hideMark/>
          </w:tcPr>
          <w:p w14:paraId="6FD32DA2"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12</w:t>
            </w:r>
          </w:p>
        </w:tc>
        <w:tc>
          <w:tcPr>
            <w:tcW w:w="1080" w:type="dxa"/>
            <w:noWrap/>
            <w:vAlign w:val="center"/>
            <w:hideMark/>
          </w:tcPr>
          <w:p w14:paraId="138A92B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WLC</w:t>
            </w:r>
          </w:p>
        </w:tc>
        <w:tc>
          <w:tcPr>
            <w:tcW w:w="749" w:type="dxa"/>
            <w:vAlign w:val="center"/>
          </w:tcPr>
          <w:p w14:paraId="462B61DA"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0955CD34"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3BADF1AC"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high</w:t>
            </w:r>
          </w:p>
        </w:tc>
      </w:tr>
      <w:tr w:rsidR="00F8095D" w:rsidRPr="00D45CB4" w14:paraId="0FFB698E" w14:textId="77777777" w:rsidTr="006B321E">
        <w:trPr>
          <w:trHeight w:val="288"/>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4946BBFD"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25.2</w:t>
            </w:r>
          </w:p>
        </w:tc>
        <w:tc>
          <w:tcPr>
            <w:tcW w:w="1731" w:type="dxa"/>
            <w:noWrap/>
            <w:vAlign w:val="center"/>
            <w:hideMark/>
          </w:tcPr>
          <w:p w14:paraId="39A6B10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p>
        </w:tc>
        <w:tc>
          <w:tcPr>
            <w:tcW w:w="1269" w:type="dxa"/>
            <w:noWrap/>
            <w:vAlign w:val="center"/>
            <w:hideMark/>
          </w:tcPr>
          <w:p w14:paraId="4AE2246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720" w:type="dxa"/>
            <w:noWrap/>
            <w:vAlign w:val="center"/>
            <w:hideMark/>
          </w:tcPr>
          <w:p w14:paraId="609B2223"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631" w:type="dxa"/>
            <w:noWrap/>
            <w:vAlign w:val="center"/>
            <w:hideMark/>
          </w:tcPr>
          <w:p w14:paraId="3A7984B0"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720" w:type="dxa"/>
            <w:noWrap/>
            <w:vAlign w:val="center"/>
            <w:hideMark/>
          </w:tcPr>
          <w:p w14:paraId="62E423F6"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53</w:t>
            </w:r>
          </w:p>
        </w:tc>
        <w:tc>
          <w:tcPr>
            <w:tcW w:w="763" w:type="dxa"/>
            <w:noWrap/>
            <w:vAlign w:val="center"/>
            <w:hideMark/>
          </w:tcPr>
          <w:p w14:paraId="65446DE8"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p>
        </w:tc>
        <w:tc>
          <w:tcPr>
            <w:tcW w:w="922" w:type="dxa"/>
            <w:noWrap/>
            <w:vAlign w:val="center"/>
            <w:hideMark/>
          </w:tcPr>
          <w:p w14:paraId="0D39397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1037" w:type="dxa"/>
            <w:noWrap/>
            <w:vAlign w:val="center"/>
            <w:hideMark/>
          </w:tcPr>
          <w:p w14:paraId="675D8DEC"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MBCT</w:t>
            </w:r>
          </w:p>
        </w:tc>
        <w:tc>
          <w:tcPr>
            <w:tcW w:w="697" w:type="dxa"/>
            <w:noWrap/>
            <w:vAlign w:val="center"/>
            <w:hideMark/>
          </w:tcPr>
          <w:p w14:paraId="0B1A89D4"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14263D7F"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gr, i.-p.</w:t>
            </w:r>
          </w:p>
        </w:tc>
        <w:tc>
          <w:tcPr>
            <w:tcW w:w="576" w:type="dxa"/>
            <w:noWrap/>
            <w:vAlign w:val="center"/>
            <w:hideMark/>
          </w:tcPr>
          <w:p w14:paraId="1A11DC73"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12</w:t>
            </w:r>
          </w:p>
        </w:tc>
        <w:tc>
          <w:tcPr>
            <w:tcW w:w="1080" w:type="dxa"/>
            <w:noWrap/>
            <w:vAlign w:val="center"/>
            <w:hideMark/>
          </w:tcPr>
          <w:p w14:paraId="3A42DACE"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p>
        </w:tc>
        <w:tc>
          <w:tcPr>
            <w:tcW w:w="749" w:type="dxa"/>
            <w:vAlign w:val="center"/>
          </w:tcPr>
          <w:p w14:paraId="31D0DF10"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684" w:type="dxa"/>
            <w:noWrap/>
            <w:vAlign w:val="center"/>
            <w:hideMark/>
          </w:tcPr>
          <w:p w14:paraId="350A3491"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86" w:type="dxa"/>
            <w:noWrap/>
            <w:vAlign w:val="center"/>
            <w:hideMark/>
          </w:tcPr>
          <w:p w14:paraId="638F6AA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r>
      <w:tr w:rsidR="00F8095D" w:rsidRPr="00D45CB4" w14:paraId="704BEBD4" w14:textId="77777777" w:rsidTr="006B321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3B0D1ABE"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26</w:t>
            </w:r>
          </w:p>
        </w:tc>
        <w:tc>
          <w:tcPr>
            <w:tcW w:w="1731" w:type="dxa"/>
            <w:noWrap/>
            <w:vAlign w:val="center"/>
            <w:hideMark/>
          </w:tcPr>
          <w:p w14:paraId="00C7C0AC"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Koszycki et al., 2010</w:t>
            </w:r>
          </w:p>
        </w:tc>
        <w:tc>
          <w:tcPr>
            <w:tcW w:w="1269" w:type="dxa"/>
            <w:noWrap/>
            <w:vAlign w:val="center"/>
            <w:hideMark/>
          </w:tcPr>
          <w:p w14:paraId="0A372B34"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GAD</w:t>
            </w:r>
          </w:p>
        </w:tc>
        <w:tc>
          <w:tcPr>
            <w:tcW w:w="720" w:type="dxa"/>
            <w:noWrap/>
            <w:vAlign w:val="center"/>
            <w:hideMark/>
          </w:tcPr>
          <w:p w14:paraId="01811D86"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59.09</w:t>
            </w:r>
          </w:p>
        </w:tc>
        <w:tc>
          <w:tcPr>
            <w:tcW w:w="631" w:type="dxa"/>
            <w:noWrap/>
            <w:vAlign w:val="center"/>
            <w:hideMark/>
          </w:tcPr>
          <w:p w14:paraId="51563C10"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43.45</w:t>
            </w:r>
          </w:p>
        </w:tc>
        <w:tc>
          <w:tcPr>
            <w:tcW w:w="720" w:type="dxa"/>
            <w:noWrap/>
            <w:vAlign w:val="center"/>
            <w:hideMark/>
          </w:tcPr>
          <w:p w14:paraId="744B119B"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11</w:t>
            </w:r>
          </w:p>
        </w:tc>
        <w:tc>
          <w:tcPr>
            <w:tcW w:w="763" w:type="dxa"/>
            <w:noWrap/>
            <w:vAlign w:val="center"/>
            <w:hideMark/>
          </w:tcPr>
          <w:p w14:paraId="7EEF688E"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11</w:t>
            </w:r>
          </w:p>
        </w:tc>
        <w:tc>
          <w:tcPr>
            <w:tcW w:w="922" w:type="dxa"/>
            <w:noWrap/>
            <w:vAlign w:val="center"/>
            <w:hideMark/>
          </w:tcPr>
          <w:p w14:paraId="418B1C87"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10D23426"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Mastery of Your Anxiety and Worry</w:t>
            </w:r>
          </w:p>
        </w:tc>
        <w:tc>
          <w:tcPr>
            <w:tcW w:w="697" w:type="dxa"/>
            <w:noWrap/>
            <w:vAlign w:val="center"/>
            <w:hideMark/>
          </w:tcPr>
          <w:p w14:paraId="6B2745C2"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spec</w:t>
            </w:r>
          </w:p>
        </w:tc>
        <w:tc>
          <w:tcPr>
            <w:tcW w:w="1094" w:type="dxa"/>
            <w:noWrap/>
            <w:vAlign w:val="center"/>
            <w:hideMark/>
          </w:tcPr>
          <w:p w14:paraId="5CAC06E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ind, i.-p.</w:t>
            </w:r>
          </w:p>
        </w:tc>
        <w:tc>
          <w:tcPr>
            <w:tcW w:w="576" w:type="dxa"/>
            <w:noWrap/>
            <w:vAlign w:val="center"/>
            <w:hideMark/>
          </w:tcPr>
          <w:p w14:paraId="4E91CD9E"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12</w:t>
            </w:r>
          </w:p>
        </w:tc>
        <w:tc>
          <w:tcPr>
            <w:tcW w:w="1080" w:type="dxa"/>
            <w:noWrap/>
            <w:vAlign w:val="center"/>
            <w:hideMark/>
          </w:tcPr>
          <w:p w14:paraId="4A8A105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Spiritually-based Intervention</w:t>
            </w:r>
          </w:p>
        </w:tc>
        <w:tc>
          <w:tcPr>
            <w:tcW w:w="749" w:type="dxa"/>
            <w:vAlign w:val="center"/>
          </w:tcPr>
          <w:p w14:paraId="2DA1FA07"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active</w:t>
            </w:r>
          </w:p>
        </w:tc>
        <w:tc>
          <w:tcPr>
            <w:tcW w:w="684" w:type="dxa"/>
            <w:noWrap/>
            <w:vAlign w:val="center"/>
            <w:hideMark/>
          </w:tcPr>
          <w:p w14:paraId="3A01B443"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6E6D4062"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high</w:t>
            </w:r>
          </w:p>
        </w:tc>
      </w:tr>
      <w:tr w:rsidR="00F8095D" w:rsidRPr="00D45CB4" w14:paraId="47A70E74" w14:textId="77777777" w:rsidTr="006B321E">
        <w:trPr>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2BA32A83"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27</w:t>
            </w:r>
          </w:p>
        </w:tc>
        <w:tc>
          <w:tcPr>
            <w:tcW w:w="1731" w:type="dxa"/>
            <w:noWrap/>
            <w:vAlign w:val="center"/>
            <w:hideMark/>
          </w:tcPr>
          <w:p w14:paraId="2DA2BF3B"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Ladouceur et al., 2000</w:t>
            </w:r>
          </w:p>
        </w:tc>
        <w:tc>
          <w:tcPr>
            <w:tcW w:w="1269" w:type="dxa"/>
            <w:noWrap/>
            <w:vAlign w:val="center"/>
            <w:hideMark/>
          </w:tcPr>
          <w:p w14:paraId="578EF38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GAD</w:t>
            </w:r>
          </w:p>
        </w:tc>
        <w:tc>
          <w:tcPr>
            <w:tcW w:w="720" w:type="dxa"/>
            <w:noWrap/>
            <w:vAlign w:val="center"/>
            <w:hideMark/>
          </w:tcPr>
          <w:p w14:paraId="22216B9E"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76.92</w:t>
            </w:r>
          </w:p>
        </w:tc>
        <w:tc>
          <w:tcPr>
            <w:tcW w:w="631" w:type="dxa"/>
            <w:noWrap/>
            <w:vAlign w:val="center"/>
            <w:hideMark/>
          </w:tcPr>
          <w:p w14:paraId="772A639D"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39.70</w:t>
            </w:r>
          </w:p>
        </w:tc>
        <w:tc>
          <w:tcPr>
            <w:tcW w:w="720" w:type="dxa"/>
            <w:noWrap/>
            <w:vAlign w:val="center"/>
            <w:hideMark/>
          </w:tcPr>
          <w:p w14:paraId="303C685C"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14</w:t>
            </w:r>
          </w:p>
        </w:tc>
        <w:tc>
          <w:tcPr>
            <w:tcW w:w="763" w:type="dxa"/>
            <w:noWrap/>
            <w:vAlign w:val="center"/>
            <w:hideMark/>
          </w:tcPr>
          <w:p w14:paraId="187C61AC"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12</w:t>
            </w:r>
          </w:p>
        </w:tc>
        <w:tc>
          <w:tcPr>
            <w:tcW w:w="922" w:type="dxa"/>
            <w:noWrap/>
            <w:vAlign w:val="center"/>
            <w:hideMark/>
          </w:tcPr>
          <w:p w14:paraId="76BBCB90"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1D7D497A" w14:textId="1982B13B"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CBT</w:t>
            </w:r>
            <w:r w:rsidR="00B96E8C">
              <w:rPr>
                <w:color w:val="000000"/>
                <w:kern w:val="0"/>
                <w:sz w:val="16"/>
                <w:szCs w:val="16"/>
              </w:rPr>
              <w:t>-IU</w:t>
            </w:r>
          </w:p>
        </w:tc>
        <w:tc>
          <w:tcPr>
            <w:tcW w:w="697" w:type="dxa"/>
            <w:noWrap/>
            <w:vAlign w:val="center"/>
            <w:hideMark/>
          </w:tcPr>
          <w:p w14:paraId="6A78920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spec</w:t>
            </w:r>
          </w:p>
        </w:tc>
        <w:tc>
          <w:tcPr>
            <w:tcW w:w="1094" w:type="dxa"/>
            <w:noWrap/>
            <w:vAlign w:val="center"/>
            <w:hideMark/>
          </w:tcPr>
          <w:p w14:paraId="2E87060A"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ind, i.-p.</w:t>
            </w:r>
          </w:p>
        </w:tc>
        <w:tc>
          <w:tcPr>
            <w:tcW w:w="576" w:type="dxa"/>
            <w:noWrap/>
            <w:vAlign w:val="center"/>
            <w:hideMark/>
          </w:tcPr>
          <w:p w14:paraId="0CFF6BE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15.8</w:t>
            </w:r>
          </w:p>
        </w:tc>
        <w:tc>
          <w:tcPr>
            <w:tcW w:w="1080" w:type="dxa"/>
            <w:noWrap/>
            <w:vAlign w:val="center"/>
            <w:hideMark/>
          </w:tcPr>
          <w:p w14:paraId="3DDB2E39"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WLC</w:t>
            </w:r>
          </w:p>
        </w:tc>
        <w:tc>
          <w:tcPr>
            <w:tcW w:w="749" w:type="dxa"/>
            <w:vAlign w:val="center"/>
          </w:tcPr>
          <w:p w14:paraId="1C89081E"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50091E58"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08DDFFB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high</w:t>
            </w:r>
          </w:p>
        </w:tc>
      </w:tr>
      <w:tr w:rsidR="00F8095D" w:rsidRPr="00D45CB4" w14:paraId="1B44FEE2" w14:textId="77777777" w:rsidTr="006B32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6EE25A38"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28.1</w:t>
            </w:r>
          </w:p>
        </w:tc>
        <w:tc>
          <w:tcPr>
            <w:tcW w:w="1731" w:type="dxa"/>
            <w:noWrap/>
            <w:vAlign w:val="center"/>
            <w:hideMark/>
          </w:tcPr>
          <w:p w14:paraId="7CAC0DA0"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Leterme et al., 2020</w:t>
            </w:r>
          </w:p>
        </w:tc>
        <w:tc>
          <w:tcPr>
            <w:tcW w:w="1269" w:type="dxa"/>
            <w:noWrap/>
            <w:vAlign w:val="center"/>
            <w:hideMark/>
          </w:tcPr>
          <w:p w14:paraId="6F93B9EB"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ADA</w:t>
            </w:r>
          </w:p>
        </w:tc>
        <w:tc>
          <w:tcPr>
            <w:tcW w:w="720" w:type="dxa"/>
            <w:noWrap/>
            <w:vAlign w:val="center"/>
            <w:hideMark/>
          </w:tcPr>
          <w:p w14:paraId="115063E3"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64.56</w:t>
            </w:r>
          </w:p>
        </w:tc>
        <w:tc>
          <w:tcPr>
            <w:tcW w:w="631" w:type="dxa"/>
            <w:noWrap/>
            <w:vAlign w:val="center"/>
            <w:hideMark/>
          </w:tcPr>
          <w:p w14:paraId="5414A426"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38.21</w:t>
            </w:r>
          </w:p>
        </w:tc>
        <w:tc>
          <w:tcPr>
            <w:tcW w:w="720" w:type="dxa"/>
            <w:noWrap/>
            <w:vAlign w:val="center"/>
            <w:hideMark/>
          </w:tcPr>
          <w:p w14:paraId="36EA37D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39</w:t>
            </w:r>
          </w:p>
        </w:tc>
        <w:tc>
          <w:tcPr>
            <w:tcW w:w="763" w:type="dxa"/>
            <w:noWrap/>
            <w:vAlign w:val="center"/>
            <w:hideMark/>
          </w:tcPr>
          <w:p w14:paraId="526D44D7"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40</w:t>
            </w:r>
          </w:p>
        </w:tc>
        <w:tc>
          <w:tcPr>
            <w:tcW w:w="922" w:type="dxa"/>
            <w:noWrap/>
            <w:vAlign w:val="center"/>
            <w:hideMark/>
          </w:tcPr>
          <w:p w14:paraId="44F6D11C"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4BC0F351"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CBT</w:t>
            </w:r>
          </w:p>
        </w:tc>
        <w:tc>
          <w:tcPr>
            <w:tcW w:w="697" w:type="dxa"/>
            <w:noWrap/>
            <w:vAlign w:val="center"/>
            <w:hideMark/>
          </w:tcPr>
          <w:p w14:paraId="44434397"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6384D78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ind, i.-p.</w:t>
            </w:r>
          </w:p>
        </w:tc>
        <w:tc>
          <w:tcPr>
            <w:tcW w:w="576" w:type="dxa"/>
            <w:noWrap/>
            <w:vAlign w:val="center"/>
            <w:hideMark/>
          </w:tcPr>
          <w:p w14:paraId="7A4DA13F"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5</w:t>
            </w:r>
          </w:p>
        </w:tc>
        <w:tc>
          <w:tcPr>
            <w:tcW w:w="1080" w:type="dxa"/>
            <w:noWrap/>
            <w:vAlign w:val="center"/>
            <w:hideMark/>
          </w:tcPr>
          <w:p w14:paraId="0F2FDF1B"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WLC</w:t>
            </w:r>
          </w:p>
        </w:tc>
        <w:tc>
          <w:tcPr>
            <w:tcW w:w="749" w:type="dxa"/>
            <w:vAlign w:val="center"/>
          </w:tcPr>
          <w:p w14:paraId="3A8ED3F8"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14669DAC"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3FBB9B63"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medium</w:t>
            </w:r>
          </w:p>
        </w:tc>
      </w:tr>
      <w:tr w:rsidR="00F8095D" w:rsidRPr="00D45CB4" w14:paraId="265C164A" w14:textId="77777777" w:rsidTr="006B321E">
        <w:trPr>
          <w:trHeight w:val="288"/>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40F2D661"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28.2</w:t>
            </w:r>
          </w:p>
        </w:tc>
        <w:tc>
          <w:tcPr>
            <w:tcW w:w="1731" w:type="dxa"/>
            <w:noWrap/>
            <w:vAlign w:val="center"/>
            <w:hideMark/>
          </w:tcPr>
          <w:p w14:paraId="3F171C8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p>
        </w:tc>
        <w:tc>
          <w:tcPr>
            <w:tcW w:w="1269" w:type="dxa"/>
            <w:noWrap/>
            <w:vAlign w:val="center"/>
            <w:hideMark/>
          </w:tcPr>
          <w:p w14:paraId="74AD75D3"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720" w:type="dxa"/>
            <w:noWrap/>
            <w:vAlign w:val="center"/>
            <w:hideMark/>
          </w:tcPr>
          <w:p w14:paraId="3D8E0E3F"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631" w:type="dxa"/>
            <w:noWrap/>
            <w:vAlign w:val="center"/>
            <w:hideMark/>
          </w:tcPr>
          <w:p w14:paraId="0DC564A0"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720" w:type="dxa"/>
            <w:noWrap/>
            <w:vAlign w:val="center"/>
            <w:hideMark/>
          </w:tcPr>
          <w:p w14:paraId="68B20A84"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40</w:t>
            </w:r>
          </w:p>
        </w:tc>
        <w:tc>
          <w:tcPr>
            <w:tcW w:w="763" w:type="dxa"/>
            <w:noWrap/>
            <w:vAlign w:val="center"/>
            <w:hideMark/>
          </w:tcPr>
          <w:p w14:paraId="114A533B"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p>
        </w:tc>
        <w:tc>
          <w:tcPr>
            <w:tcW w:w="922" w:type="dxa"/>
            <w:noWrap/>
            <w:vAlign w:val="center"/>
            <w:hideMark/>
          </w:tcPr>
          <w:p w14:paraId="6B67B9C6"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1037" w:type="dxa"/>
            <w:noWrap/>
            <w:vAlign w:val="center"/>
            <w:hideMark/>
          </w:tcPr>
          <w:p w14:paraId="054EDBBE"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CBT</w:t>
            </w:r>
          </w:p>
        </w:tc>
        <w:tc>
          <w:tcPr>
            <w:tcW w:w="697" w:type="dxa"/>
            <w:noWrap/>
            <w:vAlign w:val="center"/>
            <w:hideMark/>
          </w:tcPr>
          <w:p w14:paraId="3D50B069"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5B8C8250"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ind, mixed (i.-b.:i.-p. support)</w:t>
            </w:r>
          </w:p>
        </w:tc>
        <w:tc>
          <w:tcPr>
            <w:tcW w:w="576" w:type="dxa"/>
            <w:noWrap/>
            <w:vAlign w:val="center"/>
            <w:hideMark/>
          </w:tcPr>
          <w:p w14:paraId="38700C8E"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5</w:t>
            </w:r>
          </w:p>
        </w:tc>
        <w:tc>
          <w:tcPr>
            <w:tcW w:w="1080" w:type="dxa"/>
            <w:noWrap/>
            <w:vAlign w:val="center"/>
            <w:hideMark/>
          </w:tcPr>
          <w:p w14:paraId="3D9E871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p>
        </w:tc>
        <w:tc>
          <w:tcPr>
            <w:tcW w:w="749" w:type="dxa"/>
            <w:vAlign w:val="center"/>
          </w:tcPr>
          <w:p w14:paraId="05B15F97"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684" w:type="dxa"/>
            <w:noWrap/>
            <w:vAlign w:val="center"/>
            <w:hideMark/>
          </w:tcPr>
          <w:p w14:paraId="00ACDC5B"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86" w:type="dxa"/>
            <w:noWrap/>
            <w:vAlign w:val="center"/>
            <w:hideMark/>
          </w:tcPr>
          <w:p w14:paraId="028E40E4"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r>
      <w:tr w:rsidR="00F8095D" w:rsidRPr="00D45CB4" w14:paraId="3E0E1104" w14:textId="77777777" w:rsidTr="006B32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35CFE159"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29</w:t>
            </w:r>
          </w:p>
        </w:tc>
        <w:tc>
          <w:tcPr>
            <w:tcW w:w="1731" w:type="dxa"/>
            <w:noWrap/>
            <w:vAlign w:val="center"/>
            <w:hideMark/>
          </w:tcPr>
          <w:p w14:paraId="0304D0F7"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Lubbers et al., 2022</w:t>
            </w:r>
          </w:p>
        </w:tc>
        <w:tc>
          <w:tcPr>
            <w:tcW w:w="1269" w:type="dxa"/>
            <w:noWrap/>
            <w:vAlign w:val="center"/>
            <w:hideMark/>
          </w:tcPr>
          <w:p w14:paraId="6AD14362"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BP-I, BP-II</w:t>
            </w:r>
          </w:p>
        </w:tc>
        <w:tc>
          <w:tcPr>
            <w:tcW w:w="720" w:type="dxa"/>
            <w:noWrap/>
            <w:vAlign w:val="center"/>
            <w:hideMark/>
          </w:tcPr>
          <w:p w14:paraId="7912F485"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63.47</w:t>
            </w:r>
          </w:p>
        </w:tc>
        <w:tc>
          <w:tcPr>
            <w:tcW w:w="631" w:type="dxa"/>
            <w:noWrap/>
            <w:vAlign w:val="center"/>
            <w:hideMark/>
          </w:tcPr>
          <w:p w14:paraId="673B9510"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48.38</w:t>
            </w:r>
          </w:p>
        </w:tc>
        <w:tc>
          <w:tcPr>
            <w:tcW w:w="720" w:type="dxa"/>
            <w:noWrap/>
            <w:vAlign w:val="center"/>
            <w:hideMark/>
          </w:tcPr>
          <w:p w14:paraId="73D285A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14</w:t>
            </w:r>
          </w:p>
        </w:tc>
        <w:tc>
          <w:tcPr>
            <w:tcW w:w="763" w:type="dxa"/>
            <w:noWrap/>
            <w:vAlign w:val="center"/>
            <w:hideMark/>
          </w:tcPr>
          <w:p w14:paraId="6E5EB873"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15</w:t>
            </w:r>
          </w:p>
        </w:tc>
        <w:tc>
          <w:tcPr>
            <w:tcW w:w="922" w:type="dxa"/>
            <w:noWrap/>
            <w:vAlign w:val="center"/>
            <w:hideMark/>
          </w:tcPr>
          <w:p w14:paraId="42D710FC"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rumination</w:t>
            </w:r>
          </w:p>
        </w:tc>
        <w:tc>
          <w:tcPr>
            <w:tcW w:w="1037" w:type="dxa"/>
            <w:noWrap/>
            <w:vAlign w:val="center"/>
            <w:hideMark/>
          </w:tcPr>
          <w:p w14:paraId="4FB35B1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MBCT</w:t>
            </w:r>
          </w:p>
        </w:tc>
        <w:tc>
          <w:tcPr>
            <w:tcW w:w="697" w:type="dxa"/>
            <w:noWrap/>
            <w:vAlign w:val="center"/>
            <w:hideMark/>
          </w:tcPr>
          <w:p w14:paraId="2EBAE032"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5237994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gr, i.-p.</w:t>
            </w:r>
          </w:p>
        </w:tc>
        <w:tc>
          <w:tcPr>
            <w:tcW w:w="576" w:type="dxa"/>
            <w:noWrap/>
            <w:vAlign w:val="center"/>
            <w:hideMark/>
          </w:tcPr>
          <w:p w14:paraId="3A00450F"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8</w:t>
            </w:r>
          </w:p>
        </w:tc>
        <w:tc>
          <w:tcPr>
            <w:tcW w:w="1080" w:type="dxa"/>
            <w:noWrap/>
            <w:vAlign w:val="center"/>
            <w:hideMark/>
          </w:tcPr>
          <w:p w14:paraId="37662B7D"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TAU</w:t>
            </w:r>
          </w:p>
        </w:tc>
        <w:tc>
          <w:tcPr>
            <w:tcW w:w="749" w:type="dxa"/>
            <w:vAlign w:val="center"/>
          </w:tcPr>
          <w:p w14:paraId="659F287C"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active</w:t>
            </w:r>
          </w:p>
        </w:tc>
        <w:tc>
          <w:tcPr>
            <w:tcW w:w="684" w:type="dxa"/>
            <w:noWrap/>
            <w:vAlign w:val="center"/>
            <w:hideMark/>
          </w:tcPr>
          <w:p w14:paraId="25E1013A"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43F8E24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medium</w:t>
            </w:r>
          </w:p>
        </w:tc>
      </w:tr>
      <w:tr w:rsidR="00F8095D" w:rsidRPr="00D45CB4" w14:paraId="5BC4A31F" w14:textId="77777777" w:rsidTr="006B321E">
        <w:trPr>
          <w:trHeight w:val="360"/>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3CAFA204"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30</w:t>
            </w:r>
          </w:p>
        </w:tc>
        <w:tc>
          <w:tcPr>
            <w:tcW w:w="1731" w:type="dxa"/>
            <w:noWrap/>
            <w:vAlign w:val="center"/>
            <w:hideMark/>
          </w:tcPr>
          <w:p w14:paraId="38E74BF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Mennin et al., 2018</w:t>
            </w:r>
          </w:p>
        </w:tc>
        <w:tc>
          <w:tcPr>
            <w:tcW w:w="1269" w:type="dxa"/>
            <w:noWrap/>
            <w:vAlign w:val="center"/>
            <w:hideMark/>
          </w:tcPr>
          <w:p w14:paraId="1C594A40"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GAD</w:t>
            </w:r>
          </w:p>
        </w:tc>
        <w:tc>
          <w:tcPr>
            <w:tcW w:w="720" w:type="dxa"/>
            <w:noWrap/>
            <w:vAlign w:val="center"/>
            <w:hideMark/>
          </w:tcPr>
          <w:p w14:paraId="288229BB"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75.00</w:t>
            </w:r>
          </w:p>
        </w:tc>
        <w:tc>
          <w:tcPr>
            <w:tcW w:w="631" w:type="dxa"/>
            <w:noWrap/>
            <w:vAlign w:val="center"/>
            <w:hideMark/>
          </w:tcPr>
          <w:p w14:paraId="2487B26B"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39.00</w:t>
            </w:r>
          </w:p>
        </w:tc>
        <w:tc>
          <w:tcPr>
            <w:tcW w:w="720" w:type="dxa"/>
            <w:noWrap/>
            <w:vAlign w:val="center"/>
            <w:hideMark/>
          </w:tcPr>
          <w:p w14:paraId="04D4714A"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28</w:t>
            </w:r>
          </w:p>
        </w:tc>
        <w:tc>
          <w:tcPr>
            <w:tcW w:w="763" w:type="dxa"/>
            <w:noWrap/>
            <w:vAlign w:val="center"/>
            <w:hideMark/>
          </w:tcPr>
          <w:p w14:paraId="650AE31F"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25</w:t>
            </w:r>
          </w:p>
        </w:tc>
        <w:tc>
          <w:tcPr>
            <w:tcW w:w="922" w:type="dxa"/>
            <w:noWrap/>
            <w:vAlign w:val="center"/>
            <w:hideMark/>
          </w:tcPr>
          <w:p w14:paraId="6DB801C9"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472980F1"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Emotion Regulation Therapy</w:t>
            </w:r>
          </w:p>
        </w:tc>
        <w:tc>
          <w:tcPr>
            <w:tcW w:w="697" w:type="dxa"/>
            <w:noWrap/>
            <w:vAlign w:val="center"/>
            <w:hideMark/>
          </w:tcPr>
          <w:p w14:paraId="1E44806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44FDF97B"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ind, i.-p.</w:t>
            </w:r>
          </w:p>
        </w:tc>
        <w:tc>
          <w:tcPr>
            <w:tcW w:w="576" w:type="dxa"/>
            <w:noWrap/>
            <w:vAlign w:val="center"/>
            <w:hideMark/>
          </w:tcPr>
          <w:p w14:paraId="5E58C144"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20</w:t>
            </w:r>
          </w:p>
        </w:tc>
        <w:tc>
          <w:tcPr>
            <w:tcW w:w="1080" w:type="dxa"/>
            <w:noWrap/>
            <w:vAlign w:val="center"/>
            <w:hideMark/>
          </w:tcPr>
          <w:p w14:paraId="0DFB48E3"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AC</w:t>
            </w:r>
          </w:p>
        </w:tc>
        <w:tc>
          <w:tcPr>
            <w:tcW w:w="749" w:type="dxa"/>
            <w:vAlign w:val="center"/>
          </w:tcPr>
          <w:p w14:paraId="7C27F79D"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2453495C"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++o++</w:t>
            </w:r>
          </w:p>
        </w:tc>
        <w:tc>
          <w:tcPr>
            <w:tcW w:w="786" w:type="dxa"/>
            <w:noWrap/>
            <w:vAlign w:val="center"/>
            <w:hideMark/>
          </w:tcPr>
          <w:p w14:paraId="2A3203B3"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medium</w:t>
            </w:r>
          </w:p>
        </w:tc>
      </w:tr>
      <w:tr w:rsidR="00F8095D" w:rsidRPr="00D45CB4" w14:paraId="23E4F5BF" w14:textId="77777777" w:rsidTr="006B32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21B2C5D6" w14:textId="77777777" w:rsidR="00517516" w:rsidRPr="00D45CB4" w:rsidRDefault="00517516" w:rsidP="00517516">
            <w:pPr>
              <w:spacing w:line="276" w:lineRule="auto"/>
              <w:rPr>
                <w:color w:val="000000"/>
                <w:kern w:val="0"/>
                <w:sz w:val="16"/>
                <w:szCs w:val="16"/>
              </w:rPr>
            </w:pPr>
            <w:r w:rsidRPr="00D45CB4">
              <w:rPr>
                <w:color w:val="000000"/>
                <w:kern w:val="0"/>
                <w:sz w:val="16"/>
                <w:szCs w:val="16"/>
              </w:rPr>
              <w:lastRenderedPageBreak/>
              <w:t>31</w:t>
            </w:r>
          </w:p>
        </w:tc>
        <w:tc>
          <w:tcPr>
            <w:tcW w:w="1731" w:type="dxa"/>
            <w:noWrap/>
            <w:vAlign w:val="center"/>
            <w:hideMark/>
          </w:tcPr>
          <w:p w14:paraId="625C79F5"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Monnart et al., 2019</w:t>
            </w:r>
          </w:p>
        </w:tc>
        <w:tc>
          <w:tcPr>
            <w:tcW w:w="1269" w:type="dxa"/>
            <w:noWrap/>
            <w:vAlign w:val="center"/>
            <w:hideMark/>
          </w:tcPr>
          <w:p w14:paraId="10BF9655"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trMDD</w:t>
            </w:r>
          </w:p>
        </w:tc>
        <w:tc>
          <w:tcPr>
            <w:tcW w:w="720" w:type="dxa"/>
            <w:noWrap/>
            <w:vAlign w:val="center"/>
            <w:hideMark/>
          </w:tcPr>
          <w:p w14:paraId="20F6E4B1"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64.52</w:t>
            </w:r>
          </w:p>
        </w:tc>
        <w:tc>
          <w:tcPr>
            <w:tcW w:w="631" w:type="dxa"/>
            <w:noWrap/>
            <w:vAlign w:val="center"/>
            <w:hideMark/>
          </w:tcPr>
          <w:p w14:paraId="3AB01B6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50.16</w:t>
            </w:r>
          </w:p>
        </w:tc>
        <w:tc>
          <w:tcPr>
            <w:tcW w:w="720" w:type="dxa"/>
            <w:noWrap/>
            <w:vAlign w:val="center"/>
            <w:hideMark/>
          </w:tcPr>
          <w:p w14:paraId="1118856E"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15</w:t>
            </w:r>
          </w:p>
        </w:tc>
        <w:tc>
          <w:tcPr>
            <w:tcW w:w="763" w:type="dxa"/>
            <w:noWrap/>
            <w:vAlign w:val="center"/>
            <w:hideMark/>
          </w:tcPr>
          <w:p w14:paraId="74C3913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16</w:t>
            </w:r>
          </w:p>
        </w:tc>
        <w:tc>
          <w:tcPr>
            <w:tcW w:w="922" w:type="dxa"/>
            <w:noWrap/>
            <w:vAlign w:val="center"/>
            <w:hideMark/>
          </w:tcPr>
          <w:p w14:paraId="0DA6FD65"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rumination</w:t>
            </w:r>
          </w:p>
        </w:tc>
        <w:tc>
          <w:tcPr>
            <w:tcW w:w="1037" w:type="dxa"/>
            <w:noWrap/>
            <w:vAlign w:val="center"/>
            <w:hideMark/>
          </w:tcPr>
          <w:p w14:paraId="5A53BC7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MBCT + tDCS</w:t>
            </w:r>
          </w:p>
        </w:tc>
        <w:tc>
          <w:tcPr>
            <w:tcW w:w="697" w:type="dxa"/>
            <w:noWrap/>
            <w:vAlign w:val="center"/>
            <w:hideMark/>
          </w:tcPr>
          <w:p w14:paraId="59722AF3"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0BE68093"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gr, i.-p.</w:t>
            </w:r>
          </w:p>
        </w:tc>
        <w:tc>
          <w:tcPr>
            <w:tcW w:w="576" w:type="dxa"/>
            <w:noWrap/>
            <w:vAlign w:val="center"/>
            <w:hideMark/>
          </w:tcPr>
          <w:p w14:paraId="24DF4824"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8</w:t>
            </w:r>
          </w:p>
        </w:tc>
        <w:tc>
          <w:tcPr>
            <w:tcW w:w="1080" w:type="dxa"/>
            <w:noWrap/>
            <w:vAlign w:val="center"/>
            <w:hideMark/>
          </w:tcPr>
          <w:p w14:paraId="24DF6485"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tDCS + relaxation</w:t>
            </w:r>
          </w:p>
        </w:tc>
        <w:tc>
          <w:tcPr>
            <w:tcW w:w="749" w:type="dxa"/>
            <w:vAlign w:val="center"/>
          </w:tcPr>
          <w:p w14:paraId="29201B2F"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active</w:t>
            </w:r>
          </w:p>
        </w:tc>
        <w:tc>
          <w:tcPr>
            <w:tcW w:w="684" w:type="dxa"/>
            <w:noWrap/>
            <w:vAlign w:val="center"/>
            <w:hideMark/>
          </w:tcPr>
          <w:p w14:paraId="4FBF9DE2"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0518CFB5"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high</w:t>
            </w:r>
          </w:p>
        </w:tc>
      </w:tr>
      <w:tr w:rsidR="00F8095D" w:rsidRPr="00D45CB4" w14:paraId="13A52DAE" w14:textId="77777777" w:rsidTr="006B321E">
        <w:trPr>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21B4738F"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32</w:t>
            </w:r>
          </w:p>
        </w:tc>
        <w:tc>
          <w:tcPr>
            <w:tcW w:w="1731" w:type="dxa"/>
            <w:noWrap/>
            <w:vAlign w:val="center"/>
            <w:hideMark/>
          </w:tcPr>
          <w:p w14:paraId="22C20041"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Nasiri et al., 2020</w:t>
            </w:r>
          </w:p>
        </w:tc>
        <w:tc>
          <w:tcPr>
            <w:tcW w:w="1269" w:type="dxa"/>
            <w:noWrap/>
            <w:vAlign w:val="center"/>
            <w:hideMark/>
          </w:tcPr>
          <w:p w14:paraId="07908626"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GAD, MDD</w:t>
            </w:r>
          </w:p>
        </w:tc>
        <w:tc>
          <w:tcPr>
            <w:tcW w:w="720" w:type="dxa"/>
            <w:noWrap/>
            <w:vAlign w:val="center"/>
            <w:hideMark/>
          </w:tcPr>
          <w:p w14:paraId="4E770CB0"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73.30</w:t>
            </w:r>
          </w:p>
        </w:tc>
        <w:tc>
          <w:tcPr>
            <w:tcW w:w="631" w:type="dxa"/>
            <w:noWrap/>
            <w:vAlign w:val="center"/>
            <w:hideMark/>
          </w:tcPr>
          <w:p w14:paraId="482E8E3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21.03</w:t>
            </w:r>
          </w:p>
        </w:tc>
        <w:tc>
          <w:tcPr>
            <w:tcW w:w="720" w:type="dxa"/>
            <w:noWrap/>
            <w:vAlign w:val="center"/>
            <w:hideMark/>
          </w:tcPr>
          <w:p w14:paraId="3D12720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15</w:t>
            </w:r>
          </w:p>
        </w:tc>
        <w:tc>
          <w:tcPr>
            <w:tcW w:w="763" w:type="dxa"/>
            <w:noWrap/>
            <w:vAlign w:val="center"/>
            <w:hideMark/>
          </w:tcPr>
          <w:p w14:paraId="07AD4A2B"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15</w:t>
            </w:r>
          </w:p>
        </w:tc>
        <w:tc>
          <w:tcPr>
            <w:tcW w:w="922" w:type="dxa"/>
            <w:noWrap/>
            <w:vAlign w:val="center"/>
            <w:hideMark/>
          </w:tcPr>
          <w:p w14:paraId="1E02FC03"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738AAEE4"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UP</w:t>
            </w:r>
          </w:p>
        </w:tc>
        <w:tc>
          <w:tcPr>
            <w:tcW w:w="697" w:type="dxa"/>
            <w:noWrap/>
            <w:vAlign w:val="center"/>
            <w:hideMark/>
          </w:tcPr>
          <w:p w14:paraId="2A645CB0"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6744892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ind, i.-p.</w:t>
            </w:r>
          </w:p>
        </w:tc>
        <w:tc>
          <w:tcPr>
            <w:tcW w:w="576" w:type="dxa"/>
            <w:noWrap/>
            <w:vAlign w:val="center"/>
            <w:hideMark/>
          </w:tcPr>
          <w:p w14:paraId="4B4E865E"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12</w:t>
            </w:r>
          </w:p>
        </w:tc>
        <w:tc>
          <w:tcPr>
            <w:tcW w:w="1080" w:type="dxa"/>
            <w:noWrap/>
            <w:vAlign w:val="center"/>
            <w:hideMark/>
          </w:tcPr>
          <w:p w14:paraId="1E859EE4"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WLC</w:t>
            </w:r>
          </w:p>
        </w:tc>
        <w:tc>
          <w:tcPr>
            <w:tcW w:w="749" w:type="dxa"/>
            <w:vAlign w:val="center"/>
          </w:tcPr>
          <w:p w14:paraId="072D4309"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6E715834"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0D51BBFA"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low</w:t>
            </w:r>
          </w:p>
        </w:tc>
      </w:tr>
      <w:tr w:rsidR="00F8095D" w:rsidRPr="00D45CB4" w14:paraId="5E05E1F1" w14:textId="77777777" w:rsidTr="006B32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42D6271B"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33</w:t>
            </w:r>
          </w:p>
        </w:tc>
        <w:tc>
          <w:tcPr>
            <w:tcW w:w="1731" w:type="dxa"/>
            <w:noWrap/>
            <w:vAlign w:val="center"/>
            <w:hideMark/>
          </w:tcPr>
          <w:p w14:paraId="2CA707CF"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Newby et al., 2014</w:t>
            </w:r>
          </w:p>
        </w:tc>
        <w:tc>
          <w:tcPr>
            <w:tcW w:w="1269" w:type="dxa"/>
            <w:noWrap/>
            <w:vAlign w:val="center"/>
            <w:hideMark/>
          </w:tcPr>
          <w:p w14:paraId="1EE3513D"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GAD, MDD</w:t>
            </w:r>
          </w:p>
        </w:tc>
        <w:tc>
          <w:tcPr>
            <w:tcW w:w="720" w:type="dxa"/>
            <w:noWrap/>
            <w:vAlign w:val="center"/>
            <w:hideMark/>
          </w:tcPr>
          <w:p w14:paraId="11B05E1D"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77.81</w:t>
            </w:r>
          </w:p>
        </w:tc>
        <w:tc>
          <w:tcPr>
            <w:tcW w:w="631" w:type="dxa"/>
            <w:noWrap/>
            <w:vAlign w:val="center"/>
            <w:hideMark/>
          </w:tcPr>
          <w:p w14:paraId="361746EB"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44.30</w:t>
            </w:r>
          </w:p>
        </w:tc>
        <w:tc>
          <w:tcPr>
            <w:tcW w:w="720" w:type="dxa"/>
            <w:noWrap/>
            <w:vAlign w:val="center"/>
            <w:hideMark/>
          </w:tcPr>
          <w:p w14:paraId="36086AAE"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41</w:t>
            </w:r>
          </w:p>
        </w:tc>
        <w:tc>
          <w:tcPr>
            <w:tcW w:w="763" w:type="dxa"/>
            <w:noWrap/>
            <w:vAlign w:val="center"/>
            <w:hideMark/>
          </w:tcPr>
          <w:p w14:paraId="7BF16FB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53</w:t>
            </w:r>
          </w:p>
        </w:tc>
        <w:tc>
          <w:tcPr>
            <w:tcW w:w="922" w:type="dxa"/>
            <w:noWrap/>
            <w:vAlign w:val="center"/>
            <w:hideMark/>
          </w:tcPr>
          <w:p w14:paraId="7857F63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RNT</w:t>
            </w:r>
          </w:p>
        </w:tc>
        <w:tc>
          <w:tcPr>
            <w:tcW w:w="1037" w:type="dxa"/>
            <w:noWrap/>
            <w:vAlign w:val="center"/>
            <w:hideMark/>
          </w:tcPr>
          <w:p w14:paraId="618E102C"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iCBT</w:t>
            </w:r>
          </w:p>
        </w:tc>
        <w:tc>
          <w:tcPr>
            <w:tcW w:w="697" w:type="dxa"/>
            <w:noWrap/>
            <w:vAlign w:val="center"/>
            <w:hideMark/>
          </w:tcPr>
          <w:p w14:paraId="220F40A0"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spec</w:t>
            </w:r>
          </w:p>
        </w:tc>
        <w:tc>
          <w:tcPr>
            <w:tcW w:w="1094" w:type="dxa"/>
            <w:noWrap/>
            <w:vAlign w:val="center"/>
            <w:hideMark/>
          </w:tcPr>
          <w:p w14:paraId="3E2F0F65"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ind, i.-b.</w:t>
            </w:r>
          </w:p>
        </w:tc>
        <w:tc>
          <w:tcPr>
            <w:tcW w:w="576" w:type="dxa"/>
            <w:noWrap/>
            <w:vAlign w:val="center"/>
            <w:hideMark/>
          </w:tcPr>
          <w:p w14:paraId="2E6E644B"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6</w:t>
            </w:r>
          </w:p>
        </w:tc>
        <w:tc>
          <w:tcPr>
            <w:tcW w:w="1080" w:type="dxa"/>
            <w:noWrap/>
            <w:vAlign w:val="center"/>
            <w:hideMark/>
          </w:tcPr>
          <w:p w14:paraId="5C0A597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WLC</w:t>
            </w:r>
          </w:p>
        </w:tc>
        <w:tc>
          <w:tcPr>
            <w:tcW w:w="749" w:type="dxa"/>
            <w:vAlign w:val="center"/>
          </w:tcPr>
          <w:p w14:paraId="14177B0F"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63D8AAD7"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0A1EE362"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medium</w:t>
            </w:r>
          </w:p>
        </w:tc>
      </w:tr>
      <w:tr w:rsidR="00F8095D" w:rsidRPr="00D45CB4" w14:paraId="22CC6271" w14:textId="77777777" w:rsidTr="006B321E">
        <w:trPr>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22B9D55C"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34.1</w:t>
            </w:r>
          </w:p>
        </w:tc>
        <w:tc>
          <w:tcPr>
            <w:tcW w:w="1731" w:type="dxa"/>
            <w:noWrap/>
            <w:vAlign w:val="center"/>
            <w:hideMark/>
          </w:tcPr>
          <w:p w14:paraId="4E3AF919"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Nordahl et al., 2018</w:t>
            </w:r>
          </w:p>
        </w:tc>
        <w:tc>
          <w:tcPr>
            <w:tcW w:w="1269" w:type="dxa"/>
            <w:noWrap/>
            <w:vAlign w:val="center"/>
            <w:hideMark/>
          </w:tcPr>
          <w:p w14:paraId="47730348"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GAD</w:t>
            </w:r>
          </w:p>
        </w:tc>
        <w:tc>
          <w:tcPr>
            <w:tcW w:w="720" w:type="dxa"/>
            <w:noWrap/>
            <w:vAlign w:val="center"/>
            <w:hideMark/>
          </w:tcPr>
          <w:p w14:paraId="2251BAC6"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75.40</w:t>
            </w:r>
          </w:p>
        </w:tc>
        <w:tc>
          <w:tcPr>
            <w:tcW w:w="631" w:type="dxa"/>
            <w:noWrap/>
            <w:vAlign w:val="center"/>
            <w:hideMark/>
          </w:tcPr>
          <w:p w14:paraId="3476FAB3"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37.32</w:t>
            </w:r>
          </w:p>
        </w:tc>
        <w:tc>
          <w:tcPr>
            <w:tcW w:w="720" w:type="dxa"/>
            <w:noWrap/>
            <w:vAlign w:val="center"/>
            <w:hideMark/>
          </w:tcPr>
          <w:p w14:paraId="537C646A"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32</w:t>
            </w:r>
          </w:p>
        </w:tc>
        <w:tc>
          <w:tcPr>
            <w:tcW w:w="763" w:type="dxa"/>
            <w:noWrap/>
            <w:vAlign w:val="center"/>
            <w:hideMark/>
          </w:tcPr>
          <w:p w14:paraId="662529F8"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21</w:t>
            </w:r>
          </w:p>
        </w:tc>
        <w:tc>
          <w:tcPr>
            <w:tcW w:w="922" w:type="dxa"/>
            <w:noWrap/>
            <w:vAlign w:val="center"/>
            <w:hideMark/>
          </w:tcPr>
          <w:p w14:paraId="3AC80BC6"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27788E5D"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MCT</w:t>
            </w:r>
          </w:p>
        </w:tc>
        <w:tc>
          <w:tcPr>
            <w:tcW w:w="697" w:type="dxa"/>
            <w:noWrap/>
            <w:vAlign w:val="center"/>
            <w:hideMark/>
          </w:tcPr>
          <w:p w14:paraId="56FA3AAF"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58AA2E8E"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ind, i.-p.</w:t>
            </w:r>
          </w:p>
        </w:tc>
        <w:tc>
          <w:tcPr>
            <w:tcW w:w="576" w:type="dxa"/>
            <w:noWrap/>
            <w:vAlign w:val="center"/>
            <w:hideMark/>
          </w:tcPr>
          <w:p w14:paraId="13C8D568"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12</w:t>
            </w:r>
          </w:p>
        </w:tc>
        <w:tc>
          <w:tcPr>
            <w:tcW w:w="1080" w:type="dxa"/>
            <w:noWrap/>
            <w:vAlign w:val="center"/>
            <w:hideMark/>
          </w:tcPr>
          <w:p w14:paraId="1AAFA5C4"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WLC</w:t>
            </w:r>
          </w:p>
        </w:tc>
        <w:tc>
          <w:tcPr>
            <w:tcW w:w="749" w:type="dxa"/>
            <w:vAlign w:val="center"/>
          </w:tcPr>
          <w:p w14:paraId="5F76FF68"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73312340"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3F2252B9"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low</w:t>
            </w:r>
          </w:p>
        </w:tc>
      </w:tr>
      <w:tr w:rsidR="00F8095D" w:rsidRPr="00D45CB4" w14:paraId="5F53B0C9" w14:textId="77777777" w:rsidTr="006B32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15E95DB9"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34.2</w:t>
            </w:r>
          </w:p>
        </w:tc>
        <w:tc>
          <w:tcPr>
            <w:tcW w:w="1731" w:type="dxa"/>
            <w:noWrap/>
            <w:vAlign w:val="center"/>
            <w:hideMark/>
          </w:tcPr>
          <w:p w14:paraId="34BD3F6D"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p>
        </w:tc>
        <w:tc>
          <w:tcPr>
            <w:tcW w:w="1269" w:type="dxa"/>
            <w:noWrap/>
            <w:vAlign w:val="center"/>
            <w:hideMark/>
          </w:tcPr>
          <w:p w14:paraId="5B36FB6F"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720" w:type="dxa"/>
            <w:noWrap/>
            <w:vAlign w:val="center"/>
            <w:hideMark/>
          </w:tcPr>
          <w:p w14:paraId="6758AC0F"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631" w:type="dxa"/>
            <w:noWrap/>
            <w:vAlign w:val="center"/>
            <w:hideMark/>
          </w:tcPr>
          <w:p w14:paraId="4FCDBA61"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720" w:type="dxa"/>
            <w:noWrap/>
            <w:vAlign w:val="center"/>
            <w:hideMark/>
          </w:tcPr>
          <w:p w14:paraId="2273E98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28</w:t>
            </w:r>
          </w:p>
        </w:tc>
        <w:tc>
          <w:tcPr>
            <w:tcW w:w="763" w:type="dxa"/>
            <w:noWrap/>
            <w:vAlign w:val="center"/>
            <w:hideMark/>
          </w:tcPr>
          <w:p w14:paraId="53D325D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p>
        </w:tc>
        <w:tc>
          <w:tcPr>
            <w:tcW w:w="922" w:type="dxa"/>
            <w:noWrap/>
            <w:vAlign w:val="center"/>
            <w:hideMark/>
          </w:tcPr>
          <w:p w14:paraId="66600A6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1037" w:type="dxa"/>
            <w:noWrap/>
            <w:vAlign w:val="center"/>
            <w:hideMark/>
          </w:tcPr>
          <w:p w14:paraId="0D7C65C5"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CBT</w:t>
            </w:r>
          </w:p>
        </w:tc>
        <w:tc>
          <w:tcPr>
            <w:tcW w:w="697" w:type="dxa"/>
            <w:noWrap/>
            <w:vAlign w:val="center"/>
            <w:hideMark/>
          </w:tcPr>
          <w:p w14:paraId="7858E133"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04C448EF"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ind, i.-p.</w:t>
            </w:r>
          </w:p>
        </w:tc>
        <w:tc>
          <w:tcPr>
            <w:tcW w:w="576" w:type="dxa"/>
            <w:noWrap/>
            <w:vAlign w:val="center"/>
            <w:hideMark/>
          </w:tcPr>
          <w:p w14:paraId="792E9F6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12</w:t>
            </w:r>
          </w:p>
        </w:tc>
        <w:tc>
          <w:tcPr>
            <w:tcW w:w="1080" w:type="dxa"/>
            <w:noWrap/>
            <w:vAlign w:val="center"/>
            <w:hideMark/>
          </w:tcPr>
          <w:p w14:paraId="0CA66DE4"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p>
        </w:tc>
        <w:tc>
          <w:tcPr>
            <w:tcW w:w="749" w:type="dxa"/>
            <w:vAlign w:val="center"/>
          </w:tcPr>
          <w:p w14:paraId="67D28949"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12E99DF9"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86" w:type="dxa"/>
            <w:noWrap/>
            <w:vAlign w:val="center"/>
            <w:hideMark/>
          </w:tcPr>
          <w:p w14:paraId="275E14E1"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r>
      <w:tr w:rsidR="00F8095D" w:rsidRPr="00D45CB4" w14:paraId="4850AEFE" w14:textId="77777777" w:rsidTr="006B321E">
        <w:trPr>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28B1FFF0"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35</w:t>
            </w:r>
          </w:p>
        </w:tc>
        <w:tc>
          <w:tcPr>
            <w:tcW w:w="1731" w:type="dxa"/>
            <w:noWrap/>
            <w:vAlign w:val="center"/>
            <w:hideMark/>
          </w:tcPr>
          <w:p w14:paraId="4FB469C3"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Omvik et al., 2008</w:t>
            </w:r>
          </w:p>
        </w:tc>
        <w:tc>
          <w:tcPr>
            <w:tcW w:w="1269" w:type="dxa"/>
            <w:noWrap/>
            <w:vAlign w:val="center"/>
            <w:hideMark/>
          </w:tcPr>
          <w:p w14:paraId="574A33EE"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Insomnia</w:t>
            </w:r>
          </w:p>
        </w:tc>
        <w:tc>
          <w:tcPr>
            <w:tcW w:w="720" w:type="dxa"/>
            <w:noWrap/>
            <w:vAlign w:val="center"/>
            <w:hideMark/>
          </w:tcPr>
          <w:p w14:paraId="54B72659"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48.00</w:t>
            </w:r>
          </w:p>
        </w:tc>
        <w:tc>
          <w:tcPr>
            <w:tcW w:w="631" w:type="dxa"/>
            <w:noWrap/>
            <w:vAlign w:val="center"/>
            <w:hideMark/>
          </w:tcPr>
          <w:p w14:paraId="11470BF6"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60.84</w:t>
            </w:r>
          </w:p>
        </w:tc>
        <w:tc>
          <w:tcPr>
            <w:tcW w:w="720" w:type="dxa"/>
            <w:noWrap/>
            <w:vAlign w:val="center"/>
            <w:hideMark/>
          </w:tcPr>
          <w:p w14:paraId="6DA297DC"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21</w:t>
            </w:r>
          </w:p>
        </w:tc>
        <w:tc>
          <w:tcPr>
            <w:tcW w:w="763" w:type="dxa"/>
            <w:noWrap/>
            <w:vAlign w:val="center"/>
            <w:hideMark/>
          </w:tcPr>
          <w:p w14:paraId="11A8B54E"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18</w:t>
            </w:r>
          </w:p>
        </w:tc>
        <w:tc>
          <w:tcPr>
            <w:tcW w:w="922" w:type="dxa"/>
            <w:noWrap/>
            <w:vAlign w:val="center"/>
            <w:hideMark/>
          </w:tcPr>
          <w:p w14:paraId="104037D9"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0AAB3064"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CBT</w:t>
            </w:r>
          </w:p>
        </w:tc>
        <w:tc>
          <w:tcPr>
            <w:tcW w:w="697" w:type="dxa"/>
            <w:noWrap/>
            <w:vAlign w:val="center"/>
            <w:hideMark/>
          </w:tcPr>
          <w:p w14:paraId="646C146A"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2158072B"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ind, i.-p.</w:t>
            </w:r>
          </w:p>
        </w:tc>
        <w:tc>
          <w:tcPr>
            <w:tcW w:w="576" w:type="dxa"/>
            <w:noWrap/>
            <w:vAlign w:val="center"/>
            <w:hideMark/>
          </w:tcPr>
          <w:p w14:paraId="4917BC3C"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6</w:t>
            </w:r>
          </w:p>
        </w:tc>
        <w:tc>
          <w:tcPr>
            <w:tcW w:w="1080" w:type="dxa"/>
            <w:noWrap/>
            <w:vAlign w:val="center"/>
            <w:hideMark/>
          </w:tcPr>
          <w:p w14:paraId="2E9D2BCE"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Pharma</w:t>
            </w:r>
          </w:p>
        </w:tc>
        <w:tc>
          <w:tcPr>
            <w:tcW w:w="749" w:type="dxa"/>
            <w:vAlign w:val="center"/>
          </w:tcPr>
          <w:p w14:paraId="5EA647CA"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active</w:t>
            </w:r>
          </w:p>
        </w:tc>
        <w:tc>
          <w:tcPr>
            <w:tcW w:w="684" w:type="dxa"/>
            <w:noWrap/>
            <w:vAlign w:val="center"/>
            <w:hideMark/>
          </w:tcPr>
          <w:p w14:paraId="2C1CF4F0"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6DED6BE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high</w:t>
            </w:r>
          </w:p>
        </w:tc>
      </w:tr>
      <w:tr w:rsidR="00F8095D" w:rsidRPr="00D45CB4" w14:paraId="017A3ACE" w14:textId="77777777" w:rsidTr="006B32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5A5623B5"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36</w:t>
            </w:r>
          </w:p>
        </w:tc>
        <w:tc>
          <w:tcPr>
            <w:tcW w:w="1731" w:type="dxa"/>
            <w:noWrap/>
            <w:vAlign w:val="center"/>
            <w:hideMark/>
          </w:tcPr>
          <w:p w14:paraId="35A4C400"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Paxling et al., 2011</w:t>
            </w:r>
          </w:p>
        </w:tc>
        <w:tc>
          <w:tcPr>
            <w:tcW w:w="1269" w:type="dxa"/>
            <w:noWrap/>
            <w:vAlign w:val="center"/>
            <w:hideMark/>
          </w:tcPr>
          <w:p w14:paraId="0D000766"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GAD</w:t>
            </w:r>
          </w:p>
        </w:tc>
        <w:tc>
          <w:tcPr>
            <w:tcW w:w="720" w:type="dxa"/>
            <w:noWrap/>
            <w:vAlign w:val="center"/>
            <w:hideMark/>
          </w:tcPr>
          <w:p w14:paraId="55288DE6"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79.78</w:t>
            </w:r>
          </w:p>
        </w:tc>
        <w:tc>
          <w:tcPr>
            <w:tcW w:w="631" w:type="dxa"/>
            <w:noWrap/>
            <w:vAlign w:val="center"/>
            <w:hideMark/>
          </w:tcPr>
          <w:p w14:paraId="0FD89317"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39.29</w:t>
            </w:r>
          </w:p>
        </w:tc>
        <w:tc>
          <w:tcPr>
            <w:tcW w:w="720" w:type="dxa"/>
            <w:noWrap/>
            <w:vAlign w:val="center"/>
            <w:hideMark/>
          </w:tcPr>
          <w:p w14:paraId="028F875E"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44</w:t>
            </w:r>
          </w:p>
        </w:tc>
        <w:tc>
          <w:tcPr>
            <w:tcW w:w="763" w:type="dxa"/>
            <w:noWrap/>
            <w:vAlign w:val="center"/>
            <w:hideMark/>
          </w:tcPr>
          <w:p w14:paraId="5748C27E"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45</w:t>
            </w:r>
          </w:p>
        </w:tc>
        <w:tc>
          <w:tcPr>
            <w:tcW w:w="922" w:type="dxa"/>
            <w:noWrap/>
            <w:vAlign w:val="center"/>
            <w:hideMark/>
          </w:tcPr>
          <w:p w14:paraId="1D5A2F1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27CD9BF7"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AR + Worry Exposure</w:t>
            </w:r>
          </w:p>
        </w:tc>
        <w:tc>
          <w:tcPr>
            <w:tcW w:w="697" w:type="dxa"/>
            <w:noWrap/>
            <w:vAlign w:val="center"/>
            <w:hideMark/>
          </w:tcPr>
          <w:p w14:paraId="15E509F5"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spec</w:t>
            </w:r>
          </w:p>
        </w:tc>
        <w:tc>
          <w:tcPr>
            <w:tcW w:w="1094" w:type="dxa"/>
            <w:noWrap/>
            <w:vAlign w:val="center"/>
            <w:hideMark/>
          </w:tcPr>
          <w:p w14:paraId="0EBBAA76"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ind, i.-b.</w:t>
            </w:r>
          </w:p>
        </w:tc>
        <w:tc>
          <w:tcPr>
            <w:tcW w:w="576" w:type="dxa"/>
            <w:noWrap/>
            <w:vAlign w:val="center"/>
            <w:hideMark/>
          </w:tcPr>
          <w:p w14:paraId="50873C05"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8</w:t>
            </w:r>
          </w:p>
        </w:tc>
        <w:tc>
          <w:tcPr>
            <w:tcW w:w="1080" w:type="dxa"/>
            <w:noWrap/>
            <w:vAlign w:val="center"/>
            <w:hideMark/>
          </w:tcPr>
          <w:p w14:paraId="6F166CC5"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WLC</w:t>
            </w:r>
          </w:p>
        </w:tc>
        <w:tc>
          <w:tcPr>
            <w:tcW w:w="749" w:type="dxa"/>
            <w:vAlign w:val="center"/>
          </w:tcPr>
          <w:p w14:paraId="4A57C36B"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23F0B178"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63D51B03"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medium</w:t>
            </w:r>
          </w:p>
        </w:tc>
      </w:tr>
      <w:tr w:rsidR="00F8095D" w:rsidRPr="00D45CB4" w14:paraId="4E7EF665" w14:textId="77777777" w:rsidTr="006B321E">
        <w:trPr>
          <w:trHeight w:val="360"/>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492E95DA"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37.1</w:t>
            </w:r>
          </w:p>
        </w:tc>
        <w:tc>
          <w:tcPr>
            <w:tcW w:w="1731" w:type="dxa"/>
            <w:noWrap/>
            <w:vAlign w:val="center"/>
            <w:hideMark/>
          </w:tcPr>
          <w:p w14:paraId="1B379BB3"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Robinson et al., 2010</w:t>
            </w:r>
          </w:p>
        </w:tc>
        <w:tc>
          <w:tcPr>
            <w:tcW w:w="1269" w:type="dxa"/>
            <w:noWrap/>
            <w:vAlign w:val="center"/>
            <w:hideMark/>
          </w:tcPr>
          <w:p w14:paraId="3F5CD641"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GAD</w:t>
            </w:r>
          </w:p>
        </w:tc>
        <w:tc>
          <w:tcPr>
            <w:tcW w:w="720" w:type="dxa"/>
            <w:noWrap/>
            <w:vAlign w:val="center"/>
            <w:hideMark/>
          </w:tcPr>
          <w:p w14:paraId="6794463D"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66.31</w:t>
            </w:r>
          </w:p>
        </w:tc>
        <w:tc>
          <w:tcPr>
            <w:tcW w:w="631" w:type="dxa"/>
            <w:noWrap/>
            <w:vAlign w:val="center"/>
            <w:hideMark/>
          </w:tcPr>
          <w:p w14:paraId="3E578F11"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47.62</w:t>
            </w:r>
          </w:p>
        </w:tc>
        <w:tc>
          <w:tcPr>
            <w:tcW w:w="720" w:type="dxa"/>
            <w:noWrap/>
            <w:vAlign w:val="center"/>
            <w:hideMark/>
          </w:tcPr>
          <w:p w14:paraId="40185126"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50</w:t>
            </w:r>
          </w:p>
        </w:tc>
        <w:tc>
          <w:tcPr>
            <w:tcW w:w="763" w:type="dxa"/>
            <w:noWrap/>
            <w:vAlign w:val="center"/>
            <w:hideMark/>
          </w:tcPr>
          <w:p w14:paraId="7FEDEDB3"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48</w:t>
            </w:r>
          </w:p>
        </w:tc>
        <w:tc>
          <w:tcPr>
            <w:tcW w:w="922" w:type="dxa"/>
            <w:noWrap/>
            <w:vAlign w:val="center"/>
            <w:hideMark/>
          </w:tcPr>
          <w:p w14:paraId="65C4F67E"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50313363" w14:textId="5C8C4E15"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Worry Program -</w:t>
            </w:r>
            <w:r w:rsidR="0068097E">
              <w:rPr>
                <w:color w:val="000000"/>
                <w:kern w:val="0"/>
                <w:sz w:val="16"/>
                <w:szCs w:val="16"/>
              </w:rPr>
              <w:t xml:space="preserve"> </w:t>
            </w:r>
            <w:r w:rsidRPr="00D45CB4">
              <w:rPr>
                <w:color w:val="000000"/>
                <w:kern w:val="0"/>
                <w:sz w:val="16"/>
                <w:szCs w:val="16"/>
              </w:rPr>
              <w:t>technician assisted</w:t>
            </w:r>
          </w:p>
        </w:tc>
        <w:tc>
          <w:tcPr>
            <w:tcW w:w="697" w:type="dxa"/>
            <w:noWrap/>
            <w:vAlign w:val="center"/>
            <w:hideMark/>
          </w:tcPr>
          <w:p w14:paraId="0A8D4139"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spec</w:t>
            </w:r>
          </w:p>
        </w:tc>
        <w:tc>
          <w:tcPr>
            <w:tcW w:w="1094" w:type="dxa"/>
            <w:noWrap/>
            <w:vAlign w:val="center"/>
            <w:hideMark/>
          </w:tcPr>
          <w:p w14:paraId="680BDC88"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ind, i.-b.</w:t>
            </w:r>
          </w:p>
        </w:tc>
        <w:tc>
          <w:tcPr>
            <w:tcW w:w="576" w:type="dxa"/>
            <w:noWrap/>
            <w:vAlign w:val="center"/>
            <w:hideMark/>
          </w:tcPr>
          <w:p w14:paraId="2A18296B"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6</w:t>
            </w:r>
          </w:p>
        </w:tc>
        <w:tc>
          <w:tcPr>
            <w:tcW w:w="1080" w:type="dxa"/>
            <w:noWrap/>
            <w:vAlign w:val="center"/>
            <w:hideMark/>
          </w:tcPr>
          <w:p w14:paraId="7BF9C9CE"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WLC</w:t>
            </w:r>
          </w:p>
        </w:tc>
        <w:tc>
          <w:tcPr>
            <w:tcW w:w="749" w:type="dxa"/>
            <w:vAlign w:val="center"/>
          </w:tcPr>
          <w:p w14:paraId="38BFDF2B"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33E14DDD"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6574D79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medium</w:t>
            </w:r>
          </w:p>
        </w:tc>
      </w:tr>
      <w:tr w:rsidR="00F8095D" w:rsidRPr="00D45CB4" w14:paraId="61AD5BB5" w14:textId="77777777" w:rsidTr="006B32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77BF7248"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37.2</w:t>
            </w:r>
          </w:p>
        </w:tc>
        <w:tc>
          <w:tcPr>
            <w:tcW w:w="1731" w:type="dxa"/>
            <w:noWrap/>
            <w:vAlign w:val="center"/>
            <w:hideMark/>
          </w:tcPr>
          <w:p w14:paraId="06901C16"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p>
        </w:tc>
        <w:tc>
          <w:tcPr>
            <w:tcW w:w="1269" w:type="dxa"/>
            <w:noWrap/>
            <w:vAlign w:val="center"/>
            <w:hideMark/>
          </w:tcPr>
          <w:p w14:paraId="61922912"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720" w:type="dxa"/>
            <w:noWrap/>
            <w:vAlign w:val="center"/>
            <w:hideMark/>
          </w:tcPr>
          <w:p w14:paraId="3F3E706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631" w:type="dxa"/>
            <w:noWrap/>
            <w:vAlign w:val="center"/>
            <w:hideMark/>
          </w:tcPr>
          <w:p w14:paraId="596B0997"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720" w:type="dxa"/>
            <w:noWrap/>
            <w:vAlign w:val="center"/>
            <w:hideMark/>
          </w:tcPr>
          <w:p w14:paraId="7A5BCE74"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47</w:t>
            </w:r>
          </w:p>
        </w:tc>
        <w:tc>
          <w:tcPr>
            <w:tcW w:w="763" w:type="dxa"/>
            <w:noWrap/>
            <w:vAlign w:val="center"/>
            <w:hideMark/>
          </w:tcPr>
          <w:p w14:paraId="2F0C27DC"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p>
        </w:tc>
        <w:tc>
          <w:tcPr>
            <w:tcW w:w="922" w:type="dxa"/>
            <w:noWrap/>
            <w:vAlign w:val="center"/>
            <w:hideMark/>
          </w:tcPr>
          <w:p w14:paraId="0061F62C"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1037" w:type="dxa"/>
            <w:noWrap/>
            <w:vAlign w:val="center"/>
            <w:hideMark/>
          </w:tcPr>
          <w:p w14:paraId="492DA1E4"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Worry Program - clinician assisted</w:t>
            </w:r>
          </w:p>
        </w:tc>
        <w:tc>
          <w:tcPr>
            <w:tcW w:w="697" w:type="dxa"/>
            <w:noWrap/>
            <w:vAlign w:val="center"/>
            <w:hideMark/>
          </w:tcPr>
          <w:p w14:paraId="76A8929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spec</w:t>
            </w:r>
          </w:p>
        </w:tc>
        <w:tc>
          <w:tcPr>
            <w:tcW w:w="1094" w:type="dxa"/>
            <w:noWrap/>
            <w:vAlign w:val="center"/>
            <w:hideMark/>
          </w:tcPr>
          <w:p w14:paraId="3C0CFFF4"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ind, i.-b.</w:t>
            </w:r>
          </w:p>
        </w:tc>
        <w:tc>
          <w:tcPr>
            <w:tcW w:w="576" w:type="dxa"/>
            <w:noWrap/>
            <w:vAlign w:val="center"/>
            <w:hideMark/>
          </w:tcPr>
          <w:p w14:paraId="59C3FD9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6</w:t>
            </w:r>
          </w:p>
        </w:tc>
        <w:tc>
          <w:tcPr>
            <w:tcW w:w="1080" w:type="dxa"/>
            <w:noWrap/>
            <w:vAlign w:val="center"/>
            <w:hideMark/>
          </w:tcPr>
          <w:p w14:paraId="4EE494C6"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p>
        </w:tc>
        <w:tc>
          <w:tcPr>
            <w:tcW w:w="749" w:type="dxa"/>
            <w:vAlign w:val="center"/>
          </w:tcPr>
          <w:p w14:paraId="322C40A1"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684" w:type="dxa"/>
            <w:noWrap/>
            <w:vAlign w:val="center"/>
            <w:hideMark/>
          </w:tcPr>
          <w:p w14:paraId="66B82C04"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86" w:type="dxa"/>
            <w:noWrap/>
            <w:vAlign w:val="center"/>
            <w:hideMark/>
          </w:tcPr>
          <w:p w14:paraId="427D72E4"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r>
      <w:tr w:rsidR="00F8095D" w:rsidRPr="00D45CB4" w14:paraId="4F7382D7" w14:textId="77777777" w:rsidTr="006B321E">
        <w:trPr>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52A42883"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38</w:t>
            </w:r>
          </w:p>
        </w:tc>
        <w:tc>
          <w:tcPr>
            <w:tcW w:w="1731" w:type="dxa"/>
            <w:noWrap/>
            <w:vAlign w:val="center"/>
            <w:hideMark/>
          </w:tcPr>
          <w:p w14:paraId="7EB309CB"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Roemer et al., 2008</w:t>
            </w:r>
          </w:p>
        </w:tc>
        <w:tc>
          <w:tcPr>
            <w:tcW w:w="1269" w:type="dxa"/>
            <w:noWrap/>
            <w:vAlign w:val="center"/>
            <w:hideMark/>
          </w:tcPr>
          <w:p w14:paraId="358BB9A4"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GAD</w:t>
            </w:r>
          </w:p>
        </w:tc>
        <w:tc>
          <w:tcPr>
            <w:tcW w:w="720" w:type="dxa"/>
            <w:noWrap/>
            <w:vAlign w:val="center"/>
            <w:hideMark/>
          </w:tcPr>
          <w:p w14:paraId="4C5D9D06"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70.97</w:t>
            </w:r>
          </w:p>
        </w:tc>
        <w:tc>
          <w:tcPr>
            <w:tcW w:w="631" w:type="dxa"/>
            <w:noWrap/>
            <w:vAlign w:val="center"/>
            <w:hideMark/>
          </w:tcPr>
          <w:p w14:paraId="3E5DBDDB"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32.81</w:t>
            </w:r>
          </w:p>
        </w:tc>
        <w:tc>
          <w:tcPr>
            <w:tcW w:w="720" w:type="dxa"/>
            <w:noWrap/>
            <w:vAlign w:val="center"/>
            <w:hideMark/>
          </w:tcPr>
          <w:p w14:paraId="2D4949C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15</w:t>
            </w:r>
          </w:p>
        </w:tc>
        <w:tc>
          <w:tcPr>
            <w:tcW w:w="763" w:type="dxa"/>
            <w:noWrap/>
            <w:vAlign w:val="center"/>
            <w:hideMark/>
          </w:tcPr>
          <w:p w14:paraId="6F9F711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16</w:t>
            </w:r>
          </w:p>
        </w:tc>
        <w:tc>
          <w:tcPr>
            <w:tcW w:w="922" w:type="dxa"/>
            <w:noWrap/>
            <w:vAlign w:val="center"/>
            <w:hideMark/>
          </w:tcPr>
          <w:p w14:paraId="52C2627C"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064914E1"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ABBT</w:t>
            </w:r>
          </w:p>
        </w:tc>
        <w:tc>
          <w:tcPr>
            <w:tcW w:w="697" w:type="dxa"/>
            <w:noWrap/>
            <w:vAlign w:val="center"/>
            <w:hideMark/>
          </w:tcPr>
          <w:p w14:paraId="3CB2A97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2D1B4C9D"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ind, i.-p.</w:t>
            </w:r>
          </w:p>
        </w:tc>
        <w:tc>
          <w:tcPr>
            <w:tcW w:w="576" w:type="dxa"/>
            <w:noWrap/>
            <w:vAlign w:val="center"/>
            <w:hideMark/>
          </w:tcPr>
          <w:p w14:paraId="0B56E07B"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16</w:t>
            </w:r>
          </w:p>
        </w:tc>
        <w:tc>
          <w:tcPr>
            <w:tcW w:w="1080" w:type="dxa"/>
            <w:noWrap/>
            <w:vAlign w:val="center"/>
            <w:hideMark/>
          </w:tcPr>
          <w:p w14:paraId="1EEE8010"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WLC</w:t>
            </w:r>
          </w:p>
        </w:tc>
        <w:tc>
          <w:tcPr>
            <w:tcW w:w="749" w:type="dxa"/>
            <w:vAlign w:val="center"/>
          </w:tcPr>
          <w:p w14:paraId="3EB3B430"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0F146F21"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1DF808BA"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high</w:t>
            </w:r>
          </w:p>
        </w:tc>
      </w:tr>
      <w:tr w:rsidR="00F8095D" w:rsidRPr="00D45CB4" w14:paraId="4F12E6C1" w14:textId="77777777" w:rsidTr="006B32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1D6F3F95"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39</w:t>
            </w:r>
          </w:p>
        </w:tc>
        <w:tc>
          <w:tcPr>
            <w:tcW w:w="1731" w:type="dxa"/>
            <w:noWrap/>
            <w:vAlign w:val="center"/>
            <w:hideMark/>
          </w:tcPr>
          <w:p w14:paraId="4FE709ED"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Ruiz et al., 2020</w:t>
            </w:r>
          </w:p>
        </w:tc>
        <w:tc>
          <w:tcPr>
            <w:tcW w:w="1269" w:type="dxa"/>
            <w:noWrap/>
            <w:vAlign w:val="center"/>
            <w:hideMark/>
          </w:tcPr>
          <w:p w14:paraId="6D7497EB"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MDD, GAD</w:t>
            </w:r>
          </w:p>
        </w:tc>
        <w:tc>
          <w:tcPr>
            <w:tcW w:w="720" w:type="dxa"/>
            <w:noWrap/>
            <w:vAlign w:val="center"/>
            <w:hideMark/>
          </w:tcPr>
          <w:p w14:paraId="2CF515DF"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70.85</w:t>
            </w:r>
          </w:p>
        </w:tc>
        <w:tc>
          <w:tcPr>
            <w:tcW w:w="631" w:type="dxa"/>
            <w:noWrap/>
            <w:vAlign w:val="center"/>
            <w:hideMark/>
          </w:tcPr>
          <w:p w14:paraId="5154DD75"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28.5</w:t>
            </w:r>
          </w:p>
        </w:tc>
        <w:tc>
          <w:tcPr>
            <w:tcW w:w="720" w:type="dxa"/>
            <w:noWrap/>
            <w:vAlign w:val="center"/>
            <w:hideMark/>
          </w:tcPr>
          <w:p w14:paraId="3FC0BC5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18</w:t>
            </w:r>
          </w:p>
        </w:tc>
        <w:tc>
          <w:tcPr>
            <w:tcW w:w="763" w:type="dxa"/>
            <w:noWrap/>
            <w:vAlign w:val="center"/>
            <w:hideMark/>
          </w:tcPr>
          <w:p w14:paraId="6006A34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24</w:t>
            </w:r>
          </w:p>
        </w:tc>
        <w:tc>
          <w:tcPr>
            <w:tcW w:w="922" w:type="dxa"/>
            <w:noWrap/>
            <w:vAlign w:val="center"/>
            <w:hideMark/>
          </w:tcPr>
          <w:p w14:paraId="79B2F225"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RNT</w:t>
            </w:r>
          </w:p>
        </w:tc>
        <w:tc>
          <w:tcPr>
            <w:tcW w:w="1037" w:type="dxa"/>
            <w:noWrap/>
            <w:vAlign w:val="center"/>
            <w:hideMark/>
          </w:tcPr>
          <w:p w14:paraId="6100725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ACT</w:t>
            </w:r>
          </w:p>
        </w:tc>
        <w:tc>
          <w:tcPr>
            <w:tcW w:w="697" w:type="dxa"/>
            <w:noWrap/>
            <w:vAlign w:val="center"/>
            <w:hideMark/>
          </w:tcPr>
          <w:p w14:paraId="692F9260"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spec</w:t>
            </w:r>
          </w:p>
        </w:tc>
        <w:tc>
          <w:tcPr>
            <w:tcW w:w="1094" w:type="dxa"/>
            <w:noWrap/>
            <w:vAlign w:val="center"/>
            <w:hideMark/>
          </w:tcPr>
          <w:p w14:paraId="610F691B"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ind, i.-p.</w:t>
            </w:r>
          </w:p>
        </w:tc>
        <w:tc>
          <w:tcPr>
            <w:tcW w:w="576" w:type="dxa"/>
            <w:noWrap/>
            <w:vAlign w:val="center"/>
            <w:hideMark/>
          </w:tcPr>
          <w:p w14:paraId="274010CB"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2</w:t>
            </w:r>
          </w:p>
        </w:tc>
        <w:tc>
          <w:tcPr>
            <w:tcW w:w="1080" w:type="dxa"/>
            <w:noWrap/>
            <w:vAlign w:val="center"/>
            <w:hideMark/>
          </w:tcPr>
          <w:p w14:paraId="5FD1095F"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WLC</w:t>
            </w:r>
          </w:p>
        </w:tc>
        <w:tc>
          <w:tcPr>
            <w:tcW w:w="749" w:type="dxa"/>
            <w:vAlign w:val="center"/>
          </w:tcPr>
          <w:p w14:paraId="7161623E"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4002D178"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472AC6A1"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medium</w:t>
            </w:r>
          </w:p>
        </w:tc>
      </w:tr>
      <w:tr w:rsidR="00F8095D" w:rsidRPr="00D45CB4" w14:paraId="3E5F050C" w14:textId="77777777" w:rsidTr="006B321E">
        <w:trPr>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232B52E8"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40</w:t>
            </w:r>
          </w:p>
        </w:tc>
        <w:tc>
          <w:tcPr>
            <w:tcW w:w="1731" w:type="dxa"/>
            <w:noWrap/>
            <w:vAlign w:val="center"/>
            <w:hideMark/>
          </w:tcPr>
          <w:p w14:paraId="50184B1F"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Schoenberg et al., 2014</w:t>
            </w:r>
          </w:p>
        </w:tc>
        <w:tc>
          <w:tcPr>
            <w:tcW w:w="1269" w:type="dxa"/>
            <w:noWrap/>
            <w:vAlign w:val="center"/>
            <w:hideMark/>
          </w:tcPr>
          <w:p w14:paraId="4F06D0FB"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MDD</w:t>
            </w:r>
          </w:p>
        </w:tc>
        <w:tc>
          <w:tcPr>
            <w:tcW w:w="720" w:type="dxa"/>
            <w:noWrap/>
            <w:vAlign w:val="center"/>
            <w:hideMark/>
          </w:tcPr>
          <w:p w14:paraId="538C1C8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62.73</w:t>
            </w:r>
          </w:p>
        </w:tc>
        <w:tc>
          <w:tcPr>
            <w:tcW w:w="631" w:type="dxa"/>
            <w:noWrap/>
            <w:vAlign w:val="center"/>
            <w:hideMark/>
          </w:tcPr>
          <w:p w14:paraId="412F3DBC"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49.47</w:t>
            </w:r>
          </w:p>
        </w:tc>
        <w:tc>
          <w:tcPr>
            <w:tcW w:w="720" w:type="dxa"/>
            <w:noWrap/>
            <w:vAlign w:val="center"/>
            <w:hideMark/>
          </w:tcPr>
          <w:p w14:paraId="4C603534"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26</w:t>
            </w:r>
          </w:p>
        </w:tc>
        <w:tc>
          <w:tcPr>
            <w:tcW w:w="763" w:type="dxa"/>
            <w:noWrap/>
            <w:vAlign w:val="center"/>
            <w:hideMark/>
          </w:tcPr>
          <w:p w14:paraId="21E5F8EA"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25</w:t>
            </w:r>
          </w:p>
        </w:tc>
        <w:tc>
          <w:tcPr>
            <w:tcW w:w="922" w:type="dxa"/>
            <w:noWrap/>
            <w:vAlign w:val="center"/>
            <w:hideMark/>
          </w:tcPr>
          <w:p w14:paraId="0E8AE780"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rumination</w:t>
            </w:r>
          </w:p>
        </w:tc>
        <w:tc>
          <w:tcPr>
            <w:tcW w:w="1037" w:type="dxa"/>
            <w:noWrap/>
            <w:vAlign w:val="center"/>
            <w:hideMark/>
          </w:tcPr>
          <w:p w14:paraId="01DFDFB6"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MBCT</w:t>
            </w:r>
          </w:p>
        </w:tc>
        <w:tc>
          <w:tcPr>
            <w:tcW w:w="697" w:type="dxa"/>
            <w:noWrap/>
            <w:vAlign w:val="center"/>
            <w:hideMark/>
          </w:tcPr>
          <w:p w14:paraId="0496042A"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0A2A77D6"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gr, i.-p.</w:t>
            </w:r>
          </w:p>
        </w:tc>
        <w:tc>
          <w:tcPr>
            <w:tcW w:w="576" w:type="dxa"/>
            <w:noWrap/>
            <w:vAlign w:val="center"/>
            <w:hideMark/>
          </w:tcPr>
          <w:p w14:paraId="1A43F62C"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8</w:t>
            </w:r>
          </w:p>
        </w:tc>
        <w:tc>
          <w:tcPr>
            <w:tcW w:w="1080" w:type="dxa"/>
            <w:noWrap/>
            <w:vAlign w:val="center"/>
            <w:hideMark/>
          </w:tcPr>
          <w:p w14:paraId="3C47AB5D"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WLC</w:t>
            </w:r>
          </w:p>
        </w:tc>
        <w:tc>
          <w:tcPr>
            <w:tcW w:w="749" w:type="dxa"/>
            <w:vAlign w:val="center"/>
          </w:tcPr>
          <w:p w14:paraId="2485D645"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3D79D37B"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05B2FB4A"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high</w:t>
            </w:r>
          </w:p>
        </w:tc>
      </w:tr>
      <w:tr w:rsidR="00F8095D" w:rsidRPr="00D45CB4" w14:paraId="5D37F08E" w14:textId="77777777" w:rsidTr="006B32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5E517BEB"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41.1</w:t>
            </w:r>
          </w:p>
        </w:tc>
        <w:tc>
          <w:tcPr>
            <w:tcW w:w="1731" w:type="dxa"/>
            <w:noWrap/>
            <w:vAlign w:val="center"/>
            <w:hideMark/>
          </w:tcPr>
          <w:p w14:paraId="770BC90C"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Stanley et al., 2014</w:t>
            </w:r>
          </w:p>
        </w:tc>
        <w:tc>
          <w:tcPr>
            <w:tcW w:w="1269" w:type="dxa"/>
            <w:noWrap/>
            <w:vAlign w:val="center"/>
            <w:hideMark/>
          </w:tcPr>
          <w:p w14:paraId="1A2CDA0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GAD</w:t>
            </w:r>
          </w:p>
        </w:tc>
        <w:tc>
          <w:tcPr>
            <w:tcW w:w="720" w:type="dxa"/>
            <w:noWrap/>
            <w:vAlign w:val="center"/>
            <w:hideMark/>
          </w:tcPr>
          <w:p w14:paraId="45B5245F"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57.79</w:t>
            </w:r>
          </w:p>
        </w:tc>
        <w:tc>
          <w:tcPr>
            <w:tcW w:w="631" w:type="dxa"/>
            <w:noWrap/>
            <w:vAlign w:val="center"/>
            <w:hideMark/>
          </w:tcPr>
          <w:p w14:paraId="51412495"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67.37</w:t>
            </w:r>
          </w:p>
        </w:tc>
        <w:tc>
          <w:tcPr>
            <w:tcW w:w="720" w:type="dxa"/>
            <w:noWrap/>
            <w:vAlign w:val="center"/>
            <w:hideMark/>
          </w:tcPr>
          <w:p w14:paraId="4B253A53"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52</w:t>
            </w:r>
          </w:p>
        </w:tc>
        <w:tc>
          <w:tcPr>
            <w:tcW w:w="763" w:type="dxa"/>
            <w:noWrap/>
            <w:vAlign w:val="center"/>
            <w:hideMark/>
          </w:tcPr>
          <w:p w14:paraId="6E3B65F4"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68</w:t>
            </w:r>
          </w:p>
        </w:tc>
        <w:tc>
          <w:tcPr>
            <w:tcW w:w="922" w:type="dxa"/>
            <w:noWrap/>
            <w:vAlign w:val="center"/>
            <w:hideMark/>
          </w:tcPr>
          <w:p w14:paraId="77C33FBE"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187150D7"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CBT</w:t>
            </w:r>
          </w:p>
        </w:tc>
        <w:tc>
          <w:tcPr>
            <w:tcW w:w="697" w:type="dxa"/>
            <w:noWrap/>
            <w:vAlign w:val="center"/>
            <w:hideMark/>
          </w:tcPr>
          <w:p w14:paraId="4E37027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2F66C8E7"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ind, mixed(i.-p.:phonecall)</w:t>
            </w:r>
          </w:p>
        </w:tc>
        <w:tc>
          <w:tcPr>
            <w:tcW w:w="576" w:type="dxa"/>
            <w:noWrap/>
            <w:vAlign w:val="center"/>
            <w:hideMark/>
          </w:tcPr>
          <w:p w14:paraId="153623CE"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7.31</w:t>
            </w:r>
          </w:p>
        </w:tc>
        <w:tc>
          <w:tcPr>
            <w:tcW w:w="1080" w:type="dxa"/>
            <w:noWrap/>
            <w:vAlign w:val="center"/>
            <w:hideMark/>
          </w:tcPr>
          <w:p w14:paraId="5908602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TAU</w:t>
            </w:r>
          </w:p>
        </w:tc>
        <w:tc>
          <w:tcPr>
            <w:tcW w:w="749" w:type="dxa"/>
            <w:vAlign w:val="center"/>
          </w:tcPr>
          <w:p w14:paraId="315E0C4B"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000A5558"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2778B802"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low</w:t>
            </w:r>
          </w:p>
        </w:tc>
      </w:tr>
      <w:tr w:rsidR="00F8095D" w:rsidRPr="00D45CB4" w14:paraId="2A1C7042" w14:textId="77777777" w:rsidTr="006B321E">
        <w:trPr>
          <w:trHeight w:val="288"/>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4614582B"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41.2</w:t>
            </w:r>
          </w:p>
        </w:tc>
        <w:tc>
          <w:tcPr>
            <w:tcW w:w="1731" w:type="dxa"/>
            <w:noWrap/>
            <w:vAlign w:val="center"/>
            <w:hideMark/>
          </w:tcPr>
          <w:p w14:paraId="158748A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p>
        </w:tc>
        <w:tc>
          <w:tcPr>
            <w:tcW w:w="1269" w:type="dxa"/>
            <w:noWrap/>
            <w:vAlign w:val="center"/>
            <w:hideMark/>
          </w:tcPr>
          <w:p w14:paraId="01FA2E9F"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720" w:type="dxa"/>
            <w:noWrap/>
            <w:vAlign w:val="center"/>
            <w:hideMark/>
          </w:tcPr>
          <w:p w14:paraId="75DB2CFA"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631" w:type="dxa"/>
            <w:noWrap/>
            <w:vAlign w:val="center"/>
            <w:hideMark/>
          </w:tcPr>
          <w:p w14:paraId="74595AE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720" w:type="dxa"/>
            <w:noWrap/>
            <w:vAlign w:val="center"/>
            <w:hideMark/>
          </w:tcPr>
          <w:p w14:paraId="2300FF80"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60</w:t>
            </w:r>
          </w:p>
        </w:tc>
        <w:tc>
          <w:tcPr>
            <w:tcW w:w="763" w:type="dxa"/>
            <w:noWrap/>
            <w:vAlign w:val="center"/>
            <w:hideMark/>
          </w:tcPr>
          <w:p w14:paraId="78569229"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p>
        </w:tc>
        <w:tc>
          <w:tcPr>
            <w:tcW w:w="922" w:type="dxa"/>
            <w:noWrap/>
            <w:vAlign w:val="center"/>
            <w:hideMark/>
          </w:tcPr>
          <w:p w14:paraId="2C3225BB"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1037" w:type="dxa"/>
            <w:noWrap/>
            <w:vAlign w:val="center"/>
            <w:hideMark/>
          </w:tcPr>
          <w:p w14:paraId="1ADE541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CBT- lay provider</w:t>
            </w:r>
          </w:p>
        </w:tc>
        <w:tc>
          <w:tcPr>
            <w:tcW w:w="697" w:type="dxa"/>
            <w:noWrap/>
            <w:vAlign w:val="center"/>
            <w:hideMark/>
          </w:tcPr>
          <w:p w14:paraId="5E4C07E9"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25D8598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ind, mixed(i.-p.:phonecall)</w:t>
            </w:r>
          </w:p>
        </w:tc>
        <w:tc>
          <w:tcPr>
            <w:tcW w:w="576" w:type="dxa"/>
            <w:noWrap/>
            <w:vAlign w:val="center"/>
            <w:hideMark/>
          </w:tcPr>
          <w:p w14:paraId="77EF4863"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7.31</w:t>
            </w:r>
          </w:p>
        </w:tc>
        <w:tc>
          <w:tcPr>
            <w:tcW w:w="1080" w:type="dxa"/>
            <w:noWrap/>
            <w:vAlign w:val="center"/>
            <w:hideMark/>
          </w:tcPr>
          <w:p w14:paraId="31B8EE9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p>
        </w:tc>
        <w:tc>
          <w:tcPr>
            <w:tcW w:w="749" w:type="dxa"/>
            <w:vAlign w:val="center"/>
          </w:tcPr>
          <w:p w14:paraId="1EA5A445"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684" w:type="dxa"/>
            <w:noWrap/>
            <w:vAlign w:val="center"/>
            <w:hideMark/>
          </w:tcPr>
          <w:p w14:paraId="539BB23F"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86" w:type="dxa"/>
            <w:noWrap/>
            <w:vAlign w:val="center"/>
            <w:hideMark/>
          </w:tcPr>
          <w:p w14:paraId="17120A28"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r>
      <w:tr w:rsidR="00F8095D" w:rsidRPr="00D45CB4" w14:paraId="10DE095B" w14:textId="77777777" w:rsidTr="006B32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200B51A5"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42</w:t>
            </w:r>
          </w:p>
        </w:tc>
        <w:tc>
          <w:tcPr>
            <w:tcW w:w="1731" w:type="dxa"/>
            <w:noWrap/>
            <w:vAlign w:val="center"/>
            <w:hideMark/>
          </w:tcPr>
          <w:p w14:paraId="6D47ED3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Stanley et al., 2009</w:t>
            </w:r>
          </w:p>
        </w:tc>
        <w:tc>
          <w:tcPr>
            <w:tcW w:w="1269" w:type="dxa"/>
            <w:noWrap/>
            <w:vAlign w:val="center"/>
            <w:hideMark/>
          </w:tcPr>
          <w:p w14:paraId="7B648C14"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GAD</w:t>
            </w:r>
          </w:p>
        </w:tc>
        <w:tc>
          <w:tcPr>
            <w:tcW w:w="720" w:type="dxa"/>
            <w:noWrap/>
            <w:vAlign w:val="center"/>
            <w:hideMark/>
          </w:tcPr>
          <w:p w14:paraId="5B5EDC84"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78.38</w:t>
            </w:r>
          </w:p>
        </w:tc>
        <w:tc>
          <w:tcPr>
            <w:tcW w:w="631" w:type="dxa"/>
            <w:noWrap/>
            <w:vAlign w:val="center"/>
            <w:hideMark/>
          </w:tcPr>
          <w:p w14:paraId="613E9A87"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66.93</w:t>
            </w:r>
          </w:p>
        </w:tc>
        <w:tc>
          <w:tcPr>
            <w:tcW w:w="720" w:type="dxa"/>
            <w:noWrap/>
            <w:vAlign w:val="center"/>
            <w:hideMark/>
          </w:tcPr>
          <w:p w14:paraId="39BB206F"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65</w:t>
            </w:r>
          </w:p>
        </w:tc>
        <w:tc>
          <w:tcPr>
            <w:tcW w:w="763" w:type="dxa"/>
            <w:noWrap/>
            <w:vAlign w:val="center"/>
            <w:hideMark/>
          </w:tcPr>
          <w:p w14:paraId="5AD811AC"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50</w:t>
            </w:r>
          </w:p>
        </w:tc>
        <w:tc>
          <w:tcPr>
            <w:tcW w:w="922" w:type="dxa"/>
            <w:noWrap/>
            <w:vAlign w:val="center"/>
            <w:hideMark/>
          </w:tcPr>
          <w:p w14:paraId="2E2ADB0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3D21C32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CBT</w:t>
            </w:r>
          </w:p>
        </w:tc>
        <w:tc>
          <w:tcPr>
            <w:tcW w:w="697" w:type="dxa"/>
            <w:noWrap/>
            <w:vAlign w:val="center"/>
            <w:hideMark/>
          </w:tcPr>
          <w:p w14:paraId="5348BC0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28626B54"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ind, i.-p.</w:t>
            </w:r>
          </w:p>
        </w:tc>
        <w:tc>
          <w:tcPr>
            <w:tcW w:w="576" w:type="dxa"/>
            <w:noWrap/>
            <w:vAlign w:val="center"/>
            <w:hideMark/>
          </w:tcPr>
          <w:p w14:paraId="62BC48FC"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7.4</w:t>
            </w:r>
          </w:p>
        </w:tc>
        <w:tc>
          <w:tcPr>
            <w:tcW w:w="1080" w:type="dxa"/>
            <w:noWrap/>
            <w:vAlign w:val="center"/>
            <w:hideMark/>
          </w:tcPr>
          <w:p w14:paraId="6C48D2B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AC</w:t>
            </w:r>
          </w:p>
        </w:tc>
        <w:tc>
          <w:tcPr>
            <w:tcW w:w="749" w:type="dxa"/>
            <w:vAlign w:val="center"/>
          </w:tcPr>
          <w:p w14:paraId="40C8E19E"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active</w:t>
            </w:r>
          </w:p>
        </w:tc>
        <w:tc>
          <w:tcPr>
            <w:tcW w:w="684" w:type="dxa"/>
            <w:noWrap/>
            <w:vAlign w:val="center"/>
            <w:hideMark/>
          </w:tcPr>
          <w:p w14:paraId="75843F24"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6D7732A0"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low</w:t>
            </w:r>
          </w:p>
        </w:tc>
      </w:tr>
      <w:tr w:rsidR="00F8095D" w:rsidRPr="00D45CB4" w14:paraId="138C8A89" w14:textId="77777777" w:rsidTr="006B321E">
        <w:trPr>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3119AAD2"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43</w:t>
            </w:r>
          </w:p>
        </w:tc>
        <w:tc>
          <w:tcPr>
            <w:tcW w:w="1731" w:type="dxa"/>
            <w:noWrap/>
            <w:vAlign w:val="center"/>
            <w:hideMark/>
          </w:tcPr>
          <w:p w14:paraId="40BB0E0F"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Thomas et al., 2023</w:t>
            </w:r>
          </w:p>
        </w:tc>
        <w:tc>
          <w:tcPr>
            <w:tcW w:w="1269" w:type="dxa"/>
            <w:noWrap/>
            <w:vAlign w:val="center"/>
            <w:hideMark/>
          </w:tcPr>
          <w:p w14:paraId="6317322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MDD, AD</w:t>
            </w:r>
          </w:p>
        </w:tc>
        <w:tc>
          <w:tcPr>
            <w:tcW w:w="720" w:type="dxa"/>
            <w:noWrap/>
            <w:vAlign w:val="center"/>
            <w:hideMark/>
          </w:tcPr>
          <w:p w14:paraId="0BEB36A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67.03</w:t>
            </w:r>
          </w:p>
        </w:tc>
        <w:tc>
          <w:tcPr>
            <w:tcW w:w="631" w:type="dxa"/>
            <w:noWrap/>
            <w:vAlign w:val="center"/>
            <w:hideMark/>
          </w:tcPr>
          <w:p w14:paraId="599C07D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28.50</w:t>
            </w:r>
          </w:p>
        </w:tc>
        <w:tc>
          <w:tcPr>
            <w:tcW w:w="720" w:type="dxa"/>
            <w:noWrap/>
            <w:vAlign w:val="center"/>
            <w:hideMark/>
          </w:tcPr>
          <w:p w14:paraId="51E4DFC0"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26</w:t>
            </w:r>
          </w:p>
        </w:tc>
        <w:tc>
          <w:tcPr>
            <w:tcW w:w="763" w:type="dxa"/>
            <w:noWrap/>
            <w:vAlign w:val="center"/>
            <w:hideMark/>
          </w:tcPr>
          <w:p w14:paraId="5468A82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20</w:t>
            </w:r>
          </w:p>
        </w:tc>
        <w:tc>
          <w:tcPr>
            <w:tcW w:w="922" w:type="dxa"/>
            <w:noWrap/>
            <w:vAlign w:val="center"/>
            <w:hideMark/>
          </w:tcPr>
          <w:p w14:paraId="4E0702F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rumination</w:t>
            </w:r>
          </w:p>
        </w:tc>
        <w:tc>
          <w:tcPr>
            <w:tcW w:w="1037" w:type="dxa"/>
            <w:noWrap/>
            <w:vAlign w:val="center"/>
            <w:hideMark/>
          </w:tcPr>
          <w:p w14:paraId="7E094C5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CBT</w:t>
            </w:r>
          </w:p>
        </w:tc>
        <w:tc>
          <w:tcPr>
            <w:tcW w:w="697" w:type="dxa"/>
            <w:noWrap/>
            <w:vAlign w:val="center"/>
            <w:hideMark/>
          </w:tcPr>
          <w:p w14:paraId="45C28F8E"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540A0E6E"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ind, i.-p.</w:t>
            </w:r>
          </w:p>
        </w:tc>
        <w:tc>
          <w:tcPr>
            <w:tcW w:w="576" w:type="dxa"/>
            <w:noWrap/>
            <w:vAlign w:val="center"/>
            <w:hideMark/>
          </w:tcPr>
          <w:p w14:paraId="20D8759E"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12</w:t>
            </w:r>
          </w:p>
        </w:tc>
        <w:tc>
          <w:tcPr>
            <w:tcW w:w="1080" w:type="dxa"/>
            <w:noWrap/>
            <w:vAlign w:val="center"/>
            <w:hideMark/>
          </w:tcPr>
          <w:p w14:paraId="2B24F834"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Pharma</w:t>
            </w:r>
          </w:p>
        </w:tc>
        <w:tc>
          <w:tcPr>
            <w:tcW w:w="749" w:type="dxa"/>
            <w:vAlign w:val="center"/>
          </w:tcPr>
          <w:p w14:paraId="4452B982"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active</w:t>
            </w:r>
          </w:p>
        </w:tc>
        <w:tc>
          <w:tcPr>
            <w:tcW w:w="684" w:type="dxa"/>
            <w:noWrap/>
            <w:vAlign w:val="center"/>
            <w:hideMark/>
          </w:tcPr>
          <w:p w14:paraId="34A3892B"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++o--</w:t>
            </w:r>
          </w:p>
        </w:tc>
        <w:tc>
          <w:tcPr>
            <w:tcW w:w="786" w:type="dxa"/>
            <w:noWrap/>
            <w:vAlign w:val="center"/>
            <w:hideMark/>
          </w:tcPr>
          <w:p w14:paraId="00D2016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medium</w:t>
            </w:r>
          </w:p>
        </w:tc>
      </w:tr>
      <w:tr w:rsidR="00F8095D" w:rsidRPr="00D45CB4" w14:paraId="30ECCF40" w14:textId="77777777" w:rsidTr="006B32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11AB7381"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44</w:t>
            </w:r>
          </w:p>
        </w:tc>
        <w:tc>
          <w:tcPr>
            <w:tcW w:w="1731" w:type="dxa"/>
            <w:noWrap/>
            <w:vAlign w:val="center"/>
            <w:hideMark/>
          </w:tcPr>
          <w:p w14:paraId="797AD0A6"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Titov et al., 2010</w:t>
            </w:r>
          </w:p>
        </w:tc>
        <w:tc>
          <w:tcPr>
            <w:tcW w:w="1269" w:type="dxa"/>
            <w:noWrap/>
            <w:vAlign w:val="center"/>
            <w:hideMark/>
          </w:tcPr>
          <w:p w14:paraId="77A35C03"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GAD, PD+/-AG, SAD</w:t>
            </w:r>
          </w:p>
        </w:tc>
        <w:tc>
          <w:tcPr>
            <w:tcW w:w="720" w:type="dxa"/>
            <w:noWrap/>
            <w:vAlign w:val="center"/>
            <w:hideMark/>
          </w:tcPr>
          <w:p w14:paraId="510DD04E"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67.97</w:t>
            </w:r>
          </w:p>
        </w:tc>
        <w:tc>
          <w:tcPr>
            <w:tcW w:w="631" w:type="dxa"/>
            <w:noWrap/>
            <w:vAlign w:val="center"/>
            <w:hideMark/>
          </w:tcPr>
          <w:p w14:paraId="19FD2BDC"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39.53</w:t>
            </w:r>
          </w:p>
        </w:tc>
        <w:tc>
          <w:tcPr>
            <w:tcW w:w="720" w:type="dxa"/>
            <w:noWrap/>
            <w:vAlign w:val="center"/>
            <w:hideMark/>
          </w:tcPr>
          <w:p w14:paraId="20886380"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40</w:t>
            </w:r>
          </w:p>
        </w:tc>
        <w:tc>
          <w:tcPr>
            <w:tcW w:w="763" w:type="dxa"/>
            <w:noWrap/>
            <w:vAlign w:val="center"/>
            <w:hideMark/>
          </w:tcPr>
          <w:p w14:paraId="2B5DF167"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38</w:t>
            </w:r>
          </w:p>
        </w:tc>
        <w:tc>
          <w:tcPr>
            <w:tcW w:w="922" w:type="dxa"/>
            <w:noWrap/>
            <w:vAlign w:val="center"/>
            <w:hideMark/>
          </w:tcPr>
          <w:p w14:paraId="4E02D655"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5DE55384"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Anxiety Program</w:t>
            </w:r>
          </w:p>
        </w:tc>
        <w:tc>
          <w:tcPr>
            <w:tcW w:w="697" w:type="dxa"/>
            <w:noWrap/>
            <w:vAlign w:val="center"/>
            <w:hideMark/>
          </w:tcPr>
          <w:p w14:paraId="41C1EA96"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47514B1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ind, i.-b.</w:t>
            </w:r>
          </w:p>
        </w:tc>
        <w:tc>
          <w:tcPr>
            <w:tcW w:w="576" w:type="dxa"/>
            <w:noWrap/>
            <w:vAlign w:val="center"/>
            <w:hideMark/>
          </w:tcPr>
          <w:p w14:paraId="14BA9FF4"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6</w:t>
            </w:r>
          </w:p>
        </w:tc>
        <w:tc>
          <w:tcPr>
            <w:tcW w:w="1080" w:type="dxa"/>
            <w:noWrap/>
            <w:vAlign w:val="center"/>
            <w:hideMark/>
          </w:tcPr>
          <w:p w14:paraId="56970B03"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WLC</w:t>
            </w:r>
          </w:p>
        </w:tc>
        <w:tc>
          <w:tcPr>
            <w:tcW w:w="749" w:type="dxa"/>
            <w:vAlign w:val="center"/>
          </w:tcPr>
          <w:p w14:paraId="7B8E54D8"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1E59CBBF"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75EA19CD"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high</w:t>
            </w:r>
          </w:p>
        </w:tc>
      </w:tr>
      <w:tr w:rsidR="00F8095D" w:rsidRPr="00D45CB4" w14:paraId="0A78D4A8" w14:textId="77777777" w:rsidTr="006B321E">
        <w:trPr>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07D794CF"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45</w:t>
            </w:r>
          </w:p>
        </w:tc>
        <w:tc>
          <w:tcPr>
            <w:tcW w:w="1731" w:type="dxa"/>
            <w:noWrap/>
            <w:vAlign w:val="center"/>
            <w:hideMark/>
          </w:tcPr>
          <w:p w14:paraId="74747268"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Titov et al., 2009</w:t>
            </w:r>
          </w:p>
        </w:tc>
        <w:tc>
          <w:tcPr>
            <w:tcW w:w="1269" w:type="dxa"/>
            <w:noWrap/>
            <w:vAlign w:val="center"/>
            <w:hideMark/>
          </w:tcPr>
          <w:p w14:paraId="3255FC3D"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GAD</w:t>
            </w:r>
          </w:p>
        </w:tc>
        <w:tc>
          <w:tcPr>
            <w:tcW w:w="720" w:type="dxa"/>
            <w:noWrap/>
            <w:vAlign w:val="center"/>
            <w:hideMark/>
          </w:tcPr>
          <w:p w14:paraId="27BA7EC3"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76.00</w:t>
            </w:r>
          </w:p>
        </w:tc>
        <w:tc>
          <w:tcPr>
            <w:tcW w:w="631" w:type="dxa"/>
            <w:noWrap/>
            <w:vAlign w:val="center"/>
            <w:hideMark/>
          </w:tcPr>
          <w:p w14:paraId="389DC71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44.00</w:t>
            </w:r>
          </w:p>
        </w:tc>
        <w:tc>
          <w:tcPr>
            <w:tcW w:w="720" w:type="dxa"/>
            <w:noWrap/>
            <w:vAlign w:val="center"/>
            <w:hideMark/>
          </w:tcPr>
          <w:p w14:paraId="17EADB4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24</w:t>
            </w:r>
          </w:p>
        </w:tc>
        <w:tc>
          <w:tcPr>
            <w:tcW w:w="763" w:type="dxa"/>
            <w:noWrap/>
            <w:vAlign w:val="center"/>
            <w:hideMark/>
          </w:tcPr>
          <w:p w14:paraId="27EAEF30"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21</w:t>
            </w:r>
          </w:p>
        </w:tc>
        <w:tc>
          <w:tcPr>
            <w:tcW w:w="922" w:type="dxa"/>
            <w:noWrap/>
            <w:vAlign w:val="center"/>
            <w:hideMark/>
          </w:tcPr>
          <w:p w14:paraId="7AE6C758"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027A830B"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Worry Program</w:t>
            </w:r>
          </w:p>
        </w:tc>
        <w:tc>
          <w:tcPr>
            <w:tcW w:w="697" w:type="dxa"/>
            <w:noWrap/>
            <w:vAlign w:val="center"/>
            <w:hideMark/>
          </w:tcPr>
          <w:p w14:paraId="3101EB14"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spec</w:t>
            </w:r>
          </w:p>
        </w:tc>
        <w:tc>
          <w:tcPr>
            <w:tcW w:w="1094" w:type="dxa"/>
            <w:noWrap/>
            <w:vAlign w:val="center"/>
            <w:hideMark/>
          </w:tcPr>
          <w:p w14:paraId="31A42CF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ind, i.-b.</w:t>
            </w:r>
          </w:p>
        </w:tc>
        <w:tc>
          <w:tcPr>
            <w:tcW w:w="576" w:type="dxa"/>
            <w:noWrap/>
            <w:vAlign w:val="center"/>
            <w:hideMark/>
          </w:tcPr>
          <w:p w14:paraId="025CFFC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6</w:t>
            </w:r>
          </w:p>
        </w:tc>
        <w:tc>
          <w:tcPr>
            <w:tcW w:w="1080" w:type="dxa"/>
            <w:noWrap/>
            <w:vAlign w:val="center"/>
            <w:hideMark/>
          </w:tcPr>
          <w:p w14:paraId="44CC5FA9"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WLC</w:t>
            </w:r>
          </w:p>
        </w:tc>
        <w:tc>
          <w:tcPr>
            <w:tcW w:w="749" w:type="dxa"/>
            <w:vAlign w:val="center"/>
          </w:tcPr>
          <w:p w14:paraId="6F7EBA59"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6BBFE503"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3BC1878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high</w:t>
            </w:r>
          </w:p>
        </w:tc>
      </w:tr>
      <w:tr w:rsidR="00F8095D" w:rsidRPr="00D45CB4" w14:paraId="3907208E" w14:textId="77777777" w:rsidTr="006B32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5882F49E"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46</w:t>
            </w:r>
          </w:p>
        </w:tc>
        <w:tc>
          <w:tcPr>
            <w:tcW w:w="1731" w:type="dxa"/>
            <w:noWrap/>
            <w:vAlign w:val="center"/>
            <w:hideMark/>
          </w:tcPr>
          <w:p w14:paraId="32EF251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Vøllestad et al., 2011</w:t>
            </w:r>
          </w:p>
        </w:tc>
        <w:tc>
          <w:tcPr>
            <w:tcW w:w="1269" w:type="dxa"/>
            <w:noWrap/>
            <w:vAlign w:val="center"/>
            <w:hideMark/>
          </w:tcPr>
          <w:p w14:paraId="1B6EDF70"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PD+/-AG, SAD, GAD</w:t>
            </w:r>
          </w:p>
        </w:tc>
        <w:tc>
          <w:tcPr>
            <w:tcW w:w="720" w:type="dxa"/>
            <w:noWrap/>
            <w:vAlign w:val="center"/>
            <w:hideMark/>
          </w:tcPr>
          <w:p w14:paraId="077E9DBD"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67.14</w:t>
            </w:r>
          </w:p>
        </w:tc>
        <w:tc>
          <w:tcPr>
            <w:tcW w:w="631" w:type="dxa"/>
            <w:noWrap/>
            <w:vAlign w:val="center"/>
            <w:hideMark/>
          </w:tcPr>
          <w:p w14:paraId="1F760B2B"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42.42</w:t>
            </w:r>
          </w:p>
        </w:tc>
        <w:tc>
          <w:tcPr>
            <w:tcW w:w="720" w:type="dxa"/>
            <w:noWrap/>
            <w:vAlign w:val="center"/>
            <w:hideMark/>
          </w:tcPr>
          <w:p w14:paraId="0E972A3F"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39</w:t>
            </w:r>
          </w:p>
        </w:tc>
        <w:tc>
          <w:tcPr>
            <w:tcW w:w="763" w:type="dxa"/>
            <w:noWrap/>
            <w:vAlign w:val="center"/>
            <w:hideMark/>
          </w:tcPr>
          <w:p w14:paraId="583C5A26"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37</w:t>
            </w:r>
          </w:p>
        </w:tc>
        <w:tc>
          <w:tcPr>
            <w:tcW w:w="922" w:type="dxa"/>
            <w:noWrap/>
            <w:vAlign w:val="center"/>
            <w:hideMark/>
          </w:tcPr>
          <w:p w14:paraId="1E5B448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2E6128B7"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MBSR</w:t>
            </w:r>
          </w:p>
        </w:tc>
        <w:tc>
          <w:tcPr>
            <w:tcW w:w="697" w:type="dxa"/>
            <w:noWrap/>
            <w:vAlign w:val="center"/>
            <w:hideMark/>
          </w:tcPr>
          <w:p w14:paraId="6063D25D"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708A2A7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gr, i.-p.</w:t>
            </w:r>
          </w:p>
        </w:tc>
        <w:tc>
          <w:tcPr>
            <w:tcW w:w="576" w:type="dxa"/>
            <w:noWrap/>
            <w:vAlign w:val="center"/>
            <w:hideMark/>
          </w:tcPr>
          <w:p w14:paraId="7F8C6B5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8</w:t>
            </w:r>
          </w:p>
        </w:tc>
        <w:tc>
          <w:tcPr>
            <w:tcW w:w="1080" w:type="dxa"/>
            <w:noWrap/>
            <w:vAlign w:val="center"/>
            <w:hideMark/>
          </w:tcPr>
          <w:p w14:paraId="48FF3E3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WLC</w:t>
            </w:r>
          </w:p>
        </w:tc>
        <w:tc>
          <w:tcPr>
            <w:tcW w:w="749" w:type="dxa"/>
            <w:vAlign w:val="center"/>
          </w:tcPr>
          <w:p w14:paraId="03030B85"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26DD95A1"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1DC210B1"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high</w:t>
            </w:r>
          </w:p>
        </w:tc>
      </w:tr>
      <w:tr w:rsidR="00F8095D" w:rsidRPr="00D45CB4" w14:paraId="1E8E787B" w14:textId="77777777" w:rsidTr="006B321E">
        <w:trPr>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6178C1A6" w14:textId="77777777" w:rsidR="00517516" w:rsidRPr="00D45CB4" w:rsidRDefault="00517516" w:rsidP="00517516">
            <w:pPr>
              <w:spacing w:line="276" w:lineRule="auto"/>
              <w:rPr>
                <w:color w:val="000000"/>
                <w:kern w:val="0"/>
                <w:sz w:val="16"/>
                <w:szCs w:val="16"/>
              </w:rPr>
            </w:pPr>
            <w:r w:rsidRPr="00D45CB4">
              <w:rPr>
                <w:color w:val="000000"/>
                <w:kern w:val="0"/>
                <w:sz w:val="16"/>
                <w:szCs w:val="16"/>
              </w:rPr>
              <w:lastRenderedPageBreak/>
              <w:t>47</w:t>
            </w:r>
          </w:p>
        </w:tc>
        <w:tc>
          <w:tcPr>
            <w:tcW w:w="1731" w:type="dxa"/>
            <w:noWrap/>
            <w:vAlign w:val="center"/>
            <w:hideMark/>
          </w:tcPr>
          <w:p w14:paraId="70A9E3E1"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Wells &amp; Colbear, 2012</w:t>
            </w:r>
          </w:p>
        </w:tc>
        <w:tc>
          <w:tcPr>
            <w:tcW w:w="1269" w:type="dxa"/>
            <w:noWrap/>
            <w:vAlign w:val="center"/>
            <w:hideMark/>
          </w:tcPr>
          <w:p w14:paraId="40982221"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PTSD</w:t>
            </w:r>
          </w:p>
        </w:tc>
        <w:tc>
          <w:tcPr>
            <w:tcW w:w="720" w:type="dxa"/>
            <w:noWrap/>
            <w:vAlign w:val="center"/>
            <w:hideMark/>
          </w:tcPr>
          <w:p w14:paraId="27621B5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55.00</w:t>
            </w:r>
          </w:p>
        </w:tc>
        <w:tc>
          <w:tcPr>
            <w:tcW w:w="631" w:type="dxa"/>
            <w:noWrap/>
            <w:vAlign w:val="center"/>
            <w:hideMark/>
          </w:tcPr>
          <w:p w14:paraId="79BF99CA"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37.35</w:t>
            </w:r>
          </w:p>
        </w:tc>
        <w:tc>
          <w:tcPr>
            <w:tcW w:w="720" w:type="dxa"/>
            <w:noWrap/>
            <w:vAlign w:val="center"/>
            <w:hideMark/>
          </w:tcPr>
          <w:p w14:paraId="467BDBA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10</w:t>
            </w:r>
          </w:p>
        </w:tc>
        <w:tc>
          <w:tcPr>
            <w:tcW w:w="763" w:type="dxa"/>
            <w:noWrap/>
            <w:vAlign w:val="center"/>
            <w:hideMark/>
          </w:tcPr>
          <w:p w14:paraId="18A5BC6E"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10</w:t>
            </w:r>
          </w:p>
        </w:tc>
        <w:tc>
          <w:tcPr>
            <w:tcW w:w="922" w:type="dxa"/>
            <w:noWrap/>
            <w:vAlign w:val="center"/>
            <w:hideMark/>
          </w:tcPr>
          <w:p w14:paraId="293A94FD"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47727D4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MCT</w:t>
            </w:r>
          </w:p>
        </w:tc>
        <w:tc>
          <w:tcPr>
            <w:tcW w:w="697" w:type="dxa"/>
            <w:noWrap/>
            <w:vAlign w:val="center"/>
            <w:hideMark/>
          </w:tcPr>
          <w:p w14:paraId="0E3C3488"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36B7F9EF"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ind, i.-b.</w:t>
            </w:r>
          </w:p>
        </w:tc>
        <w:tc>
          <w:tcPr>
            <w:tcW w:w="576" w:type="dxa"/>
            <w:noWrap/>
            <w:vAlign w:val="center"/>
            <w:hideMark/>
          </w:tcPr>
          <w:p w14:paraId="4AFC05F6"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6.4</w:t>
            </w:r>
          </w:p>
        </w:tc>
        <w:tc>
          <w:tcPr>
            <w:tcW w:w="1080" w:type="dxa"/>
            <w:noWrap/>
            <w:vAlign w:val="center"/>
            <w:hideMark/>
          </w:tcPr>
          <w:p w14:paraId="417D9ACA"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WLC</w:t>
            </w:r>
          </w:p>
        </w:tc>
        <w:tc>
          <w:tcPr>
            <w:tcW w:w="749" w:type="dxa"/>
            <w:vAlign w:val="center"/>
          </w:tcPr>
          <w:p w14:paraId="0AA80ADB"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6BB5345F"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21A6FEEC"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medium</w:t>
            </w:r>
          </w:p>
        </w:tc>
      </w:tr>
      <w:tr w:rsidR="00F8095D" w:rsidRPr="00D45CB4" w14:paraId="19873A05" w14:textId="77777777" w:rsidTr="006B32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5AB0CADE"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48.1</w:t>
            </w:r>
          </w:p>
        </w:tc>
        <w:tc>
          <w:tcPr>
            <w:tcW w:w="1731" w:type="dxa"/>
            <w:noWrap/>
            <w:vAlign w:val="center"/>
            <w:hideMark/>
          </w:tcPr>
          <w:p w14:paraId="4B638BB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Wetherell et al., 2003</w:t>
            </w:r>
          </w:p>
        </w:tc>
        <w:tc>
          <w:tcPr>
            <w:tcW w:w="1269" w:type="dxa"/>
            <w:noWrap/>
            <w:vAlign w:val="center"/>
            <w:hideMark/>
          </w:tcPr>
          <w:p w14:paraId="44F439AF"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GAD</w:t>
            </w:r>
          </w:p>
        </w:tc>
        <w:tc>
          <w:tcPr>
            <w:tcW w:w="720" w:type="dxa"/>
            <w:noWrap/>
            <w:vAlign w:val="center"/>
            <w:hideMark/>
          </w:tcPr>
          <w:p w14:paraId="6855C39E"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80.00</w:t>
            </w:r>
          </w:p>
        </w:tc>
        <w:tc>
          <w:tcPr>
            <w:tcW w:w="631" w:type="dxa"/>
            <w:noWrap/>
            <w:vAlign w:val="center"/>
            <w:hideMark/>
          </w:tcPr>
          <w:p w14:paraId="3D3E6475"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67.10</w:t>
            </w:r>
          </w:p>
        </w:tc>
        <w:tc>
          <w:tcPr>
            <w:tcW w:w="720" w:type="dxa"/>
            <w:noWrap/>
            <w:vAlign w:val="center"/>
            <w:hideMark/>
          </w:tcPr>
          <w:p w14:paraId="1DA0B11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18</w:t>
            </w:r>
          </w:p>
        </w:tc>
        <w:tc>
          <w:tcPr>
            <w:tcW w:w="763" w:type="dxa"/>
            <w:noWrap/>
            <w:vAlign w:val="center"/>
            <w:hideMark/>
          </w:tcPr>
          <w:p w14:paraId="38B6E8B2"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18</w:t>
            </w:r>
          </w:p>
        </w:tc>
        <w:tc>
          <w:tcPr>
            <w:tcW w:w="922" w:type="dxa"/>
            <w:noWrap/>
            <w:vAlign w:val="center"/>
            <w:hideMark/>
          </w:tcPr>
          <w:p w14:paraId="5C09BB9F"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7C6F9D1F"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CBT</w:t>
            </w:r>
          </w:p>
        </w:tc>
        <w:tc>
          <w:tcPr>
            <w:tcW w:w="697" w:type="dxa"/>
            <w:noWrap/>
            <w:vAlign w:val="center"/>
            <w:hideMark/>
          </w:tcPr>
          <w:p w14:paraId="60EBB0B6"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4CE7191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gr, i.-p.</w:t>
            </w:r>
          </w:p>
        </w:tc>
        <w:tc>
          <w:tcPr>
            <w:tcW w:w="576" w:type="dxa"/>
            <w:noWrap/>
            <w:vAlign w:val="center"/>
            <w:hideMark/>
          </w:tcPr>
          <w:p w14:paraId="58BAABE6"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12</w:t>
            </w:r>
          </w:p>
        </w:tc>
        <w:tc>
          <w:tcPr>
            <w:tcW w:w="1080" w:type="dxa"/>
            <w:noWrap/>
            <w:vAlign w:val="center"/>
            <w:hideMark/>
          </w:tcPr>
          <w:p w14:paraId="0C616BE7"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discussion group</w:t>
            </w:r>
          </w:p>
        </w:tc>
        <w:tc>
          <w:tcPr>
            <w:tcW w:w="749" w:type="dxa"/>
            <w:vAlign w:val="center"/>
          </w:tcPr>
          <w:p w14:paraId="10752C20"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active</w:t>
            </w:r>
          </w:p>
        </w:tc>
        <w:tc>
          <w:tcPr>
            <w:tcW w:w="684" w:type="dxa"/>
            <w:noWrap/>
            <w:vAlign w:val="center"/>
            <w:hideMark/>
          </w:tcPr>
          <w:p w14:paraId="7A2A8BBB"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4D3F896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high</w:t>
            </w:r>
          </w:p>
        </w:tc>
      </w:tr>
      <w:tr w:rsidR="00F8095D" w:rsidRPr="00D45CB4" w14:paraId="4BB71BC3" w14:textId="77777777" w:rsidTr="006B321E">
        <w:trPr>
          <w:trHeight w:val="288"/>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73C9801F"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48.2</w:t>
            </w:r>
          </w:p>
        </w:tc>
        <w:tc>
          <w:tcPr>
            <w:tcW w:w="1731" w:type="dxa"/>
            <w:noWrap/>
            <w:vAlign w:val="center"/>
            <w:hideMark/>
          </w:tcPr>
          <w:p w14:paraId="144508D8"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p>
        </w:tc>
        <w:tc>
          <w:tcPr>
            <w:tcW w:w="1269" w:type="dxa"/>
            <w:noWrap/>
            <w:vAlign w:val="center"/>
            <w:hideMark/>
          </w:tcPr>
          <w:p w14:paraId="37710961"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720" w:type="dxa"/>
            <w:noWrap/>
            <w:vAlign w:val="center"/>
            <w:hideMark/>
          </w:tcPr>
          <w:p w14:paraId="0681AFF3"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631" w:type="dxa"/>
            <w:noWrap/>
            <w:vAlign w:val="center"/>
            <w:hideMark/>
          </w:tcPr>
          <w:p w14:paraId="3847AB5C"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720" w:type="dxa"/>
            <w:noWrap/>
            <w:vAlign w:val="center"/>
            <w:hideMark/>
          </w:tcPr>
          <w:p w14:paraId="3085B719"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763" w:type="dxa"/>
            <w:noWrap/>
            <w:vAlign w:val="center"/>
            <w:hideMark/>
          </w:tcPr>
          <w:p w14:paraId="14CE0949"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21</w:t>
            </w:r>
          </w:p>
        </w:tc>
        <w:tc>
          <w:tcPr>
            <w:tcW w:w="922" w:type="dxa"/>
            <w:noWrap/>
            <w:vAlign w:val="center"/>
            <w:hideMark/>
          </w:tcPr>
          <w:p w14:paraId="3F46E8C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p>
        </w:tc>
        <w:tc>
          <w:tcPr>
            <w:tcW w:w="1037" w:type="dxa"/>
            <w:noWrap/>
            <w:vAlign w:val="center"/>
            <w:hideMark/>
          </w:tcPr>
          <w:p w14:paraId="1E5CB0B3"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697" w:type="dxa"/>
            <w:noWrap/>
            <w:vAlign w:val="center"/>
            <w:hideMark/>
          </w:tcPr>
          <w:p w14:paraId="64F3826A"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1094" w:type="dxa"/>
            <w:noWrap/>
            <w:vAlign w:val="center"/>
            <w:hideMark/>
          </w:tcPr>
          <w:p w14:paraId="6CDF0FF8"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576" w:type="dxa"/>
            <w:noWrap/>
            <w:vAlign w:val="center"/>
            <w:hideMark/>
          </w:tcPr>
          <w:p w14:paraId="447499C6"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1080" w:type="dxa"/>
            <w:noWrap/>
            <w:vAlign w:val="center"/>
            <w:hideMark/>
          </w:tcPr>
          <w:p w14:paraId="483C245C"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WLC</w:t>
            </w:r>
          </w:p>
        </w:tc>
        <w:tc>
          <w:tcPr>
            <w:tcW w:w="749" w:type="dxa"/>
            <w:vAlign w:val="center"/>
          </w:tcPr>
          <w:p w14:paraId="464BB8AF"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61F8F48E"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86" w:type="dxa"/>
            <w:noWrap/>
            <w:vAlign w:val="center"/>
            <w:hideMark/>
          </w:tcPr>
          <w:p w14:paraId="26CAC36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r>
      <w:tr w:rsidR="00F8095D" w:rsidRPr="00D45CB4" w14:paraId="366CD630" w14:textId="77777777" w:rsidTr="006B32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4AB0DD68"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49</w:t>
            </w:r>
          </w:p>
        </w:tc>
        <w:tc>
          <w:tcPr>
            <w:tcW w:w="1731" w:type="dxa"/>
            <w:noWrap/>
            <w:vAlign w:val="center"/>
            <w:hideMark/>
          </w:tcPr>
          <w:p w14:paraId="7E2AC940"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Winnebeck et al., 2017</w:t>
            </w:r>
          </w:p>
        </w:tc>
        <w:tc>
          <w:tcPr>
            <w:tcW w:w="1269" w:type="dxa"/>
            <w:noWrap/>
            <w:vAlign w:val="center"/>
            <w:hideMark/>
          </w:tcPr>
          <w:p w14:paraId="4A77A0B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MDD</w:t>
            </w:r>
          </w:p>
        </w:tc>
        <w:tc>
          <w:tcPr>
            <w:tcW w:w="720" w:type="dxa"/>
            <w:noWrap/>
            <w:vAlign w:val="center"/>
            <w:hideMark/>
          </w:tcPr>
          <w:p w14:paraId="6A5DB870"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60.03</w:t>
            </w:r>
          </w:p>
        </w:tc>
        <w:tc>
          <w:tcPr>
            <w:tcW w:w="631" w:type="dxa"/>
            <w:noWrap/>
            <w:vAlign w:val="center"/>
            <w:hideMark/>
          </w:tcPr>
          <w:p w14:paraId="28799BB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41.52</w:t>
            </w:r>
          </w:p>
        </w:tc>
        <w:tc>
          <w:tcPr>
            <w:tcW w:w="720" w:type="dxa"/>
            <w:noWrap/>
            <w:vAlign w:val="center"/>
            <w:hideMark/>
          </w:tcPr>
          <w:p w14:paraId="5C57C56C"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36</w:t>
            </w:r>
          </w:p>
        </w:tc>
        <w:tc>
          <w:tcPr>
            <w:tcW w:w="763" w:type="dxa"/>
            <w:noWrap/>
            <w:vAlign w:val="center"/>
            <w:hideMark/>
          </w:tcPr>
          <w:p w14:paraId="2E3DA96F"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32</w:t>
            </w:r>
          </w:p>
        </w:tc>
        <w:tc>
          <w:tcPr>
            <w:tcW w:w="922" w:type="dxa"/>
            <w:noWrap/>
            <w:vAlign w:val="center"/>
            <w:hideMark/>
          </w:tcPr>
          <w:p w14:paraId="0E99E211"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rumination</w:t>
            </w:r>
          </w:p>
        </w:tc>
        <w:tc>
          <w:tcPr>
            <w:tcW w:w="1037" w:type="dxa"/>
            <w:noWrap/>
            <w:vAlign w:val="center"/>
            <w:hideMark/>
          </w:tcPr>
          <w:p w14:paraId="40825861"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MBI</w:t>
            </w:r>
          </w:p>
        </w:tc>
        <w:tc>
          <w:tcPr>
            <w:tcW w:w="697" w:type="dxa"/>
            <w:noWrap/>
            <w:vAlign w:val="center"/>
            <w:hideMark/>
          </w:tcPr>
          <w:p w14:paraId="63854F8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0C4933DB"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ind, i.-p.</w:t>
            </w:r>
          </w:p>
        </w:tc>
        <w:tc>
          <w:tcPr>
            <w:tcW w:w="576" w:type="dxa"/>
            <w:noWrap/>
            <w:vAlign w:val="center"/>
            <w:hideMark/>
          </w:tcPr>
          <w:p w14:paraId="6F57206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3</w:t>
            </w:r>
          </w:p>
        </w:tc>
        <w:tc>
          <w:tcPr>
            <w:tcW w:w="1080" w:type="dxa"/>
            <w:noWrap/>
            <w:vAlign w:val="center"/>
            <w:hideMark/>
          </w:tcPr>
          <w:p w14:paraId="7C8363C3"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PE and resting</w:t>
            </w:r>
          </w:p>
        </w:tc>
        <w:tc>
          <w:tcPr>
            <w:tcW w:w="749" w:type="dxa"/>
            <w:vAlign w:val="center"/>
          </w:tcPr>
          <w:p w14:paraId="57972759"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active</w:t>
            </w:r>
          </w:p>
        </w:tc>
        <w:tc>
          <w:tcPr>
            <w:tcW w:w="684" w:type="dxa"/>
            <w:noWrap/>
            <w:vAlign w:val="center"/>
            <w:hideMark/>
          </w:tcPr>
          <w:p w14:paraId="5CCD76BE"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51514910"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medium</w:t>
            </w:r>
          </w:p>
        </w:tc>
      </w:tr>
      <w:tr w:rsidR="00F8095D" w:rsidRPr="00D45CB4" w14:paraId="1C496D31" w14:textId="77777777" w:rsidTr="006B321E">
        <w:trPr>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0861AE15"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50.1</w:t>
            </w:r>
          </w:p>
        </w:tc>
        <w:tc>
          <w:tcPr>
            <w:tcW w:w="1731" w:type="dxa"/>
            <w:noWrap/>
            <w:vAlign w:val="center"/>
            <w:hideMark/>
          </w:tcPr>
          <w:p w14:paraId="26600969"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Wong et al., 2016</w:t>
            </w:r>
          </w:p>
        </w:tc>
        <w:tc>
          <w:tcPr>
            <w:tcW w:w="1269" w:type="dxa"/>
            <w:noWrap/>
            <w:vAlign w:val="center"/>
            <w:hideMark/>
          </w:tcPr>
          <w:p w14:paraId="4D55DA4F"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GAD</w:t>
            </w:r>
          </w:p>
        </w:tc>
        <w:tc>
          <w:tcPr>
            <w:tcW w:w="720" w:type="dxa"/>
            <w:noWrap/>
            <w:vAlign w:val="center"/>
            <w:hideMark/>
          </w:tcPr>
          <w:p w14:paraId="71A4E861"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78.70</w:t>
            </w:r>
          </w:p>
        </w:tc>
        <w:tc>
          <w:tcPr>
            <w:tcW w:w="631" w:type="dxa"/>
            <w:noWrap/>
            <w:vAlign w:val="center"/>
            <w:hideMark/>
          </w:tcPr>
          <w:p w14:paraId="5E73CFB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50.59</w:t>
            </w:r>
          </w:p>
        </w:tc>
        <w:tc>
          <w:tcPr>
            <w:tcW w:w="720" w:type="dxa"/>
            <w:noWrap/>
            <w:vAlign w:val="center"/>
            <w:hideMark/>
          </w:tcPr>
          <w:p w14:paraId="1BF490B3"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61</w:t>
            </w:r>
          </w:p>
        </w:tc>
        <w:tc>
          <w:tcPr>
            <w:tcW w:w="763" w:type="dxa"/>
            <w:noWrap/>
            <w:vAlign w:val="center"/>
            <w:hideMark/>
          </w:tcPr>
          <w:p w14:paraId="105FE81D"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61</w:t>
            </w:r>
          </w:p>
        </w:tc>
        <w:tc>
          <w:tcPr>
            <w:tcW w:w="922" w:type="dxa"/>
            <w:noWrap/>
            <w:vAlign w:val="center"/>
            <w:hideMark/>
          </w:tcPr>
          <w:p w14:paraId="4A58662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3C53697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MBCT</w:t>
            </w:r>
          </w:p>
        </w:tc>
        <w:tc>
          <w:tcPr>
            <w:tcW w:w="697" w:type="dxa"/>
            <w:noWrap/>
            <w:vAlign w:val="center"/>
            <w:hideMark/>
          </w:tcPr>
          <w:p w14:paraId="6701D3C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4C2608BA"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gr, i.-p.</w:t>
            </w:r>
          </w:p>
        </w:tc>
        <w:tc>
          <w:tcPr>
            <w:tcW w:w="576" w:type="dxa"/>
            <w:noWrap/>
            <w:vAlign w:val="center"/>
            <w:hideMark/>
          </w:tcPr>
          <w:p w14:paraId="6A29B171"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8</w:t>
            </w:r>
          </w:p>
        </w:tc>
        <w:tc>
          <w:tcPr>
            <w:tcW w:w="1080" w:type="dxa"/>
            <w:noWrap/>
            <w:vAlign w:val="center"/>
            <w:hideMark/>
          </w:tcPr>
          <w:p w14:paraId="5C892F24"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PE</w:t>
            </w:r>
          </w:p>
        </w:tc>
        <w:tc>
          <w:tcPr>
            <w:tcW w:w="749" w:type="dxa"/>
            <w:vAlign w:val="center"/>
          </w:tcPr>
          <w:p w14:paraId="15E251EC"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active</w:t>
            </w:r>
          </w:p>
        </w:tc>
        <w:tc>
          <w:tcPr>
            <w:tcW w:w="684" w:type="dxa"/>
            <w:noWrap/>
            <w:vAlign w:val="center"/>
            <w:hideMark/>
          </w:tcPr>
          <w:p w14:paraId="266D760B"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50565D63"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medium</w:t>
            </w:r>
          </w:p>
        </w:tc>
      </w:tr>
      <w:tr w:rsidR="00F8095D" w:rsidRPr="00D45CB4" w14:paraId="5D7DCD9F" w14:textId="77777777" w:rsidTr="006B32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47EEBC8E"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50.2</w:t>
            </w:r>
          </w:p>
        </w:tc>
        <w:tc>
          <w:tcPr>
            <w:tcW w:w="1731" w:type="dxa"/>
            <w:noWrap/>
            <w:vAlign w:val="center"/>
            <w:hideMark/>
          </w:tcPr>
          <w:p w14:paraId="2CC45F91"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p>
        </w:tc>
        <w:tc>
          <w:tcPr>
            <w:tcW w:w="1269" w:type="dxa"/>
            <w:noWrap/>
            <w:vAlign w:val="center"/>
            <w:hideMark/>
          </w:tcPr>
          <w:p w14:paraId="0492F833"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720" w:type="dxa"/>
            <w:noWrap/>
            <w:vAlign w:val="center"/>
            <w:hideMark/>
          </w:tcPr>
          <w:p w14:paraId="15486AB0"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631" w:type="dxa"/>
            <w:noWrap/>
            <w:vAlign w:val="center"/>
            <w:hideMark/>
          </w:tcPr>
          <w:p w14:paraId="1631913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720" w:type="dxa"/>
            <w:noWrap/>
            <w:vAlign w:val="center"/>
            <w:hideMark/>
          </w:tcPr>
          <w:p w14:paraId="069CDC6D"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763" w:type="dxa"/>
            <w:noWrap/>
            <w:vAlign w:val="center"/>
            <w:hideMark/>
          </w:tcPr>
          <w:p w14:paraId="4AC0F53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48</w:t>
            </w:r>
          </w:p>
        </w:tc>
        <w:tc>
          <w:tcPr>
            <w:tcW w:w="922" w:type="dxa"/>
            <w:noWrap/>
            <w:vAlign w:val="center"/>
            <w:hideMark/>
          </w:tcPr>
          <w:p w14:paraId="678C6B50"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p>
        </w:tc>
        <w:tc>
          <w:tcPr>
            <w:tcW w:w="1037" w:type="dxa"/>
            <w:noWrap/>
            <w:vAlign w:val="center"/>
            <w:hideMark/>
          </w:tcPr>
          <w:p w14:paraId="10FDD394"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697" w:type="dxa"/>
            <w:noWrap/>
            <w:vAlign w:val="center"/>
            <w:hideMark/>
          </w:tcPr>
          <w:p w14:paraId="74AA7D60"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1094" w:type="dxa"/>
            <w:noWrap/>
            <w:vAlign w:val="center"/>
            <w:hideMark/>
          </w:tcPr>
          <w:p w14:paraId="4B98B6F2"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576" w:type="dxa"/>
            <w:noWrap/>
            <w:vAlign w:val="center"/>
            <w:hideMark/>
          </w:tcPr>
          <w:p w14:paraId="3CAF517C"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c>
          <w:tcPr>
            <w:tcW w:w="1080" w:type="dxa"/>
            <w:noWrap/>
            <w:vAlign w:val="center"/>
            <w:hideMark/>
          </w:tcPr>
          <w:p w14:paraId="2CD5C74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usual care</w:t>
            </w:r>
          </w:p>
        </w:tc>
        <w:tc>
          <w:tcPr>
            <w:tcW w:w="749" w:type="dxa"/>
            <w:vAlign w:val="center"/>
          </w:tcPr>
          <w:p w14:paraId="204AE8B4"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74CE092B"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86" w:type="dxa"/>
            <w:noWrap/>
            <w:vAlign w:val="center"/>
            <w:hideMark/>
          </w:tcPr>
          <w:p w14:paraId="1F42B746"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kern w:val="0"/>
                <w:sz w:val="16"/>
                <w:szCs w:val="16"/>
              </w:rPr>
            </w:pPr>
          </w:p>
        </w:tc>
      </w:tr>
      <w:tr w:rsidR="00F8095D" w:rsidRPr="00D45CB4" w14:paraId="2151B202" w14:textId="77777777" w:rsidTr="006B321E">
        <w:trPr>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3E463AC2"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51</w:t>
            </w:r>
          </w:p>
        </w:tc>
        <w:tc>
          <w:tcPr>
            <w:tcW w:w="1731" w:type="dxa"/>
            <w:noWrap/>
            <w:vAlign w:val="center"/>
            <w:hideMark/>
          </w:tcPr>
          <w:p w14:paraId="2748F0D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Zemestani et al., 2021</w:t>
            </w:r>
          </w:p>
        </w:tc>
        <w:tc>
          <w:tcPr>
            <w:tcW w:w="1269" w:type="dxa"/>
            <w:noWrap/>
            <w:vAlign w:val="center"/>
            <w:hideMark/>
          </w:tcPr>
          <w:p w14:paraId="344BD261"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GAD</w:t>
            </w:r>
          </w:p>
        </w:tc>
        <w:tc>
          <w:tcPr>
            <w:tcW w:w="720" w:type="dxa"/>
            <w:noWrap/>
            <w:vAlign w:val="center"/>
            <w:hideMark/>
          </w:tcPr>
          <w:p w14:paraId="5BD2932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100.00</w:t>
            </w:r>
          </w:p>
        </w:tc>
        <w:tc>
          <w:tcPr>
            <w:tcW w:w="631" w:type="dxa"/>
            <w:noWrap/>
            <w:vAlign w:val="center"/>
            <w:hideMark/>
          </w:tcPr>
          <w:p w14:paraId="386416AF"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25.14</w:t>
            </w:r>
          </w:p>
        </w:tc>
        <w:tc>
          <w:tcPr>
            <w:tcW w:w="720" w:type="dxa"/>
            <w:noWrap/>
            <w:vAlign w:val="center"/>
            <w:hideMark/>
          </w:tcPr>
          <w:p w14:paraId="72C71768"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15</w:t>
            </w:r>
          </w:p>
        </w:tc>
        <w:tc>
          <w:tcPr>
            <w:tcW w:w="763" w:type="dxa"/>
            <w:noWrap/>
            <w:vAlign w:val="center"/>
            <w:hideMark/>
          </w:tcPr>
          <w:p w14:paraId="5AD9D6D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15</w:t>
            </w:r>
          </w:p>
        </w:tc>
        <w:tc>
          <w:tcPr>
            <w:tcW w:w="922" w:type="dxa"/>
            <w:noWrap/>
            <w:vAlign w:val="center"/>
            <w:hideMark/>
          </w:tcPr>
          <w:p w14:paraId="72139280"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73E832A1"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CBT-IU</w:t>
            </w:r>
          </w:p>
        </w:tc>
        <w:tc>
          <w:tcPr>
            <w:tcW w:w="697" w:type="dxa"/>
            <w:noWrap/>
            <w:vAlign w:val="center"/>
            <w:hideMark/>
          </w:tcPr>
          <w:p w14:paraId="2DEB4DB0"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spec</w:t>
            </w:r>
          </w:p>
        </w:tc>
        <w:tc>
          <w:tcPr>
            <w:tcW w:w="1094" w:type="dxa"/>
            <w:noWrap/>
            <w:vAlign w:val="center"/>
            <w:hideMark/>
          </w:tcPr>
          <w:p w14:paraId="371034E0"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ind, i.-p.</w:t>
            </w:r>
          </w:p>
        </w:tc>
        <w:tc>
          <w:tcPr>
            <w:tcW w:w="576" w:type="dxa"/>
            <w:noWrap/>
            <w:vAlign w:val="center"/>
            <w:hideMark/>
          </w:tcPr>
          <w:p w14:paraId="03C94A59"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12</w:t>
            </w:r>
          </w:p>
        </w:tc>
        <w:tc>
          <w:tcPr>
            <w:tcW w:w="1080" w:type="dxa"/>
            <w:noWrap/>
            <w:vAlign w:val="center"/>
            <w:hideMark/>
          </w:tcPr>
          <w:p w14:paraId="5C35EB0F"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Pharma</w:t>
            </w:r>
          </w:p>
        </w:tc>
        <w:tc>
          <w:tcPr>
            <w:tcW w:w="749" w:type="dxa"/>
            <w:vAlign w:val="center"/>
          </w:tcPr>
          <w:p w14:paraId="1B87772B"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active</w:t>
            </w:r>
          </w:p>
        </w:tc>
        <w:tc>
          <w:tcPr>
            <w:tcW w:w="684" w:type="dxa"/>
            <w:noWrap/>
            <w:vAlign w:val="center"/>
            <w:hideMark/>
          </w:tcPr>
          <w:p w14:paraId="36F3627F"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32166C9E"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medium</w:t>
            </w:r>
          </w:p>
        </w:tc>
      </w:tr>
      <w:tr w:rsidR="00F8095D" w:rsidRPr="00D45CB4" w14:paraId="506EF390" w14:textId="77777777" w:rsidTr="006B321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5626AA93"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52</w:t>
            </w:r>
          </w:p>
        </w:tc>
        <w:tc>
          <w:tcPr>
            <w:tcW w:w="1731" w:type="dxa"/>
            <w:noWrap/>
            <w:vAlign w:val="center"/>
            <w:hideMark/>
          </w:tcPr>
          <w:p w14:paraId="246ABDEB"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Zinbarg et al., 2007</w:t>
            </w:r>
          </w:p>
        </w:tc>
        <w:tc>
          <w:tcPr>
            <w:tcW w:w="1269" w:type="dxa"/>
            <w:noWrap/>
            <w:vAlign w:val="center"/>
            <w:hideMark/>
          </w:tcPr>
          <w:p w14:paraId="2E04A52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GAD</w:t>
            </w:r>
          </w:p>
        </w:tc>
        <w:tc>
          <w:tcPr>
            <w:tcW w:w="720" w:type="dxa"/>
            <w:noWrap/>
            <w:vAlign w:val="center"/>
            <w:hideMark/>
          </w:tcPr>
          <w:p w14:paraId="0340BFA2"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66.67</w:t>
            </w:r>
          </w:p>
        </w:tc>
        <w:tc>
          <w:tcPr>
            <w:tcW w:w="631" w:type="dxa"/>
            <w:noWrap/>
            <w:vAlign w:val="center"/>
            <w:hideMark/>
          </w:tcPr>
          <w:p w14:paraId="660463FE"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41.94</w:t>
            </w:r>
          </w:p>
        </w:tc>
        <w:tc>
          <w:tcPr>
            <w:tcW w:w="720" w:type="dxa"/>
            <w:noWrap/>
            <w:vAlign w:val="center"/>
            <w:hideMark/>
          </w:tcPr>
          <w:p w14:paraId="517D05AE"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8</w:t>
            </w:r>
          </w:p>
        </w:tc>
        <w:tc>
          <w:tcPr>
            <w:tcW w:w="763" w:type="dxa"/>
            <w:noWrap/>
            <w:vAlign w:val="center"/>
            <w:hideMark/>
          </w:tcPr>
          <w:p w14:paraId="444FBF1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10</w:t>
            </w:r>
          </w:p>
        </w:tc>
        <w:tc>
          <w:tcPr>
            <w:tcW w:w="922" w:type="dxa"/>
            <w:noWrap/>
            <w:vAlign w:val="center"/>
            <w:hideMark/>
          </w:tcPr>
          <w:p w14:paraId="42630896"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6C4D288C"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Mastery of Your Anxiety and Worry</w:t>
            </w:r>
          </w:p>
        </w:tc>
        <w:tc>
          <w:tcPr>
            <w:tcW w:w="697" w:type="dxa"/>
            <w:noWrap/>
            <w:vAlign w:val="center"/>
            <w:hideMark/>
          </w:tcPr>
          <w:p w14:paraId="67197CB1"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spec</w:t>
            </w:r>
          </w:p>
        </w:tc>
        <w:tc>
          <w:tcPr>
            <w:tcW w:w="1094" w:type="dxa"/>
            <w:noWrap/>
            <w:vAlign w:val="center"/>
            <w:hideMark/>
          </w:tcPr>
          <w:p w14:paraId="57D179A0"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ind, i.-p.</w:t>
            </w:r>
          </w:p>
        </w:tc>
        <w:tc>
          <w:tcPr>
            <w:tcW w:w="576" w:type="dxa"/>
            <w:noWrap/>
            <w:vAlign w:val="center"/>
            <w:hideMark/>
          </w:tcPr>
          <w:p w14:paraId="1A33DB7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12</w:t>
            </w:r>
          </w:p>
        </w:tc>
        <w:tc>
          <w:tcPr>
            <w:tcW w:w="1080" w:type="dxa"/>
            <w:noWrap/>
            <w:vAlign w:val="center"/>
            <w:hideMark/>
          </w:tcPr>
          <w:p w14:paraId="52777D75"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WLC</w:t>
            </w:r>
          </w:p>
        </w:tc>
        <w:tc>
          <w:tcPr>
            <w:tcW w:w="749" w:type="dxa"/>
            <w:vAlign w:val="center"/>
          </w:tcPr>
          <w:p w14:paraId="4D14DCCD"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34678282"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+?o-+</w:t>
            </w:r>
          </w:p>
        </w:tc>
        <w:tc>
          <w:tcPr>
            <w:tcW w:w="786" w:type="dxa"/>
            <w:noWrap/>
            <w:vAlign w:val="center"/>
            <w:hideMark/>
          </w:tcPr>
          <w:p w14:paraId="02068D7F"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high</w:t>
            </w:r>
          </w:p>
        </w:tc>
      </w:tr>
      <w:tr w:rsidR="00F8095D" w:rsidRPr="00D45CB4" w14:paraId="3B5BFBE7" w14:textId="77777777" w:rsidTr="006B321E">
        <w:trPr>
          <w:trHeight w:val="360"/>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4B82BE85"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53</w:t>
            </w:r>
          </w:p>
        </w:tc>
        <w:tc>
          <w:tcPr>
            <w:tcW w:w="1731" w:type="dxa"/>
            <w:noWrap/>
            <w:vAlign w:val="center"/>
            <w:hideMark/>
          </w:tcPr>
          <w:p w14:paraId="71D3D1AD"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de Almeida Sampaio et al., 2020</w:t>
            </w:r>
          </w:p>
        </w:tc>
        <w:tc>
          <w:tcPr>
            <w:tcW w:w="1269" w:type="dxa"/>
            <w:noWrap/>
            <w:vAlign w:val="center"/>
            <w:hideMark/>
          </w:tcPr>
          <w:p w14:paraId="661FC01F"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GAD</w:t>
            </w:r>
          </w:p>
        </w:tc>
        <w:tc>
          <w:tcPr>
            <w:tcW w:w="720" w:type="dxa"/>
            <w:noWrap/>
            <w:vAlign w:val="center"/>
            <w:hideMark/>
          </w:tcPr>
          <w:p w14:paraId="6B1A633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73.91</w:t>
            </w:r>
          </w:p>
        </w:tc>
        <w:tc>
          <w:tcPr>
            <w:tcW w:w="631" w:type="dxa"/>
            <w:noWrap/>
            <w:vAlign w:val="center"/>
            <w:hideMark/>
          </w:tcPr>
          <w:p w14:paraId="6E5D1BC8"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36.55</w:t>
            </w:r>
          </w:p>
        </w:tc>
        <w:tc>
          <w:tcPr>
            <w:tcW w:w="720" w:type="dxa"/>
            <w:noWrap/>
            <w:vAlign w:val="center"/>
            <w:hideMark/>
          </w:tcPr>
          <w:p w14:paraId="04FFA99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21</w:t>
            </w:r>
          </w:p>
        </w:tc>
        <w:tc>
          <w:tcPr>
            <w:tcW w:w="763" w:type="dxa"/>
            <w:noWrap/>
            <w:vAlign w:val="center"/>
            <w:hideMark/>
          </w:tcPr>
          <w:p w14:paraId="5F19C8EA"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23</w:t>
            </w:r>
          </w:p>
        </w:tc>
        <w:tc>
          <w:tcPr>
            <w:tcW w:w="922" w:type="dxa"/>
            <w:noWrap/>
            <w:vAlign w:val="center"/>
            <w:hideMark/>
          </w:tcPr>
          <w:p w14:paraId="7B3DA8A6"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077BDAE0"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ABBT</w:t>
            </w:r>
          </w:p>
        </w:tc>
        <w:tc>
          <w:tcPr>
            <w:tcW w:w="697" w:type="dxa"/>
            <w:noWrap/>
            <w:vAlign w:val="center"/>
            <w:hideMark/>
          </w:tcPr>
          <w:p w14:paraId="35886C83"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4DB7ACB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gr, i.-p.</w:t>
            </w:r>
          </w:p>
        </w:tc>
        <w:tc>
          <w:tcPr>
            <w:tcW w:w="576" w:type="dxa"/>
            <w:noWrap/>
            <w:vAlign w:val="center"/>
            <w:hideMark/>
          </w:tcPr>
          <w:p w14:paraId="1A69BB21"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10</w:t>
            </w:r>
          </w:p>
        </w:tc>
        <w:tc>
          <w:tcPr>
            <w:tcW w:w="1080" w:type="dxa"/>
            <w:noWrap/>
            <w:vAlign w:val="center"/>
            <w:hideMark/>
          </w:tcPr>
          <w:p w14:paraId="653CA1E0"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supportive group therapy</w:t>
            </w:r>
          </w:p>
        </w:tc>
        <w:tc>
          <w:tcPr>
            <w:tcW w:w="749" w:type="dxa"/>
            <w:vAlign w:val="center"/>
          </w:tcPr>
          <w:p w14:paraId="621AF3C0"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active</w:t>
            </w:r>
          </w:p>
        </w:tc>
        <w:tc>
          <w:tcPr>
            <w:tcW w:w="684" w:type="dxa"/>
            <w:noWrap/>
            <w:vAlign w:val="center"/>
            <w:hideMark/>
          </w:tcPr>
          <w:p w14:paraId="3F0603BD"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64CA2E38"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high</w:t>
            </w:r>
          </w:p>
        </w:tc>
      </w:tr>
      <w:tr w:rsidR="00F8095D" w:rsidRPr="00D45CB4" w14:paraId="14A83C54" w14:textId="77777777" w:rsidTr="006B32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52DB936D"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54.1</w:t>
            </w:r>
          </w:p>
        </w:tc>
        <w:tc>
          <w:tcPr>
            <w:tcW w:w="1731" w:type="dxa"/>
            <w:noWrap/>
            <w:vAlign w:val="center"/>
            <w:hideMark/>
          </w:tcPr>
          <w:p w14:paraId="4CB39384"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lang w:val="de-DE"/>
              </w:rPr>
            </w:pPr>
            <w:r w:rsidRPr="00D45CB4">
              <w:rPr>
                <w:color w:val="000000"/>
                <w:kern w:val="0"/>
                <w:sz w:val="16"/>
                <w:szCs w:val="16"/>
                <w:lang w:val="de-DE"/>
              </w:rPr>
              <w:t>van der Heiden et al., 2012</w:t>
            </w:r>
          </w:p>
        </w:tc>
        <w:tc>
          <w:tcPr>
            <w:tcW w:w="1269" w:type="dxa"/>
            <w:noWrap/>
            <w:vAlign w:val="center"/>
            <w:hideMark/>
          </w:tcPr>
          <w:p w14:paraId="202EFD6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GAD</w:t>
            </w:r>
          </w:p>
        </w:tc>
        <w:tc>
          <w:tcPr>
            <w:tcW w:w="720" w:type="dxa"/>
            <w:noWrap/>
            <w:vAlign w:val="center"/>
            <w:hideMark/>
          </w:tcPr>
          <w:p w14:paraId="45BC3913"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75.41</w:t>
            </w:r>
          </w:p>
        </w:tc>
        <w:tc>
          <w:tcPr>
            <w:tcW w:w="631" w:type="dxa"/>
            <w:noWrap/>
            <w:vAlign w:val="center"/>
            <w:hideMark/>
          </w:tcPr>
          <w:p w14:paraId="60E673E1"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35.44</w:t>
            </w:r>
          </w:p>
        </w:tc>
        <w:tc>
          <w:tcPr>
            <w:tcW w:w="720" w:type="dxa"/>
            <w:noWrap/>
            <w:vAlign w:val="center"/>
            <w:hideMark/>
          </w:tcPr>
          <w:p w14:paraId="03F860C0"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54</w:t>
            </w:r>
          </w:p>
        </w:tc>
        <w:tc>
          <w:tcPr>
            <w:tcW w:w="763" w:type="dxa"/>
            <w:noWrap/>
            <w:vAlign w:val="center"/>
            <w:hideMark/>
          </w:tcPr>
          <w:p w14:paraId="6AA44957"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20</w:t>
            </w:r>
          </w:p>
        </w:tc>
        <w:tc>
          <w:tcPr>
            <w:tcW w:w="922" w:type="dxa"/>
            <w:noWrap/>
            <w:vAlign w:val="center"/>
            <w:hideMark/>
          </w:tcPr>
          <w:p w14:paraId="3B9E732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worry</w:t>
            </w:r>
          </w:p>
        </w:tc>
        <w:tc>
          <w:tcPr>
            <w:tcW w:w="1037" w:type="dxa"/>
            <w:noWrap/>
            <w:vAlign w:val="center"/>
            <w:hideMark/>
          </w:tcPr>
          <w:p w14:paraId="48B4BC98"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MCT</w:t>
            </w:r>
          </w:p>
        </w:tc>
        <w:tc>
          <w:tcPr>
            <w:tcW w:w="697" w:type="dxa"/>
            <w:noWrap/>
            <w:vAlign w:val="center"/>
            <w:hideMark/>
          </w:tcPr>
          <w:p w14:paraId="58B3DEBF"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noWrap/>
            <w:vAlign w:val="center"/>
            <w:hideMark/>
          </w:tcPr>
          <w:p w14:paraId="077522D3"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ind, i.-p.</w:t>
            </w:r>
          </w:p>
        </w:tc>
        <w:tc>
          <w:tcPr>
            <w:tcW w:w="576" w:type="dxa"/>
            <w:noWrap/>
            <w:vAlign w:val="center"/>
            <w:hideMark/>
          </w:tcPr>
          <w:p w14:paraId="33C5BF89"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14</w:t>
            </w:r>
          </w:p>
        </w:tc>
        <w:tc>
          <w:tcPr>
            <w:tcW w:w="1080" w:type="dxa"/>
            <w:noWrap/>
            <w:vAlign w:val="center"/>
            <w:hideMark/>
          </w:tcPr>
          <w:p w14:paraId="4451BE2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WLC</w:t>
            </w:r>
          </w:p>
        </w:tc>
        <w:tc>
          <w:tcPr>
            <w:tcW w:w="749" w:type="dxa"/>
            <w:vAlign w:val="center"/>
          </w:tcPr>
          <w:p w14:paraId="0EF93178"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08EB84C4"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w:t>
            </w:r>
          </w:p>
        </w:tc>
        <w:tc>
          <w:tcPr>
            <w:tcW w:w="786" w:type="dxa"/>
            <w:noWrap/>
            <w:vAlign w:val="center"/>
            <w:hideMark/>
          </w:tcPr>
          <w:p w14:paraId="4E510135"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high</w:t>
            </w:r>
          </w:p>
        </w:tc>
      </w:tr>
      <w:tr w:rsidR="00F8095D" w:rsidRPr="00D45CB4" w14:paraId="60161D74" w14:textId="77777777" w:rsidTr="006B321E">
        <w:trPr>
          <w:trHeight w:val="288"/>
        </w:trPr>
        <w:tc>
          <w:tcPr>
            <w:cnfStyle w:val="001000000000" w:firstRow="0" w:lastRow="0" w:firstColumn="1" w:lastColumn="0" w:oddVBand="0" w:evenVBand="0" w:oddHBand="0" w:evenHBand="0" w:firstRowFirstColumn="0" w:firstRowLastColumn="0" w:lastRowFirstColumn="0" w:lastRowLastColumn="0"/>
            <w:tcW w:w="504" w:type="dxa"/>
            <w:noWrap/>
            <w:vAlign w:val="center"/>
            <w:hideMark/>
          </w:tcPr>
          <w:p w14:paraId="151F0F7A"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54.2</w:t>
            </w:r>
          </w:p>
        </w:tc>
        <w:tc>
          <w:tcPr>
            <w:tcW w:w="1731" w:type="dxa"/>
            <w:noWrap/>
            <w:vAlign w:val="center"/>
            <w:hideMark/>
          </w:tcPr>
          <w:p w14:paraId="63A16E32"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p>
        </w:tc>
        <w:tc>
          <w:tcPr>
            <w:tcW w:w="1269" w:type="dxa"/>
            <w:noWrap/>
            <w:vAlign w:val="center"/>
            <w:hideMark/>
          </w:tcPr>
          <w:p w14:paraId="430D5AD1"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720" w:type="dxa"/>
            <w:noWrap/>
            <w:vAlign w:val="center"/>
            <w:hideMark/>
          </w:tcPr>
          <w:p w14:paraId="7261D7EB"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631" w:type="dxa"/>
            <w:noWrap/>
            <w:vAlign w:val="center"/>
            <w:hideMark/>
          </w:tcPr>
          <w:p w14:paraId="2EA543F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720" w:type="dxa"/>
            <w:noWrap/>
            <w:vAlign w:val="center"/>
            <w:hideMark/>
          </w:tcPr>
          <w:p w14:paraId="152D1C4C"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52</w:t>
            </w:r>
          </w:p>
        </w:tc>
        <w:tc>
          <w:tcPr>
            <w:tcW w:w="763" w:type="dxa"/>
            <w:noWrap/>
            <w:vAlign w:val="center"/>
            <w:hideMark/>
          </w:tcPr>
          <w:p w14:paraId="7EA3409C"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p>
        </w:tc>
        <w:tc>
          <w:tcPr>
            <w:tcW w:w="922" w:type="dxa"/>
            <w:noWrap/>
            <w:vAlign w:val="center"/>
            <w:hideMark/>
          </w:tcPr>
          <w:p w14:paraId="57F298EE"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c>
          <w:tcPr>
            <w:tcW w:w="1037" w:type="dxa"/>
            <w:noWrap/>
            <w:vAlign w:val="center"/>
            <w:hideMark/>
          </w:tcPr>
          <w:p w14:paraId="10E1D0D5"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IUT</w:t>
            </w:r>
          </w:p>
        </w:tc>
        <w:tc>
          <w:tcPr>
            <w:tcW w:w="697" w:type="dxa"/>
            <w:noWrap/>
            <w:vAlign w:val="center"/>
            <w:hideMark/>
          </w:tcPr>
          <w:p w14:paraId="42154436"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spec</w:t>
            </w:r>
          </w:p>
        </w:tc>
        <w:tc>
          <w:tcPr>
            <w:tcW w:w="1094" w:type="dxa"/>
            <w:noWrap/>
            <w:vAlign w:val="center"/>
            <w:hideMark/>
          </w:tcPr>
          <w:p w14:paraId="44E6945F"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ind, i.-p.</w:t>
            </w:r>
          </w:p>
        </w:tc>
        <w:tc>
          <w:tcPr>
            <w:tcW w:w="576" w:type="dxa"/>
            <w:noWrap/>
            <w:vAlign w:val="center"/>
            <w:hideMark/>
          </w:tcPr>
          <w:p w14:paraId="5CD6E8A9"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r w:rsidRPr="00D45CB4">
              <w:rPr>
                <w:color w:val="000000"/>
                <w:kern w:val="0"/>
                <w:sz w:val="16"/>
                <w:szCs w:val="16"/>
              </w:rPr>
              <w:t>14</w:t>
            </w:r>
          </w:p>
        </w:tc>
        <w:tc>
          <w:tcPr>
            <w:tcW w:w="1080" w:type="dxa"/>
            <w:noWrap/>
            <w:vAlign w:val="center"/>
            <w:hideMark/>
          </w:tcPr>
          <w:p w14:paraId="3BA887AB"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kern w:val="0"/>
                <w:sz w:val="16"/>
                <w:szCs w:val="16"/>
              </w:rPr>
            </w:pPr>
          </w:p>
        </w:tc>
        <w:tc>
          <w:tcPr>
            <w:tcW w:w="749" w:type="dxa"/>
            <w:vAlign w:val="center"/>
          </w:tcPr>
          <w:p w14:paraId="4B6970A7" w14:textId="77777777" w:rsidR="00517516" w:rsidRPr="00D45CB4" w:rsidRDefault="00517516" w:rsidP="00FE2E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D45CB4">
              <w:rPr>
                <w:color w:val="000000"/>
                <w:sz w:val="16"/>
                <w:szCs w:val="16"/>
              </w:rPr>
              <w:t>passive</w:t>
            </w:r>
          </w:p>
        </w:tc>
        <w:tc>
          <w:tcPr>
            <w:tcW w:w="684" w:type="dxa"/>
            <w:noWrap/>
            <w:vAlign w:val="center"/>
            <w:hideMark/>
          </w:tcPr>
          <w:p w14:paraId="2713A617" w14:textId="77777777" w:rsidR="00517516" w:rsidRPr="00D45CB4" w:rsidRDefault="00517516" w:rsidP="0051751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86" w:type="dxa"/>
            <w:noWrap/>
            <w:vAlign w:val="center"/>
            <w:hideMark/>
          </w:tcPr>
          <w:p w14:paraId="37D777A7" w14:textId="77777777" w:rsidR="00517516" w:rsidRPr="00D45CB4" w:rsidRDefault="00517516" w:rsidP="00517516">
            <w:pPr>
              <w:spacing w:line="276" w:lineRule="auto"/>
              <w:jc w:val="center"/>
              <w:cnfStyle w:val="000000000000" w:firstRow="0" w:lastRow="0" w:firstColumn="0" w:lastColumn="0" w:oddVBand="0" w:evenVBand="0" w:oddHBand="0" w:evenHBand="0" w:firstRowFirstColumn="0" w:firstRowLastColumn="0" w:lastRowFirstColumn="0" w:lastRowLastColumn="0"/>
              <w:rPr>
                <w:kern w:val="0"/>
                <w:sz w:val="16"/>
                <w:szCs w:val="16"/>
              </w:rPr>
            </w:pPr>
          </w:p>
        </w:tc>
      </w:tr>
      <w:tr w:rsidR="00F8095D" w:rsidRPr="00D45CB4" w14:paraId="69AA339F" w14:textId="77777777" w:rsidTr="006B32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 w:type="dxa"/>
            <w:tcBorders>
              <w:bottom w:val="single" w:sz="12" w:space="0" w:color="auto"/>
            </w:tcBorders>
            <w:noWrap/>
            <w:vAlign w:val="center"/>
            <w:hideMark/>
          </w:tcPr>
          <w:p w14:paraId="4B74D889" w14:textId="77777777" w:rsidR="00517516" w:rsidRPr="00D45CB4" w:rsidRDefault="00517516" w:rsidP="00517516">
            <w:pPr>
              <w:spacing w:line="276" w:lineRule="auto"/>
              <w:rPr>
                <w:color w:val="000000"/>
                <w:kern w:val="0"/>
                <w:sz w:val="16"/>
                <w:szCs w:val="16"/>
              </w:rPr>
            </w:pPr>
            <w:r w:rsidRPr="00D45CB4">
              <w:rPr>
                <w:color w:val="000000"/>
                <w:kern w:val="0"/>
                <w:sz w:val="16"/>
                <w:szCs w:val="16"/>
              </w:rPr>
              <w:t>55</w:t>
            </w:r>
          </w:p>
        </w:tc>
        <w:tc>
          <w:tcPr>
            <w:tcW w:w="1731" w:type="dxa"/>
            <w:tcBorders>
              <w:bottom w:val="single" w:sz="12" w:space="0" w:color="auto"/>
            </w:tcBorders>
            <w:noWrap/>
            <w:vAlign w:val="center"/>
            <w:hideMark/>
          </w:tcPr>
          <w:p w14:paraId="5CA3E11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lang w:val="de-DE"/>
              </w:rPr>
            </w:pPr>
            <w:r w:rsidRPr="00D45CB4">
              <w:rPr>
                <w:color w:val="000000"/>
                <w:kern w:val="0"/>
                <w:sz w:val="16"/>
                <w:szCs w:val="16"/>
                <w:lang w:val="de-DE"/>
              </w:rPr>
              <w:t>van der Zweerde et al., 2019</w:t>
            </w:r>
          </w:p>
        </w:tc>
        <w:tc>
          <w:tcPr>
            <w:tcW w:w="1269" w:type="dxa"/>
            <w:tcBorders>
              <w:bottom w:val="single" w:sz="12" w:space="0" w:color="auto"/>
            </w:tcBorders>
            <w:noWrap/>
            <w:vAlign w:val="center"/>
            <w:hideMark/>
          </w:tcPr>
          <w:p w14:paraId="15FF7A6A"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Insomnia</w:t>
            </w:r>
          </w:p>
        </w:tc>
        <w:tc>
          <w:tcPr>
            <w:tcW w:w="720" w:type="dxa"/>
            <w:tcBorders>
              <w:bottom w:val="single" w:sz="12" w:space="0" w:color="auto"/>
            </w:tcBorders>
            <w:noWrap/>
            <w:vAlign w:val="center"/>
            <w:hideMark/>
          </w:tcPr>
          <w:p w14:paraId="0507F16E"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81.75</w:t>
            </w:r>
          </w:p>
        </w:tc>
        <w:tc>
          <w:tcPr>
            <w:tcW w:w="631" w:type="dxa"/>
            <w:tcBorders>
              <w:bottom w:val="single" w:sz="12" w:space="0" w:color="auto"/>
            </w:tcBorders>
            <w:noWrap/>
            <w:vAlign w:val="center"/>
            <w:hideMark/>
          </w:tcPr>
          <w:p w14:paraId="1CC5AFED"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45.47</w:t>
            </w:r>
          </w:p>
        </w:tc>
        <w:tc>
          <w:tcPr>
            <w:tcW w:w="720" w:type="dxa"/>
            <w:tcBorders>
              <w:bottom w:val="single" w:sz="12" w:space="0" w:color="auto"/>
            </w:tcBorders>
            <w:noWrap/>
            <w:vAlign w:val="center"/>
            <w:hideMark/>
          </w:tcPr>
          <w:p w14:paraId="66FADBF4"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52</w:t>
            </w:r>
          </w:p>
        </w:tc>
        <w:tc>
          <w:tcPr>
            <w:tcW w:w="763" w:type="dxa"/>
            <w:tcBorders>
              <w:bottom w:val="single" w:sz="12" w:space="0" w:color="auto"/>
            </w:tcBorders>
            <w:noWrap/>
            <w:vAlign w:val="center"/>
            <w:hideMark/>
          </w:tcPr>
          <w:p w14:paraId="40D51D12"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52</w:t>
            </w:r>
          </w:p>
        </w:tc>
        <w:tc>
          <w:tcPr>
            <w:tcW w:w="922" w:type="dxa"/>
            <w:tcBorders>
              <w:bottom w:val="single" w:sz="12" w:space="0" w:color="auto"/>
            </w:tcBorders>
            <w:noWrap/>
            <w:vAlign w:val="center"/>
            <w:hideMark/>
          </w:tcPr>
          <w:p w14:paraId="4AC917ED"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RNT</w:t>
            </w:r>
          </w:p>
        </w:tc>
        <w:tc>
          <w:tcPr>
            <w:tcW w:w="1037" w:type="dxa"/>
            <w:tcBorders>
              <w:bottom w:val="single" w:sz="12" w:space="0" w:color="auto"/>
            </w:tcBorders>
            <w:noWrap/>
            <w:vAlign w:val="center"/>
            <w:hideMark/>
          </w:tcPr>
          <w:p w14:paraId="1FA7B784"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CBT</w:t>
            </w:r>
          </w:p>
        </w:tc>
        <w:tc>
          <w:tcPr>
            <w:tcW w:w="697" w:type="dxa"/>
            <w:tcBorders>
              <w:bottom w:val="single" w:sz="12" w:space="0" w:color="auto"/>
            </w:tcBorders>
            <w:noWrap/>
            <w:vAlign w:val="center"/>
            <w:hideMark/>
          </w:tcPr>
          <w:p w14:paraId="00380352"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gen</w:t>
            </w:r>
          </w:p>
        </w:tc>
        <w:tc>
          <w:tcPr>
            <w:tcW w:w="1094" w:type="dxa"/>
            <w:tcBorders>
              <w:bottom w:val="single" w:sz="12" w:space="0" w:color="auto"/>
            </w:tcBorders>
            <w:noWrap/>
            <w:vAlign w:val="center"/>
            <w:hideMark/>
          </w:tcPr>
          <w:p w14:paraId="7FE41563"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ind, videocall</w:t>
            </w:r>
          </w:p>
        </w:tc>
        <w:tc>
          <w:tcPr>
            <w:tcW w:w="576" w:type="dxa"/>
            <w:tcBorders>
              <w:bottom w:val="single" w:sz="12" w:space="0" w:color="auto"/>
            </w:tcBorders>
            <w:noWrap/>
            <w:vAlign w:val="center"/>
            <w:hideMark/>
          </w:tcPr>
          <w:p w14:paraId="6C15646F"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5</w:t>
            </w:r>
          </w:p>
        </w:tc>
        <w:tc>
          <w:tcPr>
            <w:tcW w:w="1080" w:type="dxa"/>
            <w:tcBorders>
              <w:bottom w:val="single" w:sz="12" w:space="0" w:color="auto"/>
            </w:tcBorders>
            <w:noWrap/>
            <w:vAlign w:val="center"/>
            <w:hideMark/>
          </w:tcPr>
          <w:p w14:paraId="0BBAED17"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sleep diary</w:t>
            </w:r>
          </w:p>
        </w:tc>
        <w:tc>
          <w:tcPr>
            <w:tcW w:w="749" w:type="dxa"/>
            <w:tcBorders>
              <w:bottom w:val="single" w:sz="12" w:space="0" w:color="auto"/>
            </w:tcBorders>
            <w:vAlign w:val="center"/>
          </w:tcPr>
          <w:p w14:paraId="1D263B16" w14:textId="77777777" w:rsidR="00517516" w:rsidRPr="00D45CB4" w:rsidRDefault="00517516" w:rsidP="00FE2E1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active</w:t>
            </w:r>
          </w:p>
        </w:tc>
        <w:tc>
          <w:tcPr>
            <w:tcW w:w="684" w:type="dxa"/>
            <w:tcBorders>
              <w:bottom w:val="single" w:sz="12" w:space="0" w:color="auto"/>
            </w:tcBorders>
            <w:noWrap/>
            <w:vAlign w:val="center"/>
            <w:hideMark/>
          </w:tcPr>
          <w:p w14:paraId="5EB58984" w14:textId="77777777" w:rsidR="00517516" w:rsidRPr="00D45CB4" w:rsidRDefault="00517516" w:rsidP="0051751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D45CB4">
              <w:rPr>
                <w:color w:val="000000"/>
                <w:sz w:val="16"/>
                <w:szCs w:val="16"/>
              </w:rPr>
              <w:t>++-++</w:t>
            </w:r>
          </w:p>
        </w:tc>
        <w:tc>
          <w:tcPr>
            <w:tcW w:w="786" w:type="dxa"/>
            <w:tcBorders>
              <w:bottom w:val="single" w:sz="12" w:space="0" w:color="auto"/>
            </w:tcBorders>
            <w:noWrap/>
            <w:vAlign w:val="center"/>
            <w:hideMark/>
          </w:tcPr>
          <w:p w14:paraId="75697493" w14:textId="77777777" w:rsidR="00517516" w:rsidRPr="00D45CB4" w:rsidRDefault="00517516" w:rsidP="00517516">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kern w:val="0"/>
                <w:sz w:val="16"/>
                <w:szCs w:val="16"/>
              </w:rPr>
            </w:pPr>
            <w:r w:rsidRPr="00D45CB4">
              <w:rPr>
                <w:color w:val="000000"/>
                <w:kern w:val="0"/>
                <w:sz w:val="16"/>
                <w:szCs w:val="16"/>
              </w:rPr>
              <w:t>medium</w:t>
            </w:r>
          </w:p>
        </w:tc>
      </w:tr>
    </w:tbl>
    <w:p w14:paraId="418B3D4B" w14:textId="77777777" w:rsidR="00AA5025" w:rsidRPr="00B0720F" w:rsidRDefault="00AA5025" w:rsidP="00B0720F">
      <w:pPr>
        <w:spacing w:line="276" w:lineRule="auto"/>
        <w:rPr>
          <w:sz w:val="18"/>
          <w:szCs w:val="18"/>
        </w:rPr>
        <w:sectPr w:rsidR="00AA5025" w:rsidRPr="00B0720F" w:rsidSect="003356A7">
          <w:pgSz w:w="15840" w:h="12240" w:orient="landscape"/>
          <w:pgMar w:top="1440" w:right="1440" w:bottom="1440" w:left="1440" w:header="720" w:footer="720" w:gutter="0"/>
          <w:lnNumType w:countBy="1" w:restart="continuous"/>
          <w:cols w:space="720"/>
          <w:docGrid w:linePitch="360"/>
        </w:sectPr>
      </w:pPr>
      <w:r w:rsidRPr="007C13C9">
        <w:rPr>
          <w:bCs/>
          <w:i/>
          <w:sz w:val="18"/>
          <w:szCs w:val="18"/>
        </w:rPr>
        <w:t xml:space="preserve">Note. </w:t>
      </w:r>
      <w:r>
        <w:rPr>
          <w:bCs/>
          <w:iCs/>
          <w:sz w:val="18"/>
          <w:szCs w:val="18"/>
        </w:rPr>
        <w:t xml:space="preserve">Leftmost column: Unique study, decimal place indicates a second treatment or control arm </w:t>
      </w:r>
      <w:r w:rsidRPr="007C13C9">
        <w:rPr>
          <w:b/>
          <w:bCs/>
          <w:sz w:val="18"/>
          <w:szCs w:val="18"/>
        </w:rPr>
        <w:t>Primary diagnoses:</w:t>
      </w:r>
      <w:r w:rsidRPr="007C13C9">
        <w:rPr>
          <w:sz w:val="18"/>
          <w:szCs w:val="18"/>
        </w:rPr>
        <w:t xml:space="preserve"> AD = Anxiety Disorder, ADNOS = Anxiety Disorder Not Otherwise Specified, ADA = Adjustment Disorder with Anxiety, AG = Agoraphobia, BP-I = Bipolar I Disorder, BP-II = Bipolar II Disorder, GAD = Generalized Anxiety Disorder, MDD = Major Depressive Disorder, PD = Panic Disorder, PTSD = Post-Traumatic Stress Disorder, SAD = Social Anxiety Disorder, SD = Somatization Disorder, trMDD = Treatment-Resistant Major Depressive Disorder</w:t>
      </w:r>
      <w:r w:rsidRPr="007C13C9">
        <w:rPr>
          <w:b/>
          <w:bCs/>
          <w:sz w:val="18"/>
          <w:szCs w:val="18"/>
        </w:rPr>
        <w:t>. Treatment</w:t>
      </w:r>
      <w:r w:rsidRPr="007C13C9">
        <w:rPr>
          <w:sz w:val="18"/>
          <w:szCs w:val="18"/>
        </w:rPr>
        <w:t>: ABBT = Acceptance-Based Behavior Therapy, ACT = Acceptance and Commitment Therapy, AR = Applied Relaxation, CBT = Cognitive Behavioral Therapy, IU = Intolerance of Uncertainty, IUT = Intolerance of Uncertainty Therapy, CCBT = Computerized Cognitive Behavioral Therapy, COMET = Competitive Memory Training, iCBT = Internet-Based Cognitive Behavioral Therapy, MBCT = Mindfulness-Based Cognitive Therapy, tDCS = transcranial Direct Current Stimulation, MBI = Mindfulness-Based Interventions, MBSR = Mindfulness-Based Stress Reduction, MCT = Metacognitive Therapy, UP = Unified Protocol for Transdiagnostic Treatment of Emotional Disorders.</w:t>
      </w:r>
      <w:r w:rsidRPr="007C13C9">
        <w:rPr>
          <w:b/>
          <w:bCs/>
          <w:sz w:val="18"/>
          <w:szCs w:val="18"/>
        </w:rPr>
        <w:t xml:space="preserve"> Specificity</w:t>
      </w:r>
      <w:r w:rsidRPr="007C13C9">
        <w:rPr>
          <w:sz w:val="18"/>
          <w:szCs w:val="18"/>
        </w:rPr>
        <w:t xml:space="preserve"> (treatment specificity – targeting RNT outcome explicitly): gen = general, spec = specific</w:t>
      </w:r>
      <w:r w:rsidRPr="007C13C9">
        <w:rPr>
          <w:b/>
          <w:bCs/>
          <w:sz w:val="18"/>
          <w:szCs w:val="18"/>
        </w:rPr>
        <w:t>. Setting</w:t>
      </w:r>
      <w:r w:rsidRPr="007C13C9">
        <w:rPr>
          <w:sz w:val="18"/>
          <w:szCs w:val="18"/>
        </w:rPr>
        <w:t>: ind = individual, gr = group, i.-b. = internet-based, i.-p. = in-perso</w:t>
      </w:r>
      <w:r w:rsidRPr="0005511F">
        <w:rPr>
          <w:sz w:val="18"/>
          <w:szCs w:val="18"/>
        </w:rPr>
        <w:t>n.</w:t>
      </w:r>
      <w:r w:rsidRPr="007C13C9">
        <w:rPr>
          <w:b/>
          <w:bCs/>
          <w:sz w:val="18"/>
          <w:szCs w:val="18"/>
        </w:rPr>
        <w:t xml:space="preserve"> Control group</w:t>
      </w:r>
      <w:r w:rsidRPr="007C13C9">
        <w:rPr>
          <w:sz w:val="18"/>
          <w:szCs w:val="18"/>
        </w:rPr>
        <w:t>: AC = Attention Control, MC = Minimal Contact, Pharma = Pharmacotherapy, PE = Psychoeducation, PT = Psychotherapy, SPT = Supportive Psychotherapy, TAU = Treatment as Usual, WLC = Waitlist-Control</w:t>
      </w:r>
      <w:r w:rsidRPr="007C13C9">
        <w:rPr>
          <w:b/>
          <w:bCs/>
          <w:sz w:val="18"/>
          <w:szCs w:val="18"/>
        </w:rPr>
        <w:t>. Quality</w:t>
      </w:r>
      <w:r w:rsidRPr="007C13C9">
        <w:rPr>
          <w:sz w:val="18"/>
          <w:szCs w:val="18"/>
        </w:rPr>
        <w:t>:</w:t>
      </w:r>
      <w:r w:rsidRPr="007C13C9">
        <w:rPr>
          <w:b/>
          <w:bCs/>
          <w:sz w:val="18"/>
          <w:szCs w:val="18"/>
        </w:rPr>
        <w:t xml:space="preserve"> </w:t>
      </w:r>
      <w:r w:rsidRPr="007C13C9">
        <w:rPr>
          <w:sz w:val="18"/>
          <w:szCs w:val="18"/>
        </w:rPr>
        <w:t>In order of appearance: (1) Proper randomized allocation, (2) allocation concealment, (3) blinding of study personnel, (4) complete outcome reporting, (5) unselective outcome reporting; “+” = yes, “-“ = no, “o” = partly, “?” = no information.</w:t>
      </w:r>
    </w:p>
    <w:p w14:paraId="40C7061E" w14:textId="77777777" w:rsidR="003970B0" w:rsidRPr="00A20BE9" w:rsidRDefault="003970B0" w:rsidP="003970B0">
      <w:pPr>
        <w:spacing w:after="200" w:line="276" w:lineRule="auto"/>
        <w:rPr>
          <w:b/>
          <w:sz w:val="28"/>
          <w:szCs w:val="28"/>
          <w:lang w:val="en-US"/>
        </w:rPr>
      </w:pPr>
      <w:r w:rsidRPr="00A20BE9">
        <w:rPr>
          <w:b/>
          <w:sz w:val="28"/>
          <w:szCs w:val="28"/>
          <w:lang w:val="en-US"/>
        </w:rPr>
        <w:lastRenderedPageBreak/>
        <w:t>SI7 Variable Coding as General vs. RNT-specific CBT</w:t>
      </w:r>
    </w:p>
    <w:tbl>
      <w:tblPr>
        <w:tblStyle w:val="GridTable1Light"/>
        <w:tblW w:w="0" w:type="auto"/>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ook w:val="04A0" w:firstRow="1" w:lastRow="0" w:firstColumn="1" w:lastColumn="0" w:noHBand="0" w:noVBand="1"/>
      </w:tblPr>
      <w:tblGrid>
        <w:gridCol w:w="4590"/>
        <w:gridCol w:w="4888"/>
      </w:tblGrid>
      <w:tr w:rsidR="00B96E8C" w:rsidRPr="003970B0" w14:paraId="703CA3D2" w14:textId="77777777" w:rsidTr="00377FF9">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590" w:type="dxa"/>
            <w:tcBorders>
              <w:bottom w:val="single" w:sz="4" w:space="0" w:color="000000"/>
            </w:tcBorders>
            <w:vAlign w:val="center"/>
          </w:tcPr>
          <w:p w14:paraId="67872F05" w14:textId="75001FDF" w:rsidR="00B96E8C" w:rsidRPr="00A20BE9" w:rsidRDefault="00B96E8C" w:rsidP="00B96E8C">
            <w:pPr>
              <w:spacing w:after="200" w:line="276" w:lineRule="auto"/>
              <w:jc w:val="center"/>
            </w:pPr>
            <w:r w:rsidRPr="00A20BE9">
              <w:t>RNT-specific CBT treatments</w:t>
            </w:r>
          </w:p>
        </w:tc>
        <w:tc>
          <w:tcPr>
            <w:tcW w:w="4888" w:type="dxa"/>
            <w:tcBorders>
              <w:bottom w:val="single" w:sz="4" w:space="0" w:color="000000"/>
            </w:tcBorders>
            <w:noWrap/>
            <w:vAlign w:val="center"/>
            <w:hideMark/>
          </w:tcPr>
          <w:p w14:paraId="2E4273DB" w14:textId="046666EC" w:rsidR="00B96E8C" w:rsidRPr="00A20BE9" w:rsidRDefault="00B96E8C" w:rsidP="00B96E8C">
            <w:pPr>
              <w:spacing w:after="200" w:line="276" w:lineRule="auto"/>
              <w:jc w:val="center"/>
              <w:cnfStyle w:val="100000000000" w:firstRow="1" w:lastRow="0" w:firstColumn="0" w:lastColumn="0" w:oddVBand="0" w:evenVBand="0" w:oddHBand="0" w:evenHBand="0" w:firstRowFirstColumn="0" w:firstRowLastColumn="0" w:lastRowFirstColumn="0" w:lastRowLastColumn="0"/>
              <w:rPr>
                <w:lang w:val="en-US"/>
              </w:rPr>
            </w:pPr>
            <w:r w:rsidRPr="00A20BE9">
              <w:t>General CBT treatments</w:t>
            </w:r>
          </w:p>
        </w:tc>
      </w:tr>
      <w:tr w:rsidR="00B96E8C" w:rsidRPr="003970B0" w14:paraId="58B1A18E" w14:textId="77777777" w:rsidTr="00377FF9">
        <w:trPr>
          <w:trHeight w:val="357"/>
        </w:trPr>
        <w:tc>
          <w:tcPr>
            <w:cnfStyle w:val="001000000000" w:firstRow="0" w:lastRow="0" w:firstColumn="1" w:lastColumn="0" w:oddVBand="0" w:evenVBand="0" w:oddHBand="0" w:evenHBand="0" w:firstRowFirstColumn="0" w:firstRowLastColumn="0" w:lastRowFirstColumn="0" w:lastRowLastColumn="0"/>
            <w:tcW w:w="4590" w:type="dxa"/>
            <w:tcBorders>
              <w:top w:val="single" w:sz="4" w:space="0" w:color="000000"/>
            </w:tcBorders>
            <w:vAlign w:val="center"/>
          </w:tcPr>
          <w:p w14:paraId="1C4A3334" w14:textId="20D3B290" w:rsidR="00B96E8C" w:rsidRPr="00874C5C" w:rsidRDefault="00B96E8C" w:rsidP="00B96E8C">
            <w:pPr>
              <w:spacing w:after="200" w:line="276" w:lineRule="auto"/>
              <w:jc w:val="center"/>
              <w:rPr>
                <w:b w:val="0"/>
                <w:bCs w:val="0"/>
              </w:rPr>
            </w:pPr>
            <w:r w:rsidRPr="00874C5C">
              <w:rPr>
                <w:b w:val="0"/>
                <w:bCs w:val="0"/>
              </w:rPr>
              <w:t>ACT</w:t>
            </w:r>
          </w:p>
        </w:tc>
        <w:tc>
          <w:tcPr>
            <w:tcW w:w="4888" w:type="dxa"/>
            <w:tcBorders>
              <w:top w:val="single" w:sz="4" w:space="0" w:color="000000"/>
            </w:tcBorders>
            <w:noWrap/>
            <w:vAlign w:val="center"/>
            <w:hideMark/>
          </w:tcPr>
          <w:p w14:paraId="61659231" w14:textId="4823B100" w:rsidR="00B96E8C" w:rsidRPr="00A20BE9" w:rsidRDefault="00B96E8C" w:rsidP="00B96E8C">
            <w:pPr>
              <w:spacing w:after="20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A20BE9">
              <w:t>ABBT</w:t>
            </w:r>
          </w:p>
        </w:tc>
      </w:tr>
      <w:tr w:rsidR="00B96E8C" w:rsidRPr="003970B0" w14:paraId="66D3C43C" w14:textId="77777777" w:rsidTr="00377FF9">
        <w:trPr>
          <w:trHeight w:val="357"/>
        </w:trPr>
        <w:tc>
          <w:tcPr>
            <w:cnfStyle w:val="001000000000" w:firstRow="0" w:lastRow="0" w:firstColumn="1" w:lastColumn="0" w:oddVBand="0" w:evenVBand="0" w:oddHBand="0" w:evenHBand="0" w:firstRowFirstColumn="0" w:firstRowLastColumn="0" w:lastRowFirstColumn="0" w:lastRowLastColumn="0"/>
            <w:tcW w:w="4590" w:type="dxa"/>
            <w:vAlign w:val="center"/>
          </w:tcPr>
          <w:p w14:paraId="0B8506A5" w14:textId="74761527" w:rsidR="00B96E8C" w:rsidRPr="00874C5C" w:rsidRDefault="00B96E8C" w:rsidP="00B96E8C">
            <w:pPr>
              <w:spacing w:after="200" w:line="276" w:lineRule="auto"/>
              <w:jc w:val="center"/>
              <w:rPr>
                <w:b w:val="0"/>
                <w:bCs w:val="0"/>
              </w:rPr>
            </w:pPr>
            <w:r w:rsidRPr="00874C5C">
              <w:rPr>
                <w:b w:val="0"/>
                <w:bCs w:val="0"/>
              </w:rPr>
              <w:t>AR + Worry Exposure</w:t>
            </w:r>
          </w:p>
        </w:tc>
        <w:tc>
          <w:tcPr>
            <w:tcW w:w="4888" w:type="dxa"/>
            <w:noWrap/>
            <w:vAlign w:val="center"/>
            <w:hideMark/>
          </w:tcPr>
          <w:p w14:paraId="318F99C8" w14:textId="659B2270" w:rsidR="00B96E8C" w:rsidRPr="00A20BE9" w:rsidRDefault="00B96E8C" w:rsidP="00B96E8C">
            <w:pPr>
              <w:spacing w:after="20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A20BE9">
              <w:t>Anxiety Program</w:t>
            </w:r>
          </w:p>
        </w:tc>
      </w:tr>
      <w:tr w:rsidR="00377FF9" w:rsidRPr="003970B0" w14:paraId="7841E19A" w14:textId="77777777" w:rsidTr="00377FF9">
        <w:trPr>
          <w:trHeight w:val="357"/>
        </w:trPr>
        <w:tc>
          <w:tcPr>
            <w:cnfStyle w:val="001000000000" w:firstRow="0" w:lastRow="0" w:firstColumn="1" w:lastColumn="0" w:oddVBand="0" w:evenVBand="0" w:oddHBand="0" w:evenHBand="0" w:firstRowFirstColumn="0" w:firstRowLastColumn="0" w:lastRowFirstColumn="0" w:lastRowLastColumn="0"/>
            <w:tcW w:w="4590" w:type="dxa"/>
            <w:vAlign w:val="center"/>
          </w:tcPr>
          <w:p w14:paraId="4289551C" w14:textId="347CA31D" w:rsidR="00377FF9" w:rsidRPr="00874C5C" w:rsidRDefault="00377FF9" w:rsidP="00B96E8C">
            <w:pPr>
              <w:spacing w:after="200" w:line="276" w:lineRule="auto"/>
              <w:jc w:val="center"/>
              <w:rPr>
                <w:b w:val="0"/>
                <w:bCs w:val="0"/>
              </w:rPr>
            </w:pPr>
            <w:r w:rsidRPr="00874C5C">
              <w:rPr>
                <w:b w:val="0"/>
                <w:bCs w:val="0"/>
              </w:rPr>
              <w:t>CBT-IU</w:t>
            </w:r>
          </w:p>
        </w:tc>
        <w:tc>
          <w:tcPr>
            <w:tcW w:w="4888" w:type="dxa"/>
            <w:noWrap/>
            <w:vAlign w:val="center"/>
            <w:hideMark/>
          </w:tcPr>
          <w:p w14:paraId="651C0F3B" w14:textId="095CA742" w:rsidR="00377FF9" w:rsidRPr="00A20BE9" w:rsidRDefault="00377FF9" w:rsidP="00B96E8C">
            <w:pPr>
              <w:spacing w:after="20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A20BE9">
              <w:t>AR</w:t>
            </w:r>
          </w:p>
        </w:tc>
      </w:tr>
      <w:tr w:rsidR="00377FF9" w:rsidRPr="003970B0" w14:paraId="718FA67F" w14:textId="77777777" w:rsidTr="00377FF9">
        <w:trPr>
          <w:trHeight w:val="357"/>
        </w:trPr>
        <w:tc>
          <w:tcPr>
            <w:cnfStyle w:val="001000000000" w:firstRow="0" w:lastRow="0" w:firstColumn="1" w:lastColumn="0" w:oddVBand="0" w:evenVBand="0" w:oddHBand="0" w:evenHBand="0" w:firstRowFirstColumn="0" w:firstRowLastColumn="0" w:lastRowFirstColumn="0" w:lastRowLastColumn="0"/>
            <w:tcW w:w="4590" w:type="dxa"/>
            <w:vAlign w:val="center"/>
          </w:tcPr>
          <w:p w14:paraId="04B25CBB" w14:textId="518CA0FE" w:rsidR="00377FF9" w:rsidRPr="00874C5C" w:rsidRDefault="00377FF9" w:rsidP="00B96E8C">
            <w:pPr>
              <w:spacing w:after="200" w:line="276" w:lineRule="auto"/>
              <w:jc w:val="center"/>
              <w:rPr>
                <w:b w:val="0"/>
                <w:bCs w:val="0"/>
              </w:rPr>
            </w:pPr>
            <w:r w:rsidRPr="00874C5C">
              <w:rPr>
                <w:b w:val="0"/>
                <w:bCs w:val="0"/>
              </w:rPr>
              <w:t>COMET</w:t>
            </w:r>
          </w:p>
        </w:tc>
        <w:tc>
          <w:tcPr>
            <w:tcW w:w="4888" w:type="dxa"/>
            <w:noWrap/>
            <w:vAlign w:val="center"/>
            <w:hideMark/>
          </w:tcPr>
          <w:p w14:paraId="1278D785" w14:textId="2BB31027" w:rsidR="00377FF9" w:rsidRPr="006C1C19" w:rsidRDefault="00377FF9" w:rsidP="00B96E8C">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6C1C19">
              <w:t>(non RNT specific) CBT</w:t>
            </w:r>
          </w:p>
        </w:tc>
      </w:tr>
      <w:tr w:rsidR="00377FF9" w:rsidRPr="003970B0" w14:paraId="055A22EF" w14:textId="77777777" w:rsidTr="00377FF9">
        <w:trPr>
          <w:trHeight w:val="357"/>
        </w:trPr>
        <w:tc>
          <w:tcPr>
            <w:cnfStyle w:val="001000000000" w:firstRow="0" w:lastRow="0" w:firstColumn="1" w:lastColumn="0" w:oddVBand="0" w:evenVBand="0" w:oddHBand="0" w:evenHBand="0" w:firstRowFirstColumn="0" w:firstRowLastColumn="0" w:lastRowFirstColumn="0" w:lastRowLastColumn="0"/>
            <w:tcW w:w="4590" w:type="dxa"/>
            <w:vAlign w:val="center"/>
          </w:tcPr>
          <w:p w14:paraId="0711B649" w14:textId="4EE80F22" w:rsidR="00377FF9" w:rsidRPr="00874C5C" w:rsidRDefault="006C1C19" w:rsidP="00B96E8C">
            <w:pPr>
              <w:spacing w:after="200" w:line="276" w:lineRule="auto"/>
              <w:jc w:val="center"/>
              <w:rPr>
                <w:b w:val="0"/>
                <w:bCs w:val="0"/>
              </w:rPr>
            </w:pPr>
            <w:r w:rsidRPr="00874C5C">
              <w:rPr>
                <w:b w:val="0"/>
                <w:bCs w:val="0"/>
              </w:rPr>
              <w:t>RNT-</w:t>
            </w:r>
            <w:r w:rsidR="00020564" w:rsidRPr="00874C5C">
              <w:rPr>
                <w:b w:val="0"/>
                <w:bCs w:val="0"/>
              </w:rPr>
              <w:t>specific</w:t>
            </w:r>
            <w:r w:rsidRPr="00874C5C">
              <w:rPr>
                <w:b w:val="0"/>
                <w:bCs w:val="0"/>
              </w:rPr>
              <w:t xml:space="preserve"> </w:t>
            </w:r>
            <w:r w:rsidR="00377FF9" w:rsidRPr="00874C5C">
              <w:rPr>
                <w:b w:val="0"/>
                <w:bCs w:val="0"/>
              </w:rPr>
              <w:t>iCBT</w:t>
            </w:r>
          </w:p>
        </w:tc>
        <w:tc>
          <w:tcPr>
            <w:tcW w:w="4888" w:type="dxa"/>
            <w:noWrap/>
            <w:vAlign w:val="center"/>
            <w:hideMark/>
          </w:tcPr>
          <w:p w14:paraId="2EF355BE" w14:textId="499C2A5B" w:rsidR="00377FF9" w:rsidRPr="00A20BE9" w:rsidRDefault="00377FF9" w:rsidP="00B96E8C">
            <w:pPr>
              <w:spacing w:after="20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A20BE9">
              <w:t>CBT - lay provider</w:t>
            </w:r>
          </w:p>
        </w:tc>
      </w:tr>
      <w:tr w:rsidR="00377FF9" w:rsidRPr="003970B0" w14:paraId="119B87AB" w14:textId="77777777" w:rsidTr="00377FF9">
        <w:trPr>
          <w:trHeight w:val="357"/>
        </w:trPr>
        <w:tc>
          <w:tcPr>
            <w:cnfStyle w:val="001000000000" w:firstRow="0" w:lastRow="0" w:firstColumn="1" w:lastColumn="0" w:oddVBand="0" w:evenVBand="0" w:oddHBand="0" w:evenHBand="0" w:firstRowFirstColumn="0" w:firstRowLastColumn="0" w:lastRowFirstColumn="0" w:lastRowLastColumn="0"/>
            <w:tcW w:w="4590" w:type="dxa"/>
            <w:vAlign w:val="center"/>
          </w:tcPr>
          <w:p w14:paraId="5EABAC08" w14:textId="7C4C4C69" w:rsidR="00377FF9" w:rsidRPr="00874C5C" w:rsidRDefault="00377FF9" w:rsidP="00B96E8C">
            <w:pPr>
              <w:spacing w:after="200" w:line="276" w:lineRule="auto"/>
              <w:jc w:val="center"/>
              <w:rPr>
                <w:b w:val="0"/>
                <w:bCs w:val="0"/>
              </w:rPr>
            </w:pPr>
            <w:r w:rsidRPr="00874C5C">
              <w:rPr>
                <w:b w:val="0"/>
                <w:bCs w:val="0"/>
              </w:rPr>
              <w:t>IUT</w:t>
            </w:r>
          </w:p>
        </w:tc>
        <w:tc>
          <w:tcPr>
            <w:tcW w:w="4888" w:type="dxa"/>
            <w:noWrap/>
            <w:vAlign w:val="center"/>
            <w:hideMark/>
          </w:tcPr>
          <w:p w14:paraId="6DFACB91" w14:textId="4D8ABE19" w:rsidR="00377FF9" w:rsidRPr="00A20BE9" w:rsidRDefault="00377FF9" w:rsidP="00B96E8C">
            <w:pPr>
              <w:spacing w:after="20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A20BE9">
              <w:t>CBT - imagery rescripting</w:t>
            </w:r>
          </w:p>
        </w:tc>
      </w:tr>
      <w:tr w:rsidR="00377FF9" w:rsidRPr="003970B0" w14:paraId="5B54F7AE" w14:textId="77777777" w:rsidTr="00377FF9">
        <w:trPr>
          <w:trHeight w:val="357"/>
        </w:trPr>
        <w:tc>
          <w:tcPr>
            <w:cnfStyle w:val="001000000000" w:firstRow="0" w:lastRow="0" w:firstColumn="1" w:lastColumn="0" w:oddVBand="0" w:evenVBand="0" w:oddHBand="0" w:evenHBand="0" w:firstRowFirstColumn="0" w:firstRowLastColumn="0" w:lastRowFirstColumn="0" w:lastRowLastColumn="0"/>
            <w:tcW w:w="4590" w:type="dxa"/>
            <w:vAlign w:val="center"/>
          </w:tcPr>
          <w:p w14:paraId="6F1EF309" w14:textId="5A226CBC" w:rsidR="00377FF9" w:rsidRPr="00874C5C" w:rsidRDefault="00377FF9" w:rsidP="00B96E8C">
            <w:pPr>
              <w:spacing w:after="200" w:line="276" w:lineRule="auto"/>
              <w:jc w:val="center"/>
              <w:rPr>
                <w:b w:val="0"/>
                <w:bCs w:val="0"/>
              </w:rPr>
            </w:pPr>
            <w:r w:rsidRPr="00874C5C">
              <w:rPr>
                <w:b w:val="0"/>
                <w:bCs w:val="0"/>
              </w:rPr>
              <w:t>Mastery of Your Anxiety and Worry</w:t>
            </w:r>
          </w:p>
        </w:tc>
        <w:tc>
          <w:tcPr>
            <w:tcW w:w="4888" w:type="dxa"/>
            <w:noWrap/>
            <w:vAlign w:val="center"/>
            <w:hideMark/>
          </w:tcPr>
          <w:p w14:paraId="16B0686A" w14:textId="7AF39EC5" w:rsidR="00377FF9" w:rsidRPr="00A20BE9" w:rsidRDefault="00377FF9" w:rsidP="00B96E8C">
            <w:pPr>
              <w:spacing w:after="20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A20BE9">
              <w:t>CBT - verbal restructuring</w:t>
            </w:r>
          </w:p>
        </w:tc>
      </w:tr>
      <w:tr w:rsidR="00377FF9" w:rsidRPr="003970B0" w14:paraId="156E2165" w14:textId="77777777" w:rsidTr="00377FF9">
        <w:trPr>
          <w:trHeight w:val="357"/>
        </w:trPr>
        <w:tc>
          <w:tcPr>
            <w:cnfStyle w:val="001000000000" w:firstRow="0" w:lastRow="0" w:firstColumn="1" w:lastColumn="0" w:oddVBand="0" w:evenVBand="0" w:oddHBand="0" w:evenHBand="0" w:firstRowFirstColumn="0" w:firstRowLastColumn="0" w:lastRowFirstColumn="0" w:lastRowLastColumn="0"/>
            <w:tcW w:w="4590" w:type="dxa"/>
            <w:vAlign w:val="center"/>
          </w:tcPr>
          <w:p w14:paraId="72D53B04" w14:textId="52862B8D" w:rsidR="00377FF9" w:rsidRPr="00874C5C" w:rsidRDefault="00377FF9" w:rsidP="00B96E8C">
            <w:pPr>
              <w:spacing w:after="200" w:line="276" w:lineRule="auto"/>
              <w:jc w:val="center"/>
              <w:rPr>
                <w:b w:val="0"/>
                <w:bCs w:val="0"/>
              </w:rPr>
            </w:pPr>
            <w:r w:rsidRPr="00874C5C">
              <w:rPr>
                <w:b w:val="0"/>
                <w:bCs w:val="0"/>
              </w:rPr>
              <w:t>Worry Exposure</w:t>
            </w:r>
          </w:p>
        </w:tc>
        <w:tc>
          <w:tcPr>
            <w:tcW w:w="4888" w:type="dxa"/>
            <w:noWrap/>
            <w:vAlign w:val="center"/>
            <w:hideMark/>
          </w:tcPr>
          <w:p w14:paraId="65AEA726" w14:textId="115E89B2" w:rsidR="00377FF9" w:rsidRPr="00A20BE9" w:rsidRDefault="00377FF9" w:rsidP="00B96E8C">
            <w:pPr>
              <w:spacing w:after="20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A20BE9">
              <w:t>CCBT</w:t>
            </w:r>
          </w:p>
        </w:tc>
      </w:tr>
      <w:tr w:rsidR="00377FF9" w:rsidRPr="003970B0" w14:paraId="52C85C0D" w14:textId="77777777" w:rsidTr="00377FF9">
        <w:trPr>
          <w:trHeight w:val="357"/>
        </w:trPr>
        <w:tc>
          <w:tcPr>
            <w:cnfStyle w:val="001000000000" w:firstRow="0" w:lastRow="0" w:firstColumn="1" w:lastColumn="0" w:oddVBand="0" w:evenVBand="0" w:oddHBand="0" w:evenHBand="0" w:firstRowFirstColumn="0" w:firstRowLastColumn="0" w:lastRowFirstColumn="0" w:lastRowLastColumn="0"/>
            <w:tcW w:w="4590" w:type="dxa"/>
            <w:vAlign w:val="center"/>
          </w:tcPr>
          <w:p w14:paraId="0DC71237" w14:textId="6F80EC54" w:rsidR="00377FF9" w:rsidRPr="00874C5C" w:rsidRDefault="00377FF9" w:rsidP="00B96E8C">
            <w:pPr>
              <w:spacing w:after="200" w:line="276" w:lineRule="auto"/>
              <w:jc w:val="center"/>
              <w:rPr>
                <w:b w:val="0"/>
                <w:bCs w:val="0"/>
              </w:rPr>
            </w:pPr>
            <w:r w:rsidRPr="00874C5C">
              <w:rPr>
                <w:b w:val="0"/>
                <w:bCs w:val="0"/>
              </w:rPr>
              <w:t>Worry Program</w:t>
            </w:r>
          </w:p>
        </w:tc>
        <w:tc>
          <w:tcPr>
            <w:tcW w:w="4888" w:type="dxa"/>
            <w:noWrap/>
            <w:vAlign w:val="center"/>
            <w:hideMark/>
          </w:tcPr>
          <w:p w14:paraId="3D03E97F" w14:textId="794601FC" w:rsidR="00377FF9" w:rsidRPr="00A20BE9" w:rsidRDefault="00377FF9" w:rsidP="00B96E8C">
            <w:pPr>
              <w:spacing w:after="20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A20BE9">
              <w:t>Emotion Regulation Therapy</w:t>
            </w:r>
          </w:p>
        </w:tc>
      </w:tr>
      <w:tr w:rsidR="00377FF9" w:rsidRPr="003970B0" w14:paraId="623DEA01" w14:textId="77777777" w:rsidTr="00377FF9">
        <w:trPr>
          <w:trHeight w:val="357"/>
        </w:trPr>
        <w:tc>
          <w:tcPr>
            <w:cnfStyle w:val="001000000000" w:firstRow="0" w:lastRow="0" w:firstColumn="1" w:lastColumn="0" w:oddVBand="0" w:evenVBand="0" w:oddHBand="0" w:evenHBand="0" w:firstRowFirstColumn="0" w:firstRowLastColumn="0" w:lastRowFirstColumn="0" w:lastRowLastColumn="0"/>
            <w:tcW w:w="4590" w:type="dxa"/>
            <w:vAlign w:val="center"/>
          </w:tcPr>
          <w:p w14:paraId="4841A4B5" w14:textId="0A72E7C4" w:rsidR="00377FF9" w:rsidRPr="00874C5C" w:rsidRDefault="00377FF9" w:rsidP="00B96E8C">
            <w:pPr>
              <w:spacing w:after="200" w:line="276" w:lineRule="auto"/>
              <w:jc w:val="center"/>
              <w:rPr>
                <w:b w:val="0"/>
                <w:bCs w:val="0"/>
              </w:rPr>
            </w:pPr>
            <w:r w:rsidRPr="00874C5C">
              <w:rPr>
                <w:b w:val="0"/>
                <w:bCs w:val="0"/>
              </w:rPr>
              <w:t>Worry Program - technician assisted</w:t>
            </w:r>
          </w:p>
        </w:tc>
        <w:tc>
          <w:tcPr>
            <w:tcW w:w="4888" w:type="dxa"/>
            <w:noWrap/>
            <w:vAlign w:val="center"/>
            <w:hideMark/>
          </w:tcPr>
          <w:p w14:paraId="6B804FDD" w14:textId="29129096" w:rsidR="00377FF9" w:rsidRPr="00A20BE9" w:rsidRDefault="00377FF9" w:rsidP="00B96E8C">
            <w:pPr>
              <w:spacing w:after="20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A20BE9">
              <w:t>MBCT</w:t>
            </w:r>
          </w:p>
        </w:tc>
      </w:tr>
      <w:tr w:rsidR="00377FF9" w:rsidRPr="003970B0" w14:paraId="0601AA80" w14:textId="77777777" w:rsidTr="00377FF9">
        <w:trPr>
          <w:trHeight w:val="357"/>
        </w:trPr>
        <w:tc>
          <w:tcPr>
            <w:cnfStyle w:val="001000000000" w:firstRow="0" w:lastRow="0" w:firstColumn="1" w:lastColumn="0" w:oddVBand="0" w:evenVBand="0" w:oddHBand="0" w:evenHBand="0" w:firstRowFirstColumn="0" w:firstRowLastColumn="0" w:lastRowFirstColumn="0" w:lastRowLastColumn="0"/>
            <w:tcW w:w="4590" w:type="dxa"/>
            <w:vAlign w:val="center"/>
          </w:tcPr>
          <w:p w14:paraId="737C6610" w14:textId="1BDA96FF" w:rsidR="00377FF9" w:rsidRPr="00874C5C" w:rsidRDefault="00377FF9" w:rsidP="00B96E8C">
            <w:pPr>
              <w:spacing w:after="200" w:line="276" w:lineRule="auto"/>
              <w:jc w:val="center"/>
              <w:rPr>
                <w:b w:val="0"/>
                <w:bCs w:val="0"/>
              </w:rPr>
            </w:pPr>
            <w:r w:rsidRPr="00874C5C">
              <w:rPr>
                <w:b w:val="0"/>
                <w:bCs w:val="0"/>
              </w:rPr>
              <w:t>Worry Program - clinician assisted</w:t>
            </w:r>
          </w:p>
        </w:tc>
        <w:tc>
          <w:tcPr>
            <w:tcW w:w="4888" w:type="dxa"/>
            <w:noWrap/>
            <w:vAlign w:val="center"/>
            <w:hideMark/>
          </w:tcPr>
          <w:p w14:paraId="7C472557" w14:textId="195881E8" w:rsidR="00377FF9" w:rsidRPr="00A20BE9" w:rsidRDefault="00377FF9" w:rsidP="00B96E8C">
            <w:pPr>
              <w:spacing w:after="20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A20BE9">
              <w:t>MBCT+tDCS</w:t>
            </w:r>
          </w:p>
        </w:tc>
      </w:tr>
      <w:tr w:rsidR="00377FF9" w:rsidRPr="003970B0" w14:paraId="6AB41277" w14:textId="77777777" w:rsidTr="00377FF9">
        <w:trPr>
          <w:trHeight w:val="357"/>
        </w:trPr>
        <w:tc>
          <w:tcPr>
            <w:cnfStyle w:val="001000000000" w:firstRow="0" w:lastRow="0" w:firstColumn="1" w:lastColumn="0" w:oddVBand="0" w:evenVBand="0" w:oddHBand="0" w:evenHBand="0" w:firstRowFirstColumn="0" w:firstRowLastColumn="0" w:lastRowFirstColumn="0" w:lastRowLastColumn="0"/>
            <w:tcW w:w="4590" w:type="dxa"/>
          </w:tcPr>
          <w:p w14:paraId="554DE003" w14:textId="2BDF6737" w:rsidR="00377FF9" w:rsidRPr="00A20BE9" w:rsidRDefault="00377FF9" w:rsidP="00B96E8C">
            <w:pPr>
              <w:spacing w:after="200" w:line="276" w:lineRule="auto"/>
              <w:jc w:val="center"/>
            </w:pPr>
          </w:p>
        </w:tc>
        <w:tc>
          <w:tcPr>
            <w:tcW w:w="4888" w:type="dxa"/>
            <w:noWrap/>
            <w:vAlign w:val="center"/>
            <w:hideMark/>
          </w:tcPr>
          <w:p w14:paraId="08F6B596" w14:textId="06646A47" w:rsidR="00377FF9" w:rsidRPr="00A20BE9" w:rsidRDefault="00377FF9" w:rsidP="00B96E8C">
            <w:pPr>
              <w:spacing w:after="20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A20BE9">
              <w:t>MBI</w:t>
            </w:r>
          </w:p>
        </w:tc>
      </w:tr>
      <w:tr w:rsidR="00377FF9" w:rsidRPr="003970B0" w14:paraId="2DE8C677" w14:textId="77777777" w:rsidTr="00377FF9">
        <w:trPr>
          <w:trHeight w:val="357"/>
        </w:trPr>
        <w:tc>
          <w:tcPr>
            <w:cnfStyle w:val="001000000000" w:firstRow="0" w:lastRow="0" w:firstColumn="1" w:lastColumn="0" w:oddVBand="0" w:evenVBand="0" w:oddHBand="0" w:evenHBand="0" w:firstRowFirstColumn="0" w:firstRowLastColumn="0" w:lastRowFirstColumn="0" w:lastRowLastColumn="0"/>
            <w:tcW w:w="4590" w:type="dxa"/>
          </w:tcPr>
          <w:p w14:paraId="01984F37" w14:textId="77777777" w:rsidR="00377FF9" w:rsidRPr="00A20BE9" w:rsidRDefault="00377FF9" w:rsidP="00B96E8C">
            <w:pPr>
              <w:spacing w:after="200" w:line="276" w:lineRule="auto"/>
              <w:jc w:val="center"/>
            </w:pPr>
          </w:p>
        </w:tc>
        <w:tc>
          <w:tcPr>
            <w:tcW w:w="4888" w:type="dxa"/>
            <w:noWrap/>
            <w:vAlign w:val="center"/>
            <w:hideMark/>
          </w:tcPr>
          <w:p w14:paraId="19355F23" w14:textId="2797B21A" w:rsidR="00377FF9" w:rsidRPr="00A20BE9" w:rsidRDefault="00377FF9" w:rsidP="00B96E8C">
            <w:pPr>
              <w:spacing w:after="20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A20BE9">
              <w:t>MBSR</w:t>
            </w:r>
          </w:p>
        </w:tc>
      </w:tr>
      <w:tr w:rsidR="00377FF9" w:rsidRPr="003970B0" w14:paraId="50B3C724" w14:textId="77777777" w:rsidTr="00377FF9">
        <w:trPr>
          <w:trHeight w:val="357"/>
        </w:trPr>
        <w:tc>
          <w:tcPr>
            <w:cnfStyle w:val="001000000000" w:firstRow="0" w:lastRow="0" w:firstColumn="1" w:lastColumn="0" w:oddVBand="0" w:evenVBand="0" w:oddHBand="0" w:evenHBand="0" w:firstRowFirstColumn="0" w:firstRowLastColumn="0" w:lastRowFirstColumn="0" w:lastRowLastColumn="0"/>
            <w:tcW w:w="4590" w:type="dxa"/>
          </w:tcPr>
          <w:p w14:paraId="2EF92A3E" w14:textId="77777777" w:rsidR="00377FF9" w:rsidRPr="00A20BE9" w:rsidRDefault="00377FF9" w:rsidP="00B96E8C">
            <w:pPr>
              <w:spacing w:after="200" w:line="276" w:lineRule="auto"/>
              <w:jc w:val="center"/>
            </w:pPr>
          </w:p>
        </w:tc>
        <w:tc>
          <w:tcPr>
            <w:tcW w:w="4888" w:type="dxa"/>
            <w:noWrap/>
            <w:vAlign w:val="center"/>
            <w:hideMark/>
          </w:tcPr>
          <w:p w14:paraId="56128FF5" w14:textId="4B239432" w:rsidR="00377FF9" w:rsidRPr="00A20BE9" w:rsidRDefault="00377FF9" w:rsidP="00B96E8C">
            <w:pPr>
              <w:spacing w:after="20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A20BE9">
              <w:t>MCT</w:t>
            </w:r>
          </w:p>
        </w:tc>
      </w:tr>
      <w:tr w:rsidR="00377FF9" w:rsidRPr="003970B0" w14:paraId="0E44DA0C" w14:textId="77777777" w:rsidTr="00377FF9">
        <w:trPr>
          <w:trHeight w:val="357"/>
        </w:trPr>
        <w:tc>
          <w:tcPr>
            <w:cnfStyle w:val="001000000000" w:firstRow="0" w:lastRow="0" w:firstColumn="1" w:lastColumn="0" w:oddVBand="0" w:evenVBand="0" w:oddHBand="0" w:evenHBand="0" w:firstRowFirstColumn="0" w:firstRowLastColumn="0" w:lastRowFirstColumn="0" w:lastRowLastColumn="0"/>
            <w:tcW w:w="4590" w:type="dxa"/>
          </w:tcPr>
          <w:p w14:paraId="64D1AA19" w14:textId="77777777" w:rsidR="00377FF9" w:rsidRPr="00A20BE9" w:rsidRDefault="00377FF9" w:rsidP="00B96E8C">
            <w:pPr>
              <w:spacing w:after="200" w:line="276" w:lineRule="auto"/>
              <w:jc w:val="center"/>
            </w:pPr>
          </w:p>
        </w:tc>
        <w:tc>
          <w:tcPr>
            <w:tcW w:w="4888" w:type="dxa"/>
            <w:noWrap/>
            <w:vAlign w:val="center"/>
            <w:hideMark/>
          </w:tcPr>
          <w:p w14:paraId="1BEB8978" w14:textId="27D656EE" w:rsidR="00377FF9" w:rsidRPr="00A20BE9" w:rsidRDefault="00377FF9" w:rsidP="00B96E8C">
            <w:pPr>
              <w:spacing w:after="20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A20BE9">
              <w:t>UP</w:t>
            </w:r>
          </w:p>
        </w:tc>
      </w:tr>
    </w:tbl>
    <w:p w14:paraId="026DA3FA" w14:textId="77777777" w:rsidR="003970B0" w:rsidRDefault="003970B0" w:rsidP="003970B0">
      <w:pPr>
        <w:spacing w:after="200" w:line="276" w:lineRule="auto"/>
        <w:rPr>
          <w:sz w:val="18"/>
          <w:szCs w:val="18"/>
        </w:rPr>
      </w:pPr>
      <w:r w:rsidRPr="00A20BE9">
        <w:rPr>
          <w:sz w:val="18"/>
          <w:szCs w:val="18"/>
        </w:rPr>
        <w:t>ABBT = Acceptance-Based Behavior Therapy, ACT = Acceptance and Commitment Therapy, AR = Applied Relaxation, CBT = Cognitive Behavioral Therapy, IU = Intolerance of Uncertainty, IUT = Intolerance of Uncertainty Therapy, CCBT = Computerized Cognitive Behavioral Therapy, COMET = Competitive Memory Training, iCBT = Internet-Based Cognitive Behavioral Therapy, MBCT = Mindfulness-Based Cognitive Therapy, tDCS = transcranial Direct Current Stimulation, MBI = Mindfulness-Based Interventions, MBSR = Mindfulness-Based Stress Reduction, MCT = Metacognitive Therapy, UP = Unified Protocol for Transdiagnostic Treatment of Emotional Disorders.</w:t>
      </w:r>
    </w:p>
    <w:p w14:paraId="32DBA7B1" w14:textId="7E9FEE2F" w:rsidR="00A224DD" w:rsidRPr="00A224DD" w:rsidRDefault="005675E8" w:rsidP="005675E8">
      <w:pPr>
        <w:rPr>
          <w:sz w:val="18"/>
          <w:szCs w:val="18"/>
        </w:rPr>
      </w:pPr>
      <w:r>
        <w:rPr>
          <w:sz w:val="18"/>
          <w:szCs w:val="18"/>
        </w:rPr>
        <w:br w:type="page"/>
      </w:r>
    </w:p>
    <w:p w14:paraId="15BB3A9E" w14:textId="29FFD0F8" w:rsidR="004E4E3A" w:rsidRPr="008B4F41" w:rsidRDefault="004D503F" w:rsidP="00012821">
      <w:pPr>
        <w:spacing w:after="200" w:line="276" w:lineRule="auto"/>
        <w:rPr>
          <w:b/>
          <w:sz w:val="28"/>
          <w:szCs w:val="28"/>
          <w:lang w:val="en-US"/>
        </w:rPr>
      </w:pPr>
      <w:r w:rsidRPr="008B4F41">
        <w:rPr>
          <w:b/>
          <w:sz w:val="28"/>
          <w:szCs w:val="28"/>
          <w:lang w:val="en-US"/>
        </w:rPr>
        <w:lastRenderedPageBreak/>
        <w:t>S</w:t>
      </w:r>
      <w:r w:rsidR="003535D8">
        <w:rPr>
          <w:b/>
          <w:sz w:val="28"/>
          <w:szCs w:val="28"/>
          <w:lang w:val="en-US"/>
        </w:rPr>
        <w:t>I</w:t>
      </w:r>
      <w:r w:rsidR="002222B1">
        <w:rPr>
          <w:b/>
          <w:sz w:val="28"/>
          <w:szCs w:val="28"/>
          <w:lang w:val="en-US"/>
        </w:rPr>
        <w:t>8</w:t>
      </w:r>
      <w:r w:rsidR="008B4F41" w:rsidRPr="008B4F41">
        <w:rPr>
          <w:b/>
          <w:sz w:val="28"/>
          <w:szCs w:val="28"/>
          <w:lang w:val="en-US"/>
        </w:rPr>
        <w:t xml:space="preserve">: </w:t>
      </w:r>
      <w:r w:rsidR="00986660" w:rsidRPr="008B4F41">
        <w:rPr>
          <w:sz w:val="28"/>
          <w:szCs w:val="28"/>
        </w:rPr>
        <w:t>Contour-enhanced f</w:t>
      </w:r>
      <w:r w:rsidR="00F92116" w:rsidRPr="008B4F41">
        <w:rPr>
          <w:sz w:val="28"/>
          <w:szCs w:val="28"/>
        </w:rPr>
        <w:t>unnel plot of standard error by Hedges’</w:t>
      </w:r>
      <w:r w:rsidR="00F92116" w:rsidRPr="008B4F41">
        <w:rPr>
          <w:i/>
          <w:sz w:val="28"/>
          <w:szCs w:val="28"/>
        </w:rPr>
        <w:t xml:space="preserve">g </w:t>
      </w:r>
      <w:r w:rsidR="00F92116" w:rsidRPr="008B4F41">
        <w:rPr>
          <w:sz w:val="28"/>
          <w:szCs w:val="28"/>
        </w:rPr>
        <w:t xml:space="preserve">in studies examining the effect of active </w:t>
      </w:r>
      <w:r w:rsidR="00E2320C" w:rsidRPr="008B4F41">
        <w:rPr>
          <w:sz w:val="28"/>
          <w:szCs w:val="28"/>
        </w:rPr>
        <w:t xml:space="preserve">CBT </w:t>
      </w:r>
      <w:r w:rsidR="00F92116" w:rsidRPr="008B4F41">
        <w:rPr>
          <w:sz w:val="28"/>
          <w:szCs w:val="28"/>
        </w:rPr>
        <w:t>treatment compared with control conditions on RNT at post-test</w:t>
      </w:r>
      <w:r w:rsidR="002D1ECF" w:rsidRPr="008B4F41">
        <w:rPr>
          <w:sz w:val="28"/>
          <w:szCs w:val="28"/>
        </w:rPr>
        <w:t xml:space="preserve"> </w:t>
      </w:r>
      <w:r w:rsidR="004A6135" w:rsidRPr="008B4F41">
        <w:rPr>
          <w:sz w:val="28"/>
          <w:szCs w:val="28"/>
        </w:rPr>
        <w:t>(</w:t>
      </w:r>
      <w:r w:rsidR="006345F8" w:rsidRPr="008B4F41">
        <w:rPr>
          <w:sz w:val="28"/>
          <w:szCs w:val="28"/>
        </w:rPr>
        <w:t xml:space="preserve">all 69 comparisons, </w:t>
      </w:r>
      <w:r w:rsidR="004A6135" w:rsidRPr="008B4F41">
        <w:rPr>
          <w:sz w:val="28"/>
          <w:szCs w:val="28"/>
        </w:rPr>
        <w:t>outliers included)</w:t>
      </w:r>
      <w:r w:rsidR="00223A46" w:rsidRPr="008B4F41">
        <w:rPr>
          <w:sz w:val="28"/>
          <w:szCs w:val="28"/>
        </w:rPr>
        <w:t>.</w:t>
      </w:r>
    </w:p>
    <w:p w14:paraId="4AC4871B" w14:textId="77777777" w:rsidR="00F92116" w:rsidRDefault="00810E90" w:rsidP="00012821">
      <w:pPr>
        <w:spacing w:after="200" w:line="276" w:lineRule="auto"/>
        <w:rPr>
          <w:b/>
          <w:sz w:val="28"/>
        </w:rPr>
      </w:pPr>
      <w:r>
        <w:rPr>
          <w:b/>
          <w:noProof/>
          <w:sz w:val="28"/>
        </w:rPr>
        <w:drawing>
          <wp:inline distT="0" distB="0" distL="0" distR="0" wp14:anchorId="7645CD3A" wp14:editId="6EDF10CB">
            <wp:extent cx="6188710" cy="3094355"/>
            <wp:effectExtent l="0" t="0" r="0" b="0"/>
            <wp:docPr id="1899896978"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96978" name="Graphic 1899896978"/>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6188710" cy="3094355"/>
                    </a:xfrm>
                    <a:prstGeom prst="rect">
                      <a:avLst/>
                    </a:prstGeom>
                  </pic:spPr>
                </pic:pic>
              </a:graphicData>
            </a:graphic>
          </wp:inline>
        </w:drawing>
      </w:r>
    </w:p>
    <w:p w14:paraId="707FEA20" w14:textId="6E85D183" w:rsidR="00451BDF" w:rsidRDefault="004D503F" w:rsidP="00546190">
      <w:pPr>
        <w:spacing w:after="200" w:line="276" w:lineRule="auto"/>
        <w:rPr>
          <w:noProof/>
        </w:rPr>
      </w:pPr>
      <w:r w:rsidRPr="00F912F9">
        <w:rPr>
          <w:b/>
          <w:sz w:val="28"/>
          <w:szCs w:val="28"/>
          <w:lang w:val="en-US"/>
        </w:rPr>
        <w:lastRenderedPageBreak/>
        <w:t>S</w:t>
      </w:r>
      <w:r w:rsidR="003535D8">
        <w:rPr>
          <w:b/>
          <w:sz w:val="28"/>
          <w:szCs w:val="28"/>
          <w:lang w:val="en-US"/>
        </w:rPr>
        <w:t>I</w:t>
      </w:r>
      <w:r w:rsidR="002222B1">
        <w:rPr>
          <w:b/>
          <w:sz w:val="28"/>
          <w:szCs w:val="28"/>
          <w:lang w:val="en-US"/>
        </w:rPr>
        <w:t>9</w:t>
      </w:r>
      <w:r w:rsidR="00C92A4F" w:rsidRPr="00F912F9">
        <w:rPr>
          <w:b/>
          <w:sz w:val="28"/>
          <w:szCs w:val="28"/>
          <w:lang w:val="en-US"/>
        </w:rPr>
        <w:t xml:space="preserve">: </w:t>
      </w:r>
      <w:r w:rsidR="00F92116" w:rsidRPr="00F912F9">
        <w:rPr>
          <w:sz w:val="28"/>
          <w:szCs w:val="28"/>
        </w:rPr>
        <w:t>Forest plot of Hedges</w:t>
      </w:r>
      <w:r w:rsidR="00F92116" w:rsidRPr="00F912F9">
        <w:rPr>
          <w:i/>
          <w:sz w:val="28"/>
          <w:szCs w:val="28"/>
        </w:rPr>
        <w:t xml:space="preserve">’g </w:t>
      </w:r>
      <w:r w:rsidR="00F92116" w:rsidRPr="00F912F9">
        <w:rPr>
          <w:sz w:val="28"/>
          <w:szCs w:val="28"/>
        </w:rPr>
        <w:t xml:space="preserve">effect sizes of active </w:t>
      </w:r>
      <w:r w:rsidR="0051180D" w:rsidRPr="00F912F9">
        <w:rPr>
          <w:sz w:val="28"/>
          <w:szCs w:val="28"/>
        </w:rPr>
        <w:t xml:space="preserve">CBT </w:t>
      </w:r>
      <w:r w:rsidR="00F92116" w:rsidRPr="00F912F9">
        <w:rPr>
          <w:sz w:val="28"/>
          <w:szCs w:val="28"/>
        </w:rPr>
        <w:t>treatment compared with control conditions on RNT at post-test</w:t>
      </w:r>
      <w:r w:rsidR="002D1ECF" w:rsidRPr="00F912F9">
        <w:rPr>
          <w:sz w:val="28"/>
          <w:szCs w:val="28"/>
        </w:rPr>
        <w:t xml:space="preserve"> (all </w:t>
      </w:r>
      <w:r w:rsidR="00E43CEB" w:rsidRPr="00F912F9">
        <w:rPr>
          <w:sz w:val="28"/>
          <w:szCs w:val="28"/>
        </w:rPr>
        <w:t>69</w:t>
      </w:r>
      <w:r w:rsidR="002D1ECF" w:rsidRPr="00F912F9">
        <w:rPr>
          <w:sz w:val="28"/>
          <w:szCs w:val="28"/>
        </w:rPr>
        <w:t xml:space="preserve"> </w:t>
      </w:r>
      <w:r w:rsidR="00E43CEB" w:rsidRPr="00F912F9">
        <w:rPr>
          <w:sz w:val="28"/>
          <w:szCs w:val="28"/>
        </w:rPr>
        <w:t>comparisons</w:t>
      </w:r>
      <w:r w:rsidR="00DD0467" w:rsidRPr="00F912F9">
        <w:rPr>
          <w:sz w:val="28"/>
          <w:szCs w:val="28"/>
        </w:rPr>
        <w:t xml:space="preserve">, outliers </w:t>
      </w:r>
      <w:r w:rsidR="003D4A0D" w:rsidRPr="00F912F9">
        <w:rPr>
          <w:sz w:val="28"/>
          <w:szCs w:val="28"/>
        </w:rPr>
        <w:t>included</w:t>
      </w:r>
      <w:r w:rsidR="002D1ECF" w:rsidRPr="00F912F9">
        <w:rPr>
          <w:sz w:val="28"/>
          <w:szCs w:val="28"/>
        </w:rPr>
        <w:t>)</w:t>
      </w:r>
      <w:r w:rsidR="00F92116" w:rsidRPr="00F912F9">
        <w:rPr>
          <w:sz w:val="28"/>
          <w:szCs w:val="28"/>
        </w:rPr>
        <w:t>.</w:t>
      </w:r>
      <w:r w:rsidR="004E4E3A" w:rsidRPr="004E4E3A">
        <w:rPr>
          <w:noProof/>
        </w:rPr>
        <w:t xml:space="preserve"> </w:t>
      </w:r>
      <w:r w:rsidR="00546190">
        <w:rPr>
          <w:noProof/>
        </w:rPr>
        <w:drawing>
          <wp:inline distT="0" distB="0" distL="0" distR="0" wp14:anchorId="7E943D25" wp14:editId="6DBAD3E6">
            <wp:extent cx="4589755" cy="7343398"/>
            <wp:effectExtent l="0" t="0" r="0" b="0"/>
            <wp:docPr id="3276997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9978" name="Graphic 32769978"/>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609154" cy="7374435"/>
                    </a:xfrm>
                    <a:prstGeom prst="rect">
                      <a:avLst/>
                    </a:prstGeom>
                  </pic:spPr>
                </pic:pic>
              </a:graphicData>
            </a:graphic>
          </wp:inline>
        </w:drawing>
      </w:r>
    </w:p>
    <w:p w14:paraId="7FA5AC7E" w14:textId="76165923" w:rsidR="00E62BBC" w:rsidRPr="00E62BBC" w:rsidRDefault="00E62BBC" w:rsidP="00E62BBC">
      <w:pPr>
        <w:spacing w:line="276" w:lineRule="auto"/>
        <w:rPr>
          <w:iCs/>
          <w:sz w:val="18"/>
          <w:szCs w:val="18"/>
          <w:lang w:val="en-US"/>
        </w:rPr>
      </w:pPr>
      <w:r w:rsidRPr="00E62BBC">
        <w:rPr>
          <w:i/>
          <w:iCs/>
          <w:sz w:val="18"/>
          <w:szCs w:val="18"/>
          <w:lang w:val="en-US"/>
        </w:rPr>
        <w:t>Note.</w:t>
      </w:r>
      <w:r w:rsidRPr="00E62BBC" w:rsidDel="006E5D75">
        <w:rPr>
          <w:i/>
          <w:iCs/>
          <w:sz w:val="18"/>
          <w:szCs w:val="18"/>
          <w:lang w:val="en-US"/>
        </w:rPr>
        <w:t xml:space="preserve"> </w:t>
      </w:r>
      <w:r w:rsidRPr="00E62BBC">
        <w:rPr>
          <w:iCs/>
          <w:sz w:val="18"/>
          <w:szCs w:val="18"/>
          <w:lang w:val="en-US"/>
        </w:rPr>
        <w:t xml:space="preserve">Negative values indicate improvement of repetitive negative thinking. The position of the diamond shape indicates the average effect and its width indicates the confidence interval of the pooled result. The horizontal bar indicates the prediction interval - a range into which the effects of future studies may fall based on present evidence. Abbreviations: g = Hedge’s g. CI = Confidence Interval, LL = lower level, UL = upper level. </w:t>
      </w:r>
      <w:r w:rsidR="00FE6953" w:rsidRPr="00E62BBC">
        <w:rPr>
          <w:iCs/>
          <w:sz w:val="18"/>
          <w:szCs w:val="18"/>
          <w:lang w:val="en-US"/>
        </w:rPr>
        <w:t>Treatment = Treatment specificity.</w:t>
      </w:r>
      <w:r w:rsidR="00FE6953">
        <w:rPr>
          <w:iCs/>
          <w:sz w:val="18"/>
          <w:szCs w:val="18"/>
          <w:lang w:val="en-US"/>
        </w:rPr>
        <w:t xml:space="preserve"> </w:t>
      </w:r>
      <w:r w:rsidRPr="00E62BBC">
        <w:rPr>
          <w:i/>
          <w:sz w:val="18"/>
          <w:szCs w:val="18"/>
          <w:lang w:val="en-US"/>
        </w:rPr>
        <w:t>X</w:t>
      </w:r>
      <w:r w:rsidRPr="00E62BBC">
        <w:rPr>
          <w:i/>
          <w:sz w:val="18"/>
          <w:szCs w:val="18"/>
          <w:vertAlign w:val="superscript"/>
          <w:lang w:val="en-US"/>
        </w:rPr>
        <w:t>2</w:t>
      </w:r>
      <w:r w:rsidRPr="00E62BBC">
        <w:rPr>
          <w:iCs/>
          <w:sz w:val="18"/>
          <w:szCs w:val="18"/>
          <w:lang w:val="en-US"/>
        </w:rPr>
        <w:t xml:space="preserve"> = Chi-square test of heterogeneity – higher values indicate that observed differences in can less likely be explained chance alone. </w:t>
      </w:r>
      <w:r w:rsidRPr="00E62BBC">
        <w:rPr>
          <w:i/>
          <w:sz w:val="18"/>
          <w:szCs w:val="18"/>
          <w:lang w:val="en-US"/>
        </w:rPr>
        <w:t>I</w:t>
      </w:r>
      <w:r w:rsidRPr="00E62BBC">
        <w:rPr>
          <w:i/>
          <w:sz w:val="18"/>
          <w:szCs w:val="18"/>
          <w:vertAlign w:val="superscript"/>
          <w:lang w:val="en-US"/>
        </w:rPr>
        <w:t>2</w:t>
      </w:r>
      <w:r w:rsidRPr="00E62BBC">
        <w:rPr>
          <w:iCs/>
          <w:sz w:val="18"/>
          <w:szCs w:val="18"/>
          <w:lang w:val="en-US"/>
        </w:rPr>
        <w:t xml:space="preserve"> = measure of between-study heterogeneity. SMD = Standardized Mean Difference. </w:t>
      </w:r>
    </w:p>
    <w:sectPr w:rsidR="00E62BBC" w:rsidRPr="00E62BBC" w:rsidSect="003356A7">
      <w:footerReference w:type="even" r:id="rId14"/>
      <w:footerReference w:type="default" r:id="rId1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5D4E4E" w14:textId="77777777" w:rsidR="00CC7870" w:rsidRDefault="00CC7870" w:rsidP="00F92116">
      <w:r>
        <w:separator/>
      </w:r>
    </w:p>
  </w:endnote>
  <w:endnote w:type="continuationSeparator" w:id="0">
    <w:p w14:paraId="56CE387F" w14:textId="77777777" w:rsidR="00CC7870" w:rsidRDefault="00CC7870" w:rsidP="00F92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altName w:val="Sylfaen"/>
    <w:panose1 w:val="020005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6866480"/>
      <w:docPartObj>
        <w:docPartGallery w:val="Page Numbers (Bottom of Page)"/>
        <w:docPartUnique/>
      </w:docPartObj>
    </w:sdtPr>
    <w:sdtContent>
      <w:p w14:paraId="1823ECB2" w14:textId="77777777" w:rsidR="00AA5025" w:rsidRDefault="00AA5025">
        <w:pPr>
          <w:pStyle w:val="Footer"/>
          <w:jc w:val="right"/>
        </w:pPr>
        <w:r>
          <w:fldChar w:fldCharType="begin"/>
        </w:r>
        <w:r>
          <w:instrText>PAGE   \* MERGEFORMAT</w:instrText>
        </w:r>
        <w:r>
          <w:fldChar w:fldCharType="separate"/>
        </w:r>
        <w:r w:rsidRPr="00A505DD">
          <w:rPr>
            <w:noProof/>
            <w:lang w:val="de-DE"/>
          </w:rPr>
          <w:t>42</w:t>
        </w:r>
        <w:r>
          <w:fldChar w:fldCharType="end"/>
        </w:r>
      </w:p>
    </w:sdtContent>
  </w:sdt>
  <w:p w14:paraId="353C21C3" w14:textId="77777777" w:rsidR="00AA5025" w:rsidRDefault="00AA50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50689295"/>
      <w:docPartObj>
        <w:docPartGallery w:val="Page Numbers (Bottom of Page)"/>
        <w:docPartUnique/>
      </w:docPartObj>
    </w:sdtPr>
    <w:sdtContent>
      <w:p w14:paraId="044A3EF1" w14:textId="77777777" w:rsidR="00DC41FA" w:rsidRDefault="00793231" w:rsidP="00EF4862">
        <w:pPr>
          <w:pStyle w:val="Footer"/>
          <w:framePr w:wrap="none" w:vAnchor="text" w:hAnchor="margin" w:xAlign="right" w:y="1"/>
          <w:rPr>
            <w:rStyle w:val="PageNumber"/>
          </w:rPr>
        </w:pPr>
        <w:r>
          <w:rPr>
            <w:rStyle w:val="PageNumber"/>
          </w:rPr>
          <w:fldChar w:fldCharType="begin"/>
        </w:r>
        <w:r w:rsidR="00DC41FA">
          <w:rPr>
            <w:rStyle w:val="PageNumber"/>
          </w:rPr>
          <w:instrText xml:space="preserve"> PAGE </w:instrText>
        </w:r>
        <w:r>
          <w:rPr>
            <w:rStyle w:val="PageNumber"/>
          </w:rPr>
          <w:fldChar w:fldCharType="end"/>
        </w:r>
      </w:p>
    </w:sdtContent>
  </w:sdt>
  <w:p w14:paraId="2F5D6783" w14:textId="77777777" w:rsidR="00DC41FA" w:rsidRDefault="00DC41FA" w:rsidP="00EF486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98103688"/>
      <w:docPartObj>
        <w:docPartGallery w:val="Page Numbers (Bottom of Page)"/>
        <w:docPartUnique/>
      </w:docPartObj>
    </w:sdtPr>
    <w:sdtContent>
      <w:p w14:paraId="451A0C51" w14:textId="77777777" w:rsidR="00DC41FA" w:rsidRDefault="00793231" w:rsidP="00EF4862">
        <w:pPr>
          <w:pStyle w:val="Footer"/>
          <w:framePr w:wrap="none" w:vAnchor="text" w:hAnchor="margin" w:xAlign="right" w:y="1"/>
          <w:rPr>
            <w:rStyle w:val="PageNumber"/>
          </w:rPr>
        </w:pPr>
        <w:r>
          <w:rPr>
            <w:rStyle w:val="PageNumber"/>
          </w:rPr>
          <w:fldChar w:fldCharType="begin"/>
        </w:r>
        <w:r w:rsidR="00DC41FA">
          <w:rPr>
            <w:rStyle w:val="PageNumber"/>
          </w:rPr>
          <w:instrText xml:space="preserve"> PAGE </w:instrText>
        </w:r>
        <w:r>
          <w:rPr>
            <w:rStyle w:val="PageNumber"/>
          </w:rPr>
          <w:fldChar w:fldCharType="separate"/>
        </w:r>
        <w:r w:rsidR="004D503F">
          <w:rPr>
            <w:rStyle w:val="PageNumber"/>
            <w:noProof/>
          </w:rPr>
          <w:t>10</w:t>
        </w:r>
        <w:r>
          <w:rPr>
            <w:rStyle w:val="PageNumber"/>
          </w:rPr>
          <w:fldChar w:fldCharType="end"/>
        </w:r>
      </w:p>
    </w:sdtContent>
  </w:sdt>
  <w:p w14:paraId="13575359" w14:textId="77777777" w:rsidR="00DC41FA" w:rsidRDefault="00DC41FA" w:rsidP="00EF486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3B027C" w14:textId="77777777" w:rsidR="00CC7870" w:rsidRDefault="00CC7870" w:rsidP="00F92116">
      <w:r>
        <w:separator/>
      </w:r>
    </w:p>
  </w:footnote>
  <w:footnote w:type="continuationSeparator" w:id="0">
    <w:p w14:paraId="78859515" w14:textId="77777777" w:rsidR="00CC7870" w:rsidRDefault="00CC7870" w:rsidP="00F92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A1D13" w14:textId="77777777" w:rsidR="00AA5025" w:rsidRPr="00E84D14" w:rsidRDefault="00AA5025" w:rsidP="002338F3">
    <w:pPr>
      <w:pStyle w:val="Header"/>
      <w:jc w:val="right"/>
      <w:rPr>
        <w:b/>
      </w:rPr>
    </w:pPr>
    <w:r w:rsidRPr="00E84D14">
      <w:rPr>
        <w:b/>
      </w:rPr>
      <w:t xml:space="preserve">CBT </w:t>
    </w:r>
    <w:r>
      <w:rPr>
        <w:b/>
      </w:rPr>
      <w:t>A</w:t>
    </w:r>
    <w:r w:rsidRPr="00F310A5">
      <w:rPr>
        <w:b/>
      </w:rPr>
      <w:t>lleviates</w:t>
    </w:r>
    <w:r w:rsidRPr="00E84D14">
      <w:rPr>
        <w:b/>
      </w:rPr>
      <w:t xml:space="preserve"> RNT. A Meta-Analysis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300F5"/>
    <w:multiLevelType w:val="hybridMultilevel"/>
    <w:tmpl w:val="B5DE9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522EC"/>
    <w:multiLevelType w:val="hybridMultilevel"/>
    <w:tmpl w:val="E8A240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C70C2A"/>
    <w:multiLevelType w:val="hybridMultilevel"/>
    <w:tmpl w:val="EDD47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B904C5"/>
    <w:multiLevelType w:val="hybridMultilevel"/>
    <w:tmpl w:val="5838CAA4"/>
    <w:lvl w:ilvl="0" w:tplc="0407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8F078E"/>
    <w:multiLevelType w:val="hybridMultilevel"/>
    <w:tmpl w:val="5EF0B1F8"/>
    <w:lvl w:ilvl="0" w:tplc="0CD803A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F031860"/>
    <w:multiLevelType w:val="hybridMultilevel"/>
    <w:tmpl w:val="ACCEF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BB37F8"/>
    <w:multiLevelType w:val="hybridMultilevel"/>
    <w:tmpl w:val="ACCEF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68347A"/>
    <w:multiLevelType w:val="hybridMultilevel"/>
    <w:tmpl w:val="EEACF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AD031D"/>
    <w:multiLevelType w:val="hybridMultilevel"/>
    <w:tmpl w:val="22B2678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2BC731A1"/>
    <w:multiLevelType w:val="hybridMultilevel"/>
    <w:tmpl w:val="51FA7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012F01"/>
    <w:multiLevelType w:val="hybridMultilevel"/>
    <w:tmpl w:val="F2867F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16B2369"/>
    <w:multiLevelType w:val="hybridMultilevel"/>
    <w:tmpl w:val="E91C8E5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363E37A3"/>
    <w:multiLevelType w:val="hybridMultilevel"/>
    <w:tmpl w:val="5A562E14"/>
    <w:lvl w:ilvl="0" w:tplc="80188048">
      <w:start w:val="5"/>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FB710F7"/>
    <w:multiLevelType w:val="hybridMultilevel"/>
    <w:tmpl w:val="731A12F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5161C33"/>
    <w:multiLevelType w:val="hybridMultilevel"/>
    <w:tmpl w:val="1FE855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7DA44CB"/>
    <w:multiLevelType w:val="hybridMultilevel"/>
    <w:tmpl w:val="D28862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A7826"/>
    <w:multiLevelType w:val="hybridMultilevel"/>
    <w:tmpl w:val="E2567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B55140"/>
    <w:multiLevelType w:val="hybridMultilevel"/>
    <w:tmpl w:val="A1E2D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BF1D01"/>
    <w:multiLevelType w:val="hybridMultilevel"/>
    <w:tmpl w:val="1DCC9B0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50116302"/>
    <w:multiLevelType w:val="hybridMultilevel"/>
    <w:tmpl w:val="59A0A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432486"/>
    <w:multiLevelType w:val="hybridMultilevel"/>
    <w:tmpl w:val="65F616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5794B38"/>
    <w:multiLevelType w:val="multilevel"/>
    <w:tmpl w:val="F26A6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725C9A"/>
    <w:multiLevelType w:val="hybridMultilevel"/>
    <w:tmpl w:val="74648E04"/>
    <w:lvl w:ilvl="0" w:tplc="80188048">
      <w:start w:val="5"/>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ECF739F"/>
    <w:multiLevelType w:val="hybridMultilevel"/>
    <w:tmpl w:val="FE2807FC"/>
    <w:lvl w:ilvl="0" w:tplc="9EBE756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4AE226A"/>
    <w:multiLevelType w:val="hybridMultilevel"/>
    <w:tmpl w:val="04465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263221"/>
    <w:multiLevelType w:val="hybridMultilevel"/>
    <w:tmpl w:val="D006F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536EF6"/>
    <w:multiLevelType w:val="hybridMultilevel"/>
    <w:tmpl w:val="374CC24E"/>
    <w:lvl w:ilvl="0" w:tplc="80188048">
      <w:start w:val="8"/>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5F70E3F"/>
    <w:multiLevelType w:val="hybridMultilevel"/>
    <w:tmpl w:val="F16656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E9D58A2"/>
    <w:multiLevelType w:val="hybridMultilevel"/>
    <w:tmpl w:val="2522D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6B7436"/>
    <w:multiLevelType w:val="hybridMultilevel"/>
    <w:tmpl w:val="DB9A2830"/>
    <w:lvl w:ilvl="0" w:tplc="80188048">
      <w:start w:val="5"/>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24473A0"/>
    <w:multiLevelType w:val="hybridMultilevel"/>
    <w:tmpl w:val="AB020B1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59E75AD"/>
    <w:multiLevelType w:val="hybridMultilevel"/>
    <w:tmpl w:val="BE2C2152"/>
    <w:lvl w:ilvl="0" w:tplc="AFFE13E0">
      <w:start w:val="1"/>
      <w:numFmt w:val="bullet"/>
      <w:lvlText w:val="-"/>
      <w:lvlJc w:val="left"/>
      <w:pPr>
        <w:ind w:left="360" w:hanging="360"/>
      </w:pPr>
      <w:rPr>
        <w:rFonts w:ascii="Times New Roman" w:eastAsiaTheme="minorEastAsia"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570039659">
    <w:abstractNumId w:val="5"/>
  </w:num>
  <w:num w:numId="2" w16cid:durableId="1939941927">
    <w:abstractNumId w:val="2"/>
  </w:num>
  <w:num w:numId="3" w16cid:durableId="992442089">
    <w:abstractNumId w:val="8"/>
  </w:num>
  <w:num w:numId="4" w16cid:durableId="64304388">
    <w:abstractNumId w:val="6"/>
  </w:num>
  <w:num w:numId="5" w16cid:durableId="502824119">
    <w:abstractNumId w:val="31"/>
  </w:num>
  <w:num w:numId="6" w16cid:durableId="398868577">
    <w:abstractNumId w:val="15"/>
  </w:num>
  <w:num w:numId="7" w16cid:durableId="808941926">
    <w:abstractNumId w:val="19"/>
  </w:num>
  <w:num w:numId="8" w16cid:durableId="1298607714">
    <w:abstractNumId w:val="14"/>
  </w:num>
  <w:num w:numId="9" w16cid:durableId="128323190">
    <w:abstractNumId w:val="27"/>
  </w:num>
  <w:num w:numId="10" w16cid:durableId="1333218814">
    <w:abstractNumId w:val="1"/>
  </w:num>
  <w:num w:numId="11" w16cid:durableId="1532377311">
    <w:abstractNumId w:val="20"/>
  </w:num>
  <w:num w:numId="12" w16cid:durableId="1922904301">
    <w:abstractNumId w:val="11"/>
  </w:num>
  <w:num w:numId="13" w16cid:durableId="1677536805">
    <w:abstractNumId w:val="18"/>
  </w:num>
  <w:num w:numId="14" w16cid:durableId="1264000386">
    <w:abstractNumId w:val="10"/>
  </w:num>
  <w:num w:numId="15" w16cid:durableId="397364161">
    <w:abstractNumId w:val="30"/>
  </w:num>
  <w:num w:numId="16" w16cid:durableId="1003972153">
    <w:abstractNumId w:val="28"/>
  </w:num>
  <w:num w:numId="17" w16cid:durableId="1781680518">
    <w:abstractNumId w:val="17"/>
  </w:num>
  <w:num w:numId="18" w16cid:durableId="521088919">
    <w:abstractNumId w:val="29"/>
  </w:num>
  <w:num w:numId="19" w16cid:durableId="1658653748">
    <w:abstractNumId w:val="26"/>
  </w:num>
  <w:num w:numId="20" w16cid:durableId="1517839328">
    <w:abstractNumId w:val="12"/>
  </w:num>
  <w:num w:numId="21" w16cid:durableId="283390486">
    <w:abstractNumId w:val="22"/>
  </w:num>
  <w:num w:numId="22" w16cid:durableId="1934050628">
    <w:abstractNumId w:val="16"/>
  </w:num>
  <w:num w:numId="23" w16cid:durableId="832377734">
    <w:abstractNumId w:val="13"/>
  </w:num>
  <w:num w:numId="24" w16cid:durableId="368189673">
    <w:abstractNumId w:val="3"/>
  </w:num>
  <w:num w:numId="25" w16cid:durableId="655305526">
    <w:abstractNumId w:val="23"/>
  </w:num>
  <w:num w:numId="26" w16cid:durableId="1529638013">
    <w:abstractNumId w:val="4"/>
  </w:num>
  <w:num w:numId="27" w16cid:durableId="1175342401">
    <w:abstractNumId w:val="21"/>
  </w:num>
  <w:num w:numId="28" w16cid:durableId="1447580307">
    <w:abstractNumId w:val="0"/>
  </w:num>
  <w:num w:numId="29" w16cid:durableId="1063211580">
    <w:abstractNumId w:val="7"/>
  </w:num>
  <w:num w:numId="30" w16cid:durableId="1933078343">
    <w:abstractNumId w:val="9"/>
  </w:num>
  <w:num w:numId="31" w16cid:durableId="1019158824">
    <w:abstractNumId w:val="25"/>
  </w:num>
  <w:num w:numId="32" w16cid:durableId="42260478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F92116"/>
    <w:rsid w:val="00002715"/>
    <w:rsid w:val="00005A27"/>
    <w:rsid w:val="00007D62"/>
    <w:rsid w:val="00012821"/>
    <w:rsid w:val="00020564"/>
    <w:rsid w:val="00022728"/>
    <w:rsid w:val="0002645C"/>
    <w:rsid w:val="00026D84"/>
    <w:rsid w:val="00031159"/>
    <w:rsid w:val="00033006"/>
    <w:rsid w:val="000351D8"/>
    <w:rsid w:val="00042631"/>
    <w:rsid w:val="0004536D"/>
    <w:rsid w:val="00054E80"/>
    <w:rsid w:val="00055480"/>
    <w:rsid w:val="00056951"/>
    <w:rsid w:val="00064D9C"/>
    <w:rsid w:val="000755B5"/>
    <w:rsid w:val="00081FBF"/>
    <w:rsid w:val="00082D50"/>
    <w:rsid w:val="00084615"/>
    <w:rsid w:val="000A4F39"/>
    <w:rsid w:val="000A62A8"/>
    <w:rsid w:val="000B28FB"/>
    <w:rsid w:val="000F1281"/>
    <w:rsid w:val="000F17DA"/>
    <w:rsid w:val="000F7327"/>
    <w:rsid w:val="00100FA2"/>
    <w:rsid w:val="0010312E"/>
    <w:rsid w:val="0010329D"/>
    <w:rsid w:val="00114532"/>
    <w:rsid w:val="00117ECF"/>
    <w:rsid w:val="001206B5"/>
    <w:rsid w:val="001239E6"/>
    <w:rsid w:val="00127855"/>
    <w:rsid w:val="00131EA7"/>
    <w:rsid w:val="0013527D"/>
    <w:rsid w:val="00152F18"/>
    <w:rsid w:val="0016523C"/>
    <w:rsid w:val="00172CFC"/>
    <w:rsid w:val="00191DD2"/>
    <w:rsid w:val="00196BCB"/>
    <w:rsid w:val="001A1D75"/>
    <w:rsid w:val="001A65C1"/>
    <w:rsid w:val="001A6899"/>
    <w:rsid w:val="001B0049"/>
    <w:rsid w:val="001C0E54"/>
    <w:rsid w:val="001C2698"/>
    <w:rsid w:val="001C3A94"/>
    <w:rsid w:val="001D0DF1"/>
    <w:rsid w:val="001D7BFB"/>
    <w:rsid w:val="001D7F0C"/>
    <w:rsid w:val="001E1418"/>
    <w:rsid w:val="001F6003"/>
    <w:rsid w:val="001F75F8"/>
    <w:rsid w:val="002154C7"/>
    <w:rsid w:val="00215A29"/>
    <w:rsid w:val="00216050"/>
    <w:rsid w:val="002222B1"/>
    <w:rsid w:val="00223190"/>
    <w:rsid w:val="00223A46"/>
    <w:rsid w:val="00234084"/>
    <w:rsid w:val="0023777B"/>
    <w:rsid w:val="002434F9"/>
    <w:rsid w:val="00250A2F"/>
    <w:rsid w:val="00266821"/>
    <w:rsid w:val="00281581"/>
    <w:rsid w:val="00292B23"/>
    <w:rsid w:val="00296977"/>
    <w:rsid w:val="002A5CF1"/>
    <w:rsid w:val="002B3076"/>
    <w:rsid w:val="002B5FF7"/>
    <w:rsid w:val="002B6A1A"/>
    <w:rsid w:val="002C0F9E"/>
    <w:rsid w:val="002C31C3"/>
    <w:rsid w:val="002D1ECF"/>
    <w:rsid w:val="002D4B8E"/>
    <w:rsid w:val="00303341"/>
    <w:rsid w:val="00305C3D"/>
    <w:rsid w:val="00332143"/>
    <w:rsid w:val="003356A7"/>
    <w:rsid w:val="00336264"/>
    <w:rsid w:val="00341E64"/>
    <w:rsid w:val="00344AB9"/>
    <w:rsid w:val="00352D68"/>
    <w:rsid w:val="003535D8"/>
    <w:rsid w:val="0035660F"/>
    <w:rsid w:val="003601FA"/>
    <w:rsid w:val="00361467"/>
    <w:rsid w:val="00364A47"/>
    <w:rsid w:val="00374209"/>
    <w:rsid w:val="003750ED"/>
    <w:rsid w:val="00377FF9"/>
    <w:rsid w:val="00380D60"/>
    <w:rsid w:val="003970B0"/>
    <w:rsid w:val="003A01AD"/>
    <w:rsid w:val="003A7840"/>
    <w:rsid w:val="003B1CBB"/>
    <w:rsid w:val="003B7823"/>
    <w:rsid w:val="003C090B"/>
    <w:rsid w:val="003C0E20"/>
    <w:rsid w:val="003D4A0D"/>
    <w:rsid w:val="003D5230"/>
    <w:rsid w:val="003D7879"/>
    <w:rsid w:val="003E2E05"/>
    <w:rsid w:val="003E41DA"/>
    <w:rsid w:val="003E65DA"/>
    <w:rsid w:val="003F01D4"/>
    <w:rsid w:val="004003C2"/>
    <w:rsid w:val="00413E02"/>
    <w:rsid w:val="00415821"/>
    <w:rsid w:val="00442F0E"/>
    <w:rsid w:val="00450BE1"/>
    <w:rsid w:val="00451BDF"/>
    <w:rsid w:val="00472173"/>
    <w:rsid w:val="00473947"/>
    <w:rsid w:val="00473E1D"/>
    <w:rsid w:val="00480423"/>
    <w:rsid w:val="004850B3"/>
    <w:rsid w:val="00487437"/>
    <w:rsid w:val="0049147B"/>
    <w:rsid w:val="00493E25"/>
    <w:rsid w:val="004A6135"/>
    <w:rsid w:val="004D0193"/>
    <w:rsid w:val="004D0B8F"/>
    <w:rsid w:val="004D503F"/>
    <w:rsid w:val="004E1DD2"/>
    <w:rsid w:val="004E2749"/>
    <w:rsid w:val="004E4E3A"/>
    <w:rsid w:val="004F0A64"/>
    <w:rsid w:val="004F1187"/>
    <w:rsid w:val="004F428B"/>
    <w:rsid w:val="004F58A6"/>
    <w:rsid w:val="00502EA0"/>
    <w:rsid w:val="0051180D"/>
    <w:rsid w:val="0051471D"/>
    <w:rsid w:val="00517516"/>
    <w:rsid w:val="00527849"/>
    <w:rsid w:val="00534116"/>
    <w:rsid w:val="00537C61"/>
    <w:rsid w:val="00537D74"/>
    <w:rsid w:val="00546190"/>
    <w:rsid w:val="00550D7B"/>
    <w:rsid w:val="00552A54"/>
    <w:rsid w:val="00554E65"/>
    <w:rsid w:val="00555657"/>
    <w:rsid w:val="00560DE2"/>
    <w:rsid w:val="00561BF3"/>
    <w:rsid w:val="005675E8"/>
    <w:rsid w:val="00572CD6"/>
    <w:rsid w:val="0059210B"/>
    <w:rsid w:val="00594CC5"/>
    <w:rsid w:val="00595D6C"/>
    <w:rsid w:val="005B4682"/>
    <w:rsid w:val="005B5947"/>
    <w:rsid w:val="005C028B"/>
    <w:rsid w:val="005C6DF4"/>
    <w:rsid w:val="005D5169"/>
    <w:rsid w:val="005E33B1"/>
    <w:rsid w:val="005F072D"/>
    <w:rsid w:val="005F35BB"/>
    <w:rsid w:val="00602079"/>
    <w:rsid w:val="00610495"/>
    <w:rsid w:val="006213FD"/>
    <w:rsid w:val="00622F9B"/>
    <w:rsid w:val="00627FE7"/>
    <w:rsid w:val="006306FE"/>
    <w:rsid w:val="006345F8"/>
    <w:rsid w:val="00637DCA"/>
    <w:rsid w:val="00642B2D"/>
    <w:rsid w:val="0064797E"/>
    <w:rsid w:val="00647F57"/>
    <w:rsid w:val="00655EF9"/>
    <w:rsid w:val="006578C0"/>
    <w:rsid w:val="00661C22"/>
    <w:rsid w:val="0068097E"/>
    <w:rsid w:val="00686947"/>
    <w:rsid w:val="00686ADF"/>
    <w:rsid w:val="006932EE"/>
    <w:rsid w:val="006A3EB2"/>
    <w:rsid w:val="006A5135"/>
    <w:rsid w:val="006A51AD"/>
    <w:rsid w:val="006B321E"/>
    <w:rsid w:val="006C0132"/>
    <w:rsid w:val="006C1C19"/>
    <w:rsid w:val="006C3D37"/>
    <w:rsid w:val="006D5AB6"/>
    <w:rsid w:val="006D715F"/>
    <w:rsid w:val="006D73C9"/>
    <w:rsid w:val="006E3603"/>
    <w:rsid w:val="006F1DB7"/>
    <w:rsid w:val="006F4E37"/>
    <w:rsid w:val="006F5C68"/>
    <w:rsid w:val="007014C1"/>
    <w:rsid w:val="00703D15"/>
    <w:rsid w:val="0072510A"/>
    <w:rsid w:val="0072534D"/>
    <w:rsid w:val="0076040E"/>
    <w:rsid w:val="0076214A"/>
    <w:rsid w:val="00767DCF"/>
    <w:rsid w:val="00771F53"/>
    <w:rsid w:val="00772017"/>
    <w:rsid w:val="00773175"/>
    <w:rsid w:val="00785444"/>
    <w:rsid w:val="00787F55"/>
    <w:rsid w:val="00792363"/>
    <w:rsid w:val="00793231"/>
    <w:rsid w:val="007A3351"/>
    <w:rsid w:val="007A6CAF"/>
    <w:rsid w:val="007B07CE"/>
    <w:rsid w:val="007B116B"/>
    <w:rsid w:val="007C62BB"/>
    <w:rsid w:val="007C6841"/>
    <w:rsid w:val="007D5DB9"/>
    <w:rsid w:val="007E08B4"/>
    <w:rsid w:val="007E25D4"/>
    <w:rsid w:val="007F4204"/>
    <w:rsid w:val="00801206"/>
    <w:rsid w:val="00810E90"/>
    <w:rsid w:val="008344EB"/>
    <w:rsid w:val="00837141"/>
    <w:rsid w:val="008431D2"/>
    <w:rsid w:val="00844D88"/>
    <w:rsid w:val="00847138"/>
    <w:rsid w:val="00857E49"/>
    <w:rsid w:val="00872375"/>
    <w:rsid w:val="00874ADC"/>
    <w:rsid w:val="00874C5C"/>
    <w:rsid w:val="00880EFE"/>
    <w:rsid w:val="00884C74"/>
    <w:rsid w:val="008A00DF"/>
    <w:rsid w:val="008B2999"/>
    <w:rsid w:val="008B4F41"/>
    <w:rsid w:val="008C10A4"/>
    <w:rsid w:val="008C79F2"/>
    <w:rsid w:val="008E40AF"/>
    <w:rsid w:val="0090227A"/>
    <w:rsid w:val="00911B06"/>
    <w:rsid w:val="00912295"/>
    <w:rsid w:val="009153FC"/>
    <w:rsid w:val="0092102A"/>
    <w:rsid w:val="0092498F"/>
    <w:rsid w:val="00962994"/>
    <w:rsid w:val="00976032"/>
    <w:rsid w:val="0097721A"/>
    <w:rsid w:val="00986660"/>
    <w:rsid w:val="00992006"/>
    <w:rsid w:val="009B0576"/>
    <w:rsid w:val="009B25B7"/>
    <w:rsid w:val="009C0253"/>
    <w:rsid w:val="009C2CAE"/>
    <w:rsid w:val="009D0ECD"/>
    <w:rsid w:val="009E1DE5"/>
    <w:rsid w:val="009E4F6E"/>
    <w:rsid w:val="009E617E"/>
    <w:rsid w:val="009F026A"/>
    <w:rsid w:val="009F59EC"/>
    <w:rsid w:val="00A03A96"/>
    <w:rsid w:val="00A20BE9"/>
    <w:rsid w:val="00A224DD"/>
    <w:rsid w:val="00A26F35"/>
    <w:rsid w:val="00A35F97"/>
    <w:rsid w:val="00A5091D"/>
    <w:rsid w:val="00A52E1E"/>
    <w:rsid w:val="00A52F91"/>
    <w:rsid w:val="00A55567"/>
    <w:rsid w:val="00A56D18"/>
    <w:rsid w:val="00A63A6E"/>
    <w:rsid w:val="00A63B2A"/>
    <w:rsid w:val="00A77A78"/>
    <w:rsid w:val="00AA5025"/>
    <w:rsid w:val="00AB3981"/>
    <w:rsid w:val="00AB4F34"/>
    <w:rsid w:val="00AB795F"/>
    <w:rsid w:val="00AD42FD"/>
    <w:rsid w:val="00AD4DAA"/>
    <w:rsid w:val="00AF400D"/>
    <w:rsid w:val="00B01157"/>
    <w:rsid w:val="00B02172"/>
    <w:rsid w:val="00B02E02"/>
    <w:rsid w:val="00B04703"/>
    <w:rsid w:val="00B0720F"/>
    <w:rsid w:val="00B12C3E"/>
    <w:rsid w:val="00B131B4"/>
    <w:rsid w:val="00B15B66"/>
    <w:rsid w:val="00B3453A"/>
    <w:rsid w:val="00B47509"/>
    <w:rsid w:val="00B565C8"/>
    <w:rsid w:val="00B63447"/>
    <w:rsid w:val="00B65A54"/>
    <w:rsid w:val="00B675F9"/>
    <w:rsid w:val="00B826CE"/>
    <w:rsid w:val="00B9069D"/>
    <w:rsid w:val="00B93580"/>
    <w:rsid w:val="00B948C0"/>
    <w:rsid w:val="00B96E8C"/>
    <w:rsid w:val="00BD1433"/>
    <w:rsid w:val="00BD3796"/>
    <w:rsid w:val="00BD3FC8"/>
    <w:rsid w:val="00BE14CD"/>
    <w:rsid w:val="00BE1970"/>
    <w:rsid w:val="00BE2BF1"/>
    <w:rsid w:val="00BE3876"/>
    <w:rsid w:val="00BE442E"/>
    <w:rsid w:val="00BE51FA"/>
    <w:rsid w:val="00BE61B2"/>
    <w:rsid w:val="00BF72DA"/>
    <w:rsid w:val="00BF7D6A"/>
    <w:rsid w:val="00C00044"/>
    <w:rsid w:val="00C0441A"/>
    <w:rsid w:val="00C16996"/>
    <w:rsid w:val="00C25A27"/>
    <w:rsid w:val="00C30EBA"/>
    <w:rsid w:val="00C40A49"/>
    <w:rsid w:val="00C439C6"/>
    <w:rsid w:val="00C43D63"/>
    <w:rsid w:val="00C502A3"/>
    <w:rsid w:val="00C648CF"/>
    <w:rsid w:val="00C75E35"/>
    <w:rsid w:val="00C75E36"/>
    <w:rsid w:val="00C811F5"/>
    <w:rsid w:val="00C911BF"/>
    <w:rsid w:val="00C92A4F"/>
    <w:rsid w:val="00C948B6"/>
    <w:rsid w:val="00CA3065"/>
    <w:rsid w:val="00CA3F31"/>
    <w:rsid w:val="00CB4E73"/>
    <w:rsid w:val="00CC2EC2"/>
    <w:rsid w:val="00CC7870"/>
    <w:rsid w:val="00CD3A6F"/>
    <w:rsid w:val="00CE10E7"/>
    <w:rsid w:val="00CE19EE"/>
    <w:rsid w:val="00CF09D4"/>
    <w:rsid w:val="00CF0BFD"/>
    <w:rsid w:val="00CF0DCA"/>
    <w:rsid w:val="00CF3A27"/>
    <w:rsid w:val="00D011BF"/>
    <w:rsid w:val="00D02029"/>
    <w:rsid w:val="00D031DD"/>
    <w:rsid w:val="00D0406F"/>
    <w:rsid w:val="00D0593B"/>
    <w:rsid w:val="00D1286F"/>
    <w:rsid w:val="00D132FA"/>
    <w:rsid w:val="00D1349F"/>
    <w:rsid w:val="00D15D7E"/>
    <w:rsid w:val="00D21CE9"/>
    <w:rsid w:val="00D225D6"/>
    <w:rsid w:val="00D367BD"/>
    <w:rsid w:val="00D43B07"/>
    <w:rsid w:val="00D45CB4"/>
    <w:rsid w:val="00D53DBA"/>
    <w:rsid w:val="00D54AD7"/>
    <w:rsid w:val="00D60281"/>
    <w:rsid w:val="00D61CDA"/>
    <w:rsid w:val="00D66221"/>
    <w:rsid w:val="00D71FEA"/>
    <w:rsid w:val="00D731D9"/>
    <w:rsid w:val="00D73DC3"/>
    <w:rsid w:val="00D76753"/>
    <w:rsid w:val="00D91ABB"/>
    <w:rsid w:val="00D928A1"/>
    <w:rsid w:val="00D937B7"/>
    <w:rsid w:val="00DA7F78"/>
    <w:rsid w:val="00DB2868"/>
    <w:rsid w:val="00DB38CE"/>
    <w:rsid w:val="00DC41FA"/>
    <w:rsid w:val="00DC49DF"/>
    <w:rsid w:val="00DC6DE8"/>
    <w:rsid w:val="00DD0467"/>
    <w:rsid w:val="00DD153F"/>
    <w:rsid w:val="00DD4728"/>
    <w:rsid w:val="00DE27B4"/>
    <w:rsid w:val="00DE561E"/>
    <w:rsid w:val="00DF4332"/>
    <w:rsid w:val="00DF5526"/>
    <w:rsid w:val="00E020B4"/>
    <w:rsid w:val="00E02114"/>
    <w:rsid w:val="00E043D1"/>
    <w:rsid w:val="00E077D6"/>
    <w:rsid w:val="00E2320C"/>
    <w:rsid w:val="00E25A4B"/>
    <w:rsid w:val="00E43CEB"/>
    <w:rsid w:val="00E56BFE"/>
    <w:rsid w:val="00E62BBC"/>
    <w:rsid w:val="00E71F4E"/>
    <w:rsid w:val="00E739F2"/>
    <w:rsid w:val="00E73B33"/>
    <w:rsid w:val="00E765CD"/>
    <w:rsid w:val="00E858CB"/>
    <w:rsid w:val="00E8691B"/>
    <w:rsid w:val="00EA03C5"/>
    <w:rsid w:val="00EA602A"/>
    <w:rsid w:val="00EA7523"/>
    <w:rsid w:val="00EC24B9"/>
    <w:rsid w:val="00EC473B"/>
    <w:rsid w:val="00ED617F"/>
    <w:rsid w:val="00EE49F7"/>
    <w:rsid w:val="00EF4862"/>
    <w:rsid w:val="00EF514A"/>
    <w:rsid w:val="00F127A5"/>
    <w:rsid w:val="00F15C39"/>
    <w:rsid w:val="00F20F23"/>
    <w:rsid w:val="00F25520"/>
    <w:rsid w:val="00F325C4"/>
    <w:rsid w:val="00F37BDF"/>
    <w:rsid w:val="00F5240A"/>
    <w:rsid w:val="00F70FD5"/>
    <w:rsid w:val="00F8021B"/>
    <w:rsid w:val="00F8095D"/>
    <w:rsid w:val="00F87814"/>
    <w:rsid w:val="00F912F9"/>
    <w:rsid w:val="00F92116"/>
    <w:rsid w:val="00FA7717"/>
    <w:rsid w:val="00FB399F"/>
    <w:rsid w:val="00FB5511"/>
    <w:rsid w:val="00FC27B0"/>
    <w:rsid w:val="00FC7BA7"/>
    <w:rsid w:val="00FD248B"/>
    <w:rsid w:val="00FD4159"/>
    <w:rsid w:val="00FD6993"/>
    <w:rsid w:val="00FE2E1C"/>
    <w:rsid w:val="00FE6953"/>
    <w:rsid w:val="00FF54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C1510"/>
  <w15:docId w15:val="{FBCB9A95-42C6-8B4D-9238-EEC1DD4A6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116"/>
    <w:rPr>
      <w:rFonts w:ascii="Times New Roman" w:eastAsia="Times New Roman" w:hAnsi="Times New Roman" w:cs="Times New Roman"/>
      <w:lang w:val="en-GB" w:eastAsia="zh-CN"/>
    </w:rPr>
  </w:style>
  <w:style w:type="paragraph" w:styleId="Heading1">
    <w:name w:val="heading 1"/>
    <w:basedOn w:val="Normal"/>
    <w:next w:val="Normal"/>
    <w:link w:val="Heading1Char"/>
    <w:uiPriority w:val="9"/>
    <w:qFormat/>
    <w:rsid w:val="00AA5025"/>
    <w:pPr>
      <w:keepNext/>
      <w:keepLines/>
      <w:spacing w:before="240" w:line="480" w:lineRule="auto"/>
      <w:jc w:val="both"/>
      <w:outlineLvl w:val="0"/>
    </w:pPr>
    <w:rPr>
      <w:rFonts w:ascii="Arial" w:eastAsiaTheme="majorEastAsia" w:hAnsi="Arial" w:cstheme="majorBidi"/>
      <w:b/>
      <w:color w:val="000000" w:themeColor="text1"/>
      <w:kern w:val="2"/>
      <w:sz w:val="28"/>
      <w:szCs w:val="32"/>
      <w:lang w:val="en-US" w:eastAsia="en-US"/>
    </w:rPr>
  </w:style>
  <w:style w:type="paragraph" w:styleId="Heading2">
    <w:name w:val="heading 2"/>
    <w:basedOn w:val="Normal"/>
    <w:next w:val="Normal"/>
    <w:link w:val="Heading2Char"/>
    <w:uiPriority w:val="9"/>
    <w:unhideWhenUsed/>
    <w:qFormat/>
    <w:rsid w:val="00AA5025"/>
    <w:pPr>
      <w:keepNext/>
      <w:keepLines/>
      <w:spacing w:before="40" w:line="480" w:lineRule="auto"/>
      <w:jc w:val="both"/>
      <w:outlineLvl w:val="1"/>
    </w:pPr>
    <w:rPr>
      <w:rFonts w:ascii="Arial" w:eastAsiaTheme="majorEastAsia" w:hAnsi="Arial" w:cstheme="majorBidi"/>
      <w:b/>
      <w:color w:val="000000" w:themeColor="text1"/>
      <w:kern w:val="2"/>
      <w:sz w:val="28"/>
      <w:szCs w:val="26"/>
      <w:lang w:val="en-US" w:eastAsia="en-US"/>
    </w:rPr>
  </w:style>
  <w:style w:type="paragraph" w:styleId="Heading3">
    <w:name w:val="heading 3"/>
    <w:basedOn w:val="Normal"/>
    <w:next w:val="Normal"/>
    <w:link w:val="Heading3Char"/>
    <w:uiPriority w:val="9"/>
    <w:unhideWhenUsed/>
    <w:qFormat/>
    <w:rsid w:val="00AA5025"/>
    <w:pPr>
      <w:keepNext/>
      <w:keepLines/>
      <w:spacing w:before="40" w:line="480" w:lineRule="auto"/>
      <w:jc w:val="both"/>
      <w:outlineLvl w:val="2"/>
    </w:pPr>
    <w:rPr>
      <w:rFonts w:asciiTheme="majorHAnsi" w:eastAsiaTheme="majorEastAsia" w:hAnsiTheme="majorHAnsi" w:cstheme="majorBidi"/>
      <w:color w:val="1F3763" w:themeColor="accent1" w:themeShade="7F"/>
      <w:kern w:val="2"/>
      <w:lang w:val="en-US" w:eastAsia="en-US"/>
    </w:rPr>
  </w:style>
  <w:style w:type="paragraph" w:styleId="Heading5">
    <w:name w:val="heading 5"/>
    <w:basedOn w:val="Normal"/>
    <w:next w:val="Normal"/>
    <w:link w:val="Heading5Char"/>
    <w:uiPriority w:val="9"/>
    <w:semiHidden/>
    <w:unhideWhenUsed/>
    <w:qFormat/>
    <w:rsid w:val="00AA5025"/>
    <w:pPr>
      <w:keepNext/>
      <w:keepLines/>
      <w:spacing w:before="40" w:line="480" w:lineRule="auto"/>
      <w:jc w:val="both"/>
      <w:outlineLvl w:val="4"/>
    </w:pPr>
    <w:rPr>
      <w:rFonts w:asciiTheme="majorHAnsi" w:eastAsiaTheme="majorEastAsia" w:hAnsiTheme="majorHAnsi" w:cstheme="majorBidi"/>
      <w:color w:val="2F5496" w:themeColor="accent1" w:themeShade="BF"/>
      <w:kern w:val="2"/>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1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116"/>
    <w:rPr>
      <w:rFonts w:ascii="Segoe UI" w:eastAsia="Times New Roman" w:hAnsi="Segoe UI" w:cs="Segoe UI"/>
      <w:sz w:val="18"/>
      <w:szCs w:val="18"/>
      <w:lang w:val="en-GB" w:eastAsia="zh-CN"/>
    </w:rPr>
  </w:style>
  <w:style w:type="character" w:styleId="CommentReference">
    <w:name w:val="annotation reference"/>
    <w:basedOn w:val="DefaultParagraphFont"/>
    <w:uiPriority w:val="99"/>
    <w:semiHidden/>
    <w:unhideWhenUsed/>
    <w:rsid w:val="00F92116"/>
    <w:rPr>
      <w:sz w:val="16"/>
      <w:szCs w:val="16"/>
    </w:rPr>
  </w:style>
  <w:style w:type="paragraph" w:styleId="CommentText">
    <w:name w:val="annotation text"/>
    <w:basedOn w:val="Normal"/>
    <w:link w:val="CommentTextChar"/>
    <w:uiPriority w:val="99"/>
    <w:unhideWhenUsed/>
    <w:rsid w:val="00F92116"/>
    <w:rPr>
      <w:sz w:val="20"/>
      <w:szCs w:val="20"/>
    </w:rPr>
  </w:style>
  <w:style w:type="character" w:customStyle="1" w:styleId="CommentTextChar">
    <w:name w:val="Comment Text Char"/>
    <w:basedOn w:val="DefaultParagraphFont"/>
    <w:link w:val="CommentText"/>
    <w:uiPriority w:val="99"/>
    <w:rsid w:val="00F92116"/>
    <w:rPr>
      <w:rFonts w:ascii="Times New Roman" w:eastAsia="Times New Roman" w:hAnsi="Times New Roman" w:cs="Times New Roman"/>
      <w:sz w:val="20"/>
      <w:szCs w:val="20"/>
      <w:lang w:val="en-GB" w:eastAsia="zh-CN"/>
    </w:rPr>
  </w:style>
  <w:style w:type="paragraph" w:styleId="NormalWeb">
    <w:name w:val="Normal (Web)"/>
    <w:basedOn w:val="Normal"/>
    <w:uiPriority w:val="99"/>
    <w:unhideWhenUsed/>
    <w:rsid w:val="00F92116"/>
    <w:pPr>
      <w:spacing w:before="100" w:beforeAutospacing="1" w:after="100" w:afterAutospacing="1"/>
    </w:pPr>
  </w:style>
  <w:style w:type="paragraph" w:styleId="ListParagraph">
    <w:name w:val="List Paragraph"/>
    <w:basedOn w:val="Normal"/>
    <w:uiPriority w:val="34"/>
    <w:qFormat/>
    <w:rsid w:val="00F92116"/>
    <w:pPr>
      <w:ind w:left="720"/>
      <w:contextualSpacing/>
    </w:pPr>
  </w:style>
  <w:style w:type="character" w:styleId="Hyperlink">
    <w:name w:val="Hyperlink"/>
    <w:basedOn w:val="DefaultParagraphFont"/>
    <w:uiPriority w:val="99"/>
    <w:unhideWhenUsed/>
    <w:rsid w:val="00F92116"/>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F92116"/>
    <w:rPr>
      <w:b/>
      <w:bCs/>
    </w:rPr>
  </w:style>
  <w:style w:type="character" w:customStyle="1" w:styleId="CommentSubjectChar">
    <w:name w:val="Comment Subject Char"/>
    <w:basedOn w:val="CommentTextChar"/>
    <w:link w:val="CommentSubject"/>
    <w:uiPriority w:val="99"/>
    <w:semiHidden/>
    <w:rsid w:val="00F92116"/>
    <w:rPr>
      <w:rFonts w:ascii="Times New Roman" w:eastAsia="Times New Roman" w:hAnsi="Times New Roman" w:cs="Times New Roman"/>
      <w:b/>
      <w:bCs/>
      <w:sz w:val="20"/>
      <w:szCs w:val="20"/>
      <w:lang w:val="en-GB" w:eastAsia="zh-CN"/>
    </w:rPr>
  </w:style>
  <w:style w:type="paragraph" w:styleId="Header">
    <w:name w:val="header"/>
    <w:basedOn w:val="Normal"/>
    <w:link w:val="HeaderChar"/>
    <w:uiPriority w:val="99"/>
    <w:unhideWhenUsed/>
    <w:rsid w:val="00F92116"/>
    <w:pPr>
      <w:tabs>
        <w:tab w:val="center" w:pos="4536"/>
        <w:tab w:val="right" w:pos="9072"/>
      </w:tabs>
    </w:pPr>
  </w:style>
  <w:style w:type="character" w:customStyle="1" w:styleId="HeaderChar">
    <w:name w:val="Header Char"/>
    <w:basedOn w:val="DefaultParagraphFont"/>
    <w:link w:val="Header"/>
    <w:uiPriority w:val="99"/>
    <w:rsid w:val="00F92116"/>
    <w:rPr>
      <w:rFonts w:ascii="Times New Roman" w:eastAsia="Times New Roman" w:hAnsi="Times New Roman" w:cs="Times New Roman"/>
      <w:lang w:val="en-GB" w:eastAsia="zh-CN"/>
    </w:rPr>
  </w:style>
  <w:style w:type="paragraph" w:styleId="Footer">
    <w:name w:val="footer"/>
    <w:basedOn w:val="Normal"/>
    <w:link w:val="FooterChar"/>
    <w:uiPriority w:val="99"/>
    <w:unhideWhenUsed/>
    <w:rsid w:val="00F92116"/>
    <w:pPr>
      <w:tabs>
        <w:tab w:val="center" w:pos="4536"/>
        <w:tab w:val="right" w:pos="9072"/>
      </w:tabs>
    </w:pPr>
  </w:style>
  <w:style w:type="character" w:customStyle="1" w:styleId="FooterChar">
    <w:name w:val="Footer Char"/>
    <w:basedOn w:val="DefaultParagraphFont"/>
    <w:link w:val="Footer"/>
    <w:uiPriority w:val="99"/>
    <w:rsid w:val="00F92116"/>
    <w:rPr>
      <w:rFonts w:ascii="Times New Roman" w:eastAsia="Times New Roman" w:hAnsi="Times New Roman" w:cs="Times New Roman"/>
      <w:lang w:val="en-GB" w:eastAsia="zh-CN"/>
    </w:rPr>
  </w:style>
  <w:style w:type="table" w:styleId="TableGrid">
    <w:name w:val="Table Grid"/>
    <w:basedOn w:val="TableNormal"/>
    <w:uiPriority w:val="39"/>
    <w:rsid w:val="00F92116"/>
    <w:rPr>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F92116"/>
    <w:pPr>
      <w:jc w:val="center"/>
    </w:pPr>
    <w:rPr>
      <w:noProof/>
    </w:rPr>
  </w:style>
  <w:style w:type="character" w:customStyle="1" w:styleId="EndNoteBibliographyTitleChar">
    <w:name w:val="EndNote Bibliography Title Char"/>
    <w:basedOn w:val="DefaultParagraphFont"/>
    <w:link w:val="EndNoteBibliographyTitle"/>
    <w:rsid w:val="00F92116"/>
    <w:rPr>
      <w:rFonts w:ascii="Times New Roman" w:eastAsia="Times New Roman" w:hAnsi="Times New Roman" w:cs="Times New Roman"/>
      <w:noProof/>
      <w:lang w:val="en-GB" w:eastAsia="zh-CN"/>
    </w:rPr>
  </w:style>
  <w:style w:type="paragraph" w:customStyle="1" w:styleId="EndNoteBibliography">
    <w:name w:val="EndNote Bibliography"/>
    <w:basedOn w:val="Normal"/>
    <w:link w:val="EndNoteBibliographyChar"/>
    <w:rsid w:val="00F92116"/>
    <w:rPr>
      <w:noProof/>
    </w:rPr>
  </w:style>
  <w:style w:type="character" w:customStyle="1" w:styleId="EndNoteBibliographyChar">
    <w:name w:val="EndNote Bibliography Char"/>
    <w:basedOn w:val="DefaultParagraphFont"/>
    <w:link w:val="EndNoteBibliography"/>
    <w:rsid w:val="00F92116"/>
    <w:rPr>
      <w:rFonts w:ascii="Times New Roman" w:eastAsia="Times New Roman" w:hAnsi="Times New Roman" w:cs="Times New Roman"/>
      <w:noProof/>
      <w:lang w:val="en-GB" w:eastAsia="zh-CN"/>
    </w:rPr>
  </w:style>
  <w:style w:type="paragraph" w:styleId="FootnoteText">
    <w:name w:val="footnote text"/>
    <w:basedOn w:val="Normal"/>
    <w:link w:val="FootnoteTextChar"/>
    <w:uiPriority w:val="99"/>
    <w:semiHidden/>
    <w:unhideWhenUsed/>
    <w:rsid w:val="00F92116"/>
    <w:rPr>
      <w:sz w:val="20"/>
      <w:szCs w:val="20"/>
    </w:rPr>
  </w:style>
  <w:style w:type="character" w:customStyle="1" w:styleId="FootnoteTextChar">
    <w:name w:val="Footnote Text Char"/>
    <w:basedOn w:val="DefaultParagraphFont"/>
    <w:link w:val="FootnoteText"/>
    <w:uiPriority w:val="99"/>
    <w:semiHidden/>
    <w:rsid w:val="00F92116"/>
    <w:rPr>
      <w:rFonts w:ascii="Times New Roman" w:eastAsia="Times New Roman" w:hAnsi="Times New Roman" w:cs="Times New Roman"/>
      <w:sz w:val="20"/>
      <w:szCs w:val="20"/>
      <w:lang w:val="en-GB" w:eastAsia="zh-CN"/>
    </w:rPr>
  </w:style>
  <w:style w:type="character" w:styleId="FootnoteReference">
    <w:name w:val="footnote reference"/>
    <w:basedOn w:val="DefaultParagraphFont"/>
    <w:uiPriority w:val="99"/>
    <w:semiHidden/>
    <w:unhideWhenUsed/>
    <w:rsid w:val="00F92116"/>
    <w:rPr>
      <w:vertAlign w:val="superscript"/>
    </w:rPr>
  </w:style>
  <w:style w:type="paragraph" w:styleId="Revision">
    <w:name w:val="Revision"/>
    <w:hidden/>
    <w:uiPriority w:val="99"/>
    <w:semiHidden/>
    <w:rsid w:val="00F92116"/>
    <w:rPr>
      <w:rFonts w:ascii="Times New Roman" w:eastAsia="Times New Roman" w:hAnsi="Times New Roman" w:cs="Times New Roman"/>
      <w:lang w:val="en-GB" w:eastAsia="zh-CN"/>
    </w:rPr>
  </w:style>
  <w:style w:type="table" w:customStyle="1" w:styleId="PlainTable41">
    <w:name w:val="Plain Table 41"/>
    <w:basedOn w:val="TableNormal"/>
    <w:uiPriority w:val="44"/>
    <w:rsid w:val="00F92116"/>
    <w:rPr>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F92116"/>
    <w:rPr>
      <w:color w:val="605E5C"/>
      <w:shd w:val="clear" w:color="auto" w:fill="E1DFDD"/>
    </w:rPr>
  </w:style>
  <w:style w:type="character" w:styleId="PageNumber">
    <w:name w:val="page number"/>
    <w:basedOn w:val="DefaultParagraphFont"/>
    <w:uiPriority w:val="99"/>
    <w:semiHidden/>
    <w:unhideWhenUsed/>
    <w:rsid w:val="00F92116"/>
  </w:style>
  <w:style w:type="character" w:customStyle="1" w:styleId="UnresolvedMention2">
    <w:name w:val="Unresolved Mention2"/>
    <w:basedOn w:val="DefaultParagraphFont"/>
    <w:uiPriority w:val="99"/>
    <w:unhideWhenUsed/>
    <w:rsid w:val="00F92116"/>
    <w:rPr>
      <w:color w:val="605E5C"/>
      <w:shd w:val="clear" w:color="auto" w:fill="E1DFDD"/>
    </w:rPr>
  </w:style>
  <w:style w:type="paragraph" w:customStyle="1" w:styleId="p1">
    <w:name w:val="p1"/>
    <w:basedOn w:val="Normal"/>
    <w:rsid w:val="00EF4862"/>
    <w:rPr>
      <w:rFonts w:ascii="Times" w:eastAsiaTheme="minorHAnsi" w:hAnsi="Times"/>
      <w:sz w:val="11"/>
      <w:szCs w:val="11"/>
      <w:lang w:val="en-US" w:eastAsia="en-US"/>
    </w:rPr>
  </w:style>
  <w:style w:type="character" w:styleId="UnresolvedMention">
    <w:name w:val="Unresolved Mention"/>
    <w:basedOn w:val="DefaultParagraphFont"/>
    <w:uiPriority w:val="99"/>
    <w:semiHidden/>
    <w:unhideWhenUsed/>
    <w:rsid w:val="00131EA7"/>
    <w:rPr>
      <w:color w:val="605E5C"/>
      <w:shd w:val="clear" w:color="auto" w:fill="E1DFDD"/>
    </w:rPr>
  </w:style>
  <w:style w:type="paragraph" w:styleId="NoSpacing">
    <w:name w:val="No Spacing"/>
    <w:uiPriority w:val="1"/>
    <w:qFormat/>
    <w:rsid w:val="00BE442E"/>
    <w:rPr>
      <w:rFonts w:ascii="Times New Roman" w:eastAsia="Times New Roman" w:hAnsi="Times New Roman" w:cs="Times New Roman"/>
      <w:lang w:val="en-GB" w:eastAsia="zh-CN"/>
    </w:rPr>
  </w:style>
  <w:style w:type="paragraph" w:styleId="Caption">
    <w:name w:val="caption"/>
    <w:basedOn w:val="Normal"/>
    <w:next w:val="Normal"/>
    <w:uiPriority w:val="35"/>
    <w:unhideWhenUsed/>
    <w:qFormat/>
    <w:rsid w:val="00450BE1"/>
    <w:pPr>
      <w:spacing w:after="200"/>
    </w:pPr>
    <w:rPr>
      <w:i/>
      <w:iCs/>
      <w:color w:val="44546A" w:themeColor="text2"/>
      <w:sz w:val="18"/>
      <w:szCs w:val="18"/>
    </w:rPr>
  </w:style>
  <w:style w:type="character" w:customStyle="1" w:styleId="Heading1Char">
    <w:name w:val="Heading 1 Char"/>
    <w:basedOn w:val="DefaultParagraphFont"/>
    <w:link w:val="Heading1"/>
    <w:uiPriority w:val="9"/>
    <w:rsid w:val="00AA5025"/>
    <w:rPr>
      <w:rFonts w:ascii="Arial" w:eastAsiaTheme="majorEastAsia" w:hAnsi="Arial" w:cstheme="majorBidi"/>
      <w:b/>
      <w:color w:val="000000" w:themeColor="text1"/>
      <w:kern w:val="2"/>
      <w:sz w:val="28"/>
      <w:szCs w:val="32"/>
    </w:rPr>
  </w:style>
  <w:style w:type="character" w:customStyle="1" w:styleId="Heading2Char">
    <w:name w:val="Heading 2 Char"/>
    <w:basedOn w:val="DefaultParagraphFont"/>
    <w:link w:val="Heading2"/>
    <w:uiPriority w:val="9"/>
    <w:rsid w:val="00AA5025"/>
    <w:rPr>
      <w:rFonts w:ascii="Arial" w:eastAsiaTheme="majorEastAsia" w:hAnsi="Arial" w:cstheme="majorBidi"/>
      <w:b/>
      <w:color w:val="000000" w:themeColor="text1"/>
      <w:kern w:val="2"/>
      <w:sz w:val="28"/>
      <w:szCs w:val="26"/>
    </w:rPr>
  </w:style>
  <w:style w:type="character" w:customStyle="1" w:styleId="Heading3Char">
    <w:name w:val="Heading 3 Char"/>
    <w:basedOn w:val="DefaultParagraphFont"/>
    <w:link w:val="Heading3"/>
    <w:uiPriority w:val="9"/>
    <w:rsid w:val="00AA5025"/>
    <w:rPr>
      <w:rFonts w:asciiTheme="majorHAnsi" w:eastAsiaTheme="majorEastAsia" w:hAnsiTheme="majorHAnsi" w:cstheme="majorBidi"/>
      <w:color w:val="1F3763" w:themeColor="accent1" w:themeShade="7F"/>
      <w:kern w:val="2"/>
    </w:rPr>
  </w:style>
  <w:style w:type="character" w:customStyle="1" w:styleId="Heading5Char">
    <w:name w:val="Heading 5 Char"/>
    <w:basedOn w:val="DefaultParagraphFont"/>
    <w:link w:val="Heading5"/>
    <w:uiPriority w:val="9"/>
    <w:semiHidden/>
    <w:rsid w:val="00AA5025"/>
    <w:rPr>
      <w:rFonts w:asciiTheme="majorHAnsi" w:eastAsiaTheme="majorEastAsia" w:hAnsiTheme="majorHAnsi" w:cstheme="majorBidi"/>
      <w:color w:val="2F5496" w:themeColor="accent1" w:themeShade="BF"/>
      <w:kern w:val="2"/>
      <w:sz w:val="22"/>
    </w:rPr>
  </w:style>
  <w:style w:type="character" w:customStyle="1" w:styleId="highlight">
    <w:name w:val="highlight"/>
    <w:basedOn w:val="DefaultParagraphFont"/>
    <w:rsid w:val="00AA5025"/>
  </w:style>
  <w:style w:type="character" w:customStyle="1" w:styleId="citation">
    <w:name w:val="citation"/>
    <w:basedOn w:val="DefaultParagraphFont"/>
    <w:rsid w:val="00AA5025"/>
  </w:style>
  <w:style w:type="character" w:customStyle="1" w:styleId="citation-item">
    <w:name w:val="citation-item"/>
    <w:basedOn w:val="DefaultParagraphFont"/>
    <w:rsid w:val="00AA5025"/>
  </w:style>
  <w:style w:type="paragraph" w:customStyle="1" w:styleId="Default">
    <w:name w:val="Default"/>
    <w:rsid w:val="00AA5025"/>
    <w:pPr>
      <w:widowControl w:val="0"/>
      <w:autoSpaceDE w:val="0"/>
      <w:autoSpaceDN w:val="0"/>
      <w:adjustRightInd w:val="0"/>
    </w:pPr>
    <w:rPr>
      <w:rFonts w:ascii="Calibri" w:eastAsia="Times New Roman" w:hAnsi="Calibri" w:cs="Calibri"/>
      <w:color w:val="000000"/>
      <w:lang w:val="en-CA" w:eastAsia="en-CA"/>
    </w:rPr>
  </w:style>
  <w:style w:type="table" w:styleId="PlainTable5">
    <w:name w:val="Plain Table 5"/>
    <w:basedOn w:val="TableNormal"/>
    <w:uiPriority w:val="45"/>
    <w:rsid w:val="00AA5025"/>
    <w:rPr>
      <w:kern w:val="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Heading">
    <w:name w:val="TOC Heading"/>
    <w:basedOn w:val="Heading1"/>
    <w:next w:val="Normal"/>
    <w:uiPriority w:val="39"/>
    <w:unhideWhenUsed/>
    <w:qFormat/>
    <w:rsid w:val="00AA5025"/>
    <w:pPr>
      <w:spacing w:before="480" w:line="276" w:lineRule="auto"/>
      <w:jc w:val="left"/>
      <w:outlineLvl w:val="9"/>
    </w:pPr>
    <w:rPr>
      <w:b w:val="0"/>
      <w:bCs/>
      <w:kern w:val="0"/>
      <w:szCs w:val="28"/>
    </w:rPr>
  </w:style>
  <w:style w:type="paragraph" w:styleId="TOC1">
    <w:name w:val="toc 1"/>
    <w:basedOn w:val="Normal"/>
    <w:next w:val="Normal"/>
    <w:autoRedefine/>
    <w:uiPriority w:val="39"/>
    <w:unhideWhenUsed/>
    <w:rsid w:val="00AA5025"/>
    <w:pPr>
      <w:tabs>
        <w:tab w:val="right" w:leader="dot" w:pos="9350"/>
      </w:tabs>
      <w:spacing w:before="120"/>
    </w:pPr>
    <w:rPr>
      <w:rFonts w:asciiTheme="minorHAnsi" w:eastAsiaTheme="minorEastAsia" w:hAnsiTheme="minorHAnsi" w:cstheme="minorHAnsi"/>
      <w:b/>
      <w:bCs/>
      <w:i/>
      <w:iCs/>
      <w:kern w:val="2"/>
      <w:lang w:val="en-US" w:eastAsia="en-US"/>
    </w:rPr>
  </w:style>
  <w:style w:type="paragraph" w:styleId="TOC2">
    <w:name w:val="toc 2"/>
    <w:basedOn w:val="Normal"/>
    <w:next w:val="Normal"/>
    <w:autoRedefine/>
    <w:uiPriority w:val="39"/>
    <w:unhideWhenUsed/>
    <w:rsid w:val="00AA5025"/>
    <w:pPr>
      <w:spacing w:before="120"/>
      <w:ind w:left="220"/>
    </w:pPr>
    <w:rPr>
      <w:rFonts w:ascii="Arial" w:eastAsiaTheme="minorEastAsia" w:hAnsi="Arial" w:cstheme="minorHAnsi"/>
      <w:b/>
      <w:bCs/>
      <w:kern w:val="2"/>
      <w:sz w:val="22"/>
      <w:szCs w:val="22"/>
      <w:lang w:val="en-US" w:eastAsia="en-US"/>
    </w:rPr>
  </w:style>
  <w:style w:type="paragraph" w:styleId="TOC3">
    <w:name w:val="toc 3"/>
    <w:basedOn w:val="Normal"/>
    <w:next w:val="Normal"/>
    <w:autoRedefine/>
    <w:uiPriority w:val="39"/>
    <w:unhideWhenUsed/>
    <w:rsid w:val="00AA5025"/>
    <w:pPr>
      <w:ind w:left="440"/>
    </w:pPr>
    <w:rPr>
      <w:rFonts w:ascii="Arial" w:eastAsiaTheme="minorEastAsia" w:hAnsi="Arial" w:cstheme="minorHAnsi"/>
      <w:kern w:val="2"/>
      <w:sz w:val="20"/>
      <w:szCs w:val="20"/>
      <w:lang w:val="en-US" w:eastAsia="en-US"/>
    </w:rPr>
  </w:style>
  <w:style w:type="paragraph" w:styleId="TOC4">
    <w:name w:val="toc 4"/>
    <w:basedOn w:val="Normal"/>
    <w:next w:val="Normal"/>
    <w:autoRedefine/>
    <w:uiPriority w:val="39"/>
    <w:semiHidden/>
    <w:unhideWhenUsed/>
    <w:rsid w:val="00AA5025"/>
    <w:pPr>
      <w:spacing w:line="480" w:lineRule="auto"/>
      <w:ind w:left="660"/>
    </w:pPr>
    <w:rPr>
      <w:rFonts w:asciiTheme="minorHAnsi" w:eastAsiaTheme="minorEastAsia" w:hAnsiTheme="minorHAnsi" w:cstheme="minorHAnsi"/>
      <w:kern w:val="2"/>
      <w:sz w:val="20"/>
      <w:szCs w:val="20"/>
      <w:lang w:val="en-US" w:eastAsia="en-US"/>
    </w:rPr>
  </w:style>
  <w:style w:type="paragraph" w:styleId="TOC5">
    <w:name w:val="toc 5"/>
    <w:basedOn w:val="Normal"/>
    <w:next w:val="Normal"/>
    <w:autoRedefine/>
    <w:uiPriority w:val="39"/>
    <w:semiHidden/>
    <w:unhideWhenUsed/>
    <w:rsid w:val="00AA5025"/>
    <w:pPr>
      <w:spacing w:line="480" w:lineRule="auto"/>
      <w:ind w:left="880"/>
    </w:pPr>
    <w:rPr>
      <w:rFonts w:asciiTheme="minorHAnsi" w:eastAsiaTheme="minorEastAsia" w:hAnsiTheme="minorHAnsi" w:cstheme="minorHAnsi"/>
      <w:kern w:val="2"/>
      <w:sz w:val="20"/>
      <w:szCs w:val="20"/>
      <w:lang w:val="en-US" w:eastAsia="en-US"/>
    </w:rPr>
  </w:style>
  <w:style w:type="paragraph" w:styleId="TOC6">
    <w:name w:val="toc 6"/>
    <w:basedOn w:val="Normal"/>
    <w:next w:val="Normal"/>
    <w:autoRedefine/>
    <w:uiPriority w:val="39"/>
    <w:semiHidden/>
    <w:unhideWhenUsed/>
    <w:rsid w:val="00AA5025"/>
    <w:pPr>
      <w:spacing w:line="480" w:lineRule="auto"/>
      <w:ind w:left="1100"/>
    </w:pPr>
    <w:rPr>
      <w:rFonts w:asciiTheme="minorHAnsi" w:eastAsiaTheme="minorEastAsia" w:hAnsiTheme="minorHAnsi" w:cstheme="minorHAnsi"/>
      <w:kern w:val="2"/>
      <w:sz w:val="20"/>
      <w:szCs w:val="20"/>
      <w:lang w:val="en-US" w:eastAsia="en-US"/>
    </w:rPr>
  </w:style>
  <w:style w:type="paragraph" w:styleId="TOC7">
    <w:name w:val="toc 7"/>
    <w:basedOn w:val="Normal"/>
    <w:next w:val="Normal"/>
    <w:autoRedefine/>
    <w:uiPriority w:val="39"/>
    <w:semiHidden/>
    <w:unhideWhenUsed/>
    <w:rsid w:val="00AA5025"/>
    <w:pPr>
      <w:spacing w:line="480" w:lineRule="auto"/>
      <w:ind w:left="1320"/>
    </w:pPr>
    <w:rPr>
      <w:rFonts w:asciiTheme="minorHAnsi" w:eastAsiaTheme="minorEastAsia" w:hAnsiTheme="minorHAnsi" w:cstheme="minorHAnsi"/>
      <w:kern w:val="2"/>
      <w:sz w:val="20"/>
      <w:szCs w:val="20"/>
      <w:lang w:val="en-US" w:eastAsia="en-US"/>
    </w:rPr>
  </w:style>
  <w:style w:type="paragraph" w:styleId="TOC8">
    <w:name w:val="toc 8"/>
    <w:basedOn w:val="Normal"/>
    <w:next w:val="Normal"/>
    <w:autoRedefine/>
    <w:uiPriority w:val="39"/>
    <w:semiHidden/>
    <w:unhideWhenUsed/>
    <w:rsid w:val="00AA5025"/>
    <w:pPr>
      <w:spacing w:line="480" w:lineRule="auto"/>
      <w:ind w:left="1540"/>
    </w:pPr>
    <w:rPr>
      <w:rFonts w:asciiTheme="minorHAnsi" w:eastAsiaTheme="minorEastAsia" w:hAnsiTheme="minorHAnsi" w:cstheme="minorHAnsi"/>
      <w:kern w:val="2"/>
      <w:sz w:val="20"/>
      <w:szCs w:val="20"/>
      <w:lang w:val="en-US" w:eastAsia="en-US"/>
    </w:rPr>
  </w:style>
  <w:style w:type="paragraph" w:styleId="TOC9">
    <w:name w:val="toc 9"/>
    <w:basedOn w:val="Normal"/>
    <w:next w:val="Normal"/>
    <w:autoRedefine/>
    <w:uiPriority w:val="39"/>
    <w:semiHidden/>
    <w:unhideWhenUsed/>
    <w:rsid w:val="00AA5025"/>
    <w:pPr>
      <w:spacing w:line="480" w:lineRule="auto"/>
      <w:ind w:left="1760"/>
    </w:pPr>
    <w:rPr>
      <w:rFonts w:asciiTheme="minorHAnsi" w:eastAsiaTheme="minorEastAsia" w:hAnsiTheme="minorHAnsi" w:cstheme="minorHAnsi"/>
      <w:kern w:val="2"/>
      <w:sz w:val="20"/>
      <w:szCs w:val="20"/>
      <w:lang w:val="en-US" w:eastAsia="en-US"/>
    </w:rPr>
  </w:style>
  <w:style w:type="character" w:styleId="LineNumber">
    <w:name w:val="line number"/>
    <w:basedOn w:val="DefaultParagraphFont"/>
    <w:uiPriority w:val="99"/>
    <w:semiHidden/>
    <w:unhideWhenUsed/>
    <w:rsid w:val="00AA5025"/>
  </w:style>
  <w:style w:type="character" w:styleId="PlaceholderText">
    <w:name w:val="Placeholder Text"/>
    <w:basedOn w:val="DefaultParagraphFont"/>
    <w:uiPriority w:val="99"/>
    <w:semiHidden/>
    <w:rsid w:val="00AA5025"/>
    <w:rPr>
      <w:color w:val="666666"/>
    </w:rPr>
  </w:style>
  <w:style w:type="paragraph" w:styleId="Bibliography">
    <w:name w:val="Bibliography"/>
    <w:basedOn w:val="Normal"/>
    <w:next w:val="Normal"/>
    <w:uiPriority w:val="37"/>
    <w:unhideWhenUsed/>
    <w:rsid w:val="00AA5025"/>
    <w:pPr>
      <w:spacing w:line="480" w:lineRule="auto"/>
      <w:ind w:left="720" w:hanging="720"/>
      <w:jc w:val="both"/>
    </w:pPr>
    <w:rPr>
      <w:rFonts w:ascii="Arial" w:eastAsiaTheme="minorEastAsia" w:hAnsi="Arial" w:cs="Arial"/>
      <w:kern w:val="2"/>
      <w:sz w:val="22"/>
      <w:lang w:val="en-US" w:eastAsia="en-US"/>
    </w:rPr>
  </w:style>
  <w:style w:type="character" w:styleId="EndnoteReference">
    <w:name w:val="endnote reference"/>
    <w:basedOn w:val="DefaultParagraphFont"/>
    <w:uiPriority w:val="99"/>
    <w:semiHidden/>
    <w:unhideWhenUsed/>
    <w:rsid w:val="00AA5025"/>
    <w:rPr>
      <w:vertAlign w:val="superscript"/>
    </w:rPr>
  </w:style>
  <w:style w:type="character" w:styleId="FollowedHyperlink">
    <w:name w:val="FollowedHyperlink"/>
    <w:basedOn w:val="DefaultParagraphFont"/>
    <w:uiPriority w:val="99"/>
    <w:semiHidden/>
    <w:unhideWhenUsed/>
    <w:rsid w:val="00AA5025"/>
    <w:rPr>
      <w:color w:val="954F72"/>
      <w:u w:val="single"/>
    </w:rPr>
  </w:style>
  <w:style w:type="paragraph" w:customStyle="1" w:styleId="msonormal0">
    <w:name w:val="msonormal"/>
    <w:basedOn w:val="Normal"/>
    <w:rsid w:val="00AA5025"/>
    <w:pPr>
      <w:spacing w:before="100" w:beforeAutospacing="1" w:after="100" w:afterAutospacing="1"/>
    </w:pPr>
    <w:rPr>
      <w:lang w:val="en-US" w:eastAsia="en-US"/>
    </w:rPr>
  </w:style>
  <w:style w:type="table" w:styleId="GridTable2">
    <w:name w:val="Grid Table 2"/>
    <w:basedOn w:val="TableNormal"/>
    <w:uiPriority w:val="47"/>
    <w:rsid w:val="00AA5025"/>
    <w:rPr>
      <w:kern w:val="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AA5025"/>
    <w:rPr>
      <w:kern w:val="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AA5025"/>
    <w:rPr>
      <w:kern w:val="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AA5025"/>
    <w:rPr>
      <w:kern w:val="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nchor-text">
    <w:name w:val="anchor-text"/>
    <w:basedOn w:val="DefaultParagraphFont"/>
    <w:rsid w:val="00AA50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3559259">
      <w:bodyDiv w:val="1"/>
      <w:marLeft w:val="0"/>
      <w:marRight w:val="0"/>
      <w:marTop w:val="0"/>
      <w:marBottom w:val="0"/>
      <w:divBdr>
        <w:top w:val="none" w:sz="0" w:space="0" w:color="auto"/>
        <w:left w:val="none" w:sz="0" w:space="0" w:color="auto"/>
        <w:bottom w:val="none" w:sz="0" w:space="0" w:color="auto"/>
        <w:right w:val="none" w:sz="0" w:space="0" w:color="auto"/>
      </w:divBdr>
    </w:div>
    <w:div w:id="547644030">
      <w:bodyDiv w:val="1"/>
      <w:marLeft w:val="0"/>
      <w:marRight w:val="0"/>
      <w:marTop w:val="0"/>
      <w:marBottom w:val="0"/>
      <w:divBdr>
        <w:top w:val="none" w:sz="0" w:space="0" w:color="auto"/>
        <w:left w:val="none" w:sz="0" w:space="0" w:color="auto"/>
        <w:bottom w:val="none" w:sz="0" w:space="0" w:color="auto"/>
        <w:right w:val="none" w:sz="0" w:space="0" w:color="auto"/>
      </w:divBdr>
    </w:div>
    <w:div w:id="569539078">
      <w:bodyDiv w:val="1"/>
      <w:marLeft w:val="0"/>
      <w:marRight w:val="0"/>
      <w:marTop w:val="0"/>
      <w:marBottom w:val="0"/>
      <w:divBdr>
        <w:top w:val="none" w:sz="0" w:space="0" w:color="auto"/>
        <w:left w:val="none" w:sz="0" w:space="0" w:color="auto"/>
        <w:bottom w:val="none" w:sz="0" w:space="0" w:color="auto"/>
        <w:right w:val="none" w:sz="0" w:space="0" w:color="auto"/>
      </w:divBdr>
    </w:div>
    <w:div w:id="578639009">
      <w:bodyDiv w:val="1"/>
      <w:marLeft w:val="0"/>
      <w:marRight w:val="0"/>
      <w:marTop w:val="0"/>
      <w:marBottom w:val="0"/>
      <w:divBdr>
        <w:top w:val="none" w:sz="0" w:space="0" w:color="auto"/>
        <w:left w:val="none" w:sz="0" w:space="0" w:color="auto"/>
        <w:bottom w:val="none" w:sz="0" w:space="0" w:color="auto"/>
        <w:right w:val="none" w:sz="0" w:space="0" w:color="auto"/>
      </w:divBdr>
    </w:div>
    <w:div w:id="626740883">
      <w:bodyDiv w:val="1"/>
      <w:marLeft w:val="0"/>
      <w:marRight w:val="0"/>
      <w:marTop w:val="0"/>
      <w:marBottom w:val="0"/>
      <w:divBdr>
        <w:top w:val="none" w:sz="0" w:space="0" w:color="auto"/>
        <w:left w:val="none" w:sz="0" w:space="0" w:color="auto"/>
        <w:bottom w:val="none" w:sz="0" w:space="0" w:color="auto"/>
        <w:right w:val="none" w:sz="0" w:space="0" w:color="auto"/>
      </w:divBdr>
      <w:divsChild>
        <w:div w:id="454106228">
          <w:marLeft w:val="480"/>
          <w:marRight w:val="0"/>
          <w:marTop w:val="0"/>
          <w:marBottom w:val="0"/>
          <w:divBdr>
            <w:top w:val="none" w:sz="0" w:space="0" w:color="auto"/>
            <w:left w:val="none" w:sz="0" w:space="0" w:color="auto"/>
            <w:bottom w:val="none" w:sz="0" w:space="0" w:color="auto"/>
            <w:right w:val="none" w:sz="0" w:space="0" w:color="auto"/>
          </w:divBdr>
          <w:divsChild>
            <w:div w:id="559828073">
              <w:marLeft w:val="0"/>
              <w:marRight w:val="0"/>
              <w:marTop w:val="0"/>
              <w:marBottom w:val="0"/>
              <w:divBdr>
                <w:top w:val="none" w:sz="0" w:space="0" w:color="auto"/>
                <w:left w:val="none" w:sz="0" w:space="0" w:color="auto"/>
                <w:bottom w:val="none" w:sz="0" w:space="0" w:color="auto"/>
                <w:right w:val="none" w:sz="0" w:space="0" w:color="auto"/>
              </w:divBdr>
            </w:div>
            <w:div w:id="2112360839">
              <w:marLeft w:val="0"/>
              <w:marRight w:val="0"/>
              <w:marTop w:val="0"/>
              <w:marBottom w:val="0"/>
              <w:divBdr>
                <w:top w:val="none" w:sz="0" w:space="0" w:color="auto"/>
                <w:left w:val="none" w:sz="0" w:space="0" w:color="auto"/>
                <w:bottom w:val="none" w:sz="0" w:space="0" w:color="auto"/>
                <w:right w:val="none" w:sz="0" w:space="0" w:color="auto"/>
              </w:divBdr>
            </w:div>
            <w:div w:id="1807161833">
              <w:marLeft w:val="0"/>
              <w:marRight w:val="0"/>
              <w:marTop w:val="0"/>
              <w:marBottom w:val="0"/>
              <w:divBdr>
                <w:top w:val="none" w:sz="0" w:space="0" w:color="auto"/>
                <w:left w:val="none" w:sz="0" w:space="0" w:color="auto"/>
                <w:bottom w:val="none" w:sz="0" w:space="0" w:color="auto"/>
                <w:right w:val="none" w:sz="0" w:space="0" w:color="auto"/>
              </w:divBdr>
            </w:div>
            <w:div w:id="372734576">
              <w:marLeft w:val="0"/>
              <w:marRight w:val="0"/>
              <w:marTop w:val="0"/>
              <w:marBottom w:val="0"/>
              <w:divBdr>
                <w:top w:val="none" w:sz="0" w:space="0" w:color="auto"/>
                <w:left w:val="none" w:sz="0" w:space="0" w:color="auto"/>
                <w:bottom w:val="none" w:sz="0" w:space="0" w:color="auto"/>
                <w:right w:val="none" w:sz="0" w:space="0" w:color="auto"/>
              </w:divBdr>
            </w:div>
            <w:div w:id="892889649">
              <w:marLeft w:val="0"/>
              <w:marRight w:val="0"/>
              <w:marTop w:val="0"/>
              <w:marBottom w:val="0"/>
              <w:divBdr>
                <w:top w:val="none" w:sz="0" w:space="0" w:color="auto"/>
                <w:left w:val="none" w:sz="0" w:space="0" w:color="auto"/>
                <w:bottom w:val="none" w:sz="0" w:space="0" w:color="auto"/>
                <w:right w:val="none" w:sz="0" w:space="0" w:color="auto"/>
              </w:divBdr>
            </w:div>
            <w:div w:id="2147042972">
              <w:marLeft w:val="0"/>
              <w:marRight w:val="0"/>
              <w:marTop w:val="0"/>
              <w:marBottom w:val="0"/>
              <w:divBdr>
                <w:top w:val="none" w:sz="0" w:space="0" w:color="auto"/>
                <w:left w:val="none" w:sz="0" w:space="0" w:color="auto"/>
                <w:bottom w:val="none" w:sz="0" w:space="0" w:color="auto"/>
                <w:right w:val="none" w:sz="0" w:space="0" w:color="auto"/>
              </w:divBdr>
            </w:div>
            <w:div w:id="1970014299">
              <w:marLeft w:val="0"/>
              <w:marRight w:val="0"/>
              <w:marTop w:val="0"/>
              <w:marBottom w:val="0"/>
              <w:divBdr>
                <w:top w:val="none" w:sz="0" w:space="0" w:color="auto"/>
                <w:left w:val="none" w:sz="0" w:space="0" w:color="auto"/>
                <w:bottom w:val="none" w:sz="0" w:space="0" w:color="auto"/>
                <w:right w:val="none" w:sz="0" w:space="0" w:color="auto"/>
              </w:divBdr>
            </w:div>
            <w:div w:id="162673971">
              <w:marLeft w:val="0"/>
              <w:marRight w:val="0"/>
              <w:marTop w:val="0"/>
              <w:marBottom w:val="0"/>
              <w:divBdr>
                <w:top w:val="none" w:sz="0" w:space="0" w:color="auto"/>
                <w:left w:val="none" w:sz="0" w:space="0" w:color="auto"/>
                <w:bottom w:val="none" w:sz="0" w:space="0" w:color="auto"/>
                <w:right w:val="none" w:sz="0" w:space="0" w:color="auto"/>
              </w:divBdr>
            </w:div>
            <w:div w:id="126432731">
              <w:marLeft w:val="0"/>
              <w:marRight w:val="0"/>
              <w:marTop w:val="0"/>
              <w:marBottom w:val="0"/>
              <w:divBdr>
                <w:top w:val="none" w:sz="0" w:space="0" w:color="auto"/>
                <w:left w:val="none" w:sz="0" w:space="0" w:color="auto"/>
                <w:bottom w:val="none" w:sz="0" w:space="0" w:color="auto"/>
                <w:right w:val="none" w:sz="0" w:space="0" w:color="auto"/>
              </w:divBdr>
            </w:div>
            <w:div w:id="445780833">
              <w:marLeft w:val="0"/>
              <w:marRight w:val="0"/>
              <w:marTop w:val="0"/>
              <w:marBottom w:val="0"/>
              <w:divBdr>
                <w:top w:val="none" w:sz="0" w:space="0" w:color="auto"/>
                <w:left w:val="none" w:sz="0" w:space="0" w:color="auto"/>
                <w:bottom w:val="none" w:sz="0" w:space="0" w:color="auto"/>
                <w:right w:val="none" w:sz="0" w:space="0" w:color="auto"/>
              </w:divBdr>
            </w:div>
            <w:div w:id="1974099234">
              <w:marLeft w:val="0"/>
              <w:marRight w:val="0"/>
              <w:marTop w:val="0"/>
              <w:marBottom w:val="0"/>
              <w:divBdr>
                <w:top w:val="none" w:sz="0" w:space="0" w:color="auto"/>
                <w:left w:val="none" w:sz="0" w:space="0" w:color="auto"/>
                <w:bottom w:val="none" w:sz="0" w:space="0" w:color="auto"/>
                <w:right w:val="none" w:sz="0" w:space="0" w:color="auto"/>
              </w:divBdr>
            </w:div>
            <w:div w:id="109517438">
              <w:marLeft w:val="0"/>
              <w:marRight w:val="0"/>
              <w:marTop w:val="0"/>
              <w:marBottom w:val="0"/>
              <w:divBdr>
                <w:top w:val="none" w:sz="0" w:space="0" w:color="auto"/>
                <w:left w:val="none" w:sz="0" w:space="0" w:color="auto"/>
                <w:bottom w:val="none" w:sz="0" w:space="0" w:color="auto"/>
                <w:right w:val="none" w:sz="0" w:space="0" w:color="auto"/>
              </w:divBdr>
            </w:div>
            <w:div w:id="1425106097">
              <w:marLeft w:val="0"/>
              <w:marRight w:val="0"/>
              <w:marTop w:val="0"/>
              <w:marBottom w:val="0"/>
              <w:divBdr>
                <w:top w:val="none" w:sz="0" w:space="0" w:color="auto"/>
                <w:left w:val="none" w:sz="0" w:space="0" w:color="auto"/>
                <w:bottom w:val="none" w:sz="0" w:space="0" w:color="auto"/>
                <w:right w:val="none" w:sz="0" w:space="0" w:color="auto"/>
              </w:divBdr>
            </w:div>
            <w:div w:id="145784553">
              <w:marLeft w:val="0"/>
              <w:marRight w:val="0"/>
              <w:marTop w:val="0"/>
              <w:marBottom w:val="0"/>
              <w:divBdr>
                <w:top w:val="none" w:sz="0" w:space="0" w:color="auto"/>
                <w:left w:val="none" w:sz="0" w:space="0" w:color="auto"/>
                <w:bottom w:val="none" w:sz="0" w:space="0" w:color="auto"/>
                <w:right w:val="none" w:sz="0" w:space="0" w:color="auto"/>
              </w:divBdr>
            </w:div>
            <w:div w:id="1707371151">
              <w:marLeft w:val="0"/>
              <w:marRight w:val="0"/>
              <w:marTop w:val="0"/>
              <w:marBottom w:val="0"/>
              <w:divBdr>
                <w:top w:val="none" w:sz="0" w:space="0" w:color="auto"/>
                <w:left w:val="none" w:sz="0" w:space="0" w:color="auto"/>
                <w:bottom w:val="none" w:sz="0" w:space="0" w:color="auto"/>
                <w:right w:val="none" w:sz="0" w:space="0" w:color="auto"/>
              </w:divBdr>
            </w:div>
            <w:div w:id="327564560">
              <w:marLeft w:val="0"/>
              <w:marRight w:val="0"/>
              <w:marTop w:val="0"/>
              <w:marBottom w:val="0"/>
              <w:divBdr>
                <w:top w:val="none" w:sz="0" w:space="0" w:color="auto"/>
                <w:left w:val="none" w:sz="0" w:space="0" w:color="auto"/>
                <w:bottom w:val="none" w:sz="0" w:space="0" w:color="auto"/>
                <w:right w:val="none" w:sz="0" w:space="0" w:color="auto"/>
              </w:divBdr>
            </w:div>
            <w:div w:id="471605530">
              <w:marLeft w:val="0"/>
              <w:marRight w:val="0"/>
              <w:marTop w:val="0"/>
              <w:marBottom w:val="0"/>
              <w:divBdr>
                <w:top w:val="none" w:sz="0" w:space="0" w:color="auto"/>
                <w:left w:val="none" w:sz="0" w:space="0" w:color="auto"/>
                <w:bottom w:val="none" w:sz="0" w:space="0" w:color="auto"/>
                <w:right w:val="none" w:sz="0" w:space="0" w:color="auto"/>
              </w:divBdr>
            </w:div>
            <w:div w:id="1895117222">
              <w:marLeft w:val="0"/>
              <w:marRight w:val="0"/>
              <w:marTop w:val="0"/>
              <w:marBottom w:val="0"/>
              <w:divBdr>
                <w:top w:val="none" w:sz="0" w:space="0" w:color="auto"/>
                <w:left w:val="none" w:sz="0" w:space="0" w:color="auto"/>
                <w:bottom w:val="none" w:sz="0" w:space="0" w:color="auto"/>
                <w:right w:val="none" w:sz="0" w:space="0" w:color="auto"/>
              </w:divBdr>
            </w:div>
            <w:div w:id="1401516895">
              <w:marLeft w:val="0"/>
              <w:marRight w:val="0"/>
              <w:marTop w:val="0"/>
              <w:marBottom w:val="0"/>
              <w:divBdr>
                <w:top w:val="none" w:sz="0" w:space="0" w:color="auto"/>
                <w:left w:val="none" w:sz="0" w:space="0" w:color="auto"/>
                <w:bottom w:val="none" w:sz="0" w:space="0" w:color="auto"/>
                <w:right w:val="none" w:sz="0" w:space="0" w:color="auto"/>
              </w:divBdr>
            </w:div>
            <w:div w:id="477265866">
              <w:marLeft w:val="0"/>
              <w:marRight w:val="0"/>
              <w:marTop w:val="0"/>
              <w:marBottom w:val="0"/>
              <w:divBdr>
                <w:top w:val="none" w:sz="0" w:space="0" w:color="auto"/>
                <w:left w:val="none" w:sz="0" w:space="0" w:color="auto"/>
                <w:bottom w:val="none" w:sz="0" w:space="0" w:color="auto"/>
                <w:right w:val="none" w:sz="0" w:space="0" w:color="auto"/>
              </w:divBdr>
            </w:div>
            <w:div w:id="227108031">
              <w:marLeft w:val="0"/>
              <w:marRight w:val="0"/>
              <w:marTop w:val="0"/>
              <w:marBottom w:val="0"/>
              <w:divBdr>
                <w:top w:val="none" w:sz="0" w:space="0" w:color="auto"/>
                <w:left w:val="none" w:sz="0" w:space="0" w:color="auto"/>
                <w:bottom w:val="none" w:sz="0" w:space="0" w:color="auto"/>
                <w:right w:val="none" w:sz="0" w:space="0" w:color="auto"/>
              </w:divBdr>
            </w:div>
            <w:div w:id="668482151">
              <w:marLeft w:val="0"/>
              <w:marRight w:val="0"/>
              <w:marTop w:val="0"/>
              <w:marBottom w:val="0"/>
              <w:divBdr>
                <w:top w:val="none" w:sz="0" w:space="0" w:color="auto"/>
                <w:left w:val="none" w:sz="0" w:space="0" w:color="auto"/>
                <w:bottom w:val="none" w:sz="0" w:space="0" w:color="auto"/>
                <w:right w:val="none" w:sz="0" w:space="0" w:color="auto"/>
              </w:divBdr>
            </w:div>
            <w:div w:id="722021753">
              <w:marLeft w:val="0"/>
              <w:marRight w:val="0"/>
              <w:marTop w:val="0"/>
              <w:marBottom w:val="0"/>
              <w:divBdr>
                <w:top w:val="none" w:sz="0" w:space="0" w:color="auto"/>
                <w:left w:val="none" w:sz="0" w:space="0" w:color="auto"/>
                <w:bottom w:val="none" w:sz="0" w:space="0" w:color="auto"/>
                <w:right w:val="none" w:sz="0" w:space="0" w:color="auto"/>
              </w:divBdr>
            </w:div>
            <w:div w:id="95560841">
              <w:marLeft w:val="0"/>
              <w:marRight w:val="0"/>
              <w:marTop w:val="0"/>
              <w:marBottom w:val="0"/>
              <w:divBdr>
                <w:top w:val="none" w:sz="0" w:space="0" w:color="auto"/>
                <w:left w:val="none" w:sz="0" w:space="0" w:color="auto"/>
                <w:bottom w:val="none" w:sz="0" w:space="0" w:color="auto"/>
                <w:right w:val="none" w:sz="0" w:space="0" w:color="auto"/>
              </w:divBdr>
            </w:div>
            <w:div w:id="895553069">
              <w:marLeft w:val="0"/>
              <w:marRight w:val="0"/>
              <w:marTop w:val="0"/>
              <w:marBottom w:val="0"/>
              <w:divBdr>
                <w:top w:val="none" w:sz="0" w:space="0" w:color="auto"/>
                <w:left w:val="none" w:sz="0" w:space="0" w:color="auto"/>
                <w:bottom w:val="none" w:sz="0" w:space="0" w:color="auto"/>
                <w:right w:val="none" w:sz="0" w:space="0" w:color="auto"/>
              </w:divBdr>
            </w:div>
            <w:div w:id="1573275180">
              <w:marLeft w:val="0"/>
              <w:marRight w:val="0"/>
              <w:marTop w:val="0"/>
              <w:marBottom w:val="0"/>
              <w:divBdr>
                <w:top w:val="none" w:sz="0" w:space="0" w:color="auto"/>
                <w:left w:val="none" w:sz="0" w:space="0" w:color="auto"/>
                <w:bottom w:val="none" w:sz="0" w:space="0" w:color="auto"/>
                <w:right w:val="none" w:sz="0" w:space="0" w:color="auto"/>
              </w:divBdr>
            </w:div>
            <w:div w:id="869952330">
              <w:marLeft w:val="0"/>
              <w:marRight w:val="0"/>
              <w:marTop w:val="0"/>
              <w:marBottom w:val="0"/>
              <w:divBdr>
                <w:top w:val="none" w:sz="0" w:space="0" w:color="auto"/>
                <w:left w:val="none" w:sz="0" w:space="0" w:color="auto"/>
                <w:bottom w:val="none" w:sz="0" w:space="0" w:color="auto"/>
                <w:right w:val="none" w:sz="0" w:space="0" w:color="auto"/>
              </w:divBdr>
            </w:div>
            <w:div w:id="616640983">
              <w:marLeft w:val="0"/>
              <w:marRight w:val="0"/>
              <w:marTop w:val="0"/>
              <w:marBottom w:val="0"/>
              <w:divBdr>
                <w:top w:val="none" w:sz="0" w:space="0" w:color="auto"/>
                <w:left w:val="none" w:sz="0" w:space="0" w:color="auto"/>
                <w:bottom w:val="none" w:sz="0" w:space="0" w:color="auto"/>
                <w:right w:val="none" w:sz="0" w:space="0" w:color="auto"/>
              </w:divBdr>
            </w:div>
            <w:div w:id="550726194">
              <w:marLeft w:val="0"/>
              <w:marRight w:val="0"/>
              <w:marTop w:val="0"/>
              <w:marBottom w:val="0"/>
              <w:divBdr>
                <w:top w:val="none" w:sz="0" w:space="0" w:color="auto"/>
                <w:left w:val="none" w:sz="0" w:space="0" w:color="auto"/>
                <w:bottom w:val="none" w:sz="0" w:space="0" w:color="auto"/>
                <w:right w:val="none" w:sz="0" w:space="0" w:color="auto"/>
              </w:divBdr>
            </w:div>
            <w:div w:id="843125487">
              <w:marLeft w:val="0"/>
              <w:marRight w:val="0"/>
              <w:marTop w:val="0"/>
              <w:marBottom w:val="0"/>
              <w:divBdr>
                <w:top w:val="none" w:sz="0" w:space="0" w:color="auto"/>
                <w:left w:val="none" w:sz="0" w:space="0" w:color="auto"/>
                <w:bottom w:val="none" w:sz="0" w:space="0" w:color="auto"/>
                <w:right w:val="none" w:sz="0" w:space="0" w:color="auto"/>
              </w:divBdr>
            </w:div>
            <w:div w:id="1710837420">
              <w:marLeft w:val="0"/>
              <w:marRight w:val="0"/>
              <w:marTop w:val="0"/>
              <w:marBottom w:val="0"/>
              <w:divBdr>
                <w:top w:val="none" w:sz="0" w:space="0" w:color="auto"/>
                <w:left w:val="none" w:sz="0" w:space="0" w:color="auto"/>
                <w:bottom w:val="none" w:sz="0" w:space="0" w:color="auto"/>
                <w:right w:val="none" w:sz="0" w:space="0" w:color="auto"/>
              </w:divBdr>
            </w:div>
            <w:div w:id="1097604704">
              <w:marLeft w:val="0"/>
              <w:marRight w:val="0"/>
              <w:marTop w:val="0"/>
              <w:marBottom w:val="0"/>
              <w:divBdr>
                <w:top w:val="none" w:sz="0" w:space="0" w:color="auto"/>
                <w:left w:val="none" w:sz="0" w:space="0" w:color="auto"/>
                <w:bottom w:val="none" w:sz="0" w:space="0" w:color="auto"/>
                <w:right w:val="none" w:sz="0" w:space="0" w:color="auto"/>
              </w:divBdr>
            </w:div>
            <w:div w:id="1525291458">
              <w:marLeft w:val="0"/>
              <w:marRight w:val="0"/>
              <w:marTop w:val="0"/>
              <w:marBottom w:val="0"/>
              <w:divBdr>
                <w:top w:val="none" w:sz="0" w:space="0" w:color="auto"/>
                <w:left w:val="none" w:sz="0" w:space="0" w:color="auto"/>
                <w:bottom w:val="none" w:sz="0" w:space="0" w:color="auto"/>
                <w:right w:val="none" w:sz="0" w:space="0" w:color="auto"/>
              </w:divBdr>
            </w:div>
            <w:div w:id="905798729">
              <w:marLeft w:val="0"/>
              <w:marRight w:val="0"/>
              <w:marTop w:val="0"/>
              <w:marBottom w:val="0"/>
              <w:divBdr>
                <w:top w:val="none" w:sz="0" w:space="0" w:color="auto"/>
                <w:left w:val="none" w:sz="0" w:space="0" w:color="auto"/>
                <w:bottom w:val="none" w:sz="0" w:space="0" w:color="auto"/>
                <w:right w:val="none" w:sz="0" w:space="0" w:color="auto"/>
              </w:divBdr>
            </w:div>
            <w:div w:id="1808350218">
              <w:marLeft w:val="0"/>
              <w:marRight w:val="0"/>
              <w:marTop w:val="0"/>
              <w:marBottom w:val="0"/>
              <w:divBdr>
                <w:top w:val="none" w:sz="0" w:space="0" w:color="auto"/>
                <w:left w:val="none" w:sz="0" w:space="0" w:color="auto"/>
                <w:bottom w:val="none" w:sz="0" w:space="0" w:color="auto"/>
                <w:right w:val="none" w:sz="0" w:space="0" w:color="auto"/>
              </w:divBdr>
            </w:div>
            <w:div w:id="1868910219">
              <w:marLeft w:val="0"/>
              <w:marRight w:val="0"/>
              <w:marTop w:val="0"/>
              <w:marBottom w:val="0"/>
              <w:divBdr>
                <w:top w:val="none" w:sz="0" w:space="0" w:color="auto"/>
                <w:left w:val="none" w:sz="0" w:space="0" w:color="auto"/>
                <w:bottom w:val="none" w:sz="0" w:space="0" w:color="auto"/>
                <w:right w:val="none" w:sz="0" w:space="0" w:color="auto"/>
              </w:divBdr>
            </w:div>
            <w:div w:id="1078550234">
              <w:marLeft w:val="0"/>
              <w:marRight w:val="0"/>
              <w:marTop w:val="0"/>
              <w:marBottom w:val="0"/>
              <w:divBdr>
                <w:top w:val="none" w:sz="0" w:space="0" w:color="auto"/>
                <w:left w:val="none" w:sz="0" w:space="0" w:color="auto"/>
                <w:bottom w:val="none" w:sz="0" w:space="0" w:color="auto"/>
                <w:right w:val="none" w:sz="0" w:space="0" w:color="auto"/>
              </w:divBdr>
            </w:div>
            <w:div w:id="2080520067">
              <w:marLeft w:val="0"/>
              <w:marRight w:val="0"/>
              <w:marTop w:val="0"/>
              <w:marBottom w:val="0"/>
              <w:divBdr>
                <w:top w:val="none" w:sz="0" w:space="0" w:color="auto"/>
                <w:left w:val="none" w:sz="0" w:space="0" w:color="auto"/>
                <w:bottom w:val="none" w:sz="0" w:space="0" w:color="auto"/>
                <w:right w:val="none" w:sz="0" w:space="0" w:color="auto"/>
              </w:divBdr>
            </w:div>
            <w:div w:id="723910813">
              <w:marLeft w:val="0"/>
              <w:marRight w:val="0"/>
              <w:marTop w:val="0"/>
              <w:marBottom w:val="0"/>
              <w:divBdr>
                <w:top w:val="none" w:sz="0" w:space="0" w:color="auto"/>
                <w:left w:val="none" w:sz="0" w:space="0" w:color="auto"/>
                <w:bottom w:val="none" w:sz="0" w:space="0" w:color="auto"/>
                <w:right w:val="none" w:sz="0" w:space="0" w:color="auto"/>
              </w:divBdr>
            </w:div>
            <w:div w:id="354313825">
              <w:marLeft w:val="0"/>
              <w:marRight w:val="0"/>
              <w:marTop w:val="0"/>
              <w:marBottom w:val="0"/>
              <w:divBdr>
                <w:top w:val="none" w:sz="0" w:space="0" w:color="auto"/>
                <w:left w:val="none" w:sz="0" w:space="0" w:color="auto"/>
                <w:bottom w:val="none" w:sz="0" w:space="0" w:color="auto"/>
                <w:right w:val="none" w:sz="0" w:space="0" w:color="auto"/>
              </w:divBdr>
            </w:div>
            <w:div w:id="820118825">
              <w:marLeft w:val="0"/>
              <w:marRight w:val="0"/>
              <w:marTop w:val="0"/>
              <w:marBottom w:val="0"/>
              <w:divBdr>
                <w:top w:val="none" w:sz="0" w:space="0" w:color="auto"/>
                <w:left w:val="none" w:sz="0" w:space="0" w:color="auto"/>
                <w:bottom w:val="none" w:sz="0" w:space="0" w:color="auto"/>
                <w:right w:val="none" w:sz="0" w:space="0" w:color="auto"/>
              </w:divBdr>
            </w:div>
            <w:div w:id="138692256">
              <w:marLeft w:val="0"/>
              <w:marRight w:val="0"/>
              <w:marTop w:val="0"/>
              <w:marBottom w:val="0"/>
              <w:divBdr>
                <w:top w:val="none" w:sz="0" w:space="0" w:color="auto"/>
                <w:left w:val="none" w:sz="0" w:space="0" w:color="auto"/>
                <w:bottom w:val="none" w:sz="0" w:space="0" w:color="auto"/>
                <w:right w:val="none" w:sz="0" w:space="0" w:color="auto"/>
              </w:divBdr>
            </w:div>
            <w:div w:id="5325227">
              <w:marLeft w:val="0"/>
              <w:marRight w:val="0"/>
              <w:marTop w:val="0"/>
              <w:marBottom w:val="0"/>
              <w:divBdr>
                <w:top w:val="none" w:sz="0" w:space="0" w:color="auto"/>
                <w:left w:val="none" w:sz="0" w:space="0" w:color="auto"/>
                <w:bottom w:val="none" w:sz="0" w:space="0" w:color="auto"/>
                <w:right w:val="none" w:sz="0" w:space="0" w:color="auto"/>
              </w:divBdr>
            </w:div>
            <w:div w:id="1252591707">
              <w:marLeft w:val="0"/>
              <w:marRight w:val="0"/>
              <w:marTop w:val="0"/>
              <w:marBottom w:val="0"/>
              <w:divBdr>
                <w:top w:val="none" w:sz="0" w:space="0" w:color="auto"/>
                <w:left w:val="none" w:sz="0" w:space="0" w:color="auto"/>
                <w:bottom w:val="none" w:sz="0" w:space="0" w:color="auto"/>
                <w:right w:val="none" w:sz="0" w:space="0" w:color="auto"/>
              </w:divBdr>
            </w:div>
            <w:div w:id="556627112">
              <w:marLeft w:val="0"/>
              <w:marRight w:val="0"/>
              <w:marTop w:val="0"/>
              <w:marBottom w:val="0"/>
              <w:divBdr>
                <w:top w:val="none" w:sz="0" w:space="0" w:color="auto"/>
                <w:left w:val="none" w:sz="0" w:space="0" w:color="auto"/>
                <w:bottom w:val="none" w:sz="0" w:space="0" w:color="auto"/>
                <w:right w:val="none" w:sz="0" w:space="0" w:color="auto"/>
              </w:divBdr>
            </w:div>
            <w:div w:id="2092309102">
              <w:marLeft w:val="0"/>
              <w:marRight w:val="0"/>
              <w:marTop w:val="0"/>
              <w:marBottom w:val="0"/>
              <w:divBdr>
                <w:top w:val="none" w:sz="0" w:space="0" w:color="auto"/>
                <w:left w:val="none" w:sz="0" w:space="0" w:color="auto"/>
                <w:bottom w:val="none" w:sz="0" w:space="0" w:color="auto"/>
                <w:right w:val="none" w:sz="0" w:space="0" w:color="auto"/>
              </w:divBdr>
            </w:div>
            <w:div w:id="160632077">
              <w:marLeft w:val="0"/>
              <w:marRight w:val="0"/>
              <w:marTop w:val="0"/>
              <w:marBottom w:val="0"/>
              <w:divBdr>
                <w:top w:val="none" w:sz="0" w:space="0" w:color="auto"/>
                <w:left w:val="none" w:sz="0" w:space="0" w:color="auto"/>
                <w:bottom w:val="none" w:sz="0" w:space="0" w:color="auto"/>
                <w:right w:val="none" w:sz="0" w:space="0" w:color="auto"/>
              </w:divBdr>
            </w:div>
            <w:div w:id="787118417">
              <w:marLeft w:val="0"/>
              <w:marRight w:val="0"/>
              <w:marTop w:val="0"/>
              <w:marBottom w:val="0"/>
              <w:divBdr>
                <w:top w:val="none" w:sz="0" w:space="0" w:color="auto"/>
                <w:left w:val="none" w:sz="0" w:space="0" w:color="auto"/>
                <w:bottom w:val="none" w:sz="0" w:space="0" w:color="auto"/>
                <w:right w:val="none" w:sz="0" w:space="0" w:color="auto"/>
              </w:divBdr>
            </w:div>
            <w:div w:id="1311402691">
              <w:marLeft w:val="0"/>
              <w:marRight w:val="0"/>
              <w:marTop w:val="0"/>
              <w:marBottom w:val="0"/>
              <w:divBdr>
                <w:top w:val="none" w:sz="0" w:space="0" w:color="auto"/>
                <w:left w:val="none" w:sz="0" w:space="0" w:color="auto"/>
                <w:bottom w:val="none" w:sz="0" w:space="0" w:color="auto"/>
                <w:right w:val="none" w:sz="0" w:space="0" w:color="auto"/>
              </w:divBdr>
            </w:div>
            <w:div w:id="1455903515">
              <w:marLeft w:val="0"/>
              <w:marRight w:val="0"/>
              <w:marTop w:val="0"/>
              <w:marBottom w:val="0"/>
              <w:divBdr>
                <w:top w:val="none" w:sz="0" w:space="0" w:color="auto"/>
                <w:left w:val="none" w:sz="0" w:space="0" w:color="auto"/>
                <w:bottom w:val="none" w:sz="0" w:space="0" w:color="auto"/>
                <w:right w:val="none" w:sz="0" w:space="0" w:color="auto"/>
              </w:divBdr>
            </w:div>
            <w:div w:id="1723212418">
              <w:marLeft w:val="0"/>
              <w:marRight w:val="0"/>
              <w:marTop w:val="0"/>
              <w:marBottom w:val="0"/>
              <w:divBdr>
                <w:top w:val="none" w:sz="0" w:space="0" w:color="auto"/>
                <w:left w:val="none" w:sz="0" w:space="0" w:color="auto"/>
                <w:bottom w:val="none" w:sz="0" w:space="0" w:color="auto"/>
                <w:right w:val="none" w:sz="0" w:space="0" w:color="auto"/>
              </w:divBdr>
            </w:div>
            <w:div w:id="1816606151">
              <w:marLeft w:val="0"/>
              <w:marRight w:val="0"/>
              <w:marTop w:val="0"/>
              <w:marBottom w:val="0"/>
              <w:divBdr>
                <w:top w:val="none" w:sz="0" w:space="0" w:color="auto"/>
                <w:left w:val="none" w:sz="0" w:space="0" w:color="auto"/>
                <w:bottom w:val="none" w:sz="0" w:space="0" w:color="auto"/>
                <w:right w:val="none" w:sz="0" w:space="0" w:color="auto"/>
              </w:divBdr>
            </w:div>
            <w:div w:id="459344708">
              <w:marLeft w:val="0"/>
              <w:marRight w:val="0"/>
              <w:marTop w:val="0"/>
              <w:marBottom w:val="0"/>
              <w:divBdr>
                <w:top w:val="none" w:sz="0" w:space="0" w:color="auto"/>
                <w:left w:val="none" w:sz="0" w:space="0" w:color="auto"/>
                <w:bottom w:val="none" w:sz="0" w:space="0" w:color="auto"/>
                <w:right w:val="none" w:sz="0" w:space="0" w:color="auto"/>
              </w:divBdr>
            </w:div>
            <w:div w:id="1248611492">
              <w:marLeft w:val="0"/>
              <w:marRight w:val="0"/>
              <w:marTop w:val="0"/>
              <w:marBottom w:val="0"/>
              <w:divBdr>
                <w:top w:val="none" w:sz="0" w:space="0" w:color="auto"/>
                <w:left w:val="none" w:sz="0" w:space="0" w:color="auto"/>
                <w:bottom w:val="none" w:sz="0" w:space="0" w:color="auto"/>
                <w:right w:val="none" w:sz="0" w:space="0" w:color="auto"/>
              </w:divBdr>
            </w:div>
            <w:div w:id="148801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93802">
      <w:bodyDiv w:val="1"/>
      <w:marLeft w:val="0"/>
      <w:marRight w:val="0"/>
      <w:marTop w:val="0"/>
      <w:marBottom w:val="0"/>
      <w:divBdr>
        <w:top w:val="none" w:sz="0" w:space="0" w:color="auto"/>
        <w:left w:val="none" w:sz="0" w:space="0" w:color="auto"/>
        <w:bottom w:val="none" w:sz="0" w:space="0" w:color="auto"/>
        <w:right w:val="none" w:sz="0" w:space="0" w:color="auto"/>
      </w:divBdr>
    </w:div>
    <w:div w:id="1406762879">
      <w:bodyDiv w:val="1"/>
      <w:marLeft w:val="0"/>
      <w:marRight w:val="0"/>
      <w:marTop w:val="0"/>
      <w:marBottom w:val="0"/>
      <w:divBdr>
        <w:top w:val="none" w:sz="0" w:space="0" w:color="auto"/>
        <w:left w:val="none" w:sz="0" w:space="0" w:color="auto"/>
        <w:bottom w:val="none" w:sz="0" w:space="0" w:color="auto"/>
        <w:right w:val="none" w:sz="0" w:space="0" w:color="auto"/>
      </w:divBdr>
      <w:divsChild>
        <w:div w:id="540442495">
          <w:marLeft w:val="480"/>
          <w:marRight w:val="0"/>
          <w:marTop w:val="0"/>
          <w:marBottom w:val="0"/>
          <w:divBdr>
            <w:top w:val="none" w:sz="0" w:space="0" w:color="auto"/>
            <w:left w:val="none" w:sz="0" w:space="0" w:color="auto"/>
            <w:bottom w:val="none" w:sz="0" w:space="0" w:color="auto"/>
            <w:right w:val="none" w:sz="0" w:space="0" w:color="auto"/>
          </w:divBdr>
          <w:divsChild>
            <w:div w:id="1057320571">
              <w:marLeft w:val="0"/>
              <w:marRight w:val="0"/>
              <w:marTop w:val="0"/>
              <w:marBottom w:val="0"/>
              <w:divBdr>
                <w:top w:val="none" w:sz="0" w:space="0" w:color="auto"/>
                <w:left w:val="none" w:sz="0" w:space="0" w:color="auto"/>
                <w:bottom w:val="none" w:sz="0" w:space="0" w:color="auto"/>
                <w:right w:val="none" w:sz="0" w:space="0" w:color="auto"/>
              </w:divBdr>
            </w:div>
            <w:div w:id="343167299">
              <w:marLeft w:val="0"/>
              <w:marRight w:val="0"/>
              <w:marTop w:val="0"/>
              <w:marBottom w:val="0"/>
              <w:divBdr>
                <w:top w:val="none" w:sz="0" w:space="0" w:color="auto"/>
                <w:left w:val="none" w:sz="0" w:space="0" w:color="auto"/>
                <w:bottom w:val="none" w:sz="0" w:space="0" w:color="auto"/>
                <w:right w:val="none" w:sz="0" w:space="0" w:color="auto"/>
              </w:divBdr>
            </w:div>
            <w:div w:id="685441618">
              <w:marLeft w:val="0"/>
              <w:marRight w:val="0"/>
              <w:marTop w:val="0"/>
              <w:marBottom w:val="0"/>
              <w:divBdr>
                <w:top w:val="none" w:sz="0" w:space="0" w:color="auto"/>
                <w:left w:val="none" w:sz="0" w:space="0" w:color="auto"/>
                <w:bottom w:val="none" w:sz="0" w:space="0" w:color="auto"/>
                <w:right w:val="none" w:sz="0" w:space="0" w:color="auto"/>
              </w:divBdr>
            </w:div>
            <w:div w:id="467166578">
              <w:marLeft w:val="0"/>
              <w:marRight w:val="0"/>
              <w:marTop w:val="0"/>
              <w:marBottom w:val="0"/>
              <w:divBdr>
                <w:top w:val="none" w:sz="0" w:space="0" w:color="auto"/>
                <w:left w:val="none" w:sz="0" w:space="0" w:color="auto"/>
                <w:bottom w:val="none" w:sz="0" w:space="0" w:color="auto"/>
                <w:right w:val="none" w:sz="0" w:space="0" w:color="auto"/>
              </w:divBdr>
            </w:div>
            <w:div w:id="1651136361">
              <w:marLeft w:val="0"/>
              <w:marRight w:val="0"/>
              <w:marTop w:val="0"/>
              <w:marBottom w:val="0"/>
              <w:divBdr>
                <w:top w:val="none" w:sz="0" w:space="0" w:color="auto"/>
                <w:left w:val="none" w:sz="0" w:space="0" w:color="auto"/>
                <w:bottom w:val="none" w:sz="0" w:space="0" w:color="auto"/>
                <w:right w:val="none" w:sz="0" w:space="0" w:color="auto"/>
              </w:divBdr>
            </w:div>
            <w:div w:id="137305260">
              <w:marLeft w:val="0"/>
              <w:marRight w:val="0"/>
              <w:marTop w:val="0"/>
              <w:marBottom w:val="0"/>
              <w:divBdr>
                <w:top w:val="none" w:sz="0" w:space="0" w:color="auto"/>
                <w:left w:val="none" w:sz="0" w:space="0" w:color="auto"/>
                <w:bottom w:val="none" w:sz="0" w:space="0" w:color="auto"/>
                <w:right w:val="none" w:sz="0" w:space="0" w:color="auto"/>
              </w:divBdr>
            </w:div>
            <w:div w:id="1943805568">
              <w:marLeft w:val="0"/>
              <w:marRight w:val="0"/>
              <w:marTop w:val="0"/>
              <w:marBottom w:val="0"/>
              <w:divBdr>
                <w:top w:val="none" w:sz="0" w:space="0" w:color="auto"/>
                <w:left w:val="none" w:sz="0" w:space="0" w:color="auto"/>
                <w:bottom w:val="none" w:sz="0" w:space="0" w:color="auto"/>
                <w:right w:val="none" w:sz="0" w:space="0" w:color="auto"/>
              </w:divBdr>
            </w:div>
            <w:div w:id="313215740">
              <w:marLeft w:val="0"/>
              <w:marRight w:val="0"/>
              <w:marTop w:val="0"/>
              <w:marBottom w:val="0"/>
              <w:divBdr>
                <w:top w:val="none" w:sz="0" w:space="0" w:color="auto"/>
                <w:left w:val="none" w:sz="0" w:space="0" w:color="auto"/>
                <w:bottom w:val="none" w:sz="0" w:space="0" w:color="auto"/>
                <w:right w:val="none" w:sz="0" w:space="0" w:color="auto"/>
              </w:divBdr>
            </w:div>
            <w:div w:id="994140777">
              <w:marLeft w:val="0"/>
              <w:marRight w:val="0"/>
              <w:marTop w:val="0"/>
              <w:marBottom w:val="0"/>
              <w:divBdr>
                <w:top w:val="none" w:sz="0" w:space="0" w:color="auto"/>
                <w:left w:val="none" w:sz="0" w:space="0" w:color="auto"/>
                <w:bottom w:val="none" w:sz="0" w:space="0" w:color="auto"/>
                <w:right w:val="none" w:sz="0" w:space="0" w:color="auto"/>
              </w:divBdr>
            </w:div>
            <w:div w:id="1783987381">
              <w:marLeft w:val="0"/>
              <w:marRight w:val="0"/>
              <w:marTop w:val="0"/>
              <w:marBottom w:val="0"/>
              <w:divBdr>
                <w:top w:val="none" w:sz="0" w:space="0" w:color="auto"/>
                <w:left w:val="none" w:sz="0" w:space="0" w:color="auto"/>
                <w:bottom w:val="none" w:sz="0" w:space="0" w:color="auto"/>
                <w:right w:val="none" w:sz="0" w:space="0" w:color="auto"/>
              </w:divBdr>
            </w:div>
            <w:div w:id="1588079756">
              <w:marLeft w:val="0"/>
              <w:marRight w:val="0"/>
              <w:marTop w:val="0"/>
              <w:marBottom w:val="0"/>
              <w:divBdr>
                <w:top w:val="none" w:sz="0" w:space="0" w:color="auto"/>
                <w:left w:val="none" w:sz="0" w:space="0" w:color="auto"/>
                <w:bottom w:val="none" w:sz="0" w:space="0" w:color="auto"/>
                <w:right w:val="none" w:sz="0" w:space="0" w:color="auto"/>
              </w:divBdr>
            </w:div>
            <w:div w:id="59443989">
              <w:marLeft w:val="0"/>
              <w:marRight w:val="0"/>
              <w:marTop w:val="0"/>
              <w:marBottom w:val="0"/>
              <w:divBdr>
                <w:top w:val="none" w:sz="0" w:space="0" w:color="auto"/>
                <w:left w:val="none" w:sz="0" w:space="0" w:color="auto"/>
                <w:bottom w:val="none" w:sz="0" w:space="0" w:color="auto"/>
                <w:right w:val="none" w:sz="0" w:space="0" w:color="auto"/>
              </w:divBdr>
            </w:div>
            <w:div w:id="743140220">
              <w:marLeft w:val="0"/>
              <w:marRight w:val="0"/>
              <w:marTop w:val="0"/>
              <w:marBottom w:val="0"/>
              <w:divBdr>
                <w:top w:val="none" w:sz="0" w:space="0" w:color="auto"/>
                <w:left w:val="none" w:sz="0" w:space="0" w:color="auto"/>
                <w:bottom w:val="none" w:sz="0" w:space="0" w:color="auto"/>
                <w:right w:val="none" w:sz="0" w:space="0" w:color="auto"/>
              </w:divBdr>
            </w:div>
            <w:div w:id="452402454">
              <w:marLeft w:val="0"/>
              <w:marRight w:val="0"/>
              <w:marTop w:val="0"/>
              <w:marBottom w:val="0"/>
              <w:divBdr>
                <w:top w:val="none" w:sz="0" w:space="0" w:color="auto"/>
                <w:left w:val="none" w:sz="0" w:space="0" w:color="auto"/>
                <w:bottom w:val="none" w:sz="0" w:space="0" w:color="auto"/>
                <w:right w:val="none" w:sz="0" w:space="0" w:color="auto"/>
              </w:divBdr>
            </w:div>
            <w:div w:id="1789932882">
              <w:marLeft w:val="0"/>
              <w:marRight w:val="0"/>
              <w:marTop w:val="0"/>
              <w:marBottom w:val="0"/>
              <w:divBdr>
                <w:top w:val="none" w:sz="0" w:space="0" w:color="auto"/>
                <w:left w:val="none" w:sz="0" w:space="0" w:color="auto"/>
                <w:bottom w:val="none" w:sz="0" w:space="0" w:color="auto"/>
                <w:right w:val="none" w:sz="0" w:space="0" w:color="auto"/>
              </w:divBdr>
            </w:div>
            <w:div w:id="340745962">
              <w:marLeft w:val="0"/>
              <w:marRight w:val="0"/>
              <w:marTop w:val="0"/>
              <w:marBottom w:val="0"/>
              <w:divBdr>
                <w:top w:val="none" w:sz="0" w:space="0" w:color="auto"/>
                <w:left w:val="none" w:sz="0" w:space="0" w:color="auto"/>
                <w:bottom w:val="none" w:sz="0" w:space="0" w:color="auto"/>
                <w:right w:val="none" w:sz="0" w:space="0" w:color="auto"/>
              </w:divBdr>
            </w:div>
            <w:div w:id="1314142005">
              <w:marLeft w:val="0"/>
              <w:marRight w:val="0"/>
              <w:marTop w:val="0"/>
              <w:marBottom w:val="0"/>
              <w:divBdr>
                <w:top w:val="none" w:sz="0" w:space="0" w:color="auto"/>
                <w:left w:val="none" w:sz="0" w:space="0" w:color="auto"/>
                <w:bottom w:val="none" w:sz="0" w:space="0" w:color="auto"/>
                <w:right w:val="none" w:sz="0" w:space="0" w:color="auto"/>
              </w:divBdr>
            </w:div>
            <w:div w:id="392849375">
              <w:marLeft w:val="0"/>
              <w:marRight w:val="0"/>
              <w:marTop w:val="0"/>
              <w:marBottom w:val="0"/>
              <w:divBdr>
                <w:top w:val="none" w:sz="0" w:space="0" w:color="auto"/>
                <w:left w:val="none" w:sz="0" w:space="0" w:color="auto"/>
                <w:bottom w:val="none" w:sz="0" w:space="0" w:color="auto"/>
                <w:right w:val="none" w:sz="0" w:space="0" w:color="auto"/>
              </w:divBdr>
            </w:div>
            <w:div w:id="2086148190">
              <w:marLeft w:val="0"/>
              <w:marRight w:val="0"/>
              <w:marTop w:val="0"/>
              <w:marBottom w:val="0"/>
              <w:divBdr>
                <w:top w:val="none" w:sz="0" w:space="0" w:color="auto"/>
                <w:left w:val="none" w:sz="0" w:space="0" w:color="auto"/>
                <w:bottom w:val="none" w:sz="0" w:space="0" w:color="auto"/>
                <w:right w:val="none" w:sz="0" w:space="0" w:color="auto"/>
              </w:divBdr>
            </w:div>
            <w:div w:id="1844277432">
              <w:marLeft w:val="0"/>
              <w:marRight w:val="0"/>
              <w:marTop w:val="0"/>
              <w:marBottom w:val="0"/>
              <w:divBdr>
                <w:top w:val="none" w:sz="0" w:space="0" w:color="auto"/>
                <w:left w:val="none" w:sz="0" w:space="0" w:color="auto"/>
                <w:bottom w:val="none" w:sz="0" w:space="0" w:color="auto"/>
                <w:right w:val="none" w:sz="0" w:space="0" w:color="auto"/>
              </w:divBdr>
            </w:div>
            <w:div w:id="1809086586">
              <w:marLeft w:val="0"/>
              <w:marRight w:val="0"/>
              <w:marTop w:val="0"/>
              <w:marBottom w:val="0"/>
              <w:divBdr>
                <w:top w:val="none" w:sz="0" w:space="0" w:color="auto"/>
                <w:left w:val="none" w:sz="0" w:space="0" w:color="auto"/>
                <w:bottom w:val="none" w:sz="0" w:space="0" w:color="auto"/>
                <w:right w:val="none" w:sz="0" w:space="0" w:color="auto"/>
              </w:divBdr>
            </w:div>
            <w:div w:id="504638068">
              <w:marLeft w:val="0"/>
              <w:marRight w:val="0"/>
              <w:marTop w:val="0"/>
              <w:marBottom w:val="0"/>
              <w:divBdr>
                <w:top w:val="none" w:sz="0" w:space="0" w:color="auto"/>
                <w:left w:val="none" w:sz="0" w:space="0" w:color="auto"/>
                <w:bottom w:val="none" w:sz="0" w:space="0" w:color="auto"/>
                <w:right w:val="none" w:sz="0" w:space="0" w:color="auto"/>
              </w:divBdr>
            </w:div>
            <w:div w:id="898632843">
              <w:marLeft w:val="0"/>
              <w:marRight w:val="0"/>
              <w:marTop w:val="0"/>
              <w:marBottom w:val="0"/>
              <w:divBdr>
                <w:top w:val="none" w:sz="0" w:space="0" w:color="auto"/>
                <w:left w:val="none" w:sz="0" w:space="0" w:color="auto"/>
                <w:bottom w:val="none" w:sz="0" w:space="0" w:color="auto"/>
                <w:right w:val="none" w:sz="0" w:space="0" w:color="auto"/>
              </w:divBdr>
            </w:div>
            <w:div w:id="976911683">
              <w:marLeft w:val="0"/>
              <w:marRight w:val="0"/>
              <w:marTop w:val="0"/>
              <w:marBottom w:val="0"/>
              <w:divBdr>
                <w:top w:val="none" w:sz="0" w:space="0" w:color="auto"/>
                <w:left w:val="none" w:sz="0" w:space="0" w:color="auto"/>
                <w:bottom w:val="none" w:sz="0" w:space="0" w:color="auto"/>
                <w:right w:val="none" w:sz="0" w:space="0" w:color="auto"/>
              </w:divBdr>
            </w:div>
            <w:div w:id="659768288">
              <w:marLeft w:val="0"/>
              <w:marRight w:val="0"/>
              <w:marTop w:val="0"/>
              <w:marBottom w:val="0"/>
              <w:divBdr>
                <w:top w:val="none" w:sz="0" w:space="0" w:color="auto"/>
                <w:left w:val="none" w:sz="0" w:space="0" w:color="auto"/>
                <w:bottom w:val="none" w:sz="0" w:space="0" w:color="auto"/>
                <w:right w:val="none" w:sz="0" w:space="0" w:color="auto"/>
              </w:divBdr>
            </w:div>
            <w:div w:id="118381210">
              <w:marLeft w:val="0"/>
              <w:marRight w:val="0"/>
              <w:marTop w:val="0"/>
              <w:marBottom w:val="0"/>
              <w:divBdr>
                <w:top w:val="none" w:sz="0" w:space="0" w:color="auto"/>
                <w:left w:val="none" w:sz="0" w:space="0" w:color="auto"/>
                <w:bottom w:val="none" w:sz="0" w:space="0" w:color="auto"/>
                <w:right w:val="none" w:sz="0" w:space="0" w:color="auto"/>
              </w:divBdr>
            </w:div>
            <w:div w:id="1500197304">
              <w:marLeft w:val="0"/>
              <w:marRight w:val="0"/>
              <w:marTop w:val="0"/>
              <w:marBottom w:val="0"/>
              <w:divBdr>
                <w:top w:val="none" w:sz="0" w:space="0" w:color="auto"/>
                <w:left w:val="none" w:sz="0" w:space="0" w:color="auto"/>
                <w:bottom w:val="none" w:sz="0" w:space="0" w:color="auto"/>
                <w:right w:val="none" w:sz="0" w:space="0" w:color="auto"/>
              </w:divBdr>
            </w:div>
            <w:div w:id="2134783597">
              <w:marLeft w:val="0"/>
              <w:marRight w:val="0"/>
              <w:marTop w:val="0"/>
              <w:marBottom w:val="0"/>
              <w:divBdr>
                <w:top w:val="none" w:sz="0" w:space="0" w:color="auto"/>
                <w:left w:val="none" w:sz="0" w:space="0" w:color="auto"/>
                <w:bottom w:val="none" w:sz="0" w:space="0" w:color="auto"/>
                <w:right w:val="none" w:sz="0" w:space="0" w:color="auto"/>
              </w:divBdr>
            </w:div>
            <w:div w:id="176387164">
              <w:marLeft w:val="0"/>
              <w:marRight w:val="0"/>
              <w:marTop w:val="0"/>
              <w:marBottom w:val="0"/>
              <w:divBdr>
                <w:top w:val="none" w:sz="0" w:space="0" w:color="auto"/>
                <w:left w:val="none" w:sz="0" w:space="0" w:color="auto"/>
                <w:bottom w:val="none" w:sz="0" w:space="0" w:color="auto"/>
                <w:right w:val="none" w:sz="0" w:space="0" w:color="auto"/>
              </w:divBdr>
            </w:div>
            <w:div w:id="441193282">
              <w:marLeft w:val="0"/>
              <w:marRight w:val="0"/>
              <w:marTop w:val="0"/>
              <w:marBottom w:val="0"/>
              <w:divBdr>
                <w:top w:val="none" w:sz="0" w:space="0" w:color="auto"/>
                <w:left w:val="none" w:sz="0" w:space="0" w:color="auto"/>
                <w:bottom w:val="none" w:sz="0" w:space="0" w:color="auto"/>
                <w:right w:val="none" w:sz="0" w:space="0" w:color="auto"/>
              </w:divBdr>
            </w:div>
            <w:div w:id="1769545249">
              <w:marLeft w:val="0"/>
              <w:marRight w:val="0"/>
              <w:marTop w:val="0"/>
              <w:marBottom w:val="0"/>
              <w:divBdr>
                <w:top w:val="none" w:sz="0" w:space="0" w:color="auto"/>
                <w:left w:val="none" w:sz="0" w:space="0" w:color="auto"/>
                <w:bottom w:val="none" w:sz="0" w:space="0" w:color="auto"/>
                <w:right w:val="none" w:sz="0" w:space="0" w:color="auto"/>
              </w:divBdr>
            </w:div>
            <w:div w:id="1579359461">
              <w:marLeft w:val="0"/>
              <w:marRight w:val="0"/>
              <w:marTop w:val="0"/>
              <w:marBottom w:val="0"/>
              <w:divBdr>
                <w:top w:val="none" w:sz="0" w:space="0" w:color="auto"/>
                <w:left w:val="none" w:sz="0" w:space="0" w:color="auto"/>
                <w:bottom w:val="none" w:sz="0" w:space="0" w:color="auto"/>
                <w:right w:val="none" w:sz="0" w:space="0" w:color="auto"/>
              </w:divBdr>
            </w:div>
            <w:div w:id="231821207">
              <w:marLeft w:val="0"/>
              <w:marRight w:val="0"/>
              <w:marTop w:val="0"/>
              <w:marBottom w:val="0"/>
              <w:divBdr>
                <w:top w:val="none" w:sz="0" w:space="0" w:color="auto"/>
                <w:left w:val="none" w:sz="0" w:space="0" w:color="auto"/>
                <w:bottom w:val="none" w:sz="0" w:space="0" w:color="auto"/>
                <w:right w:val="none" w:sz="0" w:space="0" w:color="auto"/>
              </w:divBdr>
            </w:div>
            <w:div w:id="1730110043">
              <w:marLeft w:val="0"/>
              <w:marRight w:val="0"/>
              <w:marTop w:val="0"/>
              <w:marBottom w:val="0"/>
              <w:divBdr>
                <w:top w:val="none" w:sz="0" w:space="0" w:color="auto"/>
                <w:left w:val="none" w:sz="0" w:space="0" w:color="auto"/>
                <w:bottom w:val="none" w:sz="0" w:space="0" w:color="auto"/>
                <w:right w:val="none" w:sz="0" w:space="0" w:color="auto"/>
              </w:divBdr>
            </w:div>
            <w:div w:id="1587617214">
              <w:marLeft w:val="0"/>
              <w:marRight w:val="0"/>
              <w:marTop w:val="0"/>
              <w:marBottom w:val="0"/>
              <w:divBdr>
                <w:top w:val="none" w:sz="0" w:space="0" w:color="auto"/>
                <w:left w:val="none" w:sz="0" w:space="0" w:color="auto"/>
                <w:bottom w:val="none" w:sz="0" w:space="0" w:color="auto"/>
                <w:right w:val="none" w:sz="0" w:space="0" w:color="auto"/>
              </w:divBdr>
            </w:div>
            <w:div w:id="547685584">
              <w:marLeft w:val="0"/>
              <w:marRight w:val="0"/>
              <w:marTop w:val="0"/>
              <w:marBottom w:val="0"/>
              <w:divBdr>
                <w:top w:val="none" w:sz="0" w:space="0" w:color="auto"/>
                <w:left w:val="none" w:sz="0" w:space="0" w:color="auto"/>
                <w:bottom w:val="none" w:sz="0" w:space="0" w:color="auto"/>
                <w:right w:val="none" w:sz="0" w:space="0" w:color="auto"/>
              </w:divBdr>
            </w:div>
            <w:div w:id="961693073">
              <w:marLeft w:val="0"/>
              <w:marRight w:val="0"/>
              <w:marTop w:val="0"/>
              <w:marBottom w:val="0"/>
              <w:divBdr>
                <w:top w:val="none" w:sz="0" w:space="0" w:color="auto"/>
                <w:left w:val="none" w:sz="0" w:space="0" w:color="auto"/>
                <w:bottom w:val="none" w:sz="0" w:space="0" w:color="auto"/>
                <w:right w:val="none" w:sz="0" w:space="0" w:color="auto"/>
              </w:divBdr>
            </w:div>
            <w:div w:id="1932547846">
              <w:marLeft w:val="0"/>
              <w:marRight w:val="0"/>
              <w:marTop w:val="0"/>
              <w:marBottom w:val="0"/>
              <w:divBdr>
                <w:top w:val="none" w:sz="0" w:space="0" w:color="auto"/>
                <w:left w:val="none" w:sz="0" w:space="0" w:color="auto"/>
                <w:bottom w:val="none" w:sz="0" w:space="0" w:color="auto"/>
                <w:right w:val="none" w:sz="0" w:space="0" w:color="auto"/>
              </w:divBdr>
            </w:div>
            <w:div w:id="328408419">
              <w:marLeft w:val="0"/>
              <w:marRight w:val="0"/>
              <w:marTop w:val="0"/>
              <w:marBottom w:val="0"/>
              <w:divBdr>
                <w:top w:val="none" w:sz="0" w:space="0" w:color="auto"/>
                <w:left w:val="none" w:sz="0" w:space="0" w:color="auto"/>
                <w:bottom w:val="none" w:sz="0" w:space="0" w:color="auto"/>
                <w:right w:val="none" w:sz="0" w:space="0" w:color="auto"/>
              </w:divBdr>
            </w:div>
            <w:div w:id="1578324771">
              <w:marLeft w:val="0"/>
              <w:marRight w:val="0"/>
              <w:marTop w:val="0"/>
              <w:marBottom w:val="0"/>
              <w:divBdr>
                <w:top w:val="none" w:sz="0" w:space="0" w:color="auto"/>
                <w:left w:val="none" w:sz="0" w:space="0" w:color="auto"/>
                <w:bottom w:val="none" w:sz="0" w:space="0" w:color="auto"/>
                <w:right w:val="none" w:sz="0" w:space="0" w:color="auto"/>
              </w:divBdr>
            </w:div>
            <w:div w:id="389040482">
              <w:marLeft w:val="0"/>
              <w:marRight w:val="0"/>
              <w:marTop w:val="0"/>
              <w:marBottom w:val="0"/>
              <w:divBdr>
                <w:top w:val="none" w:sz="0" w:space="0" w:color="auto"/>
                <w:left w:val="none" w:sz="0" w:space="0" w:color="auto"/>
                <w:bottom w:val="none" w:sz="0" w:space="0" w:color="auto"/>
                <w:right w:val="none" w:sz="0" w:space="0" w:color="auto"/>
              </w:divBdr>
            </w:div>
            <w:div w:id="1416627931">
              <w:marLeft w:val="0"/>
              <w:marRight w:val="0"/>
              <w:marTop w:val="0"/>
              <w:marBottom w:val="0"/>
              <w:divBdr>
                <w:top w:val="none" w:sz="0" w:space="0" w:color="auto"/>
                <w:left w:val="none" w:sz="0" w:space="0" w:color="auto"/>
                <w:bottom w:val="none" w:sz="0" w:space="0" w:color="auto"/>
                <w:right w:val="none" w:sz="0" w:space="0" w:color="auto"/>
              </w:divBdr>
            </w:div>
            <w:div w:id="361899065">
              <w:marLeft w:val="0"/>
              <w:marRight w:val="0"/>
              <w:marTop w:val="0"/>
              <w:marBottom w:val="0"/>
              <w:divBdr>
                <w:top w:val="none" w:sz="0" w:space="0" w:color="auto"/>
                <w:left w:val="none" w:sz="0" w:space="0" w:color="auto"/>
                <w:bottom w:val="none" w:sz="0" w:space="0" w:color="auto"/>
                <w:right w:val="none" w:sz="0" w:space="0" w:color="auto"/>
              </w:divBdr>
            </w:div>
            <w:div w:id="696083412">
              <w:marLeft w:val="0"/>
              <w:marRight w:val="0"/>
              <w:marTop w:val="0"/>
              <w:marBottom w:val="0"/>
              <w:divBdr>
                <w:top w:val="none" w:sz="0" w:space="0" w:color="auto"/>
                <w:left w:val="none" w:sz="0" w:space="0" w:color="auto"/>
                <w:bottom w:val="none" w:sz="0" w:space="0" w:color="auto"/>
                <w:right w:val="none" w:sz="0" w:space="0" w:color="auto"/>
              </w:divBdr>
            </w:div>
            <w:div w:id="1503932708">
              <w:marLeft w:val="0"/>
              <w:marRight w:val="0"/>
              <w:marTop w:val="0"/>
              <w:marBottom w:val="0"/>
              <w:divBdr>
                <w:top w:val="none" w:sz="0" w:space="0" w:color="auto"/>
                <w:left w:val="none" w:sz="0" w:space="0" w:color="auto"/>
                <w:bottom w:val="none" w:sz="0" w:space="0" w:color="auto"/>
                <w:right w:val="none" w:sz="0" w:space="0" w:color="auto"/>
              </w:divBdr>
            </w:div>
            <w:div w:id="897786674">
              <w:marLeft w:val="0"/>
              <w:marRight w:val="0"/>
              <w:marTop w:val="0"/>
              <w:marBottom w:val="0"/>
              <w:divBdr>
                <w:top w:val="none" w:sz="0" w:space="0" w:color="auto"/>
                <w:left w:val="none" w:sz="0" w:space="0" w:color="auto"/>
                <w:bottom w:val="none" w:sz="0" w:space="0" w:color="auto"/>
                <w:right w:val="none" w:sz="0" w:space="0" w:color="auto"/>
              </w:divBdr>
            </w:div>
            <w:div w:id="889459198">
              <w:marLeft w:val="0"/>
              <w:marRight w:val="0"/>
              <w:marTop w:val="0"/>
              <w:marBottom w:val="0"/>
              <w:divBdr>
                <w:top w:val="none" w:sz="0" w:space="0" w:color="auto"/>
                <w:left w:val="none" w:sz="0" w:space="0" w:color="auto"/>
                <w:bottom w:val="none" w:sz="0" w:space="0" w:color="auto"/>
                <w:right w:val="none" w:sz="0" w:space="0" w:color="auto"/>
              </w:divBdr>
            </w:div>
            <w:div w:id="958337144">
              <w:marLeft w:val="0"/>
              <w:marRight w:val="0"/>
              <w:marTop w:val="0"/>
              <w:marBottom w:val="0"/>
              <w:divBdr>
                <w:top w:val="none" w:sz="0" w:space="0" w:color="auto"/>
                <w:left w:val="none" w:sz="0" w:space="0" w:color="auto"/>
                <w:bottom w:val="none" w:sz="0" w:space="0" w:color="auto"/>
                <w:right w:val="none" w:sz="0" w:space="0" w:color="auto"/>
              </w:divBdr>
            </w:div>
            <w:div w:id="1169713428">
              <w:marLeft w:val="0"/>
              <w:marRight w:val="0"/>
              <w:marTop w:val="0"/>
              <w:marBottom w:val="0"/>
              <w:divBdr>
                <w:top w:val="none" w:sz="0" w:space="0" w:color="auto"/>
                <w:left w:val="none" w:sz="0" w:space="0" w:color="auto"/>
                <w:bottom w:val="none" w:sz="0" w:space="0" w:color="auto"/>
                <w:right w:val="none" w:sz="0" w:space="0" w:color="auto"/>
              </w:divBdr>
            </w:div>
            <w:div w:id="1306467870">
              <w:marLeft w:val="0"/>
              <w:marRight w:val="0"/>
              <w:marTop w:val="0"/>
              <w:marBottom w:val="0"/>
              <w:divBdr>
                <w:top w:val="none" w:sz="0" w:space="0" w:color="auto"/>
                <w:left w:val="none" w:sz="0" w:space="0" w:color="auto"/>
                <w:bottom w:val="none" w:sz="0" w:space="0" w:color="auto"/>
                <w:right w:val="none" w:sz="0" w:space="0" w:color="auto"/>
              </w:divBdr>
            </w:div>
            <w:div w:id="100298375">
              <w:marLeft w:val="0"/>
              <w:marRight w:val="0"/>
              <w:marTop w:val="0"/>
              <w:marBottom w:val="0"/>
              <w:divBdr>
                <w:top w:val="none" w:sz="0" w:space="0" w:color="auto"/>
                <w:left w:val="none" w:sz="0" w:space="0" w:color="auto"/>
                <w:bottom w:val="none" w:sz="0" w:space="0" w:color="auto"/>
                <w:right w:val="none" w:sz="0" w:space="0" w:color="auto"/>
              </w:divBdr>
            </w:div>
            <w:div w:id="1680504110">
              <w:marLeft w:val="0"/>
              <w:marRight w:val="0"/>
              <w:marTop w:val="0"/>
              <w:marBottom w:val="0"/>
              <w:divBdr>
                <w:top w:val="none" w:sz="0" w:space="0" w:color="auto"/>
                <w:left w:val="none" w:sz="0" w:space="0" w:color="auto"/>
                <w:bottom w:val="none" w:sz="0" w:space="0" w:color="auto"/>
                <w:right w:val="none" w:sz="0" w:space="0" w:color="auto"/>
              </w:divBdr>
            </w:div>
            <w:div w:id="579946336">
              <w:marLeft w:val="0"/>
              <w:marRight w:val="0"/>
              <w:marTop w:val="0"/>
              <w:marBottom w:val="0"/>
              <w:divBdr>
                <w:top w:val="none" w:sz="0" w:space="0" w:color="auto"/>
                <w:left w:val="none" w:sz="0" w:space="0" w:color="auto"/>
                <w:bottom w:val="none" w:sz="0" w:space="0" w:color="auto"/>
                <w:right w:val="none" w:sz="0" w:space="0" w:color="auto"/>
              </w:divBdr>
            </w:div>
            <w:div w:id="1487553931">
              <w:marLeft w:val="0"/>
              <w:marRight w:val="0"/>
              <w:marTop w:val="0"/>
              <w:marBottom w:val="0"/>
              <w:divBdr>
                <w:top w:val="none" w:sz="0" w:space="0" w:color="auto"/>
                <w:left w:val="none" w:sz="0" w:space="0" w:color="auto"/>
                <w:bottom w:val="none" w:sz="0" w:space="0" w:color="auto"/>
                <w:right w:val="none" w:sz="0" w:space="0" w:color="auto"/>
              </w:divBdr>
            </w:div>
            <w:div w:id="26666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74586">
      <w:bodyDiv w:val="1"/>
      <w:marLeft w:val="0"/>
      <w:marRight w:val="0"/>
      <w:marTop w:val="0"/>
      <w:marBottom w:val="0"/>
      <w:divBdr>
        <w:top w:val="none" w:sz="0" w:space="0" w:color="auto"/>
        <w:left w:val="none" w:sz="0" w:space="0" w:color="auto"/>
        <w:bottom w:val="none" w:sz="0" w:space="0" w:color="auto"/>
        <w:right w:val="none" w:sz="0" w:space="0" w:color="auto"/>
      </w:divBdr>
      <w:divsChild>
        <w:div w:id="457189368">
          <w:marLeft w:val="480"/>
          <w:marRight w:val="0"/>
          <w:marTop w:val="0"/>
          <w:marBottom w:val="0"/>
          <w:divBdr>
            <w:top w:val="none" w:sz="0" w:space="0" w:color="auto"/>
            <w:left w:val="none" w:sz="0" w:space="0" w:color="auto"/>
            <w:bottom w:val="none" w:sz="0" w:space="0" w:color="auto"/>
            <w:right w:val="none" w:sz="0" w:space="0" w:color="auto"/>
          </w:divBdr>
          <w:divsChild>
            <w:div w:id="822740406">
              <w:marLeft w:val="0"/>
              <w:marRight w:val="0"/>
              <w:marTop w:val="0"/>
              <w:marBottom w:val="0"/>
              <w:divBdr>
                <w:top w:val="none" w:sz="0" w:space="0" w:color="auto"/>
                <w:left w:val="none" w:sz="0" w:space="0" w:color="auto"/>
                <w:bottom w:val="none" w:sz="0" w:space="0" w:color="auto"/>
                <w:right w:val="none" w:sz="0" w:space="0" w:color="auto"/>
              </w:divBdr>
            </w:div>
            <w:div w:id="718239998">
              <w:marLeft w:val="0"/>
              <w:marRight w:val="0"/>
              <w:marTop w:val="0"/>
              <w:marBottom w:val="0"/>
              <w:divBdr>
                <w:top w:val="none" w:sz="0" w:space="0" w:color="auto"/>
                <w:left w:val="none" w:sz="0" w:space="0" w:color="auto"/>
                <w:bottom w:val="none" w:sz="0" w:space="0" w:color="auto"/>
                <w:right w:val="none" w:sz="0" w:space="0" w:color="auto"/>
              </w:divBdr>
            </w:div>
            <w:div w:id="1685981797">
              <w:marLeft w:val="0"/>
              <w:marRight w:val="0"/>
              <w:marTop w:val="0"/>
              <w:marBottom w:val="0"/>
              <w:divBdr>
                <w:top w:val="none" w:sz="0" w:space="0" w:color="auto"/>
                <w:left w:val="none" w:sz="0" w:space="0" w:color="auto"/>
                <w:bottom w:val="none" w:sz="0" w:space="0" w:color="auto"/>
                <w:right w:val="none" w:sz="0" w:space="0" w:color="auto"/>
              </w:divBdr>
            </w:div>
            <w:div w:id="1507668270">
              <w:marLeft w:val="0"/>
              <w:marRight w:val="0"/>
              <w:marTop w:val="0"/>
              <w:marBottom w:val="0"/>
              <w:divBdr>
                <w:top w:val="none" w:sz="0" w:space="0" w:color="auto"/>
                <w:left w:val="none" w:sz="0" w:space="0" w:color="auto"/>
                <w:bottom w:val="none" w:sz="0" w:space="0" w:color="auto"/>
                <w:right w:val="none" w:sz="0" w:space="0" w:color="auto"/>
              </w:divBdr>
            </w:div>
            <w:div w:id="1315569681">
              <w:marLeft w:val="0"/>
              <w:marRight w:val="0"/>
              <w:marTop w:val="0"/>
              <w:marBottom w:val="0"/>
              <w:divBdr>
                <w:top w:val="none" w:sz="0" w:space="0" w:color="auto"/>
                <w:left w:val="none" w:sz="0" w:space="0" w:color="auto"/>
                <w:bottom w:val="none" w:sz="0" w:space="0" w:color="auto"/>
                <w:right w:val="none" w:sz="0" w:space="0" w:color="auto"/>
              </w:divBdr>
            </w:div>
            <w:div w:id="426075574">
              <w:marLeft w:val="0"/>
              <w:marRight w:val="0"/>
              <w:marTop w:val="0"/>
              <w:marBottom w:val="0"/>
              <w:divBdr>
                <w:top w:val="none" w:sz="0" w:space="0" w:color="auto"/>
                <w:left w:val="none" w:sz="0" w:space="0" w:color="auto"/>
                <w:bottom w:val="none" w:sz="0" w:space="0" w:color="auto"/>
                <w:right w:val="none" w:sz="0" w:space="0" w:color="auto"/>
              </w:divBdr>
            </w:div>
            <w:div w:id="551844803">
              <w:marLeft w:val="0"/>
              <w:marRight w:val="0"/>
              <w:marTop w:val="0"/>
              <w:marBottom w:val="0"/>
              <w:divBdr>
                <w:top w:val="none" w:sz="0" w:space="0" w:color="auto"/>
                <w:left w:val="none" w:sz="0" w:space="0" w:color="auto"/>
                <w:bottom w:val="none" w:sz="0" w:space="0" w:color="auto"/>
                <w:right w:val="none" w:sz="0" w:space="0" w:color="auto"/>
              </w:divBdr>
            </w:div>
            <w:div w:id="657003618">
              <w:marLeft w:val="0"/>
              <w:marRight w:val="0"/>
              <w:marTop w:val="0"/>
              <w:marBottom w:val="0"/>
              <w:divBdr>
                <w:top w:val="none" w:sz="0" w:space="0" w:color="auto"/>
                <w:left w:val="none" w:sz="0" w:space="0" w:color="auto"/>
                <w:bottom w:val="none" w:sz="0" w:space="0" w:color="auto"/>
                <w:right w:val="none" w:sz="0" w:space="0" w:color="auto"/>
              </w:divBdr>
            </w:div>
            <w:div w:id="330989413">
              <w:marLeft w:val="0"/>
              <w:marRight w:val="0"/>
              <w:marTop w:val="0"/>
              <w:marBottom w:val="0"/>
              <w:divBdr>
                <w:top w:val="none" w:sz="0" w:space="0" w:color="auto"/>
                <w:left w:val="none" w:sz="0" w:space="0" w:color="auto"/>
                <w:bottom w:val="none" w:sz="0" w:space="0" w:color="auto"/>
                <w:right w:val="none" w:sz="0" w:space="0" w:color="auto"/>
              </w:divBdr>
            </w:div>
            <w:div w:id="1996493433">
              <w:marLeft w:val="0"/>
              <w:marRight w:val="0"/>
              <w:marTop w:val="0"/>
              <w:marBottom w:val="0"/>
              <w:divBdr>
                <w:top w:val="none" w:sz="0" w:space="0" w:color="auto"/>
                <w:left w:val="none" w:sz="0" w:space="0" w:color="auto"/>
                <w:bottom w:val="none" w:sz="0" w:space="0" w:color="auto"/>
                <w:right w:val="none" w:sz="0" w:space="0" w:color="auto"/>
              </w:divBdr>
            </w:div>
            <w:div w:id="739668371">
              <w:marLeft w:val="0"/>
              <w:marRight w:val="0"/>
              <w:marTop w:val="0"/>
              <w:marBottom w:val="0"/>
              <w:divBdr>
                <w:top w:val="none" w:sz="0" w:space="0" w:color="auto"/>
                <w:left w:val="none" w:sz="0" w:space="0" w:color="auto"/>
                <w:bottom w:val="none" w:sz="0" w:space="0" w:color="auto"/>
                <w:right w:val="none" w:sz="0" w:space="0" w:color="auto"/>
              </w:divBdr>
            </w:div>
            <w:div w:id="969091175">
              <w:marLeft w:val="0"/>
              <w:marRight w:val="0"/>
              <w:marTop w:val="0"/>
              <w:marBottom w:val="0"/>
              <w:divBdr>
                <w:top w:val="none" w:sz="0" w:space="0" w:color="auto"/>
                <w:left w:val="none" w:sz="0" w:space="0" w:color="auto"/>
                <w:bottom w:val="none" w:sz="0" w:space="0" w:color="auto"/>
                <w:right w:val="none" w:sz="0" w:space="0" w:color="auto"/>
              </w:divBdr>
            </w:div>
            <w:div w:id="177158396">
              <w:marLeft w:val="0"/>
              <w:marRight w:val="0"/>
              <w:marTop w:val="0"/>
              <w:marBottom w:val="0"/>
              <w:divBdr>
                <w:top w:val="none" w:sz="0" w:space="0" w:color="auto"/>
                <w:left w:val="none" w:sz="0" w:space="0" w:color="auto"/>
                <w:bottom w:val="none" w:sz="0" w:space="0" w:color="auto"/>
                <w:right w:val="none" w:sz="0" w:space="0" w:color="auto"/>
              </w:divBdr>
            </w:div>
            <w:div w:id="754592248">
              <w:marLeft w:val="0"/>
              <w:marRight w:val="0"/>
              <w:marTop w:val="0"/>
              <w:marBottom w:val="0"/>
              <w:divBdr>
                <w:top w:val="none" w:sz="0" w:space="0" w:color="auto"/>
                <w:left w:val="none" w:sz="0" w:space="0" w:color="auto"/>
                <w:bottom w:val="none" w:sz="0" w:space="0" w:color="auto"/>
                <w:right w:val="none" w:sz="0" w:space="0" w:color="auto"/>
              </w:divBdr>
            </w:div>
            <w:div w:id="610665247">
              <w:marLeft w:val="0"/>
              <w:marRight w:val="0"/>
              <w:marTop w:val="0"/>
              <w:marBottom w:val="0"/>
              <w:divBdr>
                <w:top w:val="none" w:sz="0" w:space="0" w:color="auto"/>
                <w:left w:val="none" w:sz="0" w:space="0" w:color="auto"/>
                <w:bottom w:val="none" w:sz="0" w:space="0" w:color="auto"/>
                <w:right w:val="none" w:sz="0" w:space="0" w:color="auto"/>
              </w:divBdr>
            </w:div>
            <w:div w:id="938026460">
              <w:marLeft w:val="0"/>
              <w:marRight w:val="0"/>
              <w:marTop w:val="0"/>
              <w:marBottom w:val="0"/>
              <w:divBdr>
                <w:top w:val="none" w:sz="0" w:space="0" w:color="auto"/>
                <w:left w:val="none" w:sz="0" w:space="0" w:color="auto"/>
                <w:bottom w:val="none" w:sz="0" w:space="0" w:color="auto"/>
                <w:right w:val="none" w:sz="0" w:space="0" w:color="auto"/>
              </w:divBdr>
            </w:div>
            <w:div w:id="125972877">
              <w:marLeft w:val="0"/>
              <w:marRight w:val="0"/>
              <w:marTop w:val="0"/>
              <w:marBottom w:val="0"/>
              <w:divBdr>
                <w:top w:val="none" w:sz="0" w:space="0" w:color="auto"/>
                <w:left w:val="none" w:sz="0" w:space="0" w:color="auto"/>
                <w:bottom w:val="none" w:sz="0" w:space="0" w:color="auto"/>
                <w:right w:val="none" w:sz="0" w:space="0" w:color="auto"/>
              </w:divBdr>
            </w:div>
            <w:div w:id="223106750">
              <w:marLeft w:val="0"/>
              <w:marRight w:val="0"/>
              <w:marTop w:val="0"/>
              <w:marBottom w:val="0"/>
              <w:divBdr>
                <w:top w:val="none" w:sz="0" w:space="0" w:color="auto"/>
                <w:left w:val="none" w:sz="0" w:space="0" w:color="auto"/>
                <w:bottom w:val="none" w:sz="0" w:space="0" w:color="auto"/>
                <w:right w:val="none" w:sz="0" w:space="0" w:color="auto"/>
              </w:divBdr>
            </w:div>
            <w:div w:id="1659580156">
              <w:marLeft w:val="0"/>
              <w:marRight w:val="0"/>
              <w:marTop w:val="0"/>
              <w:marBottom w:val="0"/>
              <w:divBdr>
                <w:top w:val="none" w:sz="0" w:space="0" w:color="auto"/>
                <w:left w:val="none" w:sz="0" w:space="0" w:color="auto"/>
                <w:bottom w:val="none" w:sz="0" w:space="0" w:color="auto"/>
                <w:right w:val="none" w:sz="0" w:space="0" w:color="auto"/>
              </w:divBdr>
            </w:div>
            <w:div w:id="266037467">
              <w:marLeft w:val="0"/>
              <w:marRight w:val="0"/>
              <w:marTop w:val="0"/>
              <w:marBottom w:val="0"/>
              <w:divBdr>
                <w:top w:val="none" w:sz="0" w:space="0" w:color="auto"/>
                <w:left w:val="none" w:sz="0" w:space="0" w:color="auto"/>
                <w:bottom w:val="none" w:sz="0" w:space="0" w:color="auto"/>
                <w:right w:val="none" w:sz="0" w:space="0" w:color="auto"/>
              </w:divBdr>
            </w:div>
            <w:div w:id="918102206">
              <w:marLeft w:val="0"/>
              <w:marRight w:val="0"/>
              <w:marTop w:val="0"/>
              <w:marBottom w:val="0"/>
              <w:divBdr>
                <w:top w:val="none" w:sz="0" w:space="0" w:color="auto"/>
                <w:left w:val="none" w:sz="0" w:space="0" w:color="auto"/>
                <w:bottom w:val="none" w:sz="0" w:space="0" w:color="auto"/>
                <w:right w:val="none" w:sz="0" w:space="0" w:color="auto"/>
              </w:divBdr>
            </w:div>
            <w:div w:id="878785441">
              <w:marLeft w:val="0"/>
              <w:marRight w:val="0"/>
              <w:marTop w:val="0"/>
              <w:marBottom w:val="0"/>
              <w:divBdr>
                <w:top w:val="none" w:sz="0" w:space="0" w:color="auto"/>
                <w:left w:val="none" w:sz="0" w:space="0" w:color="auto"/>
                <w:bottom w:val="none" w:sz="0" w:space="0" w:color="auto"/>
                <w:right w:val="none" w:sz="0" w:space="0" w:color="auto"/>
              </w:divBdr>
            </w:div>
            <w:div w:id="1139035436">
              <w:marLeft w:val="0"/>
              <w:marRight w:val="0"/>
              <w:marTop w:val="0"/>
              <w:marBottom w:val="0"/>
              <w:divBdr>
                <w:top w:val="none" w:sz="0" w:space="0" w:color="auto"/>
                <w:left w:val="none" w:sz="0" w:space="0" w:color="auto"/>
                <w:bottom w:val="none" w:sz="0" w:space="0" w:color="auto"/>
                <w:right w:val="none" w:sz="0" w:space="0" w:color="auto"/>
              </w:divBdr>
            </w:div>
            <w:div w:id="736049363">
              <w:marLeft w:val="0"/>
              <w:marRight w:val="0"/>
              <w:marTop w:val="0"/>
              <w:marBottom w:val="0"/>
              <w:divBdr>
                <w:top w:val="none" w:sz="0" w:space="0" w:color="auto"/>
                <w:left w:val="none" w:sz="0" w:space="0" w:color="auto"/>
                <w:bottom w:val="none" w:sz="0" w:space="0" w:color="auto"/>
                <w:right w:val="none" w:sz="0" w:space="0" w:color="auto"/>
              </w:divBdr>
            </w:div>
            <w:div w:id="113984729">
              <w:marLeft w:val="0"/>
              <w:marRight w:val="0"/>
              <w:marTop w:val="0"/>
              <w:marBottom w:val="0"/>
              <w:divBdr>
                <w:top w:val="none" w:sz="0" w:space="0" w:color="auto"/>
                <w:left w:val="none" w:sz="0" w:space="0" w:color="auto"/>
                <w:bottom w:val="none" w:sz="0" w:space="0" w:color="auto"/>
                <w:right w:val="none" w:sz="0" w:space="0" w:color="auto"/>
              </w:divBdr>
            </w:div>
            <w:div w:id="1307970036">
              <w:marLeft w:val="0"/>
              <w:marRight w:val="0"/>
              <w:marTop w:val="0"/>
              <w:marBottom w:val="0"/>
              <w:divBdr>
                <w:top w:val="none" w:sz="0" w:space="0" w:color="auto"/>
                <w:left w:val="none" w:sz="0" w:space="0" w:color="auto"/>
                <w:bottom w:val="none" w:sz="0" w:space="0" w:color="auto"/>
                <w:right w:val="none" w:sz="0" w:space="0" w:color="auto"/>
              </w:divBdr>
            </w:div>
            <w:div w:id="1322999978">
              <w:marLeft w:val="0"/>
              <w:marRight w:val="0"/>
              <w:marTop w:val="0"/>
              <w:marBottom w:val="0"/>
              <w:divBdr>
                <w:top w:val="none" w:sz="0" w:space="0" w:color="auto"/>
                <w:left w:val="none" w:sz="0" w:space="0" w:color="auto"/>
                <w:bottom w:val="none" w:sz="0" w:space="0" w:color="auto"/>
                <w:right w:val="none" w:sz="0" w:space="0" w:color="auto"/>
              </w:divBdr>
            </w:div>
            <w:div w:id="186867582">
              <w:marLeft w:val="0"/>
              <w:marRight w:val="0"/>
              <w:marTop w:val="0"/>
              <w:marBottom w:val="0"/>
              <w:divBdr>
                <w:top w:val="none" w:sz="0" w:space="0" w:color="auto"/>
                <w:left w:val="none" w:sz="0" w:space="0" w:color="auto"/>
                <w:bottom w:val="none" w:sz="0" w:space="0" w:color="auto"/>
                <w:right w:val="none" w:sz="0" w:space="0" w:color="auto"/>
              </w:divBdr>
            </w:div>
            <w:div w:id="10571818">
              <w:marLeft w:val="0"/>
              <w:marRight w:val="0"/>
              <w:marTop w:val="0"/>
              <w:marBottom w:val="0"/>
              <w:divBdr>
                <w:top w:val="none" w:sz="0" w:space="0" w:color="auto"/>
                <w:left w:val="none" w:sz="0" w:space="0" w:color="auto"/>
                <w:bottom w:val="none" w:sz="0" w:space="0" w:color="auto"/>
                <w:right w:val="none" w:sz="0" w:space="0" w:color="auto"/>
              </w:divBdr>
            </w:div>
            <w:div w:id="81878252">
              <w:marLeft w:val="0"/>
              <w:marRight w:val="0"/>
              <w:marTop w:val="0"/>
              <w:marBottom w:val="0"/>
              <w:divBdr>
                <w:top w:val="none" w:sz="0" w:space="0" w:color="auto"/>
                <w:left w:val="none" w:sz="0" w:space="0" w:color="auto"/>
                <w:bottom w:val="none" w:sz="0" w:space="0" w:color="auto"/>
                <w:right w:val="none" w:sz="0" w:space="0" w:color="auto"/>
              </w:divBdr>
            </w:div>
            <w:div w:id="2140876468">
              <w:marLeft w:val="0"/>
              <w:marRight w:val="0"/>
              <w:marTop w:val="0"/>
              <w:marBottom w:val="0"/>
              <w:divBdr>
                <w:top w:val="none" w:sz="0" w:space="0" w:color="auto"/>
                <w:left w:val="none" w:sz="0" w:space="0" w:color="auto"/>
                <w:bottom w:val="none" w:sz="0" w:space="0" w:color="auto"/>
                <w:right w:val="none" w:sz="0" w:space="0" w:color="auto"/>
              </w:divBdr>
            </w:div>
            <w:div w:id="997339725">
              <w:marLeft w:val="0"/>
              <w:marRight w:val="0"/>
              <w:marTop w:val="0"/>
              <w:marBottom w:val="0"/>
              <w:divBdr>
                <w:top w:val="none" w:sz="0" w:space="0" w:color="auto"/>
                <w:left w:val="none" w:sz="0" w:space="0" w:color="auto"/>
                <w:bottom w:val="none" w:sz="0" w:space="0" w:color="auto"/>
                <w:right w:val="none" w:sz="0" w:space="0" w:color="auto"/>
              </w:divBdr>
            </w:div>
            <w:div w:id="1075739857">
              <w:marLeft w:val="0"/>
              <w:marRight w:val="0"/>
              <w:marTop w:val="0"/>
              <w:marBottom w:val="0"/>
              <w:divBdr>
                <w:top w:val="none" w:sz="0" w:space="0" w:color="auto"/>
                <w:left w:val="none" w:sz="0" w:space="0" w:color="auto"/>
                <w:bottom w:val="none" w:sz="0" w:space="0" w:color="auto"/>
                <w:right w:val="none" w:sz="0" w:space="0" w:color="auto"/>
              </w:divBdr>
            </w:div>
            <w:div w:id="488522909">
              <w:marLeft w:val="0"/>
              <w:marRight w:val="0"/>
              <w:marTop w:val="0"/>
              <w:marBottom w:val="0"/>
              <w:divBdr>
                <w:top w:val="none" w:sz="0" w:space="0" w:color="auto"/>
                <w:left w:val="none" w:sz="0" w:space="0" w:color="auto"/>
                <w:bottom w:val="none" w:sz="0" w:space="0" w:color="auto"/>
                <w:right w:val="none" w:sz="0" w:space="0" w:color="auto"/>
              </w:divBdr>
            </w:div>
            <w:div w:id="1727333760">
              <w:marLeft w:val="0"/>
              <w:marRight w:val="0"/>
              <w:marTop w:val="0"/>
              <w:marBottom w:val="0"/>
              <w:divBdr>
                <w:top w:val="none" w:sz="0" w:space="0" w:color="auto"/>
                <w:left w:val="none" w:sz="0" w:space="0" w:color="auto"/>
                <w:bottom w:val="none" w:sz="0" w:space="0" w:color="auto"/>
                <w:right w:val="none" w:sz="0" w:space="0" w:color="auto"/>
              </w:divBdr>
            </w:div>
            <w:div w:id="271321671">
              <w:marLeft w:val="0"/>
              <w:marRight w:val="0"/>
              <w:marTop w:val="0"/>
              <w:marBottom w:val="0"/>
              <w:divBdr>
                <w:top w:val="none" w:sz="0" w:space="0" w:color="auto"/>
                <w:left w:val="none" w:sz="0" w:space="0" w:color="auto"/>
                <w:bottom w:val="none" w:sz="0" w:space="0" w:color="auto"/>
                <w:right w:val="none" w:sz="0" w:space="0" w:color="auto"/>
              </w:divBdr>
            </w:div>
            <w:div w:id="1226795308">
              <w:marLeft w:val="0"/>
              <w:marRight w:val="0"/>
              <w:marTop w:val="0"/>
              <w:marBottom w:val="0"/>
              <w:divBdr>
                <w:top w:val="none" w:sz="0" w:space="0" w:color="auto"/>
                <w:left w:val="none" w:sz="0" w:space="0" w:color="auto"/>
                <w:bottom w:val="none" w:sz="0" w:space="0" w:color="auto"/>
                <w:right w:val="none" w:sz="0" w:space="0" w:color="auto"/>
              </w:divBdr>
            </w:div>
            <w:div w:id="1376585609">
              <w:marLeft w:val="0"/>
              <w:marRight w:val="0"/>
              <w:marTop w:val="0"/>
              <w:marBottom w:val="0"/>
              <w:divBdr>
                <w:top w:val="none" w:sz="0" w:space="0" w:color="auto"/>
                <w:left w:val="none" w:sz="0" w:space="0" w:color="auto"/>
                <w:bottom w:val="none" w:sz="0" w:space="0" w:color="auto"/>
                <w:right w:val="none" w:sz="0" w:space="0" w:color="auto"/>
              </w:divBdr>
            </w:div>
            <w:div w:id="327176019">
              <w:marLeft w:val="0"/>
              <w:marRight w:val="0"/>
              <w:marTop w:val="0"/>
              <w:marBottom w:val="0"/>
              <w:divBdr>
                <w:top w:val="none" w:sz="0" w:space="0" w:color="auto"/>
                <w:left w:val="none" w:sz="0" w:space="0" w:color="auto"/>
                <w:bottom w:val="none" w:sz="0" w:space="0" w:color="auto"/>
                <w:right w:val="none" w:sz="0" w:space="0" w:color="auto"/>
              </w:divBdr>
            </w:div>
            <w:div w:id="1275093320">
              <w:marLeft w:val="0"/>
              <w:marRight w:val="0"/>
              <w:marTop w:val="0"/>
              <w:marBottom w:val="0"/>
              <w:divBdr>
                <w:top w:val="none" w:sz="0" w:space="0" w:color="auto"/>
                <w:left w:val="none" w:sz="0" w:space="0" w:color="auto"/>
                <w:bottom w:val="none" w:sz="0" w:space="0" w:color="auto"/>
                <w:right w:val="none" w:sz="0" w:space="0" w:color="auto"/>
              </w:divBdr>
            </w:div>
            <w:div w:id="974410938">
              <w:marLeft w:val="0"/>
              <w:marRight w:val="0"/>
              <w:marTop w:val="0"/>
              <w:marBottom w:val="0"/>
              <w:divBdr>
                <w:top w:val="none" w:sz="0" w:space="0" w:color="auto"/>
                <w:left w:val="none" w:sz="0" w:space="0" w:color="auto"/>
                <w:bottom w:val="none" w:sz="0" w:space="0" w:color="auto"/>
                <w:right w:val="none" w:sz="0" w:space="0" w:color="auto"/>
              </w:divBdr>
            </w:div>
            <w:div w:id="49161670">
              <w:marLeft w:val="0"/>
              <w:marRight w:val="0"/>
              <w:marTop w:val="0"/>
              <w:marBottom w:val="0"/>
              <w:divBdr>
                <w:top w:val="none" w:sz="0" w:space="0" w:color="auto"/>
                <w:left w:val="none" w:sz="0" w:space="0" w:color="auto"/>
                <w:bottom w:val="none" w:sz="0" w:space="0" w:color="auto"/>
                <w:right w:val="none" w:sz="0" w:space="0" w:color="auto"/>
              </w:divBdr>
            </w:div>
            <w:div w:id="774207136">
              <w:marLeft w:val="0"/>
              <w:marRight w:val="0"/>
              <w:marTop w:val="0"/>
              <w:marBottom w:val="0"/>
              <w:divBdr>
                <w:top w:val="none" w:sz="0" w:space="0" w:color="auto"/>
                <w:left w:val="none" w:sz="0" w:space="0" w:color="auto"/>
                <w:bottom w:val="none" w:sz="0" w:space="0" w:color="auto"/>
                <w:right w:val="none" w:sz="0" w:space="0" w:color="auto"/>
              </w:divBdr>
            </w:div>
            <w:div w:id="1905404843">
              <w:marLeft w:val="0"/>
              <w:marRight w:val="0"/>
              <w:marTop w:val="0"/>
              <w:marBottom w:val="0"/>
              <w:divBdr>
                <w:top w:val="none" w:sz="0" w:space="0" w:color="auto"/>
                <w:left w:val="none" w:sz="0" w:space="0" w:color="auto"/>
                <w:bottom w:val="none" w:sz="0" w:space="0" w:color="auto"/>
                <w:right w:val="none" w:sz="0" w:space="0" w:color="auto"/>
              </w:divBdr>
            </w:div>
            <w:div w:id="1314261357">
              <w:marLeft w:val="0"/>
              <w:marRight w:val="0"/>
              <w:marTop w:val="0"/>
              <w:marBottom w:val="0"/>
              <w:divBdr>
                <w:top w:val="none" w:sz="0" w:space="0" w:color="auto"/>
                <w:left w:val="none" w:sz="0" w:space="0" w:color="auto"/>
                <w:bottom w:val="none" w:sz="0" w:space="0" w:color="auto"/>
                <w:right w:val="none" w:sz="0" w:space="0" w:color="auto"/>
              </w:divBdr>
            </w:div>
            <w:div w:id="409815010">
              <w:marLeft w:val="0"/>
              <w:marRight w:val="0"/>
              <w:marTop w:val="0"/>
              <w:marBottom w:val="0"/>
              <w:divBdr>
                <w:top w:val="none" w:sz="0" w:space="0" w:color="auto"/>
                <w:left w:val="none" w:sz="0" w:space="0" w:color="auto"/>
                <w:bottom w:val="none" w:sz="0" w:space="0" w:color="auto"/>
                <w:right w:val="none" w:sz="0" w:space="0" w:color="auto"/>
              </w:divBdr>
            </w:div>
            <w:div w:id="1386954679">
              <w:marLeft w:val="0"/>
              <w:marRight w:val="0"/>
              <w:marTop w:val="0"/>
              <w:marBottom w:val="0"/>
              <w:divBdr>
                <w:top w:val="none" w:sz="0" w:space="0" w:color="auto"/>
                <w:left w:val="none" w:sz="0" w:space="0" w:color="auto"/>
                <w:bottom w:val="none" w:sz="0" w:space="0" w:color="auto"/>
                <w:right w:val="none" w:sz="0" w:space="0" w:color="auto"/>
              </w:divBdr>
            </w:div>
            <w:div w:id="1742411165">
              <w:marLeft w:val="0"/>
              <w:marRight w:val="0"/>
              <w:marTop w:val="0"/>
              <w:marBottom w:val="0"/>
              <w:divBdr>
                <w:top w:val="none" w:sz="0" w:space="0" w:color="auto"/>
                <w:left w:val="none" w:sz="0" w:space="0" w:color="auto"/>
                <w:bottom w:val="none" w:sz="0" w:space="0" w:color="auto"/>
                <w:right w:val="none" w:sz="0" w:space="0" w:color="auto"/>
              </w:divBdr>
            </w:div>
            <w:div w:id="887449927">
              <w:marLeft w:val="0"/>
              <w:marRight w:val="0"/>
              <w:marTop w:val="0"/>
              <w:marBottom w:val="0"/>
              <w:divBdr>
                <w:top w:val="none" w:sz="0" w:space="0" w:color="auto"/>
                <w:left w:val="none" w:sz="0" w:space="0" w:color="auto"/>
                <w:bottom w:val="none" w:sz="0" w:space="0" w:color="auto"/>
                <w:right w:val="none" w:sz="0" w:space="0" w:color="auto"/>
              </w:divBdr>
            </w:div>
            <w:div w:id="1853640829">
              <w:marLeft w:val="0"/>
              <w:marRight w:val="0"/>
              <w:marTop w:val="0"/>
              <w:marBottom w:val="0"/>
              <w:divBdr>
                <w:top w:val="none" w:sz="0" w:space="0" w:color="auto"/>
                <w:left w:val="none" w:sz="0" w:space="0" w:color="auto"/>
                <w:bottom w:val="none" w:sz="0" w:space="0" w:color="auto"/>
                <w:right w:val="none" w:sz="0" w:space="0" w:color="auto"/>
              </w:divBdr>
            </w:div>
            <w:div w:id="1779718320">
              <w:marLeft w:val="0"/>
              <w:marRight w:val="0"/>
              <w:marTop w:val="0"/>
              <w:marBottom w:val="0"/>
              <w:divBdr>
                <w:top w:val="none" w:sz="0" w:space="0" w:color="auto"/>
                <w:left w:val="none" w:sz="0" w:space="0" w:color="auto"/>
                <w:bottom w:val="none" w:sz="0" w:space="0" w:color="auto"/>
                <w:right w:val="none" w:sz="0" w:space="0" w:color="auto"/>
              </w:divBdr>
            </w:div>
            <w:div w:id="23092764">
              <w:marLeft w:val="0"/>
              <w:marRight w:val="0"/>
              <w:marTop w:val="0"/>
              <w:marBottom w:val="0"/>
              <w:divBdr>
                <w:top w:val="none" w:sz="0" w:space="0" w:color="auto"/>
                <w:left w:val="none" w:sz="0" w:space="0" w:color="auto"/>
                <w:bottom w:val="none" w:sz="0" w:space="0" w:color="auto"/>
                <w:right w:val="none" w:sz="0" w:space="0" w:color="auto"/>
              </w:divBdr>
            </w:div>
            <w:div w:id="2015960607">
              <w:marLeft w:val="0"/>
              <w:marRight w:val="0"/>
              <w:marTop w:val="0"/>
              <w:marBottom w:val="0"/>
              <w:divBdr>
                <w:top w:val="none" w:sz="0" w:space="0" w:color="auto"/>
                <w:left w:val="none" w:sz="0" w:space="0" w:color="auto"/>
                <w:bottom w:val="none" w:sz="0" w:space="0" w:color="auto"/>
                <w:right w:val="none" w:sz="0" w:space="0" w:color="auto"/>
              </w:divBdr>
            </w:div>
            <w:div w:id="702170630">
              <w:marLeft w:val="0"/>
              <w:marRight w:val="0"/>
              <w:marTop w:val="0"/>
              <w:marBottom w:val="0"/>
              <w:divBdr>
                <w:top w:val="none" w:sz="0" w:space="0" w:color="auto"/>
                <w:left w:val="none" w:sz="0" w:space="0" w:color="auto"/>
                <w:bottom w:val="none" w:sz="0" w:space="0" w:color="auto"/>
                <w:right w:val="none" w:sz="0" w:space="0" w:color="auto"/>
              </w:divBdr>
            </w:div>
            <w:div w:id="180584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sv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5EA61-7958-6D4F-B63B-65BEF4CE9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18</Pages>
  <Words>11495</Words>
  <Characters>68396</Characters>
  <Application>Microsoft Office Word</Application>
  <DocSecurity>0</DocSecurity>
  <Lines>924</Lines>
  <Paragraphs>143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79748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Spinhoven</dc:creator>
  <cp:keywords/>
  <dc:description/>
  <cp:lastModifiedBy>Kilian Stenzel</cp:lastModifiedBy>
  <cp:revision>8</cp:revision>
  <cp:lastPrinted>2018-12-05T15:14:00Z</cp:lastPrinted>
  <dcterms:created xsi:type="dcterms:W3CDTF">2024-10-01T08:28:00Z</dcterms:created>
  <dcterms:modified xsi:type="dcterms:W3CDTF">2024-10-14T16:54:00Z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zotero-version="7.0.0-beta.75+f7dc68c7f"&gt;&lt;session id="pIXtByqx"/&gt;&lt;style id="http://www.zotero.org/styles/apa-6th-edition" locale="en-US" hasBibliography="1" bibliographyStyleHasBeenSet="1"/&gt;&lt;prefs&gt;&lt;pref name="fieldType" value="Field</vt:lpwstr>
  </property>
  <property fmtid="{D5CDD505-2E9C-101B-9397-08002B2CF9AE}" pid="3" name="ZOTERO_PREF_2">
    <vt:lpwstr>"/&gt;&lt;/prefs&gt;&lt;/data&gt;</vt:lpwstr>
  </property>
</Properties>
</file>