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7E6D" w14:textId="77777777" w:rsidR="00EF023E" w:rsidRDefault="00EF023E" w:rsidP="00493487">
      <w:pPr>
        <w:pStyle w:val="Title"/>
      </w:pPr>
      <w:r w:rsidRPr="009B6270">
        <w:t>Supplemental sections</w:t>
      </w:r>
    </w:p>
    <w:sdt>
      <w:sdtPr>
        <w:id w:val="81969800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3814FFB" w14:textId="0EC3EB68" w:rsidR="004F6281" w:rsidRDefault="00E5287E">
          <w:pPr>
            <w:pStyle w:val="TOC2"/>
            <w:tabs>
              <w:tab w:val="right" w:leader="dot" w:pos="9016"/>
            </w:tabs>
            <w:rPr>
              <w:rFonts w:asciiTheme="minorHAnsi" w:hAnsiTheme="minorHAnsi"/>
              <w:noProof/>
              <w:szCs w:val="22"/>
              <w:lang w:val="en-GB"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9364066" w:history="1">
            <w:r w:rsidR="004F6281" w:rsidRPr="002959F4">
              <w:rPr>
                <w:rStyle w:val="Hyperlink"/>
                <w:noProof/>
              </w:rPr>
              <w:t>Supplement 1: Search strategy for bibliographic databases</w:t>
            </w:r>
            <w:r w:rsidR="004F6281">
              <w:rPr>
                <w:noProof/>
                <w:webHidden/>
              </w:rPr>
              <w:tab/>
            </w:r>
            <w:r w:rsidR="004F6281">
              <w:rPr>
                <w:noProof/>
                <w:webHidden/>
              </w:rPr>
              <w:fldChar w:fldCharType="begin"/>
            </w:r>
            <w:r w:rsidR="004F6281">
              <w:rPr>
                <w:noProof/>
                <w:webHidden/>
              </w:rPr>
              <w:instrText xml:space="preserve"> PAGEREF _Toc179364066 \h </w:instrText>
            </w:r>
            <w:r w:rsidR="004F6281">
              <w:rPr>
                <w:noProof/>
                <w:webHidden/>
              </w:rPr>
            </w:r>
            <w:r w:rsidR="004F6281">
              <w:rPr>
                <w:noProof/>
                <w:webHidden/>
              </w:rPr>
              <w:fldChar w:fldCharType="separate"/>
            </w:r>
            <w:r w:rsidR="004F6281">
              <w:rPr>
                <w:noProof/>
                <w:webHidden/>
              </w:rPr>
              <w:t>2</w:t>
            </w:r>
            <w:r w:rsidR="004F6281">
              <w:rPr>
                <w:noProof/>
                <w:webHidden/>
              </w:rPr>
              <w:fldChar w:fldCharType="end"/>
            </w:r>
          </w:hyperlink>
        </w:p>
        <w:p w14:paraId="52E61C4F" w14:textId="46AACE23" w:rsidR="004F6281" w:rsidRDefault="00F631A9">
          <w:pPr>
            <w:pStyle w:val="TOC2"/>
            <w:tabs>
              <w:tab w:val="right" w:leader="dot" w:pos="9016"/>
            </w:tabs>
            <w:rPr>
              <w:rFonts w:asciiTheme="minorHAnsi" w:hAnsiTheme="minorHAnsi"/>
              <w:noProof/>
              <w:szCs w:val="22"/>
              <w:lang w:val="en-GB" w:eastAsia="en-GB"/>
            </w:rPr>
          </w:pPr>
          <w:hyperlink w:anchor="_Toc179364067" w:history="1">
            <w:r w:rsidR="004F6281" w:rsidRPr="002959F4">
              <w:rPr>
                <w:rStyle w:val="Hyperlink"/>
                <w:noProof/>
              </w:rPr>
              <w:t>Supplement 2: Modification made to the risk-of-bias assessment tool</w:t>
            </w:r>
            <w:r w:rsidR="004F6281">
              <w:rPr>
                <w:noProof/>
                <w:webHidden/>
              </w:rPr>
              <w:tab/>
            </w:r>
            <w:r w:rsidR="004F6281">
              <w:rPr>
                <w:noProof/>
                <w:webHidden/>
              </w:rPr>
              <w:fldChar w:fldCharType="begin"/>
            </w:r>
            <w:r w:rsidR="004F6281">
              <w:rPr>
                <w:noProof/>
                <w:webHidden/>
              </w:rPr>
              <w:instrText xml:space="preserve"> PAGEREF _Toc179364067 \h </w:instrText>
            </w:r>
            <w:r w:rsidR="004F6281">
              <w:rPr>
                <w:noProof/>
                <w:webHidden/>
              </w:rPr>
            </w:r>
            <w:r w:rsidR="004F6281">
              <w:rPr>
                <w:noProof/>
                <w:webHidden/>
              </w:rPr>
              <w:fldChar w:fldCharType="separate"/>
            </w:r>
            <w:r w:rsidR="004F6281">
              <w:rPr>
                <w:noProof/>
                <w:webHidden/>
              </w:rPr>
              <w:t>3</w:t>
            </w:r>
            <w:r w:rsidR="004F6281">
              <w:rPr>
                <w:noProof/>
                <w:webHidden/>
              </w:rPr>
              <w:fldChar w:fldCharType="end"/>
            </w:r>
          </w:hyperlink>
        </w:p>
        <w:p w14:paraId="60D8F184" w14:textId="705E76EF" w:rsidR="004F6281" w:rsidRDefault="00F631A9">
          <w:pPr>
            <w:pStyle w:val="TOC2"/>
            <w:tabs>
              <w:tab w:val="right" w:leader="dot" w:pos="9016"/>
            </w:tabs>
            <w:rPr>
              <w:rFonts w:asciiTheme="minorHAnsi" w:hAnsiTheme="minorHAnsi"/>
              <w:noProof/>
              <w:szCs w:val="22"/>
              <w:lang w:val="en-GB" w:eastAsia="en-GB"/>
            </w:rPr>
          </w:pPr>
          <w:hyperlink w:anchor="_Toc179364068" w:history="1">
            <w:r w:rsidR="004F6281" w:rsidRPr="002959F4">
              <w:rPr>
                <w:rStyle w:val="Hyperlink"/>
                <w:noProof/>
              </w:rPr>
              <w:t>Supplement 3: Risk-of-bias assessment</w:t>
            </w:r>
            <w:r w:rsidR="004F6281">
              <w:rPr>
                <w:noProof/>
                <w:webHidden/>
              </w:rPr>
              <w:tab/>
            </w:r>
            <w:r w:rsidR="004F6281">
              <w:rPr>
                <w:noProof/>
                <w:webHidden/>
              </w:rPr>
              <w:fldChar w:fldCharType="begin"/>
            </w:r>
            <w:r w:rsidR="004F6281">
              <w:rPr>
                <w:noProof/>
                <w:webHidden/>
              </w:rPr>
              <w:instrText xml:space="preserve"> PAGEREF _Toc179364068 \h </w:instrText>
            </w:r>
            <w:r w:rsidR="004F6281">
              <w:rPr>
                <w:noProof/>
                <w:webHidden/>
              </w:rPr>
            </w:r>
            <w:r w:rsidR="004F6281">
              <w:rPr>
                <w:noProof/>
                <w:webHidden/>
              </w:rPr>
              <w:fldChar w:fldCharType="separate"/>
            </w:r>
            <w:r w:rsidR="004F6281">
              <w:rPr>
                <w:noProof/>
                <w:webHidden/>
              </w:rPr>
              <w:t>4</w:t>
            </w:r>
            <w:r w:rsidR="004F6281">
              <w:rPr>
                <w:noProof/>
                <w:webHidden/>
              </w:rPr>
              <w:fldChar w:fldCharType="end"/>
            </w:r>
          </w:hyperlink>
        </w:p>
        <w:p w14:paraId="7DB64797" w14:textId="02298074" w:rsidR="004F6281" w:rsidRDefault="00F631A9">
          <w:pPr>
            <w:pStyle w:val="TOC2"/>
            <w:tabs>
              <w:tab w:val="right" w:leader="dot" w:pos="9016"/>
            </w:tabs>
            <w:rPr>
              <w:rFonts w:asciiTheme="minorHAnsi" w:hAnsiTheme="minorHAnsi"/>
              <w:noProof/>
              <w:szCs w:val="22"/>
              <w:lang w:val="en-GB" w:eastAsia="en-GB"/>
            </w:rPr>
          </w:pPr>
          <w:hyperlink w:anchor="_Toc179364069" w:history="1">
            <w:r w:rsidR="004F6281" w:rsidRPr="002959F4">
              <w:rPr>
                <w:rStyle w:val="Hyperlink"/>
                <w:noProof/>
              </w:rPr>
              <w:t>Supplement 4: Sensitivity of clinical high-risk approach based on studies involving ‘real world’ clinical high-risk services</w:t>
            </w:r>
            <w:r w:rsidR="004F6281">
              <w:rPr>
                <w:noProof/>
                <w:webHidden/>
              </w:rPr>
              <w:tab/>
            </w:r>
            <w:r w:rsidR="004F6281">
              <w:rPr>
                <w:noProof/>
                <w:webHidden/>
              </w:rPr>
              <w:fldChar w:fldCharType="begin"/>
            </w:r>
            <w:r w:rsidR="004F6281">
              <w:rPr>
                <w:noProof/>
                <w:webHidden/>
              </w:rPr>
              <w:instrText xml:space="preserve"> PAGEREF _Toc179364069 \h </w:instrText>
            </w:r>
            <w:r w:rsidR="004F6281">
              <w:rPr>
                <w:noProof/>
                <w:webHidden/>
              </w:rPr>
            </w:r>
            <w:r w:rsidR="004F6281">
              <w:rPr>
                <w:noProof/>
                <w:webHidden/>
              </w:rPr>
              <w:fldChar w:fldCharType="separate"/>
            </w:r>
            <w:r w:rsidR="004F6281">
              <w:rPr>
                <w:noProof/>
                <w:webHidden/>
              </w:rPr>
              <w:t>5</w:t>
            </w:r>
            <w:r w:rsidR="004F6281">
              <w:rPr>
                <w:noProof/>
                <w:webHidden/>
              </w:rPr>
              <w:fldChar w:fldCharType="end"/>
            </w:r>
          </w:hyperlink>
        </w:p>
        <w:p w14:paraId="54E5689C" w14:textId="255262FF" w:rsidR="004F6281" w:rsidRDefault="00F631A9">
          <w:pPr>
            <w:pStyle w:val="TOC2"/>
            <w:tabs>
              <w:tab w:val="right" w:leader="dot" w:pos="9016"/>
            </w:tabs>
            <w:rPr>
              <w:rFonts w:asciiTheme="minorHAnsi" w:hAnsiTheme="minorHAnsi"/>
              <w:noProof/>
              <w:szCs w:val="22"/>
              <w:lang w:val="en-GB" w:eastAsia="en-GB"/>
            </w:rPr>
          </w:pPr>
          <w:hyperlink w:anchor="_Toc179364070" w:history="1">
            <w:r w:rsidR="004F6281" w:rsidRPr="002959F4">
              <w:rPr>
                <w:rStyle w:val="Hyperlink"/>
                <w:noProof/>
              </w:rPr>
              <w:t>Supplement 5: Sensitivity of familial high-risk approach based on studies with a low risk of bias</w:t>
            </w:r>
            <w:r w:rsidR="004F6281">
              <w:rPr>
                <w:noProof/>
                <w:webHidden/>
              </w:rPr>
              <w:tab/>
            </w:r>
            <w:r w:rsidR="004F6281">
              <w:rPr>
                <w:noProof/>
                <w:webHidden/>
              </w:rPr>
              <w:fldChar w:fldCharType="begin"/>
            </w:r>
            <w:r w:rsidR="004F6281">
              <w:rPr>
                <w:noProof/>
                <w:webHidden/>
              </w:rPr>
              <w:instrText xml:space="preserve"> PAGEREF _Toc179364070 \h </w:instrText>
            </w:r>
            <w:r w:rsidR="004F6281">
              <w:rPr>
                <w:noProof/>
                <w:webHidden/>
              </w:rPr>
            </w:r>
            <w:r w:rsidR="004F6281">
              <w:rPr>
                <w:noProof/>
                <w:webHidden/>
              </w:rPr>
              <w:fldChar w:fldCharType="separate"/>
            </w:r>
            <w:r w:rsidR="004F6281">
              <w:rPr>
                <w:noProof/>
                <w:webHidden/>
              </w:rPr>
              <w:t>5</w:t>
            </w:r>
            <w:r w:rsidR="004F6281">
              <w:rPr>
                <w:noProof/>
                <w:webHidden/>
              </w:rPr>
              <w:fldChar w:fldCharType="end"/>
            </w:r>
          </w:hyperlink>
        </w:p>
        <w:p w14:paraId="5BC927D3" w14:textId="7FEB1324" w:rsidR="00B716A2" w:rsidRPr="00B716A2" w:rsidRDefault="00E5287E" w:rsidP="00B716A2">
          <w:r>
            <w:rPr>
              <w:b/>
              <w:bCs/>
              <w:noProof/>
            </w:rPr>
            <w:fldChar w:fldCharType="end"/>
          </w:r>
        </w:p>
      </w:sdtContent>
    </w:sdt>
    <w:p w14:paraId="606AB4CD" w14:textId="77777777" w:rsidR="006604FF" w:rsidRDefault="006604FF">
      <w:pPr>
        <w:rPr>
          <w:rFonts w:eastAsiaTheme="majorEastAsia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AF55775" w14:textId="3D54270B" w:rsidR="00533740" w:rsidRDefault="00EF023E" w:rsidP="002A2EF2">
      <w:pPr>
        <w:pStyle w:val="Heading2"/>
        <w:jc w:val="both"/>
      </w:pPr>
      <w:bookmarkStart w:id="0" w:name="_Toc179364066"/>
      <w:r w:rsidRPr="009B6270">
        <w:lastRenderedPageBreak/>
        <w:t>Supplement 1</w:t>
      </w:r>
      <w:r w:rsidR="00DF6597">
        <w:t xml:space="preserve">: </w:t>
      </w:r>
      <w:r w:rsidR="00DF6597" w:rsidRPr="00DF6597">
        <w:t xml:space="preserve">Search strategy </w:t>
      </w:r>
      <w:r w:rsidR="00E84541">
        <w:t>for</w:t>
      </w:r>
      <w:r w:rsidR="00DF6597" w:rsidRPr="00DF6597">
        <w:t xml:space="preserve"> bibliographic databases</w:t>
      </w:r>
      <w:bookmarkEnd w:id="0"/>
    </w:p>
    <w:p w14:paraId="26B63B66" w14:textId="255F8C70" w:rsidR="00D17B2E" w:rsidRDefault="00D17B2E" w:rsidP="003A1A6F">
      <w:pPr>
        <w:pStyle w:val="Heading4"/>
        <w:jc w:val="both"/>
        <w:rPr>
          <w:rFonts w:eastAsia="Arial" w:cs="Arial"/>
          <w:color w:val="FF0000"/>
          <w:sz w:val="28"/>
        </w:rPr>
      </w:pPr>
      <w:r w:rsidRPr="512B9879">
        <w:rPr>
          <w:lang w:val="en-GB"/>
        </w:rPr>
        <w:t>MEDLINE (Searched via Ovid – from 1946 to</w:t>
      </w:r>
      <w:r w:rsidRPr="512B9879">
        <w:rPr>
          <w:color w:val="FF0000"/>
          <w:lang w:val="en-GB"/>
        </w:rPr>
        <w:t xml:space="preserve"> </w:t>
      </w:r>
      <w:r>
        <w:rPr>
          <w:lang w:val="en-GB"/>
        </w:rPr>
        <w:t>September</w:t>
      </w:r>
      <w:r w:rsidRPr="512B9879">
        <w:rPr>
          <w:lang w:val="en-GB"/>
        </w:rPr>
        <w:t xml:space="preserve">, 2024)  </w:t>
      </w:r>
    </w:p>
    <w:p w14:paraId="381188FA" w14:textId="77777777" w:rsidR="00D17B2E" w:rsidRDefault="00D17B2E" w:rsidP="003A1A6F">
      <w:pPr>
        <w:pStyle w:val="ListParagraph"/>
        <w:numPr>
          <w:ilvl w:val="0"/>
          <w:numId w:val="4"/>
        </w:numPr>
        <w:jc w:val="both"/>
        <w:rPr>
          <w:rFonts w:eastAsia="Arial" w:cs="Arial"/>
          <w:color w:val="000000" w:themeColor="text1"/>
          <w:szCs w:val="22"/>
        </w:rPr>
      </w:pPr>
      <w:r w:rsidRPr="440FA1C3">
        <w:rPr>
          <w:lang w:val="en-GB"/>
        </w:rPr>
        <w:t>("psychosis" OR "psychotic" OR "schizophreni*").mp.</w:t>
      </w:r>
    </w:p>
    <w:p w14:paraId="13C0BF42" w14:textId="77777777" w:rsidR="00D17B2E" w:rsidRDefault="00D17B2E" w:rsidP="003A1A6F">
      <w:pPr>
        <w:pStyle w:val="ListParagraph"/>
        <w:numPr>
          <w:ilvl w:val="0"/>
          <w:numId w:val="4"/>
        </w:numPr>
        <w:jc w:val="both"/>
        <w:rPr>
          <w:rFonts w:eastAsia="Arial" w:cs="Arial"/>
          <w:color w:val="000000" w:themeColor="text1"/>
          <w:szCs w:val="22"/>
        </w:rPr>
      </w:pPr>
      <w:r w:rsidRPr="440FA1C3">
        <w:rPr>
          <w:lang w:val="en-GB"/>
        </w:rPr>
        <w:t>exp "Schizophrenia Spectrum and Other Psychotic Disorders"/</w:t>
      </w:r>
    </w:p>
    <w:p w14:paraId="6475F1AF" w14:textId="77777777" w:rsidR="00D17B2E" w:rsidRDefault="00D17B2E" w:rsidP="003A1A6F">
      <w:pPr>
        <w:pStyle w:val="ListParagraph"/>
        <w:numPr>
          <w:ilvl w:val="0"/>
          <w:numId w:val="4"/>
        </w:numPr>
        <w:jc w:val="both"/>
        <w:rPr>
          <w:rFonts w:eastAsia="Arial" w:cs="Arial"/>
          <w:color w:val="000000" w:themeColor="text1"/>
          <w:szCs w:val="22"/>
        </w:rPr>
      </w:pPr>
      <w:r w:rsidRPr="51C61361">
        <w:rPr>
          <w:lang w:val="en-GB"/>
        </w:rPr>
        <w:t xml:space="preserve">1 OR 2 </w:t>
      </w:r>
    </w:p>
    <w:p w14:paraId="1BC5B4F2" w14:textId="77777777" w:rsidR="00D17B2E" w:rsidRDefault="00D17B2E" w:rsidP="003A1A6F">
      <w:pPr>
        <w:pStyle w:val="ListParagraph"/>
        <w:numPr>
          <w:ilvl w:val="0"/>
          <w:numId w:val="4"/>
        </w:numPr>
        <w:jc w:val="both"/>
        <w:rPr>
          <w:lang w:val="en-GB"/>
        </w:rPr>
      </w:pPr>
      <w:r w:rsidRPr="51C61361">
        <w:rPr>
          <w:lang w:val="en-GB"/>
        </w:rPr>
        <w:t xml:space="preserve">(“at risk mental state” OR “ultrahigh risk” OR “ultra high risk” OR “clinical high risk” OR "familial high risk" OR "familial risk" OR "first degree relative*").mp   </w:t>
      </w:r>
    </w:p>
    <w:p w14:paraId="0ABB70BF" w14:textId="77777777" w:rsidR="00D17B2E" w:rsidRDefault="00D17B2E" w:rsidP="003A1A6F">
      <w:pPr>
        <w:pStyle w:val="ListParagraph"/>
        <w:numPr>
          <w:ilvl w:val="0"/>
          <w:numId w:val="4"/>
        </w:numPr>
        <w:jc w:val="both"/>
        <w:rPr>
          <w:rFonts w:eastAsia="Arial" w:cs="Arial"/>
          <w:color w:val="000000" w:themeColor="text1"/>
          <w:szCs w:val="22"/>
        </w:rPr>
      </w:pPr>
      <w:r w:rsidRPr="51C61361">
        <w:rPr>
          <w:lang w:val="en-GB"/>
        </w:rPr>
        <w:t>3 AND 4</w:t>
      </w:r>
    </w:p>
    <w:p w14:paraId="53E11824" w14:textId="199233FA" w:rsidR="00D17B2E" w:rsidRPr="0068141B" w:rsidRDefault="00D17B2E" w:rsidP="003A1A6F">
      <w:pPr>
        <w:pStyle w:val="Heading4"/>
        <w:jc w:val="both"/>
      </w:pPr>
      <w:r w:rsidRPr="0068141B">
        <w:t>Embase</w:t>
      </w:r>
      <w:r w:rsidRPr="512B9879">
        <w:rPr>
          <w:lang w:val="en-GB"/>
        </w:rPr>
        <w:t xml:space="preserve"> (Searched via Ovid – from 1947 to</w:t>
      </w:r>
      <w:r w:rsidRPr="512B9879">
        <w:rPr>
          <w:color w:val="FF0000"/>
          <w:lang w:val="en-GB"/>
        </w:rPr>
        <w:t xml:space="preserve"> </w:t>
      </w:r>
      <w:r>
        <w:rPr>
          <w:lang w:val="en-GB"/>
        </w:rPr>
        <w:t>September</w:t>
      </w:r>
      <w:r w:rsidRPr="0068141B">
        <w:t>, 2024)</w:t>
      </w:r>
    </w:p>
    <w:p w14:paraId="7D68053A" w14:textId="77777777" w:rsidR="00D17B2E" w:rsidRDefault="00D17B2E" w:rsidP="003A1A6F">
      <w:pPr>
        <w:pStyle w:val="ListParagraph"/>
        <w:numPr>
          <w:ilvl w:val="0"/>
          <w:numId w:val="5"/>
        </w:numPr>
        <w:jc w:val="both"/>
        <w:rPr>
          <w:rFonts w:eastAsia="Arial" w:cs="Arial"/>
          <w:color w:val="000000" w:themeColor="text1"/>
          <w:szCs w:val="22"/>
        </w:rPr>
      </w:pPr>
      <w:r w:rsidRPr="440FA1C3">
        <w:rPr>
          <w:lang w:val="en-GB"/>
        </w:rPr>
        <w:t>("psychosis" or "psychotic" or "schizophreni*").mp.</w:t>
      </w:r>
    </w:p>
    <w:p w14:paraId="1A9D6E58" w14:textId="77777777" w:rsidR="00D17B2E" w:rsidRDefault="00D17B2E" w:rsidP="003A1A6F">
      <w:pPr>
        <w:pStyle w:val="ListParagraph"/>
        <w:numPr>
          <w:ilvl w:val="0"/>
          <w:numId w:val="5"/>
        </w:numPr>
        <w:jc w:val="both"/>
        <w:rPr>
          <w:rFonts w:eastAsia="Arial" w:cs="Arial"/>
          <w:color w:val="000000" w:themeColor="text1"/>
          <w:szCs w:val="22"/>
        </w:rPr>
      </w:pPr>
      <w:r w:rsidRPr="440FA1C3">
        <w:rPr>
          <w:lang w:val="en-GB"/>
        </w:rPr>
        <w:t>exp psychosis/</w:t>
      </w:r>
    </w:p>
    <w:p w14:paraId="249EEB94" w14:textId="77777777" w:rsidR="00D17B2E" w:rsidRDefault="00D17B2E" w:rsidP="003A1A6F">
      <w:pPr>
        <w:pStyle w:val="ListParagraph"/>
        <w:numPr>
          <w:ilvl w:val="0"/>
          <w:numId w:val="5"/>
        </w:numPr>
        <w:jc w:val="both"/>
        <w:rPr>
          <w:rFonts w:eastAsia="Arial" w:cs="Arial"/>
          <w:color w:val="000000" w:themeColor="text1"/>
          <w:szCs w:val="22"/>
        </w:rPr>
      </w:pPr>
      <w:r w:rsidRPr="440FA1C3">
        <w:rPr>
          <w:lang w:val="en-GB"/>
        </w:rPr>
        <w:t>exp schizophrenia spectrum disorder/</w:t>
      </w:r>
    </w:p>
    <w:p w14:paraId="7FC05CC9" w14:textId="77777777" w:rsidR="00D17B2E" w:rsidRDefault="00D17B2E" w:rsidP="003A1A6F">
      <w:pPr>
        <w:pStyle w:val="ListParagraph"/>
        <w:numPr>
          <w:ilvl w:val="0"/>
          <w:numId w:val="5"/>
        </w:numPr>
        <w:jc w:val="both"/>
        <w:rPr>
          <w:rFonts w:eastAsia="Arial" w:cs="Arial"/>
          <w:color w:val="000000" w:themeColor="text1"/>
          <w:szCs w:val="22"/>
        </w:rPr>
      </w:pPr>
      <w:r w:rsidRPr="51C61361">
        <w:rPr>
          <w:lang w:val="en-GB"/>
        </w:rPr>
        <w:t xml:space="preserve">1 OR 2 OR 3 </w:t>
      </w:r>
    </w:p>
    <w:p w14:paraId="11B48AED" w14:textId="77777777" w:rsidR="00D17B2E" w:rsidRDefault="00D17B2E" w:rsidP="003A1A6F">
      <w:pPr>
        <w:pStyle w:val="ListParagraph"/>
        <w:numPr>
          <w:ilvl w:val="0"/>
          <w:numId w:val="5"/>
        </w:numPr>
        <w:jc w:val="both"/>
        <w:rPr>
          <w:lang w:val="en-GB"/>
        </w:rPr>
      </w:pPr>
      <w:r w:rsidRPr="51C61361">
        <w:rPr>
          <w:lang w:val="en-GB"/>
        </w:rPr>
        <w:t xml:space="preserve">(“at risk mental state” OR “ultrahigh risk” OR “ultra high risk” OR “clinical high risk” OR "familial high risk" OR "familial risk" OR "first degree relative*").mp   </w:t>
      </w:r>
    </w:p>
    <w:p w14:paraId="56425BF8" w14:textId="77777777" w:rsidR="00D17B2E" w:rsidRDefault="00D17B2E" w:rsidP="003A1A6F">
      <w:pPr>
        <w:pStyle w:val="ListParagraph"/>
        <w:numPr>
          <w:ilvl w:val="0"/>
          <w:numId w:val="5"/>
        </w:numPr>
        <w:jc w:val="both"/>
        <w:rPr>
          <w:rFonts w:eastAsia="Arial" w:cs="Arial"/>
          <w:color w:val="000000" w:themeColor="text1"/>
          <w:szCs w:val="22"/>
        </w:rPr>
      </w:pPr>
      <w:r w:rsidRPr="51C61361">
        <w:rPr>
          <w:lang w:val="en-GB"/>
        </w:rPr>
        <w:t>4 AND 5</w:t>
      </w:r>
    </w:p>
    <w:p w14:paraId="4ACF29EF" w14:textId="01826551" w:rsidR="00D17B2E" w:rsidRDefault="00D17B2E" w:rsidP="003A1A6F">
      <w:pPr>
        <w:pStyle w:val="Heading4"/>
        <w:jc w:val="both"/>
        <w:rPr>
          <w:rFonts w:eastAsia="Arial" w:cs="Arial"/>
          <w:color w:val="FF0000"/>
          <w:sz w:val="28"/>
          <w:szCs w:val="28"/>
        </w:rPr>
      </w:pPr>
      <w:r w:rsidRPr="0068141B">
        <w:t>PsychINFO</w:t>
      </w:r>
      <w:r w:rsidRPr="512B9879">
        <w:rPr>
          <w:lang w:val="en-GB"/>
        </w:rPr>
        <w:t xml:space="preserve"> (Searched via Ovid – from 1806 to</w:t>
      </w:r>
      <w:r w:rsidRPr="512B9879">
        <w:rPr>
          <w:color w:val="FF0000"/>
          <w:lang w:val="en-GB"/>
        </w:rPr>
        <w:t xml:space="preserve"> </w:t>
      </w:r>
      <w:r>
        <w:rPr>
          <w:lang w:val="en-GB"/>
        </w:rPr>
        <w:t>September</w:t>
      </w:r>
      <w:r w:rsidRPr="0068141B">
        <w:t>, 2024)</w:t>
      </w:r>
    </w:p>
    <w:p w14:paraId="0888A4CC" w14:textId="77777777" w:rsidR="00D17B2E" w:rsidRDefault="00D17B2E" w:rsidP="003A1A6F">
      <w:pPr>
        <w:pStyle w:val="ListParagraph"/>
        <w:numPr>
          <w:ilvl w:val="0"/>
          <w:numId w:val="3"/>
        </w:numPr>
        <w:jc w:val="both"/>
        <w:rPr>
          <w:rFonts w:eastAsia="Arial" w:cs="Arial"/>
          <w:color w:val="000000" w:themeColor="text1"/>
          <w:szCs w:val="22"/>
        </w:rPr>
      </w:pPr>
      <w:r w:rsidRPr="440FA1C3">
        <w:rPr>
          <w:lang w:val="en-GB"/>
        </w:rPr>
        <w:t>(psychosis OR psychotic OR schizophreni*).mp.</w:t>
      </w:r>
    </w:p>
    <w:p w14:paraId="7D26D9F5" w14:textId="77777777" w:rsidR="00D17B2E" w:rsidRDefault="00D17B2E" w:rsidP="003A1A6F">
      <w:pPr>
        <w:pStyle w:val="ListParagraph"/>
        <w:numPr>
          <w:ilvl w:val="0"/>
          <w:numId w:val="3"/>
        </w:numPr>
        <w:jc w:val="both"/>
        <w:rPr>
          <w:rFonts w:eastAsia="Arial" w:cs="Arial"/>
          <w:color w:val="000000" w:themeColor="text1"/>
          <w:szCs w:val="22"/>
        </w:rPr>
      </w:pPr>
      <w:r w:rsidRPr="440FA1C3">
        <w:rPr>
          <w:lang w:val="en-GB"/>
        </w:rPr>
        <w:t>exp Psychosis/</w:t>
      </w:r>
    </w:p>
    <w:p w14:paraId="56848084" w14:textId="77777777" w:rsidR="00D17B2E" w:rsidRDefault="00D17B2E" w:rsidP="003A1A6F">
      <w:pPr>
        <w:pStyle w:val="ListParagraph"/>
        <w:numPr>
          <w:ilvl w:val="0"/>
          <w:numId w:val="3"/>
        </w:numPr>
        <w:jc w:val="both"/>
        <w:rPr>
          <w:rFonts w:eastAsia="Arial" w:cs="Arial"/>
          <w:color w:val="000000" w:themeColor="text1"/>
          <w:szCs w:val="22"/>
        </w:rPr>
      </w:pPr>
      <w:r w:rsidRPr="440FA1C3">
        <w:rPr>
          <w:lang w:val="en-GB"/>
        </w:rPr>
        <w:t>1 OR 2</w:t>
      </w:r>
    </w:p>
    <w:p w14:paraId="3443332D" w14:textId="77777777" w:rsidR="00D17B2E" w:rsidRDefault="00D17B2E" w:rsidP="003A1A6F">
      <w:pPr>
        <w:pStyle w:val="ListParagraph"/>
        <w:numPr>
          <w:ilvl w:val="0"/>
          <w:numId w:val="3"/>
        </w:numPr>
        <w:jc w:val="both"/>
        <w:rPr>
          <w:lang w:val="en-GB"/>
        </w:rPr>
      </w:pPr>
      <w:r w:rsidRPr="51C61361">
        <w:rPr>
          <w:lang w:val="en-GB"/>
        </w:rPr>
        <w:t xml:space="preserve">(“at risk mental state” OR “ultrahigh risk” OR “ultra high risk” OR “clinical high risk” OR "familial high risk" OR "familial risk" OR "first degree relative*").mp   </w:t>
      </w:r>
    </w:p>
    <w:p w14:paraId="110F1C6B" w14:textId="77777777" w:rsidR="00D17B2E" w:rsidRDefault="00D17B2E" w:rsidP="003A1A6F">
      <w:pPr>
        <w:pStyle w:val="ListParagraph"/>
        <w:numPr>
          <w:ilvl w:val="0"/>
          <w:numId w:val="3"/>
        </w:numPr>
        <w:jc w:val="both"/>
        <w:rPr>
          <w:rFonts w:eastAsia="Arial" w:cs="Arial"/>
          <w:color w:val="000000" w:themeColor="text1"/>
          <w:szCs w:val="22"/>
        </w:rPr>
      </w:pPr>
      <w:r w:rsidRPr="51C61361">
        <w:rPr>
          <w:lang w:val="en-GB"/>
        </w:rPr>
        <w:t>3 AND 4</w:t>
      </w:r>
    </w:p>
    <w:p w14:paraId="0BC1EAE6" w14:textId="717E3F81" w:rsidR="00D17B2E" w:rsidRDefault="00D17B2E" w:rsidP="003A1A6F">
      <w:pPr>
        <w:pStyle w:val="Heading4"/>
        <w:jc w:val="both"/>
        <w:rPr>
          <w:rFonts w:eastAsia="Arial" w:cs="Arial"/>
          <w:color w:val="FF0000"/>
          <w:sz w:val="28"/>
          <w:szCs w:val="28"/>
        </w:rPr>
      </w:pPr>
      <w:r w:rsidRPr="0068141B">
        <w:t>Web of Science (Core Collection)</w:t>
      </w:r>
      <w:r w:rsidRPr="512B9879">
        <w:rPr>
          <w:lang w:val="en-GB"/>
        </w:rPr>
        <w:t xml:space="preserve"> (Searched via Clarivate – from 1900 to</w:t>
      </w:r>
      <w:r w:rsidRPr="512B9879">
        <w:rPr>
          <w:color w:val="FF0000"/>
          <w:lang w:val="en-GB"/>
        </w:rPr>
        <w:t xml:space="preserve"> </w:t>
      </w:r>
      <w:r>
        <w:rPr>
          <w:lang w:val="en-GB"/>
        </w:rPr>
        <w:t>September</w:t>
      </w:r>
      <w:r w:rsidRPr="0068141B">
        <w:t>, 2024)</w:t>
      </w:r>
    </w:p>
    <w:p w14:paraId="295D2B9C" w14:textId="77777777" w:rsidR="00D17B2E" w:rsidRDefault="00D17B2E" w:rsidP="003A1A6F">
      <w:pPr>
        <w:pStyle w:val="ListParagraph"/>
        <w:numPr>
          <w:ilvl w:val="0"/>
          <w:numId w:val="2"/>
        </w:numPr>
        <w:jc w:val="both"/>
        <w:rPr>
          <w:rFonts w:eastAsia="Arial" w:cs="Arial"/>
          <w:color w:val="000000" w:themeColor="text1"/>
          <w:szCs w:val="22"/>
        </w:rPr>
      </w:pPr>
      <w:r w:rsidRPr="51C61361">
        <w:rPr>
          <w:lang w:val="en-GB"/>
        </w:rPr>
        <w:t>("psychosis" OR "psychotic" OR “schizophreni*”).mp</w:t>
      </w:r>
    </w:p>
    <w:p w14:paraId="765EC008" w14:textId="77777777" w:rsidR="00D17B2E" w:rsidRDefault="00D17B2E" w:rsidP="003A1A6F">
      <w:pPr>
        <w:pStyle w:val="ListParagraph"/>
        <w:numPr>
          <w:ilvl w:val="0"/>
          <w:numId w:val="2"/>
        </w:numPr>
        <w:jc w:val="both"/>
        <w:rPr>
          <w:rFonts w:eastAsia="Arial" w:cs="Arial"/>
          <w:color w:val="000000" w:themeColor="text1"/>
          <w:szCs w:val="22"/>
        </w:rPr>
      </w:pPr>
      <w:r w:rsidRPr="51C61361">
        <w:rPr>
          <w:lang w:val="en-GB"/>
        </w:rPr>
        <w:t xml:space="preserve">(“at risk mental state” OR “ultrahigh risk” OR “ultra high risk” OR “clinical high risk” OR "familial high risk" OR "familial risk" OR "first degree relative*").mp    </w:t>
      </w:r>
    </w:p>
    <w:p w14:paraId="2BF9F43C" w14:textId="77777777" w:rsidR="00D17B2E" w:rsidRPr="00600791" w:rsidRDefault="00D17B2E" w:rsidP="003A1A6F">
      <w:pPr>
        <w:pStyle w:val="ListParagraph"/>
        <w:numPr>
          <w:ilvl w:val="0"/>
          <w:numId w:val="2"/>
        </w:numPr>
        <w:jc w:val="both"/>
        <w:rPr>
          <w:rFonts w:eastAsia="Arial" w:cs="Arial"/>
          <w:color w:val="000000" w:themeColor="text1"/>
          <w:szCs w:val="22"/>
        </w:rPr>
      </w:pPr>
      <w:r w:rsidRPr="512B9879">
        <w:rPr>
          <w:lang w:val="en-GB"/>
        </w:rPr>
        <w:t>1 AND 2</w:t>
      </w:r>
    </w:p>
    <w:p w14:paraId="200B976D" w14:textId="70BA44A1" w:rsidR="004316BB" w:rsidRDefault="004316BB">
      <w:pPr>
        <w:rPr>
          <w:rFonts w:eastAsia="Arial" w:cs="Arial"/>
          <w:color w:val="000000" w:themeColor="text1"/>
          <w:szCs w:val="22"/>
        </w:rPr>
      </w:pPr>
      <w:r>
        <w:rPr>
          <w:rFonts w:eastAsia="Arial" w:cs="Arial"/>
          <w:color w:val="000000" w:themeColor="text1"/>
          <w:szCs w:val="22"/>
        </w:rPr>
        <w:br w:type="page"/>
      </w:r>
    </w:p>
    <w:p w14:paraId="57450082" w14:textId="5833D693" w:rsidR="004316BB" w:rsidRDefault="004316BB" w:rsidP="002A2EF2">
      <w:pPr>
        <w:pStyle w:val="Heading2"/>
        <w:jc w:val="both"/>
      </w:pPr>
      <w:bookmarkStart w:id="1" w:name="_Toc179364067"/>
      <w:r>
        <w:lastRenderedPageBreak/>
        <w:t xml:space="preserve">Supplement 2: </w:t>
      </w:r>
      <w:r w:rsidR="002A2EF2">
        <w:t>M</w:t>
      </w:r>
      <w:r>
        <w:t>odification made to the risk-of-bias assessment tool</w:t>
      </w:r>
      <w:bookmarkEnd w:id="1"/>
    </w:p>
    <w:p w14:paraId="7EDB3FDC" w14:textId="24310B5B" w:rsidR="00D216C5" w:rsidRDefault="004316BB" w:rsidP="004316BB">
      <w:pPr>
        <w:jc w:val="both"/>
      </w:pPr>
      <w:r>
        <w:t xml:space="preserve">The </w:t>
      </w:r>
      <w:r w:rsidRPr="000E4850">
        <w:t>Newcastle-Ottawa Quality Assessment Form for Cohort Studies</w:t>
      </w:r>
      <w:r w:rsidR="003D4E73">
        <w:t xml:space="preserve"> </w:t>
      </w:r>
      <w:sdt>
        <w:sdtPr>
          <w:rPr>
            <w:color w:val="000000"/>
          </w:rPr>
          <w:tag w:val="MENDELEY_CITATION_v3_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"/>
          <w:id w:val="1650482316"/>
          <w:placeholder>
            <w:docPart w:val="9DBC58ED1620412C9338667E5AEB8D31"/>
          </w:placeholder>
        </w:sdtPr>
        <w:sdtEndPr/>
        <w:sdtContent>
          <w:r w:rsidR="00D00F8C" w:rsidRPr="00D00F8C">
            <w:rPr>
              <w:color w:val="000000"/>
            </w:rPr>
            <w:t>(Wells et al., 2021)</w:t>
          </w:r>
        </w:sdtContent>
      </w:sdt>
      <w:r>
        <w:t xml:space="preserve"> is designed to assess studies in three domains: 1) selection, 2) comparability, and 3) outcome. While the original tool assesses the c</w:t>
      </w:r>
      <w:r w:rsidRPr="000D4336">
        <w:t>omparability of cohorts on the basis of</w:t>
      </w:r>
      <w:r w:rsidR="00B0751A">
        <w:t xml:space="preserve"> whether</w:t>
      </w:r>
      <w:r w:rsidRPr="000D4336">
        <w:t xml:space="preserve"> the </w:t>
      </w:r>
      <w:r w:rsidR="00B0751A">
        <w:t xml:space="preserve">study </w:t>
      </w:r>
      <w:r w:rsidRPr="000D4336">
        <w:t xml:space="preserve">design or analysis controlled for </w:t>
      </w:r>
      <w:r w:rsidR="00B0751A">
        <w:t xml:space="preserve">specific </w:t>
      </w:r>
      <w:r w:rsidRPr="000D4336">
        <w:t>confounders</w:t>
      </w:r>
      <w:r>
        <w:t>, it</w:t>
      </w:r>
      <w:r w:rsidR="00DD01EE">
        <w:t xml:space="preserve"> was not</w:t>
      </w:r>
      <w:r>
        <w:t xml:space="preserve"> </w:t>
      </w:r>
      <w:r w:rsidR="00614B8C">
        <w:t xml:space="preserve">relevant </w:t>
      </w:r>
      <w:r>
        <w:t xml:space="preserve">to our review question to assess comparability. Therefore, we restricted the risk-of-bias assessment to the selection and outcome domains only. This </w:t>
      </w:r>
      <w:r w:rsidR="00614B8C">
        <w:t xml:space="preserve">changed </w:t>
      </w:r>
      <w:r>
        <w:t>the total possible score from 9 to 7.</w:t>
      </w:r>
    </w:p>
    <w:p w14:paraId="3F6AB612" w14:textId="5A8CC48F" w:rsidR="00403E17" w:rsidRDefault="002C3807" w:rsidP="004316BB">
      <w:pPr>
        <w:jc w:val="both"/>
      </w:pPr>
      <w:r>
        <w:t xml:space="preserve">We </w:t>
      </w:r>
      <w:r w:rsidR="00D216C5">
        <w:t>u</w:t>
      </w:r>
      <w:r w:rsidR="008B6C0E">
        <w:t>tilised</w:t>
      </w:r>
      <w:r w:rsidR="00D216C5">
        <w:t xml:space="preserve"> the </w:t>
      </w:r>
      <w:r w:rsidR="00403E17">
        <w:t xml:space="preserve">following </w:t>
      </w:r>
      <w:r w:rsidR="008B6C0E">
        <w:t xml:space="preserve">recommended </w:t>
      </w:r>
      <w:r w:rsidR="00D216C5">
        <w:t>thresholds</w:t>
      </w:r>
      <w:r w:rsidR="00425913">
        <w:t xml:space="preserve"> </w:t>
      </w:r>
      <w:sdt>
        <w:sdtPr>
          <w:rPr>
            <w:color w:val="000000"/>
          </w:rPr>
          <w:tag w:val="MENDELEY_CITATION_v3_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"/>
          <w:id w:val="-1502194500"/>
          <w:placeholder>
            <w:docPart w:val="DefaultPlaceholder_-1854013440"/>
          </w:placeholder>
        </w:sdtPr>
        <w:sdtEndPr/>
        <w:sdtContent>
          <w:r w:rsidR="00D00F8C" w:rsidRPr="00D00F8C">
            <w:rPr>
              <w:color w:val="000000"/>
            </w:rPr>
            <w:t>(Wells et al., 2021)</w:t>
          </w:r>
        </w:sdtContent>
      </w:sdt>
      <w:r w:rsidR="00D216C5">
        <w:t xml:space="preserve"> for </w:t>
      </w:r>
      <w:r w:rsidR="00E84541">
        <w:t>grading the studies according to the</w:t>
      </w:r>
      <w:r w:rsidR="00202F47">
        <w:t xml:space="preserve"> degree of</w:t>
      </w:r>
      <w:r w:rsidR="00E84541">
        <w:t xml:space="preserve"> risk</w:t>
      </w:r>
      <w:r w:rsidR="00202F47">
        <w:t xml:space="preserve"> </w:t>
      </w:r>
      <w:r w:rsidR="00E84541">
        <w:t>of</w:t>
      </w:r>
      <w:r w:rsidR="00202F47">
        <w:t xml:space="preserve"> </w:t>
      </w:r>
      <w:r w:rsidR="00E84541">
        <w:t>bias</w:t>
      </w:r>
      <w:r w:rsidR="004316BB">
        <w:t>.</w:t>
      </w:r>
    </w:p>
    <w:p w14:paraId="31E077F0" w14:textId="77777777" w:rsidR="00403E17" w:rsidRDefault="00403E17" w:rsidP="004316BB">
      <w:pPr>
        <w:jc w:val="both"/>
      </w:pPr>
      <w:r>
        <w:t>Low risk of bias</w:t>
      </w:r>
      <w:r w:rsidR="004130DD">
        <w:t>: 3 or 4 stars in selection domain AND 2 or 3 stars in outcome domain</w:t>
      </w:r>
    </w:p>
    <w:p w14:paraId="36FE2658" w14:textId="77777777" w:rsidR="00403E17" w:rsidRDefault="00403E17" w:rsidP="004316BB">
      <w:pPr>
        <w:jc w:val="both"/>
      </w:pPr>
      <w:r>
        <w:t>Moderate risk of bias:</w:t>
      </w:r>
      <w:r w:rsidR="004130DD">
        <w:t xml:space="preserve"> 2 stars in selection domain AND 2 or 3 stars in outcome domain</w:t>
      </w:r>
    </w:p>
    <w:p w14:paraId="134ACCCE" w14:textId="41CB60BA" w:rsidR="004130DD" w:rsidRDefault="00403E17" w:rsidP="004316BB">
      <w:pPr>
        <w:jc w:val="both"/>
      </w:pPr>
      <w:r>
        <w:t>High</w:t>
      </w:r>
      <w:r w:rsidR="004130DD">
        <w:t xml:space="preserve"> </w:t>
      </w:r>
      <w:r>
        <w:t>risk of bias</w:t>
      </w:r>
      <w:r w:rsidR="004130DD">
        <w:t>: 0 or 1 star in selection domain OR 0 or 1 star in outcome domai</w:t>
      </w:r>
      <w:r w:rsidR="0017661C">
        <w:t>n</w:t>
      </w:r>
    </w:p>
    <w:p w14:paraId="379A5AF8" w14:textId="4F09A0A5" w:rsidR="00B716A2" w:rsidRDefault="00B716A2">
      <w:r>
        <w:br w:type="page"/>
      </w:r>
    </w:p>
    <w:p w14:paraId="21A7CCB1" w14:textId="77777777" w:rsidR="00260829" w:rsidRPr="00600791" w:rsidRDefault="00260829" w:rsidP="00260829">
      <w:pPr>
        <w:pStyle w:val="Heading2"/>
      </w:pPr>
      <w:bookmarkStart w:id="2" w:name="_Toc179364068"/>
      <w:r>
        <w:lastRenderedPageBreak/>
        <w:t>Supplement 3: Risk-of-bias assessment</w:t>
      </w:r>
      <w:bookmarkEnd w:id="2"/>
      <w:r>
        <w:t xml:space="preserve"> 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117"/>
        <w:gridCol w:w="712"/>
        <w:gridCol w:w="708"/>
        <w:gridCol w:w="708"/>
        <w:gridCol w:w="852"/>
        <w:gridCol w:w="708"/>
        <w:gridCol w:w="708"/>
        <w:gridCol w:w="710"/>
        <w:gridCol w:w="708"/>
        <w:gridCol w:w="1079"/>
      </w:tblGrid>
      <w:tr w:rsidR="00260829" w:rsidRPr="005051DC" w14:paraId="41CBC161" w14:textId="4FF27074" w:rsidTr="00786DC4">
        <w:trPr>
          <w:trHeight w:val="324"/>
        </w:trPr>
        <w:tc>
          <w:tcPr>
            <w:tcW w:w="1174" w:type="pct"/>
            <w:vMerge w:val="restart"/>
            <w:tcBorders>
              <w:top w:val="single" w:sz="4" w:space="0" w:color="000000" w:themeColor="text1"/>
              <w:bottom w:val="single" w:sz="4" w:space="0" w:color="000000" w:themeColor="text1"/>
              <w:tl2br w:val="single" w:sz="4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D646EA7" w14:textId="77777777" w:rsidR="00260829" w:rsidRPr="005051DC" w:rsidRDefault="00260829" w:rsidP="005222AD">
            <w:pPr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bookmarkStart w:id="3" w:name="_Hlk174608736"/>
          </w:p>
          <w:p w14:paraId="50F5DA07" w14:textId="77777777" w:rsidR="00260829" w:rsidRPr="005051DC" w:rsidRDefault="00260829" w:rsidP="005222AD">
            <w:pPr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  <w:p w14:paraId="02BA24D3" w14:textId="77777777" w:rsidR="00260829" w:rsidRPr="005051DC" w:rsidRDefault="00260829" w:rsidP="005222AD">
            <w:pPr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  <w:p w14:paraId="3A2363CE" w14:textId="2ABECC21" w:rsidR="00260829" w:rsidRPr="005051DC" w:rsidRDefault="00260829" w:rsidP="005222AD">
            <w:pPr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051DC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                </w:t>
            </w:r>
            <w:r w:rsidR="00167B2B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    </w:t>
            </w:r>
            <w:r w:rsidRPr="005051DC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Domain </w:t>
            </w:r>
          </w:p>
          <w:p w14:paraId="7AB8B5AB" w14:textId="77777777" w:rsidR="00260829" w:rsidRPr="005051DC" w:rsidRDefault="00260829" w:rsidP="005222AD">
            <w:pPr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  <w:p w14:paraId="1B1E5E2E" w14:textId="77777777" w:rsidR="00260829" w:rsidRPr="005051DC" w:rsidRDefault="00260829" w:rsidP="005222AD">
            <w:pPr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  <w:p w14:paraId="770FC454" w14:textId="77777777" w:rsidR="00260829" w:rsidRPr="005051DC" w:rsidRDefault="00260829" w:rsidP="005222AD">
            <w:pPr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  <w:p w14:paraId="32EBBE81" w14:textId="77777777" w:rsidR="00260829" w:rsidRPr="005051DC" w:rsidRDefault="00260829" w:rsidP="005222AD">
            <w:pPr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  <w:p w14:paraId="18F83B99" w14:textId="77777777" w:rsidR="00260829" w:rsidRPr="005051DC" w:rsidRDefault="00260829" w:rsidP="005222AD">
            <w:pPr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  <w:p w14:paraId="0613232B" w14:textId="77777777" w:rsidR="00260829" w:rsidRPr="005051DC" w:rsidRDefault="00260829" w:rsidP="005222AD">
            <w:pPr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  <w:p w14:paraId="2738E025" w14:textId="77777777" w:rsidR="00260829" w:rsidRPr="005051DC" w:rsidRDefault="00260829" w:rsidP="005222AD">
            <w:pPr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  <w:p w14:paraId="4BFBB5C5" w14:textId="77777777" w:rsidR="00260829" w:rsidRPr="005051DC" w:rsidRDefault="00260829" w:rsidP="005222AD">
            <w:pPr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  <w:p w14:paraId="4CF0FB0A" w14:textId="5E92369A" w:rsidR="00260829" w:rsidRPr="005051DC" w:rsidRDefault="00167B2B" w:rsidP="005222AD">
            <w:pPr>
              <w:rPr>
                <w:rFonts w:eastAsia="Arial" w:cs="Arial"/>
                <w:color w:val="000000" w:themeColor="text1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       </w:t>
            </w:r>
            <w:r w:rsidR="00260829" w:rsidRPr="005051DC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Study</w:t>
            </w:r>
          </w:p>
        </w:tc>
        <w:tc>
          <w:tcPr>
            <w:tcW w:w="1654" w:type="pct"/>
            <w:gridSpan w:val="4"/>
            <w:tcMar>
              <w:left w:w="105" w:type="dxa"/>
              <w:right w:w="105" w:type="dxa"/>
            </w:tcMar>
            <w:vAlign w:val="center"/>
          </w:tcPr>
          <w:p w14:paraId="53DB7C08" w14:textId="77777777" w:rsidR="00260829" w:rsidRPr="005051DC" w:rsidRDefault="00260829" w:rsidP="005222AD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5051DC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Selection</w:t>
            </w:r>
          </w:p>
        </w:tc>
        <w:tc>
          <w:tcPr>
            <w:tcW w:w="1180" w:type="pct"/>
            <w:gridSpan w:val="3"/>
            <w:tcMar>
              <w:left w:w="105" w:type="dxa"/>
              <w:right w:w="105" w:type="dxa"/>
            </w:tcMar>
            <w:vAlign w:val="center"/>
          </w:tcPr>
          <w:p w14:paraId="26323119" w14:textId="77777777" w:rsidR="00260829" w:rsidRPr="005051DC" w:rsidRDefault="00260829" w:rsidP="005222AD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5051DC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Outcome</w:t>
            </w:r>
          </w:p>
        </w:tc>
        <w:tc>
          <w:tcPr>
            <w:tcW w:w="393" w:type="pct"/>
            <w:vMerge w:val="restart"/>
            <w:shd w:val="clear" w:color="auto" w:fill="E7E6E6" w:themeFill="background2"/>
            <w:tcMar>
              <w:left w:w="105" w:type="dxa"/>
              <w:right w:w="105" w:type="dxa"/>
            </w:tcMar>
            <w:textDirection w:val="btLr"/>
            <w:vAlign w:val="center"/>
          </w:tcPr>
          <w:p w14:paraId="00546C4F" w14:textId="3D0CBAD1" w:rsidR="00260829" w:rsidRPr="00786DC4" w:rsidRDefault="00260829" w:rsidP="00786DC4">
            <w:pPr>
              <w:ind w:left="113" w:right="113"/>
              <w:jc w:val="center"/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051DC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Total</w:t>
            </w:r>
            <w:r w:rsidR="00786DC4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786DC4" w:rsidRPr="005051DC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S</w:t>
            </w:r>
            <w:r w:rsidRPr="005051DC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core</w:t>
            </w:r>
          </w:p>
        </w:tc>
        <w:tc>
          <w:tcPr>
            <w:tcW w:w="599" w:type="pct"/>
            <w:vMerge w:val="restart"/>
            <w:shd w:val="clear" w:color="auto" w:fill="E7E6E6" w:themeFill="background2"/>
            <w:textDirection w:val="btLr"/>
            <w:vAlign w:val="center"/>
          </w:tcPr>
          <w:p w14:paraId="22D0E217" w14:textId="762EE419" w:rsidR="00260829" w:rsidRPr="005051DC" w:rsidRDefault="005051DC" w:rsidP="00AF20C9">
            <w:pPr>
              <w:ind w:left="113" w:right="113"/>
              <w:jc w:val="center"/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051DC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Risk</w:t>
            </w:r>
            <w:r w:rsidR="00AB3481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-</w:t>
            </w:r>
            <w:r w:rsidRPr="005051DC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of</w:t>
            </w:r>
            <w:r w:rsidR="00AB3481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-</w:t>
            </w:r>
            <w:r w:rsidRPr="005051DC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bias g</w:t>
            </w:r>
            <w:r w:rsidR="00260829" w:rsidRPr="005051DC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rade</w:t>
            </w:r>
          </w:p>
        </w:tc>
      </w:tr>
      <w:tr w:rsidR="00786DC4" w:rsidRPr="005051DC" w14:paraId="6735CD8F" w14:textId="4D2594BD" w:rsidTr="00786DC4">
        <w:trPr>
          <w:cantSplit/>
          <w:trHeight w:val="3328"/>
        </w:trPr>
        <w:tc>
          <w:tcPr>
            <w:tcW w:w="1174" w:type="pct"/>
            <w:vMerge/>
            <w:tcBorders>
              <w:tl2br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0C6864C" w14:textId="77777777" w:rsidR="00260829" w:rsidRPr="005051DC" w:rsidRDefault="00260829" w:rsidP="005222A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5" w:type="pct"/>
            <w:tcMar>
              <w:left w:w="105" w:type="dxa"/>
              <w:right w:w="105" w:type="dxa"/>
            </w:tcMar>
            <w:textDirection w:val="btLr"/>
            <w:vAlign w:val="center"/>
          </w:tcPr>
          <w:p w14:paraId="1B1AF498" w14:textId="77777777" w:rsidR="00260829" w:rsidRPr="005051DC" w:rsidRDefault="00260829" w:rsidP="005222AD">
            <w:pPr>
              <w:ind w:left="113" w:right="113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5051DC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Representativeness of the exposed cohort</w:t>
            </w:r>
          </w:p>
        </w:tc>
        <w:tc>
          <w:tcPr>
            <w:tcW w:w="393" w:type="pct"/>
            <w:tcMar>
              <w:left w:w="105" w:type="dxa"/>
              <w:right w:w="105" w:type="dxa"/>
            </w:tcMar>
            <w:textDirection w:val="btLr"/>
            <w:vAlign w:val="center"/>
          </w:tcPr>
          <w:p w14:paraId="74261CAB" w14:textId="77777777" w:rsidR="00260829" w:rsidRPr="005051DC" w:rsidRDefault="00260829" w:rsidP="005222AD">
            <w:pPr>
              <w:ind w:left="113" w:right="113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5051DC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Selection of the non-exposed cohort</w:t>
            </w:r>
          </w:p>
        </w:tc>
        <w:tc>
          <w:tcPr>
            <w:tcW w:w="393" w:type="pct"/>
            <w:tcMar>
              <w:left w:w="105" w:type="dxa"/>
              <w:right w:w="105" w:type="dxa"/>
            </w:tcMar>
            <w:textDirection w:val="btLr"/>
            <w:vAlign w:val="center"/>
          </w:tcPr>
          <w:p w14:paraId="7526C7D3" w14:textId="77777777" w:rsidR="00260829" w:rsidRPr="005051DC" w:rsidRDefault="00260829" w:rsidP="005222AD">
            <w:pPr>
              <w:ind w:left="113" w:right="113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5051DC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Ascertainment of exposure</w:t>
            </w:r>
          </w:p>
        </w:tc>
        <w:tc>
          <w:tcPr>
            <w:tcW w:w="473" w:type="pct"/>
            <w:tcMar>
              <w:left w:w="105" w:type="dxa"/>
              <w:right w:w="105" w:type="dxa"/>
            </w:tcMar>
            <w:textDirection w:val="btLr"/>
            <w:vAlign w:val="center"/>
          </w:tcPr>
          <w:p w14:paraId="6BCCE5A8" w14:textId="77777777" w:rsidR="00260829" w:rsidRPr="005051DC" w:rsidRDefault="00260829" w:rsidP="005222AD">
            <w:pPr>
              <w:ind w:left="113" w:right="113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5051DC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Demonstration that outcome of interest was not present at start of study  </w:t>
            </w:r>
          </w:p>
        </w:tc>
        <w:tc>
          <w:tcPr>
            <w:tcW w:w="393" w:type="pct"/>
            <w:tcMar>
              <w:left w:w="105" w:type="dxa"/>
              <w:right w:w="105" w:type="dxa"/>
            </w:tcMar>
            <w:textDirection w:val="btLr"/>
            <w:vAlign w:val="center"/>
          </w:tcPr>
          <w:p w14:paraId="2E934F8D" w14:textId="77777777" w:rsidR="00260829" w:rsidRPr="005051DC" w:rsidRDefault="00260829" w:rsidP="005222AD">
            <w:pPr>
              <w:ind w:left="113" w:right="113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5051DC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Assessment of the outcome</w:t>
            </w:r>
          </w:p>
        </w:tc>
        <w:tc>
          <w:tcPr>
            <w:tcW w:w="393" w:type="pct"/>
            <w:tcMar>
              <w:left w:w="105" w:type="dxa"/>
              <w:right w:w="105" w:type="dxa"/>
            </w:tcMar>
            <w:textDirection w:val="btLr"/>
            <w:vAlign w:val="center"/>
          </w:tcPr>
          <w:p w14:paraId="645F8EE4" w14:textId="77777777" w:rsidR="00260829" w:rsidRPr="005051DC" w:rsidRDefault="00260829" w:rsidP="005222AD">
            <w:pPr>
              <w:ind w:left="113" w:right="113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5051DC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Was follow-up long enough for outcomes to occur  </w:t>
            </w:r>
          </w:p>
        </w:tc>
        <w:tc>
          <w:tcPr>
            <w:tcW w:w="394" w:type="pct"/>
            <w:tcMar>
              <w:left w:w="105" w:type="dxa"/>
              <w:right w:w="105" w:type="dxa"/>
            </w:tcMar>
            <w:textDirection w:val="btLr"/>
            <w:vAlign w:val="center"/>
          </w:tcPr>
          <w:p w14:paraId="40F9A349" w14:textId="77777777" w:rsidR="00260829" w:rsidRPr="005051DC" w:rsidRDefault="00260829" w:rsidP="005222AD">
            <w:pPr>
              <w:ind w:left="113" w:right="113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5051DC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Adequacy of follow up of cohorts</w:t>
            </w:r>
          </w:p>
        </w:tc>
        <w:tc>
          <w:tcPr>
            <w:tcW w:w="393" w:type="pct"/>
            <w:vMerge/>
            <w:vAlign w:val="center"/>
          </w:tcPr>
          <w:p w14:paraId="43F9F4EC" w14:textId="77777777" w:rsidR="00260829" w:rsidRPr="005051DC" w:rsidRDefault="00260829" w:rsidP="005222A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9" w:type="pct"/>
            <w:vMerge/>
            <w:vAlign w:val="center"/>
          </w:tcPr>
          <w:p w14:paraId="35C7E6E9" w14:textId="77777777" w:rsidR="00260829" w:rsidRPr="005051DC" w:rsidRDefault="00260829" w:rsidP="00260829">
            <w:pPr>
              <w:rPr>
                <w:rFonts w:cs="Arial"/>
                <w:sz w:val="18"/>
                <w:szCs w:val="18"/>
              </w:rPr>
            </w:pPr>
          </w:p>
        </w:tc>
      </w:tr>
      <w:tr w:rsidR="00167B2B" w:rsidRPr="005051DC" w14:paraId="22ECDEFC" w14:textId="2A50D426" w:rsidTr="00786DC4">
        <w:trPr>
          <w:trHeight w:val="491"/>
        </w:trPr>
        <w:tc>
          <w:tcPr>
            <w:tcW w:w="1174" w:type="pct"/>
            <w:tcBorders>
              <w:top w:val="single" w:sz="4" w:space="0" w:color="000000" w:themeColor="text1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161BE043" w14:textId="77777777" w:rsidR="00260829" w:rsidRPr="005051DC" w:rsidRDefault="00260829" w:rsidP="005222AD">
            <w:pPr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Burke et al., 2022</w:t>
            </w:r>
          </w:p>
        </w:tc>
        <w:tc>
          <w:tcPr>
            <w:tcW w:w="395" w:type="pct"/>
            <w:tcMar>
              <w:left w:w="105" w:type="dxa"/>
              <w:right w:w="105" w:type="dxa"/>
            </w:tcMar>
            <w:vAlign w:val="center"/>
          </w:tcPr>
          <w:p w14:paraId="467720BD" w14:textId="77777777" w:rsidR="00260829" w:rsidRPr="005051DC" w:rsidRDefault="00260829" w:rsidP="008A4155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-</w:t>
            </w:r>
          </w:p>
        </w:tc>
        <w:tc>
          <w:tcPr>
            <w:tcW w:w="393" w:type="pct"/>
            <w:tcMar>
              <w:left w:w="105" w:type="dxa"/>
              <w:right w:w="105" w:type="dxa"/>
            </w:tcMar>
            <w:vAlign w:val="center"/>
          </w:tcPr>
          <w:p w14:paraId="632FC78D" w14:textId="77777777" w:rsidR="00260829" w:rsidRPr="005051DC" w:rsidRDefault="00260829" w:rsidP="008A4155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-</w:t>
            </w:r>
          </w:p>
        </w:tc>
        <w:tc>
          <w:tcPr>
            <w:tcW w:w="393" w:type="pct"/>
            <w:tcMar>
              <w:left w:w="105" w:type="dxa"/>
              <w:right w:w="105" w:type="dxa"/>
            </w:tcMar>
            <w:vAlign w:val="center"/>
          </w:tcPr>
          <w:p w14:paraId="3B0764B5" w14:textId="77777777" w:rsidR="00260829" w:rsidRPr="005051DC" w:rsidRDefault="00260829" w:rsidP="008A4155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*</w:t>
            </w:r>
          </w:p>
        </w:tc>
        <w:tc>
          <w:tcPr>
            <w:tcW w:w="473" w:type="pct"/>
            <w:tcMar>
              <w:left w:w="105" w:type="dxa"/>
              <w:right w:w="105" w:type="dxa"/>
            </w:tcMar>
            <w:vAlign w:val="center"/>
          </w:tcPr>
          <w:p w14:paraId="25AF5098" w14:textId="77777777" w:rsidR="00260829" w:rsidRPr="005051DC" w:rsidRDefault="00260829" w:rsidP="008A4155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*</w:t>
            </w:r>
          </w:p>
        </w:tc>
        <w:tc>
          <w:tcPr>
            <w:tcW w:w="393" w:type="pct"/>
            <w:tcMar>
              <w:left w:w="105" w:type="dxa"/>
              <w:right w:w="105" w:type="dxa"/>
            </w:tcMar>
            <w:vAlign w:val="center"/>
          </w:tcPr>
          <w:p w14:paraId="51B38CB8" w14:textId="77777777" w:rsidR="00260829" w:rsidRPr="005051DC" w:rsidRDefault="00260829" w:rsidP="008A4155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-</w:t>
            </w:r>
          </w:p>
        </w:tc>
        <w:tc>
          <w:tcPr>
            <w:tcW w:w="393" w:type="pct"/>
            <w:tcMar>
              <w:left w:w="105" w:type="dxa"/>
              <w:right w:w="105" w:type="dxa"/>
            </w:tcMar>
            <w:vAlign w:val="center"/>
          </w:tcPr>
          <w:p w14:paraId="702A3CD7" w14:textId="77777777" w:rsidR="00260829" w:rsidRPr="005051DC" w:rsidRDefault="00260829" w:rsidP="008A4155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*</w:t>
            </w:r>
          </w:p>
        </w:tc>
        <w:tc>
          <w:tcPr>
            <w:tcW w:w="394" w:type="pct"/>
            <w:tcMar>
              <w:left w:w="105" w:type="dxa"/>
              <w:right w:w="105" w:type="dxa"/>
            </w:tcMar>
            <w:vAlign w:val="center"/>
          </w:tcPr>
          <w:p w14:paraId="1F6D07AF" w14:textId="77777777" w:rsidR="00260829" w:rsidRPr="005051DC" w:rsidRDefault="00260829" w:rsidP="008A4155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-</w:t>
            </w:r>
          </w:p>
        </w:tc>
        <w:tc>
          <w:tcPr>
            <w:tcW w:w="393" w:type="pct"/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4CC768D" w14:textId="77777777" w:rsidR="00260829" w:rsidRPr="005051DC" w:rsidRDefault="00260829" w:rsidP="008A4155">
            <w:pPr>
              <w:jc w:val="center"/>
              <w:rPr>
                <w:rFonts w:eastAsia="Arial" w:cs="Arial"/>
                <w:b/>
                <w:color w:val="000000" w:themeColor="text1"/>
                <w:sz w:val="18"/>
                <w:szCs w:val="18"/>
                <w:lang w:val="en-GB"/>
              </w:rPr>
            </w:pPr>
            <w:r w:rsidRPr="005051DC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3</w:t>
            </w:r>
          </w:p>
        </w:tc>
        <w:tc>
          <w:tcPr>
            <w:tcW w:w="599" w:type="pct"/>
            <w:shd w:val="clear" w:color="auto" w:fill="E7E6E6" w:themeFill="background2"/>
            <w:vAlign w:val="center"/>
          </w:tcPr>
          <w:p w14:paraId="79E777F7" w14:textId="6B3B27D2" w:rsidR="00260829" w:rsidRPr="005051DC" w:rsidRDefault="000E4BB3" w:rsidP="008A4155">
            <w:pPr>
              <w:jc w:val="center"/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051DC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High</w:t>
            </w:r>
          </w:p>
        </w:tc>
      </w:tr>
      <w:tr w:rsidR="00167B2B" w:rsidRPr="005051DC" w14:paraId="6C2AF9E2" w14:textId="2EBDB17E" w:rsidTr="00786DC4">
        <w:trPr>
          <w:trHeight w:val="324"/>
        </w:trPr>
        <w:tc>
          <w:tcPr>
            <w:tcW w:w="1174" w:type="pct"/>
            <w:tcBorders>
              <w:bottom w:val="single" w:sz="4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4332244" w14:textId="4FC8BB38" w:rsidR="00167B2B" w:rsidRPr="005051DC" w:rsidRDefault="00167B2B" w:rsidP="00167B2B">
            <w:pPr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Fusar-Poli et al., 2017</w:t>
            </w:r>
          </w:p>
        </w:tc>
        <w:tc>
          <w:tcPr>
            <w:tcW w:w="395" w:type="pct"/>
            <w:tcMar>
              <w:left w:w="105" w:type="dxa"/>
              <w:right w:w="105" w:type="dxa"/>
            </w:tcMar>
            <w:vAlign w:val="center"/>
          </w:tcPr>
          <w:p w14:paraId="68B677CC" w14:textId="77777777" w:rsidR="00167B2B" w:rsidRPr="005051DC" w:rsidRDefault="00167B2B" w:rsidP="008A4155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-</w:t>
            </w:r>
          </w:p>
        </w:tc>
        <w:tc>
          <w:tcPr>
            <w:tcW w:w="393" w:type="pct"/>
            <w:tcMar>
              <w:left w:w="105" w:type="dxa"/>
              <w:right w:w="105" w:type="dxa"/>
            </w:tcMar>
            <w:vAlign w:val="center"/>
          </w:tcPr>
          <w:p w14:paraId="3B1EB8EF" w14:textId="77777777" w:rsidR="00167B2B" w:rsidRPr="005051DC" w:rsidRDefault="00167B2B" w:rsidP="008A4155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-</w:t>
            </w:r>
          </w:p>
        </w:tc>
        <w:tc>
          <w:tcPr>
            <w:tcW w:w="393" w:type="pct"/>
            <w:tcMar>
              <w:left w:w="105" w:type="dxa"/>
              <w:right w:w="105" w:type="dxa"/>
            </w:tcMar>
            <w:vAlign w:val="center"/>
          </w:tcPr>
          <w:p w14:paraId="24A96AEA" w14:textId="77777777" w:rsidR="00167B2B" w:rsidRPr="005051DC" w:rsidRDefault="00167B2B" w:rsidP="008A4155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*</w:t>
            </w:r>
          </w:p>
        </w:tc>
        <w:tc>
          <w:tcPr>
            <w:tcW w:w="473" w:type="pct"/>
            <w:tcMar>
              <w:left w:w="105" w:type="dxa"/>
              <w:right w:w="105" w:type="dxa"/>
            </w:tcMar>
            <w:vAlign w:val="center"/>
          </w:tcPr>
          <w:p w14:paraId="12774E6E" w14:textId="77777777" w:rsidR="00167B2B" w:rsidRPr="005051DC" w:rsidRDefault="00167B2B" w:rsidP="008A4155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*</w:t>
            </w:r>
          </w:p>
        </w:tc>
        <w:tc>
          <w:tcPr>
            <w:tcW w:w="393" w:type="pct"/>
            <w:tcMar>
              <w:left w:w="105" w:type="dxa"/>
              <w:right w:w="105" w:type="dxa"/>
            </w:tcMar>
            <w:vAlign w:val="center"/>
          </w:tcPr>
          <w:p w14:paraId="06088704" w14:textId="77777777" w:rsidR="00167B2B" w:rsidRPr="005051DC" w:rsidRDefault="00167B2B" w:rsidP="008A4155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-</w:t>
            </w:r>
          </w:p>
        </w:tc>
        <w:tc>
          <w:tcPr>
            <w:tcW w:w="393" w:type="pct"/>
            <w:tcMar>
              <w:left w:w="105" w:type="dxa"/>
              <w:right w:w="105" w:type="dxa"/>
            </w:tcMar>
            <w:vAlign w:val="center"/>
          </w:tcPr>
          <w:p w14:paraId="103048A6" w14:textId="77777777" w:rsidR="00167B2B" w:rsidRPr="005051DC" w:rsidRDefault="00167B2B" w:rsidP="008A4155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*</w:t>
            </w:r>
          </w:p>
        </w:tc>
        <w:tc>
          <w:tcPr>
            <w:tcW w:w="394" w:type="pct"/>
            <w:tcMar>
              <w:left w:w="105" w:type="dxa"/>
              <w:right w:w="105" w:type="dxa"/>
            </w:tcMar>
            <w:vAlign w:val="center"/>
          </w:tcPr>
          <w:p w14:paraId="275FB184" w14:textId="77777777" w:rsidR="00167B2B" w:rsidRPr="005051DC" w:rsidRDefault="00167B2B" w:rsidP="008A4155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-</w:t>
            </w:r>
          </w:p>
        </w:tc>
        <w:tc>
          <w:tcPr>
            <w:tcW w:w="393" w:type="pct"/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1D29EB0C" w14:textId="77777777" w:rsidR="00167B2B" w:rsidRPr="005051DC" w:rsidRDefault="00167B2B" w:rsidP="008A4155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5051DC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3</w:t>
            </w:r>
          </w:p>
        </w:tc>
        <w:tc>
          <w:tcPr>
            <w:tcW w:w="599" w:type="pct"/>
            <w:shd w:val="clear" w:color="auto" w:fill="E7E6E6" w:themeFill="background2"/>
            <w:vAlign w:val="center"/>
          </w:tcPr>
          <w:p w14:paraId="3E4EF295" w14:textId="43BA4C68" w:rsidR="00167B2B" w:rsidRPr="005051DC" w:rsidRDefault="00167B2B" w:rsidP="008A4155">
            <w:pPr>
              <w:jc w:val="center"/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5051DC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High</w:t>
            </w:r>
          </w:p>
        </w:tc>
      </w:tr>
      <w:tr w:rsidR="00167B2B" w:rsidRPr="005051DC" w14:paraId="71200F67" w14:textId="7835F320" w:rsidTr="00786DC4">
        <w:trPr>
          <w:trHeight w:val="509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7C13ABA" w14:textId="77777777" w:rsidR="00260829" w:rsidRPr="005051DC" w:rsidRDefault="00260829" w:rsidP="005222AD">
            <w:pPr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Sullivan et al., 2020</w:t>
            </w:r>
          </w:p>
        </w:tc>
        <w:tc>
          <w:tcPr>
            <w:tcW w:w="395" w:type="pct"/>
            <w:tcBorders>
              <w:left w:val="single" w:sz="4" w:space="0" w:color="auto"/>
              <w:bottom w:val="doub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AF6D380" w14:textId="77777777" w:rsidR="00260829" w:rsidRPr="005051DC" w:rsidRDefault="00260829" w:rsidP="008A4155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-</w:t>
            </w:r>
          </w:p>
        </w:tc>
        <w:tc>
          <w:tcPr>
            <w:tcW w:w="393" w:type="pct"/>
            <w:tcBorders>
              <w:bottom w:val="doub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A1CBED9" w14:textId="77777777" w:rsidR="00260829" w:rsidRPr="005051DC" w:rsidRDefault="00260829" w:rsidP="008A4155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*</w:t>
            </w:r>
          </w:p>
        </w:tc>
        <w:tc>
          <w:tcPr>
            <w:tcW w:w="393" w:type="pct"/>
            <w:tcBorders>
              <w:bottom w:val="doub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D27382" w14:textId="77777777" w:rsidR="00260829" w:rsidRPr="005051DC" w:rsidRDefault="00260829" w:rsidP="008A4155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*</w:t>
            </w:r>
          </w:p>
        </w:tc>
        <w:tc>
          <w:tcPr>
            <w:tcW w:w="473" w:type="pct"/>
            <w:tcBorders>
              <w:bottom w:val="doub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3A6128C" w14:textId="77777777" w:rsidR="00260829" w:rsidRPr="005051DC" w:rsidRDefault="00260829" w:rsidP="008A4155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*</w:t>
            </w:r>
          </w:p>
        </w:tc>
        <w:tc>
          <w:tcPr>
            <w:tcW w:w="393" w:type="pct"/>
            <w:tcBorders>
              <w:bottom w:val="doub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5227A45" w14:textId="77777777" w:rsidR="00260829" w:rsidRPr="005051DC" w:rsidRDefault="00260829" w:rsidP="008A4155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*</w:t>
            </w:r>
          </w:p>
        </w:tc>
        <w:tc>
          <w:tcPr>
            <w:tcW w:w="393" w:type="pct"/>
            <w:tcBorders>
              <w:bottom w:val="doub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6B99B1B" w14:textId="77777777" w:rsidR="00260829" w:rsidRPr="005051DC" w:rsidRDefault="00260829" w:rsidP="008A4155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*</w:t>
            </w:r>
          </w:p>
        </w:tc>
        <w:tc>
          <w:tcPr>
            <w:tcW w:w="394" w:type="pct"/>
            <w:tcBorders>
              <w:bottom w:val="doub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9804654" w14:textId="77777777" w:rsidR="00260829" w:rsidRPr="005051DC" w:rsidRDefault="00260829" w:rsidP="008A4155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-</w:t>
            </w:r>
          </w:p>
        </w:tc>
        <w:tc>
          <w:tcPr>
            <w:tcW w:w="393" w:type="pct"/>
            <w:tcBorders>
              <w:bottom w:val="double" w:sz="4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916F775" w14:textId="77777777" w:rsidR="00260829" w:rsidRPr="005051DC" w:rsidRDefault="00260829" w:rsidP="008A4155">
            <w:pPr>
              <w:jc w:val="center"/>
              <w:rPr>
                <w:rFonts w:eastAsia="Arial" w:cs="Arial"/>
                <w:b/>
                <w:color w:val="000000" w:themeColor="text1"/>
                <w:sz w:val="18"/>
                <w:szCs w:val="18"/>
                <w:lang w:val="en-GB"/>
              </w:rPr>
            </w:pPr>
            <w:r w:rsidRPr="005051DC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5</w:t>
            </w:r>
          </w:p>
        </w:tc>
        <w:tc>
          <w:tcPr>
            <w:tcW w:w="599" w:type="pct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48BD0B56" w14:textId="18595D84" w:rsidR="00260829" w:rsidRPr="005051DC" w:rsidRDefault="008A4155" w:rsidP="008A4155">
            <w:pPr>
              <w:jc w:val="center"/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Low</w:t>
            </w:r>
          </w:p>
        </w:tc>
      </w:tr>
      <w:tr w:rsidR="004D1E4E" w:rsidRPr="005051DC" w14:paraId="62AADDB6" w14:textId="11C74F5C" w:rsidTr="00786DC4">
        <w:trPr>
          <w:trHeight w:val="324"/>
        </w:trPr>
        <w:tc>
          <w:tcPr>
            <w:tcW w:w="1174" w:type="pct"/>
            <w:tcBorders>
              <w:top w:val="double" w:sz="4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5FBE2B1" w14:textId="77777777" w:rsidR="004D1E4E" w:rsidRPr="005051DC" w:rsidRDefault="004D1E4E" w:rsidP="004D1E4E">
            <w:pPr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Blomström et al., 2016</w:t>
            </w:r>
          </w:p>
        </w:tc>
        <w:tc>
          <w:tcPr>
            <w:tcW w:w="395" w:type="pct"/>
            <w:tcBorders>
              <w:top w:val="doub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B349F4E" w14:textId="77777777" w:rsidR="004D1E4E" w:rsidRPr="005051DC" w:rsidRDefault="004D1E4E" w:rsidP="004D1E4E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*</w:t>
            </w:r>
          </w:p>
        </w:tc>
        <w:tc>
          <w:tcPr>
            <w:tcW w:w="393" w:type="pct"/>
            <w:tcBorders>
              <w:top w:val="doub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CD048AF" w14:textId="77777777" w:rsidR="004D1E4E" w:rsidRPr="005051DC" w:rsidRDefault="004D1E4E" w:rsidP="004D1E4E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*</w:t>
            </w:r>
          </w:p>
        </w:tc>
        <w:tc>
          <w:tcPr>
            <w:tcW w:w="393" w:type="pct"/>
            <w:tcBorders>
              <w:top w:val="doub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D8110C8" w14:textId="77777777" w:rsidR="004D1E4E" w:rsidRPr="005051DC" w:rsidRDefault="004D1E4E" w:rsidP="004D1E4E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*</w:t>
            </w:r>
          </w:p>
        </w:tc>
        <w:tc>
          <w:tcPr>
            <w:tcW w:w="473" w:type="pct"/>
            <w:tcBorders>
              <w:top w:val="doub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6D8CC4" w14:textId="77777777" w:rsidR="004D1E4E" w:rsidRPr="005051DC" w:rsidRDefault="004D1E4E" w:rsidP="004D1E4E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-</w:t>
            </w:r>
          </w:p>
        </w:tc>
        <w:tc>
          <w:tcPr>
            <w:tcW w:w="393" w:type="pct"/>
            <w:tcBorders>
              <w:top w:val="doub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4BE1950" w14:textId="77777777" w:rsidR="004D1E4E" w:rsidRPr="005051DC" w:rsidRDefault="004D1E4E" w:rsidP="004D1E4E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*</w:t>
            </w:r>
          </w:p>
        </w:tc>
        <w:tc>
          <w:tcPr>
            <w:tcW w:w="393" w:type="pct"/>
            <w:tcBorders>
              <w:top w:val="doub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DDF14C" w14:textId="77777777" w:rsidR="004D1E4E" w:rsidRPr="005051DC" w:rsidRDefault="004D1E4E" w:rsidP="004D1E4E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*</w:t>
            </w:r>
          </w:p>
        </w:tc>
        <w:tc>
          <w:tcPr>
            <w:tcW w:w="394" w:type="pct"/>
            <w:tcBorders>
              <w:top w:val="doub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C7EC548" w14:textId="77777777" w:rsidR="004D1E4E" w:rsidRPr="005051DC" w:rsidRDefault="004D1E4E" w:rsidP="004D1E4E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*</w:t>
            </w:r>
          </w:p>
        </w:tc>
        <w:tc>
          <w:tcPr>
            <w:tcW w:w="393" w:type="pct"/>
            <w:tcBorders>
              <w:top w:val="double" w:sz="4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663185F" w14:textId="77777777" w:rsidR="004D1E4E" w:rsidRPr="005051DC" w:rsidRDefault="004D1E4E" w:rsidP="004D1E4E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5051DC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6</w:t>
            </w:r>
          </w:p>
        </w:tc>
        <w:tc>
          <w:tcPr>
            <w:tcW w:w="599" w:type="pct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263C2915" w14:textId="003C6557" w:rsidR="004D1E4E" w:rsidRPr="005051DC" w:rsidRDefault="004D1E4E" w:rsidP="004D1E4E">
            <w:pPr>
              <w:jc w:val="center"/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Low</w:t>
            </w:r>
          </w:p>
        </w:tc>
      </w:tr>
      <w:tr w:rsidR="004D1E4E" w:rsidRPr="005051DC" w14:paraId="32EC2E61" w14:textId="313758CB" w:rsidTr="00786DC4">
        <w:trPr>
          <w:trHeight w:val="324"/>
        </w:trPr>
        <w:tc>
          <w:tcPr>
            <w:tcW w:w="1174" w:type="pct"/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00869DB" w14:textId="77777777" w:rsidR="004D1E4E" w:rsidRPr="005051DC" w:rsidRDefault="004D1E4E" w:rsidP="004D1E4E">
            <w:pPr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Debost et al., 2019</w:t>
            </w:r>
          </w:p>
        </w:tc>
        <w:tc>
          <w:tcPr>
            <w:tcW w:w="395" w:type="pct"/>
            <w:tcMar>
              <w:left w:w="105" w:type="dxa"/>
              <w:right w:w="105" w:type="dxa"/>
            </w:tcMar>
            <w:vAlign w:val="center"/>
          </w:tcPr>
          <w:p w14:paraId="6DD1CF1F" w14:textId="77777777" w:rsidR="004D1E4E" w:rsidRPr="005051DC" w:rsidRDefault="004D1E4E" w:rsidP="004D1E4E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*</w:t>
            </w:r>
          </w:p>
        </w:tc>
        <w:tc>
          <w:tcPr>
            <w:tcW w:w="393" w:type="pct"/>
            <w:tcMar>
              <w:left w:w="105" w:type="dxa"/>
              <w:right w:w="105" w:type="dxa"/>
            </w:tcMar>
            <w:vAlign w:val="center"/>
          </w:tcPr>
          <w:p w14:paraId="2503CCED" w14:textId="77777777" w:rsidR="004D1E4E" w:rsidRPr="005051DC" w:rsidRDefault="004D1E4E" w:rsidP="004D1E4E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*</w:t>
            </w:r>
          </w:p>
        </w:tc>
        <w:tc>
          <w:tcPr>
            <w:tcW w:w="393" w:type="pct"/>
            <w:tcMar>
              <w:left w:w="105" w:type="dxa"/>
              <w:right w:w="105" w:type="dxa"/>
            </w:tcMar>
            <w:vAlign w:val="center"/>
          </w:tcPr>
          <w:p w14:paraId="1DD972E5" w14:textId="77777777" w:rsidR="004D1E4E" w:rsidRPr="005051DC" w:rsidRDefault="004D1E4E" w:rsidP="004D1E4E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*</w:t>
            </w:r>
          </w:p>
        </w:tc>
        <w:tc>
          <w:tcPr>
            <w:tcW w:w="473" w:type="pct"/>
            <w:tcMar>
              <w:left w:w="105" w:type="dxa"/>
              <w:right w:w="105" w:type="dxa"/>
            </w:tcMar>
            <w:vAlign w:val="center"/>
          </w:tcPr>
          <w:p w14:paraId="3A198A04" w14:textId="77777777" w:rsidR="004D1E4E" w:rsidRPr="005051DC" w:rsidRDefault="004D1E4E" w:rsidP="004D1E4E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*</w:t>
            </w:r>
          </w:p>
        </w:tc>
        <w:tc>
          <w:tcPr>
            <w:tcW w:w="393" w:type="pct"/>
            <w:tcMar>
              <w:left w:w="105" w:type="dxa"/>
              <w:right w:w="105" w:type="dxa"/>
            </w:tcMar>
            <w:vAlign w:val="center"/>
          </w:tcPr>
          <w:p w14:paraId="00D09898" w14:textId="77777777" w:rsidR="004D1E4E" w:rsidRPr="005051DC" w:rsidRDefault="004D1E4E" w:rsidP="004D1E4E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*</w:t>
            </w:r>
          </w:p>
        </w:tc>
        <w:tc>
          <w:tcPr>
            <w:tcW w:w="393" w:type="pct"/>
            <w:tcMar>
              <w:left w:w="105" w:type="dxa"/>
              <w:right w:w="105" w:type="dxa"/>
            </w:tcMar>
            <w:vAlign w:val="center"/>
          </w:tcPr>
          <w:p w14:paraId="5D7AAA3A" w14:textId="77777777" w:rsidR="004D1E4E" w:rsidRPr="005051DC" w:rsidRDefault="004D1E4E" w:rsidP="004D1E4E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*</w:t>
            </w:r>
          </w:p>
        </w:tc>
        <w:tc>
          <w:tcPr>
            <w:tcW w:w="394" w:type="pct"/>
            <w:tcMar>
              <w:left w:w="105" w:type="dxa"/>
              <w:right w:w="105" w:type="dxa"/>
            </w:tcMar>
            <w:vAlign w:val="center"/>
          </w:tcPr>
          <w:p w14:paraId="45E156F3" w14:textId="77777777" w:rsidR="004D1E4E" w:rsidRPr="005051DC" w:rsidRDefault="004D1E4E" w:rsidP="004D1E4E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*</w:t>
            </w:r>
          </w:p>
        </w:tc>
        <w:tc>
          <w:tcPr>
            <w:tcW w:w="393" w:type="pct"/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0D19273" w14:textId="77777777" w:rsidR="004D1E4E" w:rsidRPr="005051DC" w:rsidRDefault="004D1E4E" w:rsidP="004D1E4E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5051DC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7</w:t>
            </w:r>
          </w:p>
        </w:tc>
        <w:tc>
          <w:tcPr>
            <w:tcW w:w="599" w:type="pct"/>
            <w:shd w:val="clear" w:color="auto" w:fill="E7E6E6" w:themeFill="background2"/>
            <w:vAlign w:val="center"/>
          </w:tcPr>
          <w:p w14:paraId="335624A3" w14:textId="28085A61" w:rsidR="004D1E4E" w:rsidRPr="005051DC" w:rsidRDefault="004D1E4E" w:rsidP="004D1E4E">
            <w:pPr>
              <w:jc w:val="center"/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Low</w:t>
            </w:r>
          </w:p>
        </w:tc>
      </w:tr>
      <w:tr w:rsidR="004D1E4E" w:rsidRPr="005051DC" w14:paraId="43D2BADA" w14:textId="37574C02" w:rsidTr="00786DC4">
        <w:trPr>
          <w:trHeight w:val="324"/>
        </w:trPr>
        <w:tc>
          <w:tcPr>
            <w:tcW w:w="1174" w:type="pct"/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9BC0898" w14:textId="77777777" w:rsidR="004D1E4E" w:rsidRPr="005051DC" w:rsidRDefault="004D1E4E" w:rsidP="004D1E4E">
            <w:pPr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Healy et al., 2024</w:t>
            </w:r>
          </w:p>
        </w:tc>
        <w:tc>
          <w:tcPr>
            <w:tcW w:w="395" w:type="pct"/>
            <w:tcMar>
              <w:left w:w="105" w:type="dxa"/>
              <w:right w:w="105" w:type="dxa"/>
            </w:tcMar>
            <w:vAlign w:val="center"/>
          </w:tcPr>
          <w:p w14:paraId="2DA28264" w14:textId="77777777" w:rsidR="004D1E4E" w:rsidRPr="005051DC" w:rsidRDefault="004D1E4E" w:rsidP="004D1E4E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*</w:t>
            </w:r>
          </w:p>
        </w:tc>
        <w:tc>
          <w:tcPr>
            <w:tcW w:w="393" w:type="pct"/>
            <w:tcMar>
              <w:left w:w="105" w:type="dxa"/>
              <w:right w:w="105" w:type="dxa"/>
            </w:tcMar>
            <w:vAlign w:val="center"/>
          </w:tcPr>
          <w:p w14:paraId="4E7101A1" w14:textId="77777777" w:rsidR="004D1E4E" w:rsidRPr="005051DC" w:rsidRDefault="004D1E4E" w:rsidP="004D1E4E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*</w:t>
            </w:r>
          </w:p>
        </w:tc>
        <w:tc>
          <w:tcPr>
            <w:tcW w:w="393" w:type="pct"/>
            <w:tcMar>
              <w:left w:w="105" w:type="dxa"/>
              <w:right w:w="105" w:type="dxa"/>
            </w:tcMar>
            <w:vAlign w:val="center"/>
          </w:tcPr>
          <w:p w14:paraId="60586C61" w14:textId="77777777" w:rsidR="004D1E4E" w:rsidRPr="005051DC" w:rsidRDefault="004D1E4E" w:rsidP="004D1E4E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*</w:t>
            </w:r>
          </w:p>
        </w:tc>
        <w:tc>
          <w:tcPr>
            <w:tcW w:w="473" w:type="pct"/>
            <w:tcMar>
              <w:left w:w="105" w:type="dxa"/>
              <w:right w:w="105" w:type="dxa"/>
            </w:tcMar>
            <w:vAlign w:val="center"/>
          </w:tcPr>
          <w:p w14:paraId="3B42BED9" w14:textId="77777777" w:rsidR="004D1E4E" w:rsidRPr="005051DC" w:rsidRDefault="004D1E4E" w:rsidP="004D1E4E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*</w:t>
            </w:r>
          </w:p>
        </w:tc>
        <w:tc>
          <w:tcPr>
            <w:tcW w:w="393" w:type="pct"/>
            <w:tcMar>
              <w:left w:w="105" w:type="dxa"/>
              <w:right w:w="105" w:type="dxa"/>
            </w:tcMar>
            <w:vAlign w:val="center"/>
          </w:tcPr>
          <w:p w14:paraId="0AA05D1B" w14:textId="77777777" w:rsidR="004D1E4E" w:rsidRPr="005051DC" w:rsidRDefault="004D1E4E" w:rsidP="004D1E4E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*</w:t>
            </w:r>
          </w:p>
        </w:tc>
        <w:tc>
          <w:tcPr>
            <w:tcW w:w="393" w:type="pct"/>
            <w:tcMar>
              <w:left w:w="105" w:type="dxa"/>
              <w:right w:w="105" w:type="dxa"/>
            </w:tcMar>
            <w:vAlign w:val="center"/>
          </w:tcPr>
          <w:p w14:paraId="45209938" w14:textId="77777777" w:rsidR="004D1E4E" w:rsidRPr="005051DC" w:rsidRDefault="004D1E4E" w:rsidP="004D1E4E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*</w:t>
            </w:r>
          </w:p>
        </w:tc>
        <w:tc>
          <w:tcPr>
            <w:tcW w:w="394" w:type="pct"/>
            <w:tcMar>
              <w:left w:w="105" w:type="dxa"/>
              <w:right w:w="105" w:type="dxa"/>
            </w:tcMar>
            <w:vAlign w:val="center"/>
          </w:tcPr>
          <w:p w14:paraId="0EA2CCF8" w14:textId="77777777" w:rsidR="004D1E4E" w:rsidRPr="005051DC" w:rsidRDefault="004D1E4E" w:rsidP="004D1E4E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*</w:t>
            </w:r>
          </w:p>
        </w:tc>
        <w:tc>
          <w:tcPr>
            <w:tcW w:w="393" w:type="pct"/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169DEE7C" w14:textId="77777777" w:rsidR="004D1E4E" w:rsidRPr="005051DC" w:rsidRDefault="004D1E4E" w:rsidP="004D1E4E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5051DC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7</w:t>
            </w:r>
          </w:p>
        </w:tc>
        <w:tc>
          <w:tcPr>
            <w:tcW w:w="599" w:type="pct"/>
            <w:shd w:val="clear" w:color="auto" w:fill="E7E6E6" w:themeFill="background2"/>
            <w:vAlign w:val="center"/>
          </w:tcPr>
          <w:p w14:paraId="2B0BCA49" w14:textId="6380064F" w:rsidR="004D1E4E" w:rsidRPr="005051DC" w:rsidRDefault="004D1E4E" w:rsidP="004D1E4E">
            <w:pPr>
              <w:jc w:val="center"/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Low</w:t>
            </w:r>
          </w:p>
        </w:tc>
      </w:tr>
      <w:tr w:rsidR="00167B2B" w:rsidRPr="005051DC" w14:paraId="32751E50" w14:textId="5AA09551" w:rsidTr="00786DC4">
        <w:trPr>
          <w:trHeight w:val="324"/>
        </w:trPr>
        <w:tc>
          <w:tcPr>
            <w:tcW w:w="1174" w:type="pct"/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65712B1" w14:textId="77777777" w:rsidR="00260829" w:rsidRPr="005051DC" w:rsidRDefault="00260829" w:rsidP="005222AD">
            <w:pPr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Veijola et al., 2013</w:t>
            </w:r>
          </w:p>
        </w:tc>
        <w:tc>
          <w:tcPr>
            <w:tcW w:w="395" w:type="pct"/>
            <w:tcMar>
              <w:left w:w="105" w:type="dxa"/>
              <w:right w:w="105" w:type="dxa"/>
            </w:tcMar>
            <w:vAlign w:val="center"/>
          </w:tcPr>
          <w:p w14:paraId="5574CD71" w14:textId="77777777" w:rsidR="00260829" w:rsidRPr="005051DC" w:rsidRDefault="00260829" w:rsidP="008A4155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-</w:t>
            </w:r>
          </w:p>
        </w:tc>
        <w:tc>
          <w:tcPr>
            <w:tcW w:w="393" w:type="pct"/>
            <w:tcMar>
              <w:left w:w="105" w:type="dxa"/>
              <w:right w:w="105" w:type="dxa"/>
            </w:tcMar>
            <w:vAlign w:val="center"/>
          </w:tcPr>
          <w:p w14:paraId="7CFA4A47" w14:textId="77777777" w:rsidR="00260829" w:rsidRPr="005051DC" w:rsidRDefault="00260829" w:rsidP="008A4155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*</w:t>
            </w:r>
          </w:p>
        </w:tc>
        <w:tc>
          <w:tcPr>
            <w:tcW w:w="393" w:type="pct"/>
            <w:tcMar>
              <w:left w:w="105" w:type="dxa"/>
              <w:right w:w="105" w:type="dxa"/>
            </w:tcMar>
            <w:vAlign w:val="center"/>
          </w:tcPr>
          <w:p w14:paraId="29008B04" w14:textId="77777777" w:rsidR="00260829" w:rsidRPr="005051DC" w:rsidRDefault="00260829" w:rsidP="008A4155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*</w:t>
            </w:r>
          </w:p>
        </w:tc>
        <w:tc>
          <w:tcPr>
            <w:tcW w:w="473" w:type="pct"/>
            <w:tcMar>
              <w:left w:w="105" w:type="dxa"/>
              <w:right w:w="105" w:type="dxa"/>
            </w:tcMar>
            <w:vAlign w:val="center"/>
          </w:tcPr>
          <w:p w14:paraId="14E1F0CC" w14:textId="77777777" w:rsidR="00260829" w:rsidRPr="005051DC" w:rsidRDefault="00260829" w:rsidP="008A4155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-</w:t>
            </w:r>
          </w:p>
        </w:tc>
        <w:tc>
          <w:tcPr>
            <w:tcW w:w="393" w:type="pct"/>
            <w:tcMar>
              <w:left w:w="105" w:type="dxa"/>
              <w:right w:w="105" w:type="dxa"/>
            </w:tcMar>
            <w:vAlign w:val="center"/>
          </w:tcPr>
          <w:p w14:paraId="3ADF7B81" w14:textId="77777777" w:rsidR="00260829" w:rsidRPr="005051DC" w:rsidRDefault="00260829" w:rsidP="008A4155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*</w:t>
            </w:r>
          </w:p>
        </w:tc>
        <w:tc>
          <w:tcPr>
            <w:tcW w:w="393" w:type="pct"/>
            <w:tcMar>
              <w:left w:w="105" w:type="dxa"/>
              <w:right w:w="105" w:type="dxa"/>
            </w:tcMar>
            <w:vAlign w:val="center"/>
          </w:tcPr>
          <w:p w14:paraId="2A91E2F3" w14:textId="77777777" w:rsidR="00260829" w:rsidRPr="005051DC" w:rsidRDefault="00260829" w:rsidP="008A4155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*</w:t>
            </w:r>
          </w:p>
        </w:tc>
        <w:tc>
          <w:tcPr>
            <w:tcW w:w="394" w:type="pct"/>
            <w:tcMar>
              <w:left w:w="105" w:type="dxa"/>
              <w:right w:w="105" w:type="dxa"/>
            </w:tcMar>
            <w:vAlign w:val="center"/>
          </w:tcPr>
          <w:p w14:paraId="39BC4B03" w14:textId="77777777" w:rsidR="00260829" w:rsidRPr="005051DC" w:rsidRDefault="00260829" w:rsidP="008A4155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</w:pPr>
            <w:r w:rsidRPr="005051DC">
              <w:rPr>
                <w:rFonts w:eastAsia="Arial" w:cs="Arial"/>
                <w:color w:val="000000" w:themeColor="text1"/>
                <w:sz w:val="18"/>
                <w:szCs w:val="18"/>
                <w:lang w:val="en-GB"/>
              </w:rPr>
              <w:t>-</w:t>
            </w:r>
          </w:p>
        </w:tc>
        <w:tc>
          <w:tcPr>
            <w:tcW w:w="393" w:type="pct"/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796778D" w14:textId="77777777" w:rsidR="00260829" w:rsidRPr="005051DC" w:rsidRDefault="00260829" w:rsidP="008A4155">
            <w:pPr>
              <w:jc w:val="center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005051DC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4</w:t>
            </w:r>
          </w:p>
        </w:tc>
        <w:tc>
          <w:tcPr>
            <w:tcW w:w="599" w:type="pct"/>
            <w:shd w:val="clear" w:color="auto" w:fill="E7E6E6" w:themeFill="background2"/>
            <w:vAlign w:val="center"/>
          </w:tcPr>
          <w:p w14:paraId="5D8D2515" w14:textId="4D5770B2" w:rsidR="00260829" w:rsidRPr="005051DC" w:rsidRDefault="00786DC4" w:rsidP="008A4155">
            <w:pPr>
              <w:jc w:val="center"/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Moderate</w:t>
            </w:r>
          </w:p>
        </w:tc>
      </w:tr>
    </w:tbl>
    <w:bookmarkEnd w:id="3"/>
    <w:p w14:paraId="29AB0D51" w14:textId="53ABCD9F" w:rsidR="00AB4F6E" w:rsidRDefault="00260829" w:rsidP="00167B2B">
      <w:pPr>
        <w:spacing w:after="0" w:line="240" w:lineRule="auto"/>
        <w:jc w:val="both"/>
        <w:rPr>
          <w:i/>
          <w:iCs/>
          <w:sz w:val="16"/>
          <w:szCs w:val="16"/>
        </w:rPr>
      </w:pPr>
      <w:r w:rsidRPr="005051DC">
        <w:rPr>
          <w:b/>
          <w:bCs/>
          <w:i/>
          <w:iCs/>
          <w:sz w:val="16"/>
          <w:szCs w:val="16"/>
        </w:rPr>
        <w:t>Note:</w:t>
      </w:r>
      <w:r w:rsidRPr="005051DC">
        <w:rPr>
          <w:i/>
          <w:iCs/>
          <w:sz w:val="16"/>
          <w:szCs w:val="16"/>
        </w:rPr>
        <w:t xml:space="preserve"> Modified Newcastle-Ottawa Quality Assessment Form for Cohort Studies; total scores represent total number of stars (*)</w:t>
      </w:r>
    </w:p>
    <w:p w14:paraId="25B32188" w14:textId="641A280F" w:rsidR="00952BF7" w:rsidRDefault="00952BF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br w:type="page"/>
      </w:r>
    </w:p>
    <w:p w14:paraId="4CA8A3EE" w14:textId="5A350EFF" w:rsidR="004430FD" w:rsidRDefault="004430FD" w:rsidP="007E4379">
      <w:pPr>
        <w:pStyle w:val="Heading2"/>
        <w:jc w:val="both"/>
      </w:pPr>
      <w:bookmarkStart w:id="4" w:name="_Toc179359165"/>
      <w:bookmarkStart w:id="5" w:name="_Toc179364069"/>
      <w:r>
        <w:lastRenderedPageBreak/>
        <w:t>Supplement</w:t>
      </w:r>
      <w:r w:rsidRPr="005A06EA">
        <w:t xml:space="preserve"> </w:t>
      </w:r>
      <w:r w:rsidR="00E2315C">
        <w:t>4</w:t>
      </w:r>
      <w:r w:rsidRPr="005A06EA">
        <w:t xml:space="preserve">: </w:t>
      </w:r>
      <w:r w:rsidR="00661AA8">
        <w:t>Sensitivity</w:t>
      </w:r>
      <w:r>
        <w:t xml:space="preserve"> of clinical high-risk </w:t>
      </w:r>
      <w:r w:rsidR="00661AA8">
        <w:t xml:space="preserve">approach based on </w:t>
      </w:r>
      <w:r w:rsidR="006E7EE0">
        <w:t>studies</w:t>
      </w:r>
      <w:r>
        <w:t xml:space="preserve"> involving ‘real world’ clinical high-risk services</w:t>
      </w:r>
      <w:bookmarkEnd w:id="4"/>
      <w:bookmarkEnd w:id="5"/>
    </w:p>
    <w:p w14:paraId="6783F707" w14:textId="1259222A" w:rsidR="004430FD" w:rsidRPr="000B4816" w:rsidRDefault="00E63713" w:rsidP="000B4816">
      <w:r w:rsidRPr="00E63713">
        <w:rPr>
          <w:noProof/>
        </w:rPr>
        <w:drawing>
          <wp:inline distT="0" distB="0" distL="0" distR="0" wp14:anchorId="36C2568E" wp14:editId="62426062">
            <wp:extent cx="5731510" cy="16592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30FD" w:rsidRPr="005A06EA">
        <w:rPr>
          <w:rFonts w:cs="Arial"/>
          <w:b/>
          <w:i/>
          <w:sz w:val="16"/>
          <w:szCs w:val="16"/>
        </w:rPr>
        <w:t>Note:</w:t>
      </w:r>
      <w:r w:rsidR="004430FD" w:rsidRPr="005A06EA">
        <w:rPr>
          <w:rFonts w:cs="Arial"/>
          <w:i/>
          <w:sz w:val="16"/>
          <w:szCs w:val="16"/>
        </w:rPr>
        <w:t xml:space="preserve"> Random Effects Sidik–Jonkman Model; θ: true sensitivity parameter</w:t>
      </w:r>
      <w:r w:rsidR="004430FD">
        <w:rPr>
          <w:rFonts w:cs="Arial"/>
          <w:i/>
          <w:iCs/>
          <w:sz w:val="16"/>
          <w:szCs w:val="16"/>
        </w:rPr>
        <w:t>; CHR = Clinical high-risk.</w:t>
      </w:r>
    </w:p>
    <w:p w14:paraId="7088E0F4" w14:textId="4EB99269" w:rsidR="00952BF7" w:rsidRDefault="00113AB7" w:rsidP="00113AB7">
      <w:pPr>
        <w:pStyle w:val="Heading2"/>
        <w:jc w:val="both"/>
      </w:pPr>
      <w:bookmarkStart w:id="6" w:name="_Toc179364070"/>
      <w:r>
        <w:t xml:space="preserve">Supplement </w:t>
      </w:r>
      <w:r w:rsidR="004F6281">
        <w:t>5</w:t>
      </w:r>
      <w:r>
        <w:t xml:space="preserve">: </w:t>
      </w:r>
      <w:r w:rsidR="007E4379">
        <w:t>Sensitivity of</w:t>
      </w:r>
      <w:r w:rsidR="00064943">
        <w:t xml:space="preserve"> </w:t>
      </w:r>
      <w:r w:rsidR="00614B8C">
        <w:t>familial high-risk</w:t>
      </w:r>
      <w:r w:rsidR="007E4379">
        <w:t xml:space="preserve"> approach based on</w:t>
      </w:r>
      <w:r w:rsidR="00614B8C">
        <w:t xml:space="preserve"> </w:t>
      </w:r>
      <w:r w:rsidR="00064943">
        <w:t>studies with a low risk of bias</w:t>
      </w:r>
      <w:bookmarkEnd w:id="6"/>
    </w:p>
    <w:p w14:paraId="5A7FB67E" w14:textId="3034CDC2" w:rsidR="00952BF7" w:rsidRPr="004361AB" w:rsidRDefault="004361AB" w:rsidP="004361AB">
      <w:r w:rsidRPr="004361AB">
        <w:rPr>
          <w:noProof/>
        </w:rPr>
        <w:drawing>
          <wp:inline distT="0" distB="0" distL="0" distR="0" wp14:anchorId="1250A4D7" wp14:editId="49E39015">
            <wp:extent cx="5731510" cy="169735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2BF7" w:rsidRPr="00340782">
        <w:rPr>
          <w:rFonts w:cs="Arial"/>
          <w:b/>
          <w:bCs/>
          <w:i/>
          <w:iCs/>
          <w:sz w:val="16"/>
          <w:szCs w:val="16"/>
        </w:rPr>
        <w:t>Note:</w:t>
      </w:r>
      <w:r w:rsidR="00952BF7" w:rsidRPr="00340782">
        <w:rPr>
          <w:rFonts w:cs="Arial"/>
          <w:i/>
          <w:iCs/>
          <w:sz w:val="16"/>
          <w:szCs w:val="16"/>
        </w:rPr>
        <w:t xml:space="preserve"> Random Effects Sidik–Jonkman Model; θ: true sensitivity parameter</w:t>
      </w:r>
      <w:r w:rsidR="00F42586">
        <w:rPr>
          <w:rFonts w:cs="Arial"/>
          <w:i/>
          <w:iCs/>
          <w:sz w:val="16"/>
          <w:szCs w:val="16"/>
        </w:rPr>
        <w:t>; FHR = familial high-risk</w:t>
      </w:r>
    </w:p>
    <w:sectPr w:rsidR="00952BF7" w:rsidRPr="004361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3EE23"/>
    <w:multiLevelType w:val="hybridMultilevel"/>
    <w:tmpl w:val="7A94E05E"/>
    <w:lvl w:ilvl="0" w:tplc="1C52F304">
      <w:start w:val="1"/>
      <w:numFmt w:val="decimal"/>
      <w:lvlText w:val="%1."/>
      <w:lvlJc w:val="left"/>
      <w:pPr>
        <w:ind w:left="720" w:hanging="360"/>
      </w:pPr>
    </w:lvl>
    <w:lvl w:ilvl="1" w:tplc="887A1396">
      <w:start w:val="1"/>
      <w:numFmt w:val="lowerLetter"/>
      <w:lvlText w:val="%2."/>
      <w:lvlJc w:val="left"/>
      <w:pPr>
        <w:ind w:left="1440" w:hanging="360"/>
      </w:pPr>
    </w:lvl>
    <w:lvl w:ilvl="2" w:tplc="D1CCF476">
      <w:start w:val="1"/>
      <w:numFmt w:val="lowerRoman"/>
      <w:lvlText w:val="%3."/>
      <w:lvlJc w:val="right"/>
      <w:pPr>
        <w:ind w:left="2160" w:hanging="180"/>
      </w:pPr>
    </w:lvl>
    <w:lvl w:ilvl="3" w:tplc="078A8AA8">
      <w:start w:val="1"/>
      <w:numFmt w:val="decimal"/>
      <w:lvlText w:val="%4."/>
      <w:lvlJc w:val="left"/>
      <w:pPr>
        <w:ind w:left="2880" w:hanging="360"/>
      </w:pPr>
    </w:lvl>
    <w:lvl w:ilvl="4" w:tplc="D3702120">
      <w:start w:val="1"/>
      <w:numFmt w:val="lowerLetter"/>
      <w:lvlText w:val="%5."/>
      <w:lvlJc w:val="left"/>
      <w:pPr>
        <w:ind w:left="3600" w:hanging="360"/>
      </w:pPr>
    </w:lvl>
    <w:lvl w:ilvl="5" w:tplc="3D0A125E">
      <w:start w:val="1"/>
      <w:numFmt w:val="lowerRoman"/>
      <w:lvlText w:val="%6."/>
      <w:lvlJc w:val="right"/>
      <w:pPr>
        <w:ind w:left="4320" w:hanging="180"/>
      </w:pPr>
    </w:lvl>
    <w:lvl w:ilvl="6" w:tplc="EC506344">
      <w:start w:val="1"/>
      <w:numFmt w:val="decimal"/>
      <w:lvlText w:val="%7."/>
      <w:lvlJc w:val="left"/>
      <w:pPr>
        <w:ind w:left="5040" w:hanging="360"/>
      </w:pPr>
    </w:lvl>
    <w:lvl w:ilvl="7" w:tplc="A404C4C4">
      <w:start w:val="1"/>
      <w:numFmt w:val="lowerLetter"/>
      <w:lvlText w:val="%8."/>
      <w:lvlJc w:val="left"/>
      <w:pPr>
        <w:ind w:left="5760" w:hanging="360"/>
      </w:pPr>
    </w:lvl>
    <w:lvl w:ilvl="8" w:tplc="485A068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A6D6A"/>
    <w:multiLevelType w:val="hybridMultilevel"/>
    <w:tmpl w:val="11B254FA"/>
    <w:lvl w:ilvl="0" w:tplc="4F922D8A">
      <w:start w:val="1"/>
      <w:numFmt w:val="decimal"/>
      <w:lvlText w:val="%1."/>
      <w:lvlJc w:val="left"/>
      <w:pPr>
        <w:ind w:left="720" w:hanging="360"/>
      </w:pPr>
    </w:lvl>
    <w:lvl w:ilvl="1" w:tplc="686A063E">
      <w:start w:val="1"/>
      <w:numFmt w:val="lowerLetter"/>
      <w:lvlText w:val="%2."/>
      <w:lvlJc w:val="left"/>
      <w:pPr>
        <w:ind w:left="1440" w:hanging="360"/>
      </w:pPr>
    </w:lvl>
    <w:lvl w:ilvl="2" w:tplc="E85C9E5E">
      <w:start w:val="1"/>
      <w:numFmt w:val="lowerRoman"/>
      <w:lvlText w:val="%3."/>
      <w:lvlJc w:val="right"/>
      <w:pPr>
        <w:ind w:left="2160" w:hanging="180"/>
      </w:pPr>
    </w:lvl>
    <w:lvl w:ilvl="3" w:tplc="1B12D3EC">
      <w:start w:val="1"/>
      <w:numFmt w:val="decimal"/>
      <w:lvlText w:val="%4."/>
      <w:lvlJc w:val="left"/>
      <w:pPr>
        <w:ind w:left="2880" w:hanging="360"/>
      </w:pPr>
    </w:lvl>
    <w:lvl w:ilvl="4" w:tplc="9E5EF6F6">
      <w:start w:val="1"/>
      <w:numFmt w:val="lowerLetter"/>
      <w:lvlText w:val="%5."/>
      <w:lvlJc w:val="left"/>
      <w:pPr>
        <w:ind w:left="3600" w:hanging="360"/>
      </w:pPr>
    </w:lvl>
    <w:lvl w:ilvl="5" w:tplc="EF088B5C">
      <w:start w:val="1"/>
      <w:numFmt w:val="lowerRoman"/>
      <w:lvlText w:val="%6."/>
      <w:lvlJc w:val="right"/>
      <w:pPr>
        <w:ind w:left="4320" w:hanging="180"/>
      </w:pPr>
    </w:lvl>
    <w:lvl w:ilvl="6" w:tplc="D54ECBE0">
      <w:start w:val="1"/>
      <w:numFmt w:val="decimal"/>
      <w:lvlText w:val="%7."/>
      <w:lvlJc w:val="left"/>
      <w:pPr>
        <w:ind w:left="5040" w:hanging="360"/>
      </w:pPr>
    </w:lvl>
    <w:lvl w:ilvl="7" w:tplc="0ED8D868">
      <w:start w:val="1"/>
      <w:numFmt w:val="lowerLetter"/>
      <w:lvlText w:val="%8."/>
      <w:lvlJc w:val="left"/>
      <w:pPr>
        <w:ind w:left="5760" w:hanging="360"/>
      </w:pPr>
    </w:lvl>
    <w:lvl w:ilvl="8" w:tplc="BD5AC2A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F8626"/>
    <w:multiLevelType w:val="hybridMultilevel"/>
    <w:tmpl w:val="4888F072"/>
    <w:lvl w:ilvl="0" w:tplc="C43A5BCE">
      <w:start w:val="1"/>
      <w:numFmt w:val="decimal"/>
      <w:lvlText w:val="%1."/>
      <w:lvlJc w:val="left"/>
      <w:pPr>
        <w:ind w:left="720" w:hanging="360"/>
      </w:pPr>
    </w:lvl>
    <w:lvl w:ilvl="1" w:tplc="4628D716">
      <w:start w:val="1"/>
      <w:numFmt w:val="lowerLetter"/>
      <w:lvlText w:val="%2."/>
      <w:lvlJc w:val="left"/>
      <w:pPr>
        <w:ind w:left="1440" w:hanging="360"/>
      </w:pPr>
    </w:lvl>
    <w:lvl w:ilvl="2" w:tplc="F904DB18">
      <w:start w:val="1"/>
      <w:numFmt w:val="lowerRoman"/>
      <w:lvlText w:val="%3."/>
      <w:lvlJc w:val="right"/>
      <w:pPr>
        <w:ind w:left="2160" w:hanging="180"/>
      </w:pPr>
    </w:lvl>
    <w:lvl w:ilvl="3" w:tplc="D3FE4D58">
      <w:start w:val="1"/>
      <w:numFmt w:val="decimal"/>
      <w:lvlText w:val="%4."/>
      <w:lvlJc w:val="left"/>
      <w:pPr>
        <w:ind w:left="2880" w:hanging="360"/>
      </w:pPr>
    </w:lvl>
    <w:lvl w:ilvl="4" w:tplc="AF8C1E2E">
      <w:start w:val="1"/>
      <w:numFmt w:val="lowerLetter"/>
      <w:lvlText w:val="%5."/>
      <w:lvlJc w:val="left"/>
      <w:pPr>
        <w:ind w:left="3600" w:hanging="360"/>
      </w:pPr>
    </w:lvl>
    <w:lvl w:ilvl="5" w:tplc="12802214">
      <w:start w:val="1"/>
      <w:numFmt w:val="lowerRoman"/>
      <w:lvlText w:val="%6."/>
      <w:lvlJc w:val="right"/>
      <w:pPr>
        <w:ind w:left="4320" w:hanging="180"/>
      </w:pPr>
    </w:lvl>
    <w:lvl w:ilvl="6" w:tplc="C342333C">
      <w:start w:val="1"/>
      <w:numFmt w:val="decimal"/>
      <w:lvlText w:val="%7."/>
      <w:lvlJc w:val="left"/>
      <w:pPr>
        <w:ind w:left="5040" w:hanging="360"/>
      </w:pPr>
    </w:lvl>
    <w:lvl w:ilvl="7" w:tplc="EFBA579A">
      <w:start w:val="1"/>
      <w:numFmt w:val="lowerLetter"/>
      <w:lvlText w:val="%8."/>
      <w:lvlJc w:val="left"/>
      <w:pPr>
        <w:ind w:left="5760" w:hanging="360"/>
      </w:pPr>
    </w:lvl>
    <w:lvl w:ilvl="8" w:tplc="49B4D65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DE5DF"/>
    <w:multiLevelType w:val="hybridMultilevel"/>
    <w:tmpl w:val="E604E9FC"/>
    <w:lvl w:ilvl="0" w:tplc="077C720C">
      <w:start w:val="1"/>
      <w:numFmt w:val="decimal"/>
      <w:lvlText w:val="%1."/>
      <w:lvlJc w:val="left"/>
      <w:pPr>
        <w:ind w:left="720" w:hanging="360"/>
      </w:pPr>
    </w:lvl>
    <w:lvl w:ilvl="1" w:tplc="AE00C130">
      <w:start w:val="1"/>
      <w:numFmt w:val="lowerLetter"/>
      <w:lvlText w:val="%2."/>
      <w:lvlJc w:val="left"/>
      <w:pPr>
        <w:ind w:left="1440" w:hanging="360"/>
      </w:pPr>
    </w:lvl>
    <w:lvl w:ilvl="2" w:tplc="F3B2A076">
      <w:start w:val="1"/>
      <w:numFmt w:val="lowerRoman"/>
      <w:lvlText w:val="%3."/>
      <w:lvlJc w:val="right"/>
      <w:pPr>
        <w:ind w:left="2160" w:hanging="180"/>
      </w:pPr>
    </w:lvl>
    <w:lvl w:ilvl="3" w:tplc="6D04C694">
      <w:start w:val="1"/>
      <w:numFmt w:val="decimal"/>
      <w:lvlText w:val="%4."/>
      <w:lvlJc w:val="left"/>
      <w:pPr>
        <w:ind w:left="2880" w:hanging="360"/>
      </w:pPr>
    </w:lvl>
    <w:lvl w:ilvl="4" w:tplc="AD5071F8">
      <w:start w:val="1"/>
      <w:numFmt w:val="lowerLetter"/>
      <w:lvlText w:val="%5."/>
      <w:lvlJc w:val="left"/>
      <w:pPr>
        <w:ind w:left="3600" w:hanging="360"/>
      </w:pPr>
    </w:lvl>
    <w:lvl w:ilvl="5" w:tplc="AA608E1C">
      <w:start w:val="1"/>
      <w:numFmt w:val="lowerRoman"/>
      <w:lvlText w:val="%6."/>
      <w:lvlJc w:val="right"/>
      <w:pPr>
        <w:ind w:left="4320" w:hanging="180"/>
      </w:pPr>
    </w:lvl>
    <w:lvl w:ilvl="6" w:tplc="59D0E008">
      <w:start w:val="1"/>
      <w:numFmt w:val="decimal"/>
      <w:lvlText w:val="%7."/>
      <w:lvlJc w:val="left"/>
      <w:pPr>
        <w:ind w:left="5040" w:hanging="360"/>
      </w:pPr>
    </w:lvl>
    <w:lvl w:ilvl="7" w:tplc="11843B48">
      <w:start w:val="1"/>
      <w:numFmt w:val="lowerLetter"/>
      <w:lvlText w:val="%8."/>
      <w:lvlJc w:val="left"/>
      <w:pPr>
        <w:ind w:left="5760" w:hanging="360"/>
      </w:pPr>
    </w:lvl>
    <w:lvl w:ilvl="8" w:tplc="AB8485C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C473B"/>
    <w:multiLevelType w:val="multilevel"/>
    <w:tmpl w:val="C64E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B9"/>
    <w:rsid w:val="00064943"/>
    <w:rsid w:val="000B4816"/>
    <w:rsid w:val="000D1A28"/>
    <w:rsid w:val="000E4BB3"/>
    <w:rsid w:val="000F6977"/>
    <w:rsid w:val="00113AB7"/>
    <w:rsid w:val="00167B2B"/>
    <w:rsid w:val="0017661C"/>
    <w:rsid w:val="001845E2"/>
    <w:rsid w:val="001861F5"/>
    <w:rsid w:val="001E0095"/>
    <w:rsid w:val="00202F47"/>
    <w:rsid w:val="00260829"/>
    <w:rsid w:val="002A2EF2"/>
    <w:rsid w:val="002B1A4A"/>
    <w:rsid w:val="002C3807"/>
    <w:rsid w:val="002D3655"/>
    <w:rsid w:val="002E5BDA"/>
    <w:rsid w:val="00315BB2"/>
    <w:rsid w:val="00340782"/>
    <w:rsid w:val="003667D5"/>
    <w:rsid w:val="003A1A6F"/>
    <w:rsid w:val="003B7FA7"/>
    <w:rsid w:val="003C58FB"/>
    <w:rsid w:val="003D4E73"/>
    <w:rsid w:val="003E22BA"/>
    <w:rsid w:val="00403E17"/>
    <w:rsid w:val="00411518"/>
    <w:rsid w:val="004130DD"/>
    <w:rsid w:val="00425913"/>
    <w:rsid w:val="004316BB"/>
    <w:rsid w:val="004361AB"/>
    <w:rsid w:val="004430FD"/>
    <w:rsid w:val="00493487"/>
    <w:rsid w:val="004C5349"/>
    <w:rsid w:val="004D1E4E"/>
    <w:rsid w:val="004F6281"/>
    <w:rsid w:val="005051DC"/>
    <w:rsid w:val="00531269"/>
    <w:rsid w:val="00533740"/>
    <w:rsid w:val="005F5793"/>
    <w:rsid w:val="00614B8C"/>
    <w:rsid w:val="00626C82"/>
    <w:rsid w:val="00650257"/>
    <w:rsid w:val="006604FF"/>
    <w:rsid w:val="00661AA8"/>
    <w:rsid w:val="006E7EE0"/>
    <w:rsid w:val="00716458"/>
    <w:rsid w:val="007362BE"/>
    <w:rsid w:val="00786DC4"/>
    <w:rsid w:val="007E4379"/>
    <w:rsid w:val="008318FD"/>
    <w:rsid w:val="00860EA0"/>
    <w:rsid w:val="008822D3"/>
    <w:rsid w:val="00892B1A"/>
    <w:rsid w:val="008A4155"/>
    <w:rsid w:val="008A4BFE"/>
    <w:rsid w:val="008A595A"/>
    <w:rsid w:val="008B6C0E"/>
    <w:rsid w:val="008C23CB"/>
    <w:rsid w:val="00914E6B"/>
    <w:rsid w:val="009358BB"/>
    <w:rsid w:val="00952BF7"/>
    <w:rsid w:val="009A1D96"/>
    <w:rsid w:val="009B6270"/>
    <w:rsid w:val="009D52E1"/>
    <w:rsid w:val="00A57461"/>
    <w:rsid w:val="00A7067B"/>
    <w:rsid w:val="00AB3481"/>
    <w:rsid w:val="00AB4F6E"/>
    <w:rsid w:val="00AF20C9"/>
    <w:rsid w:val="00AF5472"/>
    <w:rsid w:val="00B0751A"/>
    <w:rsid w:val="00B20138"/>
    <w:rsid w:val="00B716A2"/>
    <w:rsid w:val="00C23EA7"/>
    <w:rsid w:val="00C36916"/>
    <w:rsid w:val="00CF2569"/>
    <w:rsid w:val="00D00F8C"/>
    <w:rsid w:val="00D02090"/>
    <w:rsid w:val="00D068B9"/>
    <w:rsid w:val="00D114FA"/>
    <w:rsid w:val="00D17B2E"/>
    <w:rsid w:val="00D216C5"/>
    <w:rsid w:val="00D442DC"/>
    <w:rsid w:val="00DD01EE"/>
    <w:rsid w:val="00DD7374"/>
    <w:rsid w:val="00DE3C11"/>
    <w:rsid w:val="00DF6597"/>
    <w:rsid w:val="00E2315C"/>
    <w:rsid w:val="00E36215"/>
    <w:rsid w:val="00E5287E"/>
    <w:rsid w:val="00E63713"/>
    <w:rsid w:val="00E84541"/>
    <w:rsid w:val="00EC2F0F"/>
    <w:rsid w:val="00EF023E"/>
    <w:rsid w:val="00F42586"/>
    <w:rsid w:val="00F631A9"/>
    <w:rsid w:val="00F72386"/>
    <w:rsid w:val="00F7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EAC93"/>
  <w15:chartTrackingRefBased/>
  <w15:docId w15:val="{9A3A5CC4-AF71-49A2-B11E-7809F5DD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23E"/>
    <w:rPr>
      <w:rFonts w:ascii="Arial" w:eastAsiaTheme="minorEastAsia" w:hAnsi="Arial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023E"/>
    <w:pPr>
      <w:keepNext/>
      <w:keepLines/>
      <w:spacing w:before="600" w:after="360"/>
      <w:outlineLvl w:val="0"/>
    </w:pPr>
    <w:rPr>
      <w:rFonts w:eastAsiaTheme="majorEastAsia" w:cstheme="majorBidi"/>
      <w:color w:val="2F5496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23E"/>
    <w:pPr>
      <w:keepNext/>
      <w:keepLines/>
      <w:spacing w:before="360" w:after="24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22BA"/>
    <w:pPr>
      <w:keepNext/>
      <w:keepLines/>
      <w:spacing w:before="240" w:after="12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18FD"/>
    <w:pPr>
      <w:keepNext/>
      <w:keepLines/>
      <w:spacing w:before="12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F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F6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F023E"/>
    <w:rPr>
      <w:rFonts w:ascii="Arial" w:eastAsiaTheme="majorEastAsia" w:hAnsi="Arial" w:cstheme="majorBidi"/>
      <w:color w:val="2F5496" w:themeColor="accent1" w:themeShade="BF"/>
      <w:sz w:val="40"/>
      <w:szCs w:val="3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F023E"/>
    <w:rPr>
      <w:rFonts w:ascii="Arial" w:eastAsiaTheme="majorEastAsia" w:hAnsi="Arial" w:cstheme="majorBidi"/>
      <w:color w:val="2F5496" w:themeColor="accent1" w:themeShade="BF"/>
      <w:sz w:val="32"/>
      <w:szCs w:val="32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8318FD"/>
    <w:rPr>
      <w:rFonts w:ascii="Arial" w:eastAsiaTheme="majorEastAsia" w:hAnsi="Arial" w:cstheme="majorBidi"/>
      <w:i/>
      <w:iCs/>
      <w:color w:val="2F5496" w:themeColor="accent1" w:themeShade="BF"/>
      <w:sz w:val="24"/>
      <w:szCs w:val="24"/>
      <w:lang w:val="en-US" w:eastAsia="ja-JP"/>
    </w:rPr>
  </w:style>
  <w:style w:type="table" w:styleId="TableGrid">
    <w:name w:val="Table Grid"/>
    <w:basedOn w:val="TableNormal"/>
    <w:uiPriority w:val="59"/>
    <w:rsid w:val="00EF023E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F023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E22BA"/>
    <w:rPr>
      <w:rFonts w:ascii="Arial" w:eastAsiaTheme="majorEastAsia" w:hAnsi="Arial" w:cstheme="majorBidi"/>
      <w:color w:val="1F3763" w:themeColor="accent1" w:themeShade="7F"/>
      <w:sz w:val="24"/>
      <w:szCs w:val="24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425913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E5287E"/>
    <w:pPr>
      <w:spacing w:before="240" w:after="0"/>
      <w:outlineLvl w:val="9"/>
    </w:pPr>
    <w:rPr>
      <w:rFonts w:asciiTheme="majorHAnsi" w:hAnsiTheme="majorHAnsi"/>
      <w:sz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5287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5287E"/>
    <w:pPr>
      <w:spacing w:after="100"/>
      <w:ind w:left="220"/>
    </w:pPr>
  </w:style>
  <w:style w:type="paragraph" w:styleId="Title">
    <w:name w:val="Title"/>
    <w:basedOn w:val="Normal"/>
    <w:next w:val="Normal"/>
    <w:link w:val="TitleChar"/>
    <w:uiPriority w:val="10"/>
    <w:qFormat/>
    <w:rsid w:val="009A1D96"/>
    <w:pPr>
      <w:spacing w:after="3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D96"/>
    <w:rPr>
      <w:rFonts w:ascii="Arial" w:eastAsiaTheme="majorEastAsia" w:hAnsi="Arial" w:cstheme="majorBidi"/>
      <w:spacing w:val="-10"/>
      <w:kern w:val="28"/>
      <w:sz w:val="56"/>
      <w:szCs w:val="56"/>
      <w:lang w:val="en-US" w:eastAsia="ja-JP"/>
    </w:rPr>
  </w:style>
  <w:style w:type="paragraph" w:styleId="NormalWeb">
    <w:name w:val="Normal (Web)"/>
    <w:basedOn w:val="Normal"/>
    <w:uiPriority w:val="99"/>
    <w:unhideWhenUsed/>
    <w:rsid w:val="003C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69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9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977"/>
    <w:rPr>
      <w:rFonts w:ascii="Arial" w:eastAsiaTheme="minorEastAsia" w:hAnsi="Arial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9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977"/>
    <w:rPr>
      <w:rFonts w:ascii="Arial" w:eastAsiaTheme="minorEastAsia" w:hAnsi="Arial"/>
      <w:b/>
      <w:bCs/>
      <w:sz w:val="20"/>
      <w:szCs w:val="20"/>
      <w:lang w:val="en-US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4430FD"/>
    <w:pPr>
      <w:spacing w:after="200" w:line="240" w:lineRule="auto"/>
    </w:pPr>
    <w:rPr>
      <w:rFonts w:eastAsiaTheme="minorHAnsi"/>
      <w:i/>
      <w:iCs/>
      <w:color w:val="44546A" w:themeColor="text2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BC58ED1620412C9338667E5AEB8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D9EA6-53E1-4623-AAF3-79488478F556}"/>
      </w:docPartPr>
      <w:docPartBody>
        <w:p w:rsidR="00325AFA" w:rsidRDefault="00A31E97" w:rsidP="00A31E97">
          <w:pPr>
            <w:pStyle w:val="9DBC58ED1620412C9338667E5AEB8D31"/>
          </w:pPr>
          <w:r w:rsidRPr="0032160D">
            <w:rPr>
              <w:rStyle w:val="PlaceholderText"/>
              <w:rFonts w:hint="eastAsia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0E5B-F77D-4FE6-8F3A-312589F82293}"/>
      </w:docPartPr>
      <w:docPartBody>
        <w:p w:rsidR="00325AFA" w:rsidRDefault="00A31E97">
          <w:r w:rsidRPr="002B4DF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4D"/>
    <w:rsid w:val="0005764D"/>
    <w:rsid w:val="00325AFA"/>
    <w:rsid w:val="006C19BB"/>
    <w:rsid w:val="008B6952"/>
    <w:rsid w:val="00A31E97"/>
    <w:rsid w:val="00DA4D1D"/>
    <w:rsid w:val="00DE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19BB"/>
    <w:rPr>
      <w:color w:val="808080"/>
    </w:rPr>
  </w:style>
  <w:style w:type="paragraph" w:customStyle="1" w:styleId="9DBC58ED1620412C9338667E5AEB8D31">
    <w:name w:val="9DBC58ED1620412C9338667E5AEB8D31"/>
    <w:rsid w:val="00A31E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16C2AC6-F2C5-4FD0-BF66-39C862F7A292}">
  <we:reference id="f78a3046-9e99-4300-aa2b-5814002b01a2" version="1.55.1.0" store="EXCatalog" storeType="EXCatalog"/>
  <we:alternateReferences>
    <we:reference id="WA104382081" version="1.55.1.0" store="en-GB" storeType="OMEX"/>
  </we:alternateReferences>
  <we:properties>
    <we:property name="MENDELEY_CITATIONS" value="[{&quot;citationID&quot;:&quot;MENDELEY_CITATION_16fe943e-38bd-45a4-ac15-ae941909fd22&quot;,&quot;properties&quot;:{&quot;noteIndex&quot;:0},&quot;isEdited&quot;:false,&quot;manualOverride&quot;:{&quot;isManuallyOverridden&quot;:false,&quot;citeprocText&quot;:&quot;(Wells et al., 2021)&quot;,&quot;manualOverrideText&quot;:&quot;&quot;},&quot;citationTag&quot;:&quot;MENDELEY_CITATION_v3_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&quot;,&quot;citationItems&quot;:[{&quot;id&quot;:&quot;9db2b6c1-0dd5-3b34-92dd-c100d1931f9e&quot;,&quot;itemData&quot;:{&quot;type&quot;:&quot;webpage&quot;,&quot;id&quot;:&quot;9db2b6c1-0dd5-3b34-92dd-c100d1931f9e&quot;,&quot;title&quot;:&quot;The Newcastle-Ottawa Scale (NOS) for assessing the quality of nonrandomised studies in meta-analyses&quot;,&quot;author&quot;:[{&quot;family&quot;:&quot;Wells&quot;,&quot;given&quot;:&quot;GA&quot;,&quot;parse-names&quot;:false,&quot;dropping-particle&quot;:&quot;&quot;,&quot;non-dropping-particle&quot;:&quot;&quot;},{&quot;family&quot;:&quot;Shea&quot;,&quot;given&quot;:&quot;B&quot;,&quot;parse-names&quot;:false,&quot;dropping-particle&quot;:&quot;&quot;,&quot;non-dropping-particle&quot;:&quot;&quot;},{&quot;family&quot;:&quot;O'Connell&quot;,&quot;given&quot;:&quot;D&quot;,&quot;parse-names&quot;:false,&quot;dropping-particle&quot;:&quot;&quot;,&quot;non-dropping-particle&quot;:&quot;&quot;},{&quot;family&quot;:&quot;Peterson&quot;,&quot;given&quot;:&quot;J&quot;,&quot;parse-names&quot;:false,&quot;dropping-particle&quot;:&quot;&quot;,&quot;non-dropping-particle&quot;:&quot;&quot;},{&quot;family&quot;:&quot;Welch&quot;,&quot;given&quot;:&quot;V&quot;,&quot;parse-names&quot;:false,&quot;dropping-particle&quot;:&quot;&quot;,&quot;non-dropping-particle&quot;:&quot;&quot;},{&quot;family&quot;:&quot;Losos&quot;,&quot;given&quot;:&quot;M&quot;,&quot;parse-names&quot;:false,&quot;dropping-particle&quot;:&quot;&quot;,&quot;non-dropping-particle&quot;:&quot;&quot;},{&quot;family&quot;:&quot;Tugwell&quot;,&quot;given&quot;:&quot;P&quot;,&quot;parse-names&quot;:false,&quot;dropping-particle&quot;:&quot;&quot;,&quot;non-dropping-particle&quot;:&quot;&quot;}],&quot;accessed&quot;:{&quot;date-parts&quot;:[[2024,8,15]]},&quot;URL&quot;:&quot;https://www.ohri.ca/programs/clinical_epidemiology/oxford.asp&quot;,&quot;issued&quot;:{&quot;date-parts&quot;:[[2021]]},&quot;container-title-short&quot;:&quot;&quot;},&quot;isTemporary&quot;:false}]},{&quot;citationID&quot;:&quot;MENDELEY_CITATION_79c336dd-5245-423e-8526-b0989449b3e7&quot;,&quot;properties&quot;:{&quot;noteIndex&quot;:0},&quot;isEdited&quot;:false,&quot;manualOverride&quot;:{&quot;isManuallyOverridden&quot;:false,&quot;citeprocText&quot;:&quot;(Wells et al., 2021)&quot;,&quot;manualOverrideText&quot;:&quot;&quot;},&quot;citationTag&quot;:&quot;MENDELEY_CITATION_v3_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&quot;,&quot;citationItems&quot;:[{&quot;id&quot;:&quot;9db2b6c1-0dd5-3b34-92dd-c100d1931f9e&quot;,&quot;itemData&quot;:{&quot;type&quot;:&quot;webpage&quot;,&quot;id&quot;:&quot;9db2b6c1-0dd5-3b34-92dd-c100d1931f9e&quot;,&quot;title&quot;:&quot;The Newcastle-Ottawa Scale (NOS) for assessing the quality of nonrandomised studies in meta-analyses&quot;,&quot;author&quot;:[{&quot;family&quot;:&quot;Wells&quot;,&quot;given&quot;:&quot;GA&quot;,&quot;parse-names&quot;:false,&quot;dropping-particle&quot;:&quot;&quot;,&quot;non-dropping-particle&quot;:&quot;&quot;},{&quot;family&quot;:&quot;Shea&quot;,&quot;given&quot;:&quot;B&quot;,&quot;parse-names&quot;:false,&quot;dropping-particle&quot;:&quot;&quot;,&quot;non-dropping-particle&quot;:&quot;&quot;},{&quot;family&quot;:&quot;O'Connell&quot;,&quot;given&quot;:&quot;D&quot;,&quot;parse-names&quot;:false,&quot;dropping-particle&quot;:&quot;&quot;,&quot;non-dropping-particle&quot;:&quot;&quot;},{&quot;family&quot;:&quot;Peterson&quot;,&quot;given&quot;:&quot;J&quot;,&quot;parse-names&quot;:false,&quot;dropping-particle&quot;:&quot;&quot;,&quot;non-dropping-particle&quot;:&quot;&quot;},{&quot;family&quot;:&quot;Welch&quot;,&quot;given&quot;:&quot;V&quot;,&quot;parse-names&quot;:false,&quot;dropping-particle&quot;:&quot;&quot;,&quot;non-dropping-particle&quot;:&quot;&quot;},{&quot;family&quot;:&quot;Losos&quot;,&quot;given&quot;:&quot;M&quot;,&quot;parse-names&quot;:false,&quot;dropping-particle&quot;:&quot;&quot;,&quot;non-dropping-particle&quot;:&quot;&quot;},{&quot;family&quot;:&quot;Tugwell&quot;,&quot;given&quot;:&quot;P&quot;,&quot;parse-names&quot;:false,&quot;dropping-particle&quot;:&quot;&quot;,&quot;non-dropping-particle&quot;:&quot;&quot;}],&quot;accessed&quot;:{&quot;date-parts&quot;:[[2024,8,15]]},&quot;URL&quot;:&quot;https://www.ohri.ca/programs/clinical_epidemiology/oxford.asp&quot;,&quot;issued&quot;:{&quot;date-parts&quot;:[[2021]]},&quot;container-title-short&quot;:&quot;&quot;},&quot;isTemporary&quot;:false}]},{&quot;citationID&quot;:&quot;MENDELEY_CITATION_82b575a9-1379-475e-98fd-8cb39b9b862c&quot;,&quot;properties&quot;:{&quot;noteIndex&quot;:0},&quot;isEdited&quot;:false,&quot;manualOverride&quot;:{&quot;isManuallyOverridden&quot;:false,&quot;citeprocText&quot;:&quot;(Blomström et al., 2016; Debost et al., 2019; Healy et al., 2024)&quot;,&quot;manualOverrideText&quot;:&quot;&quot;},&quot;citationTag&quot;:&quot;MENDELEY_CITATION_v3_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&quot;,&quot;citationItems&quot;:[{&quot;id&quot;:&quot;52d38341-f2e6-3585-b13c-e5b3dddf3cfc&quot;,&quot;itemData&quot;:{&quot;type&quot;:&quot;article-journal&quot;,&quot;id&quot;:&quot;52d38341-f2e6-3585-b13c-e5b3dddf3cfc&quot;,&quot;title&quot;:&quot;Childhood infections and schizophrenia: The impact of parental SES and mental illness, and childhood adversities&quot;,&quot;author&quot;:[{&quot;family&quot;:&quot;Debost&quot;,&quot;given&quot;:&quot;Jean-Christophe&quot;,&quot;parse-names&quot;:false,&quot;dropping-particle&quot;:&quot;&quot;,&quot;non-dropping-particle&quot;:&quot;&quot;},{&quot;family&quot;:&quot;Larsen&quot;,&quot;given&quot;:&quot;Janne Tidselbak&quot;,&quot;parse-names&quot;:false,&quot;dropping-particle&quot;:&quot;&quot;,&quot;non-dropping-particle&quot;:&quot;&quot;},{&quot;family&quot;:&quot;Munk-Olsen&quot;,&quot;given&quot;:&quot;Trine&quot;,&quot;parse-names&quot;:false,&quot;dropping-particle&quot;:&quot;&quot;,&quot;non-dropping-particle&quot;:&quot;&quot;},{&quot;family&quot;:&quot;Mortensen&quot;,&quot;given&quot;:&quot;Preben Bo&quot;,&quot;parse-names&quot;:false,&quot;dropping-particle&quot;:&quot;&quot;,&quot;non-dropping-particle&quot;:&quot;&quot;},{&quot;family&quot;:&quot;Agerbo&quot;,&quot;given&quot;:&quot;Esben&quot;,&quot;parse-names&quot;:false,&quot;dropping-particle&quot;:&quot;&quot;,&quot;non-dropping-particle&quot;:&quot;&quot;},{&quot;family&quot;:&quot;Petersen&quot;,&quot;given&quot;:&quot;Liselotte Vogdrup&quot;,&quot;parse-names&quot;:false,&quot;dropping-particle&quot;:&quot;&quot;,&quot;non-dropping-particle&quot;:&quot;&quot;}],&quot;container-title&quot;:&quot;Brain, Behavior, and Immunity&quot;,&quot;container-title-short&quot;:&quot;Brain Behav Immun&quot;,&quot;DOI&quot;:&quot;10.1016/j.bbi.2019.06.031&quot;,&quot;ISSN&quot;:&quot;08891591&quot;,&quot;issued&quot;:{&quot;date-parts&quot;:[[2019,10]]},&quot;page&quot;:&quot;341-347&quot;,&quot;volume&quot;:&quot;81&quot;},&quot;isTemporary&quot;:false},{&quot;id&quot;:&quot;86e126b1-f73b-3276-b369-104151331dfb&quot;,&quot;itemData&quot;:{&quot;type&quot;:&quot;article-journal&quot;,&quot;id&quot;:&quot;86e126b1-f73b-3276-b369-104151331dfb&quot;,&quot;title&quot;:&quot;Absolute risk and sensitivity of the familial high-risk approach for the identification of future psychosis: A total population study&quot;,&quot;author&quot;:[{&quot;family&quot;:&quot;Healy&quot;,&quot;given&quot;:&quot;Colm&quot;,&quot;parse-names&quot;:false,&quot;dropping-particle&quot;:&quot;&quot;,&quot;non-dropping-particle&quot;:&quot;&quot;},{&quot;family&quot;:&quot;Lång&quot;,&quot;given&quot;:&quot;Ulla&quot;,&quot;parse-names&quot;:false,&quot;dropping-particle&quot;:&quot;&quot;,&quot;non-dropping-particle&quot;:&quot;&quot;},{&quot;family&quot;:&quot;O'Hare&quot;,&quot;given&quot;:&quot;Kirstie&quot;,&quot;parse-names&quot;:false,&quot;dropping-particle&quot;:&quot;&quot;,&quot;non-dropping-particle&quot;:&quot;&quot;},{&quot;family&quot;:&quot;Veijola&quot;,&quot;given&quot;:&quot;Juha&quot;,&quot;parse-names&quot;:false,&quot;dropping-particle&quot;:&quot;&quot;,&quot;non-dropping-particle&quot;:&quot;&quot;},{&quot;family&quot;:&quot;O’Connor&quot;,&quot;given&quot;:&quot;Karen&quot;,&quot;parse-names&quot;:false,&quot;dropping-particle&quot;:&quot;&quot;,&quot;non-dropping-particle&quot;:&quot;&quot;},{&quot;family&quot;:&quot;Lahti-Pulkkinen&quot;,&quot;given&quot;:&quot;Marius&quot;,&quot;parse-names&quot;:false,&quot;dropping-particle&quot;:&quot;&quot;,&quot;non-dropping-particle&quot;:&quot;&quot;},{&quot;family&quot;:&quot;Kajantie&quot;,&quot;given&quot;:&quot;Eero&quot;,&quot;parse-names&quot;:false,&quot;dropping-particle&quot;:&quot;&quot;,&quot;non-dropping-particle&quot;:&quot;&quot;},{&quot;family&quot;:&quot;Kelleher&quot;,&quot;given&quot;:&quot;Ian&quot;,&quot;parse-names&quot;:false,&quot;dropping-particle&quot;:&quot;&quot;,&quot;non-dropping-particle&quot;:&quot;&quot;}],&quot;container-title&quot;:&quot;World Psychiatry&quot;,&quot;issued&quot;:{&quot;date-parts&quot;:[[2024]]},&quot;container-title-short&quot;:&quot;&quot;},&quot;isTemporary&quot;:false},{&quot;id&quot;:&quot;deabc7a7-22e5-37dc-a1a4-d033fa5ed8b4&quot;,&quot;itemData&quot;:{&quot;type&quot;:&quot;article-journal&quot;,&quot;id&quot;:&quot;deabc7a7-22e5-37dc-a1a4-d033fa5ed8b4&quot;,&quot;title&quot;:&quot;Associations Between Maternal Infection During Pregnancy, Childhood Infections and the Risk of Subsequent Psychotic Disorder—A Swedish Cohort Study of Nearly 2 Million Individuals&quot;,&quot;author&quot;:[{&quot;family&quot;:&quot;Blomström&quot;,&quot;given&quot;:&quot;Åsa&quot;,&quot;parse-names&quot;:false,&quot;dropping-particle&quot;:&quot;&quot;,&quot;non-dropping-particle&quot;:&quot;&quot;},{&quot;family&quot;:&quot;Karlsson&quot;,&quot;given&quot;:&quot;Håkan&quot;,&quot;parse-names&quot;:false,&quot;dropping-particle&quot;:&quot;&quot;,&quot;non-dropping-particle&quot;:&quot;&quot;},{&quot;family&quot;:&quot;Gardner&quot;,&quot;given&quot;:&quot;Renee&quot;,&quot;parse-names&quot;:false,&quot;dropping-particle&quot;:&quot;&quot;,&quot;non-dropping-particle&quot;:&quot;&quot;},{&quot;family&quot;:&quot;Jörgensen&quot;,&quot;given&quot;:&quot;Lena&quot;,&quot;parse-names&quot;:false,&quot;dropping-particle&quot;:&quot;&quot;,&quot;non-dropping-particle&quot;:&quot;&quot;},{&quot;family&quot;:&quot;Magnusson&quot;,&quot;given&quot;:&quot;Cecilia&quot;,&quot;parse-names&quot;:false,&quot;dropping-particle&quot;:&quot;&quot;,&quot;non-dropping-particle&quot;:&quot;&quot;},{&quot;family&quot;:&quot;Dalman&quot;,&quot;given&quot;:&quot;Christina&quot;,&quot;parse-names&quot;:false,&quot;dropping-particle&quot;:&quot;&quot;,&quot;non-dropping-particle&quot;:&quot;&quot;}],&quot;container-title&quot;:&quot;Schizophrenia Bulletin&quot;,&quot;container-title-short&quot;:&quot;Schizophr Bull&quot;,&quot;DOI&quot;:&quot;10.1093/schbul/sbv112&quot;,&quot;ISSN&quot;:&quot;0586-7614&quot;,&quot;issued&quot;:{&quot;date-parts&quot;:[[2016,8,24]]}},&quot;isTemporary&quot;:false}]}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8DB85-3672-4EBE-A82B-C96C0D891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663</Words>
  <Characters>3784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Kougianou</dc:creator>
  <cp:keywords/>
  <dc:description/>
  <cp:lastModifiedBy>Ian Kelleher</cp:lastModifiedBy>
  <cp:revision>2</cp:revision>
  <dcterms:created xsi:type="dcterms:W3CDTF">2025-01-20T10:04:00Z</dcterms:created>
  <dcterms:modified xsi:type="dcterms:W3CDTF">2025-01-20T10:04:00Z</dcterms:modified>
</cp:coreProperties>
</file>