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Supplemental Material for: 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Disrupted functional connectivity of the emotion regulation network in major depressive disorder and its association with symptom improvement: A multisite resting-state functional MRI study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80" w:line="360" w:lineRule="auto"/>
        <w:ind w:firstLine="422" w:firstLineChars="200"/>
        <w:textAlignment w:val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Zhihui Lan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#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Lin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-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lin Zhu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#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You-ran Dai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 xml:space="preserve">, 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Yan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-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kun Wu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Tian Shen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Jing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-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jing Yang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2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, Ji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-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tao Li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 xml:space="preserve"> Mingrui Xia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3,4,5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, Xiaoqin Wang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6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7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Dongtao Wei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6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7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Bangshan Liu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8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9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Taolin Chen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10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Yanqing Tang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11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Qiyong Gong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10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Fei Wang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Jiang Qiu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6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7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Peng Xie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,1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14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Lingjiang Li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8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  <w:lang w:val="en-US" w:eastAsia="zh-CN"/>
        </w:rPr>
        <w:t>9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Yong He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3,4,5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,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Yun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-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Ai Su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1*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 xml:space="preserve">, DIDA-MDD Working Group, 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Tianmei Si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  <w:vertAlign w:val="superscript"/>
        </w:rPr>
        <w:t>*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Supporting Document: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Supplemental Methods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Supplementary Table </w:t>
      </w:r>
      <w:r>
        <w:rPr>
          <w:rFonts w:hint="eastAsia"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hint="eastAsia" w:ascii="Times New Roman" w:hAnsi="Times New Roman" w:cs="Times New Roman"/>
          <w:b/>
          <w:szCs w:val="21"/>
        </w:rPr>
        <w:t>Demographic and clinical characteristics of the MDD patients in Dataset 2 (n=45).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>Supplementary Table 2 Scan parameters of the R-fMRI data from each center</w:t>
      </w:r>
    </w:p>
    <w:p>
      <w:pPr>
        <w:spacing w:line="360" w:lineRule="auto"/>
        <w:ind w:firstLine="422" w:firstLineChars="200"/>
        <w:rPr>
          <w:rFonts w:hint="eastAsia"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 xml:space="preserve">Supplementary Table 3 The MNI central coordinates of the brain areas in the emotion regulation network. </w:t>
      </w:r>
    </w:p>
    <w:p>
      <w:pPr>
        <w:spacing w:line="360" w:lineRule="auto"/>
        <w:ind w:firstLine="422" w:firstLineChars="200"/>
        <w:rPr>
          <w:rFonts w:hint="eastAsia" w:ascii="Times New Roman" w:hAnsi="Times New Roman" w:cs="Times New Roman"/>
          <w:b/>
          <w:color w:val="auto"/>
          <w:szCs w:val="21"/>
        </w:rPr>
      </w:pPr>
      <w:r>
        <w:rPr>
          <w:rFonts w:hint="eastAsia" w:ascii="Times New Roman" w:hAnsi="Times New Roman" w:cs="Times New Roman"/>
          <w:b/>
          <w:color w:val="auto"/>
          <w:szCs w:val="21"/>
        </w:rPr>
        <w:t>Supplementary Table 4</w:t>
      </w:r>
      <w:r>
        <w:rPr>
          <w:rFonts w:hint="eastAsia" w:ascii="Times New Roman" w:hAnsi="Times New Roman" w:cs="Times New Roman"/>
          <w:b/>
          <w:color w:val="auto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color w:val="auto"/>
          <w:szCs w:val="21"/>
        </w:rPr>
        <w:t>Partial correlation analyses with the baseline HAMD as an additional covariate</w:t>
      </w:r>
    </w:p>
    <w:p>
      <w:pPr>
        <w:spacing w:line="360" w:lineRule="auto"/>
        <w:ind w:firstLine="422" w:firstLineChars="200"/>
        <w:rPr>
          <w:rFonts w:hint="eastAsia" w:ascii="Times New Roman" w:hAnsi="Times New Roman" w:cs="Times New Roman"/>
          <w:b/>
          <w:color w:val="auto"/>
          <w:szCs w:val="21"/>
        </w:rPr>
      </w:pPr>
      <w:r>
        <w:rPr>
          <w:rFonts w:hint="eastAsia" w:ascii="Times New Roman" w:hAnsi="Times New Roman" w:cs="Times New Roman"/>
          <w:b/>
          <w:color w:val="auto"/>
          <w:szCs w:val="21"/>
        </w:rPr>
        <w:t>Supplementary Figure 1</w:t>
      </w:r>
      <w:r>
        <w:rPr>
          <w:rFonts w:hint="eastAsia" w:ascii="Times New Roman" w:hAnsi="Times New Roman" w:cs="Times New Roman"/>
          <w:b/>
          <w:color w:val="auto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color w:val="auto"/>
          <w:szCs w:val="21"/>
        </w:rPr>
        <w:t>Leave-one-site-out cross-validation on seed-based functional connectivity in the ERN.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Materials and methods</w:t>
      </w:r>
    </w:p>
    <w:p>
      <w:pPr>
        <w:spacing w:line="360" w:lineRule="auto"/>
        <w:ind w:firstLine="422" w:firstLineChars="200"/>
        <w:rPr>
          <w:rFonts w:ascii="Times New Roman" w:hAnsi="Times New Roman" w:cs="Times New Roman"/>
          <w:b/>
          <w:i/>
          <w:iCs/>
          <w:szCs w:val="21"/>
        </w:rPr>
      </w:pPr>
      <w:r>
        <w:rPr>
          <w:rFonts w:ascii="Times New Roman" w:hAnsi="Times New Roman" w:cs="Times New Roman"/>
          <w:b/>
          <w:i/>
          <w:iCs/>
          <w:szCs w:val="21"/>
        </w:rPr>
        <w:t xml:space="preserve">Imaging </w:t>
      </w:r>
      <w:r>
        <w:rPr>
          <w:rFonts w:hint="eastAsia" w:ascii="Times New Roman" w:hAnsi="Times New Roman" w:cs="Times New Roman"/>
          <w:b/>
          <w:i/>
          <w:iCs/>
          <w:szCs w:val="21"/>
          <w:lang w:val="en-US" w:eastAsia="zh-CN"/>
        </w:rPr>
        <w:t>d</w:t>
      </w:r>
      <w:r>
        <w:rPr>
          <w:rFonts w:ascii="Times New Roman" w:hAnsi="Times New Roman" w:cs="Times New Roman"/>
          <w:b/>
          <w:i/>
          <w:iCs/>
          <w:szCs w:val="21"/>
        </w:rPr>
        <w:t>ataset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bCs/>
          <w:szCs w:val="21"/>
        </w:rPr>
      </w:pPr>
      <w:r>
        <w:rPr>
          <w:rFonts w:hint="eastAsia" w:ascii="Times New Roman" w:hAnsi="Times New Roman" w:cs="Times New Roman"/>
          <w:bCs/>
          <w:szCs w:val="21"/>
        </w:rPr>
        <w:t xml:space="preserve">Dataset 2: Seventy-two </w:t>
      </w:r>
      <w:r>
        <w:rPr>
          <w:rFonts w:ascii="Times New Roman" w:hAnsi="Times New Roman" w:cs="Times New Roman"/>
          <w:bCs/>
          <w:szCs w:val="21"/>
        </w:rPr>
        <w:t xml:space="preserve">first-episode drug-naïve patients with </w:t>
      </w:r>
      <w:r>
        <w:rPr>
          <w:rFonts w:hint="eastAsia" w:ascii="Times New Roman" w:hAnsi="Times New Roman" w:cs="Times New Roman"/>
          <w:bCs/>
          <w:szCs w:val="21"/>
        </w:rPr>
        <w:t>MDD</w:t>
      </w:r>
      <w:r>
        <w:rPr>
          <w:rFonts w:ascii="Times New Roman" w:hAnsi="Times New Roman" w:cs="Times New Roman"/>
          <w:bCs/>
          <w:szCs w:val="21"/>
        </w:rPr>
        <w:t xml:space="preserve"> were </w:t>
      </w:r>
      <w:r>
        <w:rPr>
          <w:rFonts w:hint="eastAsia" w:ascii="Times New Roman" w:hAnsi="Times New Roman" w:cs="Times New Roman"/>
          <w:bCs/>
          <w:szCs w:val="21"/>
        </w:rPr>
        <w:t>enrolled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>in</w:t>
      </w:r>
      <w:r>
        <w:rPr>
          <w:rFonts w:ascii="Times New Roman" w:hAnsi="Times New Roman" w:cs="Times New Roman"/>
          <w:bCs/>
          <w:szCs w:val="21"/>
        </w:rPr>
        <w:t xml:space="preserve"> the outpatient</w:t>
      </w:r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department of Peking University Sixth Hospital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Cs/>
          <w:color w:val="FF0000"/>
          <w:szCs w:val="21"/>
          <w:lang w:val="en-US" w:eastAsia="zh-CN"/>
        </w:rPr>
        <w:t>from October 2016 to December 2019</w:t>
      </w:r>
      <w:r>
        <w:rPr>
          <w:rFonts w:hint="eastAsia" w:ascii="Times New Roman" w:hAnsi="Times New Roman" w:cs="Times New Roman"/>
          <w:bCs/>
          <w:color w:val="FF0000"/>
          <w:szCs w:val="21"/>
        </w:rPr>
        <w:t>.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hint="eastAsia" w:ascii="Times New Roman" w:hAnsi="Times New Roman" w:cs="Times New Roman"/>
          <w:bCs/>
          <w:szCs w:val="21"/>
        </w:rPr>
        <w:t>Experienced</w:t>
      </w:r>
      <w:r>
        <w:rPr>
          <w:rFonts w:ascii="Times New Roman" w:hAnsi="Times New Roman" w:cs="Times New Roman"/>
          <w:bCs/>
          <w:szCs w:val="21"/>
        </w:rPr>
        <w:t xml:space="preserve"> psychiatrist</w:t>
      </w:r>
      <w:r>
        <w:rPr>
          <w:rFonts w:hint="eastAsia" w:ascii="Times New Roman" w:hAnsi="Times New Roman" w:cs="Times New Roman"/>
          <w:bCs/>
          <w:szCs w:val="21"/>
        </w:rPr>
        <w:t>s conducted p</w:t>
      </w:r>
      <w:r>
        <w:rPr>
          <w:rFonts w:ascii="Times New Roman" w:hAnsi="Times New Roman" w:cs="Times New Roman"/>
          <w:bCs/>
          <w:szCs w:val="21"/>
        </w:rPr>
        <w:t>sychiatric diagnos</w:t>
      </w:r>
      <w:r>
        <w:rPr>
          <w:rFonts w:hint="eastAsia" w:ascii="Times New Roman" w:hAnsi="Times New Roman" w:cs="Times New Roman"/>
          <w:bCs/>
          <w:szCs w:val="21"/>
        </w:rPr>
        <w:t>e</w:t>
      </w:r>
      <w:r>
        <w:rPr>
          <w:rFonts w:ascii="Times New Roman" w:hAnsi="Times New Roman" w:cs="Times New Roman"/>
          <w:bCs/>
          <w:szCs w:val="21"/>
        </w:rPr>
        <w:t xml:space="preserve">s of 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bCs/>
          <w:szCs w:val="21"/>
        </w:rPr>
        <w:t>MDD</w:t>
      </w:r>
      <w:r>
        <w:rPr>
          <w:rFonts w:ascii="Times New Roman" w:hAnsi="Times New Roman" w:cs="Times New Roman"/>
          <w:bCs/>
          <w:szCs w:val="21"/>
        </w:rPr>
        <w:t xml:space="preserve"> patients based on 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 xml:space="preserve">the </w:t>
      </w:r>
      <w:r>
        <w:rPr>
          <w:rFonts w:ascii="Times New Roman" w:hAnsi="Times New Roman" w:cs="Times New Roman"/>
          <w:bCs/>
          <w:szCs w:val="21"/>
        </w:rPr>
        <w:t>Diagnostic and Statistical Manual of Mental Disorders, Fourth Edition (DSM-IV-</w:t>
      </w:r>
      <w:r>
        <w:rPr>
          <w:rFonts w:hint="eastAsia" w:ascii="Times New Roman" w:hAnsi="Times New Roman" w:cs="Times New Roman"/>
          <w:bCs/>
          <w:szCs w:val="21"/>
        </w:rPr>
        <w:t>TR</w:t>
      </w:r>
      <w:r>
        <w:rPr>
          <w:rFonts w:ascii="Times New Roman" w:hAnsi="Times New Roman" w:cs="Times New Roman"/>
          <w:bCs/>
          <w:szCs w:val="21"/>
        </w:rPr>
        <w:t xml:space="preserve">) criteria. </w:t>
      </w:r>
      <w:r>
        <w:rPr>
          <w:rFonts w:hint="eastAsia" w:ascii="Times New Roman" w:hAnsi="Times New Roman" w:cs="Times New Roman"/>
          <w:bCs/>
          <w:szCs w:val="21"/>
        </w:rPr>
        <w:t>Depressive</w:t>
      </w:r>
      <w:r>
        <w:rPr>
          <w:rFonts w:ascii="Times New Roman" w:hAnsi="Times New Roman" w:cs="Times New Roman"/>
          <w:bCs/>
          <w:szCs w:val="21"/>
        </w:rPr>
        <w:t xml:space="preserve"> symptoms w</w:t>
      </w:r>
      <w:r>
        <w:rPr>
          <w:rFonts w:hint="eastAsia" w:ascii="Times New Roman" w:hAnsi="Times New Roman" w:cs="Times New Roman"/>
          <w:bCs/>
          <w:szCs w:val="21"/>
        </w:rPr>
        <w:t>ere</w:t>
      </w:r>
      <w:r>
        <w:rPr>
          <w:rFonts w:ascii="Times New Roman" w:hAnsi="Times New Roman" w:cs="Times New Roman"/>
          <w:bCs/>
          <w:szCs w:val="21"/>
        </w:rPr>
        <w:t xml:space="preserve"> evaluated using the 17-</w:t>
      </w:r>
      <w:r>
        <w:rPr>
          <w:rFonts w:hint="eastAsia" w:ascii="Times New Roman" w:hAnsi="Times New Roman" w:cs="Times New Roman"/>
          <w:bCs/>
          <w:szCs w:val="21"/>
        </w:rPr>
        <w:t>item</w:t>
      </w:r>
      <w:r>
        <w:rPr>
          <w:rFonts w:ascii="Times New Roman" w:hAnsi="Times New Roman" w:cs="Times New Roman"/>
          <w:bCs/>
          <w:szCs w:val="21"/>
        </w:rPr>
        <w:t xml:space="preserve"> Hamilton Rating Scale for Depression (HAMD</w:t>
      </w:r>
      <w:r>
        <w:rPr>
          <w:rFonts w:ascii="Times New Roman" w:hAnsi="Times New Roman" w:cs="Times New Roman"/>
          <w:bCs/>
          <w:szCs w:val="21"/>
          <w:vertAlign w:val="subscript"/>
        </w:rPr>
        <w:t>17</w:t>
      </w:r>
      <w:r>
        <w:rPr>
          <w:rFonts w:ascii="Times New Roman" w:hAnsi="Times New Roman" w:cs="Times New Roman"/>
          <w:bCs/>
          <w:szCs w:val="21"/>
        </w:rPr>
        <w:t>)</w:t>
      </w:r>
      <w:r>
        <w:rPr>
          <w:rFonts w:hint="eastAsia" w:ascii="Times New Roman" w:hAnsi="Times New Roman" w:cs="Times New Roman"/>
          <w:bCs/>
          <w:szCs w:val="21"/>
        </w:rPr>
        <w:t>. The e</w:t>
      </w:r>
      <w:r>
        <w:rPr>
          <w:rFonts w:ascii="Times New Roman" w:hAnsi="Times New Roman" w:cs="Times New Roman"/>
          <w:bCs/>
          <w:szCs w:val="21"/>
        </w:rPr>
        <w:t>xclusion criteria were as follows: a concurrent comorbid Axis I disorder or Axis II personality disorder, pregnancy, substance dependence, acute suicid</w:t>
      </w:r>
      <w:r>
        <w:rPr>
          <w:rFonts w:hint="eastAsia" w:ascii="Times New Roman" w:hAnsi="Times New Roman" w:cs="Times New Roman"/>
          <w:bCs/>
          <w:szCs w:val="21"/>
        </w:rPr>
        <w:t>e</w:t>
      </w:r>
      <w:r>
        <w:rPr>
          <w:rFonts w:ascii="Times New Roman" w:hAnsi="Times New Roman" w:cs="Times New Roman"/>
          <w:bCs/>
          <w:szCs w:val="21"/>
        </w:rPr>
        <w:t xml:space="preserve">, intellectual disabilities, 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>or</w:t>
      </w:r>
      <w:r>
        <w:rPr>
          <w:rFonts w:ascii="Times New Roman" w:hAnsi="Times New Roman" w:cs="Times New Roman"/>
          <w:bCs/>
          <w:szCs w:val="21"/>
        </w:rPr>
        <w:t xml:space="preserve"> MRI-related contraindications.</w:t>
      </w:r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Th</w:t>
      </w:r>
      <w:r>
        <w:rPr>
          <w:rFonts w:hint="eastAsia" w:ascii="Times New Roman" w:hAnsi="Times New Roman" w:cs="Times New Roman"/>
          <w:bCs/>
          <w:szCs w:val="21"/>
        </w:rPr>
        <w:t>is</w:t>
      </w:r>
      <w:r>
        <w:rPr>
          <w:rFonts w:ascii="Times New Roman" w:hAnsi="Times New Roman" w:cs="Times New Roman"/>
          <w:bCs/>
          <w:szCs w:val="21"/>
        </w:rPr>
        <w:t xml:space="preserve"> study was approved by the Ethics Committee of Peking University Sixth Hospital and was carried out in accordance with the Declaration of Helsinki.</w:t>
      </w:r>
      <w:r>
        <w:rPr>
          <w:rFonts w:hint="eastAsia" w:ascii="Times New Roman" w:hAnsi="Times New Roman" w:cs="Times New Roman"/>
          <w:bCs/>
          <w:szCs w:val="21"/>
        </w:rPr>
        <w:t xml:space="preserve"> B</w:t>
      </w:r>
      <w:r>
        <w:rPr>
          <w:rFonts w:ascii="Times New Roman" w:hAnsi="Times New Roman" w:cs="Times New Roman"/>
          <w:bCs/>
          <w:szCs w:val="21"/>
        </w:rPr>
        <w:t xml:space="preserve">efore participating in this 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>study</w:t>
      </w:r>
      <w:r>
        <w:rPr>
          <w:rFonts w:hint="eastAsia" w:ascii="Times New Roman" w:hAnsi="Times New Roman" w:cs="Times New Roman"/>
          <w:bCs/>
          <w:szCs w:val="21"/>
        </w:rPr>
        <w:t>, w</w:t>
      </w:r>
      <w:r>
        <w:rPr>
          <w:rFonts w:ascii="Times New Roman" w:hAnsi="Times New Roman" w:cs="Times New Roman"/>
          <w:bCs/>
          <w:szCs w:val="21"/>
        </w:rPr>
        <w:t xml:space="preserve">ritten informed consent was obtained from each </w:t>
      </w:r>
      <w:r>
        <w:rPr>
          <w:rFonts w:hint="eastAsia" w:ascii="Times New Roman" w:hAnsi="Times New Roman" w:cs="Times New Roman"/>
          <w:bCs/>
          <w:szCs w:val="21"/>
        </w:rPr>
        <w:t>participant</w:t>
      </w:r>
      <w:r>
        <w:rPr>
          <w:rFonts w:ascii="Times New Roman" w:hAnsi="Times New Roman" w:cs="Times New Roman"/>
          <w:bCs/>
          <w:szCs w:val="21"/>
        </w:rPr>
        <w:t xml:space="preserve">. 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bCs/>
          <w:szCs w:val="21"/>
        </w:rPr>
      </w:pPr>
      <w:r>
        <w:rPr>
          <w:rFonts w:hint="eastAsia" w:ascii="Times New Roman" w:hAnsi="Times New Roman" w:cs="Times New Roman"/>
          <w:bCs/>
          <w:szCs w:val="21"/>
        </w:rPr>
        <w:t>P</w:t>
      </w:r>
      <w:r>
        <w:rPr>
          <w:rFonts w:ascii="Times New Roman" w:hAnsi="Times New Roman" w:cs="Times New Roman"/>
          <w:bCs/>
          <w:szCs w:val="21"/>
        </w:rPr>
        <w:t xml:space="preserve">atients received 8 </w:t>
      </w:r>
      <w:r>
        <w:rPr>
          <w:rFonts w:hint="eastAsia" w:ascii="Times New Roman" w:hAnsi="Times New Roman" w:cs="Times New Roman"/>
          <w:bCs/>
          <w:szCs w:val="21"/>
        </w:rPr>
        <w:t>weeks</w:t>
      </w:r>
      <w:r>
        <w:rPr>
          <w:rFonts w:ascii="Times New Roman" w:hAnsi="Times New Roman" w:cs="Times New Roman"/>
          <w:bCs/>
          <w:szCs w:val="21"/>
        </w:rPr>
        <w:t xml:space="preserve"> of escitalopram </w:t>
      </w:r>
      <w:r>
        <w:rPr>
          <w:rFonts w:hint="eastAsia" w:ascii="Times New Roman" w:hAnsi="Times New Roman" w:cs="Times New Roman"/>
          <w:bCs/>
          <w:szCs w:val="21"/>
        </w:rPr>
        <w:t>treatment</w:t>
      </w:r>
      <w:r>
        <w:rPr>
          <w:rFonts w:ascii="Times New Roman" w:hAnsi="Times New Roman" w:cs="Times New Roman"/>
          <w:bCs/>
          <w:szCs w:val="21"/>
        </w:rPr>
        <w:t xml:space="preserve"> following</w:t>
      </w:r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baseline MRI scan</w:t>
      </w:r>
      <w:r>
        <w:rPr>
          <w:rFonts w:hint="eastAsia" w:ascii="Times New Roman" w:hAnsi="Times New Roman" w:cs="Times New Roman"/>
          <w:bCs/>
          <w:szCs w:val="21"/>
        </w:rPr>
        <w:t>s</w:t>
      </w:r>
      <w:r>
        <w:rPr>
          <w:rFonts w:ascii="Times New Roman" w:hAnsi="Times New Roman" w:cs="Times New Roman"/>
          <w:bCs/>
          <w:szCs w:val="21"/>
        </w:rPr>
        <w:t xml:space="preserve">. </w:t>
      </w:r>
      <w:r>
        <w:rPr>
          <w:rFonts w:hint="eastAsia" w:ascii="Times New Roman" w:hAnsi="Times New Roman" w:cs="Times New Roman"/>
          <w:bCs/>
          <w:szCs w:val="21"/>
        </w:rPr>
        <w:t>Among the initial 72 patients, 14 changed medications or discontinued treatment due to poor response or intolerable side effects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Cs/>
          <w:szCs w:val="21"/>
        </w:rPr>
        <w:t xml:space="preserve"> 11 patients refused to participate in further experiments because of unsuitable personal time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Cs/>
          <w:szCs w:val="21"/>
        </w:rPr>
        <w:t xml:space="preserve"> and 2 patients had excessive head movement. After </w:t>
      </w:r>
      <w:r>
        <w:rPr>
          <w:rFonts w:ascii="Times New Roman" w:hAnsi="Times New Roman" w:cs="Times New Roman"/>
          <w:bCs/>
          <w:szCs w:val="21"/>
        </w:rPr>
        <w:t>these</w:t>
      </w:r>
      <w:r>
        <w:rPr>
          <w:rFonts w:hint="eastAsia" w:ascii="Times New Roman" w:hAnsi="Times New Roman" w:cs="Times New Roman"/>
          <w:bCs/>
          <w:szCs w:val="21"/>
        </w:rPr>
        <w:t xml:space="preserve"> exclusion</w:t>
      </w:r>
      <w:r>
        <w:rPr>
          <w:rFonts w:ascii="Times New Roman" w:hAnsi="Times New Roman" w:cs="Times New Roman"/>
          <w:bCs/>
          <w:szCs w:val="21"/>
        </w:rPr>
        <w:t>s</w:t>
      </w:r>
      <w:r>
        <w:rPr>
          <w:rFonts w:hint="eastAsia" w:ascii="Times New Roman" w:hAnsi="Times New Roman" w:cs="Times New Roman"/>
          <w:bCs/>
          <w:szCs w:val="21"/>
        </w:rPr>
        <w:t>, 45 patients remained. The initial dose of escitalopram was 10 mg/day, increased to 20 mg/day within 1 week, and continued until the experiments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Cs/>
          <w:szCs w:val="21"/>
        </w:rPr>
        <w:t>were completed. During the study period, t</w:t>
      </w:r>
      <w:r>
        <w:rPr>
          <w:rFonts w:ascii="Times New Roman" w:hAnsi="Times New Roman" w:cs="Times New Roman"/>
          <w:bCs/>
          <w:szCs w:val="21"/>
        </w:rPr>
        <w:t xml:space="preserve">he dose of escitalopram for each </w:t>
      </w:r>
      <w:r>
        <w:rPr>
          <w:rFonts w:hint="eastAsia" w:ascii="Times New Roman" w:hAnsi="Times New Roman" w:cs="Times New Roman"/>
          <w:bCs/>
          <w:szCs w:val="21"/>
        </w:rPr>
        <w:t>patient</w:t>
      </w:r>
      <w:r>
        <w:rPr>
          <w:rFonts w:ascii="Times New Roman" w:hAnsi="Times New Roman" w:cs="Times New Roman"/>
          <w:bCs/>
          <w:szCs w:val="21"/>
        </w:rPr>
        <w:t xml:space="preserve"> was determined by the attending physician according to </w:t>
      </w:r>
      <w:r>
        <w:rPr>
          <w:rFonts w:hint="eastAsia" w:ascii="Times New Roman" w:hAnsi="Times New Roman" w:cs="Times New Roman"/>
          <w:bCs/>
          <w:szCs w:val="21"/>
        </w:rPr>
        <w:t>patient response</w:t>
      </w:r>
      <w:r>
        <w:rPr>
          <w:rFonts w:ascii="Times New Roman" w:hAnsi="Times New Roman" w:cs="Times New Roman"/>
          <w:bCs/>
          <w:szCs w:val="21"/>
        </w:rPr>
        <w:t xml:space="preserve">. The final doses of escitalopram were </w:t>
      </w:r>
      <w:r>
        <w:rPr>
          <w:rFonts w:hint="eastAsia" w:ascii="Times New Roman" w:hAnsi="Times New Roman" w:cs="Times New Roman"/>
          <w:bCs/>
          <w:szCs w:val="21"/>
        </w:rPr>
        <w:t>10</w:t>
      </w:r>
      <w:r>
        <w:rPr>
          <w:rFonts w:ascii="Times New Roman" w:hAnsi="Times New Roman" w:cs="Times New Roman"/>
          <w:bCs/>
          <w:szCs w:val="21"/>
        </w:rPr>
        <w:t xml:space="preserve"> mg/day (</w:t>
      </w:r>
      <w:r>
        <w:rPr>
          <w:rFonts w:hint="eastAsia" w:ascii="Times New Roman" w:hAnsi="Times New Roman" w:cs="Times New Roman"/>
          <w:bCs/>
          <w:szCs w:val="21"/>
        </w:rPr>
        <w:t>n</w:t>
      </w:r>
      <w:r>
        <w:rPr>
          <w:rFonts w:ascii="Times New Roman" w:hAnsi="Times New Roman" w:cs="Times New Roman"/>
          <w:bCs/>
          <w:szCs w:val="21"/>
        </w:rPr>
        <w:t xml:space="preserve"> = </w:t>
      </w:r>
      <w:r>
        <w:rPr>
          <w:rFonts w:hint="eastAsia" w:ascii="Times New Roman" w:hAnsi="Times New Roman" w:cs="Times New Roman"/>
          <w:bCs/>
          <w:szCs w:val="21"/>
        </w:rPr>
        <w:t>7</w:t>
      </w:r>
      <w:r>
        <w:rPr>
          <w:rFonts w:ascii="Times New Roman" w:hAnsi="Times New Roman" w:cs="Times New Roman"/>
          <w:bCs/>
          <w:szCs w:val="21"/>
        </w:rPr>
        <w:t>), 15 mg/day (</w:t>
      </w:r>
      <w:r>
        <w:rPr>
          <w:rFonts w:hint="eastAsia" w:ascii="Times New Roman" w:hAnsi="Times New Roman" w:cs="Times New Roman"/>
          <w:bCs/>
          <w:szCs w:val="21"/>
        </w:rPr>
        <w:t>n</w:t>
      </w:r>
      <w:r>
        <w:rPr>
          <w:rFonts w:ascii="Times New Roman" w:hAnsi="Times New Roman" w:cs="Times New Roman"/>
          <w:bCs/>
          <w:szCs w:val="21"/>
        </w:rPr>
        <w:t xml:space="preserve"> = </w:t>
      </w:r>
      <w:r>
        <w:rPr>
          <w:rFonts w:hint="eastAsia" w:ascii="Times New Roman" w:hAnsi="Times New Roman" w:cs="Times New Roman"/>
          <w:bCs/>
          <w:szCs w:val="21"/>
        </w:rPr>
        <w:t>1</w:t>
      </w:r>
      <w:r>
        <w:rPr>
          <w:rFonts w:ascii="Times New Roman" w:hAnsi="Times New Roman" w:cs="Times New Roman"/>
          <w:bCs/>
          <w:szCs w:val="21"/>
        </w:rPr>
        <w:t xml:space="preserve">4), or </w:t>
      </w:r>
      <w:r>
        <w:rPr>
          <w:rFonts w:hint="eastAsia" w:ascii="Times New Roman" w:hAnsi="Times New Roman" w:cs="Times New Roman"/>
          <w:bCs/>
          <w:szCs w:val="21"/>
        </w:rPr>
        <w:t>20</w:t>
      </w:r>
      <w:r>
        <w:rPr>
          <w:rFonts w:ascii="Times New Roman" w:hAnsi="Times New Roman" w:cs="Times New Roman"/>
          <w:bCs/>
          <w:szCs w:val="21"/>
        </w:rPr>
        <w:t xml:space="preserve"> mg/day (</w:t>
      </w:r>
      <w:r>
        <w:rPr>
          <w:rFonts w:hint="eastAsia" w:ascii="Times New Roman" w:hAnsi="Times New Roman" w:cs="Times New Roman"/>
          <w:bCs/>
          <w:szCs w:val="21"/>
        </w:rPr>
        <w:t>n</w:t>
      </w:r>
      <w:r>
        <w:rPr>
          <w:rFonts w:ascii="Times New Roman" w:hAnsi="Times New Roman" w:cs="Times New Roman"/>
          <w:bCs/>
          <w:szCs w:val="21"/>
        </w:rPr>
        <w:t xml:space="preserve"> = </w:t>
      </w:r>
      <w:r>
        <w:rPr>
          <w:rFonts w:hint="eastAsia" w:ascii="Times New Roman" w:hAnsi="Times New Roman" w:cs="Times New Roman"/>
          <w:bCs/>
          <w:szCs w:val="21"/>
        </w:rPr>
        <w:t>24</w:t>
      </w:r>
      <w:r>
        <w:rPr>
          <w:rFonts w:ascii="Times New Roman" w:hAnsi="Times New Roman" w:cs="Times New Roman"/>
          <w:bCs/>
          <w:szCs w:val="21"/>
        </w:rPr>
        <w:t xml:space="preserve">). </w:t>
      </w:r>
      <w:r>
        <w:rPr>
          <w:rFonts w:hint="eastAsia" w:ascii="Times New Roman" w:hAnsi="Times New Roman" w:cs="Times New Roman"/>
          <w:bCs/>
          <w:szCs w:val="21"/>
        </w:rPr>
        <w:t>At the end of the 8 weeks of treatment, the mean dose of escitalopram given to all patients was 16.9 ± 3.7 mg/day.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 xml:space="preserve">MRI data were </w:t>
      </w:r>
      <w:r>
        <w:rPr>
          <w:rFonts w:hint="eastAsia" w:ascii="Times New Roman" w:hAnsi="Times New Roman" w:cs="Times New Roman"/>
          <w:bCs/>
          <w:szCs w:val="21"/>
        </w:rPr>
        <w:t>gather</w:t>
      </w:r>
      <w:r>
        <w:rPr>
          <w:rFonts w:ascii="Times New Roman" w:hAnsi="Times New Roman" w:cs="Times New Roman"/>
          <w:bCs/>
          <w:szCs w:val="21"/>
        </w:rPr>
        <w:t xml:space="preserve">ed on </w:t>
      </w:r>
      <w:r>
        <w:rPr>
          <w:rFonts w:hint="eastAsia" w:ascii="Times New Roman" w:hAnsi="Times New Roman" w:cs="Times New Roman"/>
          <w:bCs/>
          <w:szCs w:val="21"/>
        </w:rPr>
        <w:t xml:space="preserve">a </w:t>
      </w:r>
      <w:r>
        <w:rPr>
          <w:rFonts w:ascii="Times New Roman" w:hAnsi="Times New Roman" w:cs="Times New Roman"/>
          <w:bCs/>
          <w:szCs w:val="21"/>
        </w:rPr>
        <w:t>3.0 T scanner</w:t>
      </w:r>
      <w:r>
        <w:rPr>
          <w:rFonts w:hint="eastAsia" w:ascii="Times New Roman" w:hAnsi="Times New Roman" w:cs="Times New Roman"/>
          <w:bCs/>
          <w:szCs w:val="21"/>
        </w:rPr>
        <w:t xml:space="preserve"> (Siemens Magnetom Trio; Erlangen, Germany)</w:t>
      </w:r>
      <w:r>
        <w:rPr>
          <w:rFonts w:ascii="Times New Roman" w:hAnsi="Times New Roman" w:cs="Times New Roman"/>
          <w:bCs/>
          <w:szCs w:val="21"/>
        </w:rPr>
        <w:t>. Functional images were collected with an echo-planar imaging sequence (slice thickness = 4</w:t>
      </w:r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mm, slice gap = 0.8 mm, 30 slices, repetition time (TR) = 2000 ms, echo time (TE) = 30 ms, flip angle (FA) = 90°, matrix = 64×64</w:t>
      </w:r>
      <w:r>
        <w:rPr>
          <w:rFonts w:hint="eastAsia" w:ascii="Times New Roman" w:hAnsi="Times New Roman" w:cs="Times New Roman"/>
          <w:bCs/>
          <w:szCs w:val="21"/>
        </w:rPr>
        <w:t>,</w:t>
      </w:r>
      <w:r>
        <w:rPr>
          <w:rFonts w:ascii="Times New Roman" w:hAnsi="Times New Roman" w:cs="Times New Roman"/>
          <w:bCs/>
          <w:szCs w:val="21"/>
        </w:rPr>
        <w:t xml:space="preserve"> and a total of 210 volumes). T1-weighted structural images were </w:t>
      </w:r>
      <w:r>
        <w:rPr>
          <w:rFonts w:hint="eastAsia" w:ascii="Times New Roman" w:hAnsi="Times New Roman" w:cs="Times New Roman"/>
          <w:bCs/>
          <w:szCs w:val="21"/>
        </w:rPr>
        <w:t>acquired</w:t>
      </w:r>
      <w:r>
        <w:rPr>
          <w:rFonts w:ascii="Times New Roman" w:hAnsi="Times New Roman" w:cs="Times New Roman"/>
          <w:bCs/>
          <w:szCs w:val="21"/>
        </w:rPr>
        <w:t xml:space="preserve"> with a magnetization-prepared rapidly acquired gradient-echo (MPRAGE) sequence (slice thickness = 1</w:t>
      </w:r>
      <w:r>
        <w:rPr>
          <w:rFonts w:hint="eastAsia" w:ascii="Times New Roman" w:hAnsi="Times New Roman" w:cs="Times New Roman"/>
          <w:bCs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mm, slice gap = 0 mm, TR = 2300 ms, TE = 3.01 ms, FA = 9°, matrix = 256 × 256).</w:t>
      </w:r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Before the scan, all participants were instructed to close their eyes, unwind, avoid dozing off, stay still, and refrain from thinking about anything specific. After the </w:t>
      </w:r>
      <w:r>
        <w:rPr>
          <w:rFonts w:hint="eastAsia" w:ascii="Times New Roman" w:hAnsi="Times New Roman" w:cs="Times New Roman"/>
          <w:bCs/>
          <w:szCs w:val="21"/>
        </w:rPr>
        <w:t>scan</w:t>
      </w:r>
      <w:r>
        <w:rPr>
          <w:rFonts w:ascii="Times New Roman" w:hAnsi="Times New Roman" w:cs="Times New Roman"/>
          <w:bCs/>
          <w:szCs w:val="21"/>
        </w:rPr>
        <w:t xml:space="preserve">, </w:t>
      </w:r>
      <w:r>
        <w:rPr>
          <w:rFonts w:hint="eastAsia" w:ascii="Times New Roman" w:hAnsi="Times New Roman" w:cs="Times New Roman"/>
          <w:bCs/>
          <w:szCs w:val="21"/>
        </w:rPr>
        <w:t>no</w:t>
      </w:r>
      <w:r>
        <w:rPr>
          <w:rFonts w:ascii="Times New Roman" w:hAnsi="Times New Roman" w:cs="Times New Roman"/>
          <w:bCs/>
          <w:szCs w:val="21"/>
        </w:rPr>
        <w:t xml:space="preserve"> participant reported falling asleep.</w:t>
      </w:r>
    </w:p>
    <w:p>
      <w:pPr>
        <w:spacing w:line="360" w:lineRule="auto"/>
        <w:ind w:firstLine="420" w:firstLineChars="200"/>
        <w:rPr>
          <w:rFonts w:ascii="Times New Roman" w:hAnsi="Times New Roman" w:cs="Times New Roman"/>
          <w:bCs/>
          <w:szCs w:val="21"/>
        </w:rPr>
      </w:pP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Supplementary Table 1 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Demographic and clinical characteristics of the MDD patients in Dataset 2 (n=45).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9"/>
        <w:gridCol w:w="1752"/>
        <w:gridCol w:w="2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250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Week 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 (years)</w:t>
            </w:r>
          </w:p>
        </w:tc>
        <w:tc>
          <w:tcPr>
            <w:tcW w:w="1752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32.7±</w:t>
            </w:r>
            <w:r>
              <w:rPr>
                <w:rFonts w:hint="eastAsia" w:ascii="Times New Roman" w:hAnsi="Times New Roman" w:cs="Times New Roman"/>
              </w:rPr>
              <w:t>9.9</w:t>
            </w:r>
          </w:p>
        </w:tc>
        <w:tc>
          <w:tcPr>
            <w:tcW w:w="2508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32.8</w:t>
            </w:r>
            <w:r>
              <w:rPr>
                <w:rFonts w:ascii="Times New Roman" w:hAnsi="Times New Roman" w:cs="Times New Roman"/>
              </w:rPr>
              <w:t>±</w:t>
            </w:r>
            <w:r>
              <w:rPr>
                <w:rFonts w:hint="eastAsia" w:ascii="Times New Roman" w:hAnsi="Times New Roman" w:cs="Times New Roman"/>
              </w:rPr>
              <w:t>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Sex (male/female)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17/28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Education (years)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15.5</w:t>
            </w:r>
            <w:r>
              <w:rPr>
                <w:rFonts w:ascii="Times New Roman" w:hAnsi="Times New Roman" w:cs="Times New Roman"/>
              </w:rPr>
              <w:t>±</w:t>
            </w:r>
            <w:r>
              <w:rPr>
                <w:rFonts w:hint="eastAsia" w:ascii="Times New Roman" w:hAnsi="Times New Roman" w:cs="Times New Roman"/>
              </w:rPr>
              <w:t>2.1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HAMD</w:t>
            </w:r>
            <w:r>
              <w:rPr>
                <w:rFonts w:ascii="Times New Roman" w:hAnsi="Times New Roman" w:cs="Times New Roman"/>
                <w:vertAlign w:val="subscript"/>
              </w:rPr>
              <w:t>17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23.8</w:t>
            </w:r>
            <w:r>
              <w:rPr>
                <w:rFonts w:ascii="Times New Roman" w:hAnsi="Times New Roman" w:cs="Times New Roman"/>
              </w:rPr>
              <w:t>±</w:t>
            </w:r>
            <w:r>
              <w:rPr>
                <w:rFonts w:hint="eastAsia" w:ascii="Times New Roman" w:hAnsi="Times New Roman" w:cs="Times New Roman"/>
              </w:rPr>
              <w:t>5.4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6.7</w:t>
            </w:r>
            <w:r>
              <w:rPr>
                <w:rFonts w:ascii="Times New Roman" w:hAnsi="Times New Roman" w:cs="Times New Roman"/>
              </w:rPr>
              <w:t>±</w:t>
            </w:r>
            <w:r>
              <w:rPr>
                <w:rFonts w:hint="eastAsia" w:ascii="Times New Roman" w:hAnsi="Times New Roman" w:cs="Times New Roman"/>
              </w:rPr>
              <w:t>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Average dose of escitalopram (mg)</w:t>
            </w:r>
          </w:p>
        </w:tc>
        <w:tc>
          <w:tcPr>
            <w:tcW w:w="1752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16.9 ± 3.7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>
        <w:rPr>
          <w:rFonts w:hint="eastAsia" w:ascii="Times New Roman" w:hAnsi="Times New Roman" w:cs="Times New Roman"/>
          <w:lang w:val="en-US" w:eastAsia="zh-CN"/>
        </w:rPr>
        <w:t>D</w:t>
      </w:r>
      <w:r>
        <w:rPr>
          <w:rFonts w:ascii="Times New Roman" w:hAnsi="Times New Roman" w:cs="Times New Roman"/>
        </w:rPr>
        <w:t>ata are presented as mean ± standard deviation. HAMD</w:t>
      </w:r>
      <w:r>
        <w:rPr>
          <w:rFonts w:ascii="Times New Roman" w:hAnsi="Times New Roman" w:cs="Times New Roman"/>
          <w:vertAlign w:val="subscript"/>
        </w:rPr>
        <w:t>17</w:t>
      </w:r>
      <w:r>
        <w:rPr>
          <w:rFonts w:ascii="Times New Roman" w:hAnsi="Times New Roman" w:cs="Times New Roman"/>
        </w:rPr>
        <w:t>, 17</w:t>
      </w:r>
      <w:r>
        <w:rPr>
          <w:rFonts w:hint="eastAsia" w:ascii="Times New Roman" w:hAnsi="Times New Roman" w:cs="Times New Roman"/>
          <w:lang w:val="en-US" w:eastAsia="zh-CN"/>
        </w:rPr>
        <w:t>-</w:t>
      </w:r>
      <w:r>
        <w:rPr>
          <w:rFonts w:ascii="Times New Roman" w:hAnsi="Times New Roman" w:cs="Times New Roman"/>
        </w:rPr>
        <w:t xml:space="preserve">item Hamilton Rating Scale for </w:t>
      </w:r>
      <w:r>
        <w:rPr>
          <w:rFonts w:hint="eastAsia" w:ascii="Times New Roman" w:hAnsi="Times New Roman" w:cs="Times New Roman"/>
          <w:lang w:val="en-US" w:eastAsia="zh-CN"/>
        </w:rPr>
        <w:t>D</w:t>
      </w:r>
      <w:r>
        <w:rPr>
          <w:rFonts w:ascii="Times New Roman" w:hAnsi="Times New Roman" w:cs="Times New Roman"/>
        </w:rPr>
        <w:t>epression.</w: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 xml:space="preserve">Supplementary Table </w:t>
      </w:r>
      <w:r>
        <w:rPr>
          <w:rFonts w:hint="eastAsia" w:ascii="Times New Roman" w:hAnsi="Times New Roman" w:cs="Times New Roman"/>
          <w:szCs w:val="21"/>
        </w:rPr>
        <w:t>2</w:t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Scan parameters of R</w:t>
      </w:r>
      <w:r>
        <w:rPr>
          <w:rFonts w:hint="eastAsia" w:ascii="Times New Roman" w:hAnsi="Times New Roman" w:eastAsia="宋体" w:cs="Times New Roman"/>
          <w:bCs/>
          <w:szCs w:val="21"/>
          <w:lang w:val="en-US" w:eastAsia="zh-CN"/>
        </w:rPr>
        <w:t>S</w:t>
      </w:r>
      <w:r>
        <w:rPr>
          <w:rFonts w:ascii="Times New Roman" w:hAnsi="Times New Roman" w:eastAsia="宋体" w:cs="Times New Roman"/>
          <w:bCs/>
          <w:szCs w:val="21"/>
        </w:rPr>
        <w:t>-fMRI from each center</w:t>
      </w:r>
    </w:p>
    <w:tbl>
      <w:tblPr>
        <w:tblStyle w:val="8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806"/>
        <w:gridCol w:w="574"/>
        <w:gridCol w:w="544"/>
        <w:gridCol w:w="515"/>
        <w:gridCol w:w="856"/>
        <w:gridCol w:w="704"/>
        <w:gridCol w:w="995"/>
        <w:gridCol w:w="644"/>
        <w:gridCol w:w="944"/>
        <w:gridCol w:w="614"/>
        <w:gridCol w:w="5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43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Center</w:t>
            </w:r>
          </w:p>
        </w:tc>
        <w:tc>
          <w:tcPr>
            <w:tcW w:w="472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Scanner</w:t>
            </w:r>
          </w:p>
        </w:tc>
        <w:tc>
          <w:tcPr>
            <w:tcW w:w="337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(ms)</w:t>
            </w:r>
          </w:p>
        </w:tc>
        <w:tc>
          <w:tcPr>
            <w:tcW w:w="319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(ms)</w:t>
            </w:r>
          </w:p>
        </w:tc>
        <w:tc>
          <w:tcPr>
            <w:tcW w:w="302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hint="eastAsia" w:ascii="Times New Roman" w:hAnsi="Times New Roman" w:cs="Times New Roman"/>
              </w:rPr>
              <w:t>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01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FOV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(mm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1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Matrix</w:t>
            </w:r>
          </w:p>
        </w:tc>
        <w:tc>
          <w:tcPr>
            <w:tcW w:w="58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Resolution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(mm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78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Slices</w:t>
            </w:r>
          </w:p>
        </w:tc>
        <w:tc>
          <w:tcPr>
            <w:tcW w:w="55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Thickness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(mm)</w:t>
            </w:r>
          </w:p>
        </w:tc>
        <w:tc>
          <w:tcPr>
            <w:tcW w:w="360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Gap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(mm)</w:t>
            </w:r>
          </w:p>
        </w:tc>
        <w:tc>
          <w:tcPr>
            <w:tcW w:w="343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433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CMU</w:t>
            </w:r>
          </w:p>
        </w:tc>
        <w:tc>
          <w:tcPr>
            <w:tcW w:w="472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 HDxT 3T</w:t>
            </w:r>
          </w:p>
        </w:tc>
        <w:tc>
          <w:tcPr>
            <w:tcW w:w="337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19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02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01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240×240</w:t>
            </w:r>
          </w:p>
        </w:tc>
        <w:tc>
          <w:tcPr>
            <w:tcW w:w="413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64×64</w:t>
            </w:r>
          </w:p>
        </w:tc>
        <w:tc>
          <w:tcPr>
            <w:tcW w:w="583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3.75×3.75</w:t>
            </w:r>
          </w:p>
        </w:tc>
        <w:tc>
          <w:tcPr>
            <w:tcW w:w="378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53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pct"/>
            <w:tcBorders>
              <w:top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70" w:hRule="atLeast"/>
        </w:trPr>
        <w:tc>
          <w:tcPr>
            <w:tcW w:w="43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CSU</w:t>
            </w:r>
          </w:p>
        </w:tc>
        <w:tc>
          <w:tcPr>
            <w:tcW w:w="472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 HDxT 3T</w:t>
            </w:r>
          </w:p>
        </w:tc>
        <w:tc>
          <w:tcPr>
            <w:tcW w:w="337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19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2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01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220×220</w:t>
            </w:r>
          </w:p>
        </w:tc>
        <w:tc>
          <w:tcPr>
            <w:tcW w:w="41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64×64</w:t>
            </w:r>
          </w:p>
        </w:tc>
        <w:tc>
          <w:tcPr>
            <w:tcW w:w="58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3.44×3.44</w:t>
            </w:r>
          </w:p>
        </w:tc>
        <w:tc>
          <w:tcPr>
            <w:tcW w:w="378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5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0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4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43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PKU</w:t>
            </w:r>
          </w:p>
        </w:tc>
        <w:tc>
          <w:tcPr>
            <w:tcW w:w="472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Siemens Trio 3T</w:t>
            </w:r>
          </w:p>
        </w:tc>
        <w:tc>
          <w:tcPr>
            <w:tcW w:w="337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19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2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01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210×210</w:t>
            </w:r>
          </w:p>
        </w:tc>
        <w:tc>
          <w:tcPr>
            <w:tcW w:w="41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64×64</w:t>
            </w:r>
          </w:p>
        </w:tc>
        <w:tc>
          <w:tcPr>
            <w:tcW w:w="58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3.28×3.28</w:t>
            </w:r>
          </w:p>
        </w:tc>
        <w:tc>
          <w:tcPr>
            <w:tcW w:w="378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0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34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43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SCU</w:t>
            </w:r>
          </w:p>
        </w:tc>
        <w:tc>
          <w:tcPr>
            <w:tcW w:w="472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 EXCITE 3T</w:t>
            </w:r>
          </w:p>
        </w:tc>
        <w:tc>
          <w:tcPr>
            <w:tcW w:w="337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19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2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01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220×220</w:t>
            </w:r>
          </w:p>
        </w:tc>
        <w:tc>
          <w:tcPr>
            <w:tcW w:w="41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64×64</w:t>
            </w:r>
          </w:p>
        </w:tc>
        <w:tc>
          <w:tcPr>
            <w:tcW w:w="58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3.44×3.44</w:t>
            </w:r>
          </w:p>
        </w:tc>
        <w:tc>
          <w:tcPr>
            <w:tcW w:w="378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0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3" w:type="pct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433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SWU</w:t>
            </w:r>
          </w:p>
        </w:tc>
        <w:tc>
          <w:tcPr>
            <w:tcW w:w="472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Siemens Trio 3T</w:t>
            </w:r>
          </w:p>
        </w:tc>
        <w:tc>
          <w:tcPr>
            <w:tcW w:w="337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19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2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01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220×220</w:t>
            </w:r>
          </w:p>
        </w:tc>
        <w:tc>
          <w:tcPr>
            <w:tcW w:w="413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64×64</w:t>
            </w:r>
          </w:p>
        </w:tc>
        <w:tc>
          <w:tcPr>
            <w:tcW w:w="583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3.44×3.44</w:t>
            </w:r>
          </w:p>
        </w:tc>
        <w:tc>
          <w:tcPr>
            <w:tcW w:w="378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53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" w:type="pct"/>
            <w:tcBorders>
              <w:bottom w:val="single" w:color="auto" w:sz="12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</w:tr>
    </w:tbl>
    <w:p>
      <w:pPr>
        <w:spacing w:line="360" w:lineRule="auto"/>
        <w:rPr>
          <w:rFonts w:ascii="Times New Roman" w:hAnsi="Times New Roman" w:eastAsia="等线" w:cs="Times New Roman"/>
          <w:szCs w:val="21"/>
        </w:rPr>
      </w:pPr>
      <w:r>
        <w:rPr>
          <w:rFonts w:ascii="Times New Roman" w:hAnsi="Times New Roman" w:eastAsia="等线" w:cs="Times New Roman"/>
          <w:szCs w:val="21"/>
        </w:rPr>
        <w:t>Abbreviations: TR, repetition time; TE, echo time; FA, flip angle; FOV, field of view; VOL, volume; CMU, China Medical University; CSU, Central South University; PKU, Peking University; SCU, Sichuan University; SWU, Southwest University;</w:t>
      </w:r>
      <w:r>
        <w:rPr>
          <w:szCs w:val="21"/>
        </w:rPr>
        <w:t xml:space="preserve"> </w:t>
      </w:r>
      <w:r>
        <w:rPr>
          <w:rFonts w:ascii="Times New Roman" w:hAnsi="Times New Roman" w:eastAsia="等线" w:cs="Times New Roman"/>
          <w:szCs w:val="21"/>
        </w:rPr>
        <w:t>GE, General Electric.</w:t>
      </w:r>
    </w:p>
    <w:p>
      <w:pPr>
        <w:spacing w:line="360" w:lineRule="auto"/>
        <w:rPr>
          <w:rFonts w:ascii="Times New Roman" w:hAnsi="Times New Roman" w:eastAsia="等线" w:cs="Times New Roman"/>
          <w:szCs w:val="21"/>
        </w:rPr>
      </w:pP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Supplementary Table </w:t>
      </w:r>
      <w:r>
        <w:rPr>
          <w:rFonts w:hint="eastAsia" w:ascii="Times New Roman" w:hAnsi="Times New Roman" w:cs="Times New Roman"/>
          <w:szCs w:val="21"/>
        </w:rPr>
        <w:t>3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MNI central coordinates of the brain areas in the emotion regulation network. </w:t>
      </w:r>
    </w:p>
    <w:tbl>
      <w:tblPr>
        <w:tblStyle w:val="8"/>
        <w:tblW w:w="76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5"/>
        <w:gridCol w:w="1540"/>
        <w:gridCol w:w="656"/>
        <w:gridCol w:w="648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955" w:type="dxa"/>
            <w:vMerge w:val="restar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  <w:t>Seed regions</w:t>
            </w:r>
          </w:p>
        </w:tc>
        <w:tc>
          <w:tcPr>
            <w:tcW w:w="1540" w:type="dxa"/>
            <w:vMerge w:val="restar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  <w:t>Abbreviation</w:t>
            </w:r>
          </w:p>
        </w:tc>
        <w:tc>
          <w:tcPr>
            <w:tcW w:w="2126" w:type="dxa"/>
            <w:gridSpan w:val="3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  <w:t>MNI coordinates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955" w:type="dxa"/>
            <w:vMerge w:val="continue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40" w:type="dxa"/>
            <w:vMerge w:val="continue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</w:tcPr>
          <w:p>
            <w:pPr>
              <w:spacing w:line="360" w:lineRule="auto"/>
              <w:ind w:firstLine="211" w:firstLineChars="100"/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  <w:t xml:space="preserve">X    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Cs w:val="21"/>
              </w:rPr>
              <w:t>Y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Cs w:val="21"/>
              </w:rPr>
              <w:t xml:space="preserve"> Z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Cs w:val="21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top w:val="single" w:color="auto" w:sz="12" w:space="0"/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Left angular gyr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us</w:t>
            </w:r>
          </w:p>
        </w:tc>
        <w:tc>
          <w:tcPr>
            <w:tcW w:w="1540" w:type="dxa"/>
            <w:tcBorders>
              <w:top w:val="single" w:color="auto" w:sz="12" w:space="0"/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AG.L</w:t>
            </w:r>
          </w:p>
        </w:tc>
        <w:tc>
          <w:tcPr>
            <w:tcW w:w="656" w:type="dxa"/>
            <w:tcBorders>
              <w:top w:val="single" w:color="auto" w:sz="12" w:space="0"/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-42</w:t>
            </w:r>
          </w:p>
        </w:tc>
        <w:tc>
          <w:tcPr>
            <w:tcW w:w="648" w:type="dxa"/>
            <w:tcBorders>
              <w:top w:val="single" w:color="auto" w:sz="12" w:space="0"/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822" w:type="dxa"/>
            <w:tcBorders>
              <w:top w:val="single" w:color="auto" w:sz="12" w:space="0"/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Left amygdala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Amy.L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-21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-5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Left subgenual anterior cingulate cortex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sgACC.L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-5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Left ventrolateral prefrontal cortex 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vl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PFC.L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-34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Left precentral gyrus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reCG.L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-44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Left middle frontal cortex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MFC.L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-38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Posterior cingulate cortex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PCC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-56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Right angular gyr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us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AG.R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Right amygdala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Amy.R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-5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Right inferior frontal gyrus 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IFG.R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Right precentral gyrus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reCG.R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Right subgenual anterior cingulate cortex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sgACC.R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Right ventrolateral prefrontal cortex 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vl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PFC.R</w:t>
            </w:r>
          </w:p>
        </w:tc>
        <w:tc>
          <w:tcPr>
            <w:tcW w:w="656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648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5" w:type="dxa"/>
            <w:tcBorders>
              <w:left w:val="nil"/>
              <w:bottom w:val="single" w:color="auto" w:sz="12" w:space="0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Supplementary motor area</w:t>
            </w:r>
          </w:p>
        </w:tc>
        <w:tc>
          <w:tcPr>
            <w:tcW w:w="1540" w:type="dxa"/>
            <w:tcBorders>
              <w:left w:val="nil"/>
              <w:bottom w:val="single" w:color="auto" w:sz="12" w:space="0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SMA</w:t>
            </w:r>
          </w:p>
        </w:tc>
        <w:tc>
          <w:tcPr>
            <w:tcW w:w="656" w:type="dxa"/>
            <w:tcBorders>
              <w:left w:val="nil"/>
              <w:bottom w:val="single" w:color="auto" w:sz="12" w:space="0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</w:t>
            </w:r>
          </w:p>
        </w:tc>
        <w:tc>
          <w:tcPr>
            <w:tcW w:w="648" w:type="dxa"/>
            <w:tcBorders>
              <w:left w:val="nil"/>
              <w:bottom w:val="single" w:color="auto" w:sz="12" w:space="0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822" w:type="dxa"/>
            <w:tcBorders>
              <w:left w:val="nil"/>
              <w:bottom w:val="single" w:color="auto" w:sz="12" w:space="0"/>
              <w:right w:val="nil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58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等线" w:cs="Times New Roman"/>
          <w:szCs w:val="21"/>
        </w:rPr>
        <w:t>Abbreviations:</w:t>
      </w:r>
      <w:r>
        <w:rPr>
          <w:rFonts w:ascii="Times New Roman" w:hAnsi="Times New Roman" w:cs="Times New Roman"/>
          <w:szCs w:val="21"/>
        </w:rPr>
        <w:t xml:space="preserve"> MNI: Montreal </w:t>
      </w:r>
      <w:r>
        <w:rPr>
          <w:rFonts w:hint="eastAsia" w:ascii="Times New Roman" w:hAnsi="Times New Roman" w:cs="Times New Roman"/>
          <w:szCs w:val="21"/>
          <w:lang w:val="en-US" w:eastAsia="zh-CN"/>
        </w:rPr>
        <w:t>N</w:t>
      </w:r>
      <w:r>
        <w:rPr>
          <w:rFonts w:ascii="Times New Roman" w:hAnsi="Times New Roman" w:cs="Times New Roman"/>
          <w:szCs w:val="21"/>
        </w:rPr>
        <w:t xml:space="preserve">eurological </w:t>
      </w:r>
      <w:r>
        <w:rPr>
          <w:rFonts w:hint="eastAsia" w:ascii="Times New Roman" w:hAnsi="Times New Roman" w:cs="Times New Roman"/>
          <w:szCs w:val="21"/>
          <w:lang w:val="en-US" w:eastAsia="zh-CN"/>
        </w:rPr>
        <w:t>I</w:t>
      </w:r>
      <w:r>
        <w:rPr>
          <w:rFonts w:ascii="Times New Roman" w:hAnsi="Times New Roman" w:cs="Times New Roman"/>
          <w:szCs w:val="21"/>
        </w:rPr>
        <w:t>nstitute</w:t>
      </w:r>
      <w:r>
        <w:rPr>
          <w:rFonts w:hint="eastAsia" w:ascii="Times New Roman" w:hAnsi="Times New Roman" w:cs="Times New Roman"/>
          <w:szCs w:val="21"/>
        </w:rPr>
        <w:t xml:space="preserve">; </w:t>
      </w:r>
      <w:r>
        <w:rPr>
          <w:rFonts w:hint="eastAsia" w:ascii="Times New Roman" w:hAnsi="Times New Roman" w:cs="Times New Roman"/>
        </w:rPr>
        <w:t xml:space="preserve">L, left side; </w:t>
      </w:r>
      <w:r>
        <w:rPr>
          <w:rFonts w:ascii="Times New Roman" w:hAnsi="Times New Roman" w:cs="Times New Roman"/>
        </w:rPr>
        <w:t>R, right side</w:t>
      </w:r>
      <w:r>
        <w:rPr>
          <w:rFonts w:ascii="Times New Roman" w:hAnsi="Times New Roman" w:cs="Times New Roman"/>
          <w:szCs w:val="21"/>
        </w:rPr>
        <w:t>.</w:t>
      </w:r>
    </w:p>
    <w:p>
      <w:pPr>
        <w:spacing w:line="360" w:lineRule="auto"/>
        <w:rPr>
          <w:rFonts w:ascii="Times New Roman" w:hAnsi="Times New Roman" w:eastAsia="等线" w:cs="Times New Roman"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  <w:color w:val="auto"/>
          <w:szCs w:val="21"/>
          <w:lang w:val="en-US" w:eastAsia="zh-CN"/>
        </w:rPr>
      </w:pPr>
      <w:r>
        <w:rPr>
          <w:rFonts w:ascii="Times New Roman" w:hAnsi="Times New Roman" w:cs="Times New Roman"/>
          <w:color w:val="auto"/>
          <w:szCs w:val="21"/>
        </w:rPr>
        <w:t xml:space="preserve">Supplementary Table 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4</w:t>
      </w:r>
    </w:p>
    <w:p>
      <w:pPr>
        <w:spacing w:line="360" w:lineRule="auto"/>
        <w:rPr>
          <w:rFonts w:hint="default" w:ascii="Times New Roman" w:hAnsi="Times New Roman" w:cs="Times New Roman"/>
          <w:color w:val="auto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Partial correlation analyses with the baseline HAMD as an additional covariate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3"/>
        <w:gridCol w:w="1704"/>
        <w:gridCol w:w="1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vertAlign w:val="baseline"/>
                <w:lang w:val="en-US" w:eastAsia="zh-CN"/>
              </w:rPr>
              <w:t>Correlation</w:t>
            </w:r>
          </w:p>
        </w:tc>
        <w:tc>
          <w:tcPr>
            <w:tcW w:w="170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color w:val="auto"/>
                <w:szCs w:val="21"/>
                <w:vertAlign w:val="baseline"/>
                <w:lang w:val="en-US" w:eastAsia="zh-CN"/>
              </w:rPr>
              <w:t>r</w:t>
            </w:r>
          </w:p>
        </w:tc>
        <w:tc>
          <w:tcPr>
            <w:tcW w:w="185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color w:val="auto"/>
                <w:szCs w:val="21"/>
                <w:vertAlign w:val="baseline"/>
                <w:lang w:val="en-US" w:eastAsia="zh-CN"/>
              </w:rPr>
              <w:t>p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vertAlign w:val="baseline"/>
                <w:lang w:val="en-US" w:eastAsia="zh-CN"/>
              </w:rPr>
              <w:t>-value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vertAlign w:val="baseline"/>
                <w:lang w:val="en-US" w:eastAsia="zh-CN"/>
              </w:rPr>
              <w:t>The reduction rate of the HAMD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vertAlign w:val="subscript"/>
                <w:lang w:val="en-US" w:eastAsia="zh-CN"/>
              </w:rPr>
              <w:t>17</w:t>
            </w:r>
            <w:r>
              <w:rPr>
                <w:rFonts w:hint="eastAsia" w:ascii="Times New Roman" w:hAnsi="Times New Roman" w:cs="Times New Roman"/>
                <w:b/>
                <w:bCs/>
                <w:color w:val="auto"/>
                <w:szCs w:val="21"/>
                <w:vertAlign w:val="baseline"/>
                <w:lang w:val="en-US" w:eastAsia="zh-CN"/>
              </w:rPr>
              <w:t xml:space="preserve"> score</w:t>
            </w:r>
          </w:p>
        </w:tc>
        <w:tc>
          <w:tcPr>
            <w:tcW w:w="1704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55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left AG - left MTG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-0.238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0.067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right Amy - left STG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-0.282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0.037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right Amy - right STG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-0.258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0.050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right sgACC - left ACC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-0.299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0.029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3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right sgACC - left CAL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-0.261</w:t>
            </w:r>
          </w:p>
        </w:tc>
        <w:tc>
          <w:tcPr>
            <w:tcW w:w="1855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  <w:vertAlign w:val="baseline"/>
                <w:lang w:val="en-US" w:eastAsia="zh-CN"/>
              </w:rPr>
              <w:t>0.048</w:t>
            </w:r>
          </w:p>
        </w:tc>
      </w:tr>
    </w:tbl>
    <w:p>
      <w:pPr>
        <w:spacing w:line="360" w:lineRule="auto"/>
        <w:rPr>
          <w:rFonts w:hint="eastAsia" w:ascii="Times New Roman" w:hAnsi="Times New Roman" w:cs="Times New Roman"/>
          <w:szCs w:val="21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Cs w:val="21"/>
          <w:lang w:val="en-US" w:eastAsia="zh-CN"/>
        </w:rPr>
      </w:pPr>
      <w:r>
        <w:rPr>
          <w:rFonts w:hint="eastAsia" w:ascii="Times New Roman" w:hAnsi="Times New Roman" w:cs="Times New Roman"/>
          <w:szCs w:val="21"/>
          <w:lang w:val="en-US" w:eastAsia="zh-CN"/>
        </w:rPr>
        <w:drawing>
          <wp:inline distT="0" distB="0" distL="114300" distR="114300">
            <wp:extent cx="8751570" cy="4178935"/>
            <wp:effectExtent l="0" t="0" r="12065" b="11430"/>
            <wp:docPr id="2" name="图片 2" descr="LOSO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OSOC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157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/>
          <w:color w:val="auto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Supplementary Figure 1</w:t>
      </w:r>
    </w:p>
    <w:p>
      <w:pPr>
        <w:spacing w:line="360" w:lineRule="auto"/>
        <w:rPr>
          <w:rFonts w:hint="eastAsia" w:ascii="Times New Roman" w:hAnsi="Times New Roman" w:cs="Times New Roman"/>
          <w:color w:val="auto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Leave-one-site-out cross-validation on seed-based functional connectivity in the ERN. The inter-group difference connectivity in the Leave-one-site-out cross-validation methodology remained highly similar to our main findings (GRF: voxel-level </w:t>
      </w:r>
      <w:r>
        <w:rPr>
          <w:rFonts w:hint="eastAsia" w:ascii="Times New Roman" w:hAnsi="Times New Roman" w:cs="Times New Roman"/>
          <w:i/>
          <w:iCs/>
          <w:color w:val="auto"/>
          <w:szCs w:val="21"/>
          <w:lang w:val="en-US" w:eastAsia="zh-CN"/>
        </w:rPr>
        <w:t>p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&lt; 0.001, cluster-level </w:t>
      </w:r>
      <w:r>
        <w:rPr>
          <w:rFonts w:hint="eastAsia" w:ascii="Times New Roman" w:hAnsi="Times New Roman" w:cs="Times New Roman"/>
          <w:i/>
          <w:iCs/>
          <w:color w:val="auto"/>
          <w:szCs w:val="21"/>
          <w:lang w:val="en-US" w:eastAsia="zh-CN"/>
        </w:rPr>
        <w:t>p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&lt; 0.0035).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iYmJhMGU0NzMzZmYxZWVlN2JlMTQzMjliOTAyMjAifQ=="/>
  </w:docVars>
  <w:rsids>
    <w:rsidRoot w:val="00AB42F5"/>
    <w:rsid w:val="000642CA"/>
    <w:rsid w:val="00122E62"/>
    <w:rsid w:val="00432A1F"/>
    <w:rsid w:val="004E5C46"/>
    <w:rsid w:val="00537C28"/>
    <w:rsid w:val="005A2E16"/>
    <w:rsid w:val="00713258"/>
    <w:rsid w:val="007D301D"/>
    <w:rsid w:val="007D3A66"/>
    <w:rsid w:val="00A6180E"/>
    <w:rsid w:val="00AB42F5"/>
    <w:rsid w:val="00B77E30"/>
    <w:rsid w:val="00BA745D"/>
    <w:rsid w:val="00CB5FCE"/>
    <w:rsid w:val="00D73F80"/>
    <w:rsid w:val="00E75777"/>
    <w:rsid w:val="00F84D83"/>
    <w:rsid w:val="02B53AE4"/>
    <w:rsid w:val="030B6598"/>
    <w:rsid w:val="03402604"/>
    <w:rsid w:val="04F16156"/>
    <w:rsid w:val="05875F3D"/>
    <w:rsid w:val="068970EC"/>
    <w:rsid w:val="06FD269B"/>
    <w:rsid w:val="078A4866"/>
    <w:rsid w:val="0A4601F6"/>
    <w:rsid w:val="0A586566"/>
    <w:rsid w:val="0AE5230E"/>
    <w:rsid w:val="0B667938"/>
    <w:rsid w:val="0B995C03"/>
    <w:rsid w:val="0BCC5DBD"/>
    <w:rsid w:val="0E0F1EDB"/>
    <w:rsid w:val="0FA22032"/>
    <w:rsid w:val="11447845"/>
    <w:rsid w:val="11C40985"/>
    <w:rsid w:val="12C0739F"/>
    <w:rsid w:val="14515DD5"/>
    <w:rsid w:val="170F4451"/>
    <w:rsid w:val="175E3991"/>
    <w:rsid w:val="17D3547E"/>
    <w:rsid w:val="18A94431"/>
    <w:rsid w:val="1A951DB4"/>
    <w:rsid w:val="1CB9695F"/>
    <w:rsid w:val="1CDA065E"/>
    <w:rsid w:val="1D8270E5"/>
    <w:rsid w:val="1E366767"/>
    <w:rsid w:val="1E7B5599"/>
    <w:rsid w:val="1EA47B74"/>
    <w:rsid w:val="1EA75A3F"/>
    <w:rsid w:val="1ED57D2E"/>
    <w:rsid w:val="20EE7FD1"/>
    <w:rsid w:val="220D3C83"/>
    <w:rsid w:val="24831FDA"/>
    <w:rsid w:val="24FF6FA0"/>
    <w:rsid w:val="275959EC"/>
    <w:rsid w:val="279938C3"/>
    <w:rsid w:val="287C188E"/>
    <w:rsid w:val="29EA68A9"/>
    <w:rsid w:val="2AA76DAC"/>
    <w:rsid w:val="2C8B3FBA"/>
    <w:rsid w:val="2CED40D9"/>
    <w:rsid w:val="2D7D7F0E"/>
    <w:rsid w:val="2EED10C4"/>
    <w:rsid w:val="32700042"/>
    <w:rsid w:val="32D60AF6"/>
    <w:rsid w:val="34565015"/>
    <w:rsid w:val="358838F4"/>
    <w:rsid w:val="363475D8"/>
    <w:rsid w:val="36BD312A"/>
    <w:rsid w:val="38613F89"/>
    <w:rsid w:val="3DD35929"/>
    <w:rsid w:val="3F8769CB"/>
    <w:rsid w:val="3FFF47B3"/>
    <w:rsid w:val="453E18DA"/>
    <w:rsid w:val="46057DB4"/>
    <w:rsid w:val="49B351DF"/>
    <w:rsid w:val="4AC705C3"/>
    <w:rsid w:val="4B3F239F"/>
    <w:rsid w:val="4F2953A8"/>
    <w:rsid w:val="509B544A"/>
    <w:rsid w:val="50FB5AEE"/>
    <w:rsid w:val="516052CE"/>
    <w:rsid w:val="5216570A"/>
    <w:rsid w:val="527B23BF"/>
    <w:rsid w:val="5414112F"/>
    <w:rsid w:val="54E35FFA"/>
    <w:rsid w:val="57C739B1"/>
    <w:rsid w:val="58E93DFA"/>
    <w:rsid w:val="5C011290"/>
    <w:rsid w:val="5C3F445D"/>
    <w:rsid w:val="5CB84140"/>
    <w:rsid w:val="5CF55DDA"/>
    <w:rsid w:val="5F6131EF"/>
    <w:rsid w:val="62FE04A2"/>
    <w:rsid w:val="63DF02D4"/>
    <w:rsid w:val="6498073F"/>
    <w:rsid w:val="65B25CA0"/>
    <w:rsid w:val="65D106AB"/>
    <w:rsid w:val="67B81568"/>
    <w:rsid w:val="67CE2B39"/>
    <w:rsid w:val="6B5F6383"/>
    <w:rsid w:val="6B637E29"/>
    <w:rsid w:val="6C2D40B8"/>
    <w:rsid w:val="6FE80510"/>
    <w:rsid w:val="72D60AF4"/>
    <w:rsid w:val="735E7467"/>
    <w:rsid w:val="73A11102"/>
    <w:rsid w:val="73AA445A"/>
    <w:rsid w:val="74B51309"/>
    <w:rsid w:val="77F260B4"/>
    <w:rsid w:val="782D2F68"/>
    <w:rsid w:val="7A5C650C"/>
    <w:rsid w:val="7ACE539E"/>
    <w:rsid w:val="7CA73C2D"/>
    <w:rsid w:val="7E3E411D"/>
    <w:rsid w:val="7E5C0027"/>
    <w:rsid w:val="7E755665"/>
    <w:rsid w:val="7F1C1F84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autoRedefine/>
    <w:qFormat/>
    <w:uiPriority w:val="0"/>
    <w:pPr>
      <w:jc w:val="left"/>
    </w:p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autoRedefine/>
    <w:qFormat/>
    <w:uiPriority w:val="0"/>
    <w:rPr>
      <w:b/>
      <w:bCs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autoRedefine/>
    <w:qFormat/>
    <w:uiPriority w:val="0"/>
    <w:rPr>
      <w:sz w:val="21"/>
      <w:szCs w:val="21"/>
    </w:rPr>
  </w:style>
  <w:style w:type="character" w:customStyle="1" w:styleId="11">
    <w:name w:val="页眉 字符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3">
    <w:name w:val="批注文字 字符"/>
    <w:basedOn w:val="9"/>
    <w:link w:val="2"/>
    <w:autoRedefine/>
    <w:qFormat/>
    <w:uiPriority w:val="0"/>
    <w:rPr>
      <w:kern w:val="2"/>
      <w:sz w:val="21"/>
      <w:szCs w:val="24"/>
    </w:rPr>
  </w:style>
  <w:style w:type="character" w:customStyle="1" w:styleId="14">
    <w:name w:val="批注主题 字符"/>
    <w:basedOn w:val="13"/>
    <w:link w:val="6"/>
    <w:autoRedefine/>
    <w:qFormat/>
    <w:uiPriority w:val="0"/>
    <w:rPr>
      <w:b/>
      <w:bCs/>
      <w:kern w:val="2"/>
      <w:sz w:val="21"/>
      <w:szCs w:val="24"/>
    </w:rPr>
  </w:style>
  <w:style w:type="character" w:customStyle="1" w:styleId="15">
    <w:name w:val="批注框文本 字符"/>
    <w:basedOn w:val="9"/>
    <w:link w:val="3"/>
    <w:autoRedefine/>
    <w:qFormat/>
    <w:uiPriority w:val="0"/>
    <w:rPr>
      <w:kern w:val="2"/>
      <w:sz w:val="18"/>
      <w:szCs w:val="18"/>
    </w:rPr>
  </w:style>
  <w:style w:type="paragraph" w:customStyle="1" w:styleId="16">
    <w:name w:val="Revision"/>
    <w:autoRedefine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876</Words>
  <Characters>4997</Characters>
  <Lines>41</Lines>
  <Paragraphs>11</Paragraphs>
  <TotalTime>1731</TotalTime>
  <ScaleCrop>false</ScaleCrop>
  <LinksUpToDate>false</LinksUpToDate>
  <CharactersWithSpaces>5862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2023-02-20T03:23:00Z</dcterms:created>
  <dc:creator>zhihu</dc:creator>
  <cp:lastModifiedBy>三弟很迷</cp:lastModifiedBy>
  <dcterms:modified xsi:type="dcterms:W3CDTF">2024-11-25T03:05:12Z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565C8A645BA54EE6B763D9BE6519C389</vt:lpwstr>
  </property>
</Properties>
</file>