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53820" w14:textId="391FDB0B" w:rsidR="00FE7612" w:rsidRDefault="00FB52AB" w:rsidP="0047484D">
      <w:pPr>
        <w:spacing w:line="360" w:lineRule="auto"/>
        <w:jc w:val="center"/>
        <w:rPr>
          <w:b/>
        </w:rPr>
      </w:pPr>
      <w:r w:rsidRPr="00FB52AB">
        <w:rPr>
          <w:b/>
        </w:rPr>
        <w:t>Supplementary Material</w:t>
      </w:r>
    </w:p>
    <w:p w14:paraId="74D6E602" w14:textId="77777777" w:rsidR="00FB52AB" w:rsidRDefault="00FE7612" w:rsidP="003B161E">
      <w:pPr>
        <w:spacing w:line="360" w:lineRule="auto"/>
        <w:rPr>
          <w:b/>
        </w:rPr>
      </w:pPr>
      <w:r w:rsidRPr="00FE7612">
        <w:rPr>
          <w:b/>
        </w:rPr>
        <w:t>Methods</w:t>
      </w:r>
    </w:p>
    <w:p w14:paraId="2A407428" w14:textId="0EF2E674" w:rsidR="009D1DB1" w:rsidRDefault="009D1DB1" w:rsidP="003B161E">
      <w:pPr>
        <w:spacing w:line="360" w:lineRule="auto"/>
        <w:rPr>
          <w:b/>
          <w:i/>
        </w:rPr>
      </w:pPr>
      <w:r>
        <w:rPr>
          <w:b/>
          <w:i/>
        </w:rPr>
        <w:t>Participant recruitment and testing procedures</w:t>
      </w:r>
    </w:p>
    <w:p w14:paraId="35095B7E" w14:textId="77777777" w:rsidR="003E2922" w:rsidRDefault="009D1DB1" w:rsidP="003B161E">
      <w:pPr>
        <w:spacing w:line="360" w:lineRule="auto"/>
        <w:ind w:firstLine="720"/>
      </w:pPr>
      <w:r>
        <w:t xml:space="preserve">CHR and HSC participants were recruited through targeted online and print advertisements, email, and through contact with mental health providers in hospital, community mental health center, and school settings. CHR and HSC participants were excluded if they had a lifetime history of psychotic disorder. CHR and HSC participants were allowed to have a current alcohol or cannabis use disorder of mild to moderate severity, as long as psychosis-risk symptoms did not occur exclusively during periods of intoxication in the case of CHR participants. Participants were excluded if they met criteria for a severe current alcohol or cannabis use disorder </w:t>
      </w:r>
      <w:r w:rsidRPr="00B25BDE">
        <w:t>or met criteria for other current substance use disorders (hallucinogen, opioid, stimulant) of any severity.</w:t>
      </w:r>
      <w:r>
        <w:t xml:space="preserve"> </w:t>
      </w:r>
    </w:p>
    <w:p w14:paraId="5AB77497" w14:textId="49714EB7" w:rsidR="009D1DB1" w:rsidRDefault="003E2922" w:rsidP="003B161E">
      <w:pPr>
        <w:spacing w:line="360" w:lineRule="auto"/>
        <w:ind w:firstLine="720"/>
      </w:pPr>
      <w:r>
        <w:t xml:space="preserve">HSC participants were participants who were referred/self-referred for psychosis-risk symptoms and/or had at least one current DSM-5 non-psychotic disorder diagnosis but did not meet criteria for a SIPS psychosis-risk syndrome. </w:t>
      </w:r>
      <w:r w:rsidR="00126ED2" w:rsidRPr="00126ED2">
        <w:t>For example, an HSC participant may have been an individual who was referred to a study site’s clinical high-risk research program (e.g., the University of Georgia Psychology Department’s Georgia Psychiatric Risk Evaluation Program; G-PREP) by a clinician in the community for the purpose of performing a diagnostic assessment related to emerging psychotic experiences</w:t>
      </w:r>
      <w:r w:rsidR="00126ED2">
        <w:t>,</w:t>
      </w:r>
      <w:r w:rsidR="007649F0">
        <w:t xml:space="preserve"> found to not meet CHR criteria but meet diagnostic criteria for a DSM-5 non-psychotic disorder diagnosis, and then recruited into the study.</w:t>
      </w:r>
    </w:p>
    <w:p w14:paraId="4B00B685" w14:textId="51B2E77E" w:rsidR="009D1DB1" w:rsidRDefault="009D1DB1" w:rsidP="003B161E">
      <w:pPr>
        <w:spacing w:line="360" w:lineRule="auto"/>
      </w:pPr>
      <w:r>
        <w:tab/>
        <w:t xml:space="preserve">HC participants were recruited through online and print advertisements, and email. HC participants were excluded if they met </w:t>
      </w:r>
      <w:r w:rsidR="00DA2DBC">
        <w:t>criteria for any lifetime</w:t>
      </w:r>
      <w:r>
        <w:t xml:space="preserve"> DSM-5 di</w:t>
      </w:r>
      <w:r w:rsidR="00DA2DBC">
        <w:t>agnosis</w:t>
      </w:r>
      <w:r>
        <w:t xml:space="preserve">, </w:t>
      </w:r>
      <w:r w:rsidRPr="00C90F27">
        <w:t>SIPS psychosis risk syndrome</w:t>
      </w:r>
      <w:r w:rsidR="00DA2DBC">
        <w:t xml:space="preserve">, </w:t>
      </w:r>
      <w:r>
        <w:t>antipsychotic medication use, or had a family history of psych</w:t>
      </w:r>
      <w:r w:rsidR="00DA2DBC">
        <w:t>osis.</w:t>
      </w:r>
    </w:p>
    <w:p w14:paraId="05B4F5DC" w14:textId="41A68EAC" w:rsidR="009D1DB1" w:rsidRDefault="009D1DB1" w:rsidP="003B161E">
      <w:pPr>
        <w:spacing w:line="360" w:lineRule="auto"/>
        <w:ind w:firstLine="720"/>
      </w:pPr>
      <w:r>
        <w:t>Additional exclusion criteria for all participants were lifetime history of neurological disorder or brain injury</w:t>
      </w:r>
      <w:r w:rsidRPr="00C90F27">
        <w:t>.</w:t>
      </w:r>
      <w:r>
        <w:t xml:space="preserve">  </w:t>
      </w:r>
    </w:p>
    <w:p w14:paraId="125AC39D" w14:textId="24EAB6D3" w:rsidR="006C3A95" w:rsidRDefault="006C3A95" w:rsidP="003B161E">
      <w:pPr>
        <w:spacing w:line="360" w:lineRule="auto"/>
        <w:ind w:firstLine="720"/>
      </w:pPr>
      <w:r>
        <w:t xml:space="preserve">Participation occurred through one of </w:t>
      </w:r>
      <w:r w:rsidR="00267400">
        <w:t>eight</w:t>
      </w:r>
      <w:r w:rsidR="00280313">
        <w:t xml:space="preserve"> study </w:t>
      </w:r>
      <w:r>
        <w:t xml:space="preserve">sites: </w:t>
      </w:r>
      <w:r w:rsidR="00267400" w:rsidRPr="00960271">
        <w:t>University of</w:t>
      </w:r>
      <w:r w:rsidR="00267400">
        <w:t xml:space="preserve"> California Irvine, </w:t>
      </w:r>
      <w:r>
        <w:t xml:space="preserve">University of Maryland Baltimore, University of Maryland Baltimore County, Northwestern University, Temple University, University of Georgia, Emory University, and Yale University. The study procedure was the same at each site. Participants underwent an initial phone screening to determine general eligibility for the study. A series of clinical interviews, questionnaires </w:t>
      </w:r>
      <w:r>
        <w:lastRenderedPageBreak/>
        <w:t xml:space="preserve">(adapted to online format), cognitive tests, and computerized experimental tasks were then completed online via videoconference </w:t>
      </w:r>
      <w:r w:rsidR="00443A5A">
        <w:t xml:space="preserve">(due to COVID-19 pandemic-related safety policies) </w:t>
      </w:r>
      <w:r>
        <w:t xml:space="preserve">and administered by trained research staff. </w:t>
      </w:r>
      <w:r w:rsidR="00443A5A">
        <w:t>Participants were guided through the tasks by research staff who</w:t>
      </w:r>
      <w:r>
        <w:t xml:space="preserve"> monitored progress of participants’ questionnaire and task completion </w:t>
      </w:r>
      <w:r w:rsidR="00443A5A">
        <w:t xml:space="preserve">in real time </w:t>
      </w:r>
      <w:r>
        <w:t>via screen share.</w:t>
      </w:r>
      <w:r w:rsidR="00731C0A">
        <w:t xml:space="preserve"> Pilot testing was performed to ensure the feasibility or remote participant testing and validity of the obtained task data prior to the study start.</w:t>
      </w:r>
    </w:p>
    <w:p w14:paraId="1B9A1A39" w14:textId="365F02EC" w:rsidR="0036165B" w:rsidRDefault="006C3A95" w:rsidP="0047484D">
      <w:pPr>
        <w:spacing w:line="360" w:lineRule="auto"/>
        <w:ind w:firstLine="720"/>
      </w:pPr>
      <w:r>
        <w:t>All participants provided verbal informed consent prior to phone screening and written consent prior to clinical interviews. Participants who were minors at the time of recruitment provided assent and required consent by a parent or legal guardian prior to participation. The study protocol was approved by Northwestern University’s Institutional Review Board (IRB), which served as the IRB of record for th</w:t>
      </w:r>
      <w:r w:rsidR="008226B7">
        <w:t>e study</w:t>
      </w:r>
      <w:r>
        <w:t>.</w:t>
      </w:r>
    </w:p>
    <w:p w14:paraId="1A991AE1" w14:textId="313B01A2" w:rsidR="000E5782" w:rsidRDefault="000E5782" w:rsidP="003B161E">
      <w:pPr>
        <w:spacing w:line="360" w:lineRule="auto"/>
        <w:rPr>
          <w:b/>
          <w:i/>
        </w:rPr>
      </w:pPr>
      <w:r>
        <w:rPr>
          <w:b/>
          <w:i/>
        </w:rPr>
        <w:t>Clinical measures</w:t>
      </w:r>
    </w:p>
    <w:p w14:paraId="36EAE5B2" w14:textId="796F7149" w:rsidR="000E5782" w:rsidRDefault="000E5782" w:rsidP="003B161E">
      <w:pPr>
        <w:spacing w:line="360" w:lineRule="auto"/>
        <w:ind w:firstLine="360"/>
      </w:pPr>
      <w:r>
        <w:t>Eligibility and group membership were confirmed via the SIPS and the Structured Clinical Interview for DSM-5</w:t>
      </w:r>
      <w:r w:rsidR="00460CF8">
        <w:t xml:space="preserve"> </w:t>
      </w:r>
      <w:r w:rsidR="00460CF8">
        <w:fldChar w:fldCharType="begin"/>
      </w:r>
      <w:r w:rsidR="00460CF8">
        <w:instrText xml:space="preserve"> ADDIN ZOTERO_ITEM CSL_CITATION {"citationID":"WMZxf93l","properties":{"formattedCitation":"(First et al., 2015)","plainCitation":"(First et al., 2015)","noteIndex":0},"citationItems":[{"id":152,"uris":["http://zotero.org/users/9370437/items/IK73JSAI"],"itemData":{"id":152,"type":"article-journal","container-title":"Arlington, VA: American Psychiatric Association","issue":"1–94","source":"Google Scholar","title":"Structured clinical interview for DSM-5—Research version (SCID-5 for DSM-5, research version; SCID-5-RV)","author":[{"family":"First","given":"Michael B."},{"family":"Williams","given":"Janet BW"},{"family":"Karg","given":"Rhonda S."},{"family":"Spitzer","given":"Robert L."}],"issued":{"date-parts":[["2015"]]}}}],"schema":"https://github.com/citation-style-language/schema/raw/master/csl-citation.json"} </w:instrText>
      </w:r>
      <w:r w:rsidR="00460CF8">
        <w:fldChar w:fldCharType="separate"/>
      </w:r>
      <w:r w:rsidR="00460CF8">
        <w:rPr>
          <w:noProof/>
        </w:rPr>
        <w:t>(First et al., 2015)</w:t>
      </w:r>
      <w:r w:rsidR="00460CF8">
        <w:fldChar w:fldCharType="end"/>
      </w:r>
      <w:r>
        <w:t>. Additional measures were administered to assess symptom severity, global functioning, and clinical history. Clinical interviews relevant to the current investigation were the Negative Symptom Inventory – Psychosis Risk</w:t>
      </w:r>
      <w:r w:rsidR="00460CF8">
        <w:t xml:space="preserve"> </w:t>
      </w:r>
      <w:r w:rsidR="00460CF8">
        <w:fldChar w:fldCharType="begin"/>
      </w:r>
      <w:r w:rsidR="00460CF8">
        <w:instrText xml:space="preserve"> ADDIN ZOTERO_ITEM CSL_CITATION {"citationID":"iE8X344o","properties":{"formattedCitation":"(Strauss et al., 2020)","plainCitation":"(Strauss et al., 2020)","noteIndex":0},"citationItems":[{"id":262,"uris":["http://zotero.org/users/9370437/items/KZBT5PBF"],"itemData":{"id":262,"type":"article-journal","abstract":"Studies attempting to deconstruct the heterogeneity of schizophrenia and the attenuated psychosis syndrome consistently find that negative symptoms are a core dimension that is distinct from other aspects of the illness (e.g., positive and disorganized symptoms). Negative symptoms are also highly predictive of poor community-based functional outcomes, suggesting they are a critical treatment target. Unfortunately, pharmacological and psychosocial treatments for negative symptoms have demonstrated limited effectiveness. To address this critical unmet therapeutic need, the NIMH sponsored a consensus development conference to delineate research priorities for the field and stimulate treatment development. A primary conclusion of this meeting was that next-generation negative symptom rating scales should be developed to address methodological and conceptual limitations of existing instruments. Although second-generation rating scales were developed for adults with schizophrenia, progress in this area has lagged behind for youth at clinical-high risk (CHR) for developing psychosis (i.e. those meeting criteria for a prodromal syndrome). Given that negative symptoms are highly predictive of the transition to diagnosable psychotic illness, enhancing our ability to detect negative symptoms in CHR youth is paramount. The current paper discusses conceptual and methodological limitations inherent to existing scales that assess negative symptoms in CHR youth. The theoretical and clinical implications of these limitations are evaluated. It is concluded that new scales specifically designed to assess negative symptoms in CHR youth are needed to accurately chart mental illness trajectories and determine when, where, and how to intervene. Recent efforts to develop next-generation measures designed specifically for CHR youth to meet this urgent need in the field are discussed. These new approaches offer significant progress for addressing issues inherent to earlier scales.","container-title":"Schizophrenia Research","DOI":"10.1016/j.schres.2020.04.019","ISSN":"1573-2509","journalAbbreviation":"Schizophr Res","language":"eng","note":"PMID: 32522469\nPMCID: PMC7572550","page":"104-112","source":"PubMed","title":"A review of negative symptom assessment strategies in youth at clinical high-risk for psychosis","volume":"222","author":[{"family":"Strauss","given":"Gregory P."},{"family":"Pelletier-Baldelli","given":"Andrea"},{"family":"Visser","given":"Katherine Frost"},{"family":"Walker","given":"Elaine F."},{"family":"Mittal","given":"Vijay A."}],"issued":{"date-parts":[["2020",8]]}}}],"schema":"https://github.com/citation-style-language/schema/raw/master/csl-citation.json"} </w:instrText>
      </w:r>
      <w:r w:rsidR="00460CF8">
        <w:fldChar w:fldCharType="separate"/>
      </w:r>
      <w:r w:rsidR="00460CF8">
        <w:rPr>
          <w:noProof/>
        </w:rPr>
        <w:t>(Strauss et al., 202</w:t>
      </w:r>
      <w:r w:rsidR="00E90D11">
        <w:rPr>
          <w:noProof/>
        </w:rPr>
        <w:t>3</w:t>
      </w:r>
      <w:r w:rsidR="00460CF8">
        <w:rPr>
          <w:noProof/>
        </w:rPr>
        <w:t>)</w:t>
      </w:r>
      <w:r w:rsidR="00460CF8">
        <w:fldChar w:fldCharType="end"/>
      </w:r>
      <w:r>
        <w:t xml:space="preserve"> (CHR and HSC only)</w:t>
      </w:r>
      <w:r w:rsidR="00405206">
        <w:t>,</w:t>
      </w:r>
      <w:r>
        <w:t xml:space="preserve"> the </w:t>
      </w:r>
      <w:r w:rsidRPr="00220521">
        <w:t>Global Functioning: Social and Role Scales</w:t>
      </w:r>
      <w:r w:rsidR="00460CF8">
        <w:t xml:space="preserve"> </w:t>
      </w:r>
      <w:r w:rsidR="00460CF8">
        <w:fldChar w:fldCharType="begin"/>
      </w:r>
      <w:r w:rsidR="00460CF8">
        <w:instrText xml:space="preserve"> ADDIN ZOTERO_ITEM CSL_CITATION {"citationID":"8tmDrMf9","properties":{"formattedCitation":"(Cornblatt et al., 2007)","plainCitation":"(Cornblatt et al., 2007)","noteIndex":0},"citationItems":[{"id":136,"uris":["http://zotero.org/users/9370437/items/AEFLW6T5"],"itemData":{"id":136,"type":"article-journal","abstract":"INTRODUCTION: Research on prediction and prevention of schizophrenia has increasingly focused on prodromal (prepsychosis) social and role dysfunction as developmentally early, stable, and treatment-resistant illness components. In this report, 2 new measures, Global Functioning: Social and Global Functioning: Role, are presented, along with preliminary findings about psychometric properties and course of social and role (academic/work) functioning in the prodromal phase of psychosis.\nMETHODS: Subjects included 69 participants from the Recognition and Prevention program and 52 from the Center for the Assessment and Prevention of Prodromal States. Ages ranged from 12 to 29 years, and all met criteria for Attenuated Positive Symptom syndrome. Retrospective (past year) and baseline data are reported for all 121 prodromal subjects and for 44 normal controls (NCs). Prospective follow-up data are reported for a subsample of patients reevaluated at both 6 and 12 months (N = 44).\nRESULTS: For both scales, interrater reliability was high, and preliminary data supported construct validity. Relative to NCs, prodromal individuals displayed impaired social and role functioning at baseline. Analyses of change over time indicated that role functioning declined over the year before ascertainment and improved over 12-month follow-up, presumably with treatment. Social impairment, by contrast, was constant across time and predicted later psychosis (P = .002).\nDISCUSSION: Using 2 new global measures, social functioning was found to be a stable trait, unchanged by treatment, with considerable potential to be a marker of schizophrenia. Role functioning, by contrast, may be a more direct barometer of clinical change and may be responsive to treatment and environmental change.","container-title":"Schizophrenia Bulletin","DOI":"10.1093/schbul/sbm029","ISSN":"0586-7614","issue":"3","journalAbbreviation":"Schizophr Bull","language":"eng","note":"PMID: 17440198\nPMCID: PMC2526147","page":"688-702","source":"PubMed","title":"Preliminary findings for two new measures of social and role functioning in the prodromal phase of schizophrenia","volume":"33","author":[{"family":"Cornblatt","given":"Barbara A."},{"family":"Auther","given":"Andrea M."},{"family":"Niendam","given":"Tara"},{"family":"Smith","given":"Christopher W."},{"family":"Zinberg","given":"Jamie"},{"family":"Bearden","given":"Carrie E."},{"family":"Cannon","given":"Tyrone D."}],"issued":{"date-parts":[["2007",5]]}}}],"schema":"https://github.com/citation-style-language/schema/raw/master/csl-citation.json"} </w:instrText>
      </w:r>
      <w:r w:rsidR="00460CF8">
        <w:fldChar w:fldCharType="separate"/>
      </w:r>
      <w:r w:rsidR="00460CF8">
        <w:rPr>
          <w:noProof/>
        </w:rPr>
        <w:t>(Cornblatt et al., 2007)</w:t>
      </w:r>
      <w:r w:rsidR="00460CF8">
        <w:fldChar w:fldCharType="end"/>
      </w:r>
      <w:r>
        <w:t>, and the Family Interview for Genetic Studies</w:t>
      </w:r>
      <w:r w:rsidR="00460CF8">
        <w:t xml:space="preserve"> </w:t>
      </w:r>
      <w:r w:rsidR="00460CF8">
        <w:fldChar w:fldCharType="begin"/>
      </w:r>
      <w:r w:rsidR="00460CF8">
        <w:instrText xml:space="preserve"> ADDIN ZOTERO_ITEM CSL_CITATION {"citationID":"hCw7Vp8U","properties":{"formattedCitation":"(Maxwell, 1992)","plainCitation":"(Maxwell, 1992)","noteIndex":0},"citationItems":[{"id":4354,"uris":["http://zotero.org/users/9370437/items/2UFAK286"],"itemData":{"id":4354,"type":"article-journal","container-title":"Bethesda, MD: Clinical Neurogenetics Branch, Intramural Research Program, National Institute of Mental Health","source":"Google Scholar","title":"Family Interview for Genetic Studies (FIGS): a manual for FIGS","title-short":"Family Interview for Genetic Studies (FIGS)","author":[{"family":"Maxwell","given":"M. Elizabeth"}],"issued":{"date-parts":[["1992"]]}}}],"schema":"https://github.com/citation-style-language/schema/raw/master/csl-citation.json"} </w:instrText>
      </w:r>
      <w:r w:rsidR="00460CF8">
        <w:fldChar w:fldCharType="separate"/>
      </w:r>
      <w:r w:rsidR="00460CF8">
        <w:rPr>
          <w:noProof/>
        </w:rPr>
        <w:t>(Maxwell, 1992)</w:t>
      </w:r>
      <w:r w:rsidR="00460CF8">
        <w:fldChar w:fldCharType="end"/>
      </w:r>
      <w:r>
        <w:t xml:space="preserve"> and Childhood Trauma and Abuse Scale </w:t>
      </w:r>
      <w:r w:rsidR="002F13B7">
        <w:fldChar w:fldCharType="begin"/>
      </w:r>
      <w:r w:rsidR="002F13B7">
        <w:instrText xml:space="preserve"> ADDIN ZOTERO_ITEM CSL_CITATION {"citationID":"6rahwHS6","properties":{"formattedCitation":"(Janssen et al., 2004)","plainCitation":"(Janssen et al., 2004)","noteIndex":0},"citationItems":[{"id":4355,"uris":["http://zotero.org/users/9370437/items/R76N5KSD"],"itemData":{"id":4355,"type":"article-journal","abstract":"Objective: To examine the hypothesis that individuals from the general population who report childhood abuse are at increased risk of developing positive psychotic symptoms. Method: Data were derived from a general population sample of 4045 subjects aged 18–64 years. First ever onset of positive psychotic symptoms at 2-year follow-up were assessed using the Composite International Diagnostic Interview and additional clinical interviews if necessary. Childhood abuse was assessed at baseline. Results: Baseline reported childhood abuse predicted development of positive psychotic symptoms associated with need for care [odds ratio (OR) = 11.5, 95% CI 2.6–51.6]. This association remained after adjustment for demographic variables, reported risk factors and presence of any lifetime psychiatric diagnosis at baseline (OR = 7.3, 95% CI 1.1–49.0). Conclusion: The results suggest that early childhood trauma increases the risk for positive psychotic symptoms. This finding fits well with recent models that suggest that early adversities may lead to psychological and biological changes that increase psychosis vulnerability.","container-title":"Acta Psychiatrica Scandinavica","DOI":"10.1046/j.0001-690X.2003.00217.x","ISSN":"1600-0447","issue":"1","language":"en","note":"_eprint: https://onlinelibrary.wiley.com/doi/pdf/10.1046/j.0001-690X.2003.00217.x","page":"38-45","source":"Wiley Online Library","title":"Childhood abuse as a risk factor for psychotic experiences","volume":"109","author":[{"family":"Janssen","given":"I."},{"family":"Krabbendam","given":"L."},{"family":"Bak","given":"M."},{"family":"Hanssen","given":"M."},{"family":"Vollebergh","given":"W."},{"family":"Graaf","given":"R.","non-dropping-particle":"de"},{"family":"Os","given":"J.","non-dropping-particle":"van"}],"issued":{"date-parts":[["2004"]]}}}],"schema":"https://github.com/citation-style-language/schema/raw/master/csl-citation.json"} </w:instrText>
      </w:r>
      <w:r w:rsidR="002F13B7">
        <w:fldChar w:fldCharType="separate"/>
      </w:r>
      <w:r w:rsidR="002F13B7">
        <w:rPr>
          <w:noProof/>
        </w:rPr>
        <w:t>(Janssen et al., 2004)</w:t>
      </w:r>
      <w:r w:rsidR="002F13B7">
        <w:fldChar w:fldCharType="end"/>
      </w:r>
      <w:r>
        <w:t xml:space="preserve"> for use in the calculation of a NAPLS psychosis risk score</w:t>
      </w:r>
      <w:r w:rsidR="002F13B7">
        <w:t xml:space="preserve"> </w:t>
      </w:r>
      <w:r w:rsidR="002F13B7">
        <w:fldChar w:fldCharType="begin"/>
      </w:r>
      <w:r w:rsidR="002F13B7">
        <w:instrText xml:space="preserve"> ADDIN ZOTERO_ITEM CSL_CITATION {"citationID":"e0e0cNMW","properties":{"formattedCitation":"(Cannon et al., 2016)","plainCitation":"(Cannon et al., 2016)","noteIndex":0},"citationItems":[{"id":4357,"uris":["http://zotero.org/users/9370437/items/DMRNVCE9"],"itemData":{"id":4357,"type":"article-journal","abstract":"Objective:\n\nApproximately 20%–35% of individuals 12–35 years old who meet criteria for a prodromal risk syndrome convert to psychosis within 2 years. However, this estimate ignores the fact that clinical high-risk cases vary considerably in risk. The authors sought to create a risk calculator, based on profiles of risk indicators, that can ascertain the probability of conversion to psychosis in individual patients.\n\nMethod:\n\nThe study subjects were 596 clinical high-risk participants from the second phase of the North American Prodrome Longitudinal Study who were followed up to the time of conversion to psychosis or last contact (up to 2 years). The predictors examined were limited to those that are supported by previous studies and are readily obtainable in general clinical settings. Time-to-event regression was used to build a multivariate model predicting conversion, with internal validation using 1,000 bootstrap resamples.\n\nResults:\n\nThe 2-year probability of conversion to psychosis was 16%. Higher levels of unusual thought content and suspiciousness, greater decline in social functioning, lower verbal learning and memory performance, slower speed of processing, and younger age at baseline each contributed to individual risk for psychosis. Stressful life events, trauma, and family history of schizophrenia were not significant predictors. The multivariate model achieved a concordance index of 0.71 and, as reported in an article by Carrión et al., published concurrently with this one, was validated in an independent external data set. The results are instantiated in a web-based risk prediction tool envisioned to be most useful in research protocols involving the psychosis prodrome.\n\nConclusions:\n\nA risk calculator comparable in accuracy to those for cardiovascular disease and cancer is available to predict individualized conversion risks in newly ascertained clinical high-risk cases. Given that the risk calculator can be validly applied only for patients who screen positive on the Structured Clinical Interview for Psychosis Risk Syndromes, which requires training to administer, its most immediate uses will be in research on psychosis risk factors and in research-driven clinical (prevention) trials.","container-title":"American Journal of Psychiatry","DOI":"10.1176/appi.ajp.2016.15070890","ISSN":"0002-953X","issue":"10","journalAbbreviation":"AJP","note":"publisher: American Psychiatric Publishing","page":"980-988","source":"ajp.psychiatryonline.org (Atypon)","title":"An Individualized Risk Calculator for Research in Prodromal Psychosis","volume":"173","author":[{"family":"Cannon","given":"Tyrone D."},{"family":"Yu","given":"Changhong"},{"family":"Addington","given":"Jean"},{"family":"Bearden","given":"Carrie E."},{"family":"Cadenhead","given":"Kristin S."},{"family":"Cornblatt","given":"Barbara A."},{"family":"Heinssen","given":"Robert"},{"family":"Jeffries","given":"Clark D."},{"family":"Mathalon","given":"Daniel H."},{"family":"McGlashan","given":"Thomas H."},{"family":"Perkins","given":"Diana O."},{"family":"Seidman","given":"Larry J."},{"family":"Tsuang","given":"Ming T."},{"family":"Walker","given":"Elaine F."},{"family":"Woods","given":"Scott W."},{"family":"Kattan","given":"Michael W."}],"issued":{"date-parts":[["2016",10]]}}}],"schema":"https://github.com/citation-style-language/schema/raw/master/csl-citation.json"} </w:instrText>
      </w:r>
      <w:r w:rsidR="002F13B7">
        <w:fldChar w:fldCharType="separate"/>
      </w:r>
      <w:r w:rsidR="002F13B7">
        <w:rPr>
          <w:noProof/>
        </w:rPr>
        <w:t>(Cannon et al., 2016)</w:t>
      </w:r>
      <w:r w:rsidR="002F13B7">
        <w:fldChar w:fldCharType="end"/>
      </w:r>
      <w:r>
        <w:t xml:space="preserve">. </w:t>
      </w:r>
    </w:p>
    <w:p w14:paraId="7EA8EA8C" w14:textId="7B162D29" w:rsidR="000E5782" w:rsidRPr="000E5782" w:rsidRDefault="000E5782" w:rsidP="003B161E">
      <w:pPr>
        <w:spacing w:line="360" w:lineRule="auto"/>
        <w:ind w:firstLine="360"/>
        <w:rPr>
          <w:b/>
        </w:rPr>
      </w:pPr>
      <w:r>
        <w:t xml:space="preserve">Self-report symptom measures included the Center for Epidemiological Studies Depression Scale </w:t>
      </w:r>
      <w:r w:rsidR="00572E0E">
        <w:fldChar w:fldCharType="begin"/>
      </w:r>
      <w:r w:rsidR="00CE4F93">
        <w:instrText xml:space="preserve"> ADDIN ZOTERO_ITEM CSL_CITATION {"citationID":"ajn4P4CI","properties":{"formattedCitation":"(Radloff, 1977)","plainCitation":"(Radloff, 1977)","dontUpdate":true,"noteIndex":0},"citationItems":[{"id":4363,"uris":["http://zotero.org/users/9370437/items/SCLVNBPH"],"itemData":{"id":4363,"type":"article-journal","abstract":"The Center for Epidemiologic Studies Depression Scale is a short self-report scale designed to measure depressive symptomatology in the general population. The items of the scale are symptoms associated with depression which have been used in previously validated longer scales. The new scale was tested in household interview surveys and in psychiatric settings. It was found to have very high internal consistency and adequate test–retest repeatability. Validity was established by patterns of correlations with other self-report measures, by correlations with clinical ratings of depression, and by relationships with other variables which support its construct validity. Reliability, validity, and factor structure were similar across a wide variety of demographic characteristics in the general population samples tested. The scale should be a useful tool for epidemiologic studies of depression. (30 ref) (PsycINFO Database Record (c) 2016 APA, all rights reserved)","container-title":"Applied Psychological Measurement","DOI":"10.1177/014662167700100306","ISSN":"1552-3497","note":"publisher-place: US\npublisher: Sage Publications","page":"385-401","source":"APA PsycNet","title":"The CES-D Scale: A self-report depression scale for research in the general population","title-short":"The CES-D Scale","volume":"1","author":[{"family":"Radloff","given":"Lenore S."}],"issued":{"date-parts":[["1977"]]}}}],"schema":"https://github.com/citation-style-language/schema/raw/master/csl-citation.json"} </w:instrText>
      </w:r>
      <w:r w:rsidR="00572E0E">
        <w:fldChar w:fldCharType="separate"/>
      </w:r>
      <w:r w:rsidR="00572E0E">
        <w:rPr>
          <w:noProof/>
        </w:rPr>
        <w:t>(CES-D; Radloff, 1977)</w:t>
      </w:r>
      <w:r w:rsidR="00572E0E">
        <w:fldChar w:fldCharType="end"/>
      </w:r>
      <w:r>
        <w:t xml:space="preserve">, Perceived Stress Scale </w:t>
      </w:r>
      <w:r w:rsidR="00572E0E">
        <w:fldChar w:fldCharType="begin"/>
      </w:r>
      <w:r w:rsidR="00CE4F93">
        <w:instrText xml:space="preserve"> ADDIN ZOTERO_ITEM CSL_CITATION {"citationID":"NNfYLdJB","properties":{"formattedCitation":"(Cohen et al., 1983)","plainCitation":"(Cohen et al., 1983)","dontUpdate":true,"noteIndex":0},"citationItems":[{"id":4366,"uris":["http://zotero.org/users/9370437/items/9LKEPM7R"],"itemData":{"id":4366,"type":"article-journal","abstract":"Presents data on the Perceived Stress Scale (PSS), a 14-item measure of the degree to which situations in one's life are appraised as stressful. Concurrent and predictive validities and internal and test-retest reliabilities of the new scale were determined using scores from 446 undergraduates and from 64 Ss (mean age 38.4 yrs) participating in a smoking-cessation program offered by the university. Results show that the PSS had adequate reliability and was a better predictor of the outcome in question (depressive and physical symptomatology, utilization of health services, social anxiety, and smoking-reduction maintenance) than were life-event scores. When compared to a depressive symptomatology scale, the PSS was found to measure a different and independent predictive construct. Additional data indicated adequate reliability and validity of a 4-item version of the PSS for telephone interviews. It is suggested that the PSS, which is appended, be used to examine the role of nonspecific appraised stress in the etiology of disease and behavioral disorders and as an outcome measure of experienced levels of stress. (41 ref) (PsycInfo Database Record (c) 2021 APA, all rights reserved)","container-title":"Journal of Health and Social Behavior","DOI":"10.2307/2136404","ISSN":"2150-6000","note":"publisher-place: US\npublisher: American Sociological Assn","page":"385-396","source":"APA PsycNet","title":"A global measure of perceived stress","volume":"24","author":[{"family":"Cohen","given":"Sheldon"},{"family":"Kamarck","given":"Tom"},{"family":"Mermelstein","given":"Robin"}],"issued":{"date-parts":[["1983"]]}}}],"schema":"https://github.com/citation-style-language/schema/raw/master/csl-citation.json"} </w:instrText>
      </w:r>
      <w:r w:rsidR="00572E0E">
        <w:fldChar w:fldCharType="separate"/>
      </w:r>
      <w:r w:rsidR="00572E0E">
        <w:rPr>
          <w:noProof/>
        </w:rPr>
        <w:t>(PSS; Cohen et al., 1983)</w:t>
      </w:r>
      <w:r w:rsidR="00572E0E">
        <w:fldChar w:fldCharType="end"/>
      </w:r>
      <w:r>
        <w:t>, and State-Trait Anxiety Inventory Trait form</w:t>
      </w:r>
      <w:r w:rsidR="00572E0E">
        <w:t xml:space="preserve"> </w:t>
      </w:r>
      <w:r w:rsidR="00572E0E">
        <w:fldChar w:fldCharType="begin"/>
      </w:r>
      <w:r w:rsidR="00CE4F93">
        <w:instrText xml:space="preserve"> ADDIN ZOTERO_ITEM CSL_CITATION {"citationID":"gIDni7xj","properties":{"formattedCitation":"(Bieling et al., 1998)","plainCitation":"(Bieling et al., 1998)","dontUpdate":true,"noteIndex":0},"citationItems":[{"id":4368,"uris":["http://zotero.org/users/9370437/items/D4N6QMA4"],"itemData":{"id":4368,"type":"article-journal","abstract":"Although the State-Trait Anxiety Inventory (STAI) is a popular measure of anxiety, some previous research suggests that the trait scale may assess depression, as well as anxiety. The factor structure of the trait items was initially examined using factor analytic procedures. Confirmatory factor analytic methods suggested that a hierarchical solution best fit the data, with one overall factor and two lower order factors. The lower order subscales created from this factor solution were examined in a sample of individuals diagnosed with an anxiety disorder. Overall, the results offered good support for the notion that the trait scale of the STAI assesses depression, as well as anxiety. One set of items appeared to assess anxiety and worry, whereas the other assessed sadness and self-deprecation. The two subscales correlated differentially with other measures of anxiety and depression in a manner that was consistent with their content. Finally, diagnostic groups and controls could be meaningfully distinguished on these subscales. Implications for the use of this measure are discussed.","container-title":"Behaviour Research and Therapy","DOI":"10.1016/s0005-7967(98)00023-0","ISSN":"0005-7967","issue":"7-8","journalAbbreviation":"Behav Res Ther","language":"eng","note":"PMID: 9682533","page":"777-788","source":"PubMed","title":"The State-Trait Anxiety Inventory, Trait version: structure and content re-examined","title-short":"The State-Trait Anxiety Inventory, Trait version","volume":"36","author":[{"family":"Bieling","given":"P. J."},{"family":"Antony","given":"M. M."},{"family":"Swinson","given":"R. P."}],"issued":{"date-parts":[["1998"]]}}}],"schema":"https://github.com/citation-style-language/schema/raw/master/csl-citation.json"} </w:instrText>
      </w:r>
      <w:r w:rsidR="00572E0E">
        <w:fldChar w:fldCharType="separate"/>
      </w:r>
      <w:r w:rsidR="00572E0E">
        <w:rPr>
          <w:noProof/>
        </w:rPr>
        <w:t>(modified to include only items that load onto anxiety; Bieling et al., 1998)</w:t>
      </w:r>
      <w:r w:rsidR="00572E0E">
        <w:fldChar w:fldCharType="end"/>
      </w:r>
      <w:r>
        <w:t xml:space="preserve">. Cognitive tests were the Wide-Range Achievement Test – 4 </w:t>
      </w:r>
      <w:r w:rsidR="00E536B3">
        <w:fldChar w:fldCharType="begin"/>
      </w:r>
      <w:r w:rsidR="00CE4F93">
        <w:instrText xml:space="preserve"> ADDIN ZOTERO_ITEM CSL_CITATION {"citationID":"WqqkgTZR","properties":{"formattedCitation":"(Wilkinson &amp; Robertson, 1993)","plainCitation":"(Wilkinson &amp; Robertson, 1993)","dontUpdate":true,"noteIndex":0},"citationItems":[{"id":4372,"uris":["http://zotero.org/users/9370437/items/NPA3ABXS"],"itemData":{"id":4372,"type":"article-journal","container-title":"Journal of Clinical and Experimental Neuropsychology","source":"Google Scholar","title":"Wide range achievement test 4","author":[{"family":"Wilkinson","given":"Gary S."},{"family":"Robertson","given":"Gary J."}],"issued":{"date-parts":[["1993"]]}}}],"schema":"https://github.com/citation-style-language/schema/raw/master/csl-citation.json"} </w:instrText>
      </w:r>
      <w:r w:rsidR="00E536B3">
        <w:fldChar w:fldCharType="separate"/>
      </w:r>
      <w:r w:rsidR="00E536B3">
        <w:rPr>
          <w:noProof/>
        </w:rPr>
        <w:t>(WRAT-4; Wilkinson &amp; Robertson, 1993)</w:t>
      </w:r>
      <w:r w:rsidR="00E536B3">
        <w:fldChar w:fldCharType="end"/>
      </w:r>
      <w:r w:rsidR="00E536B3">
        <w:t xml:space="preserve"> </w:t>
      </w:r>
      <w:r>
        <w:t xml:space="preserve">Word </w:t>
      </w:r>
      <w:r w:rsidR="00E536B3">
        <w:t xml:space="preserve">Reading </w:t>
      </w:r>
      <w:r w:rsidR="00225616">
        <w:t>sub</w:t>
      </w:r>
      <w:r w:rsidR="00E536B3">
        <w:t xml:space="preserve">test </w:t>
      </w:r>
      <w:r>
        <w:t>to estimate premorbid IQ, and the Hopkins Verba</w:t>
      </w:r>
      <w:r w:rsidR="00E536B3">
        <w:t xml:space="preserve">l Learning Test – Revised </w:t>
      </w:r>
      <w:r w:rsidR="00E536B3">
        <w:fldChar w:fldCharType="begin"/>
      </w:r>
      <w:r w:rsidR="00CE4F93">
        <w:instrText xml:space="preserve"> ADDIN ZOTERO_ITEM CSL_CITATION {"citationID":"WLgWH2XG","properties":{"formattedCitation":"(Benedict et al., 1998)","plainCitation":"(Benedict et al., 1998)","dontUpdate":true,"noteIndex":0},"citationItems":[{"id":4374,"uris":["http://zotero.org/users/9370437/items/K2Q87U86"],"itemData":{"id":4374,"type":"article-journal","container-title":"The Clinical Neuropsychologist","issue":"1","note":"publisher: Taylor &amp; Francis","page":"43–55","source":"Google Scholar","title":"Hopkins Verbal Learning Test–Revised: Normative data and analysis of inter-form and test-retest reliability","title-short":"Hopkins Verbal Learning Test–Revised","volume":"12","author":[{"family":"Benedict","given":"Ralph HB"},{"family":"Schretlen","given":"David"},{"family":"Groninger","given":"Lowell"},{"family":"Brandt","given":"Jason"}],"issued":{"date-parts":[["1998"]]}}}],"schema":"https://github.com/citation-style-language/schema/raw/master/csl-citation.json"} </w:instrText>
      </w:r>
      <w:r w:rsidR="00E536B3">
        <w:fldChar w:fldCharType="separate"/>
      </w:r>
      <w:r w:rsidR="00E536B3">
        <w:rPr>
          <w:noProof/>
        </w:rPr>
        <w:t>(HVLT-R; Benedict et al., 1998)</w:t>
      </w:r>
      <w:r w:rsidR="00E536B3">
        <w:fldChar w:fldCharType="end"/>
      </w:r>
      <w:r w:rsidR="008C395A">
        <w:t xml:space="preserve"> and </w:t>
      </w:r>
      <w:r>
        <w:t>Brief Assessment of C</w:t>
      </w:r>
      <w:r w:rsidR="00E536B3">
        <w:t>ognition in Schizophrenia</w:t>
      </w:r>
      <w:r>
        <w:t xml:space="preserve"> </w:t>
      </w:r>
      <w:r w:rsidR="00E536B3">
        <w:fldChar w:fldCharType="begin"/>
      </w:r>
      <w:r w:rsidR="00CE4F93">
        <w:instrText xml:space="preserve"> ADDIN ZOTERO_ITEM CSL_CITATION {"citationID":"PL2e9jRc","properties":{"formattedCitation":"(Keefe et al., 2004)","plainCitation":"(Keefe et al., 2004)","dontUpdate":true,"noteIndex":0},"citationItems":[{"id":4377,"uris":["http://zotero.org/users/9370437/items/CE7WGCCC"],"itemData":{"id":4377,"type":"article-journal","abstract":"Studies of neurocognitive function in patients with schizophrenia use widely variable assessment techniques. Clinical trials assessing the cognitive enhancing effect of new medications have used neurocognitive assessment batteries that differed in content, length and administration procedures. The Brief Assessment of Cognition in Schizophrenia (BACS) is a newly developed instrument that assesses the aspects of cognition found to be most impaired and most strongly correlated with outcome in patients with schizophrenia. The BACS requires less than 35 min to complete in patients with schizophrenia, yields a high completion rate in these patients, and has high reliability. The BACS was found to be as sensitive to cognitive impairment in patients with schizophrenia as a standard battery of tests that required over 2 h to administer. Compared to healthy controls matched for age and parental education, patients with schizophrenia performed 1.49 standard deviations lower on a composite score calculated from the BACS and 1.61 standard deviations lower on a composite score calculated from the standard battery. The BACS composite scores were highly correlated with the standard battery composite scores in patients (r=0.76) and healthy controls (r=0.90). These psychometric properties make the BACS a promising tool for assessing cognition repeatedly in patients with schizophrenia, especially in clinical trials of cognitive enhancement.","container-title":"Schizophrenia Research","DOI":"10.1016/j.schres.2003.09.011","ISSN":"0920-9964","issue":"2","journalAbbreviation":"Schizophrenia Research","language":"en","page":"283-297","source":"ScienceDirect","title":"The Brief Assessment of Cognition in Schizophrenia: reliability, sensitivity, and comparison with a standard neurocognitive battery","title-short":"The Brief Assessment of Cognition in Schizophrenia","volume":"68","author":[{"family":"Keefe","given":"Richard S. E"},{"family":"Goldberg","given":"Terry E"},{"family":"Harvey","given":"Philip D"},{"family":"Gold","given":"James M"},{"family":"Poe","given":"Margaret P"},{"family":"Coughenour","given":"Leigh"}],"issued":{"date-parts":[["2004",6,1]]}}}],"schema":"https://github.com/citation-style-language/schema/raw/master/csl-citation.json"} </w:instrText>
      </w:r>
      <w:r w:rsidR="00E536B3">
        <w:fldChar w:fldCharType="separate"/>
      </w:r>
      <w:r w:rsidR="00E536B3">
        <w:rPr>
          <w:noProof/>
        </w:rPr>
        <w:t>(BACS; Keefe et al., 2004)</w:t>
      </w:r>
      <w:r w:rsidR="00E536B3">
        <w:fldChar w:fldCharType="end"/>
      </w:r>
      <w:r w:rsidR="00E536B3">
        <w:t xml:space="preserve"> </w:t>
      </w:r>
      <w:r>
        <w:t>Symbol Coding subtest needed to calculate a NAPLS psychosis risk score.</w:t>
      </w:r>
    </w:p>
    <w:p w14:paraId="6D39B463" w14:textId="374B4F67" w:rsidR="009D1DB1" w:rsidRPr="008E4120" w:rsidRDefault="008E4120" w:rsidP="003B161E">
      <w:pPr>
        <w:spacing w:line="360" w:lineRule="auto"/>
        <w:rPr>
          <w:b/>
          <w:i/>
        </w:rPr>
      </w:pPr>
      <w:r w:rsidRPr="008E4120">
        <w:rPr>
          <w:b/>
          <w:i/>
        </w:rPr>
        <w:t>Experimental tasks</w:t>
      </w:r>
    </w:p>
    <w:p w14:paraId="0A8EE4EA" w14:textId="77777777" w:rsidR="00DE7808" w:rsidRPr="00DE7808" w:rsidRDefault="00DE7808" w:rsidP="003B161E">
      <w:pPr>
        <w:spacing w:line="360" w:lineRule="auto"/>
        <w:rPr>
          <w:i/>
        </w:rPr>
      </w:pPr>
      <w:r w:rsidRPr="00DE7808">
        <w:rPr>
          <w:i/>
        </w:rPr>
        <w:t>Hedonic Reactivity</w:t>
      </w:r>
    </w:p>
    <w:p w14:paraId="26F09830" w14:textId="17FB8A8F" w:rsidR="00DE7808" w:rsidRDefault="00DE7808" w:rsidP="003B161E">
      <w:pPr>
        <w:spacing w:line="360" w:lineRule="auto"/>
      </w:pPr>
      <w:r>
        <w:lastRenderedPageBreak/>
        <w:tab/>
        <w:t xml:space="preserve">Hedonic reactivity was assessed using a Hedonic Reactivity Task in which participants were presented with a subset of pleasant, unpleasant, and neutral photographs from the </w:t>
      </w:r>
      <w:r w:rsidRPr="00E61A85">
        <w:t xml:space="preserve">International Affective Picture System </w:t>
      </w:r>
      <w:r w:rsidR="004E03F8">
        <w:fldChar w:fldCharType="begin"/>
      </w:r>
      <w:r w:rsidR="00CE4F93">
        <w:instrText xml:space="preserve"> ADDIN ZOTERO_ITEM CSL_CITATION {"citationID":"2Jw4lKur","properties":{"formattedCitation":"(Lang et al., 1997)","plainCitation":"(Lang et al., 1997)","dontUpdate":true,"noteIndex":0},"citationItems":[{"id":4379,"uris":["http://zotero.org/users/9370437/items/ZTPJCYNF"],"itemData":{"id":4379,"type":"article-journal","container-title":"NIMH Center for the Study of Emotion and Attention","issue":"39-58","note":"publisher: Gainesville, FL.","page":"3","source":"Google Scholar","title":"International affective picture system (IAPS): Technical manual and affective ratings","title-short":"International affective picture system (IAPS)","volume":"1","author":[{"family":"Lang","given":"Peter J."},{"family":"Bradley","given":"Margaret M."},{"family":"Cuthbert","given":"Bruce N."}],"issued":{"date-parts":[["1997"]]}}}],"schema":"https://github.com/citation-style-language/schema/raw/master/csl-citation.json"} </w:instrText>
      </w:r>
      <w:r w:rsidR="004E03F8">
        <w:fldChar w:fldCharType="separate"/>
      </w:r>
      <w:r w:rsidR="004E03F8">
        <w:rPr>
          <w:noProof/>
        </w:rPr>
        <w:t>(IAPS; Lang et al., 1997)</w:t>
      </w:r>
      <w:r w:rsidR="004E03F8">
        <w:fldChar w:fldCharType="end"/>
      </w:r>
      <w:r>
        <w:t xml:space="preserve">, and provided self-report ratings about their level of positive emotion, negative emotion, and level of arousal/excitement in response to each photograph. There were 72 photographs (24 positive, 24 negative, and 24 neutral). Each stimulus was presented with a visual unipolar scale from 1 (not at all) to 5 (extremely) that also indicated the current self-report rating required. The task was self-paced such that a participant response triggered the appearance of the next rating scale within a given trial or the next trial following the final rating of the current trial. </w:t>
      </w:r>
    </w:p>
    <w:p w14:paraId="01ECB1AF" w14:textId="3E4191D6" w:rsidR="0036165B" w:rsidRDefault="00DE7808" w:rsidP="003B161E">
      <w:pPr>
        <w:spacing w:line="360" w:lineRule="auto"/>
        <w:ind w:firstLine="720"/>
      </w:pPr>
      <w:r>
        <w:t>The dependent variable for the current analysis was each participant’s average positive valence rating across pleasant stimulus trials.</w:t>
      </w:r>
    </w:p>
    <w:p w14:paraId="00BA2AAD" w14:textId="4ABAC17E" w:rsidR="00DE7808" w:rsidRPr="00DE7808" w:rsidRDefault="00DE7808" w:rsidP="003B161E">
      <w:pPr>
        <w:spacing w:line="360" w:lineRule="auto"/>
        <w:rPr>
          <w:i/>
        </w:rPr>
      </w:pPr>
      <w:r w:rsidRPr="00DE7808">
        <w:t xml:space="preserve"> </w:t>
      </w:r>
      <w:r w:rsidR="00973192">
        <w:rPr>
          <w:i/>
        </w:rPr>
        <w:t>Reinforcement</w:t>
      </w:r>
      <w:r w:rsidRPr="00DE7808">
        <w:rPr>
          <w:i/>
        </w:rPr>
        <w:t xml:space="preserve"> Learning</w:t>
      </w:r>
    </w:p>
    <w:p w14:paraId="0103D54A" w14:textId="459D557A" w:rsidR="00DE7808" w:rsidRDefault="00973192" w:rsidP="003B161E">
      <w:pPr>
        <w:spacing w:line="360" w:lineRule="auto"/>
      </w:pPr>
      <w:r>
        <w:tab/>
        <w:t>Reinforcement l</w:t>
      </w:r>
      <w:r w:rsidR="00DE7808">
        <w:t xml:space="preserve">earning was assessed using the Probabilistic Reinforcement Learning Task </w:t>
      </w:r>
      <w:r w:rsidR="004E03F8">
        <w:fldChar w:fldCharType="begin"/>
      </w:r>
      <w:r w:rsidR="00CE4F93">
        <w:instrText xml:space="preserve"> ADDIN ZOTERO_ITEM CSL_CITATION {"citationID":"47CRC1us","properties":{"formattedCitation":"(Gold et al., 2012)","plainCitation":"(Gold et al., 2012)","dontUpdate":true,"noteIndex":0},"citationItems":[{"id":166,"uris":["http://zotero.org/users/9370437/items/URNRU2B2"],"itemData":{"id":166,"type":"article-journal","abstract":"CONTEXT: Negative symptoms are a core feature of schizophrenia, but their pathogenesis remains unclear. Negative symptoms are defined by the absence of normal function. However, there must be a productive mechanism that leads to this absence.\nOBJECTIVE: To test a reinforcement learning account suggesting that negative symptoms result from a failure in the representation of the expected value of rewards coupled with preserved loss-avoidance learning.\nDESIGN: Participants performed a probabilistic reinforcement learning paradigm involving stimulus pairs in which choices resulted in reward or in loss avoidance. Following training, participants indicated their valuation of the stimuli in a transfer test phase. Computational modeling was used to distinguish between alternative accounts of the data.\nSETTING: A tertiary care research outpatient clinic.\nPATIENTS: In total, 47 clinically stable patients with a diagnosis of schizophrenia or schizoaffective disorder and 28 healthy volunteers participated in the study. Patients were divided into a high-negative symptom group and a low-negative symptom group.\nMAIN OUTCOME MEASURES: The number of choices leading to reward or loss avoidance, as well as performance in the transfer test phase. Quantitative fits from 3 different models were examined.\nRESULTS: Patients in the high-negative symptom group demonstrated impaired learning from rewards but intact loss-avoidance learning and failed to distinguish rewarding stimuli from loss-avoiding stimuli in the transfer test phase. Model fits revealed that patients in the high-negative symptom group were better characterized by an \"actor-critic\" model, learning stimulus-response associations, whereas control subjects and patients in the low-negative symptom group incorporated expected value of their actions (\"Q learning\") into the selection process.\nCONCLUSIONS: Negative symptoms in schizophrenia are associated with a specific reinforcement learning abnormality: patients with high-negative symptoms do not represent the expected value of rewards when making decisions but learn to avoid punishments through the use of prediction errors. This computational framework offers the potential to understand negative symptoms at a mechanistic level.","container-title":"Archives of General Psychiatry","DOI":"10.1001/archgenpsychiatry.2011.1269","ISSN":"1538-3636","issue":"2","journalAbbreviation":"Arch Gen Psychiatry","language":"eng","note":"PMID: 22310503\nPMCID: PMC4406055","page":"129-138","source":"PubMed","title":"Negative symptoms and the failure to represent the expected reward value of actions: behavioral and computational modeling evidence","title-short":"Negative symptoms and the failure to represent the expected reward value of actions","volume":"69","author":[{"family":"Gold","given":"James M."},{"family":"Waltz","given":"James A."},{"family":"Matveeva","given":"Tatyana M."},{"family":"Kasanova","given":"Zuzana"},{"family":"Strauss","given":"Gregory P."},{"family":"Herbener","given":"Ellen S."},{"family":"Collins","given":"Anne G. E."},{"family":"Frank","given":"Michael J."}],"issued":{"date-parts":[["2012",2]]}}}],"schema":"https://github.com/citation-style-language/schema/raw/master/csl-citation.json"} </w:instrText>
      </w:r>
      <w:r w:rsidR="004E03F8">
        <w:fldChar w:fldCharType="separate"/>
      </w:r>
      <w:r w:rsidR="004E03F8">
        <w:rPr>
          <w:noProof/>
        </w:rPr>
        <w:t>(</w:t>
      </w:r>
      <w:r w:rsidR="001B12FE">
        <w:rPr>
          <w:noProof/>
        </w:rPr>
        <w:t xml:space="preserve">PRLT; </w:t>
      </w:r>
      <w:r w:rsidR="004E03F8">
        <w:rPr>
          <w:noProof/>
        </w:rPr>
        <w:t>Gold et al., 2012)</w:t>
      </w:r>
      <w:r w:rsidR="004E03F8">
        <w:fldChar w:fldCharType="end"/>
      </w:r>
      <w:r w:rsidR="001B12FE">
        <w:t>,</w:t>
      </w:r>
      <w:r w:rsidR="00DE7808">
        <w:t xml:space="preserve"> an explicit reinforcement learning task assessing learning from gains and losses. During an initial learning phase, participants were presented with 4 different stimulus choice pairs over 160 trials, and received reinforcement feedback probabilistically based on each choice. Two stimulus pairs were associated with the potential gain of a </w:t>
      </w:r>
      <w:r w:rsidR="00DE7808" w:rsidRPr="00B25BDE">
        <w:t>reward</w:t>
      </w:r>
      <w:r w:rsidR="00DE7808">
        <w:t xml:space="preserve"> for correct choices, with one pair leading to reward on 90% of correct choices and the other on 80% of choices, while incorrect choices did not receive a reward. The other two stimulus pairs were associated with the potential avoidance of a loss (either 90% or 80% probability of loss avoidance), while incorrect choices led to loss. Participants were randomized to complete a version of the task using either monetary (5</w:t>
      </w:r>
      <w:r w:rsidR="00DE7808" w:rsidRPr="00A76CF8">
        <w:rPr>
          <w:color w:val="000000"/>
        </w:rPr>
        <w:t>¢</w:t>
      </w:r>
      <w:r w:rsidR="00DE7808">
        <w:t xml:space="preserve">) or points (5 points) as the reward/loss outcome, and participants completing the monetary reward version received 100% of their earnings as bonus study remuneration. Each stimulus pair was presented 40 times in a randomized order during the learning phase. The learning phase was followed by a transfer phase that included trials of original and novel stimulus pairings (not analyzed here). Stimuli were pairs of landscape images, presented one at a time </w:t>
      </w:r>
      <w:r w:rsidR="00DE7808" w:rsidRPr="00B25BDE">
        <w:t>until participants made a choice</w:t>
      </w:r>
      <w:r w:rsidR="00DE7808">
        <w:t>, which triggered a feedback screen: “+5 Win!” or “Keep your points!” for respective gain and loss rewarded correct choices, or “Not a winner, try again!” or “</w:t>
      </w:r>
      <w:r w:rsidR="00DE7808" w:rsidRPr="00DB226B">
        <w:rPr>
          <w:rFonts w:eastAsia="MS Gothic"/>
          <w:color w:val="000000"/>
        </w:rPr>
        <w:t>−</w:t>
      </w:r>
      <w:r w:rsidR="00DE7808">
        <w:t>5 Lose!” for incorrect or non-rewarded gain and loss trials, respectively. Participants completed 12 practice trials (6 gain pairs and 6 loss pairs) prior to starting the learning phase.</w:t>
      </w:r>
    </w:p>
    <w:p w14:paraId="70694A28" w14:textId="4876FC7A" w:rsidR="0036165B" w:rsidRPr="00E21B97" w:rsidRDefault="00DE7808" w:rsidP="003B161E">
      <w:pPr>
        <w:spacing w:line="360" w:lineRule="auto"/>
      </w:pPr>
      <w:r>
        <w:lastRenderedPageBreak/>
        <w:tab/>
        <w:t xml:space="preserve">The dependent variable for the current study was the percentage of correct choices on the most frequently rewarded gain stimulus pairing across learning trials, representing overall ability to learn from positive feedback during the most explicitly rewarding condition. This 90% gain condition has been associated with the largest learning deficit in high-negative symptom individuals with schizophrenia </w:t>
      </w:r>
      <w:r w:rsidR="001B12FE">
        <w:fldChar w:fldCharType="begin"/>
      </w:r>
      <w:r w:rsidR="001B12FE">
        <w:instrText xml:space="preserve"> ADDIN ZOTERO_ITEM CSL_CITATION {"citationID":"ce4Kklh0","properties":{"formattedCitation":"(Gold et al., 2012)","plainCitation":"(Gold et al., 2012)","noteIndex":0},"citationItems":[{"id":166,"uris":["http://zotero.org/users/9370437/items/URNRU2B2"],"itemData":{"id":166,"type":"article-journal","abstract":"CONTEXT: Negative symptoms are a core feature of schizophrenia, but their pathogenesis remains unclear. Negative symptoms are defined by the absence of normal function. However, there must be a productive mechanism that leads to this absence.\nOBJECTIVE: To test a reinforcement learning account suggesting that negative symptoms result from a failure in the representation of the expected value of rewards coupled with preserved loss-avoidance learning.\nDESIGN: Participants performed a probabilistic reinforcement learning paradigm involving stimulus pairs in which choices resulted in reward or in loss avoidance. Following training, participants indicated their valuation of the stimuli in a transfer test phase. Computational modeling was used to distinguish between alternative accounts of the data.\nSETTING: A tertiary care research outpatient clinic.\nPATIENTS: In total, 47 clinically stable patients with a diagnosis of schizophrenia or schizoaffective disorder and 28 healthy volunteers participated in the study. Patients were divided into a high-negative symptom group and a low-negative symptom group.\nMAIN OUTCOME MEASURES: The number of choices leading to reward or loss avoidance, as well as performance in the transfer test phase. Quantitative fits from 3 different models were examined.\nRESULTS: Patients in the high-negative symptom group demonstrated impaired learning from rewards but intact loss-avoidance learning and failed to distinguish rewarding stimuli from loss-avoiding stimuli in the transfer test phase. Model fits revealed that patients in the high-negative symptom group were better characterized by an \"actor-critic\" model, learning stimulus-response associations, whereas control subjects and patients in the low-negative symptom group incorporated expected value of their actions (\"Q learning\") into the selection process.\nCONCLUSIONS: Negative symptoms in schizophrenia are associated with a specific reinforcement learning abnormality: patients with high-negative symptoms do not represent the expected value of rewards when making decisions but learn to avoid punishments through the use of prediction errors. This computational framework offers the potential to understand negative symptoms at a mechanistic level.","container-title":"Archives of General Psychiatry","DOI":"10.1001/archgenpsychiatry.2011.1269","ISSN":"1538-3636","issue":"2","journalAbbreviation":"Arch Gen Psychiatry","language":"eng","note":"PMID: 22310503\nPMCID: PMC4406055","page":"129-138","source":"PubMed","title":"Negative symptoms and the failure to represent the expected reward value of actions: behavioral and computational modeling evidence","title-short":"Negative symptoms and the failure to represent the expected reward value of actions","volume":"69","author":[{"family":"Gold","given":"James M."},{"family":"Waltz","given":"James A."},{"family":"Matveeva","given":"Tatyana M."},{"family":"Kasanova","given":"Zuzana"},{"family":"Strauss","given":"Gregory P."},{"family":"Herbener","given":"Ellen S."},{"family":"Collins","given":"Anne G. E."},{"family":"Frank","given":"Michael J."}],"issued":{"date-parts":[["2012",2]]}}}],"schema":"https://github.com/citation-style-language/schema/raw/master/csl-citation.json"} </w:instrText>
      </w:r>
      <w:r w:rsidR="001B12FE">
        <w:fldChar w:fldCharType="separate"/>
      </w:r>
      <w:r w:rsidR="001B12FE">
        <w:rPr>
          <w:noProof/>
        </w:rPr>
        <w:t>(Gold et al., 2012)</w:t>
      </w:r>
      <w:r w:rsidR="001B12FE">
        <w:fldChar w:fldCharType="end"/>
      </w:r>
      <w:r>
        <w:t>.</w:t>
      </w:r>
    </w:p>
    <w:p w14:paraId="07099992" w14:textId="77777777" w:rsidR="00DE7808" w:rsidRPr="00DE7808" w:rsidRDefault="00DE7808" w:rsidP="003B161E">
      <w:pPr>
        <w:spacing w:line="360" w:lineRule="auto"/>
        <w:rPr>
          <w:i/>
        </w:rPr>
      </w:pPr>
      <w:r w:rsidRPr="00DE7808">
        <w:rPr>
          <w:i/>
        </w:rPr>
        <w:t>Value Representation</w:t>
      </w:r>
    </w:p>
    <w:p w14:paraId="16552119" w14:textId="3A50FA59" w:rsidR="00DE7808" w:rsidRPr="009228E3" w:rsidRDefault="00DE7808" w:rsidP="003B161E">
      <w:pPr>
        <w:spacing w:line="360" w:lineRule="auto"/>
      </w:pPr>
      <w:r>
        <w:tab/>
        <w:t xml:space="preserve">Value representation is commonly assessed through delay discounting, which indexes the representation of the subjective value of a future reward as a function of its magnitude and delay in delivery. On the Delay Discounting Task </w:t>
      </w:r>
      <w:r w:rsidR="004744F2">
        <w:fldChar w:fldCharType="begin"/>
      </w:r>
      <w:r w:rsidR="004744F2">
        <w:instrText xml:space="preserve"> ADDIN ZOTERO_ITEM CSL_CITATION {"citationID":"lsSZOKB6","properties":{"formattedCitation":"(Kirby et al., 1999)","plainCitation":"(Kirby et al., 1999)","noteIndex":0},"citationItems":[{"id":4381,"uris":["http://zotero.org/users/9370437/items/23VY8X47"],"itemData":{"id":4381,"type":"article-journal","container-title":"Journal of Experimental psychology: general","issue":"1","note":"publisher: American Psychological Association","page":"78","source":"Google Scholar","title":"Heroin addicts have higher discount rates for delayed rewards than non-drug-using controls.","volume":"128","author":[{"family":"Kirby","given":"Kris N."},{"family":"Petry","given":"Nancy M."},{"family":"Bickel","given":"Warren K."}],"issued":{"date-parts":[["1999"]]}}}],"schema":"https://github.com/citation-style-language/schema/raw/master/csl-citation.json"} </w:instrText>
      </w:r>
      <w:r w:rsidR="004744F2">
        <w:fldChar w:fldCharType="separate"/>
      </w:r>
      <w:r w:rsidR="004744F2">
        <w:rPr>
          <w:noProof/>
        </w:rPr>
        <w:t>(Kirby et al., 1999)</w:t>
      </w:r>
      <w:r w:rsidR="004744F2">
        <w:fldChar w:fldCharType="end"/>
      </w:r>
      <w:r>
        <w:t xml:space="preserve">, participants completed 27 trials in which they made a hypothetical choice between receiving a smaller immediate reward and a larger reward available after a delay (7-186 days). Reward size for each choice varied across trials, with the smaller immediate reward including </w:t>
      </w:r>
      <w:r w:rsidRPr="007D7D61">
        <w:t>small ($11–34), medium ($20–54), and large ($31–80)</w:t>
      </w:r>
      <w:r>
        <w:t xml:space="preserve"> rewards, and the larger delayed reward including </w:t>
      </w:r>
      <w:r w:rsidRPr="007D7D61">
        <w:t>small ($25–35), medium ($50–60), and large ($75–85)</w:t>
      </w:r>
      <w:r>
        <w:t xml:space="preserve"> reward values</w:t>
      </w:r>
      <w:r w:rsidRPr="007D7D61">
        <w:t>.</w:t>
      </w:r>
    </w:p>
    <w:p w14:paraId="124EDA98" w14:textId="2E6762B3" w:rsidR="0036165B" w:rsidRDefault="00DE7808" w:rsidP="003B161E">
      <w:pPr>
        <w:spacing w:line="360" w:lineRule="auto"/>
      </w:pPr>
      <w:r>
        <w:rPr>
          <w:i/>
        </w:rPr>
        <w:tab/>
      </w:r>
      <w:r>
        <w:t xml:space="preserve">The dependent variable of interest was the participant’s average </w:t>
      </w:r>
      <w:r w:rsidRPr="00F212A3">
        <w:rPr>
          <w:i/>
        </w:rPr>
        <w:t>k</w:t>
      </w:r>
      <w:r>
        <w:t xml:space="preserve">-discounting rate across trials, estimated independently at each reward magnitude using a hyperbolic discounting model </w:t>
      </w:r>
      <w:r w:rsidR="004744F2">
        <w:fldChar w:fldCharType="begin"/>
      </w:r>
      <w:r w:rsidR="00CE4F93">
        <w:instrText xml:space="preserve"> ADDIN ZOTERO_ITEM CSL_CITATION {"citationID":"r9FVA7BT","properties":{"formattedCitation":"(Gray et al., 2016; Kirby et al., 1999)","plainCitation":"(Gray et al., 2016; Kirby et al., 1999)","dontUpdate":true,"noteIndex":0},"citationItems":[{"id":4384,"uris":["http://zotero.org/users/9370437/items/TUFZ7AMS"],"itemData":{"id":4384,"type":"article-journal","container-title":"Journal of the experimental analysis of behavior","issue":"2","note":"publisher: Wiley Online Library","page":"156–163","source":"Google Scholar","title":"Syntax for calculation of discounting indices from the monetary choice questionnaire and probability discounting questionnaire","volume":"106","author":[{"family":"Gray","given":"Joshua C."},{"family":"Amlung","given":"Michael T."},{"family":"Palmer","given":"Abraham A."},{"family":"MacKillop","given":"James"}],"issued":{"date-parts":[["2016"]]}}},{"id":4381,"uris":["http://zotero.org/users/9370437/items/23VY8X47"],"itemData":{"id":4381,"type":"article-journal","container-title":"Journal of Experimental psychology: general","issue":"1","note":"publisher: American Psychological Association","page":"78","source":"Google Scholar","title":"Heroin addicts have higher discount rates for delayed rewards than non-drug-using controls.","volume":"128","author":[{"family":"Kirby","given":"Kris N."},{"family":"Petry","given":"Nancy M."},{"family":"Bickel","given":"Warren K."}],"issued":{"date-parts":[["1999"]]}}}],"schema":"https://github.com/citation-style-language/schema/raw/master/csl-citation.json"} </w:instrText>
      </w:r>
      <w:r w:rsidR="004744F2">
        <w:fldChar w:fldCharType="separate"/>
      </w:r>
      <w:r w:rsidR="004744F2">
        <w:rPr>
          <w:noProof/>
        </w:rPr>
        <w:t>(see Gray et al., 2016; Kirby et al., 1999)</w:t>
      </w:r>
      <w:r w:rsidR="004744F2">
        <w:fldChar w:fldCharType="end"/>
      </w:r>
      <w:r>
        <w:t xml:space="preserve">. This </w:t>
      </w:r>
      <w:r>
        <w:rPr>
          <w:i/>
        </w:rPr>
        <w:t>k</w:t>
      </w:r>
      <w:r>
        <w:t xml:space="preserve">-discounting rate represents the degree to which a delay in reward delivery discounts the value of the reward. </w:t>
      </w:r>
      <w:r w:rsidR="00116FFF">
        <w:t>T</w:t>
      </w:r>
      <w:r>
        <w:t xml:space="preserve">he discounting rate was averaged across reward sizes and log-transformed </w:t>
      </w:r>
      <w:r w:rsidR="004744F2">
        <w:fldChar w:fldCharType="begin"/>
      </w:r>
      <w:r w:rsidR="004744F2">
        <w:instrText xml:space="preserve"> ADDIN ZOTERO_ITEM CSL_CITATION {"citationID":"LMwk42Yx","properties":{"formattedCitation":"(Gray et al., 2016)","plainCitation":"(Gray et al., 2016)","noteIndex":0},"citationItems":[{"id":4384,"uris":["http://zotero.org/users/9370437/items/TUFZ7AMS"],"itemData":{"id":4384,"type":"article-journal","container-title":"Journal of the experimental analysis of behavior","issue":"2","note":"publisher: Wiley Online Library","page":"156–163","source":"Google Scholar","title":"Syntax for calculation of discounting indices from the monetary choice questionnaire and probability discounting questionnaire","volume":"106","author":[{"family":"Gray","given":"Joshua C."},{"family":"Amlung","given":"Michael T."},{"family":"Palmer","given":"Abraham A."},{"family":"MacKillop","given":"James"}],"issued":{"date-parts":[["2016"]]}}}],"schema":"https://github.com/citation-style-language/schema/raw/master/csl-citation.json"} </w:instrText>
      </w:r>
      <w:r w:rsidR="004744F2">
        <w:fldChar w:fldCharType="separate"/>
      </w:r>
      <w:r w:rsidR="004744F2">
        <w:rPr>
          <w:noProof/>
        </w:rPr>
        <w:t>(Gray et al., 2016)</w:t>
      </w:r>
      <w:r w:rsidR="004744F2">
        <w:fldChar w:fldCharType="end"/>
      </w:r>
      <w:r w:rsidR="00C14557">
        <w:t>, such that less negative values indicate greater discounting rates</w:t>
      </w:r>
      <w:r>
        <w:t>.</w:t>
      </w:r>
    </w:p>
    <w:p w14:paraId="63ABDE0A" w14:textId="77777777" w:rsidR="00DE7808" w:rsidRPr="00DE7808" w:rsidRDefault="00DE7808" w:rsidP="003B161E">
      <w:pPr>
        <w:spacing w:line="360" w:lineRule="auto"/>
        <w:rPr>
          <w:i/>
        </w:rPr>
      </w:pPr>
      <w:r w:rsidRPr="00DE7808">
        <w:rPr>
          <w:i/>
        </w:rPr>
        <w:t>Effort-Cost Computation</w:t>
      </w:r>
      <w:r w:rsidRPr="00DE7808">
        <w:tab/>
      </w:r>
    </w:p>
    <w:p w14:paraId="53721A5F" w14:textId="71F8E076" w:rsidR="00DE7808" w:rsidRDefault="00DE7808" w:rsidP="003B161E">
      <w:pPr>
        <w:spacing w:line="360" w:lineRule="auto"/>
      </w:pPr>
      <w:r>
        <w:tab/>
        <w:t xml:space="preserve">The effort-cost computation paradigm in the current study was the Effort Expenditure for Rewards Task </w:t>
      </w:r>
      <w:r w:rsidR="00213A62">
        <w:fldChar w:fldCharType="begin"/>
      </w:r>
      <w:r w:rsidR="00011926">
        <w:instrText xml:space="preserve"> ADDIN ZOTERO_ITEM CSL_CITATION {"citationID":"qLl1OTQI","properties":{"formattedCitation":"(Treadway et al., 2009)","plainCitation":"(Treadway et al., 2009)","dontUpdate":true,"noteIndex":0},"citationItems":[{"id":4387,"uris":["http://zotero.org/users/9370437/items/8CDVQXXK"],"itemData":{"id":4387,"type":"article-journal","abstract":"Background Of the putative psychopathological endophenotypes in major depressive disorder (MDD), the anhedonic subtype is particularly well supported. Anhedonia is generally assumed to reflect aberrant motivation and reward responsivity. However, research has been limited by a lack of objective measures of reward motivation. We present the Effort-Expenditure for Rewards Task (EEfRT or “effort”), a novel behavioral paradigm as a means of exploring effort-based decision-making in humans. Using the EEfRT, we test the hypothesis that effort-based decision-making is related to trait anhedonia. Methods/Results 61 undergraduate students participated in the experiment. Subjects completed self-report measures of mood and trait anhedonia, and completed the EEfRT. Across multiple analyses, we found a significant inverse relationship between anhedonia and willingness to expend effort for rewards. Conclusions These findings suggest that anhedonia is specifically associated with decreased motivation for rewards, and provide initial validation for the EEfRT as a laboratory-based behavioral measure of reward motivation and effort-based decision-making in humans.","container-title":"PLOS ONE","DOI":"10.1371/journal.pone.0006598","ISSN":"1932-6203","issue":"8","journalAbbreviation":"PLOS ONE","language":"en","note":"publisher: Public Library of Science","page":"e6598","source":"PLoS Journals","title":"Worth the ‘EEfRT’? The Effort Expenditure for Rewards Task as an Objective Measure of Motivation and Anhedonia","title-short":"Worth the ‘EEfRT’?","volume":"4","author":[{"family":"Treadway","given":"Michael T."},{"family":"Buckholtz","given":"Joshua W."},{"family":"Schwartzman","given":"Ashley N."},{"family":"Lambert","given":"Warren E."},{"family":"Zald","given":"David H."}],"issued":{"date-parts":[["2009",8,12]]}}}],"schema":"https://github.com/citation-style-language/schema/raw/master/csl-citation.json"} </w:instrText>
      </w:r>
      <w:r w:rsidR="00213A62">
        <w:fldChar w:fldCharType="separate"/>
      </w:r>
      <w:r w:rsidR="00CE4F93">
        <w:rPr>
          <w:noProof/>
        </w:rPr>
        <w:t>(EEfRT; Treadway et al., 2009)</w:t>
      </w:r>
      <w:r w:rsidR="00213A62">
        <w:fldChar w:fldCharType="end"/>
      </w:r>
      <w:r>
        <w:t>. On each trial, participants had to chose between completing a lower effort task (“Easy Task”: 30 key</w:t>
      </w:r>
      <w:r w:rsidR="00325E1E">
        <w:t xml:space="preserve"> </w:t>
      </w:r>
      <w:r>
        <w:t>presses within 7s using the dominant hand index finger) for a smaller reward (100 points) or a higher effort task (“Hard Task”: 100 key</w:t>
      </w:r>
      <w:r w:rsidR="00325E1E">
        <w:t xml:space="preserve"> </w:t>
      </w:r>
      <w:r>
        <w:t>presses within 21s using the non</w:t>
      </w:r>
      <w:r w:rsidR="00325E1E">
        <w:t>-</w:t>
      </w:r>
      <w:r>
        <w:t>dominant hand little finger) for a larger reward (124-430 points). The probability of receiving the reward upon successful trial completion was also manipulated and specified during the choice period, which applied to both the Easy and Hard tasks: either 12% (low), 50% (medium), or 88% (high). These different reward probabilities were evenly distributed across task trials. Participants were randomized to complete a version of the task using either points or money (1</w:t>
      </w:r>
      <w:r w:rsidRPr="00A76CF8">
        <w:rPr>
          <w:color w:val="000000"/>
        </w:rPr>
        <w:t>¢</w:t>
      </w:r>
      <w:r>
        <w:rPr>
          <w:color w:val="000000"/>
        </w:rPr>
        <w:t xml:space="preserve"> per point</w:t>
      </w:r>
      <w:r w:rsidRPr="00A76CF8">
        <w:rPr>
          <w:color w:val="000000"/>
        </w:rPr>
        <w:t>)</w:t>
      </w:r>
      <w:r>
        <w:t xml:space="preserve"> as the reward, and participants completing the </w:t>
      </w:r>
      <w:r>
        <w:lastRenderedPageBreak/>
        <w:t>monetary reward version received 10% of their task earnings as bonus study remuneration</w:t>
      </w:r>
      <w:r w:rsidRPr="00B26D43">
        <w:t>.</w:t>
      </w:r>
      <w:r>
        <w:rPr>
          <w:i/>
        </w:rPr>
        <w:t xml:space="preserve"> </w:t>
      </w:r>
      <w:r>
        <w:t xml:space="preserve">Each trial began with a 5 s choice period displaying the two task choices including the reward magnitude and probability of obtaining a reward, and </w:t>
      </w:r>
      <w:r w:rsidRPr="00B25BDE">
        <w:t>the task was randomly selected if the participant did not make a choice within the 5s window.</w:t>
      </w:r>
      <w:r>
        <w:t xml:space="preserve"> A 1s preparation screen displaying the word “Ready?” was then presented, followed by the performance period in which participants completed their selected task while a progress bar indicated progress toward task completion. Once the performance period elapsed, a feedback screen indicated whether a reward was provided. </w:t>
      </w:r>
      <w:r w:rsidRPr="00B25BDE">
        <w:t>Participants were instructed to complete as many trials as possible within 20 minutes.</w:t>
      </w:r>
      <w:r>
        <w:t xml:space="preserve"> Participants completed 4 practice trials prior to beginning the task.</w:t>
      </w:r>
    </w:p>
    <w:p w14:paraId="71D1E063" w14:textId="690758AD" w:rsidR="0036165B" w:rsidRPr="003B161E" w:rsidRDefault="00DE7808" w:rsidP="003B161E">
      <w:pPr>
        <w:spacing w:line="360" w:lineRule="auto"/>
      </w:pPr>
      <w:r>
        <w:tab/>
        <w:t xml:space="preserve">The dependent variable for the current study was the percentage of hard task choices for trials in the upper half of the reward magnitude range (277-430 points) and where the probability of receiving a reward was 50% or 88%. Prior research in schizophrenia indicates group differences are largest for greater reward magnitudes and higher reward probabilities </w:t>
      </w:r>
      <w:r w:rsidR="00BB05C4">
        <w:fldChar w:fldCharType="begin"/>
      </w:r>
      <w:r w:rsidR="00BB05C4">
        <w:instrText xml:space="preserve"> ADDIN ZOTERO_ITEM CSL_CITATION {"citationID":"2sThpziF","properties":{"formattedCitation":"(Culbreth et al., 2018)","plainCitation":"(Culbreth et al., 2018)","noteIndex":0},"citationItems":[{"id":4389,"uris":["http://zotero.org/users/9370437/items/L39BX8WV"],"itemData":{"id":4389,"type":"article-journal","abstract":"Motivational impairment is a common feature of both depression and psychosis; however, the psychological and neural mechanisms that give rise to motivational impairment in these disorders are poorly understood. Recent research has suggested that aberrant effort-cost decision-making (ECDM) may be a potential contributor to motivational impairment in both psychosis and depression. ECDM refers to choices that individuals make regarding the amount of 'work' they are willing to expend to obtain a certain outcome or reward. Recent experimental work has suggested that those with psychosis and depression may be less willing to expend effort to obtain rewards compared with controls, and that this effort deficit is related to motivational impairment in both disorders. In the current review, we aim to summarize the current literature on ECDM in psychosis and depression, providing evidence for transdiagnostic impairment. Next, we discuss evidence for the hypothesis that a seemingly similar behavioral ECDM deficit might arise from disparate psychological and neural mechanisms. Specifically, we argue that effort deficits in psychosis might be largely driven by deficits in cognitive control and the neural correlates of cognitive control processes, while effort deficits in depression might be largely driven by reduced reward responsivity and the associated neural correlates of reward responsivity. Finally, we will provide some discussion regarding future directions, as well as interpretative challenges to consider when examining ECDM transdiagnostically.","container-title":"Psychological Medicine","DOI":"10.1017/S0033291717002525","ISSN":"1469-8978","issue":"6","journalAbbreviation":"Psychol Med","language":"eng","note":"PMID: 28889803","page":"889-904","source":"PubMed","title":"Effort-cost decision-making in psychosis and depression: could a similar behavioral deficit arise from disparate psychological and neural mechanisms?","title-short":"Effort-cost decision-making in psychosis and depression","volume":"48","author":[{"family":"Culbreth","given":"A. J."},{"family":"Moran","given":"E. K."},{"family":"Barch","given":"D. M."}],"issued":{"date-parts":[["2018",4]]}}}],"schema":"https://github.com/citation-style-language/schema/raw/master/csl-citation.json"} </w:instrText>
      </w:r>
      <w:r w:rsidR="00BB05C4">
        <w:fldChar w:fldCharType="separate"/>
      </w:r>
      <w:r w:rsidR="00BB05C4">
        <w:rPr>
          <w:noProof/>
        </w:rPr>
        <w:t>(Culbreth et al., 2018)</w:t>
      </w:r>
      <w:r w:rsidR="00BB05C4">
        <w:fldChar w:fldCharType="end"/>
      </w:r>
      <w:r>
        <w:t>.</w:t>
      </w:r>
    </w:p>
    <w:p w14:paraId="7342D861" w14:textId="77777777" w:rsidR="00FE7612" w:rsidRPr="00FC562E" w:rsidRDefault="00FE7612" w:rsidP="003B161E">
      <w:pPr>
        <w:spacing w:line="360" w:lineRule="auto"/>
        <w:rPr>
          <w:b/>
          <w:i/>
        </w:rPr>
      </w:pPr>
      <w:r w:rsidRPr="00FC562E">
        <w:rPr>
          <w:b/>
          <w:i/>
        </w:rPr>
        <w:t>Data processing</w:t>
      </w:r>
    </w:p>
    <w:p w14:paraId="48D0CD18" w14:textId="6D8AE77E" w:rsidR="00C36749" w:rsidRDefault="00C36749" w:rsidP="003B161E">
      <w:pPr>
        <w:spacing w:line="360" w:lineRule="auto"/>
        <w:ind w:firstLine="720"/>
      </w:pPr>
      <w:r>
        <w:t xml:space="preserve">Data processing and analysis were performed in R version 3.6.3 using RStudio 1.4.1106 </w:t>
      </w:r>
      <w:r w:rsidR="00CE4F93">
        <w:fldChar w:fldCharType="begin"/>
      </w:r>
      <w:r w:rsidR="00CE4F93">
        <w:instrText xml:space="preserve"> ADDIN ZOTERO_ITEM CSL_CITATION {"citationID":"bQ2tKL4H","properties":{"formattedCitation":"(R Core Team, 2020)","plainCitation":"(R Core Team, 2020)","noteIndex":0},"citationItems":[{"id":1914,"uris":["http://zotero.org/groups/2429343/items/WVNBKIEY"],"itemData":{"id":1914,"type":"book","event-place":"Vienna, Austria","publisher":"R Foundation for Statistical Computing","publisher-place":"Vienna, Austria","title":"R: A Language and Environment for Statistical Computing","URL":"https://www.R-project.org/","author":[{"literal":"R Core Team"}],"issued":{"date-parts":[["2020"]]}}}],"schema":"https://github.com/citation-style-language/schema/raw/master/csl-citation.json"} </w:instrText>
      </w:r>
      <w:r w:rsidR="00CE4F93">
        <w:fldChar w:fldCharType="separate"/>
      </w:r>
      <w:r w:rsidR="00CE4F93">
        <w:rPr>
          <w:noProof/>
        </w:rPr>
        <w:t>(R Core Team, 2020)</w:t>
      </w:r>
      <w:r w:rsidR="00CE4F93">
        <w:fldChar w:fldCharType="end"/>
      </w:r>
      <w:r w:rsidR="004431F6">
        <w:t xml:space="preserve"> </w:t>
      </w:r>
      <w:r>
        <w:t xml:space="preserve">with the following packages: cluster, </w:t>
      </w:r>
      <w:proofErr w:type="spellStart"/>
      <w:r>
        <w:t>ggpubr</w:t>
      </w:r>
      <w:proofErr w:type="spellEnd"/>
      <w:r>
        <w:t xml:space="preserve">, </w:t>
      </w:r>
      <w:proofErr w:type="spellStart"/>
      <w:r>
        <w:t>fpc</w:t>
      </w:r>
      <w:proofErr w:type="spellEnd"/>
      <w:r>
        <w:t xml:space="preserve">, </w:t>
      </w:r>
      <w:proofErr w:type="spellStart"/>
      <w:r>
        <w:t>irr</w:t>
      </w:r>
      <w:proofErr w:type="spellEnd"/>
      <w:r>
        <w:t xml:space="preserve">, MASS, </w:t>
      </w:r>
      <w:proofErr w:type="spellStart"/>
      <w:r>
        <w:t>NbClust</w:t>
      </w:r>
      <w:proofErr w:type="spellEnd"/>
      <w:r>
        <w:t xml:space="preserve">, </w:t>
      </w:r>
      <w:proofErr w:type="spellStart"/>
      <w:r>
        <w:t>rstatix</w:t>
      </w:r>
      <w:proofErr w:type="spellEnd"/>
      <w:r>
        <w:t xml:space="preserve">, stats, </w:t>
      </w:r>
      <w:proofErr w:type="spellStart"/>
      <w:r>
        <w:t>tidyverse</w:t>
      </w:r>
      <w:proofErr w:type="spellEnd"/>
      <w:r>
        <w:t>.</w:t>
      </w:r>
    </w:p>
    <w:p w14:paraId="6673F29A" w14:textId="6AF4859F" w:rsidR="00FE7612" w:rsidRDefault="00FE7612" w:rsidP="003B161E">
      <w:pPr>
        <w:spacing w:line="360" w:lineRule="auto"/>
        <w:ind w:firstLine="720"/>
      </w:pPr>
      <w:r>
        <w:t xml:space="preserve">For the hedonic reactivity task, one CHR participant was </w:t>
      </w:r>
      <w:r w:rsidR="00531878">
        <w:t xml:space="preserve">flagged for </w:t>
      </w:r>
      <w:r>
        <w:t>exclu</w:t>
      </w:r>
      <w:r w:rsidR="00531878">
        <w:t>sion</w:t>
      </w:r>
      <w:r>
        <w:t xml:space="preserve"> due to providing the same rating across all task trials (for positive, neutral, and negative images). </w:t>
      </w:r>
    </w:p>
    <w:p w14:paraId="69D6151D" w14:textId="1516B74C" w:rsidR="00FE7612" w:rsidRDefault="00FE7612" w:rsidP="003B161E">
      <w:pPr>
        <w:spacing w:line="360" w:lineRule="auto"/>
        <w:ind w:firstLine="720"/>
      </w:pPr>
      <w:r>
        <w:t xml:space="preserve">For the value representation task, the average </w:t>
      </w:r>
      <w:r>
        <w:rPr>
          <w:i/>
        </w:rPr>
        <w:t>k-</w:t>
      </w:r>
      <w:r>
        <w:t>discounting rate was estimated independently at each reward magnitude by fitting the participant’s choice indifference point to a hyperbolic discounting model</w:t>
      </w:r>
      <w:r w:rsidR="004431F6">
        <w:t xml:space="preserve"> </w:t>
      </w:r>
      <w:r w:rsidR="004431F6">
        <w:fldChar w:fldCharType="begin"/>
      </w:r>
      <w:r w:rsidR="00011926">
        <w:instrText xml:space="preserve"> ADDIN ZOTERO_ITEM CSL_CITATION {"citationID":"u9iat7w2","properties":{"formattedCitation":"(Gray et al., 2016; Kirby et al., 1999)","plainCitation":"(Gray et al., 2016; Kirby et al., 1999)","dontUpdate":true,"noteIndex":0},"citationItems":[{"id":4384,"uris":["http://zotero.org/users/9370437/items/TUFZ7AMS"],"itemData":{"id":4384,"type":"article-journal","container-title":"Journal of the experimental analysis of behavior","issue":"2","note":"publisher: Wiley Online Library","page":"156–163","source":"Google Scholar","title":"Syntax for calculation of discounting indices from the monetary choice questionnaire and probability discounting questionnaire","volume":"106","author":[{"family":"Gray","given":"Joshua C."},{"family":"Amlung","given":"Michael T."},{"family":"Palmer","given":"Abraham A."},{"family":"MacKillop","given":"James"}],"issued":{"date-parts":[["2016"]]}}},{"id":4381,"uris":["http://zotero.org/users/9370437/items/23VY8X47"],"itemData":{"id":4381,"type":"article-journal","container-title":"Journal of Experimental psychology: general","issue":"1","note":"publisher: American Psychological Association","page":"78","source":"Google Scholar","title":"Heroin addicts have higher discount rates for delayed rewards than non-drug-using controls.","volume":"128","author":[{"family":"Kirby","given":"Kris N."},{"family":"Petry","given":"Nancy M."},{"family":"Bickel","given":"Warren K."}],"issued":{"date-parts":[["1999"]]}}}],"schema":"https://github.com/citation-style-language/schema/raw/master/csl-citation.json"} </w:instrText>
      </w:r>
      <w:r w:rsidR="004431F6">
        <w:fldChar w:fldCharType="separate"/>
      </w:r>
      <w:r w:rsidR="004431F6">
        <w:rPr>
          <w:noProof/>
        </w:rPr>
        <w:t>(see Gray et al., 2016; Kirby et al., 1999)</w:t>
      </w:r>
      <w:r w:rsidR="004431F6">
        <w:fldChar w:fldCharType="end"/>
      </w:r>
      <w:r>
        <w:t xml:space="preserve">, and then averaged to provide an overall </w:t>
      </w:r>
      <w:r>
        <w:rPr>
          <w:i/>
        </w:rPr>
        <w:t>k</w:t>
      </w:r>
      <w:r>
        <w:t xml:space="preserve">-discounting rate. Following recommended practices </w:t>
      </w:r>
      <w:r w:rsidR="004431F6">
        <w:fldChar w:fldCharType="begin"/>
      </w:r>
      <w:r w:rsidR="004431F6">
        <w:instrText xml:space="preserve"> ADDIN ZOTERO_ITEM CSL_CITATION {"citationID":"QsB3EIZb","properties":{"formattedCitation":"(Gray et al., 2016)","plainCitation":"(Gray et al., 2016)","noteIndex":0},"citationItems":[{"id":4384,"uris":["http://zotero.org/users/9370437/items/TUFZ7AMS"],"itemData":{"id":4384,"type":"article-journal","container-title":"Journal of the experimental analysis of behavior","issue":"2","note":"publisher: Wiley Online Library","page":"156–163","source":"Google Scholar","title":"Syntax for calculation of discounting indices from the monetary choice questionnaire and probability discounting questionnaire","volume":"106","author":[{"family":"Gray","given":"Joshua C."},{"family":"Amlung","given":"Michael T."},{"family":"Palmer","given":"Abraham A."},{"family":"MacKillop","given":"James"}],"issued":{"date-parts":[["2016"]]}}}],"schema":"https://github.com/citation-style-language/schema/raw/master/csl-citation.json"} </w:instrText>
      </w:r>
      <w:r w:rsidR="004431F6">
        <w:fldChar w:fldCharType="separate"/>
      </w:r>
      <w:r w:rsidR="004431F6">
        <w:rPr>
          <w:noProof/>
        </w:rPr>
        <w:t>(Gray et al., 2016)</w:t>
      </w:r>
      <w:r w:rsidR="004431F6">
        <w:fldChar w:fldCharType="end"/>
      </w:r>
      <w:r>
        <w:t xml:space="preserve">, response consistency rates were calculated to identify and exclude participants with unreliable </w:t>
      </w:r>
      <w:r>
        <w:rPr>
          <w:i/>
        </w:rPr>
        <w:t>k</w:t>
      </w:r>
      <w:r>
        <w:t xml:space="preserve">-discounting values. Inconsistency was defined </w:t>
      </w:r>
      <w:r w:rsidRPr="008C23AD">
        <w:rPr>
          <w:i/>
        </w:rPr>
        <w:t>a priori</w:t>
      </w:r>
      <w:r>
        <w:t xml:space="preserve"> as &lt;70% (fewer than 6/9 consistent trial responses) at any reward magnitude, leading to seven participants (</w:t>
      </w:r>
      <w:r w:rsidR="00E707DB">
        <w:t>4</w:t>
      </w:r>
      <w:r>
        <w:t xml:space="preserve"> CHR, 1 HSC, 1 HC)</w:t>
      </w:r>
      <w:r w:rsidR="00531878">
        <w:t xml:space="preserve"> being flagged for exclusion</w:t>
      </w:r>
      <w:r>
        <w:t xml:space="preserve">. </w:t>
      </w:r>
    </w:p>
    <w:p w14:paraId="4DB58A06" w14:textId="1344BEE8" w:rsidR="00746ECB" w:rsidRDefault="00746ECB" w:rsidP="003B161E">
      <w:pPr>
        <w:spacing w:line="360" w:lineRule="auto"/>
        <w:ind w:firstLine="720"/>
      </w:pPr>
      <w:r>
        <w:t xml:space="preserve">For the Effort Expenditure for Rewards Task, trials in which participants did not make a choice within the 5 s choice window were excluded. The mean number of timed-out </w:t>
      </w:r>
      <w:r w:rsidR="006F2307">
        <w:t xml:space="preserve">choice </w:t>
      </w:r>
      <w:r>
        <w:t xml:space="preserve">trials </w:t>
      </w:r>
      <w:r>
        <w:lastRenderedPageBreak/>
        <w:t>was 1.48 for CHR, 0.64 for HSC, and 0.83 for HC participants. Eight participants with timed-out choices on over 50% of trials were identified for exclusion (3 CHR, 2 HSC, 3 HC).</w:t>
      </w:r>
    </w:p>
    <w:p w14:paraId="5323B018" w14:textId="43169379" w:rsidR="00FE7612" w:rsidRDefault="00325E1E" w:rsidP="003B161E">
      <w:pPr>
        <w:spacing w:line="360" w:lineRule="auto"/>
        <w:ind w:firstLine="720"/>
      </w:pPr>
      <w:r>
        <w:t xml:space="preserve">For each </w:t>
      </w:r>
      <w:r w:rsidR="00FE7612">
        <w:t>dependent variable, participants with extreme outlier scores (</w:t>
      </w:r>
      <w:r w:rsidR="00FE7612" w:rsidRPr="00124DBD">
        <w:t>exceeding 3 times the interquartile range below the 25th percentile or above the 75th percentile</w:t>
      </w:r>
      <w:r w:rsidR="00FE7612">
        <w:t>) were excluded (2 CHR and 2 HC participants due to extreme PRLT task scores).</w:t>
      </w:r>
    </w:p>
    <w:p w14:paraId="33468AE3" w14:textId="490F210E" w:rsidR="00D35A51" w:rsidRDefault="00FE7612" w:rsidP="003B161E">
      <w:pPr>
        <w:spacing w:line="360" w:lineRule="auto"/>
        <w:ind w:firstLine="720"/>
      </w:pPr>
      <w:r>
        <w:t>Only participants with complete data across the four tasks were retained in the final sample, which included 11</w:t>
      </w:r>
      <w:r w:rsidR="00FB5B5C">
        <w:t>0</w:t>
      </w:r>
      <w:r>
        <w:t xml:space="preserve"> CHR, </w:t>
      </w:r>
      <w:r w:rsidR="00FB5B5C">
        <w:t>88</w:t>
      </w:r>
      <w:r>
        <w:t xml:space="preserve"> HSC, and 6</w:t>
      </w:r>
      <w:r w:rsidR="00FB5B5C">
        <w:t>6</w:t>
      </w:r>
      <w:r>
        <w:t xml:space="preserve"> HC participants.</w:t>
      </w:r>
    </w:p>
    <w:p w14:paraId="70E72BEC" w14:textId="5BA3C68C" w:rsidR="00A6517B" w:rsidRDefault="00A6517B" w:rsidP="003B161E">
      <w:pPr>
        <w:spacing w:line="360" w:lineRule="auto"/>
        <w:rPr>
          <w:b/>
          <w:i/>
        </w:rPr>
      </w:pPr>
      <w:r>
        <w:rPr>
          <w:b/>
          <w:i/>
        </w:rPr>
        <w:t>Clust</w:t>
      </w:r>
      <w:r w:rsidR="00011926">
        <w:rPr>
          <w:b/>
          <w:i/>
        </w:rPr>
        <w:t>er analysis stability</w:t>
      </w:r>
    </w:p>
    <w:p w14:paraId="5C501682" w14:textId="4EFBE671" w:rsidR="00A35CF0" w:rsidRDefault="00A6517B" w:rsidP="003B161E">
      <w:pPr>
        <w:spacing w:line="360" w:lineRule="auto"/>
        <w:ind w:firstLine="720"/>
      </w:pPr>
      <w:r w:rsidRPr="00A6517B">
        <w:t>The stability of the clustering solution was evaluated through a nonparametric bootstrapping cluster analysis procedure: the data were resampled with replacement</w:t>
      </w:r>
      <w:r w:rsidR="00D545BD">
        <w:t>, the cluster analysis was repeated,</w:t>
      </w:r>
      <w:r w:rsidRPr="00A6517B">
        <w:t xml:space="preserve"> and Jaccard similarity scores were obtained by comparing resampled data clusters to their most similar original clusters</w:t>
      </w:r>
      <w:r w:rsidR="00D545BD">
        <w:t xml:space="preserve">. This </w:t>
      </w:r>
      <w:r w:rsidRPr="00A6517B">
        <w:t>procedure was repeated over 1000 iterations</w:t>
      </w:r>
      <w:r w:rsidR="00D545BD">
        <w:t>, and the mean similarity scores for each cluster were computed over all iterations</w:t>
      </w:r>
      <w:r w:rsidRPr="00A6517B">
        <w:t>. Jaccard cluster similarity scores represent the proportion of cases from the original clusters that were clustered together in the resampled data. A mean Jaccard similarity score of &gt;</w:t>
      </w:r>
      <w:r w:rsidR="002D2316">
        <w:t xml:space="preserve"> 0</w:t>
      </w:r>
      <w:r w:rsidRPr="00A6517B">
        <w:t>.75 indicates a valid, stable cluste</w:t>
      </w:r>
      <w:r w:rsidR="008372CC">
        <w:t>r</w:t>
      </w:r>
      <w:r w:rsidR="00722EF4">
        <w:t xml:space="preserve">, and a score of </w:t>
      </w:r>
      <w:r w:rsidR="002D2316">
        <w:t>0</w:t>
      </w:r>
      <w:r w:rsidR="00722EF4">
        <w:t>.85 or above indicates highly stable clusters</w:t>
      </w:r>
      <w:r w:rsidR="008372CC">
        <w:t xml:space="preserve"> </w:t>
      </w:r>
      <w:r w:rsidR="008372CC">
        <w:fldChar w:fldCharType="begin"/>
      </w:r>
      <w:r w:rsidR="008372CC">
        <w:instrText xml:space="preserve"> ADDIN ZOTERO_ITEM CSL_CITATION {"citationID":"GRLhRM4M","properties":{"formattedCitation":"(Hennig, 2007, 2008, 2020)","plainCitation":"(Hennig, 2007, 2008, 2020)","noteIndex":0},"citationItems":[{"id":350,"uris":["http://zotero.org/users/9370437/items/MCRN437D"],"itemData":{"id":350,"type":"article-journal","abstract":"Stability in cluster analysis is strongly dependent on the data set, especially on how well separated and how homogeneous the clusters are. In the same clustering, some clusters may be very stable and others may be extremely unstable. The Jaccard coefficient, a similarity measure between sets, is used as a cluster-wise measure of cluster stability, which is assessed by the bootstrap distribution of the Jaccard coefficient for every single cluster of a clustering compared to the most similar cluster in the bootstrapped data sets. This can be applied to very general cluster analysis methods. Some alternative resampling methods are investigated as well, namely subsetting, jittering the data points and replacing some data points by artificial noise points. The different methods are compared by means of a simulation study. A data example illustrates the use of the cluster-wise stability assessment to distinguish between meaningful stable and spurious clusters, but it is also shown that clusters are sometimes only stable because of the inflexibility of certain clustering methods.","container-title":"Computational Statistics &amp; Data Analysis","DOI":"10.1016/j.csda.2006.11.025","ISSN":"0167-9473","issue":"1","journalAbbreviation":"Computational Statistics &amp; Data Analysis","language":"en","page":"258-271","source":"ScienceDirect","title":"Cluster-wise assessment of cluster stability","volume":"52","author":[{"family":"Hennig","given":"Christian"}],"issued":{"date-parts":[["2007",9,15]]}}},{"id":347,"uris":["http://zotero.org/users/9370437/items/9I6N5Y39"],"itemData":{"id":347,"type":"article-journal","abstract":"Two robustness criteria are presented that are applicable to general clustering methods. Robustness and stability in cluster analysis are not only data dependent, but even cluster dependent. Robustness is in the present paper defined as a property of not only the clustering method, but also of every individual cluster in a data set. The main principles are: (a) dissimilarity measurement of an original cluster with the most similar cluster in the induced clustering obtained by adding data points, (b) the dissolution point, which is an adaptation of the breakdown point concept to single clusters, (c) isolation robustness: given a clustering method, is it possible to join, by addition of g points, arbitrarily well separated clusters? Results are derived for k-means, k-medoids (k estimated by average silhouette width), trimmed k-means, mixture models (with and without noise component, with and without estimation of the number of clusters by BIC), single and complete linkage.","container-title":"Journal of Multivariate Analysis","DOI":"10.1016/j.jmva.2007.07.002","ISSN":"0047-259X","issue":"6","journalAbbreviation":"Journal of Multivariate Analysis","language":"en","page":"1154-1176","source":"ScienceDirect","title":"Dissolution point and isolation robustness: Robustness criteria for general cluster analysis methods","title-short":"Dissolution point and isolation robustness","volume":"99","author":[{"family":"Hennig","given":"Christian"}],"issued":{"date-parts":[["2008",7,1]]}}},{"id":355,"uris":["http://zotero.org/users/9370437/items/ENY525RX"],"itemData":{"id":355,"type":"document","source":"Google Scholar","title":"fpc: flexible procedures for clustering (Version 2.2-9)","title-short":"fpc","author":[{"family":"Hennig","given":"Christian"}],"issued":{"date-parts":[["2020"]]}}}],"schema":"https://github.com/citation-style-language/schema/raw/master/csl-citation.json"} </w:instrText>
      </w:r>
      <w:r w:rsidR="008372CC">
        <w:fldChar w:fldCharType="separate"/>
      </w:r>
      <w:r w:rsidR="008372CC">
        <w:rPr>
          <w:noProof/>
        </w:rPr>
        <w:t>(Hennig, 2007, 2008, 2020)</w:t>
      </w:r>
      <w:r w:rsidR="008372CC">
        <w:fldChar w:fldCharType="end"/>
      </w:r>
      <w:r w:rsidRPr="00A6517B">
        <w:t>.</w:t>
      </w:r>
      <w:r>
        <w:t xml:space="preserve"> </w:t>
      </w:r>
      <w:r w:rsidR="0072236E">
        <w:t xml:space="preserve">Separation of cluster subgroups was evaluated from the classification accuracy of a linear discriminant analysis using leave-one-out cross-validation, with cluster membership as the grouping variable and task performance as input variables. </w:t>
      </w:r>
    </w:p>
    <w:p w14:paraId="077C517F" w14:textId="474F2790" w:rsidR="00A35CF0" w:rsidRPr="00A35CF0" w:rsidRDefault="00A35CF0" w:rsidP="003B161E">
      <w:pPr>
        <w:spacing w:line="360" w:lineRule="auto"/>
        <w:rPr>
          <w:b/>
          <w:i/>
        </w:rPr>
      </w:pPr>
      <w:r w:rsidRPr="00A35CF0">
        <w:rPr>
          <w:b/>
          <w:i/>
        </w:rPr>
        <w:t>Additional statistical analysis details</w:t>
      </w:r>
    </w:p>
    <w:p w14:paraId="1515A378" w14:textId="10CB2586" w:rsidR="006C0C6B" w:rsidRPr="003B161E" w:rsidRDefault="00A35CF0" w:rsidP="003B161E">
      <w:pPr>
        <w:spacing w:line="360" w:lineRule="auto"/>
        <w:ind w:firstLine="720"/>
      </w:pPr>
      <w:r>
        <w:t xml:space="preserve">Where relevant, ANOVAs used Welch’s </w:t>
      </w:r>
      <w:r w:rsidRPr="00CF470A">
        <w:rPr>
          <w:i/>
        </w:rPr>
        <w:t>F</w:t>
      </w:r>
      <w:r>
        <w:t xml:space="preserve"> when the homogeneity of variance assumption was violated, and </w:t>
      </w:r>
      <w:r w:rsidRPr="00CF470A">
        <w:t>Greenhouse-</w:t>
      </w:r>
      <w:proofErr w:type="spellStart"/>
      <w:r w:rsidRPr="00CF470A">
        <w:t>Geisser</w:t>
      </w:r>
      <w:proofErr w:type="spellEnd"/>
      <w:r w:rsidRPr="00CF470A">
        <w:t xml:space="preserve"> adjustments to degrees of freedom were made when the assumption of sphericity was violated</w:t>
      </w:r>
      <w:r>
        <w:t>. S</w:t>
      </w:r>
      <w:r w:rsidRPr="00CF470A">
        <w:t>tatistically significant findings (</w:t>
      </w:r>
      <w:r w:rsidRPr="00CF470A">
        <w:rPr>
          <w:i/>
        </w:rPr>
        <w:t>p</w:t>
      </w:r>
      <w:r w:rsidRPr="00CF470A">
        <w:t xml:space="preserve"> &lt; .05, two- tailed) </w:t>
      </w:r>
      <w:r>
        <w:t xml:space="preserve">were followed by </w:t>
      </w:r>
      <w:r w:rsidRPr="00CF470A">
        <w:t>pairwise comparisons when relevant</w:t>
      </w:r>
      <w:r w:rsidR="00EA3FDA">
        <w:t xml:space="preserve"> and corrected for multiple comparisons using the Bonferroni correction</w:t>
      </w:r>
      <w:r w:rsidRPr="00CF470A">
        <w:t>,</w:t>
      </w:r>
      <w:r>
        <w:t xml:space="preserve"> </w:t>
      </w:r>
      <w:r w:rsidR="00EA3FDA">
        <w:t xml:space="preserve">or </w:t>
      </w:r>
      <w:r>
        <w:t>using the Games-Howell test</w:t>
      </w:r>
      <w:r w:rsidR="00EA3FDA">
        <w:t xml:space="preserve"> for pairwise comparisons</w:t>
      </w:r>
      <w:r>
        <w:t xml:space="preserve"> when the homogeneity of variance assumption was violated, with Tukey’s method for multiple comparisons correction.</w:t>
      </w:r>
    </w:p>
    <w:p w14:paraId="7A2D024E" w14:textId="2BBE657B" w:rsidR="006C0C6B" w:rsidRPr="006C0C6B" w:rsidRDefault="006C0C6B" w:rsidP="003B161E">
      <w:pPr>
        <w:spacing w:line="360" w:lineRule="auto"/>
        <w:rPr>
          <w:b/>
        </w:rPr>
      </w:pPr>
      <w:r w:rsidRPr="006C0C6B">
        <w:rPr>
          <w:b/>
        </w:rPr>
        <w:t>Results</w:t>
      </w:r>
    </w:p>
    <w:p w14:paraId="7E05D0FE" w14:textId="5E2E8AFD" w:rsidR="00E70C59" w:rsidRPr="00FC562E" w:rsidRDefault="00E70C59" w:rsidP="003B161E">
      <w:pPr>
        <w:spacing w:line="360" w:lineRule="auto"/>
        <w:rPr>
          <w:b/>
          <w:i/>
        </w:rPr>
      </w:pPr>
      <w:r w:rsidRPr="00FC562E">
        <w:rPr>
          <w:b/>
          <w:i/>
        </w:rPr>
        <w:t xml:space="preserve">Analysis </w:t>
      </w:r>
      <w:r w:rsidR="00AC3FD7">
        <w:rPr>
          <w:b/>
          <w:i/>
        </w:rPr>
        <w:t>comparing</w:t>
      </w:r>
      <w:r w:rsidRPr="00FC562E">
        <w:rPr>
          <w:b/>
          <w:i/>
        </w:rPr>
        <w:t xml:space="preserve"> task version</w:t>
      </w:r>
      <w:r w:rsidR="00AC3FD7">
        <w:rPr>
          <w:b/>
          <w:i/>
        </w:rPr>
        <w:t>s</w:t>
      </w:r>
    </w:p>
    <w:p w14:paraId="402F998C" w14:textId="77777777" w:rsidR="00E70C59" w:rsidRPr="0068625A" w:rsidRDefault="00E70C59" w:rsidP="003B161E">
      <w:pPr>
        <w:spacing w:line="360" w:lineRule="auto"/>
        <w:rPr>
          <w:i/>
        </w:rPr>
      </w:pPr>
      <w:r>
        <w:rPr>
          <w:i/>
        </w:rPr>
        <w:t>Group comparisons</w:t>
      </w:r>
    </w:p>
    <w:p w14:paraId="7D225610" w14:textId="0C0B4F43" w:rsidR="00E70C59" w:rsidRDefault="00E70C59" w:rsidP="003B161E">
      <w:pPr>
        <w:spacing w:line="360" w:lineRule="auto"/>
        <w:ind w:firstLine="720"/>
        <w:rPr>
          <w:rFonts w:eastAsia="MS Gothic"/>
          <w:color w:val="000000"/>
        </w:rPr>
      </w:pPr>
      <w:r>
        <w:lastRenderedPageBreak/>
        <w:t>A 3 group</w:t>
      </w:r>
      <w:r w:rsidRPr="0087317A">
        <w:t xml:space="preserve"> </w:t>
      </w:r>
      <w:r w:rsidRPr="0087317A">
        <w:rPr>
          <w:rFonts w:eastAsia="MS Gothic"/>
          <w:color w:val="000000"/>
        </w:rPr>
        <w:t xml:space="preserve">× </w:t>
      </w:r>
      <w:r>
        <w:rPr>
          <w:rFonts w:eastAsia="MS Gothic"/>
          <w:color w:val="000000"/>
        </w:rPr>
        <w:t xml:space="preserve">2 task version ANOVA for effort-cost computation performance indicated a main effect of task version, </w:t>
      </w:r>
      <w:r>
        <w:rPr>
          <w:rFonts w:eastAsia="MS Gothic"/>
          <w:i/>
          <w:color w:val="000000"/>
        </w:rPr>
        <w:t>F</w:t>
      </w:r>
      <w:r>
        <w:rPr>
          <w:rFonts w:eastAsia="MS Gothic"/>
          <w:color w:val="000000"/>
        </w:rPr>
        <w:t>(1,2</w:t>
      </w:r>
      <w:r w:rsidR="004A607F">
        <w:rPr>
          <w:rFonts w:eastAsia="MS Gothic"/>
          <w:color w:val="000000"/>
        </w:rPr>
        <w:t>58</w:t>
      </w:r>
      <w:r>
        <w:rPr>
          <w:rFonts w:eastAsia="MS Gothic"/>
          <w:color w:val="000000"/>
        </w:rPr>
        <w:t>) = 15.</w:t>
      </w:r>
      <w:r w:rsidR="004A607F">
        <w:rPr>
          <w:rFonts w:eastAsia="MS Gothic"/>
          <w:color w:val="000000"/>
        </w:rPr>
        <w:t>28</w:t>
      </w:r>
      <w:r>
        <w:rPr>
          <w:rFonts w:eastAsia="MS Gothic"/>
          <w:color w:val="000000"/>
        </w:rPr>
        <w:t xml:space="preserve">, </w:t>
      </w:r>
      <w:r>
        <w:rPr>
          <w:rFonts w:eastAsia="MS Gothic"/>
          <w:i/>
          <w:color w:val="000000"/>
        </w:rPr>
        <w:t xml:space="preserve">p </w:t>
      </w:r>
      <w:r>
        <w:rPr>
          <w:rFonts w:eastAsia="MS Gothic"/>
          <w:color w:val="000000"/>
        </w:rPr>
        <w:t xml:space="preserve"> &lt; .001, </w:t>
      </w:r>
      <w:r w:rsidRPr="008613F0">
        <w:rPr>
          <w:rFonts w:eastAsia="MS Gothic"/>
          <w:color w:val="000000"/>
        </w:rPr>
        <w:t>η</w:t>
      </w:r>
      <w:r w:rsidRPr="008613F0">
        <w:rPr>
          <w:rFonts w:eastAsia="MS Gothic"/>
          <w:color w:val="000000"/>
          <w:vertAlign w:val="subscript"/>
        </w:rPr>
        <w:t>p</w:t>
      </w:r>
      <w:r w:rsidRPr="008613F0">
        <w:rPr>
          <w:rFonts w:eastAsia="MS Gothic"/>
          <w:color w:val="000000"/>
          <w:vertAlign w:val="superscript"/>
        </w:rPr>
        <w:t>2</w:t>
      </w:r>
      <w:r>
        <w:rPr>
          <w:rFonts w:eastAsia="MS Gothic"/>
          <w:color w:val="000000"/>
        </w:rPr>
        <w:t xml:space="preserve"> = 0.06, while the main effect of group, </w:t>
      </w:r>
      <w:r>
        <w:rPr>
          <w:rFonts w:eastAsia="MS Gothic"/>
          <w:i/>
          <w:color w:val="000000"/>
        </w:rPr>
        <w:t>F</w:t>
      </w:r>
      <w:r>
        <w:rPr>
          <w:rFonts w:eastAsia="MS Gothic"/>
          <w:color w:val="000000"/>
        </w:rPr>
        <w:t>(2,2</w:t>
      </w:r>
      <w:r w:rsidR="004A607F">
        <w:rPr>
          <w:rFonts w:eastAsia="MS Gothic"/>
          <w:color w:val="000000"/>
        </w:rPr>
        <w:t>58</w:t>
      </w:r>
      <w:r>
        <w:rPr>
          <w:rFonts w:eastAsia="MS Gothic"/>
          <w:color w:val="000000"/>
        </w:rPr>
        <w:t>) = 1.</w:t>
      </w:r>
      <w:r w:rsidR="004A607F">
        <w:rPr>
          <w:rFonts w:eastAsia="MS Gothic"/>
          <w:color w:val="000000"/>
        </w:rPr>
        <w:t>60</w:t>
      </w:r>
      <w:r>
        <w:rPr>
          <w:rFonts w:eastAsia="MS Gothic"/>
          <w:color w:val="000000"/>
        </w:rPr>
        <w:t xml:space="preserve">, </w:t>
      </w:r>
      <w:r>
        <w:rPr>
          <w:rFonts w:eastAsia="MS Gothic"/>
          <w:i/>
          <w:color w:val="000000"/>
        </w:rPr>
        <w:t xml:space="preserve">p </w:t>
      </w:r>
      <w:r>
        <w:rPr>
          <w:rFonts w:eastAsia="MS Gothic"/>
          <w:color w:val="000000"/>
        </w:rPr>
        <w:t xml:space="preserve"> = .2</w:t>
      </w:r>
      <w:r w:rsidR="004A607F">
        <w:rPr>
          <w:rFonts w:eastAsia="MS Gothic"/>
          <w:color w:val="000000"/>
        </w:rPr>
        <w:t>04</w:t>
      </w:r>
      <w:r>
        <w:rPr>
          <w:rFonts w:eastAsia="MS Gothic"/>
          <w:color w:val="000000"/>
        </w:rPr>
        <w:t xml:space="preserve">, </w:t>
      </w:r>
      <w:r w:rsidRPr="008613F0">
        <w:rPr>
          <w:rFonts w:eastAsia="MS Gothic"/>
          <w:color w:val="000000"/>
        </w:rPr>
        <w:t>η</w:t>
      </w:r>
      <w:r w:rsidRPr="008613F0">
        <w:rPr>
          <w:rFonts w:eastAsia="MS Gothic"/>
          <w:color w:val="000000"/>
          <w:vertAlign w:val="subscript"/>
        </w:rPr>
        <w:t>p</w:t>
      </w:r>
      <w:r w:rsidRPr="008613F0">
        <w:rPr>
          <w:rFonts w:eastAsia="MS Gothic"/>
          <w:color w:val="000000"/>
          <w:vertAlign w:val="superscript"/>
        </w:rPr>
        <w:t>2</w:t>
      </w:r>
      <w:r>
        <w:rPr>
          <w:rFonts w:eastAsia="MS Gothic"/>
          <w:color w:val="000000"/>
        </w:rPr>
        <w:t xml:space="preserve"> = 0.01, and group by task version interaction, </w:t>
      </w:r>
      <w:r>
        <w:rPr>
          <w:rFonts w:eastAsia="MS Gothic"/>
          <w:i/>
          <w:color w:val="000000"/>
        </w:rPr>
        <w:t>F</w:t>
      </w:r>
      <w:r>
        <w:rPr>
          <w:rFonts w:eastAsia="MS Gothic"/>
          <w:color w:val="000000"/>
        </w:rPr>
        <w:t>(2,2</w:t>
      </w:r>
      <w:r w:rsidR="004A607F">
        <w:rPr>
          <w:rFonts w:eastAsia="MS Gothic"/>
          <w:color w:val="000000"/>
        </w:rPr>
        <w:t>58</w:t>
      </w:r>
      <w:r>
        <w:rPr>
          <w:rFonts w:eastAsia="MS Gothic"/>
          <w:color w:val="000000"/>
        </w:rPr>
        <w:t>) = 2.</w:t>
      </w:r>
      <w:r w:rsidR="004A607F">
        <w:rPr>
          <w:rFonts w:eastAsia="MS Gothic"/>
          <w:color w:val="000000"/>
        </w:rPr>
        <w:t>21</w:t>
      </w:r>
      <w:r>
        <w:rPr>
          <w:rFonts w:eastAsia="MS Gothic"/>
          <w:color w:val="000000"/>
        </w:rPr>
        <w:t xml:space="preserve">, </w:t>
      </w:r>
      <w:r>
        <w:rPr>
          <w:rFonts w:eastAsia="MS Gothic"/>
          <w:i/>
          <w:color w:val="000000"/>
        </w:rPr>
        <w:t xml:space="preserve">p </w:t>
      </w:r>
      <w:r>
        <w:rPr>
          <w:rFonts w:eastAsia="MS Gothic"/>
          <w:color w:val="000000"/>
        </w:rPr>
        <w:t xml:space="preserve"> = .</w:t>
      </w:r>
      <w:r w:rsidR="004A607F">
        <w:rPr>
          <w:rFonts w:eastAsia="MS Gothic"/>
          <w:color w:val="000000"/>
        </w:rPr>
        <w:t>112</w:t>
      </w:r>
      <w:r>
        <w:rPr>
          <w:rFonts w:eastAsia="MS Gothic"/>
          <w:color w:val="000000"/>
        </w:rPr>
        <w:t xml:space="preserve">, </w:t>
      </w:r>
      <w:r w:rsidRPr="008613F0">
        <w:rPr>
          <w:rFonts w:eastAsia="MS Gothic"/>
          <w:color w:val="000000"/>
        </w:rPr>
        <w:t>η</w:t>
      </w:r>
      <w:r w:rsidRPr="008613F0">
        <w:rPr>
          <w:rFonts w:eastAsia="MS Gothic"/>
          <w:color w:val="000000"/>
          <w:vertAlign w:val="subscript"/>
        </w:rPr>
        <w:t>p</w:t>
      </w:r>
      <w:r w:rsidRPr="008613F0">
        <w:rPr>
          <w:rFonts w:eastAsia="MS Gothic"/>
          <w:color w:val="000000"/>
          <w:vertAlign w:val="superscript"/>
        </w:rPr>
        <w:t>2</w:t>
      </w:r>
      <w:r>
        <w:rPr>
          <w:rFonts w:eastAsia="MS Gothic"/>
          <w:color w:val="000000"/>
        </w:rPr>
        <w:t xml:space="preserve"> = 0.02, were not significant. Participants completing the task for monetary reward </w:t>
      </w:r>
      <w:r w:rsidRPr="001B2D2D">
        <w:rPr>
          <w:rFonts w:eastAsia="MS Gothic"/>
          <w:color w:val="000000"/>
        </w:rPr>
        <w:t>made</w:t>
      </w:r>
      <w:r>
        <w:rPr>
          <w:rFonts w:eastAsia="MS Gothic"/>
          <w:color w:val="000000"/>
        </w:rPr>
        <w:t xml:space="preserve"> a higher percentage of hard task choices </w:t>
      </w:r>
      <w:r w:rsidR="006873A8">
        <w:rPr>
          <w:rFonts w:eastAsia="MS Gothic"/>
          <w:color w:val="000000"/>
        </w:rPr>
        <w:t>(</w:t>
      </w:r>
      <w:proofErr w:type="gramStart"/>
      <w:r w:rsidR="006873A8">
        <w:rPr>
          <w:rFonts w:eastAsia="MS Gothic"/>
          <w:i/>
          <w:color w:val="000000"/>
        </w:rPr>
        <w:t xml:space="preserve">M </w:t>
      </w:r>
      <w:r w:rsidR="006873A8">
        <w:rPr>
          <w:rFonts w:eastAsia="MS Gothic"/>
          <w:color w:val="000000"/>
        </w:rPr>
        <w:t xml:space="preserve"> =</w:t>
      </w:r>
      <w:proofErr w:type="gramEnd"/>
      <w:r w:rsidR="006873A8">
        <w:rPr>
          <w:rFonts w:eastAsia="MS Gothic"/>
          <w:color w:val="000000"/>
        </w:rPr>
        <w:t xml:space="preserve"> 65.</w:t>
      </w:r>
      <w:r w:rsidR="004A607F">
        <w:rPr>
          <w:rFonts w:eastAsia="MS Gothic"/>
          <w:color w:val="000000"/>
        </w:rPr>
        <w:t>75</w:t>
      </w:r>
      <w:r w:rsidR="006873A8">
        <w:rPr>
          <w:rFonts w:eastAsia="MS Gothic"/>
          <w:color w:val="000000"/>
        </w:rPr>
        <w:t xml:space="preserve">%, </w:t>
      </w:r>
      <w:r w:rsidR="006873A8" w:rsidRPr="001B2D2D">
        <w:rPr>
          <w:rFonts w:eastAsia="MS Gothic"/>
          <w:i/>
          <w:color w:val="000000"/>
        </w:rPr>
        <w:t>SD</w:t>
      </w:r>
      <w:r w:rsidR="006873A8">
        <w:rPr>
          <w:rFonts w:eastAsia="MS Gothic"/>
          <w:color w:val="000000"/>
        </w:rPr>
        <w:t xml:space="preserve"> = 2</w:t>
      </w:r>
      <w:r w:rsidR="004A607F">
        <w:rPr>
          <w:rFonts w:eastAsia="MS Gothic"/>
          <w:color w:val="000000"/>
        </w:rPr>
        <w:t>5.26</w:t>
      </w:r>
      <w:r w:rsidR="006873A8">
        <w:rPr>
          <w:rFonts w:eastAsia="MS Gothic"/>
          <w:color w:val="000000"/>
        </w:rPr>
        <w:t xml:space="preserve">) </w:t>
      </w:r>
      <w:r>
        <w:rPr>
          <w:rFonts w:eastAsia="MS Gothic"/>
          <w:color w:val="000000"/>
        </w:rPr>
        <w:t>than those completing the task for points (</w:t>
      </w:r>
      <w:r>
        <w:rPr>
          <w:rFonts w:eastAsia="MS Gothic"/>
          <w:i/>
          <w:color w:val="000000"/>
        </w:rPr>
        <w:t xml:space="preserve">M </w:t>
      </w:r>
      <w:r>
        <w:rPr>
          <w:rFonts w:eastAsia="MS Gothic"/>
          <w:color w:val="000000"/>
        </w:rPr>
        <w:t xml:space="preserve"> = </w:t>
      </w:r>
      <w:r w:rsidRPr="00B66E14">
        <w:rPr>
          <w:rFonts w:eastAsia="MS Gothic"/>
          <w:color w:val="000000"/>
        </w:rPr>
        <w:t>51.</w:t>
      </w:r>
      <w:r w:rsidR="004A607F">
        <w:rPr>
          <w:rFonts w:eastAsia="MS Gothic"/>
          <w:color w:val="000000"/>
        </w:rPr>
        <w:t>6</w:t>
      </w:r>
      <w:r w:rsidRPr="00B66E14">
        <w:rPr>
          <w:rFonts w:eastAsia="MS Gothic"/>
          <w:color w:val="000000"/>
        </w:rPr>
        <w:t>0%</w:t>
      </w:r>
      <w:r>
        <w:rPr>
          <w:rFonts w:eastAsia="MS Gothic"/>
          <w:color w:val="000000"/>
        </w:rPr>
        <w:t xml:space="preserve">, </w:t>
      </w:r>
      <w:r w:rsidRPr="001B2D2D">
        <w:rPr>
          <w:rFonts w:eastAsia="MS Gothic"/>
          <w:i/>
          <w:color w:val="000000"/>
        </w:rPr>
        <w:t>SD</w:t>
      </w:r>
      <w:r>
        <w:rPr>
          <w:rFonts w:eastAsia="MS Gothic"/>
          <w:color w:val="000000"/>
        </w:rPr>
        <w:t xml:space="preserve"> = 2</w:t>
      </w:r>
      <w:r w:rsidR="004A607F">
        <w:rPr>
          <w:rFonts w:eastAsia="MS Gothic"/>
          <w:color w:val="000000"/>
        </w:rPr>
        <w:t>7</w:t>
      </w:r>
      <w:r>
        <w:rPr>
          <w:rFonts w:eastAsia="MS Gothic"/>
          <w:color w:val="000000"/>
        </w:rPr>
        <w:t>.</w:t>
      </w:r>
      <w:r w:rsidR="004A607F">
        <w:rPr>
          <w:rFonts w:eastAsia="MS Gothic"/>
          <w:color w:val="000000"/>
        </w:rPr>
        <w:t>8</w:t>
      </w:r>
      <w:r>
        <w:rPr>
          <w:rFonts w:eastAsia="MS Gothic"/>
          <w:color w:val="000000"/>
        </w:rPr>
        <w:t>0); however, this difference did not vary as a function of group.</w:t>
      </w:r>
    </w:p>
    <w:p w14:paraId="294CAB96" w14:textId="69AA3472" w:rsidR="00E70C59" w:rsidRDefault="00E70C59" w:rsidP="003B161E">
      <w:pPr>
        <w:spacing w:line="360" w:lineRule="auto"/>
        <w:ind w:firstLine="720"/>
        <w:rPr>
          <w:rFonts w:eastAsia="MS Gothic"/>
          <w:color w:val="000000"/>
        </w:rPr>
      </w:pPr>
      <w:r>
        <w:t>A 3 group</w:t>
      </w:r>
      <w:r w:rsidRPr="0087317A">
        <w:t xml:space="preserve"> </w:t>
      </w:r>
      <w:r w:rsidRPr="0087317A">
        <w:rPr>
          <w:rFonts w:eastAsia="MS Gothic"/>
          <w:color w:val="000000"/>
        </w:rPr>
        <w:t xml:space="preserve">× </w:t>
      </w:r>
      <w:r>
        <w:rPr>
          <w:rFonts w:eastAsia="MS Gothic"/>
          <w:color w:val="000000"/>
        </w:rPr>
        <w:t xml:space="preserve">2 task version ANOVA for reward learning performance returned nonsignificant results for the main effect of task version, </w:t>
      </w:r>
      <w:proofErr w:type="gramStart"/>
      <w:r>
        <w:rPr>
          <w:rFonts w:eastAsia="MS Gothic"/>
          <w:i/>
          <w:color w:val="000000"/>
        </w:rPr>
        <w:t>F</w:t>
      </w:r>
      <w:r>
        <w:rPr>
          <w:rFonts w:eastAsia="MS Gothic"/>
          <w:color w:val="000000"/>
        </w:rPr>
        <w:t>(</w:t>
      </w:r>
      <w:proofErr w:type="gramEnd"/>
      <w:r>
        <w:rPr>
          <w:rFonts w:eastAsia="MS Gothic"/>
          <w:color w:val="000000"/>
        </w:rPr>
        <w:t>1,2</w:t>
      </w:r>
      <w:r w:rsidR="00A64F85">
        <w:rPr>
          <w:rFonts w:eastAsia="MS Gothic"/>
          <w:color w:val="000000"/>
        </w:rPr>
        <w:t>58</w:t>
      </w:r>
      <w:r>
        <w:rPr>
          <w:rFonts w:eastAsia="MS Gothic"/>
          <w:color w:val="000000"/>
        </w:rPr>
        <w:t>) = 2.</w:t>
      </w:r>
      <w:r w:rsidR="00A64F85">
        <w:rPr>
          <w:rFonts w:eastAsia="MS Gothic"/>
          <w:color w:val="000000"/>
        </w:rPr>
        <w:t>90</w:t>
      </w:r>
      <w:r>
        <w:rPr>
          <w:rFonts w:eastAsia="MS Gothic"/>
          <w:color w:val="000000"/>
        </w:rPr>
        <w:t xml:space="preserve">, </w:t>
      </w:r>
      <w:r>
        <w:rPr>
          <w:rFonts w:eastAsia="MS Gothic"/>
          <w:i/>
          <w:color w:val="000000"/>
        </w:rPr>
        <w:t xml:space="preserve">p </w:t>
      </w:r>
      <w:r>
        <w:rPr>
          <w:rFonts w:eastAsia="MS Gothic"/>
          <w:color w:val="000000"/>
        </w:rPr>
        <w:t xml:space="preserve"> = .09</w:t>
      </w:r>
      <w:r w:rsidR="00483D7F">
        <w:rPr>
          <w:rFonts w:eastAsia="MS Gothic"/>
          <w:color w:val="000000"/>
        </w:rPr>
        <w:t>0</w:t>
      </w:r>
      <w:r>
        <w:rPr>
          <w:rFonts w:eastAsia="MS Gothic"/>
          <w:color w:val="000000"/>
        </w:rPr>
        <w:t xml:space="preserve">, </w:t>
      </w:r>
      <w:r w:rsidRPr="008613F0">
        <w:rPr>
          <w:rFonts w:eastAsia="MS Gothic"/>
          <w:color w:val="000000"/>
        </w:rPr>
        <w:t>η</w:t>
      </w:r>
      <w:r w:rsidRPr="008613F0">
        <w:rPr>
          <w:rFonts w:eastAsia="MS Gothic"/>
          <w:color w:val="000000"/>
          <w:vertAlign w:val="subscript"/>
        </w:rPr>
        <w:t>p</w:t>
      </w:r>
      <w:r w:rsidRPr="008613F0">
        <w:rPr>
          <w:rFonts w:eastAsia="MS Gothic"/>
          <w:color w:val="000000"/>
          <w:vertAlign w:val="superscript"/>
        </w:rPr>
        <w:t>2</w:t>
      </w:r>
      <w:r>
        <w:rPr>
          <w:rFonts w:eastAsia="MS Gothic"/>
          <w:color w:val="000000"/>
        </w:rPr>
        <w:t xml:space="preserve"> = 0.01, main effect of group, </w:t>
      </w:r>
      <w:r>
        <w:rPr>
          <w:rFonts w:eastAsia="MS Gothic"/>
          <w:i/>
          <w:color w:val="000000"/>
        </w:rPr>
        <w:t>F</w:t>
      </w:r>
      <w:r>
        <w:rPr>
          <w:rFonts w:eastAsia="MS Gothic"/>
          <w:color w:val="000000"/>
        </w:rPr>
        <w:t>(2,2</w:t>
      </w:r>
      <w:r w:rsidR="00A64F85">
        <w:rPr>
          <w:rFonts w:eastAsia="MS Gothic"/>
          <w:color w:val="000000"/>
        </w:rPr>
        <w:t>58</w:t>
      </w:r>
      <w:r>
        <w:rPr>
          <w:rFonts w:eastAsia="MS Gothic"/>
          <w:color w:val="000000"/>
        </w:rPr>
        <w:t xml:space="preserve">) = </w:t>
      </w:r>
      <w:r w:rsidR="00A64F85">
        <w:rPr>
          <w:rFonts w:eastAsia="MS Gothic"/>
          <w:color w:val="000000"/>
        </w:rPr>
        <w:t>0.45</w:t>
      </w:r>
      <w:r>
        <w:rPr>
          <w:rFonts w:eastAsia="MS Gothic"/>
          <w:color w:val="000000"/>
        </w:rPr>
        <w:t xml:space="preserve">, </w:t>
      </w:r>
      <w:r>
        <w:rPr>
          <w:rFonts w:eastAsia="MS Gothic"/>
          <w:i/>
          <w:color w:val="000000"/>
        </w:rPr>
        <w:t xml:space="preserve">p </w:t>
      </w:r>
      <w:r>
        <w:rPr>
          <w:rFonts w:eastAsia="MS Gothic"/>
          <w:color w:val="000000"/>
        </w:rPr>
        <w:t xml:space="preserve"> = .</w:t>
      </w:r>
      <w:r w:rsidR="00A64F85">
        <w:rPr>
          <w:rFonts w:eastAsia="MS Gothic"/>
          <w:color w:val="000000"/>
        </w:rPr>
        <w:t>641</w:t>
      </w:r>
      <w:r>
        <w:rPr>
          <w:rFonts w:eastAsia="MS Gothic"/>
          <w:color w:val="000000"/>
        </w:rPr>
        <w:t xml:space="preserve">, </w:t>
      </w:r>
      <w:r w:rsidRPr="008613F0">
        <w:rPr>
          <w:rFonts w:eastAsia="MS Gothic"/>
          <w:color w:val="000000"/>
        </w:rPr>
        <w:t>η</w:t>
      </w:r>
      <w:r w:rsidRPr="008613F0">
        <w:rPr>
          <w:rFonts w:eastAsia="MS Gothic"/>
          <w:color w:val="000000"/>
          <w:vertAlign w:val="subscript"/>
        </w:rPr>
        <w:t>p</w:t>
      </w:r>
      <w:r w:rsidRPr="008613F0">
        <w:rPr>
          <w:rFonts w:eastAsia="MS Gothic"/>
          <w:color w:val="000000"/>
          <w:vertAlign w:val="superscript"/>
        </w:rPr>
        <w:t>2</w:t>
      </w:r>
      <w:r>
        <w:rPr>
          <w:rFonts w:eastAsia="MS Gothic"/>
          <w:color w:val="000000"/>
        </w:rPr>
        <w:t xml:space="preserve"> = 0.0</w:t>
      </w:r>
      <w:r w:rsidR="00A64F85">
        <w:rPr>
          <w:rFonts w:eastAsia="MS Gothic"/>
          <w:color w:val="000000"/>
        </w:rPr>
        <w:t>0</w:t>
      </w:r>
      <w:r>
        <w:rPr>
          <w:rFonts w:eastAsia="MS Gothic"/>
          <w:color w:val="000000"/>
        </w:rPr>
        <w:t xml:space="preserve">, and group by task version interaction, </w:t>
      </w:r>
      <w:r>
        <w:rPr>
          <w:rFonts w:eastAsia="MS Gothic"/>
          <w:i/>
          <w:color w:val="000000"/>
        </w:rPr>
        <w:t>F</w:t>
      </w:r>
      <w:r>
        <w:rPr>
          <w:rFonts w:eastAsia="MS Gothic"/>
          <w:color w:val="000000"/>
        </w:rPr>
        <w:t>(2,2</w:t>
      </w:r>
      <w:r w:rsidR="00A64F85">
        <w:rPr>
          <w:rFonts w:eastAsia="MS Gothic"/>
          <w:color w:val="000000"/>
        </w:rPr>
        <w:t>58</w:t>
      </w:r>
      <w:r>
        <w:rPr>
          <w:rFonts w:eastAsia="MS Gothic"/>
          <w:color w:val="000000"/>
        </w:rPr>
        <w:t>) = 0.</w:t>
      </w:r>
      <w:r w:rsidR="00A64F85">
        <w:rPr>
          <w:rFonts w:eastAsia="MS Gothic"/>
          <w:color w:val="000000"/>
        </w:rPr>
        <w:t>38</w:t>
      </w:r>
      <w:r>
        <w:rPr>
          <w:rFonts w:eastAsia="MS Gothic"/>
          <w:color w:val="000000"/>
        </w:rPr>
        <w:t xml:space="preserve">, </w:t>
      </w:r>
      <w:r>
        <w:rPr>
          <w:rFonts w:eastAsia="MS Gothic"/>
          <w:i/>
          <w:color w:val="000000"/>
        </w:rPr>
        <w:t xml:space="preserve">p </w:t>
      </w:r>
      <w:r>
        <w:rPr>
          <w:rFonts w:eastAsia="MS Gothic"/>
          <w:color w:val="000000"/>
        </w:rPr>
        <w:t xml:space="preserve"> = .6</w:t>
      </w:r>
      <w:r w:rsidR="00A64F85">
        <w:rPr>
          <w:rFonts w:eastAsia="MS Gothic"/>
          <w:color w:val="000000"/>
        </w:rPr>
        <w:t>86</w:t>
      </w:r>
      <w:r>
        <w:rPr>
          <w:rFonts w:eastAsia="MS Gothic"/>
          <w:color w:val="000000"/>
        </w:rPr>
        <w:t xml:space="preserve">, </w:t>
      </w:r>
      <w:r w:rsidRPr="008613F0">
        <w:rPr>
          <w:rFonts w:eastAsia="MS Gothic"/>
          <w:color w:val="000000"/>
        </w:rPr>
        <w:t>η</w:t>
      </w:r>
      <w:r w:rsidRPr="008613F0">
        <w:rPr>
          <w:rFonts w:eastAsia="MS Gothic"/>
          <w:color w:val="000000"/>
          <w:vertAlign w:val="subscript"/>
        </w:rPr>
        <w:t>p</w:t>
      </w:r>
      <w:r w:rsidRPr="008613F0">
        <w:rPr>
          <w:rFonts w:eastAsia="MS Gothic"/>
          <w:color w:val="000000"/>
          <w:vertAlign w:val="superscript"/>
        </w:rPr>
        <w:t>2</w:t>
      </w:r>
      <w:r>
        <w:rPr>
          <w:rFonts w:eastAsia="MS Gothic"/>
          <w:color w:val="000000"/>
        </w:rPr>
        <w:t xml:space="preserve"> = 0.00.</w:t>
      </w:r>
    </w:p>
    <w:p w14:paraId="7D5F520F" w14:textId="77777777" w:rsidR="00E70C59" w:rsidRPr="0068625A" w:rsidRDefault="00E70C59" w:rsidP="003B161E">
      <w:pPr>
        <w:spacing w:line="360" w:lineRule="auto"/>
        <w:rPr>
          <w:rFonts w:eastAsia="MS Gothic"/>
          <w:i/>
          <w:color w:val="000000"/>
        </w:rPr>
      </w:pPr>
      <w:r>
        <w:rPr>
          <w:rFonts w:eastAsia="MS Gothic"/>
          <w:i/>
          <w:color w:val="000000"/>
        </w:rPr>
        <w:t>Cluster comparisons</w:t>
      </w:r>
    </w:p>
    <w:p w14:paraId="4CDC0EF9" w14:textId="6DC28AB2" w:rsidR="00E70C59" w:rsidRDefault="00E70C59" w:rsidP="003B161E">
      <w:pPr>
        <w:spacing w:line="360" w:lineRule="auto"/>
        <w:ind w:firstLine="720"/>
        <w:rPr>
          <w:rFonts w:eastAsia="MS Gothic"/>
          <w:color w:val="000000"/>
        </w:rPr>
      </w:pPr>
      <w:r>
        <w:t>A 3 cluster</w:t>
      </w:r>
      <w:r w:rsidRPr="0087317A">
        <w:t xml:space="preserve"> </w:t>
      </w:r>
      <w:r w:rsidRPr="0087317A">
        <w:rPr>
          <w:rFonts w:eastAsia="MS Gothic"/>
          <w:color w:val="000000"/>
        </w:rPr>
        <w:t xml:space="preserve">× </w:t>
      </w:r>
      <w:r>
        <w:rPr>
          <w:rFonts w:eastAsia="MS Gothic"/>
          <w:color w:val="000000"/>
        </w:rPr>
        <w:t xml:space="preserve">2 task version ANOVA for effort-cost computation performance indicated a main effect of task version, </w:t>
      </w:r>
      <w:r>
        <w:rPr>
          <w:rFonts w:eastAsia="MS Gothic"/>
          <w:i/>
          <w:color w:val="000000"/>
        </w:rPr>
        <w:t>F</w:t>
      </w:r>
      <w:r>
        <w:rPr>
          <w:rFonts w:eastAsia="MS Gothic"/>
          <w:color w:val="000000"/>
        </w:rPr>
        <w:t>(1,</w:t>
      </w:r>
      <w:r w:rsidR="00103B94">
        <w:rPr>
          <w:rFonts w:eastAsia="MS Gothic"/>
          <w:color w:val="000000"/>
        </w:rPr>
        <w:t>192</w:t>
      </w:r>
      <w:r>
        <w:rPr>
          <w:rFonts w:eastAsia="MS Gothic"/>
          <w:color w:val="000000"/>
        </w:rPr>
        <w:t>) = 1</w:t>
      </w:r>
      <w:r w:rsidR="00103B94">
        <w:rPr>
          <w:rFonts w:eastAsia="MS Gothic"/>
          <w:color w:val="000000"/>
        </w:rPr>
        <w:t>11.82</w:t>
      </w:r>
      <w:r>
        <w:rPr>
          <w:rFonts w:eastAsia="MS Gothic"/>
          <w:color w:val="000000"/>
        </w:rPr>
        <w:t xml:space="preserve">, </w:t>
      </w:r>
      <w:r>
        <w:rPr>
          <w:rFonts w:eastAsia="MS Gothic"/>
          <w:i/>
          <w:color w:val="000000"/>
        </w:rPr>
        <w:t xml:space="preserve">p </w:t>
      </w:r>
      <w:r>
        <w:rPr>
          <w:rFonts w:eastAsia="MS Gothic"/>
          <w:color w:val="000000"/>
        </w:rPr>
        <w:t xml:space="preserve"> &lt; .001, </w:t>
      </w:r>
      <w:r w:rsidRPr="008613F0">
        <w:rPr>
          <w:rFonts w:eastAsia="MS Gothic"/>
          <w:color w:val="000000"/>
        </w:rPr>
        <w:t>η</w:t>
      </w:r>
      <w:r w:rsidRPr="008613F0">
        <w:rPr>
          <w:rFonts w:eastAsia="MS Gothic"/>
          <w:color w:val="000000"/>
          <w:vertAlign w:val="subscript"/>
        </w:rPr>
        <w:t>p</w:t>
      </w:r>
      <w:r w:rsidRPr="008613F0">
        <w:rPr>
          <w:rFonts w:eastAsia="MS Gothic"/>
          <w:color w:val="000000"/>
          <w:vertAlign w:val="superscript"/>
        </w:rPr>
        <w:t>2</w:t>
      </w:r>
      <w:r>
        <w:rPr>
          <w:rFonts w:eastAsia="MS Gothic"/>
          <w:color w:val="000000"/>
        </w:rPr>
        <w:t xml:space="preserve"> = 0.06, while the main effect of cluster, </w:t>
      </w:r>
      <w:r>
        <w:rPr>
          <w:rFonts w:eastAsia="MS Gothic"/>
          <w:i/>
          <w:color w:val="000000"/>
        </w:rPr>
        <w:t>F</w:t>
      </w:r>
      <w:r>
        <w:rPr>
          <w:rFonts w:eastAsia="MS Gothic"/>
          <w:color w:val="000000"/>
        </w:rPr>
        <w:t>(2,</w:t>
      </w:r>
      <w:r w:rsidR="00103B94">
        <w:rPr>
          <w:rFonts w:eastAsia="MS Gothic"/>
          <w:color w:val="000000"/>
        </w:rPr>
        <w:t>192</w:t>
      </w:r>
      <w:r>
        <w:rPr>
          <w:rFonts w:eastAsia="MS Gothic"/>
          <w:color w:val="000000"/>
        </w:rPr>
        <w:t>) = 1.8</w:t>
      </w:r>
      <w:r w:rsidR="00103B94">
        <w:rPr>
          <w:rFonts w:eastAsia="MS Gothic"/>
          <w:color w:val="000000"/>
        </w:rPr>
        <w:t>7</w:t>
      </w:r>
      <w:r>
        <w:rPr>
          <w:rFonts w:eastAsia="MS Gothic"/>
          <w:color w:val="000000"/>
        </w:rPr>
        <w:t xml:space="preserve">, </w:t>
      </w:r>
      <w:r>
        <w:rPr>
          <w:rFonts w:eastAsia="MS Gothic"/>
          <w:i/>
          <w:color w:val="000000"/>
        </w:rPr>
        <w:t xml:space="preserve">p </w:t>
      </w:r>
      <w:r>
        <w:rPr>
          <w:rFonts w:eastAsia="MS Gothic"/>
          <w:color w:val="000000"/>
        </w:rPr>
        <w:t xml:space="preserve"> = .15</w:t>
      </w:r>
      <w:r w:rsidR="00103B94">
        <w:rPr>
          <w:rFonts w:eastAsia="MS Gothic"/>
          <w:color w:val="000000"/>
        </w:rPr>
        <w:t>7</w:t>
      </w:r>
      <w:r>
        <w:rPr>
          <w:rFonts w:eastAsia="MS Gothic"/>
          <w:color w:val="000000"/>
        </w:rPr>
        <w:t xml:space="preserve">, </w:t>
      </w:r>
      <w:r w:rsidRPr="008613F0">
        <w:rPr>
          <w:rFonts w:eastAsia="MS Gothic"/>
          <w:color w:val="000000"/>
        </w:rPr>
        <w:t>η</w:t>
      </w:r>
      <w:r w:rsidRPr="008613F0">
        <w:rPr>
          <w:rFonts w:eastAsia="MS Gothic"/>
          <w:color w:val="000000"/>
          <w:vertAlign w:val="subscript"/>
        </w:rPr>
        <w:t>p</w:t>
      </w:r>
      <w:r w:rsidRPr="008613F0">
        <w:rPr>
          <w:rFonts w:eastAsia="MS Gothic"/>
          <w:color w:val="000000"/>
          <w:vertAlign w:val="superscript"/>
        </w:rPr>
        <w:t>2</w:t>
      </w:r>
      <w:r>
        <w:rPr>
          <w:rFonts w:eastAsia="MS Gothic"/>
          <w:color w:val="000000"/>
        </w:rPr>
        <w:t xml:space="preserve"> = 0.02, and cluster by task version interaction, </w:t>
      </w:r>
      <w:r>
        <w:rPr>
          <w:rFonts w:eastAsia="MS Gothic"/>
          <w:i/>
          <w:color w:val="000000"/>
        </w:rPr>
        <w:t>F</w:t>
      </w:r>
      <w:r>
        <w:rPr>
          <w:rFonts w:eastAsia="MS Gothic"/>
          <w:color w:val="000000"/>
        </w:rPr>
        <w:t>(2,</w:t>
      </w:r>
      <w:r w:rsidR="00103B94">
        <w:rPr>
          <w:rFonts w:eastAsia="MS Gothic"/>
          <w:color w:val="000000"/>
        </w:rPr>
        <w:t>192</w:t>
      </w:r>
      <w:r>
        <w:rPr>
          <w:rFonts w:eastAsia="MS Gothic"/>
          <w:color w:val="000000"/>
        </w:rPr>
        <w:t>) = 1.</w:t>
      </w:r>
      <w:r w:rsidR="00103B94">
        <w:rPr>
          <w:rFonts w:eastAsia="MS Gothic"/>
          <w:color w:val="000000"/>
        </w:rPr>
        <w:t>76</w:t>
      </w:r>
      <w:r>
        <w:rPr>
          <w:rFonts w:eastAsia="MS Gothic"/>
          <w:color w:val="000000"/>
        </w:rPr>
        <w:t xml:space="preserve">, </w:t>
      </w:r>
      <w:r>
        <w:rPr>
          <w:rFonts w:eastAsia="MS Gothic"/>
          <w:i/>
          <w:color w:val="000000"/>
        </w:rPr>
        <w:t xml:space="preserve">p </w:t>
      </w:r>
      <w:r>
        <w:rPr>
          <w:rFonts w:eastAsia="MS Gothic"/>
          <w:color w:val="000000"/>
        </w:rPr>
        <w:t xml:space="preserve"> = .</w:t>
      </w:r>
      <w:r w:rsidR="00103B94">
        <w:rPr>
          <w:rFonts w:eastAsia="MS Gothic"/>
          <w:color w:val="000000"/>
        </w:rPr>
        <w:t>175</w:t>
      </w:r>
      <w:r>
        <w:rPr>
          <w:rFonts w:eastAsia="MS Gothic"/>
          <w:color w:val="000000"/>
        </w:rPr>
        <w:t xml:space="preserve">, </w:t>
      </w:r>
      <w:r w:rsidRPr="008613F0">
        <w:rPr>
          <w:rFonts w:eastAsia="MS Gothic"/>
          <w:color w:val="000000"/>
        </w:rPr>
        <w:t>η</w:t>
      </w:r>
      <w:r w:rsidRPr="008613F0">
        <w:rPr>
          <w:rFonts w:eastAsia="MS Gothic"/>
          <w:color w:val="000000"/>
          <w:vertAlign w:val="subscript"/>
        </w:rPr>
        <w:t>p</w:t>
      </w:r>
      <w:r w:rsidRPr="008613F0">
        <w:rPr>
          <w:rFonts w:eastAsia="MS Gothic"/>
          <w:color w:val="000000"/>
          <w:vertAlign w:val="superscript"/>
        </w:rPr>
        <w:t>2</w:t>
      </w:r>
      <w:r>
        <w:rPr>
          <w:rFonts w:eastAsia="MS Gothic"/>
          <w:color w:val="000000"/>
        </w:rPr>
        <w:t xml:space="preserve"> = 0.02, were not significant. Participants completing the task for monetary reward overall </w:t>
      </w:r>
      <w:r w:rsidRPr="001B2D2D">
        <w:rPr>
          <w:rFonts w:eastAsia="MS Gothic"/>
          <w:color w:val="000000"/>
        </w:rPr>
        <w:t>made</w:t>
      </w:r>
      <w:r>
        <w:rPr>
          <w:rFonts w:eastAsia="MS Gothic"/>
          <w:color w:val="000000"/>
        </w:rPr>
        <w:t xml:space="preserve"> a higher percentage of hard task choices </w:t>
      </w:r>
      <w:r w:rsidR="006873A8">
        <w:rPr>
          <w:rFonts w:eastAsia="MS Gothic"/>
          <w:color w:val="000000"/>
        </w:rPr>
        <w:t>(</w:t>
      </w:r>
      <w:proofErr w:type="gramStart"/>
      <w:r w:rsidR="006873A8">
        <w:rPr>
          <w:rFonts w:eastAsia="MS Gothic"/>
          <w:i/>
          <w:color w:val="000000"/>
        </w:rPr>
        <w:t>M</w:t>
      </w:r>
      <w:r w:rsidR="006873A8">
        <w:rPr>
          <w:rFonts w:eastAsia="MS Gothic"/>
          <w:i/>
          <w:color w:val="000000"/>
          <w:vertAlign w:val="subscript"/>
        </w:rPr>
        <w:t>Z</w:t>
      </w:r>
      <w:r w:rsidR="006873A8">
        <w:rPr>
          <w:rFonts w:eastAsia="MS Gothic"/>
          <w:i/>
          <w:color w:val="000000"/>
        </w:rPr>
        <w:t xml:space="preserve"> </w:t>
      </w:r>
      <w:r w:rsidR="006873A8">
        <w:rPr>
          <w:rFonts w:eastAsia="MS Gothic"/>
          <w:color w:val="000000"/>
        </w:rPr>
        <w:t xml:space="preserve"> =</w:t>
      </w:r>
      <w:proofErr w:type="gramEnd"/>
      <w:r w:rsidR="006873A8">
        <w:rPr>
          <w:rFonts w:eastAsia="MS Gothic"/>
          <w:color w:val="000000"/>
        </w:rPr>
        <w:t xml:space="preserve"> 0.27, </w:t>
      </w:r>
      <w:r w:rsidR="006873A8" w:rsidRPr="001B2D2D">
        <w:rPr>
          <w:rFonts w:eastAsia="MS Gothic"/>
          <w:i/>
          <w:color w:val="000000"/>
        </w:rPr>
        <w:t>SD</w:t>
      </w:r>
      <w:r w:rsidR="006873A8">
        <w:rPr>
          <w:rFonts w:eastAsia="MS Gothic"/>
          <w:color w:val="000000"/>
        </w:rPr>
        <w:t xml:space="preserve"> = 0.83) </w:t>
      </w:r>
      <w:r>
        <w:rPr>
          <w:rFonts w:eastAsia="MS Gothic"/>
          <w:color w:val="000000"/>
        </w:rPr>
        <w:t>than those completing the task for points (</w:t>
      </w:r>
      <w:r>
        <w:rPr>
          <w:rFonts w:eastAsia="MS Gothic"/>
          <w:i/>
          <w:color w:val="000000"/>
        </w:rPr>
        <w:t>M</w:t>
      </w:r>
      <w:r w:rsidR="006873A8">
        <w:rPr>
          <w:rFonts w:eastAsia="MS Gothic"/>
          <w:i/>
          <w:color w:val="000000"/>
          <w:vertAlign w:val="subscript"/>
        </w:rPr>
        <w:t>Z</w:t>
      </w:r>
      <w:r>
        <w:rPr>
          <w:rFonts w:eastAsia="MS Gothic"/>
          <w:i/>
          <w:color w:val="000000"/>
        </w:rPr>
        <w:t xml:space="preserve"> </w:t>
      </w:r>
      <w:r>
        <w:rPr>
          <w:rFonts w:eastAsia="MS Gothic"/>
          <w:color w:val="000000"/>
        </w:rPr>
        <w:t xml:space="preserve"> = </w:t>
      </w:r>
      <w:r w:rsidRPr="008A47C2">
        <w:rPr>
          <w:rFonts w:ascii="MS Gothic" w:eastAsia="MS Gothic"/>
          <w:color w:val="000000"/>
        </w:rPr>
        <w:t>−</w:t>
      </w:r>
      <w:r>
        <w:rPr>
          <w:rFonts w:eastAsia="MS Gothic"/>
          <w:color w:val="000000"/>
        </w:rPr>
        <w:t xml:space="preserve">0.35, </w:t>
      </w:r>
      <w:r w:rsidRPr="001B2D2D">
        <w:rPr>
          <w:rFonts w:eastAsia="MS Gothic"/>
          <w:i/>
          <w:color w:val="000000"/>
        </w:rPr>
        <w:t>SD</w:t>
      </w:r>
      <w:r>
        <w:rPr>
          <w:rFonts w:eastAsia="MS Gothic"/>
          <w:color w:val="000000"/>
        </w:rPr>
        <w:t xml:space="preserve"> = 0.9</w:t>
      </w:r>
      <w:r w:rsidR="00483D7F">
        <w:rPr>
          <w:rFonts w:eastAsia="MS Gothic"/>
          <w:color w:val="000000"/>
        </w:rPr>
        <w:t>6</w:t>
      </w:r>
      <w:r>
        <w:rPr>
          <w:rFonts w:eastAsia="MS Gothic"/>
          <w:color w:val="000000"/>
        </w:rPr>
        <w:t>); however, this difference did not vary as a function of cluster subgroup.</w:t>
      </w:r>
    </w:p>
    <w:p w14:paraId="1BFE18B0" w14:textId="2DDD583B" w:rsidR="00E70C59" w:rsidRPr="003B161E" w:rsidRDefault="00E70C59" w:rsidP="003B161E">
      <w:pPr>
        <w:spacing w:line="360" w:lineRule="auto"/>
        <w:ind w:firstLine="720"/>
        <w:rPr>
          <w:rFonts w:eastAsia="MS Gothic"/>
          <w:color w:val="000000"/>
        </w:rPr>
      </w:pPr>
      <w:r>
        <w:t>A 3 cluster</w:t>
      </w:r>
      <w:r w:rsidRPr="0087317A">
        <w:t xml:space="preserve"> </w:t>
      </w:r>
      <w:r w:rsidRPr="0087317A">
        <w:rPr>
          <w:rFonts w:eastAsia="MS Gothic"/>
          <w:color w:val="000000"/>
        </w:rPr>
        <w:t xml:space="preserve">× </w:t>
      </w:r>
      <w:r>
        <w:rPr>
          <w:rFonts w:eastAsia="MS Gothic"/>
          <w:color w:val="000000"/>
        </w:rPr>
        <w:t xml:space="preserve">2 task version ANOVA for reward learning performance indicated a main effect of cluster, </w:t>
      </w:r>
      <w:r>
        <w:rPr>
          <w:rFonts w:eastAsia="MS Gothic"/>
          <w:i/>
          <w:color w:val="000000"/>
        </w:rPr>
        <w:t>F</w:t>
      </w:r>
      <w:r>
        <w:rPr>
          <w:rFonts w:eastAsia="MS Gothic"/>
          <w:color w:val="000000"/>
        </w:rPr>
        <w:t>(2,</w:t>
      </w:r>
      <w:r w:rsidR="00483D7F">
        <w:rPr>
          <w:rFonts w:eastAsia="MS Gothic"/>
          <w:color w:val="000000"/>
        </w:rPr>
        <w:t>192</w:t>
      </w:r>
      <w:r>
        <w:rPr>
          <w:rFonts w:eastAsia="MS Gothic"/>
          <w:color w:val="000000"/>
        </w:rPr>
        <w:t>) = 1</w:t>
      </w:r>
      <w:r w:rsidR="00483D7F">
        <w:rPr>
          <w:rFonts w:eastAsia="MS Gothic"/>
          <w:color w:val="000000"/>
        </w:rPr>
        <w:t>82.13</w:t>
      </w:r>
      <w:r>
        <w:rPr>
          <w:rFonts w:eastAsia="MS Gothic"/>
          <w:color w:val="000000"/>
        </w:rPr>
        <w:t xml:space="preserve">, </w:t>
      </w:r>
      <w:r>
        <w:rPr>
          <w:rFonts w:eastAsia="MS Gothic"/>
          <w:i/>
          <w:color w:val="000000"/>
        </w:rPr>
        <w:t xml:space="preserve">p </w:t>
      </w:r>
      <w:r>
        <w:rPr>
          <w:rFonts w:eastAsia="MS Gothic"/>
          <w:color w:val="000000"/>
        </w:rPr>
        <w:t xml:space="preserve"> &lt; .001, </w:t>
      </w:r>
      <w:r w:rsidRPr="008613F0">
        <w:rPr>
          <w:rFonts w:eastAsia="MS Gothic"/>
          <w:color w:val="000000"/>
        </w:rPr>
        <w:t>η</w:t>
      </w:r>
      <w:r w:rsidRPr="008613F0">
        <w:rPr>
          <w:rFonts w:eastAsia="MS Gothic"/>
          <w:color w:val="000000"/>
          <w:vertAlign w:val="subscript"/>
        </w:rPr>
        <w:t>p</w:t>
      </w:r>
      <w:r w:rsidRPr="008613F0">
        <w:rPr>
          <w:rFonts w:eastAsia="MS Gothic"/>
          <w:color w:val="000000"/>
          <w:vertAlign w:val="superscript"/>
        </w:rPr>
        <w:t>2</w:t>
      </w:r>
      <w:r>
        <w:rPr>
          <w:rFonts w:eastAsia="MS Gothic"/>
          <w:color w:val="000000"/>
        </w:rPr>
        <w:t xml:space="preserve"> = 0.6</w:t>
      </w:r>
      <w:r w:rsidR="00483D7F">
        <w:rPr>
          <w:rFonts w:eastAsia="MS Gothic"/>
          <w:color w:val="000000"/>
        </w:rPr>
        <w:t>6</w:t>
      </w:r>
      <w:r>
        <w:rPr>
          <w:rFonts w:eastAsia="MS Gothic"/>
          <w:color w:val="000000"/>
        </w:rPr>
        <w:t xml:space="preserve">, while the main effect of task version, </w:t>
      </w:r>
      <w:r>
        <w:rPr>
          <w:rFonts w:eastAsia="MS Gothic"/>
          <w:i/>
          <w:color w:val="000000"/>
        </w:rPr>
        <w:t>F</w:t>
      </w:r>
      <w:r>
        <w:rPr>
          <w:rFonts w:eastAsia="MS Gothic"/>
          <w:color w:val="000000"/>
        </w:rPr>
        <w:t>(1,</w:t>
      </w:r>
      <w:r w:rsidR="00483D7F">
        <w:rPr>
          <w:rFonts w:eastAsia="MS Gothic"/>
          <w:color w:val="000000"/>
        </w:rPr>
        <w:t>192</w:t>
      </w:r>
      <w:r>
        <w:rPr>
          <w:rFonts w:eastAsia="MS Gothic"/>
          <w:color w:val="000000"/>
        </w:rPr>
        <w:t>) = 0.0</w:t>
      </w:r>
      <w:r w:rsidR="00483D7F">
        <w:rPr>
          <w:rFonts w:eastAsia="MS Gothic"/>
          <w:color w:val="000000"/>
        </w:rPr>
        <w:t>3</w:t>
      </w:r>
      <w:r>
        <w:rPr>
          <w:rFonts w:eastAsia="MS Gothic"/>
          <w:color w:val="000000"/>
        </w:rPr>
        <w:t xml:space="preserve">, </w:t>
      </w:r>
      <w:r>
        <w:rPr>
          <w:rFonts w:eastAsia="MS Gothic"/>
          <w:i/>
          <w:color w:val="000000"/>
        </w:rPr>
        <w:t xml:space="preserve">p </w:t>
      </w:r>
      <w:r>
        <w:rPr>
          <w:rFonts w:eastAsia="MS Gothic"/>
          <w:color w:val="000000"/>
        </w:rPr>
        <w:t xml:space="preserve"> = .8</w:t>
      </w:r>
      <w:r w:rsidR="00483D7F">
        <w:rPr>
          <w:rFonts w:eastAsia="MS Gothic"/>
          <w:color w:val="000000"/>
        </w:rPr>
        <w:t>70</w:t>
      </w:r>
      <w:r>
        <w:rPr>
          <w:rFonts w:eastAsia="MS Gothic"/>
          <w:color w:val="000000"/>
        </w:rPr>
        <w:t xml:space="preserve">, </w:t>
      </w:r>
      <w:r w:rsidRPr="008613F0">
        <w:rPr>
          <w:rFonts w:eastAsia="MS Gothic"/>
          <w:color w:val="000000"/>
        </w:rPr>
        <w:t>η</w:t>
      </w:r>
      <w:r w:rsidRPr="008613F0">
        <w:rPr>
          <w:rFonts w:eastAsia="MS Gothic"/>
          <w:color w:val="000000"/>
          <w:vertAlign w:val="subscript"/>
        </w:rPr>
        <w:t>p</w:t>
      </w:r>
      <w:r w:rsidRPr="008613F0">
        <w:rPr>
          <w:rFonts w:eastAsia="MS Gothic"/>
          <w:color w:val="000000"/>
          <w:vertAlign w:val="superscript"/>
        </w:rPr>
        <w:t>2</w:t>
      </w:r>
      <w:r>
        <w:rPr>
          <w:rFonts w:eastAsia="MS Gothic"/>
          <w:color w:val="000000"/>
        </w:rPr>
        <w:t xml:space="preserve"> = 0.00, and cluster by task version interaction, </w:t>
      </w:r>
      <w:r>
        <w:rPr>
          <w:rFonts w:eastAsia="MS Gothic"/>
          <w:i/>
          <w:color w:val="000000"/>
        </w:rPr>
        <w:t>F</w:t>
      </w:r>
      <w:r>
        <w:rPr>
          <w:rFonts w:eastAsia="MS Gothic"/>
          <w:color w:val="000000"/>
        </w:rPr>
        <w:t>(2,</w:t>
      </w:r>
      <w:r w:rsidR="00483D7F">
        <w:rPr>
          <w:rFonts w:eastAsia="MS Gothic"/>
          <w:color w:val="000000"/>
        </w:rPr>
        <w:t>192</w:t>
      </w:r>
      <w:r>
        <w:rPr>
          <w:rFonts w:eastAsia="MS Gothic"/>
          <w:color w:val="000000"/>
        </w:rPr>
        <w:t>) = 0.</w:t>
      </w:r>
      <w:r w:rsidR="00483D7F">
        <w:rPr>
          <w:rFonts w:eastAsia="MS Gothic"/>
          <w:color w:val="000000"/>
        </w:rPr>
        <w:t>16</w:t>
      </w:r>
      <w:r>
        <w:rPr>
          <w:rFonts w:eastAsia="MS Gothic"/>
          <w:color w:val="000000"/>
        </w:rPr>
        <w:t xml:space="preserve">, </w:t>
      </w:r>
      <w:r>
        <w:rPr>
          <w:rFonts w:eastAsia="MS Gothic"/>
          <w:i/>
          <w:color w:val="000000"/>
        </w:rPr>
        <w:t xml:space="preserve">p </w:t>
      </w:r>
      <w:r>
        <w:rPr>
          <w:rFonts w:eastAsia="MS Gothic"/>
          <w:color w:val="000000"/>
        </w:rPr>
        <w:t xml:space="preserve"> = .</w:t>
      </w:r>
      <w:r w:rsidR="00483D7F">
        <w:rPr>
          <w:rFonts w:eastAsia="MS Gothic"/>
          <w:color w:val="000000"/>
        </w:rPr>
        <w:t>850</w:t>
      </w:r>
      <w:r>
        <w:rPr>
          <w:rFonts w:eastAsia="MS Gothic"/>
          <w:color w:val="000000"/>
        </w:rPr>
        <w:t xml:space="preserve">, </w:t>
      </w:r>
      <w:r w:rsidRPr="008613F0">
        <w:rPr>
          <w:rFonts w:eastAsia="MS Gothic"/>
          <w:color w:val="000000"/>
        </w:rPr>
        <w:t>η</w:t>
      </w:r>
      <w:r w:rsidRPr="008613F0">
        <w:rPr>
          <w:rFonts w:eastAsia="MS Gothic"/>
          <w:color w:val="000000"/>
          <w:vertAlign w:val="subscript"/>
        </w:rPr>
        <w:t>p</w:t>
      </w:r>
      <w:r w:rsidRPr="008613F0">
        <w:rPr>
          <w:rFonts w:eastAsia="MS Gothic"/>
          <w:color w:val="000000"/>
          <w:vertAlign w:val="superscript"/>
        </w:rPr>
        <w:t>2</w:t>
      </w:r>
      <w:r>
        <w:rPr>
          <w:rFonts w:eastAsia="MS Gothic"/>
          <w:color w:val="000000"/>
        </w:rPr>
        <w:t xml:space="preserve"> = 0.00, were not significant.</w:t>
      </w:r>
    </w:p>
    <w:p w14:paraId="437F8615" w14:textId="3BB17FFE" w:rsidR="00345C39" w:rsidRPr="00E305BC" w:rsidRDefault="00E305BC" w:rsidP="00E70C59">
      <w:pPr>
        <w:spacing w:line="480" w:lineRule="auto"/>
        <w:rPr>
          <w:b/>
          <w:i/>
        </w:rPr>
      </w:pPr>
      <w:r w:rsidRPr="00E305BC">
        <w:rPr>
          <w:b/>
          <w:i/>
        </w:rPr>
        <w:t xml:space="preserve">Table S1. </w:t>
      </w:r>
      <w:r w:rsidR="00345C39" w:rsidRPr="00E305BC">
        <w:rPr>
          <w:b/>
          <w:i/>
        </w:rPr>
        <w:t>Clustering index 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9"/>
      </w:tblGrid>
      <w:tr w:rsidR="00345C39" w14:paraId="0870DB39" w14:textId="77777777" w:rsidTr="00345C39">
        <w:tc>
          <w:tcPr>
            <w:tcW w:w="5094" w:type="dxa"/>
            <w:tcBorders>
              <w:top w:val="single" w:sz="4" w:space="0" w:color="auto"/>
              <w:bottom w:val="single" w:sz="4" w:space="0" w:color="auto"/>
            </w:tcBorders>
          </w:tcPr>
          <w:p w14:paraId="36A67EC2" w14:textId="34088955" w:rsidR="00345C39" w:rsidRDefault="00345C39" w:rsidP="00FE7612">
            <w:r>
              <w:t>Number of clusters</w:t>
            </w:r>
          </w:p>
        </w:tc>
        <w:tc>
          <w:tcPr>
            <w:tcW w:w="5094" w:type="dxa"/>
            <w:tcBorders>
              <w:top w:val="single" w:sz="4" w:space="0" w:color="auto"/>
              <w:bottom w:val="single" w:sz="4" w:space="0" w:color="auto"/>
            </w:tcBorders>
          </w:tcPr>
          <w:p w14:paraId="2C59B491" w14:textId="47D93665" w:rsidR="00345C39" w:rsidRDefault="00345C39" w:rsidP="00FE7612">
            <w:r>
              <w:t xml:space="preserve">Number of indices proposing </w:t>
            </w:r>
            <w:r w:rsidR="00423C4B">
              <w:t xml:space="preserve">this </w:t>
            </w:r>
            <w:r>
              <w:t>cluster solution</w:t>
            </w:r>
          </w:p>
        </w:tc>
      </w:tr>
      <w:tr w:rsidR="00345C39" w14:paraId="3DC6B70C" w14:textId="77777777" w:rsidTr="00345C39">
        <w:tc>
          <w:tcPr>
            <w:tcW w:w="5094" w:type="dxa"/>
            <w:tcBorders>
              <w:top w:val="single" w:sz="4" w:space="0" w:color="auto"/>
            </w:tcBorders>
          </w:tcPr>
          <w:p w14:paraId="6C96C430" w14:textId="1E095999" w:rsidR="00345C39" w:rsidRDefault="00345C39" w:rsidP="00FE7612">
            <w:r>
              <w:t>2</w:t>
            </w:r>
          </w:p>
        </w:tc>
        <w:tc>
          <w:tcPr>
            <w:tcW w:w="5094" w:type="dxa"/>
            <w:tcBorders>
              <w:top w:val="single" w:sz="4" w:space="0" w:color="auto"/>
            </w:tcBorders>
          </w:tcPr>
          <w:p w14:paraId="6EF16543" w14:textId="0D6C9ED2" w:rsidR="00345C39" w:rsidRDefault="002D0D23" w:rsidP="00FE7612">
            <w:r>
              <w:t>4</w:t>
            </w:r>
          </w:p>
        </w:tc>
      </w:tr>
      <w:tr w:rsidR="00345C39" w:rsidRPr="00345C39" w14:paraId="0D881B0B" w14:textId="77777777" w:rsidTr="00345C39">
        <w:tc>
          <w:tcPr>
            <w:tcW w:w="5094" w:type="dxa"/>
          </w:tcPr>
          <w:p w14:paraId="0B691D02" w14:textId="24290CAA" w:rsidR="00345C39" w:rsidRPr="00345C39" w:rsidRDefault="00345C39" w:rsidP="00FE7612">
            <w:pPr>
              <w:rPr>
                <w:b/>
              </w:rPr>
            </w:pPr>
            <w:r w:rsidRPr="00345C39">
              <w:rPr>
                <w:b/>
              </w:rPr>
              <w:t>3</w:t>
            </w:r>
          </w:p>
        </w:tc>
        <w:tc>
          <w:tcPr>
            <w:tcW w:w="5094" w:type="dxa"/>
          </w:tcPr>
          <w:p w14:paraId="5A8A7A71" w14:textId="0A1E8B46" w:rsidR="00345C39" w:rsidRPr="00345C39" w:rsidRDefault="002D0D23" w:rsidP="00FE7612">
            <w:pPr>
              <w:rPr>
                <w:b/>
              </w:rPr>
            </w:pPr>
            <w:r>
              <w:rPr>
                <w:b/>
              </w:rPr>
              <w:t>1</w:t>
            </w:r>
            <w:r w:rsidR="00D22976">
              <w:rPr>
                <w:b/>
              </w:rPr>
              <w:t>1</w:t>
            </w:r>
          </w:p>
        </w:tc>
      </w:tr>
      <w:tr w:rsidR="00345C39" w14:paraId="4F5C8275" w14:textId="77777777" w:rsidTr="00345C39">
        <w:tc>
          <w:tcPr>
            <w:tcW w:w="5094" w:type="dxa"/>
          </w:tcPr>
          <w:p w14:paraId="39822E3E" w14:textId="4E2AB5BF" w:rsidR="00345C39" w:rsidRDefault="00345C39" w:rsidP="00FE7612">
            <w:r>
              <w:t>4</w:t>
            </w:r>
          </w:p>
        </w:tc>
        <w:tc>
          <w:tcPr>
            <w:tcW w:w="5094" w:type="dxa"/>
          </w:tcPr>
          <w:p w14:paraId="5234D1AC" w14:textId="7D43C8BB" w:rsidR="00345C39" w:rsidRDefault="00D22976" w:rsidP="00FE7612">
            <w:r>
              <w:t>2</w:t>
            </w:r>
          </w:p>
        </w:tc>
      </w:tr>
      <w:tr w:rsidR="00345C39" w14:paraId="329468D2" w14:textId="77777777" w:rsidTr="00345C39">
        <w:tc>
          <w:tcPr>
            <w:tcW w:w="5094" w:type="dxa"/>
          </w:tcPr>
          <w:p w14:paraId="2B05AD94" w14:textId="12A1BC1E" w:rsidR="00345C39" w:rsidRDefault="00345C39" w:rsidP="00FE7612">
            <w:r>
              <w:t>5</w:t>
            </w:r>
          </w:p>
        </w:tc>
        <w:tc>
          <w:tcPr>
            <w:tcW w:w="5094" w:type="dxa"/>
          </w:tcPr>
          <w:p w14:paraId="13E0CFE6" w14:textId="42CBB8A5" w:rsidR="00345C39" w:rsidRDefault="00D22976" w:rsidP="00FE7612">
            <w:r>
              <w:t>0</w:t>
            </w:r>
          </w:p>
        </w:tc>
      </w:tr>
      <w:tr w:rsidR="002D0D23" w14:paraId="3281402D" w14:textId="77777777" w:rsidTr="00345C39">
        <w:tc>
          <w:tcPr>
            <w:tcW w:w="5094" w:type="dxa"/>
          </w:tcPr>
          <w:p w14:paraId="30857A8F" w14:textId="4A1BE8F7" w:rsidR="002D0D23" w:rsidRDefault="002D0D23" w:rsidP="00FE7612">
            <w:r>
              <w:t>6</w:t>
            </w:r>
          </w:p>
        </w:tc>
        <w:tc>
          <w:tcPr>
            <w:tcW w:w="5094" w:type="dxa"/>
          </w:tcPr>
          <w:p w14:paraId="0BBB7B98" w14:textId="2D77C698" w:rsidR="002D0D23" w:rsidRDefault="00D22976" w:rsidP="00FE7612">
            <w:r>
              <w:t>1</w:t>
            </w:r>
          </w:p>
        </w:tc>
      </w:tr>
      <w:tr w:rsidR="002D0D23" w14:paraId="2E15600D" w14:textId="77777777" w:rsidTr="00345C39">
        <w:tc>
          <w:tcPr>
            <w:tcW w:w="5094" w:type="dxa"/>
          </w:tcPr>
          <w:p w14:paraId="17AA6732" w14:textId="2BC52BF1" w:rsidR="002D0D23" w:rsidRDefault="002D0D23" w:rsidP="00FE7612">
            <w:r>
              <w:t>7</w:t>
            </w:r>
          </w:p>
        </w:tc>
        <w:tc>
          <w:tcPr>
            <w:tcW w:w="5094" w:type="dxa"/>
          </w:tcPr>
          <w:p w14:paraId="7F45A69A" w14:textId="2E057EC5" w:rsidR="002D0D23" w:rsidRDefault="00D22976" w:rsidP="00FE7612">
            <w:r>
              <w:t>1</w:t>
            </w:r>
          </w:p>
        </w:tc>
      </w:tr>
      <w:tr w:rsidR="00345C39" w14:paraId="780E6EF4" w14:textId="77777777" w:rsidTr="00345C39">
        <w:tc>
          <w:tcPr>
            <w:tcW w:w="5094" w:type="dxa"/>
          </w:tcPr>
          <w:p w14:paraId="028617F6" w14:textId="4B32D32D" w:rsidR="00345C39" w:rsidRDefault="00345C39" w:rsidP="00FE7612">
            <w:r>
              <w:t>8</w:t>
            </w:r>
          </w:p>
        </w:tc>
        <w:tc>
          <w:tcPr>
            <w:tcW w:w="5094" w:type="dxa"/>
          </w:tcPr>
          <w:p w14:paraId="6D51D968" w14:textId="1B7233D8" w:rsidR="00345C39" w:rsidRDefault="00D22976" w:rsidP="00FE7612">
            <w:r>
              <w:t>0</w:t>
            </w:r>
          </w:p>
        </w:tc>
      </w:tr>
      <w:tr w:rsidR="002D0D23" w14:paraId="5A60AEBA" w14:textId="77777777" w:rsidTr="00345C39">
        <w:tc>
          <w:tcPr>
            <w:tcW w:w="5094" w:type="dxa"/>
          </w:tcPr>
          <w:p w14:paraId="4E6A18E8" w14:textId="463378B8" w:rsidR="002D0D23" w:rsidRDefault="002D0D23" w:rsidP="00FE7612">
            <w:r>
              <w:t>9</w:t>
            </w:r>
          </w:p>
        </w:tc>
        <w:tc>
          <w:tcPr>
            <w:tcW w:w="5094" w:type="dxa"/>
          </w:tcPr>
          <w:p w14:paraId="574A59B7" w14:textId="00F0B619" w:rsidR="002D0D23" w:rsidRDefault="00D22976" w:rsidP="00FE7612">
            <w:r>
              <w:t>2</w:t>
            </w:r>
          </w:p>
        </w:tc>
      </w:tr>
      <w:tr w:rsidR="00345C39" w14:paraId="3505FC1A" w14:textId="77777777" w:rsidTr="00345C39">
        <w:tc>
          <w:tcPr>
            <w:tcW w:w="5094" w:type="dxa"/>
            <w:tcBorders>
              <w:bottom w:val="single" w:sz="4" w:space="0" w:color="auto"/>
            </w:tcBorders>
          </w:tcPr>
          <w:p w14:paraId="2FD9396B" w14:textId="41A540A5" w:rsidR="00345C39" w:rsidRDefault="00345C39" w:rsidP="00FE7612">
            <w:r>
              <w:lastRenderedPageBreak/>
              <w:t>10</w:t>
            </w:r>
          </w:p>
        </w:tc>
        <w:tc>
          <w:tcPr>
            <w:tcW w:w="5094" w:type="dxa"/>
            <w:tcBorders>
              <w:bottom w:val="single" w:sz="4" w:space="0" w:color="auto"/>
            </w:tcBorders>
          </w:tcPr>
          <w:p w14:paraId="3B7C9251" w14:textId="7BADD38D" w:rsidR="00345C39" w:rsidRDefault="00345C39" w:rsidP="00FE7612">
            <w:r>
              <w:t>2</w:t>
            </w:r>
          </w:p>
        </w:tc>
      </w:tr>
    </w:tbl>
    <w:p w14:paraId="21C34D9F" w14:textId="7FC01987" w:rsidR="00AA19AA" w:rsidRDefault="002D0D23" w:rsidP="00FE7612">
      <w:r>
        <w:rPr>
          <w:i/>
        </w:rPr>
        <w:t>Note</w:t>
      </w:r>
      <w:r>
        <w:t xml:space="preserve">. </w:t>
      </w:r>
      <w:r w:rsidR="007A435F">
        <w:t xml:space="preserve">Twenty-four quantitative clustering indices were evaluated from the </w:t>
      </w:r>
      <w:proofErr w:type="spellStart"/>
      <w:r w:rsidR="007A435F">
        <w:t>NbClust</w:t>
      </w:r>
      <w:proofErr w:type="spellEnd"/>
      <w:r w:rsidR="007A435F">
        <w:t xml:space="preserve"> package (</w:t>
      </w:r>
      <w:proofErr w:type="spellStart"/>
      <w:r w:rsidR="007A435F">
        <w:t>Charrad</w:t>
      </w:r>
      <w:proofErr w:type="spellEnd"/>
      <w:r w:rsidR="007A435F">
        <w:t xml:space="preserve"> et al., 2014), representing all available indices in the packages other than GAP, Gamma, </w:t>
      </w:r>
      <w:proofErr w:type="spellStart"/>
      <w:r w:rsidR="007A435F">
        <w:t>Gplus</w:t>
      </w:r>
      <w:proofErr w:type="spellEnd"/>
      <w:r w:rsidR="007A435F">
        <w:t xml:space="preserve">, and Tau, and excluding the two graphical indices (Hubert and </w:t>
      </w:r>
      <w:proofErr w:type="spellStart"/>
      <w:r w:rsidR="007A435F">
        <w:t>dindex</w:t>
      </w:r>
      <w:proofErr w:type="spellEnd"/>
      <w:r w:rsidR="007A435F">
        <w:t xml:space="preserve">). </w:t>
      </w:r>
      <w:r>
        <w:t xml:space="preserve">One of the </w:t>
      </w:r>
      <w:r w:rsidR="009A40B0">
        <w:t xml:space="preserve">24 </w:t>
      </w:r>
      <w:r>
        <w:t xml:space="preserve">examined cluster indices </w:t>
      </w:r>
      <w:r w:rsidR="00545070">
        <w:t xml:space="preserve">proposed a 1-cluster solution, </w:t>
      </w:r>
      <w:r>
        <w:t xml:space="preserve">which fell outside the </w:t>
      </w:r>
      <w:r w:rsidR="00545070">
        <w:t xml:space="preserve">pre-specified </w:t>
      </w:r>
      <w:r>
        <w:t>range of 2-10 clusters considered for analysis.</w:t>
      </w:r>
    </w:p>
    <w:p w14:paraId="4FA72C37" w14:textId="77777777" w:rsidR="002D0D23" w:rsidRPr="002D0D23" w:rsidRDefault="002D0D23" w:rsidP="00FE7612"/>
    <w:p w14:paraId="458E20F3" w14:textId="7892E6D0" w:rsidR="00464825" w:rsidRPr="00464825" w:rsidRDefault="00464825" w:rsidP="00FE7612">
      <w:pPr>
        <w:rPr>
          <w:b/>
          <w:i/>
        </w:rPr>
      </w:pPr>
      <w:r w:rsidRPr="00464825">
        <w:rPr>
          <w:b/>
          <w:i/>
        </w:rPr>
        <w:t>Cluster plot</w:t>
      </w:r>
    </w:p>
    <w:p w14:paraId="427567D3" w14:textId="430EA821" w:rsidR="00345C39" w:rsidRDefault="004145CD" w:rsidP="00FE7612">
      <w:r>
        <w:rPr>
          <w:noProof/>
        </w:rPr>
        <w:drawing>
          <wp:inline distT="0" distB="0" distL="0" distR="0" wp14:anchorId="1BF98724" wp14:editId="083CB760">
            <wp:extent cx="6083300" cy="5308600"/>
            <wp:effectExtent l="0" t="0" r="0" b="0"/>
            <wp:docPr id="2139164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164862" name="Picture 2139164862"/>
                    <pic:cNvPicPr/>
                  </pic:nvPicPr>
                  <pic:blipFill>
                    <a:blip r:embed="rId6"/>
                    <a:stretch>
                      <a:fillRect/>
                    </a:stretch>
                  </pic:blipFill>
                  <pic:spPr>
                    <a:xfrm>
                      <a:off x="0" y="0"/>
                      <a:ext cx="6083300" cy="5308600"/>
                    </a:xfrm>
                    <a:prstGeom prst="rect">
                      <a:avLst/>
                    </a:prstGeom>
                  </pic:spPr>
                </pic:pic>
              </a:graphicData>
            </a:graphic>
          </wp:inline>
        </w:drawing>
      </w:r>
    </w:p>
    <w:p w14:paraId="36AD9FEA" w14:textId="0D1E2E23" w:rsidR="00464825" w:rsidRDefault="00464825" w:rsidP="00FE7612">
      <w:r w:rsidRPr="00C92521">
        <w:rPr>
          <w:b/>
          <w:bCs/>
          <w:i/>
        </w:rPr>
        <w:t>Figure S1.</w:t>
      </w:r>
      <w:r>
        <w:t xml:space="preserve"> Cluster plot of 3-cluster solution in Principal Component Space. Ellipses represent E</w:t>
      </w:r>
      <w:r w:rsidRPr="00855CEB">
        <w:t xml:space="preserve">uclidean distance from the </w:t>
      </w:r>
      <w:r>
        <w:t xml:space="preserve">cluster </w:t>
      </w:r>
      <w:r w:rsidRPr="00855CEB">
        <w:t>center.</w:t>
      </w:r>
      <w:r>
        <w:t xml:space="preserve"> </w:t>
      </w:r>
    </w:p>
    <w:p w14:paraId="3DDCB2A5" w14:textId="77777777" w:rsidR="00464825" w:rsidRDefault="00464825" w:rsidP="00FE7612"/>
    <w:p w14:paraId="5C859F8E" w14:textId="77777777" w:rsidR="00AA19AA" w:rsidRPr="00345C39" w:rsidRDefault="00AA19AA" w:rsidP="00FE7612"/>
    <w:p w14:paraId="76F893BC" w14:textId="4E12D5BE" w:rsidR="00C817AA" w:rsidRDefault="00C817AA" w:rsidP="00FE7612">
      <w:pPr>
        <w:rPr>
          <w:b/>
          <w:i/>
        </w:rPr>
      </w:pPr>
      <w:r>
        <w:rPr>
          <w:b/>
          <w:i/>
        </w:rPr>
        <w:t xml:space="preserve">Table S2. Linear discriminant analysis </w:t>
      </w:r>
      <w:r w:rsidR="00123BD1">
        <w:rPr>
          <w:b/>
          <w:i/>
        </w:rPr>
        <w:t xml:space="preserve">(LDA) </w:t>
      </w:r>
      <w:r>
        <w:rPr>
          <w:b/>
          <w:i/>
        </w:rPr>
        <w:t>classification table</w:t>
      </w:r>
    </w:p>
    <w:tbl>
      <w:tblPr>
        <w:tblStyle w:val="TableGrid"/>
        <w:tblW w:w="0" w:type="auto"/>
        <w:tblLook w:val="04A0" w:firstRow="1" w:lastRow="0" w:firstColumn="1" w:lastColumn="0" w:noHBand="0" w:noVBand="1"/>
      </w:tblPr>
      <w:tblGrid>
        <w:gridCol w:w="2696"/>
        <w:gridCol w:w="1090"/>
        <w:gridCol w:w="1090"/>
        <w:gridCol w:w="1090"/>
      </w:tblGrid>
      <w:tr w:rsidR="00F51FAF" w14:paraId="0BB203C3" w14:textId="77777777" w:rsidTr="00C65554">
        <w:tc>
          <w:tcPr>
            <w:tcW w:w="0" w:type="auto"/>
            <w:vMerge w:val="restart"/>
          </w:tcPr>
          <w:p w14:paraId="091A91B5" w14:textId="5DB422FF" w:rsidR="00F51FAF" w:rsidRDefault="00A54A17" w:rsidP="00F51FAF">
            <w:pPr>
              <w:rPr>
                <w:bCs/>
                <w:iCs/>
              </w:rPr>
            </w:pPr>
            <w:r>
              <w:rPr>
                <w:bCs/>
                <w:iCs/>
              </w:rPr>
              <w:t>Actual cluster assignment</w:t>
            </w:r>
          </w:p>
        </w:tc>
        <w:tc>
          <w:tcPr>
            <w:tcW w:w="0" w:type="auto"/>
            <w:gridSpan w:val="3"/>
          </w:tcPr>
          <w:p w14:paraId="2138661C" w14:textId="10CEE697" w:rsidR="00F51FAF" w:rsidRDefault="00A54A17" w:rsidP="00F51FAF">
            <w:pPr>
              <w:jc w:val="center"/>
              <w:rPr>
                <w:bCs/>
                <w:iCs/>
              </w:rPr>
            </w:pPr>
            <w:r>
              <w:rPr>
                <w:bCs/>
                <w:iCs/>
              </w:rPr>
              <w:t>LDA predicted assignment</w:t>
            </w:r>
          </w:p>
        </w:tc>
      </w:tr>
      <w:tr w:rsidR="00F51FAF" w14:paraId="70F8E50C" w14:textId="77777777" w:rsidTr="00C65554">
        <w:tc>
          <w:tcPr>
            <w:tcW w:w="0" w:type="auto"/>
            <w:vMerge/>
          </w:tcPr>
          <w:p w14:paraId="1C91BC1C" w14:textId="36F956BA" w:rsidR="00F51FAF" w:rsidRDefault="00F51FAF" w:rsidP="00F51FAF">
            <w:pPr>
              <w:rPr>
                <w:bCs/>
                <w:iCs/>
              </w:rPr>
            </w:pPr>
          </w:p>
        </w:tc>
        <w:tc>
          <w:tcPr>
            <w:tcW w:w="0" w:type="auto"/>
          </w:tcPr>
          <w:p w14:paraId="1DEA3AFB" w14:textId="64EE3E25" w:rsidR="00F51FAF" w:rsidRDefault="00F51FAF" w:rsidP="00F51FAF">
            <w:pPr>
              <w:rPr>
                <w:bCs/>
                <w:iCs/>
              </w:rPr>
            </w:pPr>
            <w:r>
              <w:rPr>
                <w:bCs/>
                <w:iCs/>
              </w:rPr>
              <w:t>Cluster 1</w:t>
            </w:r>
          </w:p>
        </w:tc>
        <w:tc>
          <w:tcPr>
            <w:tcW w:w="0" w:type="auto"/>
          </w:tcPr>
          <w:p w14:paraId="3DE55EE0" w14:textId="193AF957" w:rsidR="00F51FAF" w:rsidRDefault="00F51FAF" w:rsidP="00F51FAF">
            <w:pPr>
              <w:rPr>
                <w:bCs/>
                <w:iCs/>
              </w:rPr>
            </w:pPr>
            <w:r>
              <w:rPr>
                <w:bCs/>
                <w:iCs/>
              </w:rPr>
              <w:t>Cluster 2</w:t>
            </w:r>
          </w:p>
        </w:tc>
        <w:tc>
          <w:tcPr>
            <w:tcW w:w="0" w:type="auto"/>
          </w:tcPr>
          <w:p w14:paraId="23759599" w14:textId="69AE6CBE" w:rsidR="00F51FAF" w:rsidRDefault="00F51FAF" w:rsidP="00F51FAF">
            <w:pPr>
              <w:rPr>
                <w:bCs/>
                <w:iCs/>
              </w:rPr>
            </w:pPr>
            <w:r>
              <w:rPr>
                <w:bCs/>
                <w:iCs/>
              </w:rPr>
              <w:t>Cluster 3</w:t>
            </w:r>
          </w:p>
        </w:tc>
      </w:tr>
      <w:tr w:rsidR="00F51FAF" w14:paraId="6D34FE66" w14:textId="77777777" w:rsidTr="00D2255E">
        <w:tc>
          <w:tcPr>
            <w:tcW w:w="0" w:type="auto"/>
          </w:tcPr>
          <w:p w14:paraId="1777EEBB" w14:textId="08DC132A" w:rsidR="00F51FAF" w:rsidRDefault="00F51FAF" w:rsidP="00F51FAF">
            <w:pPr>
              <w:rPr>
                <w:bCs/>
                <w:iCs/>
              </w:rPr>
            </w:pPr>
            <w:r>
              <w:rPr>
                <w:bCs/>
                <w:iCs/>
              </w:rPr>
              <w:t>Cluster 1</w:t>
            </w:r>
          </w:p>
        </w:tc>
        <w:tc>
          <w:tcPr>
            <w:tcW w:w="0" w:type="auto"/>
          </w:tcPr>
          <w:p w14:paraId="6F0E28AA" w14:textId="73403234" w:rsidR="00F51FAF" w:rsidRDefault="00F51FAF" w:rsidP="00F51FAF">
            <w:pPr>
              <w:rPr>
                <w:bCs/>
                <w:iCs/>
              </w:rPr>
            </w:pPr>
            <w:r>
              <w:rPr>
                <w:bCs/>
                <w:iCs/>
              </w:rPr>
              <w:t>106</w:t>
            </w:r>
          </w:p>
        </w:tc>
        <w:tc>
          <w:tcPr>
            <w:tcW w:w="0" w:type="auto"/>
          </w:tcPr>
          <w:p w14:paraId="0D3AEC76" w14:textId="0118E048" w:rsidR="00F51FAF" w:rsidRDefault="00F51FAF" w:rsidP="00F51FAF">
            <w:pPr>
              <w:rPr>
                <w:bCs/>
                <w:iCs/>
              </w:rPr>
            </w:pPr>
            <w:r>
              <w:rPr>
                <w:bCs/>
                <w:iCs/>
              </w:rPr>
              <w:t>0</w:t>
            </w:r>
          </w:p>
        </w:tc>
        <w:tc>
          <w:tcPr>
            <w:tcW w:w="0" w:type="auto"/>
          </w:tcPr>
          <w:p w14:paraId="288E1128" w14:textId="1C6DC9D2" w:rsidR="00F51FAF" w:rsidRDefault="00F51FAF" w:rsidP="00F51FAF">
            <w:pPr>
              <w:rPr>
                <w:bCs/>
                <w:iCs/>
              </w:rPr>
            </w:pPr>
            <w:r>
              <w:rPr>
                <w:bCs/>
                <w:iCs/>
              </w:rPr>
              <w:t>0</w:t>
            </w:r>
          </w:p>
        </w:tc>
      </w:tr>
      <w:tr w:rsidR="00F51FAF" w14:paraId="631BB3DB" w14:textId="77777777" w:rsidTr="00D2255E">
        <w:tc>
          <w:tcPr>
            <w:tcW w:w="0" w:type="auto"/>
          </w:tcPr>
          <w:p w14:paraId="25108B36" w14:textId="5C4DA938" w:rsidR="00F51FAF" w:rsidRDefault="00F51FAF" w:rsidP="00F51FAF">
            <w:pPr>
              <w:rPr>
                <w:bCs/>
                <w:iCs/>
              </w:rPr>
            </w:pPr>
            <w:r>
              <w:rPr>
                <w:bCs/>
                <w:iCs/>
              </w:rPr>
              <w:lastRenderedPageBreak/>
              <w:t>Cluster 2</w:t>
            </w:r>
          </w:p>
        </w:tc>
        <w:tc>
          <w:tcPr>
            <w:tcW w:w="0" w:type="auto"/>
          </w:tcPr>
          <w:p w14:paraId="06B96FB6" w14:textId="62E426C7" w:rsidR="00F51FAF" w:rsidRDefault="00F51FAF" w:rsidP="00F51FAF">
            <w:pPr>
              <w:rPr>
                <w:bCs/>
                <w:iCs/>
              </w:rPr>
            </w:pPr>
            <w:r>
              <w:rPr>
                <w:bCs/>
                <w:iCs/>
              </w:rPr>
              <w:t>2</w:t>
            </w:r>
          </w:p>
        </w:tc>
        <w:tc>
          <w:tcPr>
            <w:tcW w:w="0" w:type="auto"/>
          </w:tcPr>
          <w:p w14:paraId="12FF4B79" w14:textId="0D84A84D" w:rsidR="00F51FAF" w:rsidRDefault="00F51FAF" w:rsidP="00F51FAF">
            <w:pPr>
              <w:rPr>
                <w:bCs/>
                <w:iCs/>
              </w:rPr>
            </w:pPr>
            <w:r>
              <w:rPr>
                <w:bCs/>
                <w:iCs/>
              </w:rPr>
              <w:t>32</w:t>
            </w:r>
          </w:p>
        </w:tc>
        <w:tc>
          <w:tcPr>
            <w:tcW w:w="0" w:type="auto"/>
          </w:tcPr>
          <w:p w14:paraId="66FF16D4" w14:textId="57305D0D" w:rsidR="00F51FAF" w:rsidRDefault="00F51FAF" w:rsidP="00F51FAF">
            <w:pPr>
              <w:rPr>
                <w:bCs/>
                <w:iCs/>
              </w:rPr>
            </w:pPr>
            <w:r>
              <w:rPr>
                <w:bCs/>
                <w:iCs/>
              </w:rPr>
              <w:t>0</w:t>
            </w:r>
          </w:p>
        </w:tc>
      </w:tr>
      <w:tr w:rsidR="00F51FAF" w14:paraId="6F993C07" w14:textId="77777777" w:rsidTr="00D2255E">
        <w:tc>
          <w:tcPr>
            <w:tcW w:w="0" w:type="auto"/>
          </w:tcPr>
          <w:p w14:paraId="38CFC787" w14:textId="0352DEFC" w:rsidR="00F51FAF" w:rsidRDefault="00F51FAF" w:rsidP="00F51FAF">
            <w:pPr>
              <w:rPr>
                <w:bCs/>
                <w:iCs/>
              </w:rPr>
            </w:pPr>
            <w:r>
              <w:rPr>
                <w:bCs/>
                <w:iCs/>
              </w:rPr>
              <w:t>Cluster 3</w:t>
            </w:r>
          </w:p>
        </w:tc>
        <w:tc>
          <w:tcPr>
            <w:tcW w:w="0" w:type="auto"/>
          </w:tcPr>
          <w:p w14:paraId="16266042" w14:textId="10A8B2C3" w:rsidR="00F51FAF" w:rsidRDefault="00F51FAF" w:rsidP="00F51FAF">
            <w:pPr>
              <w:rPr>
                <w:bCs/>
                <w:iCs/>
              </w:rPr>
            </w:pPr>
            <w:r>
              <w:rPr>
                <w:bCs/>
                <w:iCs/>
              </w:rPr>
              <w:t>5</w:t>
            </w:r>
          </w:p>
        </w:tc>
        <w:tc>
          <w:tcPr>
            <w:tcW w:w="0" w:type="auto"/>
          </w:tcPr>
          <w:p w14:paraId="59479220" w14:textId="463B5681" w:rsidR="00F51FAF" w:rsidRDefault="00F51FAF" w:rsidP="00F51FAF">
            <w:pPr>
              <w:rPr>
                <w:bCs/>
                <w:iCs/>
              </w:rPr>
            </w:pPr>
            <w:r>
              <w:rPr>
                <w:bCs/>
                <w:iCs/>
              </w:rPr>
              <w:t>0</w:t>
            </w:r>
          </w:p>
        </w:tc>
        <w:tc>
          <w:tcPr>
            <w:tcW w:w="0" w:type="auto"/>
          </w:tcPr>
          <w:p w14:paraId="29BDC0C6" w14:textId="38DBD929" w:rsidR="00F51FAF" w:rsidRDefault="00F51FAF" w:rsidP="00F51FAF">
            <w:pPr>
              <w:rPr>
                <w:bCs/>
                <w:iCs/>
              </w:rPr>
            </w:pPr>
            <w:r>
              <w:rPr>
                <w:bCs/>
                <w:iCs/>
              </w:rPr>
              <w:t>53</w:t>
            </w:r>
          </w:p>
        </w:tc>
      </w:tr>
    </w:tbl>
    <w:p w14:paraId="5F400A11" w14:textId="1D7D1EA7" w:rsidR="00C817AA" w:rsidRPr="00C817AA" w:rsidRDefault="00F51FAF" w:rsidP="00FE7612">
      <w:pPr>
        <w:rPr>
          <w:bCs/>
          <w:iCs/>
        </w:rPr>
      </w:pPr>
      <w:r w:rsidRPr="00F51FAF">
        <w:rPr>
          <w:bCs/>
          <w:i/>
        </w:rPr>
        <w:t>Note.</w:t>
      </w:r>
      <w:r>
        <w:rPr>
          <w:bCs/>
          <w:iCs/>
        </w:rPr>
        <w:t xml:space="preserve"> </w:t>
      </w:r>
      <w:r w:rsidR="00FA0CFB" w:rsidRPr="00F51FAF">
        <w:rPr>
          <w:bCs/>
          <w:iCs/>
        </w:rPr>
        <w:t>Linear</w:t>
      </w:r>
      <w:r w:rsidR="00FA0CFB">
        <w:rPr>
          <w:bCs/>
          <w:iCs/>
        </w:rPr>
        <w:t xml:space="preserve"> discriminant analysis overall classification accuracy: 96%</w:t>
      </w:r>
    </w:p>
    <w:p w14:paraId="67212CCF" w14:textId="77777777" w:rsidR="00C817AA" w:rsidRDefault="00C817AA" w:rsidP="00FE7612">
      <w:pPr>
        <w:rPr>
          <w:b/>
          <w:i/>
        </w:rPr>
      </w:pPr>
    </w:p>
    <w:p w14:paraId="285A8254" w14:textId="64859D54" w:rsidR="00D35A51" w:rsidRPr="00E305BC" w:rsidRDefault="00E305BC" w:rsidP="00FE7612">
      <w:pPr>
        <w:rPr>
          <w:b/>
          <w:i/>
        </w:rPr>
      </w:pPr>
      <w:r w:rsidRPr="00E305BC">
        <w:rPr>
          <w:b/>
          <w:i/>
        </w:rPr>
        <w:t>Table S</w:t>
      </w:r>
      <w:r w:rsidR="00C817AA">
        <w:rPr>
          <w:b/>
          <w:i/>
        </w:rPr>
        <w:t>3</w:t>
      </w:r>
      <w:r w:rsidRPr="00E305BC">
        <w:rPr>
          <w:b/>
          <w:i/>
        </w:rPr>
        <w:t xml:space="preserve">. </w:t>
      </w:r>
      <w:r w:rsidR="000C3D5B">
        <w:rPr>
          <w:b/>
          <w:i/>
        </w:rPr>
        <w:t>Additional n</w:t>
      </w:r>
      <w:r w:rsidR="006C0C6B" w:rsidRPr="00E305BC">
        <w:rPr>
          <w:b/>
          <w:i/>
        </w:rPr>
        <w:t>egative symptom</w:t>
      </w:r>
      <w:r w:rsidR="000C3D5B">
        <w:rPr>
          <w:b/>
          <w:i/>
        </w:rPr>
        <w:t xml:space="preserve"> characterization of the</w:t>
      </w:r>
      <w:r w:rsidR="006C0C6B" w:rsidRPr="00E305BC">
        <w:rPr>
          <w:b/>
          <w:i/>
        </w:rPr>
        <w:t xml:space="preserve"> cluster subgroups</w:t>
      </w:r>
    </w:p>
    <w:p w14:paraId="36061031" w14:textId="77777777" w:rsidR="00A92DF5" w:rsidRDefault="00A92DF5" w:rsidP="00FE7612"/>
    <w:tbl>
      <w:tblPr>
        <w:tblStyle w:val="TableGrid"/>
        <w:tblW w:w="0" w:type="auto"/>
        <w:tblLook w:val="04A0" w:firstRow="1" w:lastRow="0" w:firstColumn="1" w:lastColumn="0" w:noHBand="0" w:noVBand="1"/>
      </w:tblPr>
      <w:tblGrid>
        <w:gridCol w:w="2584"/>
        <w:gridCol w:w="222"/>
        <w:gridCol w:w="2200"/>
        <w:gridCol w:w="222"/>
        <w:gridCol w:w="2078"/>
        <w:gridCol w:w="222"/>
        <w:gridCol w:w="1832"/>
      </w:tblGrid>
      <w:tr w:rsidR="004635F6" w14:paraId="4C0218F7" w14:textId="77777777" w:rsidTr="00537F4C">
        <w:tc>
          <w:tcPr>
            <w:tcW w:w="0" w:type="auto"/>
            <w:tcBorders>
              <w:top w:val="single" w:sz="4" w:space="0" w:color="auto"/>
              <w:left w:val="nil"/>
              <w:bottom w:val="single" w:sz="4" w:space="0" w:color="auto"/>
              <w:right w:val="nil"/>
            </w:tcBorders>
          </w:tcPr>
          <w:p w14:paraId="402A7FBD" w14:textId="5D702012" w:rsidR="00E97052" w:rsidRDefault="00E97052" w:rsidP="00537F4C">
            <w:r>
              <w:t>Symptom</w:t>
            </w:r>
            <w:r w:rsidR="009D52A5">
              <w:t xml:space="preserve"> factor/domain</w:t>
            </w:r>
          </w:p>
        </w:tc>
        <w:tc>
          <w:tcPr>
            <w:tcW w:w="0" w:type="auto"/>
            <w:tcBorders>
              <w:top w:val="single" w:sz="4" w:space="0" w:color="auto"/>
              <w:left w:val="nil"/>
              <w:bottom w:val="nil"/>
              <w:right w:val="nil"/>
            </w:tcBorders>
          </w:tcPr>
          <w:p w14:paraId="39734C5A" w14:textId="77777777" w:rsidR="00E97052" w:rsidRDefault="00E97052" w:rsidP="00537F4C">
            <w:pPr>
              <w:jc w:val="center"/>
            </w:pPr>
          </w:p>
        </w:tc>
        <w:tc>
          <w:tcPr>
            <w:tcW w:w="0" w:type="auto"/>
            <w:gridSpan w:val="5"/>
            <w:tcBorders>
              <w:top w:val="single" w:sz="4" w:space="0" w:color="auto"/>
              <w:left w:val="nil"/>
              <w:bottom w:val="single" w:sz="4" w:space="0" w:color="auto"/>
              <w:right w:val="nil"/>
            </w:tcBorders>
          </w:tcPr>
          <w:p w14:paraId="1744F89B" w14:textId="47A1402F" w:rsidR="00E97052" w:rsidRPr="00F51FAF" w:rsidRDefault="00C37D94" w:rsidP="00C37D94">
            <w:pPr>
              <w:jc w:val="center"/>
            </w:pPr>
            <w:r>
              <w:t xml:space="preserve">Proportion of mild-or-above </w:t>
            </w:r>
            <w:r w:rsidR="00880EC9">
              <w:t xml:space="preserve">item-level </w:t>
            </w:r>
            <w:proofErr w:type="spellStart"/>
            <w:r w:rsidR="00E97052">
              <w:t>severity</w:t>
            </w:r>
            <w:r w:rsidR="009D52A5">
              <w:rPr>
                <w:vertAlign w:val="superscript"/>
              </w:rPr>
              <w:t>a</w:t>
            </w:r>
            <w:proofErr w:type="spellEnd"/>
            <w:r w:rsidR="00F51FAF">
              <w:t xml:space="preserve"> within domains/factors</w:t>
            </w:r>
          </w:p>
        </w:tc>
      </w:tr>
      <w:tr w:rsidR="004635F6" w14:paraId="26F8CC15" w14:textId="77777777" w:rsidTr="00537F4C">
        <w:tc>
          <w:tcPr>
            <w:tcW w:w="0" w:type="auto"/>
            <w:tcBorders>
              <w:top w:val="single" w:sz="4" w:space="0" w:color="auto"/>
              <w:left w:val="nil"/>
              <w:bottom w:val="nil"/>
              <w:right w:val="nil"/>
            </w:tcBorders>
          </w:tcPr>
          <w:p w14:paraId="0784A096" w14:textId="77777777" w:rsidR="00E97052" w:rsidRDefault="00E97052" w:rsidP="00537F4C"/>
        </w:tc>
        <w:tc>
          <w:tcPr>
            <w:tcW w:w="0" w:type="auto"/>
            <w:tcBorders>
              <w:top w:val="nil"/>
              <w:left w:val="nil"/>
              <w:bottom w:val="nil"/>
              <w:right w:val="nil"/>
            </w:tcBorders>
          </w:tcPr>
          <w:p w14:paraId="061160B4" w14:textId="77777777" w:rsidR="00E97052" w:rsidRDefault="00E97052" w:rsidP="00537F4C"/>
        </w:tc>
        <w:tc>
          <w:tcPr>
            <w:tcW w:w="0" w:type="auto"/>
            <w:tcBorders>
              <w:top w:val="single" w:sz="4" w:space="0" w:color="auto"/>
              <w:left w:val="nil"/>
              <w:bottom w:val="single" w:sz="4" w:space="0" w:color="auto"/>
              <w:right w:val="nil"/>
            </w:tcBorders>
          </w:tcPr>
          <w:p w14:paraId="4E728269" w14:textId="7F8D9F35" w:rsidR="004635F6" w:rsidRDefault="00E97052" w:rsidP="004635F6">
            <w:pPr>
              <w:jc w:val="center"/>
            </w:pPr>
            <w:r>
              <w:t>Cluster 1</w:t>
            </w:r>
          </w:p>
          <w:p w14:paraId="63B7946F" w14:textId="5D2779A4" w:rsidR="00E97052" w:rsidRDefault="004635F6" w:rsidP="004635F6">
            <w:pPr>
              <w:jc w:val="center"/>
            </w:pPr>
            <w:r>
              <w:t>(Value Representation Deficit)</w:t>
            </w:r>
          </w:p>
        </w:tc>
        <w:tc>
          <w:tcPr>
            <w:tcW w:w="0" w:type="auto"/>
            <w:tcBorders>
              <w:top w:val="single" w:sz="4" w:space="0" w:color="auto"/>
              <w:left w:val="nil"/>
              <w:bottom w:val="nil"/>
              <w:right w:val="nil"/>
            </w:tcBorders>
          </w:tcPr>
          <w:p w14:paraId="14C64543" w14:textId="77777777" w:rsidR="00E97052" w:rsidRDefault="00E97052" w:rsidP="004635F6">
            <w:pPr>
              <w:jc w:val="center"/>
            </w:pPr>
          </w:p>
        </w:tc>
        <w:tc>
          <w:tcPr>
            <w:tcW w:w="0" w:type="auto"/>
            <w:tcBorders>
              <w:top w:val="single" w:sz="4" w:space="0" w:color="auto"/>
              <w:left w:val="nil"/>
              <w:bottom w:val="single" w:sz="4" w:space="0" w:color="auto"/>
              <w:right w:val="nil"/>
            </w:tcBorders>
          </w:tcPr>
          <w:p w14:paraId="155BD423" w14:textId="03C70F26" w:rsidR="00E97052" w:rsidRDefault="00E97052" w:rsidP="004635F6">
            <w:pPr>
              <w:jc w:val="center"/>
            </w:pPr>
            <w:r>
              <w:t>Cluster 2</w:t>
            </w:r>
            <w:r w:rsidR="004635F6">
              <w:t xml:space="preserve"> (Generalized Deficit)</w:t>
            </w:r>
          </w:p>
        </w:tc>
        <w:tc>
          <w:tcPr>
            <w:tcW w:w="0" w:type="auto"/>
            <w:tcBorders>
              <w:top w:val="single" w:sz="4" w:space="0" w:color="auto"/>
              <w:left w:val="nil"/>
              <w:bottom w:val="nil"/>
              <w:right w:val="nil"/>
            </w:tcBorders>
          </w:tcPr>
          <w:p w14:paraId="7EE61069" w14:textId="77777777" w:rsidR="00E97052" w:rsidRDefault="00E97052" w:rsidP="004635F6">
            <w:pPr>
              <w:jc w:val="center"/>
            </w:pPr>
          </w:p>
        </w:tc>
        <w:tc>
          <w:tcPr>
            <w:tcW w:w="0" w:type="auto"/>
            <w:tcBorders>
              <w:top w:val="single" w:sz="4" w:space="0" w:color="auto"/>
              <w:left w:val="nil"/>
              <w:bottom w:val="single" w:sz="4" w:space="0" w:color="auto"/>
              <w:right w:val="nil"/>
            </w:tcBorders>
          </w:tcPr>
          <w:p w14:paraId="266E007E" w14:textId="7721AD2F" w:rsidR="004635F6" w:rsidRDefault="00E97052" w:rsidP="004635F6">
            <w:pPr>
              <w:jc w:val="center"/>
            </w:pPr>
            <w:r>
              <w:t>Cluster 3</w:t>
            </w:r>
          </w:p>
          <w:p w14:paraId="5B109A35" w14:textId="5A6D193C" w:rsidR="00E97052" w:rsidRDefault="004635F6" w:rsidP="004635F6">
            <w:pPr>
              <w:jc w:val="center"/>
            </w:pPr>
            <w:r>
              <w:t>(Hedonic Reactivity Deficit)</w:t>
            </w:r>
          </w:p>
        </w:tc>
      </w:tr>
      <w:tr w:rsidR="004635F6" w14:paraId="013DC84A" w14:textId="77777777" w:rsidTr="00537F4C">
        <w:tc>
          <w:tcPr>
            <w:tcW w:w="0" w:type="auto"/>
            <w:tcBorders>
              <w:top w:val="nil"/>
              <w:left w:val="nil"/>
              <w:bottom w:val="nil"/>
              <w:right w:val="nil"/>
            </w:tcBorders>
          </w:tcPr>
          <w:p w14:paraId="31B9F987" w14:textId="77777777" w:rsidR="00E97052" w:rsidRDefault="00E97052" w:rsidP="00537F4C">
            <w:r>
              <w:t>Diminished Motivation and Pleasure Factor</w:t>
            </w:r>
          </w:p>
        </w:tc>
        <w:tc>
          <w:tcPr>
            <w:tcW w:w="0" w:type="auto"/>
            <w:tcBorders>
              <w:top w:val="nil"/>
              <w:left w:val="nil"/>
              <w:bottom w:val="nil"/>
              <w:right w:val="nil"/>
            </w:tcBorders>
          </w:tcPr>
          <w:p w14:paraId="46A676DA" w14:textId="77777777" w:rsidR="00E97052" w:rsidRDefault="00E97052" w:rsidP="00537F4C"/>
        </w:tc>
        <w:tc>
          <w:tcPr>
            <w:tcW w:w="0" w:type="auto"/>
            <w:tcBorders>
              <w:top w:val="single" w:sz="4" w:space="0" w:color="auto"/>
              <w:left w:val="nil"/>
              <w:bottom w:val="nil"/>
              <w:right w:val="nil"/>
            </w:tcBorders>
          </w:tcPr>
          <w:p w14:paraId="7B2A559E" w14:textId="45926EE7" w:rsidR="00E97052" w:rsidRDefault="00537F4C" w:rsidP="00537F4C">
            <w:r>
              <w:t>0.</w:t>
            </w:r>
            <w:r w:rsidR="00EE4E9B">
              <w:t>90</w:t>
            </w:r>
          </w:p>
        </w:tc>
        <w:tc>
          <w:tcPr>
            <w:tcW w:w="0" w:type="auto"/>
            <w:tcBorders>
              <w:top w:val="nil"/>
              <w:left w:val="nil"/>
              <w:bottom w:val="nil"/>
              <w:right w:val="nil"/>
            </w:tcBorders>
          </w:tcPr>
          <w:p w14:paraId="22239918" w14:textId="77777777" w:rsidR="00E97052" w:rsidRDefault="00E97052" w:rsidP="00537F4C"/>
        </w:tc>
        <w:tc>
          <w:tcPr>
            <w:tcW w:w="0" w:type="auto"/>
            <w:tcBorders>
              <w:top w:val="single" w:sz="4" w:space="0" w:color="auto"/>
              <w:left w:val="nil"/>
              <w:bottom w:val="nil"/>
              <w:right w:val="nil"/>
            </w:tcBorders>
          </w:tcPr>
          <w:p w14:paraId="4AB4E996" w14:textId="588EB20B" w:rsidR="00E97052" w:rsidRDefault="00537F4C" w:rsidP="00537F4C">
            <w:r>
              <w:t>0.</w:t>
            </w:r>
            <w:r w:rsidR="00EE4E9B">
              <w:t>97</w:t>
            </w:r>
          </w:p>
        </w:tc>
        <w:tc>
          <w:tcPr>
            <w:tcW w:w="0" w:type="auto"/>
            <w:tcBorders>
              <w:top w:val="nil"/>
              <w:left w:val="nil"/>
              <w:bottom w:val="nil"/>
              <w:right w:val="nil"/>
            </w:tcBorders>
          </w:tcPr>
          <w:p w14:paraId="1971FE5B" w14:textId="77777777" w:rsidR="00E97052" w:rsidRDefault="00E97052" w:rsidP="00537F4C"/>
        </w:tc>
        <w:tc>
          <w:tcPr>
            <w:tcW w:w="0" w:type="auto"/>
            <w:tcBorders>
              <w:top w:val="single" w:sz="4" w:space="0" w:color="auto"/>
              <w:left w:val="nil"/>
              <w:bottom w:val="nil"/>
              <w:right w:val="nil"/>
            </w:tcBorders>
          </w:tcPr>
          <w:p w14:paraId="45379AE3" w14:textId="7551446F" w:rsidR="00E97052" w:rsidRDefault="00537F4C" w:rsidP="00537F4C">
            <w:r>
              <w:t>0.</w:t>
            </w:r>
            <w:r w:rsidR="00EE4E9B">
              <w:t>85</w:t>
            </w:r>
          </w:p>
        </w:tc>
      </w:tr>
      <w:tr w:rsidR="004635F6" w14:paraId="511765BE" w14:textId="77777777" w:rsidTr="00537F4C">
        <w:tc>
          <w:tcPr>
            <w:tcW w:w="0" w:type="auto"/>
            <w:tcBorders>
              <w:top w:val="nil"/>
              <w:left w:val="nil"/>
              <w:bottom w:val="nil"/>
              <w:right w:val="nil"/>
            </w:tcBorders>
          </w:tcPr>
          <w:p w14:paraId="3A397FD9" w14:textId="77777777" w:rsidR="00E97052" w:rsidRDefault="00E97052" w:rsidP="00537F4C">
            <w:r>
              <w:t>Diminished Expression Factor</w:t>
            </w:r>
          </w:p>
        </w:tc>
        <w:tc>
          <w:tcPr>
            <w:tcW w:w="0" w:type="auto"/>
            <w:tcBorders>
              <w:top w:val="nil"/>
              <w:left w:val="nil"/>
              <w:bottom w:val="nil"/>
              <w:right w:val="nil"/>
            </w:tcBorders>
          </w:tcPr>
          <w:p w14:paraId="4AEA6DD1" w14:textId="77777777" w:rsidR="00E97052" w:rsidRDefault="00E97052" w:rsidP="00537F4C"/>
        </w:tc>
        <w:tc>
          <w:tcPr>
            <w:tcW w:w="0" w:type="auto"/>
            <w:tcBorders>
              <w:top w:val="nil"/>
              <w:left w:val="nil"/>
              <w:bottom w:val="nil"/>
              <w:right w:val="nil"/>
            </w:tcBorders>
          </w:tcPr>
          <w:p w14:paraId="1E83C2E5" w14:textId="49BB3A81" w:rsidR="00E97052" w:rsidRDefault="005724F1" w:rsidP="00537F4C">
            <w:r>
              <w:t>0.</w:t>
            </w:r>
            <w:r w:rsidR="00EE4E9B">
              <w:t>41</w:t>
            </w:r>
          </w:p>
        </w:tc>
        <w:tc>
          <w:tcPr>
            <w:tcW w:w="0" w:type="auto"/>
            <w:tcBorders>
              <w:top w:val="nil"/>
              <w:left w:val="nil"/>
              <w:bottom w:val="nil"/>
              <w:right w:val="nil"/>
            </w:tcBorders>
          </w:tcPr>
          <w:p w14:paraId="3FD8881C" w14:textId="77777777" w:rsidR="00E97052" w:rsidRDefault="00E97052" w:rsidP="00537F4C"/>
        </w:tc>
        <w:tc>
          <w:tcPr>
            <w:tcW w:w="0" w:type="auto"/>
            <w:tcBorders>
              <w:top w:val="nil"/>
              <w:left w:val="nil"/>
              <w:bottom w:val="nil"/>
              <w:right w:val="nil"/>
            </w:tcBorders>
          </w:tcPr>
          <w:p w14:paraId="70EA677F" w14:textId="2EC03B29" w:rsidR="00E97052" w:rsidRDefault="005724F1" w:rsidP="00537F4C">
            <w:r>
              <w:t>0.</w:t>
            </w:r>
            <w:r w:rsidR="00EE4E9B">
              <w:t>62</w:t>
            </w:r>
          </w:p>
        </w:tc>
        <w:tc>
          <w:tcPr>
            <w:tcW w:w="0" w:type="auto"/>
            <w:tcBorders>
              <w:top w:val="nil"/>
              <w:left w:val="nil"/>
              <w:bottom w:val="nil"/>
              <w:right w:val="nil"/>
            </w:tcBorders>
          </w:tcPr>
          <w:p w14:paraId="6B915E5B" w14:textId="77777777" w:rsidR="00E97052" w:rsidRDefault="00E97052" w:rsidP="00537F4C"/>
        </w:tc>
        <w:tc>
          <w:tcPr>
            <w:tcW w:w="0" w:type="auto"/>
            <w:tcBorders>
              <w:top w:val="nil"/>
              <w:left w:val="nil"/>
              <w:bottom w:val="nil"/>
              <w:right w:val="nil"/>
            </w:tcBorders>
          </w:tcPr>
          <w:p w14:paraId="42DDC690" w14:textId="1FAA54A3" w:rsidR="00E97052" w:rsidRDefault="005724F1" w:rsidP="00537F4C">
            <w:r>
              <w:t>0.</w:t>
            </w:r>
            <w:r w:rsidR="00EE4E9B">
              <w:t>28</w:t>
            </w:r>
          </w:p>
        </w:tc>
      </w:tr>
      <w:tr w:rsidR="004635F6" w14:paraId="147E8714" w14:textId="77777777" w:rsidTr="00537F4C">
        <w:tc>
          <w:tcPr>
            <w:tcW w:w="0" w:type="auto"/>
            <w:tcBorders>
              <w:top w:val="nil"/>
              <w:left w:val="nil"/>
              <w:bottom w:val="nil"/>
              <w:right w:val="nil"/>
            </w:tcBorders>
          </w:tcPr>
          <w:p w14:paraId="09A7054A" w14:textId="77777777" w:rsidR="00E97052" w:rsidRPr="00297C02" w:rsidRDefault="00E97052" w:rsidP="00537F4C">
            <w:r w:rsidRPr="00297C02">
              <w:t>Anhedonia</w:t>
            </w:r>
          </w:p>
        </w:tc>
        <w:tc>
          <w:tcPr>
            <w:tcW w:w="0" w:type="auto"/>
            <w:tcBorders>
              <w:top w:val="nil"/>
              <w:left w:val="nil"/>
              <w:bottom w:val="nil"/>
              <w:right w:val="nil"/>
            </w:tcBorders>
          </w:tcPr>
          <w:p w14:paraId="6782A47F" w14:textId="77777777" w:rsidR="00E97052" w:rsidRDefault="00E97052" w:rsidP="00537F4C"/>
        </w:tc>
        <w:tc>
          <w:tcPr>
            <w:tcW w:w="0" w:type="auto"/>
            <w:tcBorders>
              <w:top w:val="nil"/>
              <w:left w:val="nil"/>
              <w:bottom w:val="nil"/>
              <w:right w:val="nil"/>
            </w:tcBorders>
          </w:tcPr>
          <w:p w14:paraId="19ED9A52" w14:textId="647DA24A" w:rsidR="00E97052" w:rsidRDefault="005724F1" w:rsidP="00537F4C">
            <w:r>
              <w:t>0.4</w:t>
            </w:r>
            <w:r w:rsidR="00EE4E9B">
              <w:t>4</w:t>
            </w:r>
          </w:p>
        </w:tc>
        <w:tc>
          <w:tcPr>
            <w:tcW w:w="0" w:type="auto"/>
            <w:tcBorders>
              <w:top w:val="nil"/>
              <w:left w:val="nil"/>
              <w:bottom w:val="nil"/>
              <w:right w:val="nil"/>
            </w:tcBorders>
          </w:tcPr>
          <w:p w14:paraId="4B45EAC5" w14:textId="77777777" w:rsidR="00E97052" w:rsidRDefault="00E97052" w:rsidP="00537F4C"/>
        </w:tc>
        <w:tc>
          <w:tcPr>
            <w:tcW w:w="0" w:type="auto"/>
            <w:tcBorders>
              <w:top w:val="nil"/>
              <w:left w:val="nil"/>
              <w:bottom w:val="nil"/>
              <w:right w:val="nil"/>
            </w:tcBorders>
          </w:tcPr>
          <w:p w14:paraId="544C5D22" w14:textId="42C7F01C" w:rsidR="00E97052" w:rsidRDefault="005724F1" w:rsidP="00537F4C">
            <w:r>
              <w:t>0.</w:t>
            </w:r>
            <w:r w:rsidR="00EE4E9B">
              <w:t>62</w:t>
            </w:r>
          </w:p>
        </w:tc>
        <w:tc>
          <w:tcPr>
            <w:tcW w:w="0" w:type="auto"/>
            <w:tcBorders>
              <w:top w:val="nil"/>
              <w:left w:val="nil"/>
              <w:bottom w:val="nil"/>
              <w:right w:val="nil"/>
            </w:tcBorders>
          </w:tcPr>
          <w:p w14:paraId="109DCBD4" w14:textId="77777777" w:rsidR="00E97052" w:rsidRDefault="00E97052" w:rsidP="00537F4C"/>
        </w:tc>
        <w:tc>
          <w:tcPr>
            <w:tcW w:w="0" w:type="auto"/>
            <w:tcBorders>
              <w:top w:val="nil"/>
              <w:left w:val="nil"/>
              <w:bottom w:val="nil"/>
              <w:right w:val="nil"/>
            </w:tcBorders>
          </w:tcPr>
          <w:p w14:paraId="10A13BC4" w14:textId="0B534C59" w:rsidR="00E97052" w:rsidRDefault="005724F1" w:rsidP="00537F4C">
            <w:r>
              <w:t>0.</w:t>
            </w:r>
            <w:r w:rsidR="00EE4E9B">
              <w:t>48</w:t>
            </w:r>
          </w:p>
        </w:tc>
      </w:tr>
      <w:tr w:rsidR="004635F6" w14:paraId="6D3377F2" w14:textId="77777777" w:rsidTr="00537F4C">
        <w:tc>
          <w:tcPr>
            <w:tcW w:w="0" w:type="auto"/>
            <w:tcBorders>
              <w:top w:val="nil"/>
              <w:left w:val="nil"/>
              <w:bottom w:val="nil"/>
              <w:right w:val="nil"/>
            </w:tcBorders>
          </w:tcPr>
          <w:p w14:paraId="5510B892" w14:textId="77777777" w:rsidR="00E97052" w:rsidRPr="00297C02" w:rsidRDefault="00E97052" w:rsidP="00537F4C">
            <w:r w:rsidRPr="00297C02">
              <w:t>Asociality</w:t>
            </w:r>
          </w:p>
        </w:tc>
        <w:tc>
          <w:tcPr>
            <w:tcW w:w="0" w:type="auto"/>
            <w:tcBorders>
              <w:top w:val="nil"/>
              <w:left w:val="nil"/>
              <w:bottom w:val="nil"/>
              <w:right w:val="nil"/>
            </w:tcBorders>
          </w:tcPr>
          <w:p w14:paraId="7D859C9E" w14:textId="77777777" w:rsidR="00E97052" w:rsidRDefault="00E97052" w:rsidP="00537F4C"/>
        </w:tc>
        <w:tc>
          <w:tcPr>
            <w:tcW w:w="0" w:type="auto"/>
            <w:tcBorders>
              <w:top w:val="nil"/>
              <w:left w:val="nil"/>
              <w:bottom w:val="nil"/>
              <w:right w:val="nil"/>
            </w:tcBorders>
          </w:tcPr>
          <w:p w14:paraId="09D6429A" w14:textId="15A4B492" w:rsidR="00E97052" w:rsidRDefault="005724F1" w:rsidP="00537F4C">
            <w:r>
              <w:t>0.7</w:t>
            </w:r>
            <w:r w:rsidR="00EE4E9B">
              <w:t>7</w:t>
            </w:r>
          </w:p>
        </w:tc>
        <w:tc>
          <w:tcPr>
            <w:tcW w:w="0" w:type="auto"/>
            <w:tcBorders>
              <w:top w:val="nil"/>
              <w:left w:val="nil"/>
              <w:bottom w:val="nil"/>
              <w:right w:val="nil"/>
            </w:tcBorders>
          </w:tcPr>
          <w:p w14:paraId="7BC5C251" w14:textId="77777777" w:rsidR="00E97052" w:rsidRDefault="00E97052" w:rsidP="00537F4C"/>
        </w:tc>
        <w:tc>
          <w:tcPr>
            <w:tcW w:w="0" w:type="auto"/>
            <w:tcBorders>
              <w:top w:val="nil"/>
              <w:left w:val="nil"/>
              <w:bottom w:val="nil"/>
              <w:right w:val="nil"/>
            </w:tcBorders>
          </w:tcPr>
          <w:p w14:paraId="6CBC9C5A" w14:textId="6AB00E64" w:rsidR="00E97052" w:rsidRDefault="005724F1" w:rsidP="00537F4C">
            <w:r>
              <w:t>0.</w:t>
            </w:r>
            <w:r w:rsidR="00EE4E9B">
              <w:t>85</w:t>
            </w:r>
          </w:p>
        </w:tc>
        <w:tc>
          <w:tcPr>
            <w:tcW w:w="0" w:type="auto"/>
            <w:tcBorders>
              <w:top w:val="nil"/>
              <w:left w:val="nil"/>
              <w:bottom w:val="nil"/>
              <w:right w:val="nil"/>
            </w:tcBorders>
          </w:tcPr>
          <w:p w14:paraId="1AC71D83" w14:textId="77777777" w:rsidR="00E97052" w:rsidRDefault="00E97052" w:rsidP="00537F4C"/>
        </w:tc>
        <w:tc>
          <w:tcPr>
            <w:tcW w:w="0" w:type="auto"/>
            <w:tcBorders>
              <w:top w:val="nil"/>
              <w:left w:val="nil"/>
              <w:bottom w:val="nil"/>
              <w:right w:val="nil"/>
            </w:tcBorders>
          </w:tcPr>
          <w:p w14:paraId="63C3E4F5" w14:textId="7F250BDC" w:rsidR="00E97052" w:rsidRDefault="005724F1" w:rsidP="00537F4C">
            <w:r>
              <w:t>0.</w:t>
            </w:r>
            <w:r w:rsidR="00EE4E9B">
              <w:t>67</w:t>
            </w:r>
          </w:p>
        </w:tc>
      </w:tr>
      <w:tr w:rsidR="004635F6" w14:paraId="6F2916DE" w14:textId="77777777" w:rsidTr="00537F4C">
        <w:tc>
          <w:tcPr>
            <w:tcW w:w="0" w:type="auto"/>
            <w:tcBorders>
              <w:top w:val="nil"/>
              <w:left w:val="nil"/>
              <w:bottom w:val="nil"/>
              <w:right w:val="nil"/>
            </w:tcBorders>
          </w:tcPr>
          <w:p w14:paraId="6A8D8329" w14:textId="77777777" w:rsidR="00E97052" w:rsidRPr="00297C02" w:rsidRDefault="00E97052" w:rsidP="00537F4C">
            <w:r w:rsidRPr="00297C02">
              <w:t>Avolition</w:t>
            </w:r>
          </w:p>
        </w:tc>
        <w:tc>
          <w:tcPr>
            <w:tcW w:w="0" w:type="auto"/>
            <w:tcBorders>
              <w:top w:val="nil"/>
              <w:left w:val="nil"/>
              <w:bottom w:val="nil"/>
              <w:right w:val="nil"/>
            </w:tcBorders>
          </w:tcPr>
          <w:p w14:paraId="51EDACA9" w14:textId="77777777" w:rsidR="00E97052" w:rsidRDefault="00E97052" w:rsidP="00537F4C"/>
        </w:tc>
        <w:tc>
          <w:tcPr>
            <w:tcW w:w="0" w:type="auto"/>
            <w:tcBorders>
              <w:top w:val="nil"/>
              <w:left w:val="nil"/>
              <w:bottom w:val="nil"/>
              <w:right w:val="nil"/>
            </w:tcBorders>
          </w:tcPr>
          <w:p w14:paraId="2605B766" w14:textId="1F905DD5" w:rsidR="00E97052" w:rsidRDefault="005724F1" w:rsidP="00537F4C">
            <w:r>
              <w:t>0.48</w:t>
            </w:r>
          </w:p>
        </w:tc>
        <w:tc>
          <w:tcPr>
            <w:tcW w:w="0" w:type="auto"/>
            <w:tcBorders>
              <w:top w:val="nil"/>
              <w:left w:val="nil"/>
              <w:bottom w:val="nil"/>
              <w:right w:val="nil"/>
            </w:tcBorders>
          </w:tcPr>
          <w:p w14:paraId="44597C07" w14:textId="77777777" w:rsidR="00E97052" w:rsidRDefault="00E97052" w:rsidP="00537F4C"/>
        </w:tc>
        <w:tc>
          <w:tcPr>
            <w:tcW w:w="0" w:type="auto"/>
            <w:tcBorders>
              <w:top w:val="nil"/>
              <w:left w:val="nil"/>
              <w:bottom w:val="nil"/>
              <w:right w:val="nil"/>
            </w:tcBorders>
          </w:tcPr>
          <w:p w14:paraId="37F7E652" w14:textId="2AB8CA23" w:rsidR="00E97052" w:rsidRDefault="005724F1" w:rsidP="00537F4C">
            <w:r>
              <w:t>0.</w:t>
            </w:r>
            <w:r w:rsidR="00EE4E9B">
              <w:t>59</w:t>
            </w:r>
          </w:p>
        </w:tc>
        <w:tc>
          <w:tcPr>
            <w:tcW w:w="0" w:type="auto"/>
            <w:tcBorders>
              <w:top w:val="nil"/>
              <w:left w:val="nil"/>
              <w:bottom w:val="nil"/>
              <w:right w:val="nil"/>
            </w:tcBorders>
          </w:tcPr>
          <w:p w14:paraId="3C4BA018" w14:textId="77777777" w:rsidR="00E97052" w:rsidRDefault="00E97052" w:rsidP="00537F4C"/>
        </w:tc>
        <w:tc>
          <w:tcPr>
            <w:tcW w:w="0" w:type="auto"/>
            <w:tcBorders>
              <w:top w:val="nil"/>
              <w:left w:val="nil"/>
              <w:bottom w:val="nil"/>
              <w:right w:val="nil"/>
            </w:tcBorders>
          </w:tcPr>
          <w:p w14:paraId="3C499D6C" w14:textId="7A6813E8" w:rsidR="00E97052" w:rsidRDefault="005724F1" w:rsidP="00537F4C">
            <w:r>
              <w:t>0.</w:t>
            </w:r>
            <w:r w:rsidR="00EE4E9B">
              <w:t>43</w:t>
            </w:r>
          </w:p>
        </w:tc>
      </w:tr>
      <w:tr w:rsidR="004635F6" w14:paraId="211D1DBF" w14:textId="77777777" w:rsidTr="00537F4C">
        <w:tc>
          <w:tcPr>
            <w:tcW w:w="0" w:type="auto"/>
            <w:tcBorders>
              <w:top w:val="nil"/>
              <w:left w:val="nil"/>
              <w:bottom w:val="nil"/>
              <w:right w:val="nil"/>
            </w:tcBorders>
          </w:tcPr>
          <w:p w14:paraId="165F2C4D" w14:textId="77777777" w:rsidR="00E97052" w:rsidRPr="00297C02" w:rsidRDefault="00E97052" w:rsidP="00537F4C">
            <w:r w:rsidRPr="00297C02">
              <w:t>Blunted Affect</w:t>
            </w:r>
          </w:p>
        </w:tc>
        <w:tc>
          <w:tcPr>
            <w:tcW w:w="0" w:type="auto"/>
            <w:tcBorders>
              <w:top w:val="nil"/>
              <w:left w:val="nil"/>
              <w:bottom w:val="nil"/>
              <w:right w:val="nil"/>
            </w:tcBorders>
          </w:tcPr>
          <w:p w14:paraId="5C333DF1" w14:textId="77777777" w:rsidR="00E97052" w:rsidRDefault="00E97052" w:rsidP="00537F4C"/>
        </w:tc>
        <w:tc>
          <w:tcPr>
            <w:tcW w:w="0" w:type="auto"/>
            <w:tcBorders>
              <w:top w:val="nil"/>
              <w:left w:val="nil"/>
              <w:bottom w:val="nil"/>
              <w:right w:val="nil"/>
            </w:tcBorders>
          </w:tcPr>
          <w:p w14:paraId="34DC3AB1" w14:textId="05D0B022" w:rsidR="00E97052" w:rsidRDefault="005724F1" w:rsidP="00537F4C">
            <w:r>
              <w:t>0.</w:t>
            </w:r>
            <w:r w:rsidR="00EE4E9B">
              <w:t>40</w:t>
            </w:r>
          </w:p>
        </w:tc>
        <w:tc>
          <w:tcPr>
            <w:tcW w:w="0" w:type="auto"/>
            <w:tcBorders>
              <w:top w:val="nil"/>
              <w:left w:val="nil"/>
              <w:bottom w:val="nil"/>
              <w:right w:val="nil"/>
            </w:tcBorders>
          </w:tcPr>
          <w:p w14:paraId="7FC4609A" w14:textId="77777777" w:rsidR="00E97052" w:rsidRDefault="00E97052" w:rsidP="00537F4C"/>
        </w:tc>
        <w:tc>
          <w:tcPr>
            <w:tcW w:w="0" w:type="auto"/>
            <w:tcBorders>
              <w:top w:val="nil"/>
              <w:left w:val="nil"/>
              <w:bottom w:val="nil"/>
              <w:right w:val="nil"/>
            </w:tcBorders>
          </w:tcPr>
          <w:p w14:paraId="2BBAFF04" w14:textId="13B19A56" w:rsidR="00E97052" w:rsidRDefault="005724F1" w:rsidP="00537F4C">
            <w:r>
              <w:t>0.</w:t>
            </w:r>
            <w:r w:rsidR="00EE4E9B">
              <w:t>62</w:t>
            </w:r>
          </w:p>
        </w:tc>
        <w:tc>
          <w:tcPr>
            <w:tcW w:w="0" w:type="auto"/>
            <w:tcBorders>
              <w:top w:val="nil"/>
              <w:left w:val="nil"/>
              <w:bottom w:val="nil"/>
              <w:right w:val="nil"/>
            </w:tcBorders>
          </w:tcPr>
          <w:p w14:paraId="3FD5F4BA" w14:textId="77777777" w:rsidR="00E97052" w:rsidRDefault="00E97052" w:rsidP="00537F4C"/>
        </w:tc>
        <w:tc>
          <w:tcPr>
            <w:tcW w:w="0" w:type="auto"/>
            <w:tcBorders>
              <w:top w:val="nil"/>
              <w:left w:val="nil"/>
              <w:bottom w:val="nil"/>
              <w:right w:val="nil"/>
            </w:tcBorders>
          </w:tcPr>
          <w:p w14:paraId="0E1A46DC" w14:textId="2D9B7DE9" w:rsidR="00E97052" w:rsidRDefault="005724F1" w:rsidP="00537F4C">
            <w:r>
              <w:t>0.</w:t>
            </w:r>
            <w:r w:rsidR="00EE4E9B">
              <w:t>28</w:t>
            </w:r>
          </w:p>
        </w:tc>
      </w:tr>
      <w:tr w:rsidR="004635F6" w14:paraId="4AAE20D4" w14:textId="77777777" w:rsidTr="00537F4C">
        <w:tc>
          <w:tcPr>
            <w:tcW w:w="0" w:type="auto"/>
            <w:tcBorders>
              <w:top w:val="nil"/>
              <w:left w:val="nil"/>
              <w:bottom w:val="single" w:sz="4" w:space="0" w:color="auto"/>
              <w:right w:val="nil"/>
            </w:tcBorders>
          </w:tcPr>
          <w:p w14:paraId="750AE839" w14:textId="77777777" w:rsidR="00E97052" w:rsidRPr="00297C02" w:rsidRDefault="00E97052" w:rsidP="00537F4C">
            <w:r w:rsidRPr="00297C02">
              <w:t>Alogia</w:t>
            </w:r>
          </w:p>
        </w:tc>
        <w:tc>
          <w:tcPr>
            <w:tcW w:w="0" w:type="auto"/>
            <w:tcBorders>
              <w:top w:val="nil"/>
              <w:left w:val="nil"/>
              <w:bottom w:val="single" w:sz="4" w:space="0" w:color="auto"/>
              <w:right w:val="nil"/>
            </w:tcBorders>
          </w:tcPr>
          <w:p w14:paraId="3E7BC99E" w14:textId="77777777" w:rsidR="00E97052" w:rsidRDefault="00E97052" w:rsidP="00537F4C"/>
        </w:tc>
        <w:tc>
          <w:tcPr>
            <w:tcW w:w="0" w:type="auto"/>
            <w:tcBorders>
              <w:top w:val="nil"/>
              <w:left w:val="nil"/>
              <w:bottom w:val="single" w:sz="4" w:space="0" w:color="auto"/>
              <w:right w:val="nil"/>
            </w:tcBorders>
          </w:tcPr>
          <w:p w14:paraId="2DF2966E" w14:textId="66F8C210" w:rsidR="00E97052" w:rsidRDefault="00E97052" w:rsidP="005724F1">
            <w:r>
              <w:t>0.</w:t>
            </w:r>
            <w:r w:rsidR="005724F1">
              <w:t>1</w:t>
            </w:r>
            <w:r w:rsidR="00EE4E9B">
              <w:t>2</w:t>
            </w:r>
          </w:p>
        </w:tc>
        <w:tc>
          <w:tcPr>
            <w:tcW w:w="0" w:type="auto"/>
            <w:tcBorders>
              <w:top w:val="nil"/>
              <w:left w:val="nil"/>
              <w:bottom w:val="single" w:sz="4" w:space="0" w:color="auto"/>
              <w:right w:val="nil"/>
            </w:tcBorders>
          </w:tcPr>
          <w:p w14:paraId="4E81C03E" w14:textId="77777777" w:rsidR="00E97052" w:rsidRDefault="00E97052" w:rsidP="00537F4C"/>
        </w:tc>
        <w:tc>
          <w:tcPr>
            <w:tcW w:w="0" w:type="auto"/>
            <w:tcBorders>
              <w:top w:val="nil"/>
              <w:left w:val="nil"/>
              <w:bottom w:val="single" w:sz="4" w:space="0" w:color="auto"/>
              <w:right w:val="nil"/>
            </w:tcBorders>
          </w:tcPr>
          <w:p w14:paraId="62B8F2E6" w14:textId="55DBB120" w:rsidR="00E97052" w:rsidRDefault="00E97052" w:rsidP="005724F1">
            <w:r>
              <w:t>0.</w:t>
            </w:r>
            <w:r w:rsidR="00EE4E9B">
              <w:t>29</w:t>
            </w:r>
          </w:p>
        </w:tc>
        <w:tc>
          <w:tcPr>
            <w:tcW w:w="0" w:type="auto"/>
            <w:tcBorders>
              <w:top w:val="nil"/>
              <w:left w:val="nil"/>
              <w:bottom w:val="single" w:sz="4" w:space="0" w:color="auto"/>
              <w:right w:val="nil"/>
            </w:tcBorders>
          </w:tcPr>
          <w:p w14:paraId="6C4B3C5E" w14:textId="77777777" w:rsidR="00E97052" w:rsidRDefault="00E97052" w:rsidP="00537F4C"/>
        </w:tc>
        <w:tc>
          <w:tcPr>
            <w:tcW w:w="0" w:type="auto"/>
            <w:tcBorders>
              <w:top w:val="nil"/>
              <w:left w:val="nil"/>
              <w:bottom w:val="single" w:sz="4" w:space="0" w:color="auto"/>
              <w:right w:val="nil"/>
            </w:tcBorders>
          </w:tcPr>
          <w:p w14:paraId="1D57C1AF" w14:textId="5672BCE5" w:rsidR="00E97052" w:rsidRDefault="005724F1" w:rsidP="00537F4C">
            <w:r>
              <w:t>0.</w:t>
            </w:r>
            <w:r w:rsidR="00EE4E9B">
              <w:t>05</w:t>
            </w:r>
          </w:p>
        </w:tc>
      </w:tr>
    </w:tbl>
    <w:p w14:paraId="6FB7C505" w14:textId="10281927" w:rsidR="009F2993" w:rsidRDefault="009D52A5" w:rsidP="00FE7612">
      <w:pPr>
        <w:rPr>
          <w:rFonts w:eastAsia="MS Gothic"/>
          <w:color w:val="000000"/>
        </w:rPr>
      </w:pPr>
      <w:proofErr w:type="spellStart"/>
      <w:r>
        <w:rPr>
          <w:vertAlign w:val="superscript"/>
        </w:rPr>
        <w:t>a</w:t>
      </w:r>
      <w:r>
        <w:t>Proportion</w:t>
      </w:r>
      <w:proofErr w:type="spellEnd"/>
      <w:r>
        <w:t xml:space="preserve"> of participants with </w:t>
      </w:r>
      <w:r w:rsidR="00880EC9">
        <w:t xml:space="preserve">item-level </w:t>
      </w:r>
      <w:r w:rsidRPr="009D52A5">
        <w:t xml:space="preserve">scores </w:t>
      </w:r>
      <w:r w:rsidRPr="009D52A5">
        <w:rPr>
          <w:rFonts w:eastAsia="MS Gothic"/>
          <w:color w:val="000000"/>
        </w:rPr>
        <w:t>≥</w:t>
      </w:r>
      <w:r>
        <w:rPr>
          <w:rFonts w:eastAsia="MS Gothic"/>
          <w:color w:val="000000"/>
        </w:rPr>
        <w:t xml:space="preserve"> 2</w:t>
      </w:r>
      <w:r w:rsidR="00EB48E7">
        <w:rPr>
          <w:rFonts w:eastAsia="MS Gothic"/>
          <w:color w:val="000000"/>
        </w:rPr>
        <w:t>.</w:t>
      </w:r>
      <w:r w:rsidR="009F2993">
        <w:rPr>
          <w:rFonts w:eastAsia="MS Gothic"/>
          <w:color w:val="000000"/>
        </w:rPr>
        <w:t xml:space="preserve"> </w:t>
      </w:r>
    </w:p>
    <w:p w14:paraId="4247FA92" w14:textId="3F3221BE" w:rsidR="006C0C6B" w:rsidRDefault="009F2993" w:rsidP="00FE7612">
      <w:pPr>
        <w:rPr>
          <w:rFonts w:eastAsia="MS Gothic"/>
          <w:color w:val="000000"/>
        </w:rPr>
      </w:pPr>
      <w:r>
        <w:rPr>
          <w:rFonts w:eastAsia="MS Gothic"/>
          <w:color w:val="000000"/>
        </w:rPr>
        <w:t>The possible severity range of NSI-PR symptom factor/domain scores is 0-5.</w:t>
      </w:r>
    </w:p>
    <w:p w14:paraId="666DCF1F" w14:textId="77777777" w:rsidR="00FE3842" w:rsidRDefault="00FE3842" w:rsidP="00FE7612">
      <w:pPr>
        <w:rPr>
          <w:rFonts w:eastAsia="MS Gothic"/>
          <w:color w:val="000000"/>
        </w:rPr>
      </w:pPr>
    </w:p>
    <w:p w14:paraId="52421E41" w14:textId="77777777" w:rsidR="00FE3842" w:rsidRDefault="00FE3842" w:rsidP="00FE7612">
      <w:pPr>
        <w:sectPr w:rsidR="00FE3842" w:rsidSect="001413D8">
          <w:headerReference w:type="even" r:id="rId7"/>
          <w:headerReference w:type="default" r:id="rId8"/>
          <w:pgSz w:w="12240" w:h="15840"/>
          <w:pgMar w:top="1440" w:right="1440" w:bottom="1440" w:left="1440" w:header="708" w:footer="708" w:gutter="0"/>
          <w:cols w:space="708"/>
          <w:docGrid w:linePitch="360"/>
        </w:sectPr>
      </w:pPr>
    </w:p>
    <w:p w14:paraId="586335BE" w14:textId="4AB31DDC" w:rsidR="00FE3842" w:rsidRPr="00FE3842" w:rsidRDefault="00FE3842" w:rsidP="00FE7612">
      <w:pPr>
        <w:rPr>
          <w:b/>
          <w:bCs/>
          <w:i/>
          <w:iCs/>
        </w:rPr>
      </w:pPr>
      <w:r w:rsidRPr="00FE3842">
        <w:rPr>
          <w:b/>
          <w:bCs/>
          <w:i/>
          <w:iCs/>
        </w:rPr>
        <w:lastRenderedPageBreak/>
        <w:t xml:space="preserve">Table S4. Cluster comparisons of negative symptom severity in </w:t>
      </w:r>
      <w:r>
        <w:rPr>
          <w:b/>
          <w:bCs/>
          <w:i/>
          <w:iCs/>
        </w:rPr>
        <w:t>the CHR group only</w:t>
      </w:r>
    </w:p>
    <w:p w14:paraId="4EDFED3E" w14:textId="77777777" w:rsidR="00FE3842" w:rsidRDefault="00FE3842" w:rsidP="00FE761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1580"/>
        <w:gridCol w:w="1663"/>
        <w:gridCol w:w="1533"/>
        <w:gridCol w:w="3502"/>
        <w:gridCol w:w="2388"/>
      </w:tblGrid>
      <w:tr w:rsidR="00FE3842" w:rsidRPr="000A66FB" w14:paraId="746D9299" w14:textId="77777777" w:rsidTr="00FE3842">
        <w:tc>
          <w:tcPr>
            <w:tcW w:w="1467" w:type="dxa"/>
            <w:tcBorders>
              <w:top w:val="single" w:sz="4" w:space="0" w:color="auto"/>
              <w:bottom w:val="single" w:sz="4" w:space="0" w:color="auto"/>
            </w:tcBorders>
          </w:tcPr>
          <w:p w14:paraId="36D67A71" w14:textId="28353AA3" w:rsidR="00FE3842" w:rsidRPr="00FE3842" w:rsidRDefault="00FE3842" w:rsidP="00FE3842">
            <w:pPr>
              <w:rPr>
                <w:sz w:val="20"/>
                <w:szCs w:val="20"/>
              </w:rPr>
            </w:pPr>
            <w:r w:rsidRPr="00FE3842">
              <w:rPr>
                <w:sz w:val="20"/>
                <w:szCs w:val="20"/>
              </w:rPr>
              <w:t>Negative symptom factor/domain</w:t>
            </w:r>
          </w:p>
        </w:tc>
        <w:tc>
          <w:tcPr>
            <w:tcW w:w="1580" w:type="dxa"/>
            <w:tcBorders>
              <w:top w:val="single" w:sz="4" w:space="0" w:color="auto"/>
              <w:bottom w:val="single" w:sz="4" w:space="0" w:color="auto"/>
            </w:tcBorders>
          </w:tcPr>
          <w:p w14:paraId="5D242501" w14:textId="267828A7" w:rsidR="00FE3842" w:rsidRPr="00FE3842" w:rsidRDefault="009F3E9C" w:rsidP="00FE3842">
            <w:pPr>
              <w:rPr>
                <w:sz w:val="20"/>
                <w:szCs w:val="20"/>
              </w:rPr>
            </w:pPr>
            <w:r>
              <w:rPr>
                <w:sz w:val="20"/>
                <w:szCs w:val="20"/>
              </w:rPr>
              <w:t>Value Representation</w:t>
            </w:r>
            <w:r w:rsidR="00FE3842" w:rsidRPr="00FE3842">
              <w:rPr>
                <w:sz w:val="20"/>
                <w:szCs w:val="20"/>
              </w:rPr>
              <w:t xml:space="preserve"> Deficit (Clus1)</w:t>
            </w:r>
          </w:p>
        </w:tc>
        <w:tc>
          <w:tcPr>
            <w:tcW w:w="1663" w:type="dxa"/>
            <w:tcBorders>
              <w:top w:val="single" w:sz="4" w:space="0" w:color="auto"/>
              <w:bottom w:val="single" w:sz="4" w:space="0" w:color="auto"/>
            </w:tcBorders>
          </w:tcPr>
          <w:p w14:paraId="4EAC7D0A" w14:textId="4F550FB3" w:rsidR="00FE3842" w:rsidRPr="008544FC" w:rsidRDefault="008544FC" w:rsidP="00FE3842">
            <w:pPr>
              <w:rPr>
                <w:sz w:val="20"/>
                <w:szCs w:val="20"/>
              </w:rPr>
            </w:pPr>
            <w:r w:rsidRPr="008544FC">
              <w:rPr>
                <w:sz w:val="20"/>
                <w:szCs w:val="20"/>
              </w:rPr>
              <w:t>Generalized Deficit (Clus2)</w:t>
            </w:r>
          </w:p>
        </w:tc>
        <w:tc>
          <w:tcPr>
            <w:tcW w:w="1533" w:type="dxa"/>
            <w:tcBorders>
              <w:top w:val="single" w:sz="4" w:space="0" w:color="auto"/>
              <w:bottom w:val="single" w:sz="4" w:space="0" w:color="auto"/>
            </w:tcBorders>
          </w:tcPr>
          <w:p w14:paraId="4A45D521" w14:textId="4AE2FA5F" w:rsidR="00FE3842" w:rsidRPr="00FE3842" w:rsidRDefault="009F3E9C" w:rsidP="00FE3842">
            <w:pPr>
              <w:rPr>
                <w:sz w:val="20"/>
                <w:szCs w:val="20"/>
              </w:rPr>
            </w:pPr>
            <w:r>
              <w:rPr>
                <w:sz w:val="20"/>
                <w:szCs w:val="20"/>
              </w:rPr>
              <w:t>Hedonic Reactivity</w:t>
            </w:r>
            <w:r w:rsidR="00FE3842" w:rsidRPr="00FE3842">
              <w:rPr>
                <w:sz w:val="20"/>
                <w:szCs w:val="20"/>
              </w:rPr>
              <w:t xml:space="preserve"> Deficit (Clus3)</w:t>
            </w:r>
          </w:p>
        </w:tc>
        <w:tc>
          <w:tcPr>
            <w:tcW w:w="3502" w:type="dxa"/>
            <w:tcBorders>
              <w:top w:val="single" w:sz="4" w:space="0" w:color="auto"/>
              <w:bottom w:val="single" w:sz="4" w:space="0" w:color="auto"/>
            </w:tcBorders>
          </w:tcPr>
          <w:p w14:paraId="740E2D6D" w14:textId="25667074" w:rsidR="00FE3842" w:rsidRPr="00FE3842" w:rsidRDefault="00FE3842" w:rsidP="00FE3842">
            <w:pPr>
              <w:rPr>
                <w:i/>
                <w:sz w:val="20"/>
                <w:szCs w:val="20"/>
              </w:rPr>
            </w:pPr>
            <w:r w:rsidRPr="00FE3842">
              <w:rPr>
                <w:sz w:val="20"/>
                <w:szCs w:val="20"/>
              </w:rPr>
              <w:t>Test Statistic</w:t>
            </w:r>
          </w:p>
        </w:tc>
        <w:tc>
          <w:tcPr>
            <w:tcW w:w="2388" w:type="dxa"/>
            <w:tcBorders>
              <w:top w:val="single" w:sz="4" w:space="0" w:color="auto"/>
              <w:bottom w:val="single" w:sz="4" w:space="0" w:color="auto"/>
            </w:tcBorders>
          </w:tcPr>
          <w:p w14:paraId="5EF191A7" w14:textId="65F4D606" w:rsidR="00FE3842" w:rsidRPr="00FE3842" w:rsidRDefault="00FE3842" w:rsidP="00FE3842">
            <w:pPr>
              <w:rPr>
                <w:sz w:val="20"/>
                <w:szCs w:val="20"/>
              </w:rPr>
            </w:pPr>
            <w:r w:rsidRPr="00FE3842">
              <w:rPr>
                <w:sz w:val="20"/>
                <w:szCs w:val="20"/>
              </w:rPr>
              <w:t>Significant Pairwise Differences</w:t>
            </w:r>
          </w:p>
        </w:tc>
      </w:tr>
      <w:tr w:rsidR="00FE3842" w:rsidRPr="000A66FB" w14:paraId="5FF696FE" w14:textId="77777777" w:rsidTr="00FE3842">
        <w:tc>
          <w:tcPr>
            <w:tcW w:w="1467" w:type="dxa"/>
            <w:tcBorders>
              <w:top w:val="single" w:sz="4" w:space="0" w:color="auto"/>
            </w:tcBorders>
          </w:tcPr>
          <w:p w14:paraId="50030371" w14:textId="77777777" w:rsidR="00FE3842" w:rsidRPr="00F42CBB" w:rsidRDefault="00FE3842" w:rsidP="00FE3842">
            <w:pPr>
              <w:rPr>
                <w:sz w:val="20"/>
                <w:szCs w:val="20"/>
              </w:rPr>
            </w:pPr>
            <w:r w:rsidRPr="00F42CBB">
              <w:rPr>
                <w:sz w:val="20"/>
                <w:szCs w:val="20"/>
              </w:rPr>
              <w:t>NSI-PR Diminished Motivation &amp; Pleasure Factor</w:t>
            </w:r>
          </w:p>
        </w:tc>
        <w:tc>
          <w:tcPr>
            <w:tcW w:w="1580" w:type="dxa"/>
            <w:tcBorders>
              <w:top w:val="single" w:sz="4" w:space="0" w:color="auto"/>
            </w:tcBorders>
          </w:tcPr>
          <w:p w14:paraId="1EA7D8D9" w14:textId="77777777" w:rsidR="00FE3842" w:rsidRPr="00F42CBB" w:rsidRDefault="00FE3842" w:rsidP="00FE3842">
            <w:pPr>
              <w:rPr>
                <w:sz w:val="20"/>
                <w:szCs w:val="20"/>
              </w:rPr>
            </w:pPr>
            <w:r w:rsidRPr="00F42CBB">
              <w:rPr>
                <w:sz w:val="20"/>
                <w:szCs w:val="20"/>
              </w:rPr>
              <w:t>1.58 (0.85)</w:t>
            </w:r>
          </w:p>
        </w:tc>
        <w:tc>
          <w:tcPr>
            <w:tcW w:w="1663" w:type="dxa"/>
            <w:tcBorders>
              <w:top w:val="single" w:sz="4" w:space="0" w:color="auto"/>
            </w:tcBorders>
          </w:tcPr>
          <w:p w14:paraId="2836CBA9" w14:textId="77777777" w:rsidR="00FE3842" w:rsidRPr="00F42CBB" w:rsidRDefault="00FE3842" w:rsidP="00FE3842">
            <w:pPr>
              <w:rPr>
                <w:sz w:val="20"/>
                <w:szCs w:val="20"/>
              </w:rPr>
            </w:pPr>
            <w:r w:rsidRPr="00F42CBB">
              <w:rPr>
                <w:sz w:val="20"/>
                <w:szCs w:val="20"/>
              </w:rPr>
              <w:t>2.17 (0.79)</w:t>
            </w:r>
          </w:p>
        </w:tc>
        <w:tc>
          <w:tcPr>
            <w:tcW w:w="1533" w:type="dxa"/>
            <w:tcBorders>
              <w:top w:val="single" w:sz="4" w:space="0" w:color="auto"/>
            </w:tcBorders>
          </w:tcPr>
          <w:p w14:paraId="592FC92A" w14:textId="77777777" w:rsidR="00FE3842" w:rsidRPr="00F42CBB" w:rsidRDefault="00FE3842" w:rsidP="00FE3842">
            <w:pPr>
              <w:rPr>
                <w:sz w:val="20"/>
                <w:szCs w:val="20"/>
              </w:rPr>
            </w:pPr>
            <w:r w:rsidRPr="00F42CBB">
              <w:rPr>
                <w:sz w:val="20"/>
                <w:szCs w:val="20"/>
              </w:rPr>
              <w:t>1.53 (0.79)</w:t>
            </w:r>
          </w:p>
        </w:tc>
        <w:tc>
          <w:tcPr>
            <w:tcW w:w="3502" w:type="dxa"/>
            <w:tcBorders>
              <w:top w:val="single" w:sz="4" w:space="0" w:color="auto"/>
            </w:tcBorders>
          </w:tcPr>
          <w:p w14:paraId="194547FF" w14:textId="77777777" w:rsidR="00FE3842" w:rsidRPr="00E2085C" w:rsidRDefault="00FE3842" w:rsidP="00FE3842">
            <w:pPr>
              <w:rPr>
                <w:sz w:val="20"/>
                <w:szCs w:val="20"/>
              </w:rPr>
            </w:pPr>
            <w:proofErr w:type="gramStart"/>
            <w:r w:rsidRPr="00E2085C">
              <w:rPr>
                <w:i/>
                <w:sz w:val="20"/>
                <w:szCs w:val="20"/>
              </w:rPr>
              <w:t>F</w:t>
            </w:r>
            <w:r w:rsidRPr="00E2085C">
              <w:rPr>
                <w:sz w:val="20"/>
                <w:szCs w:val="20"/>
              </w:rPr>
              <w:t>(</w:t>
            </w:r>
            <w:proofErr w:type="gramEnd"/>
            <w:r w:rsidRPr="00E2085C">
              <w:rPr>
                <w:sz w:val="20"/>
                <w:szCs w:val="20"/>
              </w:rPr>
              <w:t xml:space="preserve">2,105) = 4.15, </w:t>
            </w:r>
            <w:r w:rsidRPr="00E2085C">
              <w:rPr>
                <w:i/>
                <w:sz w:val="20"/>
                <w:szCs w:val="20"/>
              </w:rPr>
              <w:t xml:space="preserve">p </w:t>
            </w:r>
            <w:r w:rsidRPr="00E2085C">
              <w:rPr>
                <w:sz w:val="20"/>
                <w:szCs w:val="20"/>
              </w:rPr>
              <w:t xml:space="preserve"> = .018, </w:t>
            </w:r>
            <w:r w:rsidRPr="00E2085C">
              <w:rPr>
                <w:rFonts w:eastAsia="MS Gothic"/>
                <w:color w:val="000000"/>
                <w:sz w:val="20"/>
                <w:szCs w:val="20"/>
              </w:rPr>
              <w:t>η</w:t>
            </w:r>
            <w:r w:rsidRPr="00E2085C">
              <w:rPr>
                <w:rFonts w:eastAsia="MS Gothic"/>
                <w:color w:val="000000"/>
                <w:sz w:val="20"/>
                <w:szCs w:val="20"/>
                <w:vertAlign w:val="subscript"/>
              </w:rPr>
              <w:t>p</w:t>
            </w:r>
            <w:r w:rsidRPr="00E2085C">
              <w:rPr>
                <w:rFonts w:eastAsia="MS Gothic"/>
                <w:color w:val="000000"/>
                <w:sz w:val="20"/>
                <w:szCs w:val="20"/>
                <w:vertAlign w:val="superscript"/>
              </w:rPr>
              <w:t>2</w:t>
            </w:r>
            <w:r w:rsidRPr="00E2085C">
              <w:rPr>
                <w:rFonts w:eastAsia="MS Gothic"/>
                <w:color w:val="000000"/>
                <w:sz w:val="20"/>
                <w:szCs w:val="20"/>
              </w:rPr>
              <w:t xml:space="preserve"> = 0.07</w:t>
            </w:r>
          </w:p>
        </w:tc>
        <w:tc>
          <w:tcPr>
            <w:tcW w:w="2388" w:type="dxa"/>
            <w:tcBorders>
              <w:top w:val="single" w:sz="4" w:space="0" w:color="auto"/>
            </w:tcBorders>
          </w:tcPr>
          <w:p w14:paraId="11E7BF28" w14:textId="77777777" w:rsidR="00FE3842" w:rsidRPr="00E2085C" w:rsidRDefault="00FE3842" w:rsidP="00FE3842">
            <w:pPr>
              <w:rPr>
                <w:sz w:val="20"/>
                <w:szCs w:val="20"/>
              </w:rPr>
            </w:pPr>
            <w:r w:rsidRPr="00E2085C">
              <w:rPr>
                <w:sz w:val="20"/>
                <w:szCs w:val="20"/>
              </w:rPr>
              <w:t>Clus2 &gt; Clus1 (</w:t>
            </w:r>
            <w:r w:rsidRPr="00E2085C">
              <w:rPr>
                <w:i/>
                <w:sz w:val="20"/>
                <w:szCs w:val="20"/>
              </w:rPr>
              <w:t>p</w:t>
            </w:r>
            <w:r w:rsidRPr="00E2085C">
              <w:rPr>
                <w:iCs/>
                <w:sz w:val="20"/>
                <w:szCs w:val="20"/>
              </w:rPr>
              <w:t xml:space="preserve"> =</w:t>
            </w:r>
            <w:r w:rsidRPr="00E2085C">
              <w:rPr>
                <w:sz w:val="20"/>
                <w:szCs w:val="20"/>
              </w:rPr>
              <w:t xml:space="preserve"> .025)</w:t>
            </w:r>
          </w:p>
          <w:p w14:paraId="029D19E2" w14:textId="77777777" w:rsidR="00FE3842" w:rsidRPr="00E2085C" w:rsidRDefault="00FE3842" w:rsidP="00FE3842">
            <w:pPr>
              <w:rPr>
                <w:sz w:val="20"/>
                <w:szCs w:val="20"/>
              </w:rPr>
            </w:pPr>
            <w:r w:rsidRPr="00E2085C">
              <w:rPr>
                <w:sz w:val="20"/>
                <w:szCs w:val="20"/>
              </w:rPr>
              <w:t>Clus2 &gt; Clus3 (</w:t>
            </w:r>
            <w:r w:rsidRPr="00E2085C">
              <w:rPr>
                <w:i/>
                <w:sz w:val="20"/>
                <w:szCs w:val="20"/>
              </w:rPr>
              <w:t>p</w:t>
            </w:r>
            <w:r w:rsidRPr="00E2085C">
              <w:rPr>
                <w:iCs/>
                <w:sz w:val="20"/>
                <w:szCs w:val="20"/>
              </w:rPr>
              <w:t xml:space="preserve"> =</w:t>
            </w:r>
            <w:r w:rsidRPr="00E2085C">
              <w:rPr>
                <w:sz w:val="20"/>
                <w:szCs w:val="20"/>
              </w:rPr>
              <w:t xml:space="preserve"> .031)</w:t>
            </w:r>
          </w:p>
        </w:tc>
      </w:tr>
      <w:tr w:rsidR="00FE3842" w:rsidRPr="000A66FB" w14:paraId="0F2AC162" w14:textId="77777777" w:rsidTr="006338AA">
        <w:tc>
          <w:tcPr>
            <w:tcW w:w="1467" w:type="dxa"/>
          </w:tcPr>
          <w:p w14:paraId="120B6858" w14:textId="77777777" w:rsidR="00FE3842" w:rsidRPr="00F42CBB" w:rsidRDefault="00FE3842" w:rsidP="00FE3842">
            <w:pPr>
              <w:rPr>
                <w:sz w:val="20"/>
                <w:szCs w:val="20"/>
              </w:rPr>
            </w:pPr>
            <w:r w:rsidRPr="00F42CBB">
              <w:rPr>
                <w:sz w:val="20"/>
                <w:szCs w:val="20"/>
              </w:rPr>
              <w:t>NSI-PR Diminished Expression Factor</w:t>
            </w:r>
          </w:p>
        </w:tc>
        <w:tc>
          <w:tcPr>
            <w:tcW w:w="1580" w:type="dxa"/>
          </w:tcPr>
          <w:p w14:paraId="5AAEA8D2" w14:textId="77777777" w:rsidR="00FE3842" w:rsidRPr="00F42CBB" w:rsidRDefault="00FE3842" w:rsidP="00FE3842">
            <w:pPr>
              <w:rPr>
                <w:sz w:val="20"/>
                <w:szCs w:val="20"/>
              </w:rPr>
            </w:pPr>
            <w:r w:rsidRPr="00F42CBB">
              <w:rPr>
                <w:sz w:val="20"/>
                <w:szCs w:val="20"/>
              </w:rPr>
              <w:t>0.94 (1.00)</w:t>
            </w:r>
          </w:p>
        </w:tc>
        <w:tc>
          <w:tcPr>
            <w:tcW w:w="1663" w:type="dxa"/>
          </w:tcPr>
          <w:p w14:paraId="798F6A9C" w14:textId="77777777" w:rsidR="00FE3842" w:rsidRPr="00F42CBB" w:rsidRDefault="00FE3842" w:rsidP="00FE3842">
            <w:pPr>
              <w:rPr>
                <w:sz w:val="20"/>
                <w:szCs w:val="20"/>
              </w:rPr>
            </w:pPr>
            <w:r w:rsidRPr="00F42CBB">
              <w:rPr>
                <w:sz w:val="20"/>
                <w:szCs w:val="20"/>
              </w:rPr>
              <w:t>1.61 (1.38)</w:t>
            </w:r>
          </w:p>
        </w:tc>
        <w:tc>
          <w:tcPr>
            <w:tcW w:w="1533" w:type="dxa"/>
          </w:tcPr>
          <w:p w14:paraId="0DF9D936" w14:textId="77777777" w:rsidR="00FE3842" w:rsidRPr="00F42CBB" w:rsidRDefault="00FE3842" w:rsidP="00FE3842">
            <w:pPr>
              <w:rPr>
                <w:sz w:val="20"/>
                <w:szCs w:val="20"/>
              </w:rPr>
            </w:pPr>
            <w:r w:rsidRPr="00F42CBB">
              <w:rPr>
                <w:sz w:val="20"/>
                <w:szCs w:val="20"/>
              </w:rPr>
              <w:t>0.83 (1.03)</w:t>
            </w:r>
          </w:p>
        </w:tc>
        <w:tc>
          <w:tcPr>
            <w:tcW w:w="3502" w:type="dxa"/>
          </w:tcPr>
          <w:p w14:paraId="450EADE1" w14:textId="77777777" w:rsidR="00FE3842" w:rsidRPr="00C31758" w:rsidRDefault="00FE3842" w:rsidP="00FE3842">
            <w:pPr>
              <w:rPr>
                <w:sz w:val="20"/>
                <w:szCs w:val="20"/>
                <w:highlight w:val="yellow"/>
              </w:rPr>
            </w:pPr>
            <w:proofErr w:type="gramStart"/>
            <w:r w:rsidRPr="00E2085C">
              <w:rPr>
                <w:i/>
                <w:sz w:val="20"/>
                <w:szCs w:val="20"/>
              </w:rPr>
              <w:t>F</w:t>
            </w:r>
            <w:r w:rsidRPr="00E2085C">
              <w:rPr>
                <w:sz w:val="20"/>
                <w:szCs w:val="20"/>
              </w:rPr>
              <w:t>(</w:t>
            </w:r>
            <w:proofErr w:type="gramEnd"/>
            <w:r w:rsidRPr="00E2085C">
              <w:rPr>
                <w:sz w:val="20"/>
                <w:szCs w:val="20"/>
              </w:rPr>
              <w:t xml:space="preserve">2,104) = 3.27, </w:t>
            </w:r>
            <w:r w:rsidRPr="00E2085C">
              <w:rPr>
                <w:i/>
                <w:sz w:val="20"/>
                <w:szCs w:val="20"/>
              </w:rPr>
              <w:t xml:space="preserve">p </w:t>
            </w:r>
            <w:r w:rsidRPr="00E2085C">
              <w:rPr>
                <w:sz w:val="20"/>
                <w:szCs w:val="20"/>
              </w:rPr>
              <w:t xml:space="preserve"> = .042, </w:t>
            </w:r>
            <w:r w:rsidRPr="00E2085C">
              <w:rPr>
                <w:rFonts w:eastAsia="MS Gothic"/>
                <w:color w:val="000000"/>
                <w:sz w:val="20"/>
                <w:szCs w:val="20"/>
              </w:rPr>
              <w:t>η</w:t>
            </w:r>
            <w:r w:rsidRPr="00E2085C">
              <w:rPr>
                <w:rFonts w:eastAsia="MS Gothic"/>
                <w:color w:val="000000"/>
                <w:sz w:val="20"/>
                <w:szCs w:val="20"/>
                <w:vertAlign w:val="subscript"/>
              </w:rPr>
              <w:t>p</w:t>
            </w:r>
            <w:r w:rsidRPr="00E2085C">
              <w:rPr>
                <w:rFonts w:eastAsia="MS Gothic"/>
                <w:color w:val="000000"/>
                <w:sz w:val="20"/>
                <w:szCs w:val="20"/>
                <w:vertAlign w:val="superscript"/>
              </w:rPr>
              <w:t>2</w:t>
            </w:r>
            <w:r w:rsidRPr="00E2085C">
              <w:rPr>
                <w:rFonts w:eastAsia="MS Gothic"/>
                <w:color w:val="000000"/>
                <w:sz w:val="20"/>
                <w:szCs w:val="20"/>
              </w:rPr>
              <w:t xml:space="preserve"> = 0.06</w:t>
            </w:r>
          </w:p>
        </w:tc>
        <w:tc>
          <w:tcPr>
            <w:tcW w:w="2388" w:type="dxa"/>
          </w:tcPr>
          <w:p w14:paraId="5F317298" w14:textId="77777777" w:rsidR="00FE3842" w:rsidRPr="00E2085C" w:rsidRDefault="00FE3842" w:rsidP="00FE3842">
            <w:pPr>
              <w:rPr>
                <w:sz w:val="20"/>
                <w:szCs w:val="20"/>
              </w:rPr>
            </w:pPr>
            <w:r w:rsidRPr="00E2085C">
              <w:rPr>
                <w:sz w:val="20"/>
                <w:szCs w:val="20"/>
              </w:rPr>
              <w:t>Clus2 &gt; Clus1 (</w:t>
            </w:r>
            <w:r w:rsidRPr="00E2085C">
              <w:rPr>
                <w:i/>
                <w:sz w:val="20"/>
                <w:szCs w:val="20"/>
              </w:rPr>
              <w:t xml:space="preserve">p </w:t>
            </w:r>
            <w:r w:rsidRPr="00E2085C">
              <w:rPr>
                <w:iCs/>
                <w:sz w:val="20"/>
                <w:szCs w:val="20"/>
              </w:rPr>
              <w:t>=</w:t>
            </w:r>
            <w:r w:rsidRPr="00E2085C">
              <w:rPr>
                <w:sz w:val="20"/>
                <w:szCs w:val="20"/>
              </w:rPr>
              <w:t xml:space="preserve"> .071; </w:t>
            </w:r>
            <w:proofErr w:type="spellStart"/>
            <w:r w:rsidRPr="00E2085C">
              <w:rPr>
                <w:i/>
                <w:sz w:val="20"/>
                <w:szCs w:val="20"/>
              </w:rPr>
              <w:t>p</w:t>
            </w:r>
            <w:r w:rsidRPr="00E2085C">
              <w:rPr>
                <w:i/>
                <w:sz w:val="20"/>
                <w:szCs w:val="20"/>
                <w:vertAlign w:val="subscript"/>
              </w:rPr>
              <w:t>uncorrected</w:t>
            </w:r>
            <w:proofErr w:type="spellEnd"/>
            <w:r w:rsidRPr="00E2085C">
              <w:rPr>
                <w:i/>
                <w:sz w:val="20"/>
                <w:szCs w:val="20"/>
              </w:rPr>
              <w:t xml:space="preserve"> </w:t>
            </w:r>
            <w:r w:rsidRPr="00E2085C">
              <w:rPr>
                <w:sz w:val="20"/>
                <w:szCs w:val="20"/>
              </w:rPr>
              <w:t>= .024)</w:t>
            </w:r>
          </w:p>
          <w:p w14:paraId="0706139A" w14:textId="77777777" w:rsidR="00FE3842" w:rsidRPr="00C31758" w:rsidRDefault="00FE3842" w:rsidP="00FE3842">
            <w:pPr>
              <w:rPr>
                <w:sz w:val="20"/>
                <w:szCs w:val="20"/>
                <w:highlight w:val="yellow"/>
              </w:rPr>
            </w:pPr>
            <w:r w:rsidRPr="00E2085C">
              <w:rPr>
                <w:sz w:val="20"/>
                <w:szCs w:val="20"/>
              </w:rPr>
              <w:t>Clus2 &gt; Clus3 (</w:t>
            </w:r>
            <w:r w:rsidRPr="00E2085C">
              <w:rPr>
                <w:i/>
                <w:sz w:val="20"/>
                <w:szCs w:val="20"/>
              </w:rPr>
              <w:t xml:space="preserve">p </w:t>
            </w:r>
            <w:r w:rsidRPr="00E2085C">
              <w:rPr>
                <w:iCs/>
                <w:sz w:val="20"/>
                <w:szCs w:val="20"/>
              </w:rPr>
              <w:t>=</w:t>
            </w:r>
            <w:r w:rsidRPr="00E2085C">
              <w:rPr>
                <w:sz w:val="20"/>
                <w:szCs w:val="20"/>
              </w:rPr>
              <w:t xml:space="preserve"> .054; </w:t>
            </w:r>
            <w:proofErr w:type="spellStart"/>
            <w:r w:rsidRPr="00E2085C">
              <w:rPr>
                <w:i/>
                <w:sz w:val="20"/>
                <w:szCs w:val="20"/>
              </w:rPr>
              <w:t>p</w:t>
            </w:r>
            <w:r w:rsidRPr="00E2085C">
              <w:rPr>
                <w:i/>
                <w:sz w:val="20"/>
                <w:szCs w:val="20"/>
                <w:vertAlign w:val="subscript"/>
              </w:rPr>
              <w:t>uncorrected</w:t>
            </w:r>
            <w:proofErr w:type="spellEnd"/>
            <w:r w:rsidRPr="00E2085C">
              <w:rPr>
                <w:i/>
                <w:sz w:val="20"/>
                <w:szCs w:val="20"/>
              </w:rPr>
              <w:t xml:space="preserve"> </w:t>
            </w:r>
            <w:r w:rsidRPr="00E2085C">
              <w:rPr>
                <w:sz w:val="20"/>
                <w:szCs w:val="20"/>
              </w:rPr>
              <w:t>= .018)</w:t>
            </w:r>
          </w:p>
        </w:tc>
      </w:tr>
      <w:tr w:rsidR="00FE3842" w:rsidRPr="000A66FB" w14:paraId="054FB4C1" w14:textId="77777777" w:rsidTr="006338AA">
        <w:tc>
          <w:tcPr>
            <w:tcW w:w="1467" w:type="dxa"/>
          </w:tcPr>
          <w:p w14:paraId="7649762F" w14:textId="77777777" w:rsidR="00FE3842" w:rsidRPr="00F42CBB" w:rsidRDefault="00FE3842" w:rsidP="00FE3842">
            <w:pPr>
              <w:rPr>
                <w:sz w:val="20"/>
                <w:szCs w:val="20"/>
              </w:rPr>
            </w:pPr>
            <w:r w:rsidRPr="00F42CBB">
              <w:rPr>
                <w:sz w:val="20"/>
                <w:szCs w:val="20"/>
              </w:rPr>
              <w:t>Anhedonia</w:t>
            </w:r>
          </w:p>
        </w:tc>
        <w:tc>
          <w:tcPr>
            <w:tcW w:w="1580" w:type="dxa"/>
          </w:tcPr>
          <w:p w14:paraId="7B47E201" w14:textId="77777777" w:rsidR="00FE3842" w:rsidRPr="00F42CBB" w:rsidRDefault="00FE3842" w:rsidP="00FE3842">
            <w:pPr>
              <w:rPr>
                <w:sz w:val="20"/>
                <w:szCs w:val="20"/>
              </w:rPr>
            </w:pPr>
            <w:r w:rsidRPr="00F42CBB">
              <w:rPr>
                <w:sz w:val="20"/>
                <w:szCs w:val="20"/>
              </w:rPr>
              <w:t>1.19 (1.11)</w:t>
            </w:r>
          </w:p>
        </w:tc>
        <w:tc>
          <w:tcPr>
            <w:tcW w:w="1663" w:type="dxa"/>
          </w:tcPr>
          <w:p w14:paraId="0FB6472A" w14:textId="77777777" w:rsidR="00FE3842" w:rsidRPr="00F42CBB" w:rsidRDefault="00FE3842" w:rsidP="00FE3842">
            <w:pPr>
              <w:rPr>
                <w:sz w:val="20"/>
                <w:szCs w:val="20"/>
              </w:rPr>
            </w:pPr>
            <w:r w:rsidRPr="00F42CBB">
              <w:rPr>
                <w:sz w:val="20"/>
                <w:szCs w:val="20"/>
              </w:rPr>
              <w:t>1.75 (1.25)</w:t>
            </w:r>
          </w:p>
        </w:tc>
        <w:tc>
          <w:tcPr>
            <w:tcW w:w="1533" w:type="dxa"/>
          </w:tcPr>
          <w:p w14:paraId="5ED4C10A" w14:textId="77777777" w:rsidR="00FE3842" w:rsidRPr="00F42CBB" w:rsidRDefault="00FE3842" w:rsidP="00FE3842">
            <w:pPr>
              <w:rPr>
                <w:sz w:val="20"/>
                <w:szCs w:val="20"/>
              </w:rPr>
            </w:pPr>
            <w:r w:rsidRPr="00F42CBB">
              <w:rPr>
                <w:sz w:val="20"/>
                <w:szCs w:val="20"/>
              </w:rPr>
              <w:t>1.28 (0.94)</w:t>
            </w:r>
          </w:p>
        </w:tc>
        <w:tc>
          <w:tcPr>
            <w:tcW w:w="3502" w:type="dxa"/>
          </w:tcPr>
          <w:p w14:paraId="22FE91F9" w14:textId="77777777" w:rsidR="00FE3842" w:rsidRPr="00F42CBB" w:rsidRDefault="00FE3842" w:rsidP="00FE3842">
            <w:pPr>
              <w:rPr>
                <w:sz w:val="20"/>
                <w:szCs w:val="20"/>
              </w:rPr>
            </w:pPr>
            <w:proofErr w:type="gramStart"/>
            <w:r w:rsidRPr="00F42CBB">
              <w:rPr>
                <w:i/>
                <w:sz w:val="20"/>
                <w:szCs w:val="20"/>
              </w:rPr>
              <w:t>F</w:t>
            </w:r>
            <w:r w:rsidRPr="00F42CBB">
              <w:rPr>
                <w:sz w:val="20"/>
                <w:szCs w:val="20"/>
              </w:rPr>
              <w:t>(</w:t>
            </w:r>
            <w:proofErr w:type="gramEnd"/>
            <w:r w:rsidRPr="00F42CBB">
              <w:rPr>
                <w:sz w:val="20"/>
                <w:szCs w:val="20"/>
              </w:rPr>
              <w:t xml:space="preserve">2,104) = 1.81, </w:t>
            </w:r>
            <w:r w:rsidRPr="00F42CBB">
              <w:rPr>
                <w:i/>
                <w:sz w:val="20"/>
                <w:szCs w:val="20"/>
              </w:rPr>
              <w:t xml:space="preserve">p </w:t>
            </w:r>
            <w:r w:rsidRPr="00F42CBB">
              <w:rPr>
                <w:sz w:val="20"/>
                <w:szCs w:val="20"/>
              </w:rPr>
              <w:t xml:space="preserve"> = .170, </w:t>
            </w:r>
            <w:r w:rsidRPr="00F42CBB">
              <w:rPr>
                <w:rFonts w:eastAsia="MS Gothic"/>
                <w:color w:val="000000"/>
                <w:sz w:val="20"/>
                <w:szCs w:val="20"/>
              </w:rPr>
              <w:t>η</w:t>
            </w:r>
            <w:r w:rsidRPr="00F42CBB">
              <w:rPr>
                <w:rFonts w:eastAsia="MS Gothic"/>
                <w:color w:val="000000"/>
                <w:sz w:val="20"/>
                <w:szCs w:val="20"/>
                <w:vertAlign w:val="subscript"/>
              </w:rPr>
              <w:t>p</w:t>
            </w:r>
            <w:r w:rsidRPr="00F42CBB">
              <w:rPr>
                <w:rFonts w:eastAsia="MS Gothic"/>
                <w:color w:val="000000"/>
                <w:sz w:val="20"/>
                <w:szCs w:val="20"/>
                <w:vertAlign w:val="superscript"/>
              </w:rPr>
              <w:t>2</w:t>
            </w:r>
            <w:r w:rsidRPr="00F42CBB">
              <w:rPr>
                <w:rFonts w:eastAsia="MS Gothic"/>
                <w:color w:val="000000"/>
                <w:sz w:val="20"/>
                <w:szCs w:val="20"/>
              </w:rPr>
              <w:t xml:space="preserve"> = 0.03</w:t>
            </w:r>
          </w:p>
        </w:tc>
        <w:tc>
          <w:tcPr>
            <w:tcW w:w="2388" w:type="dxa"/>
          </w:tcPr>
          <w:p w14:paraId="1B32C22B" w14:textId="77777777" w:rsidR="00FE3842" w:rsidRPr="00F42CBB" w:rsidRDefault="00FE3842" w:rsidP="00FE3842">
            <w:pPr>
              <w:jc w:val="center"/>
              <w:rPr>
                <w:sz w:val="20"/>
                <w:szCs w:val="20"/>
              </w:rPr>
            </w:pPr>
            <w:r w:rsidRPr="00F42CBB">
              <w:rPr>
                <w:sz w:val="20"/>
                <w:szCs w:val="20"/>
              </w:rPr>
              <w:t>–</w:t>
            </w:r>
          </w:p>
        </w:tc>
      </w:tr>
      <w:tr w:rsidR="00FE3842" w:rsidRPr="000A66FB" w14:paraId="518F0DF5" w14:textId="77777777" w:rsidTr="006338AA">
        <w:tc>
          <w:tcPr>
            <w:tcW w:w="1467" w:type="dxa"/>
          </w:tcPr>
          <w:p w14:paraId="5DD60E61" w14:textId="77777777" w:rsidR="00FE3842" w:rsidRPr="00F42CBB" w:rsidRDefault="00FE3842" w:rsidP="00FE3842">
            <w:pPr>
              <w:rPr>
                <w:sz w:val="20"/>
                <w:szCs w:val="20"/>
              </w:rPr>
            </w:pPr>
            <w:r w:rsidRPr="00F42CBB">
              <w:rPr>
                <w:sz w:val="20"/>
                <w:szCs w:val="20"/>
              </w:rPr>
              <w:t>Asociality</w:t>
            </w:r>
          </w:p>
        </w:tc>
        <w:tc>
          <w:tcPr>
            <w:tcW w:w="1580" w:type="dxa"/>
          </w:tcPr>
          <w:p w14:paraId="77F276E7" w14:textId="77777777" w:rsidR="00FE3842" w:rsidRPr="00F42CBB" w:rsidRDefault="00FE3842" w:rsidP="00FE3842">
            <w:pPr>
              <w:rPr>
                <w:sz w:val="20"/>
                <w:szCs w:val="20"/>
              </w:rPr>
            </w:pPr>
            <w:r w:rsidRPr="00F42CBB">
              <w:rPr>
                <w:sz w:val="20"/>
                <w:szCs w:val="20"/>
              </w:rPr>
              <w:t>1.77 (0.95)</w:t>
            </w:r>
          </w:p>
        </w:tc>
        <w:tc>
          <w:tcPr>
            <w:tcW w:w="1663" w:type="dxa"/>
          </w:tcPr>
          <w:p w14:paraId="2BC869B1" w14:textId="77777777" w:rsidR="00FE3842" w:rsidRPr="00F42CBB" w:rsidRDefault="00FE3842" w:rsidP="00FE3842">
            <w:pPr>
              <w:rPr>
                <w:sz w:val="20"/>
                <w:szCs w:val="20"/>
              </w:rPr>
            </w:pPr>
            <w:r w:rsidRPr="00F42CBB">
              <w:rPr>
                <w:sz w:val="20"/>
                <w:szCs w:val="20"/>
              </w:rPr>
              <w:t>2.53 (1.03)</w:t>
            </w:r>
          </w:p>
        </w:tc>
        <w:tc>
          <w:tcPr>
            <w:tcW w:w="1533" w:type="dxa"/>
          </w:tcPr>
          <w:p w14:paraId="428B62D3" w14:textId="77777777" w:rsidR="00FE3842" w:rsidRPr="00F42CBB" w:rsidRDefault="00FE3842" w:rsidP="00FE3842">
            <w:pPr>
              <w:rPr>
                <w:sz w:val="20"/>
                <w:szCs w:val="20"/>
              </w:rPr>
            </w:pPr>
            <w:r w:rsidRPr="00F42CBB">
              <w:rPr>
                <w:sz w:val="20"/>
                <w:szCs w:val="20"/>
              </w:rPr>
              <w:t>1.62 (1.12)</w:t>
            </w:r>
          </w:p>
        </w:tc>
        <w:tc>
          <w:tcPr>
            <w:tcW w:w="3502" w:type="dxa"/>
          </w:tcPr>
          <w:p w14:paraId="785B02FA" w14:textId="77777777" w:rsidR="00FE3842" w:rsidRPr="00F42CBB" w:rsidRDefault="00FE3842" w:rsidP="00FE3842">
            <w:pPr>
              <w:rPr>
                <w:sz w:val="20"/>
                <w:szCs w:val="20"/>
              </w:rPr>
            </w:pPr>
            <w:proofErr w:type="gramStart"/>
            <w:r w:rsidRPr="00F42CBB">
              <w:rPr>
                <w:i/>
                <w:sz w:val="20"/>
                <w:szCs w:val="20"/>
              </w:rPr>
              <w:t>F</w:t>
            </w:r>
            <w:r w:rsidRPr="00F42CBB">
              <w:rPr>
                <w:sz w:val="20"/>
                <w:szCs w:val="20"/>
              </w:rPr>
              <w:t>(</w:t>
            </w:r>
            <w:proofErr w:type="gramEnd"/>
            <w:r w:rsidRPr="00F42CBB">
              <w:rPr>
                <w:sz w:val="20"/>
                <w:szCs w:val="20"/>
              </w:rPr>
              <w:t xml:space="preserve">2,105) = 4.96, </w:t>
            </w:r>
            <w:r w:rsidRPr="00F42CBB">
              <w:rPr>
                <w:i/>
                <w:sz w:val="20"/>
                <w:szCs w:val="20"/>
              </w:rPr>
              <w:t xml:space="preserve">p </w:t>
            </w:r>
            <w:r w:rsidRPr="00F42CBB">
              <w:rPr>
                <w:sz w:val="20"/>
                <w:szCs w:val="20"/>
              </w:rPr>
              <w:t xml:space="preserve"> = .009, </w:t>
            </w:r>
            <w:r w:rsidRPr="00F42CBB">
              <w:rPr>
                <w:rFonts w:eastAsia="MS Gothic"/>
                <w:color w:val="000000"/>
                <w:sz w:val="20"/>
                <w:szCs w:val="20"/>
              </w:rPr>
              <w:t>η</w:t>
            </w:r>
            <w:r w:rsidRPr="00F42CBB">
              <w:rPr>
                <w:rFonts w:eastAsia="MS Gothic"/>
                <w:color w:val="000000"/>
                <w:sz w:val="20"/>
                <w:szCs w:val="20"/>
                <w:vertAlign w:val="subscript"/>
              </w:rPr>
              <w:t>p</w:t>
            </w:r>
            <w:r w:rsidRPr="00F42CBB">
              <w:rPr>
                <w:rFonts w:eastAsia="MS Gothic"/>
                <w:color w:val="000000"/>
                <w:sz w:val="20"/>
                <w:szCs w:val="20"/>
                <w:vertAlign w:val="superscript"/>
              </w:rPr>
              <w:t>2</w:t>
            </w:r>
            <w:r w:rsidRPr="00F42CBB">
              <w:rPr>
                <w:rFonts w:eastAsia="MS Gothic"/>
                <w:color w:val="000000"/>
                <w:sz w:val="20"/>
                <w:szCs w:val="20"/>
              </w:rPr>
              <w:t xml:space="preserve"> = 0.09</w:t>
            </w:r>
          </w:p>
        </w:tc>
        <w:tc>
          <w:tcPr>
            <w:tcW w:w="2388" w:type="dxa"/>
          </w:tcPr>
          <w:p w14:paraId="568E3837" w14:textId="77777777" w:rsidR="00FE3842" w:rsidRPr="00F42CBB" w:rsidRDefault="00FE3842" w:rsidP="00FE3842">
            <w:pPr>
              <w:rPr>
                <w:sz w:val="20"/>
                <w:szCs w:val="20"/>
              </w:rPr>
            </w:pPr>
            <w:r w:rsidRPr="00F42CBB">
              <w:rPr>
                <w:sz w:val="20"/>
                <w:szCs w:val="20"/>
              </w:rPr>
              <w:t>Clus2 &gt; Clus1 (</w:t>
            </w:r>
            <w:r w:rsidRPr="00F42CBB">
              <w:rPr>
                <w:i/>
                <w:sz w:val="20"/>
                <w:szCs w:val="20"/>
              </w:rPr>
              <w:t xml:space="preserve">p </w:t>
            </w:r>
            <w:r w:rsidRPr="00F42CBB">
              <w:rPr>
                <w:sz w:val="20"/>
                <w:szCs w:val="20"/>
              </w:rPr>
              <w:t>= .020)</w:t>
            </w:r>
          </w:p>
          <w:p w14:paraId="290F7883" w14:textId="77777777" w:rsidR="00FE3842" w:rsidRPr="00C31758" w:rsidRDefault="00FE3842" w:rsidP="00FE3842">
            <w:pPr>
              <w:rPr>
                <w:sz w:val="20"/>
                <w:szCs w:val="20"/>
                <w:highlight w:val="yellow"/>
              </w:rPr>
            </w:pPr>
            <w:r w:rsidRPr="00F42CBB">
              <w:rPr>
                <w:sz w:val="20"/>
                <w:szCs w:val="20"/>
              </w:rPr>
              <w:t>Clus2 &gt; Clus3 (</w:t>
            </w:r>
            <w:r w:rsidRPr="00F42CBB">
              <w:rPr>
                <w:i/>
                <w:sz w:val="20"/>
                <w:szCs w:val="20"/>
              </w:rPr>
              <w:t xml:space="preserve">p </w:t>
            </w:r>
            <w:r w:rsidRPr="00F42CBB">
              <w:rPr>
                <w:sz w:val="20"/>
                <w:szCs w:val="20"/>
              </w:rPr>
              <w:t>= .010)</w:t>
            </w:r>
          </w:p>
        </w:tc>
      </w:tr>
      <w:tr w:rsidR="00FE3842" w:rsidRPr="000A66FB" w14:paraId="7BC03BF8" w14:textId="77777777" w:rsidTr="006338AA">
        <w:tc>
          <w:tcPr>
            <w:tcW w:w="1467" w:type="dxa"/>
          </w:tcPr>
          <w:p w14:paraId="78175E12" w14:textId="77777777" w:rsidR="00FE3842" w:rsidRPr="00F42CBB" w:rsidRDefault="00FE3842" w:rsidP="00FE3842">
            <w:pPr>
              <w:rPr>
                <w:sz w:val="20"/>
                <w:szCs w:val="20"/>
              </w:rPr>
            </w:pPr>
            <w:r w:rsidRPr="00F42CBB">
              <w:rPr>
                <w:sz w:val="20"/>
                <w:szCs w:val="20"/>
              </w:rPr>
              <w:t>Avolition</w:t>
            </w:r>
          </w:p>
        </w:tc>
        <w:tc>
          <w:tcPr>
            <w:tcW w:w="1580" w:type="dxa"/>
          </w:tcPr>
          <w:p w14:paraId="3380D239" w14:textId="77777777" w:rsidR="00FE3842" w:rsidRPr="00F42CBB" w:rsidRDefault="00FE3842" w:rsidP="00FE3842">
            <w:pPr>
              <w:rPr>
                <w:sz w:val="20"/>
                <w:szCs w:val="20"/>
              </w:rPr>
            </w:pPr>
            <w:r w:rsidRPr="00F42CBB">
              <w:rPr>
                <w:sz w:val="20"/>
                <w:szCs w:val="20"/>
              </w:rPr>
              <w:t>1.63 (1.08)</w:t>
            </w:r>
          </w:p>
        </w:tc>
        <w:tc>
          <w:tcPr>
            <w:tcW w:w="1663" w:type="dxa"/>
          </w:tcPr>
          <w:p w14:paraId="700DADF2" w14:textId="77777777" w:rsidR="00FE3842" w:rsidRPr="00F42CBB" w:rsidRDefault="00FE3842" w:rsidP="00FE3842">
            <w:pPr>
              <w:rPr>
                <w:sz w:val="20"/>
                <w:szCs w:val="20"/>
              </w:rPr>
            </w:pPr>
            <w:r w:rsidRPr="00F42CBB">
              <w:rPr>
                <w:sz w:val="20"/>
                <w:szCs w:val="20"/>
              </w:rPr>
              <w:t>2.06 (0.86)</w:t>
            </w:r>
          </w:p>
        </w:tc>
        <w:tc>
          <w:tcPr>
            <w:tcW w:w="1533" w:type="dxa"/>
          </w:tcPr>
          <w:p w14:paraId="57D70391" w14:textId="77777777" w:rsidR="00FE3842" w:rsidRPr="00F42CBB" w:rsidRDefault="00FE3842" w:rsidP="00FE3842">
            <w:pPr>
              <w:rPr>
                <w:sz w:val="20"/>
                <w:szCs w:val="20"/>
              </w:rPr>
            </w:pPr>
            <w:r w:rsidRPr="00F42CBB">
              <w:rPr>
                <w:sz w:val="20"/>
                <w:szCs w:val="20"/>
              </w:rPr>
              <w:t>1.62 (0.85)</w:t>
            </w:r>
          </w:p>
        </w:tc>
        <w:tc>
          <w:tcPr>
            <w:tcW w:w="3502" w:type="dxa"/>
          </w:tcPr>
          <w:p w14:paraId="6EB0A5D1" w14:textId="77777777" w:rsidR="00FE3842" w:rsidRPr="00117570" w:rsidRDefault="00FE3842" w:rsidP="00FE3842">
            <w:pPr>
              <w:rPr>
                <w:sz w:val="20"/>
                <w:szCs w:val="20"/>
              </w:rPr>
            </w:pPr>
            <w:proofErr w:type="gramStart"/>
            <w:r w:rsidRPr="00117570">
              <w:rPr>
                <w:i/>
                <w:sz w:val="20"/>
                <w:szCs w:val="20"/>
              </w:rPr>
              <w:t>F</w:t>
            </w:r>
            <w:r w:rsidRPr="00117570">
              <w:rPr>
                <w:sz w:val="20"/>
                <w:szCs w:val="20"/>
              </w:rPr>
              <w:t>(</w:t>
            </w:r>
            <w:proofErr w:type="gramEnd"/>
            <w:r w:rsidRPr="00117570">
              <w:rPr>
                <w:sz w:val="20"/>
                <w:szCs w:val="20"/>
              </w:rPr>
              <w:t xml:space="preserve">2,105) = 1.42, </w:t>
            </w:r>
            <w:r w:rsidRPr="00117570">
              <w:rPr>
                <w:i/>
                <w:sz w:val="20"/>
                <w:szCs w:val="20"/>
              </w:rPr>
              <w:t xml:space="preserve">p </w:t>
            </w:r>
            <w:r w:rsidRPr="00117570">
              <w:rPr>
                <w:sz w:val="20"/>
                <w:szCs w:val="20"/>
              </w:rPr>
              <w:t xml:space="preserve"> = .246, </w:t>
            </w:r>
            <w:r w:rsidRPr="00117570">
              <w:rPr>
                <w:rFonts w:eastAsia="MS Gothic"/>
                <w:color w:val="000000"/>
                <w:sz w:val="20"/>
                <w:szCs w:val="20"/>
              </w:rPr>
              <w:t>η</w:t>
            </w:r>
            <w:r w:rsidRPr="00117570">
              <w:rPr>
                <w:rFonts w:eastAsia="MS Gothic"/>
                <w:color w:val="000000"/>
                <w:sz w:val="20"/>
                <w:szCs w:val="20"/>
                <w:vertAlign w:val="subscript"/>
              </w:rPr>
              <w:t>p</w:t>
            </w:r>
            <w:r w:rsidRPr="00117570">
              <w:rPr>
                <w:rFonts w:eastAsia="MS Gothic"/>
                <w:color w:val="000000"/>
                <w:sz w:val="20"/>
                <w:szCs w:val="20"/>
                <w:vertAlign w:val="superscript"/>
              </w:rPr>
              <w:t>2</w:t>
            </w:r>
            <w:r w:rsidRPr="00117570">
              <w:rPr>
                <w:rFonts w:eastAsia="MS Gothic"/>
                <w:color w:val="000000"/>
                <w:sz w:val="20"/>
                <w:szCs w:val="20"/>
              </w:rPr>
              <w:t xml:space="preserve"> = 0.03</w:t>
            </w:r>
          </w:p>
        </w:tc>
        <w:tc>
          <w:tcPr>
            <w:tcW w:w="2388" w:type="dxa"/>
          </w:tcPr>
          <w:p w14:paraId="09D64275" w14:textId="77777777" w:rsidR="00FE3842" w:rsidRPr="00117570" w:rsidRDefault="00FE3842" w:rsidP="00FE3842">
            <w:pPr>
              <w:jc w:val="center"/>
              <w:rPr>
                <w:sz w:val="20"/>
                <w:szCs w:val="20"/>
              </w:rPr>
            </w:pPr>
            <w:r w:rsidRPr="00117570">
              <w:rPr>
                <w:sz w:val="20"/>
                <w:szCs w:val="20"/>
              </w:rPr>
              <w:t>–</w:t>
            </w:r>
          </w:p>
        </w:tc>
      </w:tr>
      <w:tr w:rsidR="00FE3842" w:rsidRPr="000A66FB" w14:paraId="2BECCF6B" w14:textId="77777777" w:rsidTr="00FE3842">
        <w:tc>
          <w:tcPr>
            <w:tcW w:w="1467" w:type="dxa"/>
          </w:tcPr>
          <w:p w14:paraId="18C9A583" w14:textId="77777777" w:rsidR="00FE3842" w:rsidRPr="00F42CBB" w:rsidRDefault="00FE3842" w:rsidP="00FE3842">
            <w:pPr>
              <w:rPr>
                <w:sz w:val="20"/>
                <w:szCs w:val="20"/>
              </w:rPr>
            </w:pPr>
            <w:r w:rsidRPr="00F42CBB">
              <w:rPr>
                <w:sz w:val="20"/>
                <w:szCs w:val="20"/>
              </w:rPr>
              <w:t>Blunted Affect</w:t>
            </w:r>
          </w:p>
        </w:tc>
        <w:tc>
          <w:tcPr>
            <w:tcW w:w="1580" w:type="dxa"/>
          </w:tcPr>
          <w:p w14:paraId="0ADF555B" w14:textId="77777777" w:rsidR="00FE3842" w:rsidRPr="00F42CBB" w:rsidRDefault="00FE3842" w:rsidP="00FE3842">
            <w:pPr>
              <w:rPr>
                <w:sz w:val="20"/>
                <w:szCs w:val="20"/>
              </w:rPr>
            </w:pPr>
            <w:r w:rsidRPr="00F42CBB">
              <w:rPr>
                <w:sz w:val="20"/>
                <w:szCs w:val="20"/>
              </w:rPr>
              <w:t>1.08 (1.17)</w:t>
            </w:r>
          </w:p>
        </w:tc>
        <w:tc>
          <w:tcPr>
            <w:tcW w:w="1663" w:type="dxa"/>
          </w:tcPr>
          <w:p w14:paraId="34DA3177" w14:textId="77777777" w:rsidR="00FE3842" w:rsidRPr="00F42CBB" w:rsidRDefault="00FE3842" w:rsidP="00FE3842">
            <w:pPr>
              <w:rPr>
                <w:sz w:val="20"/>
                <w:szCs w:val="20"/>
              </w:rPr>
            </w:pPr>
            <w:r w:rsidRPr="00F42CBB">
              <w:rPr>
                <w:sz w:val="20"/>
                <w:szCs w:val="20"/>
              </w:rPr>
              <w:t>1.81 (1.59)</w:t>
            </w:r>
          </w:p>
        </w:tc>
        <w:tc>
          <w:tcPr>
            <w:tcW w:w="1533" w:type="dxa"/>
          </w:tcPr>
          <w:p w14:paraId="31A87EEB" w14:textId="77777777" w:rsidR="00FE3842" w:rsidRPr="00117570" w:rsidRDefault="00FE3842" w:rsidP="00FE3842">
            <w:pPr>
              <w:rPr>
                <w:sz w:val="20"/>
                <w:szCs w:val="20"/>
              </w:rPr>
            </w:pPr>
            <w:r w:rsidRPr="00117570">
              <w:rPr>
                <w:sz w:val="20"/>
                <w:szCs w:val="20"/>
              </w:rPr>
              <w:t xml:space="preserve">0.93 (1.17)  </w:t>
            </w:r>
          </w:p>
        </w:tc>
        <w:tc>
          <w:tcPr>
            <w:tcW w:w="3502" w:type="dxa"/>
          </w:tcPr>
          <w:p w14:paraId="2819CB4C" w14:textId="77777777" w:rsidR="00FE3842" w:rsidRPr="00117570" w:rsidRDefault="00FE3842" w:rsidP="00FE3842">
            <w:pPr>
              <w:rPr>
                <w:sz w:val="20"/>
                <w:szCs w:val="20"/>
              </w:rPr>
            </w:pPr>
            <w:proofErr w:type="gramStart"/>
            <w:r w:rsidRPr="00117570">
              <w:rPr>
                <w:i/>
                <w:sz w:val="20"/>
                <w:szCs w:val="20"/>
              </w:rPr>
              <w:t>F</w:t>
            </w:r>
            <w:r w:rsidRPr="00117570">
              <w:rPr>
                <w:sz w:val="20"/>
                <w:szCs w:val="20"/>
              </w:rPr>
              <w:t>(</w:t>
            </w:r>
            <w:proofErr w:type="gramEnd"/>
            <w:r w:rsidRPr="00117570">
              <w:rPr>
                <w:sz w:val="20"/>
                <w:szCs w:val="20"/>
              </w:rPr>
              <w:t xml:space="preserve">2,104) = 3.10, </w:t>
            </w:r>
            <w:r w:rsidRPr="00117570">
              <w:rPr>
                <w:i/>
                <w:sz w:val="20"/>
                <w:szCs w:val="20"/>
              </w:rPr>
              <w:t xml:space="preserve">p </w:t>
            </w:r>
            <w:r w:rsidRPr="00117570">
              <w:rPr>
                <w:sz w:val="20"/>
                <w:szCs w:val="20"/>
              </w:rPr>
              <w:t xml:space="preserve"> = .049, </w:t>
            </w:r>
            <w:r w:rsidRPr="00117570">
              <w:rPr>
                <w:rFonts w:eastAsia="MS Gothic"/>
                <w:color w:val="000000"/>
                <w:sz w:val="20"/>
                <w:szCs w:val="20"/>
              </w:rPr>
              <w:t>η</w:t>
            </w:r>
            <w:r w:rsidRPr="00117570">
              <w:rPr>
                <w:rFonts w:eastAsia="MS Gothic"/>
                <w:color w:val="000000"/>
                <w:sz w:val="20"/>
                <w:szCs w:val="20"/>
                <w:vertAlign w:val="subscript"/>
              </w:rPr>
              <w:t>p</w:t>
            </w:r>
            <w:r w:rsidRPr="00117570">
              <w:rPr>
                <w:rFonts w:eastAsia="MS Gothic"/>
                <w:color w:val="000000"/>
                <w:sz w:val="20"/>
                <w:szCs w:val="20"/>
                <w:vertAlign w:val="superscript"/>
              </w:rPr>
              <w:t>2</w:t>
            </w:r>
            <w:r w:rsidRPr="00117570">
              <w:rPr>
                <w:rFonts w:eastAsia="MS Gothic"/>
                <w:color w:val="000000"/>
                <w:sz w:val="20"/>
                <w:szCs w:val="20"/>
              </w:rPr>
              <w:t xml:space="preserve"> = 0.06</w:t>
            </w:r>
          </w:p>
        </w:tc>
        <w:tc>
          <w:tcPr>
            <w:tcW w:w="2388" w:type="dxa"/>
          </w:tcPr>
          <w:p w14:paraId="0098F8DB" w14:textId="77777777" w:rsidR="00FE3842" w:rsidRPr="009C7EF4" w:rsidRDefault="00FE3842" w:rsidP="00FE3842">
            <w:pPr>
              <w:rPr>
                <w:sz w:val="20"/>
                <w:szCs w:val="20"/>
              </w:rPr>
            </w:pPr>
            <w:r w:rsidRPr="009C7EF4">
              <w:rPr>
                <w:sz w:val="20"/>
                <w:szCs w:val="20"/>
              </w:rPr>
              <w:t>Clus2 &gt; Clus1 (</w:t>
            </w:r>
            <w:r w:rsidRPr="009C7EF4">
              <w:rPr>
                <w:i/>
                <w:sz w:val="20"/>
                <w:szCs w:val="20"/>
              </w:rPr>
              <w:t xml:space="preserve">p </w:t>
            </w:r>
            <w:r w:rsidRPr="009C7EF4">
              <w:rPr>
                <w:sz w:val="20"/>
                <w:szCs w:val="20"/>
              </w:rPr>
              <w:t xml:space="preserve">= .092; </w:t>
            </w:r>
            <w:proofErr w:type="spellStart"/>
            <w:r w:rsidRPr="009C7EF4">
              <w:rPr>
                <w:i/>
                <w:sz w:val="20"/>
                <w:szCs w:val="20"/>
              </w:rPr>
              <w:t>p</w:t>
            </w:r>
            <w:r w:rsidRPr="009C7EF4">
              <w:rPr>
                <w:i/>
                <w:sz w:val="20"/>
                <w:szCs w:val="20"/>
                <w:vertAlign w:val="subscript"/>
              </w:rPr>
              <w:t>uncorrected</w:t>
            </w:r>
            <w:proofErr w:type="spellEnd"/>
            <w:r w:rsidRPr="009C7EF4">
              <w:rPr>
                <w:i/>
                <w:sz w:val="20"/>
                <w:szCs w:val="20"/>
              </w:rPr>
              <w:t xml:space="preserve"> </w:t>
            </w:r>
            <w:r w:rsidRPr="009C7EF4">
              <w:rPr>
                <w:sz w:val="20"/>
                <w:szCs w:val="20"/>
              </w:rPr>
              <w:t>= .031)</w:t>
            </w:r>
          </w:p>
          <w:p w14:paraId="078F9FA9" w14:textId="77777777" w:rsidR="00FE3842" w:rsidRPr="00C31758" w:rsidRDefault="00FE3842" w:rsidP="00FE3842">
            <w:pPr>
              <w:rPr>
                <w:sz w:val="20"/>
                <w:szCs w:val="20"/>
                <w:highlight w:val="yellow"/>
              </w:rPr>
            </w:pPr>
            <w:r w:rsidRPr="009C7EF4">
              <w:rPr>
                <w:sz w:val="20"/>
                <w:szCs w:val="20"/>
              </w:rPr>
              <w:t>Clus2 &gt; Clus3 (</w:t>
            </w:r>
            <w:r w:rsidRPr="009C7EF4">
              <w:rPr>
                <w:i/>
                <w:sz w:val="20"/>
                <w:szCs w:val="20"/>
              </w:rPr>
              <w:t xml:space="preserve">p </w:t>
            </w:r>
            <w:r w:rsidRPr="009C7EF4">
              <w:rPr>
                <w:sz w:val="20"/>
                <w:szCs w:val="20"/>
              </w:rPr>
              <w:t xml:space="preserve">= .059; </w:t>
            </w:r>
            <w:proofErr w:type="spellStart"/>
            <w:r w:rsidRPr="009C7EF4">
              <w:rPr>
                <w:i/>
                <w:sz w:val="20"/>
                <w:szCs w:val="20"/>
              </w:rPr>
              <w:t>p</w:t>
            </w:r>
            <w:r w:rsidRPr="009C7EF4">
              <w:rPr>
                <w:i/>
                <w:sz w:val="20"/>
                <w:szCs w:val="20"/>
                <w:vertAlign w:val="subscript"/>
              </w:rPr>
              <w:t>uncorrected</w:t>
            </w:r>
            <w:proofErr w:type="spellEnd"/>
            <w:r w:rsidRPr="009C7EF4">
              <w:rPr>
                <w:i/>
                <w:sz w:val="20"/>
                <w:szCs w:val="20"/>
              </w:rPr>
              <w:t xml:space="preserve"> </w:t>
            </w:r>
            <w:r w:rsidRPr="009C7EF4">
              <w:rPr>
                <w:sz w:val="20"/>
                <w:szCs w:val="20"/>
              </w:rPr>
              <w:t>= .020)</w:t>
            </w:r>
          </w:p>
        </w:tc>
      </w:tr>
      <w:tr w:rsidR="00FE3842" w:rsidRPr="000A66FB" w14:paraId="2FF7ED25" w14:textId="77777777" w:rsidTr="00FE3842">
        <w:tc>
          <w:tcPr>
            <w:tcW w:w="1467" w:type="dxa"/>
            <w:tcBorders>
              <w:bottom w:val="single" w:sz="4" w:space="0" w:color="auto"/>
            </w:tcBorders>
          </w:tcPr>
          <w:p w14:paraId="36DE039E" w14:textId="77777777" w:rsidR="00FE3842" w:rsidRPr="00F42CBB" w:rsidRDefault="00FE3842" w:rsidP="00FE3842">
            <w:pPr>
              <w:rPr>
                <w:sz w:val="20"/>
                <w:szCs w:val="20"/>
              </w:rPr>
            </w:pPr>
            <w:r w:rsidRPr="00F42CBB">
              <w:rPr>
                <w:sz w:val="20"/>
                <w:szCs w:val="20"/>
              </w:rPr>
              <w:t>Alogia</w:t>
            </w:r>
          </w:p>
        </w:tc>
        <w:tc>
          <w:tcPr>
            <w:tcW w:w="1580" w:type="dxa"/>
            <w:tcBorders>
              <w:bottom w:val="single" w:sz="4" w:space="0" w:color="auto"/>
            </w:tcBorders>
          </w:tcPr>
          <w:p w14:paraId="7E3D8805" w14:textId="77777777" w:rsidR="00FE3842" w:rsidRPr="00F42CBB" w:rsidRDefault="00FE3842" w:rsidP="00FE3842">
            <w:pPr>
              <w:rPr>
                <w:sz w:val="20"/>
                <w:szCs w:val="20"/>
              </w:rPr>
            </w:pPr>
            <w:r w:rsidRPr="00F42CBB">
              <w:rPr>
                <w:sz w:val="20"/>
                <w:szCs w:val="20"/>
              </w:rPr>
              <w:t>0.53 (0.80)</w:t>
            </w:r>
          </w:p>
        </w:tc>
        <w:tc>
          <w:tcPr>
            <w:tcW w:w="1663" w:type="dxa"/>
            <w:tcBorders>
              <w:bottom w:val="single" w:sz="4" w:space="0" w:color="auto"/>
            </w:tcBorders>
          </w:tcPr>
          <w:p w14:paraId="19981238" w14:textId="77777777" w:rsidR="00FE3842" w:rsidRPr="00F42CBB" w:rsidRDefault="00FE3842" w:rsidP="00FE3842">
            <w:pPr>
              <w:rPr>
                <w:sz w:val="20"/>
                <w:szCs w:val="20"/>
              </w:rPr>
            </w:pPr>
            <w:r w:rsidRPr="00F42CBB">
              <w:rPr>
                <w:sz w:val="20"/>
                <w:szCs w:val="20"/>
              </w:rPr>
              <w:t>1.06 (1.26)</w:t>
            </w:r>
          </w:p>
        </w:tc>
        <w:tc>
          <w:tcPr>
            <w:tcW w:w="1533" w:type="dxa"/>
            <w:tcBorders>
              <w:bottom w:val="single" w:sz="4" w:space="0" w:color="auto"/>
            </w:tcBorders>
          </w:tcPr>
          <w:p w14:paraId="79FF9F1E" w14:textId="77777777" w:rsidR="00FE3842" w:rsidRPr="00F42CBB" w:rsidRDefault="00FE3842" w:rsidP="00FE3842">
            <w:pPr>
              <w:rPr>
                <w:sz w:val="20"/>
                <w:szCs w:val="20"/>
              </w:rPr>
            </w:pPr>
            <w:r w:rsidRPr="00F42CBB">
              <w:rPr>
                <w:sz w:val="20"/>
                <w:szCs w:val="20"/>
              </w:rPr>
              <w:t>0.53 (0.82)</w:t>
            </w:r>
          </w:p>
        </w:tc>
        <w:tc>
          <w:tcPr>
            <w:tcW w:w="3502" w:type="dxa"/>
            <w:tcBorders>
              <w:bottom w:val="single" w:sz="4" w:space="0" w:color="auto"/>
            </w:tcBorders>
          </w:tcPr>
          <w:p w14:paraId="5E884B9D" w14:textId="77777777" w:rsidR="00FE3842" w:rsidRPr="00C31758" w:rsidRDefault="00FE3842" w:rsidP="00FE3842">
            <w:pPr>
              <w:rPr>
                <w:sz w:val="20"/>
                <w:szCs w:val="20"/>
                <w:highlight w:val="yellow"/>
              </w:rPr>
            </w:pPr>
            <w:proofErr w:type="gramStart"/>
            <w:r w:rsidRPr="009C7EF4">
              <w:rPr>
                <w:i/>
                <w:sz w:val="20"/>
                <w:szCs w:val="20"/>
              </w:rPr>
              <w:t>F</w:t>
            </w:r>
            <w:r w:rsidRPr="009C7EF4">
              <w:rPr>
                <w:sz w:val="20"/>
                <w:szCs w:val="20"/>
              </w:rPr>
              <w:t>(</w:t>
            </w:r>
            <w:proofErr w:type="gramEnd"/>
            <w:r w:rsidRPr="009C7EF4">
              <w:rPr>
                <w:sz w:val="20"/>
                <w:szCs w:val="20"/>
              </w:rPr>
              <w:t xml:space="preserve">2,104) = 2.61, </w:t>
            </w:r>
            <w:r w:rsidRPr="009C7EF4">
              <w:rPr>
                <w:i/>
                <w:sz w:val="20"/>
                <w:szCs w:val="20"/>
              </w:rPr>
              <w:t xml:space="preserve">p </w:t>
            </w:r>
            <w:r w:rsidRPr="009C7EF4">
              <w:rPr>
                <w:sz w:val="20"/>
                <w:szCs w:val="20"/>
              </w:rPr>
              <w:t xml:space="preserve"> = .079, </w:t>
            </w:r>
            <w:r w:rsidRPr="009C7EF4">
              <w:rPr>
                <w:rFonts w:eastAsia="MS Gothic"/>
                <w:color w:val="000000"/>
                <w:sz w:val="20"/>
                <w:szCs w:val="20"/>
              </w:rPr>
              <w:t>η</w:t>
            </w:r>
            <w:r w:rsidRPr="009C7EF4">
              <w:rPr>
                <w:rFonts w:eastAsia="MS Gothic"/>
                <w:color w:val="000000"/>
                <w:sz w:val="20"/>
                <w:szCs w:val="20"/>
                <w:vertAlign w:val="subscript"/>
              </w:rPr>
              <w:t>p</w:t>
            </w:r>
            <w:r w:rsidRPr="009C7EF4">
              <w:rPr>
                <w:rFonts w:eastAsia="MS Gothic"/>
                <w:color w:val="000000"/>
                <w:sz w:val="20"/>
                <w:szCs w:val="20"/>
                <w:vertAlign w:val="superscript"/>
              </w:rPr>
              <w:t>2</w:t>
            </w:r>
            <w:r w:rsidRPr="009C7EF4">
              <w:rPr>
                <w:rFonts w:eastAsia="MS Gothic"/>
                <w:color w:val="000000"/>
                <w:sz w:val="20"/>
                <w:szCs w:val="20"/>
              </w:rPr>
              <w:t xml:space="preserve"> = 0.05</w:t>
            </w:r>
          </w:p>
        </w:tc>
        <w:tc>
          <w:tcPr>
            <w:tcW w:w="2388" w:type="dxa"/>
            <w:tcBorders>
              <w:bottom w:val="single" w:sz="4" w:space="0" w:color="auto"/>
            </w:tcBorders>
          </w:tcPr>
          <w:p w14:paraId="2DC9C0D8" w14:textId="77777777" w:rsidR="00FE3842" w:rsidRPr="00C31758" w:rsidRDefault="00FE3842" w:rsidP="00FE3842">
            <w:pPr>
              <w:jc w:val="center"/>
              <w:rPr>
                <w:sz w:val="20"/>
                <w:szCs w:val="20"/>
                <w:highlight w:val="yellow"/>
              </w:rPr>
            </w:pPr>
            <w:r w:rsidRPr="00117570">
              <w:rPr>
                <w:sz w:val="20"/>
                <w:szCs w:val="20"/>
              </w:rPr>
              <w:t>–</w:t>
            </w:r>
          </w:p>
        </w:tc>
      </w:tr>
    </w:tbl>
    <w:p w14:paraId="18CF6364" w14:textId="1C77E093" w:rsidR="00FE3842" w:rsidRDefault="00FE3842" w:rsidP="00FE7612">
      <w:pPr>
        <w:sectPr w:rsidR="00FE3842" w:rsidSect="00FE3842">
          <w:pgSz w:w="15840" w:h="12240" w:orient="landscape"/>
          <w:pgMar w:top="1440" w:right="1440" w:bottom="1440" w:left="1440" w:header="708" w:footer="708" w:gutter="0"/>
          <w:cols w:space="708"/>
          <w:docGrid w:linePitch="360"/>
        </w:sectPr>
      </w:pPr>
    </w:p>
    <w:p w14:paraId="3261F56B" w14:textId="77777777" w:rsidR="001413D8" w:rsidRPr="008B10A7" w:rsidRDefault="001413D8" w:rsidP="001413D8">
      <w:pPr>
        <w:spacing w:line="480" w:lineRule="auto"/>
        <w:rPr>
          <w:b/>
          <w:iCs/>
        </w:rPr>
      </w:pPr>
      <w:r>
        <w:rPr>
          <w:b/>
          <w:iCs/>
        </w:rPr>
        <w:lastRenderedPageBreak/>
        <w:t>Results of the cluster analysis performed without using the HC group as a reference sample</w:t>
      </w:r>
    </w:p>
    <w:p w14:paraId="7310CE81" w14:textId="6656A9AF" w:rsidR="001413D8" w:rsidRPr="00E305BC" w:rsidRDefault="001413D8" w:rsidP="001413D8">
      <w:pPr>
        <w:spacing w:line="480" w:lineRule="auto"/>
        <w:rPr>
          <w:b/>
          <w:i/>
        </w:rPr>
      </w:pPr>
      <w:r w:rsidRPr="00E305BC">
        <w:rPr>
          <w:b/>
          <w:i/>
        </w:rPr>
        <w:t>Table S</w:t>
      </w:r>
      <w:r w:rsidR="00AF49C6">
        <w:rPr>
          <w:b/>
          <w:i/>
        </w:rPr>
        <w:t>5</w:t>
      </w:r>
      <w:r w:rsidRPr="00E305BC">
        <w:rPr>
          <w:b/>
          <w:i/>
        </w:rPr>
        <w:t>. Clustering index results</w:t>
      </w:r>
      <w:r>
        <w:rPr>
          <w:b/>
          <w:i/>
        </w:rPr>
        <w:t xml:space="preserve"> (using unreferenced scores)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9"/>
      </w:tblGrid>
      <w:tr w:rsidR="001413D8" w14:paraId="591014A4" w14:textId="77777777" w:rsidTr="006338AA">
        <w:tc>
          <w:tcPr>
            <w:tcW w:w="5094" w:type="dxa"/>
            <w:tcBorders>
              <w:top w:val="single" w:sz="4" w:space="0" w:color="auto"/>
              <w:bottom w:val="single" w:sz="4" w:space="0" w:color="auto"/>
            </w:tcBorders>
          </w:tcPr>
          <w:p w14:paraId="66CF1363" w14:textId="77777777" w:rsidR="001413D8" w:rsidRDefault="001413D8" w:rsidP="006338AA">
            <w:r>
              <w:t>Number of clusters</w:t>
            </w:r>
          </w:p>
        </w:tc>
        <w:tc>
          <w:tcPr>
            <w:tcW w:w="5094" w:type="dxa"/>
            <w:tcBorders>
              <w:top w:val="single" w:sz="4" w:space="0" w:color="auto"/>
              <w:bottom w:val="single" w:sz="4" w:space="0" w:color="auto"/>
            </w:tcBorders>
          </w:tcPr>
          <w:p w14:paraId="3127A5CA" w14:textId="77777777" w:rsidR="001413D8" w:rsidRDefault="001413D8" w:rsidP="006338AA">
            <w:r>
              <w:t>Number of indices proposing this cluster solution</w:t>
            </w:r>
          </w:p>
        </w:tc>
      </w:tr>
      <w:tr w:rsidR="001413D8" w14:paraId="6DBB90AD" w14:textId="77777777" w:rsidTr="006338AA">
        <w:tc>
          <w:tcPr>
            <w:tcW w:w="5094" w:type="dxa"/>
            <w:tcBorders>
              <w:top w:val="single" w:sz="4" w:space="0" w:color="auto"/>
            </w:tcBorders>
          </w:tcPr>
          <w:p w14:paraId="58F4C4BF" w14:textId="77777777" w:rsidR="001413D8" w:rsidRDefault="001413D8" w:rsidP="006338AA">
            <w:r>
              <w:t>2</w:t>
            </w:r>
          </w:p>
        </w:tc>
        <w:tc>
          <w:tcPr>
            <w:tcW w:w="5094" w:type="dxa"/>
            <w:tcBorders>
              <w:top w:val="single" w:sz="4" w:space="0" w:color="auto"/>
            </w:tcBorders>
          </w:tcPr>
          <w:p w14:paraId="412CC62D" w14:textId="77777777" w:rsidR="001413D8" w:rsidRDefault="001413D8" w:rsidP="006338AA">
            <w:r>
              <w:t>4</w:t>
            </w:r>
          </w:p>
        </w:tc>
      </w:tr>
      <w:tr w:rsidR="001413D8" w:rsidRPr="00345C39" w14:paraId="22FDF6AB" w14:textId="77777777" w:rsidTr="006338AA">
        <w:tc>
          <w:tcPr>
            <w:tcW w:w="5094" w:type="dxa"/>
          </w:tcPr>
          <w:p w14:paraId="4FAA1F01" w14:textId="77777777" w:rsidR="001413D8" w:rsidRPr="00345C39" w:rsidRDefault="001413D8" w:rsidP="006338AA">
            <w:pPr>
              <w:rPr>
                <w:b/>
              </w:rPr>
            </w:pPr>
            <w:r w:rsidRPr="00345C39">
              <w:rPr>
                <w:b/>
              </w:rPr>
              <w:t>3</w:t>
            </w:r>
          </w:p>
        </w:tc>
        <w:tc>
          <w:tcPr>
            <w:tcW w:w="5094" w:type="dxa"/>
          </w:tcPr>
          <w:p w14:paraId="4C744167" w14:textId="77777777" w:rsidR="001413D8" w:rsidRPr="00345C39" w:rsidRDefault="001413D8" w:rsidP="006338AA">
            <w:pPr>
              <w:rPr>
                <w:b/>
              </w:rPr>
            </w:pPr>
            <w:r>
              <w:rPr>
                <w:b/>
              </w:rPr>
              <w:t>8</w:t>
            </w:r>
          </w:p>
        </w:tc>
      </w:tr>
      <w:tr w:rsidR="001413D8" w14:paraId="13B4E74C" w14:textId="77777777" w:rsidTr="006338AA">
        <w:tc>
          <w:tcPr>
            <w:tcW w:w="5094" w:type="dxa"/>
          </w:tcPr>
          <w:p w14:paraId="03ECC754" w14:textId="77777777" w:rsidR="001413D8" w:rsidRDefault="001413D8" w:rsidP="006338AA">
            <w:r>
              <w:t>4</w:t>
            </w:r>
          </w:p>
        </w:tc>
        <w:tc>
          <w:tcPr>
            <w:tcW w:w="5094" w:type="dxa"/>
          </w:tcPr>
          <w:p w14:paraId="2DA7A6C0" w14:textId="77777777" w:rsidR="001413D8" w:rsidRDefault="001413D8" w:rsidP="006338AA">
            <w:r>
              <w:t>6</w:t>
            </w:r>
          </w:p>
        </w:tc>
      </w:tr>
      <w:tr w:rsidR="001413D8" w14:paraId="64BE8684" w14:textId="77777777" w:rsidTr="006338AA">
        <w:tc>
          <w:tcPr>
            <w:tcW w:w="5094" w:type="dxa"/>
          </w:tcPr>
          <w:p w14:paraId="1E1A1665" w14:textId="77777777" w:rsidR="001413D8" w:rsidRDefault="001413D8" w:rsidP="006338AA">
            <w:r>
              <w:t>5</w:t>
            </w:r>
          </w:p>
        </w:tc>
        <w:tc>
          <w:tcPr>
            <w:tcW w:w="5094" w:type="dxa"/>
          </w:tcPr>
          <w:p w14:paraId="69D9D49D" w14:textId="77777777" w:rsidR="001413D8" w:rsidRDefault="001413D8" w:rsidP="006338AA">
            <w:r>
              <w:t>2</w:t>
            </w:r>
          </w:p>
        </w:tc>
      </w:tr>
      <w:tr w:rsidR="001413D8" w14:paraId="7A2CDF2A" w14:textId="77777777" w:rsidTr="006338AA">
        <w:tc>
          <w:tcPr>
            <w:tcW w:w="5094" w:type="dxa"/>
          </w:tcPr>
          <w:p w14:paraId="7C3B5CFA" w14:textId="77777777" w:rsidR="001413D8" w:rsidRDefault="001413D8" w:rsidP="006338AA">
            <w:r>
              <w:t>6</w:t>
            </w:r>
          </w:p>
        </w:tc>
        <w:tc>
          <w:tcPr>
            <w:tcW w:w="5094" w:type="dxa"/>
          </w:tcPr>
          <w:p w14:paraId="0C6AD9A9" w14:textId="77777777" w:rsidR="001413D8" w:rsidRDefault="001413D8" w:rsidP="006338AA">
            <w:r>
              <w:t>1</w:t>
            </w:r>
          </w:p>
        </w:tc>
      </w:tr>
      <w:tr w:rsidR="001413D8" w14:paraId="02C4479F" w14:textId="77777777" w:rsidTr="006338AA">
        <w:tc>
          <w:tcPr>
            <w:tcW w:w="5094" w:type="dxa"/>
          </w:tcPr>
          <w:p w14:paraId="267A45FF" w14:textId="77777777" w:rsidR="001413D8" w:rsidRDefault="001413D8" w:rsidP="006338AA">
            <w:r>
              <w:t>7</w:t>
            </w:r>
          </w:p>
        </w:tc>
        <w:tc>
          <w:tcPr>
            <w:tcW w:w="5094" w:type="dxa"/>
          </w:tcPr>
          <w:p w14:paraId="3BDC054E" w14:textId="77777777" w:rsidR="001413D8" w:rsidRDefault="001413D8" w:rsidP="006338AA">
            <w:r>
              <w:t>0</w:t>
            </w:r>
          </w:p>
        </w:tc>
      </w:tr>
      <w:tr w:rsidR="001413D8" w14:paraId="30877D90" w14:textId="77777777" w:rsidTr="006338AA">
        <w:tc>
          <w:tcPr>
            <w:tcW w:w="5094" w:type="dxa"/>
          </w:tcPr>
          <w:p w14:paraId="3EFC60C6" w14:textId="77777777" w:rsidR="001413D8" w:rsidRDefault="001413D8" w:rsidP="006338AA">
            <w:r>
              <w:t>8</w:t>
            </w:r>
          </w:p>
        </w:tc>
        <w:tc>
          <w:tcPr>
            <w:tcW w:w="5094" w:type="dxa"/>
          </w:tcPr>
          <w:p w14:paraId="731966BE" w14:textId="77777777" w:rsidR="001413D8" w:rsidRDefault="001413D8" w:rsidP="006338AA">
            <w:r>
              <w:t>0</w:t>
            </w:r>
          </w:p>
        </w:tc>
      </w:tr>
      <w:tr w:rsidR="001413D8" w14:paraId="0A5E995C" w14:textId="77777777" w:rsidTr="006338AA">
        <w:tc>
          <w:tcPr>
            <w:tcW w:w="5094" w:type="dxa"/>
          </w:tcPr>
          <w:p w14:paraId="58E8BE93" w14:textId="77777777" w:rsidR="001413D8" w:rsidRDefault="001413D8" w:rsidP="006338AA">
            <w:r>
              <w:t>9</w:t>
            </w:r>
          </w:p>
        </w:tc>
        <w:tc>
          <w:tcPr>
            <w:tcW w:w="5094" w:type="dxa"/>
          </w:tcPr>
          <w:p w14:paraId="73E3EF41" w14:textId="77777777" w:rsidR="001413D8" w:rsidRDefault="001413D8" w:rsidP="006338AA">
            <w:r>
              <w:t>0</w:t>
            </w:r>
          </w:p>
        </w:tc>
      </w:tr>
      <w:tr w:rsidR="001413D8" w14:paraId="79AE78AF" w14:textId="77777777" w:rsidTr="006338AA">
        <w:tc>
          <w:tcPr>
            <w:tcW w:w="5094" w:type="dxa"/>
            <w:tcBorders>
              <w:bottom w:val="single" w:sz="4" w:space="0" w:color="auto"/>
            </w:tcBorders>
          </w:tcPr>
          <w:p w14:paraId="6A2E24ED" w14:textId="77777777" w:rsidR="001413D8" w:rsidRDefault="001413D8" w:rsidP="006338AA">
            <w:r>
              <w:t>10</w:t>
            </w:r>
          </w:p>
        </w:tc>
        <w:tc>
          <w:tcPr>
            <w:tcW w:w="5094" w:type="dxa"/>
            <w:tcBorders>
              <w:bottom w:val="single" w:sz="4" w:space="0" w:color="auto"/>
            </w:tcBorders>
          </w:tcPr>
          <w:p w14:paraId="074B9562" w14:textId="77777777" w:rsidR="001413D8" w:rsidRDefault="001413D8" w:rsidP="006338AA">
            <w:r>
              <w:t>2</w:t>
            </w:r>
          </w:p>
        </w:tc>
      </w:tr>
    </w:tbl>
    <w:p w14:paraId="3558D899" w14:textId="77777777" w:rsidR="001413D8" w:rsidRDefault="001413D8" w:rsidP="001413D8">
      <w:r>
        <w:rPr>
          <w:i/>
        </w:rPr>
        <w:t>Note</w:t>
      </w:r>
      <w:r>
        <w:t>. One of the 24 examined cluster indices proposed a 1-cluster solution, which fell outside the pre-specified range of 2-10 clusters considered for analysis.</w:t>
      </w:r>
    </w:p>
    <w:p w14:paraId="2C7A2559" w14:textId="77777777" w:rsidR="001413D8" w:rsidRDefault="001413D8" w:rsidP="001413D8"/>
    <w:p w14:paraId="087F22B9" w14:textId="2D9828A3" w:rsidR="001413D8" w:rsidRPr="00671F01" w:rsidRDefault="001413D8" w:rsidP="001413D8">
      <w:pPr>
        <w:rPr>
          <w:b/>
          <w:i/>
        </w:rPr>
      </w:pPr>
      <w:r w:rsidRPr="00464825">
        <w:rPr>
          <w:b/>
          <w:i/>
        </w:rPr>
        <w:t>Cluster plot</w:t>
      </w:r>
      <w:r>
        <w:rPr>
          <w:b/>
          <w:i/>
        </w:rPr>
        <w:t xml:space="preserve"> (using unreferenced scores)</w:t>
      </w:r>
    </w:p>
    <w:p w14:paraId="0A3D6AD3" w14:textId="3DA16134" w:rsidR="00E115B1" w:rsidRPr="00E115B1" w:rsidRDefault="00E115B1" w:rsidP="001413D8">
      <w:pPr>
        <w:rPr>
          <w:b/>
          <w:bCs/>
          <w:iCs/>
        </w:rPr>
      </w:pPr>
      <w:r>
        <w:rPr>
          <w:b/>
          <w:bCs/>
          <w:iCs/>
          <w:noProof/>
        </w:rPr>
        <w:drawing>
          <wp:inline distT="0" distB="0" distL="0" distR="0" wp14:anchorId="731ADFA1" wp14:editId="0ADBB652">
            <wp:extent cx="5943600" cy="4457700"/>
            <wp:effectExtent l="0" t="0" r="0" b="0"/>
            <wp:docPr id="9712255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5507" name="Picture 971225507"/>
                    <pic:cNvPicPr/>
                  </pic:nvPicPr>
                  <pic:blipFill>
                    <a:blip r:embed="rId9"/>
                    <a:stretch>
                      <a:fillRect/>
                    </a:stretch>
                  </pic:blipFill>
                  <pic:spPr>
                    <a:xfrm>
                      <a:off x="0" y="0"/>
                      <a:ext cx="5943600" cy="4457700"/>
                    </a:xfrm>
                    <a:prstGeom prst="rect">
                      <a:avLst/>
                    </a:prstGeom>
                  </pic:spPr>
                </pic:pic>
              </a:graphicData>
            </a:graphic>
          </wp:inline>
        </w:drawing>
      </w:r>
    </w:p>
    <w:p w14:paraId="6081C575" w14:textId="0D3357E6" w:rsidR="001413D8" w:rsidRDefault="001413D8" w:rsidP="001413D8">
      <w:pPr>
        <w:sectPr w:rsidR="001413D8" w:rsidSect="001413D8">
          <w:pgSz w:w="12240" w:h="15840"/>
          <w:pgMar w:top="1440" w:right="1440" w:bottom="1440" w:left="1440" w:header="708" w:footer="708" w:gutter="0"/>
          <w:cols w:space="708"/>
          <w:docGrid w:linePitch="360"/>
        </w:sectPr>
      </w:pPr>
      <w:r w:rsidRPr="00C92521">
        <w:rPr>
          <w:b/>
          <w:bCs/>
          <w:i/>
        </w:rPr>
        <w:t>Figure S</w:t>
      </w:r>
      <w:r w:rsidR="00887420">
        <w:rPr>
          <w:b/>
          <w:bCs/>
          <w:i/>
        </w:rPr>
        <w:t>2</w:t>
      </w:r>
      <w:r w:rsidRPr="00C92521">
        <w:rPr>
          <w:b/>
          <w:bCs/>
          <w:i/>
        </w:rPr>
        <w:t>.</w:t>
      </w:r>
      <w:r>
        <w:t xml:space="preserve"> Cluster plot of 3-cluster solution in Principal Component Space</w:t>
      </w:r>
      <w:r w:rsidR="009F3E9C">
        <w:t xml:space="preserve"> </w:t>
      </w:r>
      <w:r w:rsidR="009F3E9C" w:rsidRPr="009F3E9C">
        <w:t>(from the analysis using unreferenced scores)</w:t>
      </w:r>
      <w:r>
        <w:t>. Ellipses represent E</w:t>
      </w:r>
      <w:r w:rsidRPr="00855CEB">
        <w:t xml:space="preserve">uclidean distance from the </w:t>
      </w:r>
      <w:r>
        <w:t xml:space="preserve">cluster </w:t>
      </w:r>
      <w:r w:rsidRPr="00855CEB">
        <w:t>center.</w:t>
      </w:r>
      <w:r>
        <w:t xml:space="preserve"> </w:t>
      </w:r>
    </w:p>
    <w:p w14:paraId="6D81088C" w14:textId="29D5F81D" w:rsidR="001413D8" w:rsidRDefault="00D6363C" w:rsidP="001413D8">
      <w:pPr>
        <w:widowControl w:val="0"/>
        <w:autoSpaceDE w:val="0"/>
        <w:autoSpaceDN w:val="0"/>
        <w:adjustRightInd w:val="0"/>
        <w:spacing w:after="240" w:line="280" w:lineRule="atLeast"/>
        <w:rPr>
          <w:rFonts w:ascii="Times Roman" w:hAnsi="Times Roman" w:cs="Times Roman"/>
          <w:color w:val="000000"/>
          <w:lang w:eastAsia="ja-JP"/>
        </w:rPr>
      </w:pPr>
      <w:r>
        <w:rPr>
          <w:b/>
          <w:i/>
          <w:noProof/>
        </w:rPr>
        <w:lastRenderedPageBreak/>
        <w:drawing>
          <wp:inline distT="0" distB="0" distL="0" distR="0" wp14:anchorId="771BF99E" wp14:editId="1768E993">
            <wp:extent cx="8229600" cy="4996815"/>
            <wp:effectExtent l="0" t="0" r="0" b="0"/>
            <wp:docPr id="3119552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55209" name="Picture 311955209"/>
                    <pic:cNvPicPr/>
                  </pic:nvPicPr>
                  <pic:blipFill>
                    <a:blip r:embed="rId10"/>
                    <a:stretch>
                      <a:fillRect/>
                    </a:stretch>
                  </pic:blipFill>
                  <pic:spPr>
                    <a:xfrm>
                      <a:off x="0" y="0"/>
                      <a:ext cx="8229600" cy="4996815"/>
                    </a:xfrm>
                    <a:prstGeom prst="rect">
                      <a:avLst/>
                    </a:prstGeom>
                  </pic:spPr>
                </pic:pic>
              </a:graphicData>
            </a:graphic>
          </wp:inline>
        </w:drawing>
      </w:r>
      <w:r w:rsidR="001413D8" w:rsidRPr="004214A9">
        <w:rPr>
          <w:b/>
          <w:i/>
        </w:rPr>
        <w:t xml:space="preserve">Figure </w:t>
      </w:r>
      <w:r w:rsidR="00887420">
        <w:rPr>
          <w:b/>
          <w:i/>
        </w:rPr>
        <w:t>S3</w:t>
      </w:r>
      <w:r w:rsidR="001413D8" w:rsidRPr="004214A9">
        <w:rPr>
          <w:b/>
          <w:i/>
        </w:rPr>
        <w:t>.</w:t>
      </w:r>
      <w:r w:rsidR="001413D8" w:rsidRPr="004214A9">
        <w:rPr>
          <w:b/>
        </w:rPr>
        <w:t xml:space="preserve"> Reward processing profiles of each cluster</w:t>
      </w:r>
      <w:r w:rsidR="001413D8">
        <w:rPr>
          <w:b/>
        </w:rPr>
        <w:t xml:space="preserve"> (from the analysis using</w:t>
      </w:r>
      <w:r w:rsidR="001413D8">
        <w:rPr>
          <w:b/>
          <w:i/>
        </w:rPr>
        <w:t xml:space="preserve"> </w:t>
      </w:r>
      <w:r w:rsidR="001413D8" w:rsidRPr="001413D8">
        <w:rPr>
          <w:b/>
          <w:iCs/>
        </w:rPr>
        <w:t>unreferenced scores)</w:t>
      </w:r>
      <w:r w:rsidR="001413D8" w:rsidRPr="004214A9">
        <w:rPr>
          <w:b/>
        </w:rPr>
        <w:t>.</w:t>
      </w:r>
      <w:r w:rsidR="001413D8">
        <w:t xml:space="preserve"> Clusters were characterized by a hedonic reactivity deficit (cluster 1), a more generalized deficit across reward processing domains (cluster 2), and a </w:t>
      </w:r>
      <w:r w:rsidR="0071196A">
        <w:t xml:space="preserve">value representation </w:t>
      </w:r>
      <w:r w:rsidR="001413D8">
        <w:t xml:space="preserve">deficit (cluster 3). Diamonds denote mean scores and </w:t>
      </w:r>
      <w:r w:rsidR="001413D8">
        <w:rPr>
          <w:rFonts w:ascii="Times Roman" w:hAnsi="Times Roman" w:cs="Times Roman"/>
          <w:color w:val="000000"/>
          <w:lang w:eastAsia="ja-JP"/>
        </w:rPr>
        <w:t>boxplots indicate the median and interquartile range.</w:t>
      </w:r>
      <w:r w:rsidR="000627B8">
        <w:rPr>
          <w:rFonts w:ascii="Times Roman" w:hAnsi="Times Roman" w:cs="Times Roman"/>
          <w:color w:val="000000"/>
          <w:lang w:eastAsia="ja-JP"/>
        </w:rPr>
        <w:t xml:space="preserve"> </w:t>
      </w:r>
      <w:r w:rsidR="000627B8">
        <w:t xml:space="preserve">The dotted line at </w:t>
      </w:r>
      <w:r w:rsidR="000627B8" w:rsidRPr="00BE1F1A">
        <w:rPr>
          <w:i/>
          <w:iCs/>
        </w:rPr>
        <w:t>z</w:t>
      </w:r>
      <w:r w:rsidR="000627B8">
        <w:t xml:space="preserve"> = 0 represents the mean value of healthy control reference group to which task scores were </w:t>
      </w:r>
      <w:r w:rsidR="000627B8" w:rsidRPr="00BE1F1A">
        <w:rPr>
          <w:i/>
          <w:iCs/>
        </w:rPr>
        <w:t>z</w:t>
      </w:r>
      <w:r w:rsidR="000627B8">
        <w:t>-scored.</w:t>
      </w:r>
    </w:p>
    <w:p w14:paraId="0A31C40C" w14:textId="77777777" w:rsidR="001413D8" w:rsidRDefault="001413D8" w:rsidP="001413D8">
      <w:pPr>
        <w:widowControl w:val="0"/>
        <w:autoSpaceDE w:val="0"/>
        <w:autoSpaceDN w:val="0"/>
        <w:adjustRightInd w:val="0"/>
        <w:spacing w:after="240" w:line="280" w:lineRule="atLeast"/>
        <w:rPr>
          <w:b/>
          <w:iCs/>
        </w:rPr>
        <w:sectPr w:rsidR="001413D8" w:rsidSect="001413D8">
          <w:pgSz w:w="15840" w:h="12240" w:orient="landscape"/>
          <w:pgMar w:top="1440" w:right="1440" w:bottom="1440" w:left="1440" w:header="708" w:footer="708" w:gutter="0"/>
          <w:cols w:space="708"/>
          <w:docGrid w:linePitch="360"/>
        </w:sectPr>
      </w:pPr>
    </w:p>
    <w:p w14:paraId="323AA41A" w14:textId="0ECF2402" w:rsidR="001413D8" w:rsidRDefault="001413D8" w:rsidP="001413D8">
      <w:pPr>
        <w:rPr>
          <w:b/>
          <w:bCs/>
          <w:i/>
          <w:iCs/>
        </w:rPr>
      </w:pPr>
      <w:r w:rsidRPr="00635E7F">
        <w:rPr>
          <w:b/>
          <w:bCs/>
          <w:i/>
          <w:iCs/>
        </w:rPr>
        <w:lastRenderedPageBreak/>
        <w:t>Table. S</w:t>
      </w:r>
      <w:r w:rsidR="00AF49C6">
        <w:rPr>
          <w:b/>
          <w:bCs/>
          <w:i/>
          <w:iCs/>
        </w:rPr>
        <w:t>6</w:t>
      </w:r>
      <w:r w:rsidRPr="00635E7F">
        <w:rPr>
          <w:b/>
          <w:bCs/>
          <w:i/>
          <w:iCs/>
        </w:rPr>
        <w:t>. Jaccard cluster stability scores from the clusterwise bootstrap</w:t>
      </w:r>
      <w:r>
        <w:rPr>
          <w:b/>
          <w:bCs/>
          <w:i/>
          <w:iCs/>
        </w:rPr>
        <w:t>ping</w:t>
      </w:r>
      <w:r w:rsidRPr="00635E7F">
        <w:rPr>
          <w:b/>
          <w:bCs/>
          <w:i/>
          <w:iCs/>
        </w:rPr>
        <w:t xml:space="preserve"> analysis</w:t>
      </w:r>
      <w:r>
        <w:rPr>
          <w:b/>
          <w:bCs/>
          <w:i/>
          <w:iCs/>
        </w:rPr>
        <w:t xml:space="preserve"> </w:t>
      </w:r>
      <w:r>
        <w:rPr>
          <w:b/>
          <w:i/>
        </w:rPr>
        <w:t>(using unreferenced scores)</w:t>
      </w:r>
    </w:p>
    <w:tbl>
      <w:tblPr>
        <w:tblStyle w:val="TableGrid"/>
        <w:tblW w:w="0" w:type="auto"/>
        <w:tblLook w:val="04A0" w:firstRow="1" w:lastRow="0" w:firstColumn="1" w:lastColumn="0" w:noHBand="0" w:noVBand="1"/>
      </w:tblPr>
      <w:tblGrid>
        <w:gridCol w:w="3035"/>
        <w:gridCol w:w="1925"/>
        <w:gridCol w:w="1925"/>
        <w:gridCol w:w="2045"/>
      </w:tblGrid>
      <w:tr w:rsidR="001413D8" w14:paraId="2756C33C" w14:textId="77777777" w:rsidTr="006338AA">
        <w:tc>
          <w:tcPr>
            <w:tcW w:w="0" w:type="auto"/>
          </w:tcPr>
          <w:p w14:paraId="0EB64593" w14:textId="77777777" w:rsidR="001413D8" w:rsidRDefault="001413D8" w:rsidP="006338AA"/>
        </w:tc>
        <w:tc>
          <w:tcPr>
            <w:tcW w:w="0" w:type="auto"/>
          </w:tcPr>
          <w:p w14:paraId="0197E0DD" w14:textId="56117825" w:rsidR="001413D8" w:rsidRDefault="001413D8" w:rsidP="006338AA">
            <w:r>
              <w:rPr>
                <w:bCs/>
                <w:iCs/>
              </w:rPr>
              <w:t>Cluster 1 (</w:t>
            </w:r>
            <w:r w:rsidRPr="005D56A6">
              <w:rPr>
                <w:bCs/>
                <w:i/>
              </w:rPr>
              <w:t>n</w:t>
            </w:r>
            <w:r>
              <w:rPr>
                <w:bCs/>
                <w:iCs/>
              </w:rPr>
              <w:t xml:space="preserve"> = </w:t>
            </w:r>
            <w:r w:rsidR="00B37D8C">
              <w:rPr>
                <w:bCs/>
                <w:iCs/>
              </w:rPr>
              <w:t>54</w:t>
            </w:r>
            <w:r>
              <w:rPr>
                <w:bCs/>
                <w:iCs/>
              </w:rPr>
              <w:t>)</w:t>
            </w:r>
          </w:p>
        </w:tc>
        <w:tc>
          <w:tcPr>
            <w:tcW w:w="0" w:type="auto"/>
          </w:tcPr>
          <w:p w14:paraId="3A9A2433" w14:textId="77777777" w:rsidR="001413D8" w:rsidRDefault="001413D8" w:rsidP="006338AA">
            <w:r>
              <w:rPr>
                <w:bCs/>
                <w:iCs/>
              </w:rPr>
              <w:t>Cluster 2 (</w:t>
            </w:r>
            <w:r w:rsidRPr="005D56A6">
              <w:rPr>
                <w:bCs/>
                <w:i/>
              </w:rPr>
              <w:t>n</w:t>
            </w:r>
            <w:r>
              <w:rPr>
                <w:bCs/>
                <w:iCs/>
              </w:rPr>
              <w:t xml:space="preserve"> = 35)</w:t>
            </w:r>
          </w:p>
        </w:tc>
        <w:tc>
          <w:tcPr>
            <w:tcW w:w="0" w:type="auto"/>
          </w:tcPr>
          <w:p w14:paraId="466B8EEC" w14:textId="4CA19C08" w:rsidR="001413D8" w:rsidRDefault="001413D8" w:rsidP="006338AA">
            <w:r>
              <w:rPr>
                <w:bCs/>
                <w:iCs/>
              </w:rPr>
              <w:t>Cluster 3 (</w:t>
            </w:r>
            <w:r w:rsidRPr="005D56A6">
              <w:rPr>
                <w:bCs/>
                <w:i/>
              </w:rPr>
              <w:t>n</w:t>
            </w:r>
            <w:r>
              <w:rPr>
                <w:bCs/>
                <w:iCs/>
              </w:rPr>
              <w:t xml:space="preserve"> = </w:t>
            </w:r>
            <w:r w:rsidR="00B37D8C">
              <w:rPr>
                <w:bCs/>
                <w:iCs/>
              </w:rPr>
              <w:t>109</w:t>
            </w:r>
            <w:r>
              <w:rPr>
                <w:bCs/>
                <w:iCs/>
              </w:rPr>
              <w:t>)</w:t>
            </w:r>
          </w:p>
        </w:tc>
      </w:tr>
      <w:tr w:rsidR="001413D8" w14:paraId="0D7A2916" w14:textId="77777777" w:rsidTr="006338AA">
        <w:tc>
          <w:tcPr>
            <w:tcW w:w="0" w:type="auto"/>
          </w:tcPr>
          <w:p w14:paraId="468CA3EC" w14:textId="77777777" w:rsidR="001413D8" w:rsidRDefault="001413D8" w:rsidP="006338AA">
            <w:r>
              <w:t>Jaccard cluster stability score</w:t>
            </w:r>
          </w:p>
        </w:tc>
        <w:tc>
          <w:tcPr>
            <w:tcW w:w="0" w:type="auto"/>
          </w:tcPr>
          <w:p w14:paraId="1C796762" w14:textId="69BA44E2" w:rsidR="001413D8" w:rsidRDefault="001413D8" w:rsidP="006338AA">
            <w:r>
              <w:t>0.7</w:t>
            </w:r>
            <w:r w:rsidR="006B2C40">
              <w:t>3</w:t>
            </w:r>
          </w:p>
        </w:tc>
        <w:tc>
          <w:tcPr>
            <w:tcW w:w="0" w:type="auto"/>
          </w:tcPr>
          <w:p w14:paraId="787FDB7D" w14:textId="77777777" w:rsidR="001413D8" w:rsidRDefault="001413D8" w:rsidP="006338AA">
            <w:r>
              <w:t>0.73</w:t>
            </w:r>
          </w:p>
        </w:tc>
        <w:tc>
          <w:tcPr>
            <w:tcW w:w="0" w:type="auto"/>
          </w:tcPr>
          <w:p w14:paraId="5C142FC9" w14:textId="77777777" w:rsidR="001413D8" w:rsidRDefault="001413D8" w:rsidP="006338AA">
            <w:r>
              <w:t>0.70</w:t>
            </w:r>
          </w:p>
        </w:tc>
      </w:tr>
    </w:tbl>
    <w:p w14:paraId="2286D629" w14:textId="77777777" w:rsidR="001413D8" w:rsidRPr="00635E7F" w:rsidRDefault="001413D8" w:rsidP="001413D8"/>
    <w:p w14:paraId="29D299F8" w14:textId="7B3EC7E7" w:rsidR="001413D8" w:rsidRDefault="001413D8" w:rsidP="001413D8">
      <w:pPr>
        <w:rPr>
          <w:b/>
          <w:i/>
        </w:rPr>
      </w:pPr>
      <w:r>
        <w:rPr>
          <w:b/>
          <w:i/>
        </w:rPr>
        <w:t>Table S</w:t>
      </w:r>
      <w:r w:rsidR="00AF49C6">
        <w:rPr>
          <w:b/>
          <w:i/>
        </w:rPr>
        <w:t>7</w:t>
      </w:r>
      <w:r>
        <w:rPr>
          <w:b/>
          <w:i/>
        </w:rPr>
        <w:t>. Linear discriminant analysis (LDA) classification table (using unreferenced scores)</w:t>
      </w:r>
    </w:p>
    <w:tbl>
      <w:tblPr>
        <w:tblStyle w:val="TableGrid"/>
        <w:tblW w:w="0" w:type="auto"/>
        <w:tblLook w:val="04A0" w:firstRow="1" w:lastRow="0" w:firstColumn="1" w:lastColumn="0" w:noHBand="0" w:noVBand="1"/>
      </w:tblPr>
      <w:tblGrid>
        <w:gridCol w:w="2696"/>
        <w:gridCol w:w="1090"/>
        <w:gridCol w:w="1090"/>
        <w:gridCol w:w="1090"/>
      </w:tblGrid>
      <w:tr w:rsidR="001413D8" w14:paraId="2F606D31" w14:textId="77777777" w:rsidTr="006338AA">
        <w:tc>
          <w:tcPr>
            <w:tcW w:w="0" w:type="auto"/>
            <w:vMerge w:val="restart"/>
          </w:tcPr>
          <w:p w14:paraId="0F6985FB" w14:textId="0D22EDC2" w:rsidR="001413D8" w:rsidRDefault="00A54A17" w:rsidP="006338AA">
            <w:pPr>
              <w:rPr>
                <w:bCs/>
                <w:iCs/>
              </w:rPr>
            </w:pPr>
            <w:r>
              <w:rPr>
                <w:bCs/>
                <w:iCs/>
              </w:rPr>
              <w:t>Actual cluster assignment</w:t>
            </w:r>
          </w:p>
        </w:tc>
        <w:tc>
          <w:tcPr>
            <w:tcW w:w="0" w:type="auto"/>
            <w:gridSpan w:val="3"/>
          </w:tcPr>
          <w:p w14:paraId="5E459B37" w14:textId="6AF36B67" w:rsidR="001413D8" w:rsidRDefault="00A54A17" w:rsidP="006338AA">
            <w:pPr>
              <w:jc w:val="center"/>
              <w:rPr>
                <w:bCs/>
                <w:iCs/>
              </w:rPr>
            </w:pPr>
            <w:r>
              <w:rPr>
                <w:bCs/>
                <w:iCs/>
              </w:rPr>
              <w:t>LDA predicted assignment</w:t>
            </w:r>
          </w:p>
        </w:tc>
      </w:tr>
      <w:tr w:rsidR="001413D8" w14:paraId="43CD9477" w14:textId="77777777" w:rsidTr="006338AA">
        <w:tc>
          <w:tcPr>
            <w:tcW w:w="0" w:type="auto"/>
            <w:vMerge/>
          </w:tcPr>
          <w:p w14:paraId="2149ACF8" w14:textId="77777777" w:rsidR="001413D8" w:rsidRDefault="001413D8" w:rsidP="006338AA">
            <w:pPr>
              <w:rPr>
                <w:bCs/>
                <w:iCs/>
              </w:rPr>
            </w:pPr>
          </w:p>
        </w:tc>
        <w:tc>
          <w:tcPr>
            <w:tcW w:w="0" w:type="auto"/>
          </w:tcPr>
          <w:p w14:paraId="227D7A77" w14:textId="77777777" w:rsidR="001413D8" w:rsidRDefault="001413D8" w:rsidP="006338AA">
            <w:pPr>
              <w:rPr>
                <w:bCs/>
                <w:iCs/>
              </w:rPr>
            </w:pPr>
            <w:r>
              <w:rPr>
                <w:bCs/>
                <w:iCs/>
              </w:rPr>
              <w:t>Cluster 1</w:t>
            </w:r>
          </w:p>
        </w:tc>
        <w:tc>
          <w:tcPr>
            <w:tcW w:w="0" w:type="auto"/>
          </w:tcPr>
          <w:p w14:paraId="42CFEEF0" w14:textId="77777777" w:rsidR="001413D8" w:rsidRDefault="001413D8" w:rsidP="006338AA">
            <w:pPr>
              <w:rPr>
                <w:bCs/>
                <w:iCs/>
              </w:rPr>
            </w:pPr>
            <w:r>
              <w:rPr>
                <w:bCs/>
                <w:iCs/>
              </w:rPr>
              <w:t>Cluster 2</w:t>
            </w:r>
          </w:p>
        </w:tc>
        <w:tc>
          <w:tcPr>
            <w:tcW w:w="0" w:type="auto"/>
          </w:tcPr>
          <w:p w14:paraId="3E0E4082" w14:textId="77777777" w:rsidR="001413D8" w:rsidRDefault="001413D8" w:rsidP="006338AA">
            <w:pPr>
              <w:rPr>
                <w:bCs/>
                <w:iCs/>
              </w:rPr>
            </w:pPr>
            <w:r>
              <w:rPr>
                <w:bCs/>
                <w:iCs/>
              </w:rPr>
              <w:t>Cluster 3</w:t>
            </w:r>
          </w:p>
        </w:tc>
      </w:tr>
      <w:tr w:rsidR="001413D8" w14:paraId="7B835A7D" w14:textId="77777777" w:rsidTr="006338AA">
        <w:tc>
          <w:tcPr>
            <w:tcW w:w="0" w:type="auto"/>
          </w:tcPr>
          <w:p w14:paraId="40C57FE2" w14:textId="77777777" w:rsidR="001413D8" w:rsidRDefault="001413D8" w:rsidP="006338AA">
            <w:pPr>
              <w:rPr>
                <w:bCs/>
                <w:iCs/>
              </w:rPr>
            </w:pPr>
            <w:r>
              <w:rPr>
                <w:bCs/>
                <w:iCs/>
              </w:rPr>
              <w:t>Cluster 1</w:t>
            </w:r>
          </w:p>
        </w:tc>
        <w:tc>
          <w:tcPr>
            <w:tcW w:w="0" w:type="auto"/>
          </w:tcPr>
          <w:p w14:paraId="73C7D518" w14:textId="77777777" w:rsidR="001413D8" w:rsidRDefault="001413D8" w:rsidP="006338AA">
            <w:pPr>
              <w:rPr>
                <w:bCs/>
                <w:iCs/>
              </w:rPr>
            </w:pPr>
            <w:r>
              <w:rPr>
                <w:bCs/>
                <w:iCs/>
              </w:rPr>
              <w:t>50</w:t>
            </w:r>
          </w:p>
        </w:tc>
        <w:tc>
          <w:tcPr>
            <w:tcW w:w="0" w:type="auto"/>
          </w:tcPr>
          <w:p w14:paraId="5446EB4F" w14:textId="77777777" w:rsidR="001413D8" w:rsidRDefault="001413D8" w:rsidP="006338AA">
            <w:pPr>
              <w:rPr>
                <w:bCs/>
                <w:iCs/>
              </w:rPr>
            </w:pPr>
            <w:r>
              <w:rPr>
                <w:bCs/>
                <w:iCs/>
              </w:rPr>
              <w:t>0</w:t>
            </w:r>
          </w:p>
        </w:tc>
        <w:tc>
          <w:tcPr>
            <w:tcW w:w="0" w:type="auto"/>
          </w:tcPr>
          <w:p w14:paraId="3FBE1DA0" w14:textId="77777777" w:rsidR="001413D8" w:rsidRDefault="001413D8" w:rsidP="006338AA">
            <w:pPr>
              <w:rPr>
                <w:bCs/>
                <w:iCs/>
              </w:rPr>
            </w:pPr>
            <w:r>
              <w:rPr>
                <w:bCs/>
                <w:iCs/>
              </w:rPr>
              <w:t>4</w:t>
            </w:r>
          </w:p>
        </w:tc>
      </w:tr>
      <w:tr w:rsidR="001413D8" w14:paraId="318483DB" w14:textId="77777777" w:rsidTr="006338AA">
        <w:tc>
          <w:tcPr>
            <w:tcW w:w="0" w:type="auto"/>
          </w:tcPr>
          <w:p w14:paraId="793365AB" w14:textId="77777777" w:rsidR="001413D8" w:rsidRDefault="001413D8" w:rsidP="006338AA">
            <w:pPr>
              <w:rPr>
                <w:bCs/>
                <w:iCs/>
              </w:rPr>
            </w:pPr>
            <w:r>
              <w:rPr>
                <w:bCs/>
                <w:iCs/>
              </w:rPr>
              <w:t>Cluster 2</w:t>
            </w:r>
          </w:p>
        </w:tc>
        <w:tc>
          <w:tcPr>
            <w:tcW w:w="0" w:type="auto"/>
          </w:tcPr>
          <w:p w14:paraId="43D03F7E" w14:textId="77777777" w:rsidR="001413D8" w:rsidRDefault="001413D8" w:rsidP="006338AA">
            <w:pPr>
              <w:rPr>
                <w:bCs/>
                <w:iCs/>
              </w:rPr>
            </w:pPr>
            <w:r>
              <w:rPr>
                <w:bCs/>
                <w:iCs/>
              </w:rPr>
              <w:t>0</w:t>
            </w:r>
          </w:p>
        </w:tc>
        <w:tc>
          <w:tcPr>
            <w:tcW w:w="0" w:type="auto"/>
          </w:tcPr>
          <w:p w14:paraId="27208DAE" w14:textId="77777777" w:rsidR="001413D8" w:rsidRDefault="001413D8" w:rsidP="006338AA">
            <w:pPr>
              <w:rPr>
                <w:bCs/>
                <w:iCs/>
              </w:rPr>
            </w:pPr>
            <w:r>
              <w:rPr>
                <w:bCs/>
                <w:iCs/>
              </w:rPr>
              <w:t>31</w:t>
            </w:r>
          </w:p>
        </w:tc>
        <w:tc>
          <w:tcPr>
            <w:tcW w:w="0" w:type="auto"/>
          </w:tcPr>
          <w:p w14:paraId="26E81BF0" w14:textId="77777777" w:rsidR="001413D8" w:rsidRDefault="001413D8" w:rsidP="006338AA">
            <w:pPr>
              <w:rPr>
                <w:bCs/>
                <w:iCs/>
              </w:rPr>
            </w:pPr>
            <w:r>
              <w:rPr>
                <w:bCs/>
                <w:iCs/>
              </w:rPr>
              <w:t>4</w:t>
            </w:r>
          </w:p>
        </w:tc>
      </w:tr>
      <w:tr w:rsidR="001413D8" w14:paraId="5038FAAA" w14:textId="77777777" w:rsidTr="006338AA">
        <w:tc>
          <w:tcPr>
            <w:tcW w:w="0" w:type="auto"/>
          </w:tcPr>
          <w:p w14:paraId="43C32ED7" w14:textId="77777777" w:rsidR="001413D8" w:rsidRDefault="001413D8" w:rsidP="006338AA">
            <w:pPr>
              <w:rPr>
                <w:bCs/>
                <w:iCs/>
              </w:rPr>
            </w:pPr>
            <w:r>
              <w:rPr>
                <w:bCs/>
                <w:iCs/>
              </w:rPr>
              <w:t>Cluster 3</w:t>
            </w:r>
          </w:p>
        </w:tc>
        <w:tc>
          <w:tcPr>
            <w:tcW w:w="0" w:type="auto"/>
          </w:tcPr>
          <w:p w14:paraId="31E8D67B" w14:textId="77777777" w:rsidR="001413D8" w:rsidRDefault="001413D8" w:rsidP="006338AA">
            <w:pPr>
              <w:rPr>
                <w:bCs/>
                <w:iCs/>
              </w:rPr>
            </w:pPr>
            <w:r>
              <w:rPr>
                <w:bCs/>
                <w:iCs/>
              </w:rPr>
              <w:t>0</w:t>
            </w:r>
          </w:p>
        </w:tc>
        <w:tc>
          <w:tcPr>
            <w:tcW w:w="0" w:type="auto"/>
          </w:tcPr>
          <w:p w14:paraId="4C79077F" w14:textId="77777777" w:rsidR="001413D8" w:rsidRDefault="001413D8" w:rsidP="006338AA">
            <w:pPr>
              <w:rPr>
                <w:bCs/>
                <w:iCs/>
              </w:rPr>
            </w:pPr>
            <w:r>
              <w:rPr>
                <w:bCs/>
                <w:iCs/>
              </w:rPr>
              <w:t>0</w:t>
            </w:r>
          </w:p>
        </w:tc>
        <w:tc>
          <w:tcPr>
            <w:tcW w:w="0" w:type="auto"/>
          </w:tcPr>
          <w:p w14:paraId="5A2172AB" w14:textId="77777777" w:rsidR="001413D8" w:rsidRDefault="001413D8" w:rsidP="006338AA">
            <w:pPr>
              <w:rPr>
                <w:bCs/>
                <w:iCs/>
              </w:rPr>
            </w:pPr>
            <w:r>
              <w:rPr>
                <w:bCs/>
                <w:iCs/>
              </w:rPr>
              <w:t>109</w:t>
            </w:r>
          </w:p>
        </w:tc>
      </w:tr>
    </w:tbl>
    <w:p w14:paraId="34F51EDB" w14:textId="77777777" w:rsidR="001413D8" w:rsidRPr="00C817AA" w:rsidRDefault="001413D8" w:rsidP="001413D8">
      <w:pPr>
        <w:rPr>
          <w:bCs/>
          <w:iCs/>
        </w:rPr>
      </w:pPr>
      <w:r w:rsidRPr="00F51FAF">
        <w:rPr>
          <w:bCs/>
          <w:i/>
        </w:rPr>
        <w:t>Note.</w:t>
      </w:r>
      <w:r>
        <w:rPr>
          <w:bCs/>
          <w:iCs/>
        </w:rPr>
        <w:t xml:space="preserve"> </w:t>
      </w:r>
      <w:r w:rsidRPr="00F51FAF">
        <w:rPr>
          <w:bCs/>
          <w:iCs/>
        </w:rPr>
        <w:t>Linear</w:t>
      </w:r>
      <w:r>
        <w:rPr>
          <w:bCs/>
          <w:iCs/>
        </w:rPr>
        <w:t xml:space="preserve"> discriminant analysis overall classification accuracy: 96%</w:t>
      </w:r>
    </w:p>
    <w:p w14:paraId="5F4FC994" w14:textId="77777777" w:rsidR="00C35F47" w:rsidRDefault="00C35F47" w:rsidP="001413D8">
      <w:pPr>
        <w:spacing w:line="480" w:lineRule="auto"/>
        <w:rPr>
          <w:bCs/>
        </w:rPr>
      </w:pPr>
    </w:p>
    <w:p w14:paraId="0F1EB88F" w14:textId="77777777" w:rsidR="00236360" w:rsidRDefault="00236360" w:rsidP="001413D8">
      <w:pPr>
        <w:spacing w:line="480" w:lineRule="auto"/>
        <w:rPr>
          <w:bCs/>
        </w:rPr>
        <w:sectPr w:rsidR="00236360" w:rsidSect="00DD4719">
          <w:headerReference w:type="default" r:id="rId11"/>
          <w:pgSz w:w="12240" w:h="15840"/>
          <w:pgMar w:top="1134" w:right="1134" w:bottom="1134" w:left="1134" w:header="720" w:footer="720" w:gutter="0"/>
          <w:cols w:space="720"/>
          <w:noEndnote/>
        </w:sectPr>
      </w:pPr>
    </w:p>
    <w:p w14:paraId="2428014D" w14:textId="232187AB" w:rsidR="00236360" w:rsidRPr="00236360" w:rsidRDefault="00236360" w:rsidP="00236360">
      <w:pPr>
        <w:rPr>
          <w:b/>
          <w:bCs/>
          <w:i/>
          <w:iCs/>
        </w:rPr>
      </w:pPr>
      <w:r w:rsidRPr="00236360">
        <w:rPr>
          <w:b/>
          <w:bCs/>
          <w:i/>
          <w:iCs/>
        </w:rPr>
        <w:lastRenderedPageBreak/>
        <w:t>Table S</w:t>
      </w:r>
      <w:r w:rsidR="00AF49C6">
        <w:rPr>
          <w:b/>
          <w:bCs/>
          <w:i/>
          <w:iCs/>
        </w:rPr>
        <w:t>8</w:t>
      </w:r>
      <w:r w:rsidRPr="00236360">
        <w:rPr>
          <w:b/>
          <w:bCs/>
          <w:i/>
          <w:iCs/>
        </w:rPr>
        <w:t>. Cluster subgroup characteristics</w:t>
      </w:r>
      <w:r w:rsidR="00723FB6">
        <w:rPr>
          <w:b/>
          <w:bCs/>
          <w:i/>
          <w:iCs/>
        </w:rPr>
        <w:t xml:space="preserve"> </w:t>
      </w:r>
      <w:r w:rsidR="00723FB6">
        <w:rPr>
          <w:b/>
          <w:i/>
        </w:rPr>
        <w:t>(from the cluster analysis using unreferenced scores)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1580"/>
        <w:gridCol w:w="1663"/>
        <w:gridCol w:w="1656"/>
        <w:gridCol w:w="3502"/>
        <w:gridCol w:w="2946"/>
      </w:tblGrid>
      <w:tr w:rsidR="00236360" w:rsidRPr="000A66FB" w14:paraId="6A426D4D" w14:textId="77777777" w:rsidTr="00236360">
        <w:tc>
          <w:tcPr>
            <w:tcW w:w="1661" w:type="dxa"/>
            <w:tcBorders>
              <w:top w:val="single" w:sz="4" w:space="0" w:color="auto"/>
              <w:bottom w:val="single" w:sz="4" w:space="0" w:color="auto"/>
            </w:tcBorders>
          </w:tcPr>
          <w:p w14:paraId="2DC6ADD2" w14:textId="77777777" w:rsidR="00236360" w:rsidRPr="000A66FB" w:rsidRDefault="00236360" w:rsidP="006338AA"/>
        </w:tc>
        <w:tc>
          <w:tcPr>
            <w:tcW w:w="1580" w:type="dxa"/>
            <w:tcBorders>
              <w:top w:val="single" w:sz="4" w:space="0" w:color="auto"/>
              <w:bottom w:val="single" w:sz="4" w:space="0" w:color="auto"/>
            </w:tcBorders>
          </w:tcPr>
          <w:p w14:paraId="3A070E05" w14:textId="77777777" w:rsidR="00236360" w:rsidRPr="000A66FB" w:rsidRDefault="00236360" w:rsidP="006338AA">
            <w:r w:rsidRPr="000A66FB">
              <w:t>Hedonic Reactivity</w:t>
            </w:r>
            <w:r>
              <w:t xml:space="preserve"> </w:t>
            </w:r>
            <w:r w:rsidRPr="000A66FB">
              <w:t>Deficit (Clus1)</w:t>
            </w:r>
          </w:p>
        </w:tc>
        <w:tc>
          <w:tcPr>
            <w:tcW w:w="1663" w:type="dxa"/>
            <w:tcBorders>
              <w:top w:val="single" w:sz="4" w:space="0" w:color="auto"/>
              <w:bottom w:val="single" w:sz="4" w:space="0" w:color="auto"/>
            </w:tcBorders>
          </w:tcPr>
          <w:p w14:paraId="3BB1A4E7" w14:textId="77777777" w:rsidR="00236360" w:rsidRPr="000A66FB" w:rsidRDefault="00236360" w:rsidP="006338AA">
            <w:r w:rsidRPr="000A66FB">
              <w:t>Generalized Deficit (Clus2)</w:t>
            </w:r>
          </w:p>
        </w:tc>
        <w:tc>
          <w:tcPr>
            <w:tcW w:w="1656" w:type="dxa"/>
            <w:tcBorders>
              <w:top w:val="single" w:sz="4" w:space="0" w:color="auto"/>
              <w:bottom w:val="single" w:sz="4" w:space="0" w:color="auto"/>
            </w:tcBorders>
          </w:tcPr>
          <w:p w14:paraId="2910143A" w14:textId="77777777" w:rsidR="00236360" w:rsidRPr="000A66FB" w:rsidRDefault="00236360" w:rsidP="006338AA">
            <w:r w:rsidRPr="000A66FB">
              <w:t>Value Representation</w:t>
            </w:r>
            <w:r>
              <w:t xml:space="preserve"> </w:t>
            </w:r>
            <w:r w:rsidRPr="000A66FB">
              <w:t>Deficit (Clus3)</w:t>
            </w:r>
          </w:p>
        </w:tc>
        <w:tc>
          <w:tcPr>
            <w:tcW w:w="3502" w:type="dxa"/>
            <w:tcBorders>
              <w:top w:val="single" w:sz="4" w:space="0" w:color="auto"/>
              <w:bottom w:val="single" w:sz="4" w:space="0" w:color="auto"/>
            </w:tcBorders>
          </w:tcPr>
          <w:p w14:paraId="68E4B488" w14:textId="77777777" w:rsidR="00236360" w:rsidRPr="000A66FB" w:rsidRDefault="00236360" w:rsidP="006338AA">
            <w:r w:rsidRPr="000A66FB">
              <w:t>Test Statistic</w:t>
            </w:r>
          </w:p>
        </w:tc>
        <w:tc>
          <w:tcPr>
            <w:tcW w:w="2946" w:type="dxa"/>
            <w:tcBorders>
              <w:top w:val="single" w:sz="4" w:space="0" w:color="auto"/>
              <w:bottom w:val="single" w:sz="4" w:space="0" w:color="auto"/>
            </w:tcBorders>
          </w:tcPr>
          <w:p w14:paraId="28EEBFD7" w14:textId="77777777" w:rsidR="00236360" w:rsidRPr="000A66FB" w:rsidRDefault="00236360" w:rsidP="006338AA">
            <w:r w:rsidRPr="000A66FB">
              <w:t>Significant Pairwise Differences</w:t>
            </w:r>
          </w:p>
        </w:tc>
      </w:tr>
      <w:tr w:rsidR="00236360" w:rsidRPr="000A66FB" w14:paraId="663B8D19" w14:textId="77777777" w:rsidTr="00236360">
        <w:tc>
          <w:tcPr>
            <w:tcW w:w="1661" w:type="dxa"/>
          </w:tcPr>
          <w:p w14:paraId="116806C8" w14:textId="77777777" w:rsidR="00236360" w:rsidRPr="00635E7F" w:rsidRDefault="00236360" w:rsidP="006338AA">
            <w:pPr>
              <w:rPr>
                <w:b/>
                <w:i/>
              </w:rPr>
            </w:pPr>
            <w:r w:rsidRPr="00635E7F">
              <w:rPr>
                <w:b/>
                <w:i/>
              </w:rPr>
              <w:t>n (%)</w:t>
            </w:r>
          </w:p>
        </w:tc>
        <w:tc>
          <w:tcPr>
            <w:tcW w:w="1580" w:type="dxa"/>
          </w:tcPr>
          <w:p w14:paraId="5ED8D808" w14:textId="2FE31459" w:rsidR="00236360" w:rsidRPr="00635E7F" w:rsidRDefault="00B37D8C" w:rsidP="006338AA">
            <w:r w:rsidRPr="00635E7F">
              <w:t>54 (27%)</w:t>
            </w:r>
          </w:p>
        </w:tc>
        <w:tc>
          <w:tcPr>
            <w:tcW w:w="1663" w:type="dxa"/>
          </w:tcPr>
          <w:p w14:paraId="3FE49FA5" w14:textId="77777777" w:rsidR="00236360" w:rsidRPr="00635E7F" w:rsidRDefault="00236360" w:rsidP="006338AA">
            <w:r w:rsidRPr="00635E7F">
              <w:t>35 (18%)</w:t>
            </w:r>
          </w:p>
        </w:tc>
        <w:tc>
          <w:tcPr>
            <w:tcW w:w="1656" w:type="dxa"/>
          </w:tcPr>
          <w:p w14:paraId="40CD56A1" w14:textId="3CC7666A" w:rsidR="00236360" w:rsidRPr="00635E7F" w:rsidRDefault="00B37D8C" w:rsidP="006338AA">
            <w:r w:rsidRPr="00635E7F">
              <w:t>109 (55%)</w:t>
            </w:r>
          </w:p>
        </w:tc>
        <w:tc>
          <w:tcPr>
            <w:tcW w:w="3502" w:type="dxa"/>
          </w:tcPr>
          <w:p w14:paraId="20814897" w14:textId="77777777" w:rsidR="00236360" w:rsidRPr="008B10A7" w:rsidRDefault="00236360" w:rsidP="006338AA">
            <w:pPr>
              <w:rPr>
                <w:highlight w:val="yellow"/>
              </w:rPr>
            </w:pPr>
          </w:p>
        </w:tc>
        <w:tc>
          <w:tcPr>
            <w:tcW w:w="2946" w:type="dxa"/>
          </w:tcPr>
          <w:p w14:paraId="1ACA8420" w14:textId="77777777" w:rsidR="00236360" w:rsidRPr="008B10A7" w:rsidRDefault="00236360" w:rsidP="006338AA">
            <w:pPr>
              <w:jc w:val="center"/>
              <w:rPr>
                <w:highlight w:val="yellow"/>
              </w:rPr>
            </w:pPr>
          </w:p>
        </w:tc>
      </w:tr>
      <w:tr w:rsidR="00236360" w:rsidRPr="000A66FB" w14:paraId="0A9508DC" w14:textId="77777777" w:rsidTr="00236360">
        <w:tc>
          <w:tcPr>
            <w:tcW w:w="1661" w:type="dxa"/>
          </w:tcPr>
          <w:p w14:paraId="15A0F13E" w14:textId="77777777" w:rsidR="00236360" w:rsidRPr="00A919D4" w:rsidRDefault="00236360" w:rsidP="006338AA">
            <w:pPr>
              <w:rPr>
                <w:b/>
                <w:i/>
                <w:u w:val="single"/>
              </w:rPr>
            </w:pPr>
            <w:r w:rsidRPr="00A919D4">
              <w:rPr>
                <w:b/>
                <w:i/>
                <w:u w:val="single"/>
              </w:rPr>
              <w:t>Demographic variables</w:t>
            </w:r>
          </w:p>
        </w:tc>
        <w:tc>
          <w:tcPr>
            <w:tcW w:w="1580" w:type="dxa"/>
          </w:tcPr>
          <w:p w14:paraId="5A53A659" w14:textId="77777777" w:rsidR="00236360" w:rsidRPr="00A919D4" w:rsidRDefault="00236360" w:rsidP="006338AA"/>
        </w:tc>
        <w:tc>
          <w:tcPr>
            <w:tcW w:w="1663" w:type="dxa"/>
          </w:tcPr>
          <w:p w14:paraId="56218178" w14:textId="77777777" w:rsidR="00236360" w:rsidRPr="00A919D4" w:rsidRDefault="00236360" w:rsidP="006338AA"/>
        </w:tc>
        <w:tc>
          <w:tcPr>
            <w:tcW w:w="1656" w:type="dxa"/>
          </w:tcPr>
          <w:p w14:paraId="5E70A9F7" w14:textId="77777777" w:rsidR="00236360" w:rsidRPr="00A919D4" w:rsidRDefault="00236360" w:rsidP="006338AA"/>
        </w:tc>
        <w:tc>
          <w:tcPr>
            <w:tcW w:w="3502" w:type="dxa"/>
          </w:tcPr>
          <w:p w14:paraId="23354C9D" w14:textId="77777777" w:rsidR="00236360" w:rsidRPr="008B10A7" w:rsidRDefault="00236360" w:rsidP="006338AA">
            <w:pPr>
              <w:rPr>
                <w:highlight w:val="yellow"/>
              </w:rPr>
            </w:pPr>
          </w:p>
        </w:tc>
        <w:tc>
          <w:tcPr>
            <w:tcW w:w="2946" w:type="dxa"/>
          </w:tcPr>
          <w:p w14:paraId="4EC8DB61" w14:textId="77777777" w:rsidR="00236360" w:rsidRPr="008B10A7" w:rsidRDefault="00236360" w:rsidP="006338AA">
            <w:pPr>
              <w:jc w:val="center"/>
              <w:rPr>
                <w:highlight w:val="yellow"/>
              </w:rPr>
            </w:pPr>
          </w:p>
        </w:tc>
      </w:tr>
      <w:tr w:rsidR="00236360" w:rsidRPr="000A66FB" w14:paraId="0F798DAC" w14:textId="77777777" w:rsidTr="00236360">
        <w:tc>
          <w:tcPr>
            <w:tcW w:w="1661" w:type="dxa"/>
          </w:tcPr>
          <w:p w14:paraId="128193A0" w14:textId="77777777" w:rsidR="00236360" w:rsidRPr="00A919D4" w:rsidRDefault="00236360" w:rsidP="006338AA">
            <w:r w:rsidRPr="00A919D4">
              <w:t>Clinical Group (CHR/HSC)</w:t>
            </w:r>
          </w:p>
        </w:tc>
        <w:tc>
          <w:tcPr>
            <w:tcW w:w="1580" w:type="dxa"/>
          </w:tcPr>
          <w:p w14:paraId="10092158" w14:textId="77777777" w:rsidR="00236360" w:rsidRPr="00A919D4" w:rsidRDefault="00236360" w:rsidP="006338AA">
            <w:r w:rsidRPr="00A919D4">
              <w:t>28/26</w:t>
            </w:r>
          </w:p>
        </w:tc>
        <w:tc>
          <w:tcPr>
            <w:tcW w:w="1663" w:type="dxa"/>
          </w:tcPr>
          <w:p w14:paraId="4950D3A2" w14:textId="77777777" w:rsidR="00236360" w:rsidRPr="00A919D4" w:rsidRDefault="00236360" w:rsidP="006338AA">
            <w:r w:rsidRPr="00A919D4">
              <w:t>20/15</w:t>
            </w:r>
          </w:p>
        </w:tc>
        <w:tc>
          <w:tcPr>
            <w:tcW w:w="1656" w:type="dxa"/>
          </w:tcPr>
          <w:p w14:paraId="3CD3BD33" w14:textId="77777777" w:rsidR="00236360" w:rsidRPr="00A919D4" w:rsidRDefault="00236360" w:rsidP="006338AA">
            <w:r w:rsidRPr="00A919D4">
              <w:t>62/47</w:t>
            </w:r>
          </w:p>
        </w:tc>
        <w:tc>
          <w:tcPr>
            <w:tcW w:w="3502" w:type="dxa"/>
          </w:tcPr>
          <w:p w14:paraId="220E3515" w14:textId="77777777" w:rsidR="00236360" w:rsidRPr="008B10A7" w:rsidRDefault="00236360" w:rsidP="006338AA">
            <w:pPr>
              <w:rPr>
                <w:highlight w:val="yellow"/>
              </w:rPr>
            </w:pPr>
            <w:r w:rsidRPr="00A919D4">
              <w:t>χ</w:t>
            </w:r>
            <w:r w:rsidRPr="00A919D4">
              <w:rPr>
                <w:vertAlign w:val="superscript"/>
              </w:rPr>
              <w:t>2</w:t>
            </w:r>
            <w:r w:rsidRPr="00A919D4">
              <w:t xml:space="preserve">(2, N = 198) = 0.41, </w:t>
            </w:r>
            <w:r w:rsidRPr="00A919D4">
              <w:rPr>
                <w:i/>
              </w:rPr>
              <w:t>p</w:t>
            </w:r>
            <w:r w:rsidRPr="00A919D4">
              <w:t xml:space="preserve"> = .813</w:t>
            </w:r>
          </w:p>
        </w:tc>
        <w:tc>
          <w:tcPr>
            <w:tcW w:w="2946" w:type="dxa"/>
          </w:tcPr>
          <w:p w14:paraId="16171B28" w14:textId="77777777" w:rsidR="00236360" w:rsidRPr="008B10A7" w:rsidRDefault="00236360" w:rsidP="006338AA">
            <w:pPr>
              <w:jc w:val="center"/>
              <w:rPr>
                <w:highlight w:val="yellow"/>
              </w:rPr>
            </w:pPr>
          </w:p>
        </w:tc>
      </w:tr>
      <w:tr w:rsidR="00236360" w:rsidRPr="000A66FB" w14:paraId="7E108892" w14:textId="77777777" w:rsidTr="00236360">
        <w:tc>
          <w:tcPr>
            <w:tcW w:w="1661" w:type="dxa"/>
          </w:tcPr>
          <w:p w14:paraId="453CC58B" w14:textId="77777777" w:rsidR="00236360" w:rsidRPr="00483C1C" w:rsidRDefault="00236360" w:rsidP="006338AA">
            <w:r w:rsidRPr="00483C1C">
              <w:t>Age</w:t>
            </w:r>
          </w:p>
        </w:tc>
        <w:tc>
          <w:tcPr>
            <w:tcW w:w="1580" w:type="dxa"/>
          </w:tcPr>
          <w:p w14:paraId="477338F7" w14:textId="77777777" w:rsidR="00236360" w:rsidRPr="00483C1C" w:rsidRDefault="00236360" w:rsidP="006338AA">
            <w:r w:rsidRPr="00483C1C">
              <w:t>23.19 (4.36)</w:t>
            </w:r>
          </w:p>
        </w:tc>
        <w:tc>
          <w:tcPr>
            <w:tcW w:w="1663" w:type="dxa"/>
          </w:tcPr>
          <w:p w14:paraId="2A5D42E9" w14:textId="77777777" w:rsidR="00236360" w:rsidRPr="00483C1C" w:rsidRDefault="00236360" w:rsidP="006338AA">
            <w:r w:rsidRPr="00483C1C">
              <w:t>23.60 (4.37)</w:t>
            </w:r>
          </w:p>
        </w:tc>
        <w:tc>
          <w:tcPr>
            <w:tcW w:w="1656" w:type="dxa"/>
          </w:tcPr>
          <w:p w14:paraId="56DC9CB1" w14:textId="77777777" w:rsidR="00236360" w:rsidRPr="00483C1C" w:rsidRDefault="00236360" w:rsidP="006338AA">
            <w:r w:rsidRPr="00483C1C">
              <w:t>24.01 (4.13)</w:t>
            </w:r>
          </w:p>
        </w:tc>
        <w:tc>
          <w:tcPr>
            <w:tcW w:w="3502" w:type="dxa"/>
          </w:tcPr>
          <w:p w14:paraId="6874070B" w14:textId="77777777" w:rsidR="00236360" w:rsidRPr="00F51147" w:rsidRDefault="00236360" w:rsidP="006338AA">
            <w:proofErr w:type="gramStart"/>
            <w:r w:rsidRPr="00F51147">
              <w:rPr>
                <w:i/>
              </w:rPr>
              <w:t>F</w:t>
            </w:r>
            <w:r w:rsidRPr="00F51147">
              <w:t>(</w:t>
            </w:r>
            <w:proofErr w:type="gramEnd"/>
            <w:r w:rsidRPr="00F51147">
              <w:t xml:space="preserve">2,195) = 0.89, </w:t>
            </w:r>
            <w:r w:rsidRPr="00F51147">
              <w:rPr>
                <w:i/>
              </w:rPr>
              <w:t xml:space="preserve">p </w:t>
            </w:r>
            <w:r w:rsidRPr="00F51147">
              <w:t xml:space="preserve"> = .422, </w:t>
            </w:r>
            <w:r w:rsidRPr="00F51147">
              <w:rPr>
                <w:rFonts w:eastAsia="MS Gothic"/>
                <w:color w:val="000000"/>
              </w:rPr>
              <w:t>η</w:t>
            </w:r>
            <w:r w:rsidRPr="00F51147">
              <w:rPr>
                <w:rFonts w:eastAsia="MS Gothic"/>
                <w:color w:val="000000"/>
                <w:vertAlign w:val="subscript"/>
              </w:rPr>
              <w:t>p</w:t>
            </w:r>
            <w:r w:rsidRPr="00F51147">
              <w:rPr>
                <w:rFonts w:eastAsia="MS Gothic"/>
                <w:color w:val="000000"/>
                <w:vertAlign w:val="superscript"/>
              </w:rPr>
              <w:t>2</w:t>
            </w:r>
            <w:r w:rsidRPr="00F51147">
              <w:rPr>
                <w:rFonts w:eastAsia="MS Gothic"/>
                <w:color w:val="000000"/>
              </w:rPr>
              <w:t xml:space="preserve"> = 0.01</w:t>
            </w:r>
          </w:p>
        </w:tc>
        <w:tc>
          <w:tcPr>
            <w:tcW w:w="2946" w:type="dxa"/>
          </w:tcPr>
          <w:p w14:paraId="463F1B8B" w14:textId="77777777" w:rsidR="00236360" w:rsidRPr="008B10A7" w:rsidRDefault="00236360" w:rsidP="006338AA">
            <w:pPr>
              <w:jc w:val="center"/>
              <w:rPr>
                <w:highlight w:val="yellow"/>
              </w:rPr>
            </w:pPr>
          </w:p>
        </w:tc>
      </w:tr>
      <w:tr w:rsidR="00236360" w:rsidRPr="000A66FB" w14:paraId="22709BB1" w14:textId="77777777" w:rsidTr="00236360">
        <w:tc>
          <w:tcPr>
            <w:tcW w:w="1661" w:type="dxa"/>
          </w:tcPr>
          <w:p w14:paraId="5B544A84" w14:textId="77777777" w:rsidR="00236360" w:rsidRPr="00F51147" w:rsidRDefault="00236360" w:rsidP="006338AA">
            <w:r w:rsidRPr="00F51147">
              <w:t>Sex (M/F)</w:t>
            </w:r>
          </w:p>
        </w:tc>
        <w:tc>
          <w:tcPr>
            <w:tcW w:w="1580" w:type="dxa"/>
          </w:tcPr>
          <w:p w14:paraId="4BBB7EFF" w14:textId="77777777" w:rsidR="00236360" w:rsidRPr="00F51147" w:rsidRDefault="00236360" w:rsidP="006338AA">
            <w:r w:rsidRPr="00F51147">
              <w:t>8/46</w:t>
            </w:r>
          </w:p>
        </w:tc>
        <w:tc>
          <w:tcPr>
            <w:tcW w:w="1663" w:type="dxa"/>
          </w:tcPr>
          <w:p w14:paraId="7303DCB1" w14:textId="77777777" w:rsidR="00236360" w:rsidRPr="00F51147" w:rsidRDefault="00236360" w:rsidP="006338AA">
            <w:r w:rsidRPr="00F51147">
              <w:t>10/25</w:t>
            </w:r>
          </w:p>
        </w:tc>
        <w:tc>
          <w:tcPr>
            <w:tcW w:w="1656" w:type="dxa"/>
          </w:tcPr>
          <w:p w14:paraId="76366D41" w14:textId="77777777" w:rsidR="00236360" w:rsidRPr="00F51147" w:rsidRDefault="00236360" w:rsidP="006338AA">
            <w:r w:rsidRPr="00F51147">
              <w:t>38/71</w:t>
            </w:r>
          </w:p>
        </w:tc>
        <w:tc>
          <w:tcPr>
            <w:tcW w:w="3502" w:type="dxa"/>
          </w:tcPr>
          <w:p w14:paraId="210A59AA" w14:textId="77777777" w:rsidR="00236360" w:rsidRPr="00F51147" w:rsidRDefault="00236360" w:rsidP="006338AA">
            <w:r w:rsidRPr="00F51147">
              <w:t>χ</w:t>
            </w:r>
            <w:r w:rsidRPr="00F51147">
              <w:rPr>
                <w:vertAlign w:val="superscript"/>
              </w:rPr>
              <w:t>2</w:t>
            </w:r>
            <w:r w:rsidRPr="00F51147">
              <w:t xml:space="preserve">(2, N = 198) = 7.16, </w:t>
            </w:r>
            <w:r w:rsidRPr="00F51147">
              <w:rPr>
                <w:i/>
              </w:rPr>
              <w:t>p</w:t>
            </w:r>
            <w:r w:rsidRPr="00F51147">
              <w:t xml:space="preserve"> = .028</w:t>
            </w:r>
          </w:p>
        </w:tc>
        <w:tc>
          <w:tcPr>
            <w:tcW w:w="2946" w:type="dxa"/>
          </w:tcPr>
          <w:p w14:paraId="251E9CC3" w14:textId="77777777" w:rsidR="00236360" w:rsidRPr="008B10A7" w:rsidRDefault="00236360" w:rsidP="006338AA">
            <w:pPr>
              <w:jc w:val="center"/>
              <w:rPr>
                <w:highlight w:val="yellow"/>
              </w:rPr>
            </w:pPr>
            <w:r w:rsidRPr="00AF7BD1">
              <w:t>Clus3 &gt; Clus1</w:t>
            </w:r>
          </w:p>
        </w:tc>
      </w:tr>
      <w:tr w:rsidR="00236360" w:rsidRPr="000A66FB" w14:paraId="3F6F1C0E" w14:textId="77777777" w:rsidTr="00236360">
        <w:tc>
          <w:tcPr>
            <w:tcW w:w="1661" w:type="dxa"/>
          </w:tcPr>
          <w:p w14:paraId="55118747" w14:textId="77777777" w:rsidR="00236360" w:rsidRPr="0065151B" w:rsidRDefault="00236360" w:rsidP="006338AA">
            <w:pPr>
              <w:rPr>
                <w:i/>
              </w:rPr>
            </w:pPr>
            <w:r w:rsidRPr="0065151B">
              <w:rPr>
                <w:i/>
              </w:rPr>
              <w:t>Ethnicity/Race</w:t>
            </w:r>
          </w:p>
        </w:tc>
        <w:tc>
          <w:tcPr>
            <w:tcW w:w="1580" w:type="dxa"/>
          </w:tcPr>
          <w:p w14:paraId="1C7F8E8E" w14:textId="77777777" w:rsidR="00236360" w:rsidRPr="0065151B" w:rsidRDefault="00236360" w:rsidP="006338AA"/>
        </w:tc>
        <w:tc>
          <w:tcPr>
            <w:tcW w:w="1663" w:type="dxa"/>
          </w:tcPr>
          <w:p w14:paraId="648C964E" w14:textId="77777777" w:rsidR="00236360" w:rsidRPr="008B10A7" w:rsidRDefault="00236360" w:rsidP="006338AA">
            <w:pPr>
              <w:rPr>
                <w:highlight w:val="yellow"/>
              </w:rPr>
            </w:pPr>
          </w:p>
        </w:tc>
        <w:tc>
          <w:tcPr>
            <w:tcW w:w="1656" w:type="dxa"/>
          </w:tcPr>
          <w:p w14:paraId="006F1B70" w14:textId="77777777" w:rsidR="00236360" w:rsidRPr="008B10A7" w:rsidRDefault="00236360" w:rsidP="006338AA">
            <w:pPr>
              <w:rPr>
                <w:highlight w:val="yellow"/>
              </w:rPr>
            </w:pPr>
          </w:p>
        </w:tc>
        <w:tc>
          <w:tcPr>
            <w:tcW w:w="3502" w:type="dxa"/>
          </w:tcPr>
          <w:p w14:paraId="417C36C8" w14:textId="77777777" w:rsidR="00236360" w:rsidRPr="008B10A7" w:rsidRDefault="00236360" w:rsidP="006338AA">
            <w:pPr>
              <w:rPr>
                <w:highlight w:val="yellow"/>
              </w:rPr>
            </w:pPr>
            <w:r w:rsidRPr="00AC14E3">
              <w:t>χ</w:t>
            </w:r>
            <w:r w:rsidRPr="00AC14E3">
              <w:rPr>
                <w:vertAlign w:val="superscript"/>
              </w:rPr>
              <w:t>2</w:t>
            </w:r>
            <w:r w:rsidRPr="00AC14E3">
              <w:t xml:space="preserve">(10, N = 197) = 7.86, </w:t>
            </w:r>
            <w:r w:rsidRPr="00AC14E3">
              <w:rPr>
                <w:i/>
              </w:rPr>
              <w:t>p</w:t>
            </w:r>
            <w:r w:rsidRPr="00AC14E3">
              <w:t xml:space="preserve"> = .642</w:t>
            </w:r>
          </w:p>
        </w:tc>
        <w:tc>
          <w:tcPr>
            <w:tcW w:w="2946" w:type="dxa"/>
          </w:tcPr>
          <w:p w14:paraId="554E7F1B" w14:textId="77777777" w:rsidR="00236360" w:rsidRPr="008B10A7" w:rsidRDefault="00236360" w:rsidP="006338AA">
            <w:pPr>
              <w:jc w:val="center"/>
              <w:rPr>
                <w:highlight w:val="yellow"/>
              </w:rPr>
            </w:pPr>
          </w:p>
        </w:tc>
      </w:tr>
      <w:tr w:rsidR="00236360" w:rsidRPr="000A66FB" w14:paraId="2B93101C" w14:textId="77777777" w:rsidTr="00236360">
        <w:tc>
          <w:tcPr>
            <w:tcW w:w="1661" w:type="dxa"/>
          </w:tcPr>
          <w:p w14:paraId="2494187C" w14:textId="77777777" w:rsidR="00236360" w:rsidRPr="0065151B" w:rsidRDefault="00236360" w:rsidP="006338AA">
            <w:r w:rsidRPr="0065151B">
              <w:t xml:space="preserve">     Asian</w:t>
            </w:r>
          </w:p>
        </w:tc>
        <w:tc>
          <w:tcPr>
            <w:tcW w:w="1580" w:type="dxa"/>
          </w:tcPr>
          <w:p w14:paraId="607C06E4" w14:textId="77777777" w:rsidR="00236360" w:rsidRPr="0065151B" w:rsidRDefault="00236360" w:rsidP="006338AA">
            <w:r w:rsidRPr="0065151B">
              <w:t>17%</w:t>
            </w:r>
          </w:p>
        </w:tc>
        <w:tc>
          <w:tcPr>
            <w:tcW w:w="1663" w:type="dxa"/>
          </w:tcPr>
          <w:p w14:paraId="11213B5D" w14:textId="77777777" w:rsidR="00236360" w:rsidRPr="0065151B" w:rsidRDefault="00236360" w:rsidP="006338AA">
            <w:r w:rsidRPr="0065151B">
              <w:t>23%</w:t>
            </w:r>
          </w:p>
        </w:tc>
        <w:tc>
          <w:tcPr>
            <w:tcW w:w="1656" w:type="dxa"/>
          </w:tcPr>
          <w:p w14:paraId="42EF0CCB" w14:textId="77777777" w:rsidR="00236360" w:rsidRPr="0065151B" w:rsidRDefault="00236360" w:rsidP="006338AA">
            <w:r w:rsidRPr="0065151B">
              <w:t>19%</w:t>
            </w:r>
          </w:p>
        </w:tc>
        <w:tc>
          <w:tcPr>
            <w:tcW w:w="3502" w:type="dxa"/>
          </w:tcPr>
          <w:p w14:paraId="67CA8F73" w14:textId="77777777" w:rsidR="00236360" w:rsidRPr="008B10A7" w:rsidRDefault="00236360" w:rsidP="006338AA">
            <w:pPr>
              <w:rPr>
                <w:highlight w:val="yellow"/>
              </w:rPr>
            </w:pPr>
          </w:p>
        </w:tc>
        <w:tc>
          <w:tcPr>
            <w:tcW w:w="2946" w:type="dxa"/>
          </w:tcPr>
          <w:p w14:paraId="60EE2876" w14:textId="77777777" w:rsidR="00236360" w:rsidRPr="008B10A7" w:rsidRDefault="00236360" w:rsidP="006338AA">
            <w:pPr>
              <w:jc w:val="center"/>
              <w:rPr>
                <w:highlight w:val="yellow"/>
              </w:rPr>
            </w:pPr>
          </w:p>
        </w:tc>
      </w:tr>
      <w:tr w:rsidR="00236360" w:rsidRPr="000A66FB" w14:paraId="4E2AFFDE" w14:textId="77777777" w:rsidTr="00236360">
        <w:tc>
          <w:tcPr>
            <w:tcW w:w="1661" w:type="dxa"/>
          </w:tcPr>
          <w:p w14:paraId="43DDC276" w14:textId="77777777" w:rsidR="00236360" w:rsidRPr="0065151B" w:rsidRDefault="00236360" w:rsidP="006338AA">
            <w:r w:rsidRPr="0065151B">
              <w:t xml:space="preserve">     Black</w:t>
            </w:r>
          </w:p>
        </w:tc>
        <w:tc>
          <w:tcPr>
            <w:tcW w:w="1580" w:type="dxa"/>
          </w:tcPr>
          <w:p w14:paraId="2D79FCDD" w14:textId="77777777" w:rsidR="00236360" w:rsidRPr="0065151B" w:rsidRDefault="00236360" w:rsidP="006338AA">
            <w:r w:rsidRPr="0065151B">
              <w:t>9%</w:t>
            </w:r>
          </w:p>
        </w:tc>
        <w:tc>
          <w:tcPr>
            <w:tcW w:w="1663" w:type="dxa"/>
          </w:tcPr>
          <w:p w14:paraId="3BE67584" w14:textId="77777777" w:rsidR="00236360" w:rsidRPr="0065151B" w:rsidRDefault="00236360" w:rsidP="006338AA">
            <w:r w:rsidRPr="0065151B">
              <w:t>20%</w:t>
            </w:r>
          </w:p>
        </w:tc>
        <w:tc>
          <w:tcPr>
            <w:tcW w:w="1656" w:type="dxa"/>
          </w:tcPr>
          <w:p w14:paraId="13370A85" w14:textId="77777777" w:rsidR="00236360" w:rsidRPr="0065151B" w:rsidRDefault="00236360" w:rsidP="006338AA">
            <w:r w:rsidRPr="0065151B">
              <w:t>12%</w:t>
            </w:r>
          </w:p>
        </w:tc>
        <w:tc>
          <w:tcPr>
            <w:tcW w:w="3502" w:type="dxa"/>
          </w:tcPr>
          <w:p w14:paraId="419B4152" w14:textId="77777777" w:rsidR="00236360" w:rsidRPr="008B10A7" w:rsidRDefault="00236360" w:rsidP="006338AA">
            <w:pPr>
              <w:rPr>
                <w:highlight w:val="yellow"/>
              </w:rPr>
            </w:pPr>
          </w:p>
        </w:tc>
        <w:tc>
          <w:tcPr>
            <w:tcW w:w="2946" w:type="dxa"/>
          </w:tcPr>
          <w:p w14:paraId="7C25B8AF" w14:textId="77777777" w:rsidR="00236360" w:rsidRPr="008B10A7" w:rsidRDefault="00236360" w:rsidP="006338AA">
            <w:pPr>
              <w:jc w:val="center"/>
              <w:rPr>
                <w:highlight w:val="yellow"/>
              </w:rPr>
            </w:pPr>
          </w:p>
        </w:tc>
      </w:tr>
      <w:tr w:rsidR="00236360" w:rsidRPr="000A66FB" w14:paraId="3CD29B1C" w14:textId="77777777" w:rsidTr="00236360">
        <w:tc>
          <w:tcPr>
            <w:tcW w:w="1661" w:type="dxa"/>
          </w:tcPr>
          <w:p w14:paraId="62A6CFDF" w14:textId="77777777" w:rsidR="00236360" w:rsidRPr="0065151B" w:rsidRDefault="00236360" w:rsidP="006338AA">
            <w:r w:rsidRPr="0065151B">
              <w:t xml:space="preserve">     Latinx</w:t>
            </w:r>
          </w:p>
        </w:tc>
        <w:tc>
          <w:tcPr>
            <w:tcW w:w="1580" w:type="dxa"/>
          </w:tcPr>
          <w:p w14:paraId="34819141" w14:textId="77777777" w:rsidR="00236360" w:rsidRPr="0065151B" w:rsidRDefault="00236360" w:rsidP="006338AA">
            <w:r w:rsidRPr="0065151B">
              <w:t>15%</w:t>
            </w:r>
          </w:p>
        </w:tc>
        <w:tc>
          <w:tcPr>
            <w:tcW w:w="1663" w:type="dxa"/>
          </w:tcPr>
          <w:p w14:paraId="69AE2C06" w14:textId="77777777" w:rsidR="00236360" w:rsidRPr="0065151B" w:rsidRDefault="00236360" w:rsidP="006338AA">
            <w:r w:rsidRPr="0065151B">
              <w:t>6%</w:t>
            </w:r>
          </w:p>
        </w:tc>
        <w:tc>
          <w:tcPr>
            <w:tcW w:w="1656" w:type="dxa"/>
          </w:tcPr>
          <w:p w14:paraId="59DBD1F9" w14:textId="77777777" w:rsidR="00236360" w:rsidRPr="0065151B" w:rsidRDefault="00236360" w:rsidP="006338AA">
            <w:r w:rsidRPr="0065151B">
              <w:t>11%</w:t>
            </w:r>
          </w:p>
        </w:tc>
        <w:tc>
          <w:tcPr>
            <w:tcW w:w="3502" w:type="dxa"/>
          </w:tcPr>
          <w:p w14:paraId="61131798" w14:textId="77777777" w:rsidR="00236360" w:rsidRPr="008B10A7" w:rsidRDefault="00236360" w:rsidP="006338AA">
            <w:pPr>
              <w:rPr>
                <w:highlight w:val="yellow"/>
              </w:rPr>
            </w:pPr>
          </w:p>
        </w:tc>
        <w:tc>
          <w:tcPr>
            <w:tcW w:w="2946" w:type="dxa"/>
          </w:tcPr>
          <w:p w14:paraId="347D0FC4" w14:textId="77777777" w:rsidR="00236360" w:rsidRPr="008B10A7" w:rsidRDefault="00236360" w:rsidP="006338AA">
            <w:pPr>
              <w:jc w:val="center"/>
              <w:rPr>
                <w:highlight w:val="yellow"/>
              </w:rPr>
            </w:pPr>
          </w:p>
        </w:tc>
      </w:tr>
      <w:tr w:rsidR="00236360" w:rsidRPr="000A66FB" w14:paraId="6599DE0E" w14:textId="77777777" w:rsidTr="00236360">
        <w:tc>
          <w:tcPr>
            <w:tcW w:w="1661" w:type="dxa"/>
          </w:tcPr>
          <w:p w14:paraId="769550E4" w14:textId="77777777" w:rsidR="00236360" w:rsidRPr="0065151B" w:rsidRDefault="00236360" w:rsidP="006338AA">
            <w:r w:rsidRPr="0065151B">
              <w:t xml:space="preserve">     Multiracial</w:t>
            </w:r>
          </w:p>
        </w:tc>
        <w:tc>
          <w:tcPr>
            <w:tcW w:w="1580" w:type="dxa"/>
          </w:tcPr>
          <w:p w14:paraId="594D4538" w14:textId="77777777" w:rsidR="00236360" w:rsidRPr="0065151B" w:rsidRDefault="00236360" w:rsidP="006338AA">
            <w:r w:rsidRPr="0065151B">
              <w:t>17%</w:t>
            </w:r>
          </w:p>
        </w:tc>
        <w:tc>
          <w:tcPr>
            <w:tcW w:w="1663" w:type="dxa"/>
          </w:tcPr>
          <w:p w14:paraId="04656212" w14:textId="77777777" w:rsidR="00236360" w:rsidRPr="0065151B" w:rsidRDefault="00236360" w:rsidP="006338AA">
            <w:r w:rsidRPr="0065151B">
              <w:t>6%</w:t>
            </w:r>
          </w:p>
        </w:tc>
        <w:tc>
          <w:tcPr>
            <w:tcW w:w="1656" w:type="dxa"/>
          </w:tcPr>
          <w:p w14:paraId="406FEF28" w14:textId="77777777" w:rsidR="00236360" w:rsidRPr="0065151B" w:rsidRDefault="00236360" w:rsidP="006338AA">
            <w:r w:rsidRPr="0065151B">
              <w:t>8%</w:t>
            </w:r>
          </w:p>
        </w:tc>
        <w:tc>
          <w:tcPr>
            <w:tcW w:w="3502" w:type="dxa"/>
          </w:tcPr>
          <w:p w14:paraId="2136A83A" w14:textId="77777777" w:rsidR="00236360" w:rsidRPr="008B10A7" w:rsidRDefault="00236360" w:rsidP="006338AA">
            <w:pPr>
              <w:rPr>
                <w:highlight w:val="yellow"/>
              </w:rPr>
            </w:pPr>
          </w:p>
        </w:tc>
        <w:tc>
          <w:tcPr>
            <w:tcW w:w="2946" w:type="dxa"/>
          </w:tcPr>
          <w:p w14:paraId="48E0729D" w14:textId="77777777" w:rsidR="00236360" w:rsidRPr="008B10A7" w:rsidRDefault="00236360" w:rsidP="006338AA">
            <w:pPr>
              <w:jc w:val="center"/>
              <w:rPr>
                <w:highlight w:val="yellow"/>
              </w:rPr>
            </w:pPr>
          </w:p>
        </w:tc>
      </w:tr>
      <w:tr w:rsidR="00236360" w:rsidRPr="000A66FB" w14:paraId="731C47FC" w14:textId="77777777" w:rsidTr="00236360">
        <w:tc>
          <w:tcPr>
            <w:tcW w:w="1661" w:type="dxa"/>
          </w:tcPr>
          <w:p w14:paraId="5AE8A3F0" w14:textId="77777777" w:rsidR="00236360" w:rsidRPr="0065151B" w:rsidRDefault="00236360" w:rsidP="006338AA">
            <w:pPr>
              <w:ind w:left="284" w:hanging="284"/>
            </w:pPr>
            <w:r w:rsidRPr="0065151B">
              <w:t xml:space="preserve">     Middle Eastern</w:t>
            </w:r>
          </w:p>
        </w:tc>
        <w:tc>
          <w:tcPr>
            <w:tcW w:w="1580" w:type="dxa"/>
          </w:tcPr>
          <w:p w14:paraId="29E61AC3" w14:textId="77777777" w:rsidR="00236360" w:rsidRPr="0065151B" w:rsidRDefault="00236360" w:rsidP="006338AA">
            <w:r w:rsidRPr="0065151B">
              <w:t>4%</w:t>
            </w:r>
          </w:p>
        </w:tc>
        <w:tc>
          <w:tcPr>
            <w:tcW w:w="1663" w:type="dxa"/>
          </w:tcPr>
          <w:p w14:paraId="7B9D65E1" w14:textId="77777777" w:rsidR="00236360" w:rsidRPr="0065151B" w:rsidRDefault="00236360" w:rsidP="006338AA">
            <w:r w:rsidRPr="0065151B">
              <w:t>3%</w:t>
            </w:r>
          </w:p>
        </w:tc>
        <w:tc>
          <w:tcPr>
            <w:tcW w:w="1656" w:type="dxa"/>
          </w:tcPr>
          <w:p w14:paraId="605A6E09" w14:textId="77777777" w:rsidR="00236360" w:rsidRPr="0065151B" w:rsidRDefault="00236360" w:rsidP="006338AA">
            <w:r w:rsidRPr="0065151B">
              <w:t>3%</w:t>
            </w:r>
          </w:p>
        </w:tc>
        <w:tc>
          <w:tcPr>
            <w:tcW w:w="3502" w:type="dxa"/>
          </w:tcPr>
          <w:p w14:paraId="083C2E82" w14:textId="77777777" w:rsidR="00236360" w:rsidRPr="008B10A7" w:rsidRDefault="00236360" w:rsidP="006338AA">
            <w:pPr>
              <w:rPr>
                <w:highlight w:val="yellow"/>
              </w:rPr>
            </w:pPr>
          </w:p>
        </w:tc>
        <w:tc>
          <w:tcPr>
            <w:tcW w:w="2946" w:type="dxa"/>
          </w:tcPr>
          <w:p w14:paraId="07D0DF89" w14:textId="77777777" w:rsidR="00236360" w:rsidRPr="008B10A7" w:rsidRDefault="00236360" w:rsidP="006338AA">
            <w:pPr>
              <w:jc w:val="center"/>
              <w:rPr>
                <w:highlight w:val="yellow"/>
              </w:rPr>
            </w:pPr>
          </w:p>
        </w:tc>
      </w:tr>
      <w:tr w:rsidR="00236360" w:rsidRPr="000A66FB" w14:paraId="56EC8993" w14:textId="77777777" w:rsidTr="00236360">
        <w:tc>
          <w:tcPr>
            <w:tcW w:w="1661" w:type="dxa"/>
          </w:tcPr>
          <w:p w14:paraId="1F0277C0" w14:textId="77777777" w:rsidR="00236360" w:rsidRPr="0065151B" w:rsidRDefault="00236360" w:rsidP="006338AA">
            <w:r w:rsidRPr="0065151B">
              <w:t xml:space="preserve">     White-</w:t>
            </w:r>
            <w:proofErr w:type="gramStart"/>
            <w:r w:rsidRPr="0065151B">
              <w:t>Non-Hispanic</w:t>
            </w:r>
            <w:proofErr w:type="gramEnd"/>
          </w:p>
        </w:tc>
        <w:tc>
          <w:tcPr>
            <w:tcW w:w="1580" w:type="dxa"/>
          </w:tcPr>
          <w:p w14:paraId="3CB8B520" w14:textId="77777777" w:rsidR="00236360" w:rsidRPr="0065151B" w:rsidRDefault="00236360" w:rsidP="006338AA">
            <w:r w:rsidRPr="0065151B">
              <w:t>39%</w:t>
            </w:r>
          </w:p>
        </w:tc>
        <w:tc>
          <w:tcPr>
            <w:tcW w:w="1663" w:type="dxa"/>
          </w:tcPr>
          <w:p w14:paraId="15096531" w14:textId="77777777" w:rsidR="00236360" w:rsidRPr="0065151B" w:rsidRDefault="00236360" w:rsidP="006338AA">
            <w:r w:rsidRPr="0065151B">
              <w:t>43%</w:t>
            </w:r>
          </w:p>
        </w:tc>
        <w:tc>
          <w:tcPr>
            <w:tcW w:w="1656" w:type="dxa"/>
          </w:tcPr>
          <w:p w14:paraId="247BD71A" w14:textId="77777777" w:rsidR="00236360" w:rsidRPr="0065151B" w:rsidRDefault="00236360" w:rsidP="006338AA">
            <w:r w:rsidRPr="0065151B">
              <w:t>46%</w:t>
            </w:r>
          </w:p>
        </w:tc>
        <w:tc>
          <w:tcPr>
            <w:tcW w:w="3502" w:type="dxa"/>
          </w:tcPr>
          <w:p w14:paraId="3DF7D32B" w14:textId="77777777" w:rsidR="00236360" w:rsidRPr="008B10A7" w:rsidRDefault="00236360" w:rsidP="006338AA">
            <w:pPr>
              <w:rPr>
                <w:highlight w:val="yellow"/>
              </w:rPr>
            </w:pPr>
          </w:p>
        </w:tc>
        <w:tc>
          <w:tcPr>
            <w:tcW w:w="2946" w:type="dxa"/>
          </w:tcPr>
          <w:p w14:paraId="676CE07A" w14:textId="77777777" w:rsidR="00236360" w:rsidRPr="008B10A7" w:rsidRDefault="00236360" w:rsidP="006338AA">
            <w:pPr>
              <w:jc w:val="center"/>
              <w:rPr>
                <w:highlight w:val="yellow"/>
              </w:rPr>
            </w:pPr>
          </w:p>
        </w:tc>
      </w:tr>
      <w:tr w:rsidR="00236360" w:rsidRPr="000A66FB" w14:paraId="24116C9F" w14:textId="77777777" w:rsidTr="00236360">
        <w:tc>
          <w:tcPr>
            <w:tcW w:w="1661" w:type="dxa"/>
          </w:tcPr>
          <w:p w14:paraId="4B66C3C3" w14:textId="77777777" w:rsidR="00236360" w:rsidRPr="00F515AA" w:rsidRDefault="00236360" w:rsidP="006338AA">
            <w:r w:rsidRPr="00F515AA">
              <w:t>Education (years)</w:t>
            </w:r>
          </w:p>
        </w:tc>
        <w:tc>
          <w:tcPr>
            <w:tcW w:w="1580" w:type="dxa"/>
          </w:tcPr>
          <w:p w14:paraId="4070F73E" w14:textId="77777777" w:rsidR="00236360" w:rsidRPr="00F515AA" w:rsidRDefault="00236360" w:rsidP="006338AA">
            <w:r w:rsidRPr="00F515AA">
              <w:t>14.60 (2.46)</w:t>
            </w:r>
          </w:p>
        </w:tc>
        <w:tc>
          <w:tcPr>
            <w:tcW w:w="1663" w:type="dxa"/>
          </w:tcPr>
          <w:p w14:paraId="48C9D279" w14:textId="77777777" w:rsidR="00236360" w:rsidRPr="00F515AA" w:rsidRDefault="00236360" w:rsidP="006338AA">
            <w:r w:rsidRPr="00F515AA">
              <w:t>14.03 (2.27)</w:t>
            </w:r>
          </w:p>
        </w:tc>
        <w:tc>
          <w:tcPr>
            <w:tcW w:w="1656" w:type="dxa"/>
          </w:tcPr>
          <w:p w14:paraId="019C5AB5" w14:textId="77777777" w:rsidR="00236360" w:rsidRPr="00F515AA" w:rsidRDefault="00236360" w:rsidP="006338AA">
            <w:r w:rsidRPr="00F515AA">
              <w:t>14.63 (2.04)</w:t>
            </w:r>
          </w:p>
        </w:tc>
        <w:tc>
          <w:tcPr>
            <w:tcW w:w="3502" w:type="dxa"/>
          </w:tcPr>
          <w:p w14:paraId="665070B3" w14:textId="77777777" w:rsidR="00236360" w:rsidRPr="008B10A7" w:rsidRDefault="00236360" w:rsidP="006338AA">
            <w:pPr>
              <w:rPr>
                <w:highlight w:val="yellow"/>
              </w:rPr>
            </w:pPr>
            <w:proofErr w:type="gramStart"/>
            <w:r w:rsidRPr="00F515AA">
              <w:rPr>
                <w:i/>
              </w:rPr>
              <w:t>F</w:t>
            </w:r>
            <w:r w:rsidRPr="00F515AA">
              <w:t>(</w:t>
            </w:r>
            <w:proofErr w:type="gramEnd"/>
            <w:r w:rsidRPr="00F515AA">
              <w:t xml:space="preserve">2,190) = 0.99, </w:t>
            </w:r>
            <w:r w:rsidRPr="00F515AA">
              <w:rPr>
                <w:i/>
              </w:rPr>
              <w:t xml:space="preserve">p </w:t>
            </w:r>
            <w:r w:rsidRPr="00F515AA">
              <w:t xml:space="preserve"> = .374, </w:t>
            </w:r>
            <w:r w:rsidRPr="00F515AA">
              <w:rPr>
                <w:rFonts w:eastAsia="MS Gothic"/>
                <w:color w:val="000000"/>
              </w:rPr>
              <w:t>η</w:t>
            </w:r>
            <w:r w:rsidRPr="00F515AA">
              <w:rPr>
                <w:rFonts w:eastAsia="MS Gothic"/>
                <w:color w:val="000000"/>
                <w:vertAlign w:val="subscript"/>
              </w:rPr>
              <w:t>p</w:t>
            </w:r>
            <w:r w:rsidRPr="00F515AA">
              <w:rPr>
                <w:rFonts w:eastAsia="MS Gothic"/>
                <w:color w:val="000000"/>
                <w:vertAlign w:val="superscript"/>
              </w:rPr>
              <w:t>2</w:t>
            </w:r>
            <w:r w:rsidRPr="00F515AA">
              <w:rPr>
                <w:rFonts w:eastAsia="MS Gothic"/>
                <w:color w:val="000000"/>
              </w:rPr>
              <w:t xml:space="preserve"> = 0.01</w:t>
            </w:r>
          </w:p>
        </w:tc>
        <w:tc>
          <w:tcPr>
            <w:tcW w:w="2946" w:type="dxa"/>
          </w:tcPr>
          <w:p w14:paraId="37005D8B" w14:textId="77777777" w:rsidR="00236360" w:rsidRPr="008B10A7" w:rsidRDefault="00236360" w:rsidP="006338AA">
            <w:pPr>
              <w:jc w:val="center"/>
              <w:rPr>
                <w:highlight w:val="yellow"/>
              </w:rPr>
            </w:pPr>
          </w:p>
        </w:tc>
      </w:tr>
      <w:tr w:rsidR="00236360" w:rsidRPr="000A66FB" w14:paraId="3670E975" w14:textId="77777777" w:rsidTr="00236360">
        <w:tc>
          <w:tcPr>
            <w:tcW w:w="1661" w:type="dxa"/>
          </w:tcPr>
          <w:p w14:paraId="4B80E268" w14:textId="77777777" w:rsidR="00236360" w:rsidRPr="008B10A7" w:rsidRDefault="00236360" w:rsidP="006338AA">
            <w:pPr>
              <w:rPr>
                <w:b/>
                <w:i/>
                <w:highlight w:val="yellow"/>
                <w:u w:val="single"/>
              </w:rPr>
            </w:pPr>
            <w:r w:rsidRPr="0085254D">
              <w:rPr>
                <w:b/>
                <w:i/>
                <w:u w:val="single"/>
              </w:rPr>
              <w:t>Clinical variables</w:t>
            </w:r>
          </w:p>
        </w:tc>
        <w:tc>
          <w:tcPr>
            <w:tcW w:w="1580" w:type="dxa"/>
          </w:tcPr>
          <w:p w14:paraId="2A7A9709" w14:textId="77777777" w:rsidR="00236360" w:rsidRPr="008B10A7" w:rsidRDefault="00236360" w:rsidP="006338AA">
            <w:pPr>
              <w:rPr>
                <w:highlight w:val="yellow"/>
              </w:rPr>
            </w:pPr>
          </w:p>
        </w:tc>
        <w:tc>
          <w:tcPr>
            <w:tcW w:w="1663" w:type="dxa"/>
          </w:tcPr>
          <w:p w14:paraId="3C00F349" w14:textId="77777777" w:rsidR="00236360" w:rsidRPr="008B10A7" w:rsidRDefault="00236360" w:rsidP="006338AA">
            <w:pPr>
              <w:rPr>
                <w:highlight w:val="yellow"/>
              </w:rPr>
            </w:pPr>
          </w:p>
        </w:tc>
        <w:tc>
          <w:tcPr>
            <w:tcW w:w="1656" w:type="dxa"/>
          </w:tcPr>
          <w:p w14:paraId="0B820825" w14:textId="77777777" w:rsidR="00236360" w:rsidRPr="008B10A7" w:rsidRDefault="00236360" w:rsidP="006338AA">
            <w:pPr>
              <w:rPr>
                <w:highlight w:val="yellow"/>
              </w:rPr>
            </w:pPr>
          </w:p>
        </w:tc>
        <w:tc>
          <w:tcPr>
            <w:tcW w:w="3502" w:type="dxa"/>
          </w:tcPr>
          <w:p w14:paraId="167F3801" w14:textId="77777777" w:rsidR="00236360" w:rsidRPr="008B10A7" w:rsidRDefault="00236360" w:rsidP="006338AA">
            <w:pPr>
              <w:rPr>
                <w:highlight w:val="yellow"/>
              </w:rPr>
            </w:pPr>
          </w:p>
        </w:tc>
        <w:tc>
          <w:tcPr>
            <w:tcW w:w="2946" w:type="dxa"/>
          </w:tcPr>
          <w:p w14:paraId="2994398F" w14:textId="77777777" w:rsidR="00236360" w:rsidRPr="008B10A7" w:rsidRDefault="00236360" w:rsidP="006338AA">
            <w:pPr>
              <w:rPr>
                <w:highlight w:val="yellow"/>
              </w:rPr>
            </w:pPr>
          </w:p>
        </w:tc>
      </w:tr>
      <w:tr w:rsidR="00236360" w:rsidRPr="000A66FB" w14:paraId="4AFE97A0" w14:textId="77777777" w:rsidTr="00236360">
        <w:tc>
          <w:tcPr>
            <w:tcW w:w="1661" w:type="dxa"/>
          </w:tcPr>
          <w:p w14:paraId="24B9046C" w14:textId="77777777" w:rsidR="00236360" w:rsidRPr="00E1562C" w:rsidRDefault="00236360" w:rsidP="006338AA">
            <w:r w:rsidRPr="00E1562C">
              <w:t>NSI-PR Diminished Motivation &amp; Pleasure Factor</w:t>
            </w:r>
          </w:p>
        </w:tc>
        <w:tc>
          <w:tcPr>
            <w:tcW w:w="1580" w:type="dxa"/>
          </w:tcPr>
          <w:p w14:paraId="68EB71AF" w14:textId="77777777" w:rsidR="00236360" w:rsidRPr="00E1562C" w:rsidRDefault="00236360" w:rsidP="006338AA">
            <w:r w:rsidRPr="00E1562C">
              <w:t>1.36 (0.80)</w:t>
            </w:r>
          </w:p>
        </w:tc>
        <w:tc>
          <w:tcPr>
            <w:tcW w:w="1663" w:type="dxa"/>
          </w:tcPr>
          <w:p w14:paraId="2B75273C" w14:textId="77777777" w:rsidR="00236360" w:rsidRPr="00E1562C" w:rsidRDefault="00236360" w:rsidP="006338AA">
            <w:r w:rsidRPr="00E1562C">
              <w:t>1.81 (0.76)</w:t>
            </w:r>
          </w:p>
        </w:tc>
        <w:tc>
          <w:tcPr>
            <w:tcW w:w="1656" w:type="dxa"/>
          </w:tcPr>
          <w:p w14:paraId="486EE869" w14:textId="77777777" w:rsidR="00236360" w:rsidRPr="00E1562C" w:rsidRDefault="00236360" w:rsidP="006338AA">
            <w:r w:rsidRPr="00E1562C">
              <w:t>1.48 (0.80)</w:t>
            </w:r>
          </w:p>
        </w:tc>
        <w:tc>
          <w:tcPr>
            <w:tcW w:w="3502" w:type="dxa"/>
          </w:tcPr>
          <w:p w14:paraId="61D6E626" w14:textId="77777777" w:rsidR="00236360" w:rsidRPr="00E1562C" w:rsidRDefault="00236360" w:rsidP="006338AA">
            <w:proofErr w:type="gramStart"/>
            <w:r w:rsidRPr="00E1562C">
              <w:rPr>
                <w:i/>
              </w:rPr>
              <w:t>F</w:t>
            </w:r>
            <w:r w:rsidRPr="00E1562C">
              <w:t>(</w:t>
            </w:r>
            <w:proofErr w:type="gramEnd"/>
            <w:r w:rsidRPr="00E1562C">
              <w:t xml:space="preserve">2,190) = 3.29, </w:t>
            </w:r>
            <w:proofErr w:type="spellStart"/>
            <w:r w:rsidRPr="00E1562C">
              <w:rPr>
                <w:i/>
              </w:rPr>
              <w:t>p</w:t>
            </w:r>
            <w:r w:rsidRPr="00E1562C">
              <w:rPr>
                <w:i/>
                <w:vertAlign w:val="subscript"/>
              </w:rPr>
              <w:t>FDR</w:t>
            </w:r>
            <w:proofErr w:type="spellEnd"/>
            <w:r w:rsidRPr="00E1562C">
              <w:rPr>
                <w:i/>
              </w:rPr>
              <w:t xml:space="preserve"> </w:t>
            </w:r>
            <w:r w:rsidRPr="00E1562C">
              <w:t xml:space="preserve"> = .0</w:t>
            </w:r>
            <w:r>
              <w:t>59 (</w:t>
            </w:r>
            <w:proofErr w:type="spellStart"/>
            <w:r w:rsidRPr="00165AD9">
              <w:rPr>
                <w:i/>
                <w:iCs/>
              </w:rPr>
              <w:t>p</w:t>
            </w:r>
            <w:r w:rsidRPr="00165AD9">
              <w:rPr>
                <w:i/>
                <w:iCs/>
                <w:vertAlign w:val="subscript"/>
              </w:rPr>
              <w:t>uncorrected</w:t>
            </w:r>
            <w:proofErr w:type="spellEnd"/>
            <w:r w:rsidRPr="00165AD9">
              <w:t xml:space="preserve"> =</w:t>
            </w:r>
            <w:r>
              <w:t xml:space="preserve"> .039)</w:t>
            </w:r>
            <w:r w:rsidRPr="00E1562C">
              <w:t xml:space="preserve">, </w:t>
            </w:r>
            <w:r w:rsidRPr="00E1562C">
              <w:rPr>
                <w:rFonts w:eastAsia="MS Gothic"/>
                <w:color w:val="000000"/>
              </w:rPr>
              <w:t>η</w:t>
            </w:r>
            <w:r w:rsidRPr="00E1562C">
              <w:rPr>
                <w:rFonts w:eastAsia="MS Gothic"/>
                <w:color w:val="000000"/>
                <w:vertAlign w:val="subscript"/>
              </w:rPr>
              <w:t>p</w:t>
            </w:r>
            <w:r w:rsidRPr="00E1562C">
              <w:rPr>
                <w:rFonts w:eastAsia="MS Gothic"/>
                <w:color w:val="000000"/>
                <w:vertAlign w:val="superscript"/>
              </w:rPr>
              <w:t>2</w:t>
            </w:r>
            <w:r w:rsidRPr="00E1562C">
              <w:rPr>
                <w:rFonts w:eastAsia="MS Gothic"/>
                <w:color w:val="000000"/>
              </w:rPr>
              <w:t xml:space="preserve"> = 0.03</w:t>
            </w:r>
          </w:p>
        </w:tc>
        <w:tc>
          <w:tcPr>
            <w:tcW w:w="2946" w:type="dxa"/>
          </w:tcPr>
          <w:p w14:paraId="0C483020" w14:textId="77777777" w:rsidR="00236360" w:rsidRPr="00E3240B" w:rsidRDefault="00236360" w:rsidP="006338AA">
            <w:r w:rsidRPr="00E3240B">
              <w:t>Clus2 &gt; Clus1 (</w:t>
            </w:r>
            <w:r w:rsidRPr="00E3240B">
              <w:rPr>
                <w:i/>
              </w:rPr>
              <w:t>p</w:t>
            </w:r>
            <w:r w:rsidRPr="00E3240B">
              <w:rPr>
                <w:iCs/>
              </w:rPr>
              <w:t xml:space="preserve"> =</w:t>
            </w:r>
            <w:r w:rsidRPr="00E3240B">
              <w:t xml:space="preserve"> .039)</w:t>
            </w:r>
          </w:p>
          <w:p w14:paraId="486AF9D1" w14:textId="77777777" w:rsidR="00236360" w:rsidRPr="008B10A7" w:rsidRDefault="00236360" w:rsidP="006338AA">
            <w:pPr>
              <w:rPr>
                <w:highlight w:val="yellow"/>
              </w:rPr>
            </w:pPr>
            <w:r w:rsidRPr="00E3240B">
              <w:t>Clus2 &gt; Clus3 (</w:t>
            </w:r>
            <w:r w:rsidRPr="00E3240B">
              <w:rPr>
                <w:i/>
              </w:rPr>
              <w:t>p</w:t>
            </w:r>
            <w:r w:rsidRPr="00E3240B">
              <w:rPr>
                <w:iCs/>
              </w:rPr>
              <w:t xml:space="preserve"> =</w:t>
            </w:r>
            <w:r w:rsidRPr="00E3240B">
              <w:t xml:space="preserve"> .111; </w:t>
            </w:r>
            <w:proofErr w:type="spellStart"/>
            <w:r w:rsidRPr="00E3240B">
              <w:rPr>
                <w:i/>
                <w:iCs/>
              </w:rPr>
              <w:t>p</w:t>
            </w:r>
            <w:r w:rsidRPr="00E3240B">
              <w:rPr>
                <w:i/>
                <w:iCs/>
                <w:vertAlign w:val="subscript"/>
              </w:rPr>
              <w:t>uncorrected</w:t>
            </w:r>
            <w:proofErr w:type="spellEnd"/>
            <w:r w:rsidRPr="00E3240B">
              <w:t xml:space="preserve"> = .037</w:t>
            </w:r>
            <w:r w:rsidRPr="00165AD9">
              <w:t>)</w:t>
            </w:r>
          </w:p>
        </w:tc>
      </w:tr>
      <w:tr w:rsidR="00236360" w:rsidRPr="000A66FB" w14:paraId="5D803EDF" w14:textId="77777777" w:rsidTr="00236360">
        <w:tc>
          <w:tcPr>
            <w:tcW w:w="1661" w:type="dxa"/>
          </w:tcPr>
          <w:p w14:paraId="240BA0A8" w14:textId="77777777" w:rsidR="00236360" w:rsidRPr="00E1562C" w:rsidRDefault="00236360" w:rsidP="006338AA">
            <w:r w:rsidRPr="00E1562C">
              <w:t>NSI-PR Diminished Expression Factor</w:t>
            </w:r>
          </w:p>
        </w:tc>
        <w:tc>
          <w:tcPr>
            <w:tcW w:w="1580" w:type="dxa"/>
          </w:tcPr>
          <w:p w14:paraId="6D1F041A" w14:textId="77777777" w:rsidR="00236360" w:rsidRPr="00E1562C" w:rsidRDefault="00236360" w:rsidP="006338AA">
            <w:r w:rsidRPr="00E1562C">
              <w:t>0.67 (0.91)</w:t>
            </w:r>
          </w:p>
        </w:tc>
        <w:tc>
          <w:tcPr>
            <w:tcW w:w="1663" w:type="dxa"/>
          </w:tcPr>
          <w:p w14:paraId="59ED46B1" w14:textId="77777777" w:rsidR="00236360" w:rsidRPr="00E1562C" w:rsidRDefault="00236360" w:rsidP="006338AA">
            <w:r w:rsidRPr="00E1562C">
              <w:t>1.48 (1.24)</w:t>
            </w:r>
          </w:p>
        </w:tc>
        <w:tc>
          <w:tcPr>
            <w:tcW w:w="1656" w:type="dxa"/>
          </w:tcPr>
          <w:p w14:paraId="7EBDC7D8" w14:textId="77777777" w:rsidR="00236360" w:rsidRPr="00E1562C" w:rsidRDefault="00236360" w:rsidP="006338AA">
            <w:r w:rsidRPr="00E1562C">
              <w:t>0.81 (0.90)</w:t>
            </w:r>
          </w:p>
        </w:tc>
        <w:tc>
          <w:tcPr>
            <w:tcW w:w="3502" w:type="dxa"/>
          </w:tcPr>
          <w:p w14:paraId="51A8979D" w14:textId="77777777" w:rsidR="00236360" w:rsidRPr="00E1562C" w:rsidRDefault="00236360" w:rsidP="006338AA">
            <w:proofErr w:type="gramStart"/>
            <w:r w:rsidRPr="00E1562C">
              <w:rPr>
                <w:i/>
              </w:rPr>
              <w:t>F</w:t>
            </w:r>
            <w:r w:rsidRPr="00E1562C">
              <w:rPr>
                <w:i/>
                <w:vertAlign w:val="subscript"/>
              </w:rPr>
              <w:t>W</w:t>
            </w:r>
            <w:r w:rsidRPr="00E1562C">
              <w:t>(</w:t>
            </w:r>
            <w:proofErr w:type="gramEnd"/>
            <w:r w:rsidRPr="00E1562C">
              <w:t xml:space="preserve">2,72.96) = 5.38, </w:t>
            </w:r>
            <w:proofErr w:type="spellStart"/>
            <w:r w:rsidRPr="00E1562C">
              <w:rPr>
                <w:i/>
              </w:rPr>
              <w:t>p</w:t>
            </w:r>
            <w:r w:rsidRPr="00E1562C">
              <w:rPr>
                <w:i/>
                <w:vertAlign w:val="subscript"/>
              </w:rPr>
              <w:t>FDR</w:t>
            </w:r>
            <w:proofErr w:type="spellEnd"/>
            <w:r w:rsidRPr="00E1562C">
              <w:rPr>
                <w:i/>
              </w:rPr>
              <w:t xml:space="preserve"> </w:t>
            </w:r>
            <w:r w:rsidRPr="00E1562C">
              <w:t xml:space="preserve"> = .025, </w:t>
            </w:r>
            <w:r w:rsidRPr="00E1562C">
              <w:rPr>
                <w:rFonts w:eastAsia="MS Gothic"/>
                <w:color w:val="000000"/>
              </w:rPr>
              <w:t>η</w:t>
            </w:r>
            <w:r w:rsidRPr="00E1562C">
              <w:rPr>
                <w:rFonts w:eastAsia="MS Gothic"/>
                <w:color w:val="000000"/>
                <w:vertAlign w:val="subscript"/>
              </w:rPr>
              <w:t>p</w:t>
            </w:r>
            <w:r w:rsidRPr="00E1562C">
              <w:rPr>
                <w:rFonts w:eastAsia="MS Gothic"/>
                <w:color w:val="000000"/>
                <w:vertAlign w:val="superscript"/>
              </w:rPr>
              <w:t>2</w:t>
            </w:r>
            <w:r w:rsidRPr="00E1562C">
              <w:rPr>
                <w:rFonts w:eastAsia="MS Gothic"/>
                <w:color w:val="000000"/>
              </w:rPr>
              <w:t xml:space="preserve"> = 0.08</w:t>
            </w:r>
          </w:p>
        </w:tc>
        <w:tc>
          <w:tcPr>
            <w:tcW w:w="2946" w:type="dxa"/>
          </w:tcPr>
          <w:p w14:paraId="4BCD3C79" w14:textId="77777777" w:rsidR="00236360" w:rsidRPr="00AC28B4" w:rsidRDefault="00236360" w:rsidP="006338AA">
            <w:r w:rsidRPr="00AC28B4">
              <w:t>Clus2 &gt; Clus1 (</w:t>
            </w:r>
            <w:r w:rsidRPr="00AC28B4">
              <w:rPr>
                <w:i/>
              </w:rPr>
              <w:t xml:space="preserve">p </w:t>
            </w:r>
            <w:r w:rsidRPr="00AC28B4">
              <w:rPr>
                <w:iCs/>
              </w:rPr>
              <w:t>=</w:t>
            </w:r>
            <w:r w:rsidRPr="00AC28B4">
              <w:t xml:space="preserve"> .005)</w:t>
            </w:r>
          </w:p>
          <w:p w14:paraId="1B95D104" w14:textId="77777777" w:rsidR="00236360" w:rsidRPr="008B10A7" w:rsidRDefault="00236360" w:rsidP="006338AA">
            <w:pPr>
              <w:rPr>
                <w:highlight w:val="yellow"/>
              </w:rPr>
            </w:pPr>
            <w:r w:rsidRPr="00AC28B4">
              <w:t>Clus2 &gt; Clus3 (</w:t>
            </w:r>
            <w:r w:rsidRPr="00AC28B4">
              <w:rPr>
                <w:i/>
              </w:rPr>
              <w:t xml:space="preserve">p </w:t>
            </w:r>
            <w:r w:rsidRPr="00AC28B4">
              <w:rPr>
                <w:iCs/>
              </w:rPr>
              <w:t>=</w:t>
            </w:r>
            <w:r w:rsidRPr="00AC28B4">
              <w:t xml:space="preserve"> .016)</w:t>
            </w:r>
          </w:p>
        </w:tc>
      </w:tr>
      <w:tr w:rsidR="00236360" w:rsidRPr="000A66FB" w14:paraId="065FF4DC" w14:textId="77777777" w:rsidTr="00236360">
        <w:tc>
          <w:tcPr>
            <w:tcW w:w="1661" w:type="dxa"/>
          </w:tcPr>
          <w:p w14:paraId="1BF8E89A" w14:textId="77777777" w:rsidR="00236360" w:rsidRPr="00E1562C" w:rsidRDefault="00236360" w:rsidP="006338AA">
            <w:r w:rsidRPr="00E1562C">
              <w:lastRenderedPageBreak/>
              <w:t>Anhedonia</w:t>
            </w:r>
          </w:p>
        </w:tc>
        <w:tc>
          <w:tcPr>
            <w:tcW w:w="1580" w:type="dxa"/>
          </w:tcPr>
          <w:p w14:paraId="37000B87" w14:textId="77777777" w:rsidR="00236360" w:rsidRPr="00E1562C" w:rsidRDefault="00236360" w:rsidP="006338AA">
            <w:r w:rsidRPr="00E1562C">
              <w:t>1.14 (1.03)</w:t>
            </w:r>
          </w:p>
        </w:tc>
        <w:tc>
          <w:tcPr>
            <w:tcW w:w="1663" w:type="dxa"/>
          </w:tcPr>
          <w:p w14:paraId="17C6FAA2" w14:textId="77777777" w:rsidR="00236360" w:rsidRPr="00E1562C" w:rsidRDefault="00236360" w:rsidP="006338AA">
            <w:r w:rsidRPr="00E1562C">
              <w:t>1.53 (1.07)</w:t>
            </w:r>
          </w:p>
        </w:tc>
        <w:tc>
          <w:tcPr>
            <w:tcW w:w="1656" w:type="dxa"/>
          </w:tcPr>
          <w:p w14:paraId="4789E25B" w14:textId="77777777" w:rsidR="00236360" w:rsidRPr="00E1562C" w:rsidRDefault="00236360" w:rsidP="006338AA">
            <w:r w:rsidRPr="00E1562C">
              <w:t>1.15 (1.02)</w:t>
            </w:r>
          </w:p>
        </w:tc>
        <w:tc>
          <w:tcPr>
            <w:tcW w:w="3502" w:type="dxa"/>
          </w:tcPr>
          <w:p w14:paraId="0FBD9E2B" w14:textId="77777777" w:rsidR="00236360" w:rsidRPr="00E1562C" w:rsidRDefault="00236360" w:rsidP="006338AA">
            <w:proofErr w:type="gramStart"/>
            <w:r w:rsidRPr="00E1562C">
              <w:rPr>
                <w:i/>
              </w:rPr>
              <w:t>F</w:t>
            </w:r>
            <w:r w:rsidRPr="00E1562C">
              <w:t>(</w:t>
            </w:r>
            <w:proofErr w:type="gramEnd"/>
            <w:r w:rsidRPr="00E1562C">
              <w:t xml:space="preserve">2,189) = 1.86, </w:t>
            </w:r>
            <w:proofErr w:type="spellStart"/>
            <w:r w:rsidRPr="00E1562C">
              <w:rPr>
                <w:i/>
              </w:rPr>
              <w:t>p</w:t>
            </w:r>
            <w:r w:rsidRPr="00E1562C">
              <w:rPr>
                <w:i/>
                <w:vertAlign w:val="subscript"/>
              </w:rPr>
              <w:t>FDR</w:t>
            </w:r>
            <w:proofErr w:type="spellEnd"/>
            <w:r w:rsidRPr="00E1562C">
              <w:rPr>
                <w:i/>
              </w:rPr>
              <w:t xml:space="preserve"> </w:t>
            </w:r>
            <w:r w:rsidRPr="00E1562C">
              <w:t xml:space="preserve"> = .184, </w:t>
            </w:r>
            <w:r w:rsidRPr="00E1562C">
              <w:rPr>
                <w:rFonts w:eastAsia="MS Gothic"/>
                <w:color w:val="000000"/>
              </w:rPr>
              <w:t>η</w:t>
            </w:r>
            <w:r w:rsidRPr="00E1562C">
              <w:rPr>
                <w:rFonts w:eastAsia="MS Gothic"/>
                <w:color w:val="000000"/>
                <w:vertAlign w:val="subscript"/>
              </w:rPr>
              <w:t>p</w:t>
            </w:r>
            <w:r w:rsidRPr="00E1562C">
              <w:rPr>
                <w:rFonts w:eastAsia="MS Gothic"/>
                <w:color w:val="000000"/>
                <w:vertAlign w:val="superscript"/>
              </w:rPr>
              <w:t>2</w:t>
            </w:r>
            <w:r w:rsidRPr="00E1562C">
              <w:rPr>
                <w:rFonts w:eastAsia="MS Gothic"/>
                <w:color w:val="000000"/>
              </w:rPr>
              <w:t xml:space="preserve"> = 0.02</w:t>
            </w:r>
          </w:p>
        </w:tc>
        <w:tc>
          <w:tcPr>
            <w:tcW w:w="2946" w:type="dxa"/>
          </w:tcPr>
          <w:p w14:paraId="78699AAE" w14:textId="77777777" w:rsidR="00236360" w:rsidRPr="008B10A7" w:rsidRDefault="00236360" w:rsidP="006338AA">
            <w:pPr>
              <w:jc w:val="center"/>
              <w:rPr>
                <w:highlight w:val="yellow"/>
              </w:rPr>
            </w:pPr>
          </w:p>
        </w:tc>
      </w:tr>
      <w:tr w:rsidR="00236360" w:rsidRPr="000A66FB" w14:paraId="5A1D8D8E" w14:textId="77777777" w:rsidTr="00236360">
        <w:tc>
          <w:tcPr>
            <w:tcW w:w="1661" w:type="dxa"/>
          </w:tcPr>
          <w:p w14:paraId="2A4141EA" w14:textId="77777777" w:rsidR="00236360" w:rsidRPr="00E1562C" w:rsidRDefault="00236360" w:rsidP="006338AA">
            <w:r w:rsidRPr="00E1562C">
              <w:t>Asociality</w:t>
            </w:r>
          </w:p>
        </w:tc>
        <w:tc>
          <w:tcPr>
            <w:tcW w:w="1580" w:type="dxa"/>
          </w:tcPr>
          <w:p w14:paraId="248A6502" w14:textId="77777777" w:rsidR="00236360" w:rsidRPr="00E1562C" w:rsidRDefault="00236360" w:rsidP="006338AA">
            <w:r w:rsidRPr="00E1562C">
              <w:t>1.50 (1.01)</w:t>
            </w:r>
          </w:p>
        </w:tc>
        <w:tc>
          <w:tcPr>
            <w:tcW w:w="1663" w:type="dxa"/>
          </w:tcPr>
          <w:p w14:paraId="6C51BDA3" w14:textId="77777777" w:rsidR="00236360" w:rsidRPr="00E1562C" w:rsidRDefault="00236360" w:rsidP="006338AA">
            <w:r w:rsidRPr="00E1562C">
              <w:t>2.06 (1.00)</w:t>
            </w:r>
          </w:p>
        </w:tc>
        <w:tc>
          <w:tcPr>
            <w:tcW w:w="1656" w:type="dxa"/>
          </w:tcPr>
          <w:p w14:paraId="16E51419" w14:textId="77777777" w:rsidR="00236360" w:rsidRPr="00E1562C" w:rsidRDefault="00236360" w:rsidP="006338AA">
            <w:r w:rsidRPr="00E1562C">
              <w:t>1.69 (0.96)</w:t>
            </w:r>
          </w:p>
        </w:tc>
        <w:tc>
          <w:tcPr>
            <w:tcW w:w="3502" w:type="dxa"/>
          </w:tcPr>
          <w:p w14:paraId="6D40BC8D" w14:textId="77777777" w:rsidR="00236360" w:rsidRPr="00E1562C" w:rsidRDefault="00236360" w:rsidP="006338AA">
            <w:proofErr w:type="gramStart"/>
            <w:r w:rsidRPr="00E1562C">
              <w:rPr>
                <w:i/>
              </w:rPr>
              <w:t>F</w:t>
            </w:r>
            <w:r w:rsidRPr="00E1562C">
              <w:t>(</w:t>
            </w:r>
            <w:proofErr w:type="gramEnd"/>
            <w:r w:rsidRPr="00E1562C">
              <w:t xml:space="preserve">2,190) = 3.22, </w:t>
            </w:r>
            <w:proofErr w:type="spellStart"/>
            <w:r w:rsidRPr="00E1562C">
              <w:rPr>
                <w:i/>
              </w:rPr>
              <w:t>p</w:t>
            </w:r>
            <w:r w:rsidRPr="00E1562C">
              <w:rPr>
                <w:i/>
                <w:vertAlign w:val="subscript"/>
              </w:rPr>
              <w:t>FDR</w:t>
            </w:r>
            <w:proofErr w:type="spellEnd"/>
            <w:r w:rsidRPr="00E1562C">
              <w:rPr>
                <w:i/>
              </w:rPr>
              <w:t xml:space="preserve"> </w:t>
            </w:r>
            <w:r w:rsidRPr="00E1562C">
              <w:t xml:space="preserve"> = .059 (</w:t>
            </w:r>
            <w:proofErr w:type="spellStart"/>
            <w:r w:rsidRPr="00E1562C">
              <w:rPr>
                <w:i/>
                <w:iCs/>
              </w:rPr>
              <w:t>p</w:t>
            </w:r>
            <w:r w:rsidRPr="00E1562C">
              <w:rPr>
                <w:i/>
                <w:iCs/>
                <w:vertAlign w:val="subscript"/>
              </w:rPr>
              <w:t>uncorrected</w:t>
            </w:r>
            <w:proofErr w:type="spellEnd"/>
            <w:r w:rsidRPr="00E1562C">
              <w:t xml:space="preserve"> = .042), </w:t>
            </w:r>
            <w:r w:rsidRPr="00E1562C">
              <w:rPr>
                <w:rFonts w:eastAsia="MS Gothic"/>
                <w:color w:val="000000"/>
              </w:rPr>
              <w:t>η</w:t>
            </w:r>
            <w:r w:rsidRPr="00E1562C">
              <w:rPr>
                <w:rFonts w:eastAsia="MS Gothic"/>
                <w:color w:val="000000"/>
                <w:vertAlign w:val="subscript"/>
              </w:rPr>
              <w:t>p</w:t>
            </w:r>
            <w:r w:rsidRPr="00E1562C">
              <w:rPr>
                <w:rFonts w:eastAsia="MS Gothic"/>
                <w:color w:val="000000"/>
                <w:vertAlign w:val="superscript"/>
              </w:rPr>
              <w:t>2</w:t>
            </w:r>
            <w:r w:rsidRPr="00E1562C">
              <w:rPr>
                <w:rFonts w:eastAsia="MS Gothic"/>
                <w:color w:val="000000"/>
              </w:rPr>
              <w:t xml:space="preserve"> = 0.03</w:t>
            </w:r>
          </w:p>
        </w:tc>
        <w:tc>
          <w:tcPr>
            <w:tcW w:w="2946" w:type="dxa"/>
          </w:tcPr>
          <w:p w14:paraId="678E5346" w14:textId="77777777" w:rsidR="00236360" w:rsidRPr="003F2A5F" w:rsidRDefault="00236360" w:rsidP="006338AA">
            <w:r w:rsidRPr="003F2A5F">
              <w:t>Clus2 &gt; Clus1 (</w:t>
            </w:r>
            <w:r w:rsidRPr="003F2A5F">
              <w:rPr>
                <w:i/>
              </w:rPr>
              <w:t xml:space="preserve">p </w:t>
            </w:r>
            <w:r w:rsidRPr="003F2A5F">
              <w:t>= .037)</w:t>
            </w:r>
          </w:p>
        </w:tc>
      </w:tr>
      <w:tr w:rsidR="00236360" w:rsidRPr="000A66FB" w14:paraId="5850A074" w14:textId="77777777" w:rsidTr="00236360">
        <w:tc>
          <w:tcPr>
            <w:tcW w:w="1661" w:type="dxa"/>
          </w:tcPr>
          <w:p w14:paraId="3ACC545B" w14:textId="77777777" w:rsidR="00236360" w:rsidRPr="00E1562C" w:rsidRDefault="00236360" w:rsidP="006338AA">
            <w:r w:rsidRPr="00E1562C">
              <w:t>Avolition</w:t>
            </w:r>
          </w:p>
        </w:tc>
        <w:tc>
          <w:tcPr>
            <w:tcW w:w="1580" w:type="dxa"/>
          </w:tcPr>
          <w:p w14:paraId="4BCD03BF" w14:textId="77777777" w:rsidR="00236360" w:rsidRPr="00E1562C" w:rsidRDefault="00236360" w:rsidP="006338AA">
            <w:r w:rsidRPr="00E1562C">
              <w:t>1.37 (0.91)</w:t>
            </w:r>
          </w:p>
        </w:tc>
        <w:tc>
          <w:tcPr>
            <w:tcW w:w="1663" w:type="dxa"/>
          </w:tcPr>
          <w:p w14:paraId="13158451" w14:textId="77777777" w:rsidR="00236360" w:rsidRPr="00E1562C" w:rsidRDefault="00236360" w:rsidP="006338AA">
            <w:r w:rsidRPr="00E1562C">
              <w:t>1.71 (0.98)</w:t>
            </w:r>
          </w:p>
        </w:tc>
        <w:tc>
          <w:tcPr>
            <w:tcW w:w="1656" w:type="dxa"/>
          </w:tcPr>
          <w:p w14:paraId="3B81C74E" w14:textId="77777777" w:rsidR="00236360" w:rsidRPr="00E1562C" w:rsidRDefault="00236360" w:rsidP="006338AA">
            <w:r w:rsidRPr="00E1562C">
              <w:t>1.46 (0.99)</w:t>
            </w:r>
          </w:p>
        </w:tc>
        <w:tc>
          <w:tcPr>
            <w:tcW w:w="3502" w:type="dxa"/>
          </w:tcPr>
          <w:p w14:paraId="7CC7D7CB" w14:textId="77777777" w:rsidR="00236360" w:rsidRPr="00E1562C" w:rsidRDefault="00236360" w:rsidP="006338AA">
            <w:proofErr w:type="gramStart"/>
            <w:r w:rsidRPr="00E1562C">
              <w:rPr>
                <w:i/>
              </w:rPr>
              <w:t>F</w:t>
            </w:r>
            <w:r w:rsidRPr="00E1562C">
              <w:t>(</w:t>
            </w:r>
            <w:proofErr w:type="gramEnd"/>
            <w:r w:rsidRPr="00E1562C">
              <w:t xml:space="preserve">2,190) = 1.34, </w:t>
            </w:r>
            <w:proofErr w:type="spellStart"/>
            <w:r w:rsidRPr="00E1562C">
              <w:rPr>
                <w:i/>
              </w:rPr>
              <w:t>p</w:t>
            </w:r>
            <w:r w:rsidRPr="00E1562C">
              <w:rPr>
                <w:i/>
                <w:vertAlign w:val="subscript"/>
              </w:rPr>
              <w:t>FDR</w:t>
            </w:r>
            <w:proofErr w:type="spellEnd"/>
            <w:r w:rsidRPr="00E1562C">
              <w:rPr>
                <w:i/>
              </w:rPr>
              <w:t xml:space="preserve"> </w:t>
            </w:r>
            <w:r w:rsidRPr="00E1562C">
              <w:t xml:space="preserve"> = .265, </w:t>
            </w:r>
            <w:r w:rsidRPr="00E1562C">
              <w:rPr>
                <w:rFonts w:eastAsia="MS Gothic"/>
                <w:color w:val="000000"/>
              </w:rPr>
              <w:t>η</w:t>
            </w:r>
            <w:r w:rsidRPr="00E1562C">
              <w:rPr>
                <w:rFonts w:eastAsia="MS Gothic"/>
                <w:color w:val="000000"/>
                <w:vertAlign w:val="subscript"/>
              </w:rPr>
              <w:t>p</w:t>
            </w:r>
            <w:r w:rsidRPr="00E1562C">
              <w:rPr>
                <w:rFonts w:eastAsia="MS Gothic"/>
                <w:color w:val="000000"/>
                <w:vertAlign w:val="superscript"/>
              </w:rPr>
              <w:t>2</w:t>
            </w:r>
            <w:r w:rsidRPr="00E1562C">
              <w:rPr>
                <w:rFonts w:eastAsia="MS Gothic"/>
                <w:color w:val="000000"/>
              </w:rPr>
              <w:t xml:space="preserve"> = 0.01</w:t>
            </w:r>
          </w:p>
        </w:tc>
        <w:tc>
          <w:tcPr>
            <w:tcW w:w="2946" w:type="dxa"/>
          </w:tcPr>
          <w:p w14:paraId="19AE8C7F" w14:textId="77777777" w:rsidR="00236360" w:rsidRPr="008B10A7" w:rsidRDefault="00236360" w:rsidP="006338AA">
            <w:pPr>
              <w:jc w:val="center"/>
              <w:rPr>
                <w:highlight w:val="yellow"/>
              </w:rPr>
            </w:pPr>
          </w:p>
        </w:tc>
      </w:tr>
      <w:tr w:rsidR="00236360" w:rsidRPr="000A66FB" w14:paraId="6C0D824E" w14:textId="77777777" w:rsidTr="00236360">
        <w:tc>
          <w:tcPr>
            <w:tcW w:w="1661" w:type="dxa"/>
          </w:tcPr>
          <w:p w14:paraId="28286473" w14:textId="77777777" w:rsidR="00236360" w:rsidRPr="00E1562C" w:rsidRDefault="00236360" w:rsidP="006338AA">
            <w:r w:rsidRPr="00E1562C">
              <w:t>Blunted Affect</w:t>
            </w:r>
          </w:p>
        </w:tc>
        <w:tc>
          <w:tcPr>
            <w:tcW w:w="1580" w:type="dxa"/>
          </w:tcPr>
          <w:p w14:paraId="30A24F3E" w14:textId="77777777" w:rsidR="00236360" w:rsidRPr="00E1562C" w:rsidRDefault="00236360" w:rsidP="006338AA">
            <w:r w:rsidRPr="00E1562C">
              <w:t>0.77 (1.06)</w:t>
            </w:r>
          </w:p>
        </w:tc>
        <w:tc>
          <w:tcPr>
            <w:tcW w:w="1663" w:type="dxa"/>
          </w:tcPr>
          <w:p w14:paraId="5DC6D197" w14:textId="77777777" w:rsidR="00236360" w:rsidRPr="00E1562C" w:rsidRDefault="00236360" w:rsidP="006338AA">
            <w:r w:rsidRPr="00E1562C">
              <w:t>1.64 (1.38)</w:t>
            </w:r>
          </w:p>
        </w:tc>
        <w:tc>
          <w:tcPr>
            <w:tcW w:w="1656" w:type="dxa"/>
          </w:tcPr>
          <w:p w14:paraId="2F63866B" w14:textId="77777777" w:rsidR="00236360" w:rsidRPr="00E1562C" w:rsidRDefault="00236360" w:rsidP="006338AA">
            <w:r w:rsidRPr="00E1562C">
              <w:t xml:space="preserve">0.92 (1.05)  </w:t>
            </w:r>
          </w:p>
        </w:tc>
        <w:tc>
          <w:tcPr>
            <w:tcW w:w="3502" w:type="dxa"/>
          </w:tcPr>
          <w:p w14:paraId="18287451" w14:textId="77777777" w:rsidR="00236360" w:rsidRPr="00E1562C" w:rsidRDefault="00236360" w:rsidP="006338AA">
            <w:proofErr w:type="gramStart"/>
            <w:r w:rsidRPr="00E1562C">
              <w:rPr>
                <w:i/>
              </w:rPr>
              <w:t>F</w:t>
            </w:r>
            <w:r w:rsidRPr="00E1562C">
              <w:t>(</w:t>
            </w:r>
            <w:proofErr w:type="gramEnd"/>
            <w:r w:rsidRPr="00E1562C">
              <w:t xml:space="preserve">2,188) = 6.79, </w:t>
            </w:r>
            <w:proofErr w:type="spellStart"/>
            <w:r w:rsidRPr="00E1562C">
              <w:rPr>
                <w:i/>
              </w:rPr>
              <w:t>p</w:t>
            </w:r>
            <w:r w:rsidRPr="00E1562C">
              <w:rPr>
                <w:i/>
                <w:vertAlign w:val="subscript"/>
              </w:rPr>
              <w:t>FDR</w:t>
            </w:r>
            <w:proofErr w:type="spellEnd"/>
            <w:r w:rsidRPr="00E1562C">
              <w:rPr>
                <w:i/>
              </w:rPr>
              <w:t xml:space="preserve"> </w:t>
            </w:r>
            <w:r w:rsidRPr="00E1562C">
              <w:t xml:space="preserve"> = .021, </w:t>
            </w:r>
            <w:r w:rsidRPr="00E1562C">
              <w:rPr>
                <w:rFonts w:eastAsia="MS Gothic"/>
                <w:color w:val="000000"/>
              </w:rPr>
              <w:t>η</w:t>
            </w:r>
            <w:r w:rsidRPr="00E1562C">
              <w:rPr>
                <w:rFonts w:eastAsia="MS Gothic"/>
                <w:color w:val="000000"/>
                <w:vertAlign w:val="subscript"/>
              </w:rPr>
              <w:t>p</w:t>
            </w:r>
            <w:r w:rsidRPr="00E1562C">
              <w:rPr>
                <w:rFonts w:eastAsia="MS Gothic"/>
                <w:color w:val="000000"/>
                <w:vertAlign w:val="superscript"/>
              </w:rPr>
              <w:t>2</w:t>
            </w:r>
            <w:r w:rsidRPr="00E1562C">
              <w:rPr>
                <w:rFonts w:eastAsia="MS Gothic"/>
                <w:color w:val="000000"/>
              </w:rPr>
              <w:t xml:space="preserve"> = 0.07</w:t>
            </w:r>
          </w:p>
        </w:tc>
        <w:tc>
          <w:tcPr>
            <w:tcW w:w="2946" w:type="dxa"/>
          </w:tcPr>
          <w:p w14:paraId="6302F8CD" w14:textId="77777777" w:rsidR="00236360" w:rsidRPr="00F06923" w:rsidRDefault="00236360" w:rsidP="006338AA">
            <w:r w:rsidRPr="00F06923">
              <w:t>Clus2 &gt; Clus1 (</w:t>
            </w:r>
            <w:r w:rsidRPr="00F06923">
              <w:rPr>
                <w:i/>
              </w:rPr>
              <w:t xml:space="preserve">p </w:t>
            </w:r>
            <w:r w:rsidRPr="00F06923">
              <w:t>= .002)</w:t>
            </w:r>
          </w:p>
          <w:p w14:paraId="040FC537" w14:textId="77777777" w:rsidR="00236360" w:rsidRPr="008B10A7" w:rsidRDefault="00236360" w:rsidP="006338AA">
            <w:pPr>
              <w:rPr>
                <w:highlight w:val="yellow"/>
              </w:rPr>
            </w:pPr>
            <w:r w:rsidRPr="00F06923">
              <w:t>Clus2 &gt; Clus3 (</w:t>
            </w:r>
            <w:r w:rsidRPr="00F06923">
              <w:rPr>
                <w:i/>
              </w:rPr>
              <w:t xml:space="preserve">p </w:t>
            </w:r>
            <w:r w:rsidRPr="00F06923">
              <w:t>= .004)</w:t>
            </w:r>
          </w:p>
        </w:tc>
      </w:tr>
      <w:tr w:rsidR="00236360" w:rsidRPr="000A66FB" w14:paraId="20DC0C9E" w14:textId="77777777" w:rsidTr="00236360">
        <w:tc>
          <w:tcPr>
            <w:tcW w:w="1661" w:type="dxa"/>
          </w:tcPr>
          <w:p w14:paraId="5D4CD46F" w14:textId="77777777" w:rsidR="00236360" w:rsidRPr="00E1562C" w:rsidRDefault="00236360" w:rsidP="006338AA">
            <w:r w:rsidRPr="00E1562C">
              <w:t>Alogia</w:t>
            </w:r>
          </w:p>
        </w:tc>
        <w:tc>
          <w:tcPr>
            <w:tcW w:w="1580" w:type="dxa"/>
          </w:tcPr>
          <w:p w14:paraId="677E87F4" w14:textId="77777777" w:rsidR="00236360" w:rsidRPr="00E1562C" w:rsidRDefault="00236360" w:rsidP="006338AA">
            <w:r w:rsidRPr="00E1562C">
              <w:t>0.37 (0.63)</w:t>
            </w:r>
          </w:p>
        </w:tc>
        <w:tc>
          <w:tcPr>
            <w:tcW w:w="1663" w:type="dxa"/>
          </w:tcPr>
          <w:p w14:paraId="7C328F7A" w14:textId="77777777" w:rsidR="00236360" w:rsidRPr="00E1562C" w:rsidRDefault="00236360" w:rsidP="006338AA">
            <w:r w:rsidRPr="00E1562C">
              <w:t>1.06 (1.22)</w:t>
            </w:r>
          </w:p>
        </w:tc>
        <w:tc>
          <w:tcPr>
            <w:tcW w:w="1656" w:type="dxa"/>
          </w:tcPr>
          <w:p w14:paraId="3AB7347B" w14:textId="77777777" w:rsidR="00236360" w:rsidRPr="00E1562C" w:rsidRDefault="00236360" w:rsidP="006338AA">
            <w:r w:rsidRPr="00E1562C">
              <w:t>0.47 (0.80)</w:t>
            </w:r>
          </w:p>
        </w:tc>
        <w:tc>
          <w:tcPr>
            <w:tcW w:w="3502" w:type="dxa"/>
          </w:tcPr>
          <w:p w14:paraId="21652196" w14:textId="77777777" w:rsidR="00236360" w:rsidRPr="00E1562C" w:rsidRDefault="00236360" w:rsidP="006338AA">
            <w:proofErr w:type="gramStart"/>
            <w:r w:rsidRPr="00E1562C">
              <w:rPr>
                <w:i/>
              </w:rPr>
              <w:t>F</w:t>
            </w:r>
            <w:r w:rsidRPr="00E1562C">
              <w:rPr>
                <w:i/>
                <w:vertAlign w:val="subscript"/>
              </w:rPr>
              <w:t>W</w:t>
            </w:r>
            <w:r w:rsidRPr="00E1562C">
              <w:t>(</w:t>
            </w:r>
            <w:proofErr w:type="gramEnd"/>
            <w:r w:rsidRPr="00E1562C">
              <w:t xml:space="preserve">2,73.85) = 4.53, </w:t>
            </w:r>
            <w:proofErr w:type="spellStart"/>
            <w:r w:rsidRPr="00E1562C">
              <w:rPr>
                <w:i/>
              </w:rPr>
              <w:t>p</w:t>
            </w:r>
            <w:r w:rsidRPr="00E1562C">
              <w:rPr>
                <w:i/>
                <w:vertAlign w:val="subscript"/>
              </w:rPr>
              <w:t>FDR</w:t>
            </w:r>
            <w:proofErr w:type="spellEnd"/>
            <w:r w:rsidRPr="00E1562C">
              <w:rPr>
                <w:i/>
              </w:rPr>
              <w:t xml:space="preserve"> </w:t>
            </w:r>
            <w:r w:rsidRPr="00E1562C">
              <w:t xml:space="preserve"> = .033, </w:t>
            </w:r>
            <w:r w:rsidRPr="00E1562C">
              <w:rPr>
                <w:rFonts w:eastAsia="MS Gothic"/>
                <w:color w:val="000000"/>
              </w:rPr>
              <w:t>η</w:t>
            </w:r>
            <w:r w:rsidRPr="00E1562C">
              <w:rPr>
                <w:rFonts w:eastAsia="MS Gothic"/>
                <w:color w:val="000000"/>
                <w:vertAlign w:val="subscript"/>
              </w:rPr>
              <w:t>p</w:t>
            </w:r>
            <w:r w:rsidRPr="00E1562C">
              <w:rPr>
                <w:rFonts w:eastAsia="MS Gothic"/>
                <w:color w:val="000000"/>
                <w:vertAlign w:val="superscript"/>
              </w:rPr>
              <w:t>2</w:t>
            </w:r>
            <w:r w:rsidRPr="00E1562C">
              <w:rPr>
                <w:rFonts w:eastAsia="MS Gothic"/>
                <w:color w:val="000000"/>
              </w:rPr>
              <w:t xml:space="preserve"> = 0.08</w:t>
            </w:r>
          </w:p>
        </w:tc>
        <w:tc>
          <w:tcPr>
            <w:tcW w:w="2946" w:type="dxa"/>
          </w:tcPr>
          <w:p w14:paraId="3FC6353C" w14:textId="77777777" w:rsidR="00236360" w:rsidRPr="000628D6" w:rsidRDefault="00236360" w:rsidP="006338AA">
            <w:r w:rsidRPr="000628D6">
              <w:t>Clus2 &gt; Clus1 (</w:t>
            </w:r>
            <w:r w:rsidRPr="000628D6">
              <w:rPr>
                <w:i/>
              </w:rPr>
              <w:t xml:space="preserve">p </w:t>
            </w:r>
            <w:r w:rsidRPr="000628D6">
              <w:t>= .012)</w:t>
            </w:r>
          </w:p>
          <w:p w14:paraId="31F50C0D" w14:textId="77777777" w:rsidR="00236360" w:rsidRPr="008B10A7" w:rsidRDefault="00236360" w:rsidP="006338AA">
            <w:pPr>
              <w:rPr>
                <w:highlight w:val="yellow"/>
              </w:rPr>
            </w:pPr>
            <w:r w:rsidRPr="000628D6">
              <w:t>Clus2 &gt; Clus3 (</w:t>
            </w:r>
            <w:r w:rsidRPr="000628D6">
              <w:rPr>
                <w:i/>
                <w:iCs/>
              </w:rPr>
              <w:t>p</w:t>
            </w:r>
            <w:r w:rsidRPr="000628D6">
              <w:t xml:space="preserve"> = .034)</w:t>
            </w:r>
          </w:p>
        </w:tc>
      </w:tr>
      <w:tr w:rsidR="00236360" w:rsidRPr="000A66FB" w14:paraId="76ACFCE6" w14:textId="77777777" w:rsidTr="00236360">
        <w:tc>
          <w:tcPr>
            <w:tcW w:w="1661" w:type="dxa"/>
          </w:tcPr>
          <w:p w14:paraId="34DCBE39" w14:textId="77777777" w:rsidR="00236360" w:rsidRPr="008714A3" w:rsidRDefault="00236360" w:rsidP="006338AA">
            <w:pPr>
              <w:rPr>
                <w:vertAlign w:val="superscript"/>
              </w:rPr>
            </w:pPr>
            <w:r w:rsidRPr="008714A3">
              <w:t>Proxy Primary Negative Symptom Score (</w:t>
            </w:r>
            <w:r w:rsidRPr="008714A3">
              <w:rPr>
                <w:i/>
              </w:rPr>
              <w:t>z</w:t>
            </w:r>
            <w:r w:rsidRPr="008714A3">
              <w:t>-</w:t>
            </w:r>
            <w:proofErr w:type="gramStart"/>
            <w:r w:rsidRPr="008714A3">
              <w:t>score)</w:t>
            </w:r>
            <w:r w:rsidRPr="008714A3">
              <w:rPr>
                <w:vertAlign w:val="superscript"/>
              </w:rPr>
              <w:t>a</w:t>
            </w:r>
            <w:proofErr w:type="gramEnd"/>
          </w:p>
        </w:tc>
        <w:tc>
          <w:tcPr>
            <w:tcW w:w="1580" w:type="dxa"/>
          </w:tcPr>
          <w:p w14:paraId="137A6CB9" w14:textId="77777777" w:rsidR="00236360" w:rsidRPr="008714A3" w:rsidRDefault="00236360" w:rsidP="006338AA">
            <w:pPr>
              <w:rPr>
                <w:rFonts w:eastAsia="MS Gothic"/>
                <w:color w:val="000000"/>
              </w:rPr>
            </w:pPr>
            <w:r w:rsidRPr="008714A3">
              <w:rPr>
                <w:rFonts w:eastAsia="MS Gothic"/>
                <w:color w:val="000000"/>
              </w:rPr>
              <w:t>−</w:t>
            </w:r>
            <w:r w:rsidRPr="008714A3">
              <w:t>0.05 (1.01)</w:t>
            </w:r>
          </w:p>
        </w:tc>
        <w:tc>
          <w:tcPr>
            <w:tcW w:w="1663" w:type="dxa"/>
          </w:tcPr>
          <w:p w14:paraId="5AA9AAC8" w14:textId="77777777" w:rsidR="00236360" w:rsidRPr="008714A3" w:rsidRDefault="00236360" w:rsidP="006338AA">
            <w:r w:rsidRPr="008714A3">
              <w:t>0.34 (1.00)</w:t>
            </w:r>
          </w:p>
        </w:tc>
        <w:tc>
          <w:tcPr>
            <w:tcW w:w="1656" w:type="dxa"/>
          </w:tcPr>
          <w:p w14:paraId="3A098FA0" w14:textId="77777777" w:rsidR="00236360" w:rsidRPr="008714A3" w:rsidRDefault="00236360" w:rsidP="006338AA">
            <w:r w:rsidRPr="008714A3">
              <w:rPr>
                <w:rFonts w:eastAsia="MS Gothic"/>
                <w:color w:val="000000"/>
              </w:rPr>
              <w:t>−</w:t>
            </w:r>
            <w:r w:rsidRPr="008714A3">
              <w:t>0.09 (0.98)</w:t>
            </w:r>
          </w:p>
        </w:tc>
        <w:tc>
          <w:tcPr>
            <w:tcW w:w="3502" w:type="dxa"/>
          </w:tcPr>
          <w:p w14:paraId="1BD7C638" w14:textId="77777777" w:rsidR="00236360" w:rsidRPr="008714A3" w:rsidRDefault="00236360" w:rsidP="006338AA">
            <w:proofErr w:type="gramStart"/>
            <w:r w:rsidRPr="008714A3">
              <w:rPr>
                <w:i/>
              </w:rPr>
              <w:t>F</w:t>
            </w:r>
            <w:r w:rsidRPr="008714A3">
              <w:t>(</w:t>
            </w:r>
            <w:proofErr w:type="gramEnd"/>
            <w:r w:rsidRPr="008714A3">
              <w:t xml:space="preserve">2,188) = 2.39, </w:t>
            </w:r>
            <w:r w:rsidRPr="008714A3">
              <w:rPr>
                <w:i/>
              </w:rPr>
              <w:t xml:space="preserve">p </w:t>
            </w:r>
            <w:r w:rsidRPr="008714A3">
              <w:t xml:space="preserve"> = .095, </w:t>
            </w:r>
            <w:r w:rsidRPr="008714A3">
              <w:rPr>
                <w:rFonts w:eastAsia="MS Gothic"/>
                <w:color w:val="000000"/>
              </w:rPr>
              <w:t>η</w:t>
            </w:r>
            <w:r w:rsidRPr="008714A3">
              <w:rPr>
                <w:rFonts w:eastAsia="MS Gothic"/>
                <w:color w:val="000000"/>
                <w:vertAlign w:val="subscript"/>
              </w:rPr>
              <w:t>p</w:t>
            </w:r>
            <w:r w:rsidRPr="008714A3">
              <w:rPr>
                <w:rFonts w:eastAsia="MS Gothic"/>
                <w:color w:val="000000"/>
                <w:vertAlign w:val="superscript"/>
              </w:rPr>
              <w:t>2</w:t>
            </w:r>
            <w:r w:rsidRPr="008714A3">
              <w:rPr>
                <w:rFonts w:eastAsia="MS Gothic"/>
                <w:color w:val="000000"/>
              </w:rPr>
              <w:t xml:space="preserve"> = 0.03</w:t>
            </w:r>
          </w:p>
        </w:tc>
        <w:tc>
          <w:tcPr>
            <w:tcW w:w="2946" w:type="dxa"/>
          </w:tcPr>
          <w:p w14:paraId="3FDC04B2" w14:textId="77777777" w:rsidR="00236360" w:rsidRPr="008B10A7" w:rsidRDefault="00236360" w:rsidP="006338AA">
            <w:pPr>
              <w:rPr>
                <w:highlight w:val="yellow"/>
              </w:rPr>
            </w:pPr>
          </w:p>
        </w:tc>
      </w:tr>
      <w:tr w:rsidR="00236360" w:rsidRPr="000A66FB" w14:paraId="5A4F0C7C" w14:textId="77777777" w:rsidTr="00236360">
        <w:tc>
          <w:tcPr>
            <w:tcW w:w="1661" w:type="dxa"/>
          </w:tcPr>
          <w:p w14:paraId="656EF465" w14:textId="77777777" w:rsidR="00236360" w:rsidRPr="00727C11" w:rsidRDefault="00236360" w:rsidP="006338AA">
            <w:r w:rsidRPr="00727C11">
              <w:t>SIPS Positive (Total)</w:t>
            </w:r>
          </w:p>
        </w:tc>
        <w:tc>
          <w:tcPr>
            <w:tcW w:w="1580" w:type="dxa"/>
          </w:tcPr>
          <w:p w14:paraId="6CA2B5CF" w14:textId="77777777" w:rsidR="00236360" w:rsidRPr="00727C11" w:rsidRDefault="00236360" w:rsidP="006338AA">
            <w:r w:rsidRPr="00727C11">
              <w:t>7.69 (4.63)</w:t>
            </w:r>
          </w:p>
        </w:tc>
        <w:tc>
          <w:tcPr>
            <w:tcW w:w="1663" w:type="dxa"/>
          </w:tcPr>
          <w:p w14:paraId="3925AE5A" w14:textId="77777777" w:rsidR="00236360" w:rsidRPr="00727C11" w:rsidRDefault="00236360" w:rsidP="006338AA">
            <w:r w:rsidRPr="00727C11">
              <w:t>7.62 (4.70)</w:t>
            </w:r>
          </w:p>
        </w:tc>
        <w:tc>
          <w:tcPr>
            <w:tcW w:w="1656" w:type="dxa"/>
          </w:tcPr>
          <w:p w14:paraId="759E78C0" w14:textId="77777777" w:rsidR="00236360" w:rsidRPr="00727C11" w:rsidRDefault="00236360" w:rsidP="006338AA">
            <w:r w:rsidRPr="00727C11">
              <w:t>7.80 (4.40)</w:t>
            </w:r>
          </w:p>
        </w:tc>
        <w:tc>
          <w:tcPr>
            <w:tcW w:w="3502" w:type="dxa"/>
          </w:tcPr>
          <w:p w14:paraId="5B8B5795" w14:textId="77777777" w:rsidR="00236360" w:rsidRPr="00727C11" w:rsidRDefault="00236360" w:rsidP="006338AA">
            <w:proofErr w:type="gramStart"/>
            <w:r w:rsidRPr="00727C11">
              <w:rPr>
                <w:i/>
              </w:rPr>
              <w:t>F</w:t>
            </w:r>
            <w:r w:rsidRPr="00727C11">
              <w:t>(</w:t>
            </w:r>
            <w:proofErr w:type="gramEnd"/>
            <w:r w:rsidRPr="00727C11">
              <w:t xml:space="preserve">2,190) = 0.03, </w:t>
            </w:r>
            <w:r w:rsidRPr="00727C11">
              <w:rPr>
                <w:i/>
              </w:rPr>
              <w:t xml:space="preserve">p </w:t>
            </w:r>
            <w:r w:rsidRPr="00727C11">
              <w:t xml:space="preserve"> = .974, </w:t>
            </w:r>
            <w:r w:rsidRPr="00727C11">
              <w:rPr>
                <w:rFonts w:eastAsia="MS Gothic"/>
                <w:color w:val="000000"/>
              </w:rPr>
              <w:t>η</w:t>
            </w:r>
            <w:r w:rsidRPr="00727C11">
              <w:rPr>
                <w:rFonts w:eastAsia="MS Gothic"/>
                <w:color w:val="000000"/>
                <w:vertAlign w:val="subscript"/>
              </w:rPr>
              <w:t>p</w:t>
            </w:r>
            <w:r w:rsidRPr="00727C11">
              <w:rPr>
                <w:rFonts w:eastAsia="MS Gothic"/>
                <w:color w:val="000000"/>
                <w:vertAlign w:val="superscript"/>
              </w:rPr>
              <w:t>2</w:t>
            </w:r>
            <w:r w:rsidRPr="00727C11">
              <w:rPr>
                <w:rFonts w:eastAsia="MS Gothic"/>
                <w:color w:val="000000"/>
              </w:rPr>
              <w:t xml:space="preserve"> = 0.00</w:t>
            </w:r>
          </w:p>
        </w:tc>
        <w:tc>
          <w:tcPr>
            <w:tcW w:w="2946" w:type="dxa"/>
          </w:tcPr>
          <w:p w14:paraId="0BABD675" w14:textId="77777777" w:rsidR="00236360" w:rsidRPr="008B10A7" w:rsidRDefault="00236360" w:rsidP="006338AA">
            <w:pPr>
              <w:jc w:val="center"/>
              <w:rPr>
                <w:highlight w:val="yellow"/>
              </w:rPr>
            </w:pPr>
          </w:p>
        </w:tc>
      </w:tr>
      <w:tr w:rsidR="00236360" w:rsidRPr="000A66FB" w14:paraId="3E2EFC01" w14:textId="77777777" w:rsidTr="00236360">
        <w:tc>
          <w:tcPr>
            <w:tcW w:w="1661" w:type="dxa"/>
          </w:tcPr>
          <w:p w14:paraId="259EE3EA" w14:textId="77777777" w:rsidR="00236360" w:rsidRPr="00615C6A" w:rsidRDefault="00236360" w:rsidP="006338AA">
            <w:r w:rsidRPr="00615C6A">
              <w:t>CES-D</w:t>
            </w:r>
          </w:p>
        </w:tc>
        <w:tc>
          <w:tcPr>
            <w:tcW w:w="1580" w:type="dxa"/>
          </w:tcPr>
          <w:p w14:paraId="5B9A4CF1" w14:textId="77777777" w:rsidR="00236360" w:rsidRPr="00615C6A" w:rsidRDefault="00236360" w:rsidP="006338AA">
            <w:r w:rsidRPr="00615C6A">
              <w:t>17.70 (8.04)</w:t>
            </w:r>
          </w:p>
        </w:tc>
        <w:tc>
          <w:tcPr>
            <w:tcW w:w="1663" w:type="dxa"/>
          </w:tcPr>
          <w:p w14:paraId="49869796" w14:textId="77777777" w:rsidR="00236360" w:rsidRPr="00615C6A" w:rsidRDefault="00236360" w:rsidP="006338AA">
            <w:r w:rsidRPr="00615C6A">
              <w:t>19.00 (10.20)</w:t>
            </w:r>
          </w:p>
        </w:tc>
        <w:tc>
          <w:tcPr>
            <w:tcW w:w="1656" w:type="dxa"/>
          </w:tcPr>
          <w:p w14:paraId="4B722DC2" w14:textId="77777777" w:rsidR="00236360" w:rsidRPr="00615C6A" w:rsidRDefault="00236360" w:rsidP="006338AA">
            <w:r w:rsidRPr="00615C6A">
              <w:t>17.35 (9.55)</w:t>
            </w:r>
          </w:p>
        </w:tc>
        <w:tc>
          <w:tcPr>
            <w:tcW w:w="3502" w:type="dxa"/>
          </w:tcPr>
          <w:p w14:paraId="76524443" w14:textId="77777777" w:rsidR="00236360" w:rsidRPr="00615C6A" w:rsidRDefault="00236360" w:rsidP="006338AA">
            <w:proofErr w:type="gramStart"/>
            <w:r w:rsidRPr="00615C6A">
              <w:rPr>
                <w:i/>
              </w:rPr>
              <w:t>F</w:t>
            </w:r>
            <w:r w:rsidRPr="00615C6A">
              <w:t>(</w:t>
            </w:r>
            <w:proofErr w:type="gramEnd"/>
            <w:r w:rsidRPr="00615C6A">
              <w:t xml:space="preserve">2,193) = 0.41, </w:t>
            </w:r>
            <w:r w:rsidRPr="00615C6A">
              <w:rPr>
                <w:i/>
              </w:rPr>
              <w:t xml:space="preserve">p </w:t>
            </w:r>
            <w:r w:rsidRPr="00615C6A">
              <w:t xml:space="preserve"> = .665, </w:t>
            </w:r>
            <w:r w:rsidRPr="00615C6A">
              <w:rPr>
                <w:rFonts w:eastAsia="MS Gothic"/>
                <w:color w:val="000000"/>
              </w:rPr>
              <w:t>η</w:t>
            </w:r>
            <w:r w:rsidRPr="00615C6A">
              <w:rPr>
                <w:rFonts w:eastAsia="MS Gothic"/>
                <w:color w:val="000000"/>
                <w:vertAlign w:val="subscript"/>
              </w:rPr>
              <w:t>p</w:t>
            </w:r>
            <w:r w:rsidRPr="00615C6A">
              <w:rPr>
                <w:rFonts w:eastAsia="MS Gothic"/>
                <w:color w:val="000000"/>
                <w:vertAlign w:val="superscript"/>
              </w:rPr>
              <w:t>2</w:t>
            </w:r>
            <w:r w:rsidRPr="00615C6A">
              <w:rPr>
                <w:rFonts w:eastAsia="MS Gothic"/>
                <w:color w:val="000000"/>
              </w:rPr>
              <w:t xml:space="preserve"> = 0.00</w:t>
            </w:r>
          </w:p>
        </w:tc>
        <w:tc>
          <w:tcPr>
            <w:tcW w:w="2946" w:type="dxa"/>
          </w:tcPr>
          <w:p w14:paraId="4D11C7E8" w14:textId="77777777" w:rsidR="00236360" w:rsidRPr="008B10A7" w:rsidRDefault="00236360" w:rsidP="006338AA">
            <w:pPr>
              <w:jc w:val="center"/>
              <w:rPr>
                <w:highlight w:val="yellow"/>
              </w:rPr>
            </w:pPr>
          </w:p>
        </w:tc>
      </w:tr>
      <w:tr w:rsidR="00236360" w:rsidRPr="000A66FB" w14:paraId="57A816A5" w14:textId="77777777" w:rsidTr="00236360">
        <w:tc>
          <w:tcPr>
            <w:tcW w:w="1661" w:type="dxa"/>
          </w:tcPr>
          <w:p w14:paraId="2B867B58" w14:textId="77777777" w:rsidR="00236360" w:rsidRPr="00947BCF" w:rsidRDefault="00236360" w:rsidP="006338AA">
            <w:r w:rsidRPr="00947BCF">
              <w:t>PSS</w:t>
            </w:r>
          </w:p>
        </w:tc>
        <w:tc>
          <w:tcPr>
            <w:tcW w:w="1580" w:type="dxa"/>
          </w:tcPr>
          <w:p w14:paraId="6136B5A9" w14:textId="77777777" w:rsidR="00236360" w:rsidRPr="00947BCF" w:rsidRDefault="00236360" w:rsidP="006338AA">
            <w:r w:rsidRPr="00947BCF">
              <w:t>28.52 (8.30)</w:t>
            </w:r>
          </w:p>
        </w:tc>
        <w:tc>
          <w:tcPr>
            <w:tcW w:w="1663" w:type="dxa"/>
          </w:tcPr>
          <w:p w14:paraId="0AE3F44E" w14:textId="77777777" w:rsidR="00236360" w:rsidRPr="00947BCF" w:rsidRDefault="00236360" w:rsidP="006338AA">
            <w:r w:rsidRPr="00947BCF">
              <w:t>30.21 (9.82)</w:t>
            </w:r>
          </w:p>
        </w:tc>
        <w:tc>
          <w:tcPr>
            <w:tcW w:w="1656" w:type="dxa"/>
          </w:tcPr>
          <w:p w14:paraId="66201AFE" w14:textId="77777777" w:rsidR="00236360" w:rsidRPr="00947BCF" w:rsidRDefault="00236360" w:rsidP="006338AA">
            <w:r w:rsidRPr="00947BCF">
              <w:t>28.93 (8.85)</w:t>
            </w:r>
          </w:p>
        </w:tc>
        <w:tc>
          <w:tcPr>
            <w:tcW w:w="3502" w:type="dxa"/>
          </w:tcPr>
          <w:p w14:paraId="78B86720" w14:textId="77777777" w:rsidR="00236360" w:rsidRPr="00947BCF" w:rsidRDefault="00236360" w:rsidP="006338AA">
            <w:proofErr w:type="gramStart"/>
            <w:r w:rsidRPr="00947BCF">
              <w:rPr>
                <w:i/>
              </w:rPr>
              <w:t>F</w:t>
            </w:r>
            <w:r w:rsidRPr="00947BCF">
              <w:t>(</w:t>
            </w:r>
            <w:proofErr w:type="gramEnd"/>
            <w:r w:rsidRPr="00947BCF">
              <w:t xml:space="preserve">2,193) = 0.40, </w:t>
            </w:r>
            <w:r w:rsidRPr="00947BCF">
              <w:rPr>
                <w:i/>
              </w:rPr>
              <w:t xml:space="preserve">p </w:t>
            </w:r>
            <w:r w:rsidRPr="00947BCF">
              <w:t xml:space="preserve"> = .674, </w:t>
            </w:r>
            <w:r w:rsidRPr="00947BCF">
              <w:rPr>
                <w:rFonts w:eastAsia="MS Gothic"/>
                <w:color w:val="000000"/>
              </w:rPr>
              <w:t>η</w:t>
            </w:r>
            <w:r w:rsidRPr="00947BCF">
              <w:rPr>
                <w:rFonts w:eastAsia="MS Gothic"/>
                <w:color w:val="000000"/>
                <w:vertAlign w:val="subscript"/>
              </w:rPr>
              <w:t>p</w:t>
            </w:r>
            <w:r w:rsidRPr="00947BCF">
              <w:rPr>
                <w:rFonts w:eastAsia="MS Gothic"/>
                <w:color w:val="000000"/>
                <w:vertAlign w:val="superscript"/>
              </w:rPr>
              <w:t>2</w:t>
            </w:r>
            <w:r w:rsidRPr="00947BCF">
              <w:rPr>
                <w:rFonts w:eastAsia="MS Gothic"/>
                <w:color w:val="000000"/>
              </w:rPr>
              <w:t xml:space="preserve"> = 0.00</w:t>
            </w:r>
          </w:p>
        </w:tc>
        <w:tc>
          <w:tcPr>
            <w:tcW w:w="2946" w:type="dxa"/>
          </w:tcPr>
          <w:p w14:paraId="55592332" w14:textId="77777777" w:rsidR="00236360" w:rsidRPr="008B10A7" w:rsidRDefault="00236360" w:rsidP="006338AA">
            <w:pPr>
              <w:jc w:val="center"/>
              <w:rPr>
                <w:highlight w:val="yellow"/>
              </w:rPr>
            </w:pPr>
          </w:p>
        </w:tc>
      </w:tr>
      <w:tr w:rsidR="00236360" w:rsidRPr="000A66FB" w14:paraId="79199DA4" w14:textId="77777777" w:rsidTr="00236360">
        <w:tc>
          <w:tcPr>
            <w:tcW w:w="1661" w:type="dxa"/>
          </w:tcPr>
          <w:p w14:paraId="66799DD8" w14:textId="77777777" w:rsidR="00236360" w:rsidRPr="004856EE" w:rsidRDefault="00236360" w:rsidP="006338AA">
            <w:r w:rsidRPr="004856EE">
              <w:t>STAI (Trait)</w:t>
            </w:r>
          </w:p>
        </w:tc>
        <w:tc>
          <w:tcPr>
            <w:tcW w:w="1580" w:type="dxa"/>
          </w:tcPr>
          <w:p w14:paraId="62A94281" w14:textId="77777777" w:rsidR="00236360" w:rsidRPr="004856EE" w:rsidRDefault="00236360" w:rsidP="006338AA">
            <w:r w:rsidRPr="004856EE">
              <w:t>16.24 (5.17)</w:t>
            </w:r>
          </w:p>
        </w:tc>
        <w:tc>
          <w:tcPr>
            <w:tcW w:w="1663" w:type="dxa"/>
          </w:tcPr>
          <w:p w14:paraId="1269434E" w14:textId="77777777" w:rsidR="00236360" w:rsidRPr="004856EE" w:rsidRDefault="00236360" w:rsidP="006338AA">
            <w:r w:rsidRPr="004856EE">
              <w:t>17.41 (6.19)</w:t>
            </w:r>
          </w:p>
        </w:tc>
        <w:tc>
          <w:tcPr>
            <w:tcW w:w="1656" w:type="dxa"/>
          </w:tcPr>
          <w:p w14:paraId="6B47C526" w14:textId="77777777" w:rsidR="00236360" w:rsidRPr="004856EE" w:rsidRDefault="00236360" w:rsidP="006338AA">
            <w:r w:rsidRPr="004856EE">
              <w:t xml:space="preserve">16.64 (5.74) </w:t>
            </w:r>
          </w:p>
        </w:tc>
        <w:tc>
          <w:tcPr>
            <w:tcW w:w="3502" w:type="dxa"/>
          </w:tcPr>
          <w:p w14:paraId="3B633D63" w14:textId="77777777" w:rsidR="00236360" w:rsidRPr="004856EE" w:rsidRDefault="00236360" w:rsidP="006338AA">
            <w:proofErr w:type="gramStart"/>
            <w:r w:rsidRPr="004856EE">
              <w:rPr>
                <w:i/>
              </w:rPr>
              <w:t>F</w:t>
            </w:r>
            <w:r w:rsidRPr="004856EE">
              <w:t>(</w:t>
            </w:r>
            <w:proofErr w:type="gramEnd"/>
            <w:r w:rsidRPr="004856EE">
              <w:t xml:space="preserve">2,193) = 0.93, </w:t>
            </w:r>
            <w:r w:rsidRPr="004856EE">
              <w:rPr>
                <w:i/>
              </w:rPr>
              <w:t xml:space="preserve">p </w:t>
            </w:r>
            <w:r w:rsidRPr="004856EE">
              <w:t xml:space="preserve"> = .912, </w:t>
            </w:r>
            <w:r w:rsidRPr="004856EE">
              <w:rPr>
                <w:rFonts w:eastAsia="MS Gothic"/>
                <w:color w:val="000000"/>
              </w:rPr>
              <w:t>η</w:t>
            </w:r>
            <w:r w:rsidRPr="004856EE">
              <w:rPr>
                <w:rFonts w:eastAsia="MS Gothic"/>
                <w:color w:val="000000"/>
                <w:vertAlign w:val="subscript"/>
              </w:rPr>
              <w:t>p</w:t>
            </w:r>
            <w:r w:rsidRPr="004856EE">
              <w:rPr>
                <w:rFonts w:eastAsia="MS Gothic"/>
                <w:color w:val="000000"/>
                <w:vertAlign w:val="superscript"/>
              </w:rPr>
              <w:t>2</w:t>
            </w:r>
            <w:r w:rsidRPr="004856EE">
              <w:rPr>
                <w:rFonts w:eastAsia="MS Gothic"/>
                <w:color w:val="000000"/>
              </w:rPr>
              <w:t xml:space="preserve"> = 0.00</w:t>
            </w:r>
          </w:p>
        </w:tc>
        <w:tc>
          <w:tcPr>
            <w:tcW w:w="2946" w:type="dxa"/>
          </w:tcPr>
          <w:p w14:paraId="6936DF18" w14:textId="77777777" w:rsidR="00236360" w:rsidRPr="008B10A7" w:rsidRDefault="00236360" w:rsidP="006338AA">
            <w:pPr>
              <w:jc w:val="center"/>
              <w:rPr>
                <w:highlight w:val="yellow"/>
              </w:rPr>
            </w:pPr>
          </w:p>
        </w:tc>
      </w:tr>
      <w:tr w:rsidR="00236360" w:rsidRPr="000A66FB" w14:paraId="78F697E6" w14:textId="77777777" w:rsidTr="00236360">
        <w:tc>
          <w:tcPr>
            <w:tcW w:w="1661" w:type="dxa"/>
          </w:tcPr>
          <w:p w14:paraId="66C19B6E" w14:textId="77777777" w:rsidR="00236360" w:rsidRPr="00E879C7" w:rsidRDefault="00236360" w:rsidP="006338AA">
            <w:pPr>
              <w:rPr>
                <w:i/>
              </w:rPr>
            </w:pPr>
            <w:r w:rsidRPr="00E879C7">
              <w:rPr>
                <w:i/>
              </w:rPr>
              <w:t>Any DSM-5 Diagnosis (%)</w:t>
            </w:r>
          </w:p>
        </w:tc>
        <w:tc>
          <w:tcPr>
            <w:tcW w:w="1580" w:type="dxa"/>
          </w:tcPr>
          <w:p w14:paraId="2C74B8BB" w14:textId="77777777" w:rsidR="00236360" w:rsidRPr="00E879C7" w:rsidRDefault="00236360" w:rsidP="006338AA">
            <w:r w:rsidRPr="00E879C7">
              <w:t>72.2%</w:t>
            </w:r>
          </w:p>
        </w:tc>
        <w:tc>
          <w:tcPr>
            <w:tcW w:w="1663" w:type="dxa"/>
          </w:tcPr>
          <w:p w14:paraId="14DFBBBF" w14:textId="77777777" w:rsidR="00236360" w:rsidRPr="00E879C7" w:rsidRDefault="00236360" w:rsidP="006338AA">
            <w:r w:rsidRPr="00E879C7">
              <w:t>77.14%</w:t>
            </w:r>
          </w:p>
        </w:tc>
        <w:tc>
          <w:tcPr>
            <w:tcW w:w="1656" w:type="dxa"/>
          </w:tcPr>
          <w:p w14:paraId="663251BF" w14:textId="77777777" w:rsidR="00236360" w:rsidRPr="00E879C7" w:rsidRDefault="00236360" w:rsidP="006338AA">
            <w:r w:rsidRPr="00E879C7">
              <w:t>72.48%</w:t>
            </w:r>
          </w:p>
        </w:tc>
        <w:tc>
          <w:tcPr>
            <w:tcW w:w="3502" w:type="dxa"/>
          </w:tcPr>
          <w:p w14:paraId="3376F18A" w14:textId="77777777" w:rsidR="00236360" w:rsidRPr="00E879C7" w:rsidRDefault="00236360" w:rsidP="006338AA">
            <w:r w:rsidRPr="00E879C7">
              <w:t>χ</w:t>
            </w:r>
            <w:r w:rsidRPr="00E879C7">
              <w:rPr>
                <w:vertAlign w:val="superscript"/>
              </w:rPr>
              <w:t>2</w:t>
            </w:r>
            <w:r w:rsidRPr="00E879C7">
              <w:t xml:space="preserve">(2, N = 193) = 0.33, </w:t>
            </w:r>
            <w:r w:rsidRPr="00E879C7">
              <w:rPr>
                <w:i/>
              </w:rPr>
              <w:t>p</w:t>
            </w:r>
            <w:r w:rsidRPr="00E879C7">
              <w:t xml:space="preserve"> = .847</w:t>
            </w:r>
          </w:p>
        </w:tc>
        <w:tc>
          <w:tcPr>
            <w:tcW w:w="2946" w:type="dxa"/>
          </w:tcPr>
          <w:p w14:paraId="751D1D36" w14:textId="77777777" w:rsidR="00236360" w:rsidRPr="008B10A7" w:rsidRDefault="00236360" w:rsidP="006338AA">
            <w:pPr>
              <w:jc w:val="center"/>
              <w:rPr>
                <w:highlight w:val="yellow"/>
              </w:rPr>
            </w:pPr>
          </w:p>
        </w:tc>
      </w:tr>
      <w:tr w:rsidR="00236360" w:rsidRPr="000A66FB" w14:paraId="50E90DC4" w14:textId="77777777" w:rsidTr="00236360">
        <w:tc>
          <w:tcPr>
            <w:tcW w:w="1661" w:type="dxa"/>
          </w:tcPr>
          <w:p w14:paraId="272E595A" w14:textId="77777777" w:rsidR="00236360" w:rsidRPr="009838FE" w:rsidRDefault="00236360" w:rsidP="006338AA">
            <w:r w:rsidRPr="009838FE">
              <w:t xml:space="preserve">     Bipolar Disorders</w:t>
            </w:r>
          </w:p>
        </w:tc>
        <w:tc>
          <w:tcPr>
            <w:tcW w:w="1580" w:type="dxa"/>
          </w:tcPr>
          <w:p w14:paraId="3826A2D8" w14:textId="77777777" w:rsidR="00236360" w:rsidRPr="009838FE" w:rsidRDefault="00236360" w:rsidP="006338AA">
            <w:r w:rsidRPr="009838FE">
              <w:t>9.26%</w:t>
            </w:r>
          </w:p>
        </w:tc>
        <w:tc>
          <w:tcPr>
            <w:tcW w:w="1663" w:type="dxa"/>
          </w:tcPr>
          <w:p w14:paraId="3D420772" w14:textId="77777777" w:rsidR="00236360" w:rsidRPr="009838FE" w:rsidRDefault="00236360" w:rsidP="006338AA">
            <w:r w:rsidRPr="009838FE">
              <w:t>11.4</w:t>
            </w:r>
            <w:r>
              <w:t>3</w:t>
            </w:r>
            <w:r w:rsidRPr="009838FE">
              <w:t>%</w:t>
            </w:r>
          </w:p>
        </w:tc>
        <w:tc>
          <w:tcPr>
            <w:tcW w:w="1656" w:type="dxa"/>
          </w:tcPr>
          <w:p w14:paraId="29246520" w14:textId="77777777" w:rsidR="00236360" w:rsidRPr="009838FE" w:rsidRDefault="00236360" w:rsidP="006338AA">
            <w:r w:rsidRPr="009838FE">
              <w:t>4.59%</w:t>
            </w:r>
          </w:p>
        </w:tc>
        <w:tc>
          <w:tcPr>
            <w:tcW w:w="3502" w:type="dxa"/>
          </w:tcPr>
          <w:p w14:paraId="744845C1" w14:textId="77777777" w:rsidR="00236360" w:rsidRPr="008B10A7" w:rsidRDefault="00236360" w:rsidP="006338AA">
            <w:pPr>
              <w:rPr>
                <w:highlight w:val="yellow"/>
              </w:rPr>
            </w:pPr>
            <w:r w:rsidRPr="009416C8">
              <w:t>χ</w:t>
            </w:r>
            <w:r w:rsidRPr="009416C8">
              <w:rPr>
                <w:vertAlign w:val="superscript"/>
              </w:rPr>
              <w:t>2</w:t>
            </w:r>
            <w:r w:rsidRPr="009416C8">
              <w:t xml:space="preserve">(2, N = 198) = 2.43, </w:t>
            </w:r>
            <w:r w:rsidRPr="009416C8">
              <w:rPr>
                <w:i/>
              </w:rPr>
              <w:t>p</w:t>
            </w:r>
            <w:r w:rsidRPr="009416C8">
              <w:t xml:space="preserve"> = .297</w:t>
            </w:r>
          </w:p>
        </w:tc>
        <w:tc>
          <w:tcPr>
            <w:tcW w:w="2946" w:type="dxa"/>
          </w:tcPr>
          <w:p w14:paraId="13A8E1BF" w14:textId="77777777" w:rsidR="00236360" w:rsidRPr="008B10A7" w:rsidRDefault="00236360" w:rsidP="006338AA">
            <w:pPr>
              <w:jc w:val="center"/>
              <w:rPr>
                <w:highlight w:val="yellow"/>
              </w:rPr>
            </w:pPr>
          </w:p>
        </w:tc>
      </w:tr>
      <w:tr w:rsidR="00236360" w:rsidRPr="000A66FB" w14:paraId="06BCC3B1" w14:textId="77777777" w:rsidTr="00236360">
        <w:tc>
          <w:tcPr>
            <w:tcW w:w="1661" w:type="dxa"/>
          </w:tcPr>
          <w:p w14:paraId="17C1E695" w14:textId="77777777" w:rsidR="00236360" w:rsidRPr="009838FE" w:rsidRDefault="00236360" w:rsidP="006338AA">
            <w:r w:rsidRPr="009838FE">
              <w:t xml:space="preserve">     Depressive Disorders</w:t>
            </w:r>
          </w:p>
        </w:tc>
        <w:tc>
          <w:tcPr>
            <w:tcW w:w="1580" w:type="dxa"/>
          </w:tcPr>
          <w:p w14:paraId="04B79575" w14:textId="77777777" w:rsidR="00236360" w:rsidRPr="009838FE" w:rsidRDefault="00236360" w:rsidP="006338AA">
            <w:r w:rsidRPr="009838FE">
              <w:t>29.63%</w:t>
            </w:r>
          </w:p>
        </w:tc>
        <w:tc>
          <w:tcPr>
            <w:tcW w:w="1663" w:type="dxa"/>
          </w:tcPr>
          <w:p w14:paraId="11ED6D3E" w14:textId="77777777" w:rsidR="00236360" w:rsidRPr="009838FE" w:rsidRDefault="00236360" w:rsidP="006338AA">
            <w:r w:rsidRPr="009838FE">
              <w:t>28.57%</w:t>
            </w:r>
          </w:p>
        </w:tc>
        <w:tc>
          <w:tcPr>
            <w:tcW w:w="1656" w:type="dxa"/>
          </w:tcPr>
          <w:p w14:paraId="5C849ECA" w14:textId="77777777" w:rsidR="00236360" w:rsidRPr="009838FE" w:rsidRDefault="00236360" w:rsidP="006338AA">
            <w:r w:rsidRPr="009838FE">
              <w:t>32.11%</w:t>
            </w:r>
          </w:p>
        </w:tc>
        <w:tc>
          <w:tcPr>
            <w:tcW w:w="3502" w:type="dxa"/>
          </w:tcPr>
          <w:p w14:paraId="66CC9F38" w14:textId="77777777" w:rsidR="00236360" w:rsidRPr="008B10A7" w:rsidRDefault="00236360" w:rsidP="006338AA">
            <w:pPr>
              <w:rPr>
                <w:highlight w:val="yellow"/>
              </w:rPr>
            </w:pPr>
            <w:r w:rsidRPr="009416C8">
              <w:t>χ</w:t>
            </w:r>
            <w:r w:rsidRPr="009416C8">
              <w:rPr>
                <w:vertAlign w:val="superscript"/>
              </w:rPr>
              <w:t>2</w:t>
            </w:r>
            <w:r w:rsidRPr="009416C8">
              <w:t xml:space="preserve">(2, N = 198) = 0.20, </w:t>
            </w:r>
            <w:r w:rsidRPr="009416C8">
              <w:rPr>
                <w:i/>
              </w:rPr>
              <w:t>p</w:t>
            </w:r>
            <w:r w:rsidRPr="009416C8">
              <w:t xml:space="preserve"> = .903</w:t>
            </w:r>
          </w:p>
        </w:tc>
        <w:tc>
          <w:tcPr>
            <w:tcW w:w="2946" w:type="dxa"/>
          </w:tcPr>
          <w:p w14:paraId="53052081" w14:textId="77777777" w:rsidR="00236360" w:rsidRPr="008B10A7" w:rsidRDefault="00236360" w:rsidP="006338AA">
            <w:pPr>
              <w:jc w:val="center"/>
              <w:rPr>
                <w:highlight w:val="yellow"/>
              </w:rPr>
            </w:pPr>
          </w:p>
        </w:tc>
      </w:tr>
      <w:tr w:rsidR="00236360" w:rsidRPr="000A66FB" w14:paraId="4282B2AE" w14:textId="77777777" w:rsidTr="00236360">
        <w:tc>
          <w:tcPr>
            <w:tcW w:w="1661" w:type="dxa"/>
          </w:tcPr>
          <w:p w14:paraId="12AC1414" w14:textId="77777777" w:rsidR="00236360" w:rsidRPr="009838FE" w:rsidRDefault="00236360" w:rsidP="006338AA">
            <w:pPr>
              <w:ind w:left="284"/>
            </w:pPr>
            <w:r w:rsidRPr="009838FE">
              <w:t>Substance Use Disorders</w:t>
            </w:r>
          </w:p>
        </w:tc>
        <w:tc>
          <w:tcPr>
            <w:tcW w:w="1580" w:type="dxa"/>
          </w:tcPr>
          <w:p w14:paraId="6E8AEE46" w14:textId="77777777" w:rsidR="00236360" w:rsidRPr="009838FE" w:rsidRDefault="00236360" w:rsidP="006338AA">
            <w:r w:rsidRPr="009838FE">
              <w:t>18.52%</w:t>
            </w:r>
          </w:p>
        </w:tc>
        <w:tc>
          <w:tcPr>
            <w:tcW w:w="1663" w:type="dxa"/>
          </w:tcPr>
          <w:p w14:paraId="62E3D74F" w14:textId="77777777" w:rsidR="00236360" w:rsidRPr="009838FE" w:rsidRDefault="00236360" w:rsidP="006338AA">
            <w:r w:rsidRPr="009838FE">
              <w:t>22.86%</w:t>
            </w:r>
          </w:p>
        </w:tc>
        <w:tc>
          <w:tcPr>
            <w:tcW w:w="1656" w:type="dxa"/>
          </w:tcPr>
          <w:p w14:paraId="59C7D07B" w14:textId="77777777" w:rsidR="00236360" w:rsidRPr="009838FE" w:rsidRDefault="00236360" w:rsidP="006338AA">
            <w:r w:rsidRPr="009838FE">
              <w:t>16.51%</w:t>
            </w:r>
          </w:p>
        </w:tc>
        <w:tc>
          <w:tcPr>
            <w:tcW w:w="3502" w:type="dxa"/>
          </w:tcPr>
          <w:p w14:paraId="6195F644" w14:textId="77777777" w:rsidR="00236360" w:rsidRPr="008B10A7" w:rsidRDefault="00236360" w:rsidP="006338AA">
            <w:pPr>
              <w:rPr>
                <w:highlight w:val="yellow"/>
              </w:rPr>
            </w:pPr>
            <w:r w:rsidRPr="009416C8">
              <w:t>χ</w:t>
            </w:r>
            <w:r w:rsidRPr="009416C8">
              <w:rPr>
                <w:vertAlign w:val="superscript"/>
              </w:rPr>
              <w:t>2</w:t>
            </w:r>
            <w:r w:rsidRPr="009416C8">
              <w:t xml:space="preserve">(2, N = 198) = 0.72, </w:t>
            </w:r>
            <w:r w:rsidRPr="009416C8">
              <w:rPr>
                <w:i/>
              </w:rPr>
              <w:t>p</w:t>
            </w:r>
            <w:r w:rsidRPr="009416C8">
              <w:t xml:space="preserve"> = .697</w:t>
            </w:r>
          </w:p>
        </w:tc>
        <w:tc>
          <w:tcPr>
            <w:tcW w:w="2946" w:type="dxa"/>
          </w:tcPr>
          <w:p w14:paraId="51158B02" w14:textId="77777777" w:rsidR="00236360" w:rsidRPr="008B10A7" w:rsidRDefault="00236360" w:rsidP="006338AA">
            <w:pPr>
              <w:jc w:val="center"/>
              <w:rPr>
                <w:highlight w:val="yellow"/>
              </w:rPr>
            </w:pPr>
          </w:p>
        </w:tc>
      </w:tr>
      <w:tr w:rsidR="00236360" w:rsidRPr="000A66FB" w14:paraId="70F6B6D7" w14:textId="77777777" w:rsidTr="00236360">
        <w:tc>
          <w:tcPr>
            <w:tcW w:w="1661" w:type="dxa"/>
          </w:tcPr>
          <w:p w14:paraId="2B0D86B8" w14:textId="77777777" w:rsidR="00236360" w:rsidRPr="009838FE" w:rsidRDefault="00236360" w:rsidP="006338AA">
            <w:r w:rsidRPr="009838FE">
              <w:t xml:space="preserve">     Anxiety Disorders</w:t>
            </w:r>
          </w:p>
        </w:tc>
        <w:tc>
          <w:tcPr>
            <w:tcW w:w="1580" w:type="dxa"/>
          </w:tcPr>
          <w:p w14:paraId="40F5FB96" w14:textId="77777777" w:rsidR="00236360" w:rsidRPr="009838FE" w:rsidRDefault="00236360" w:rsidP="006338AA">
            <w:r w:rsidRPr="009838FE">
              <w:t>61.11%</w:t>
            </w:r>
          </w:p>
        </w:tc>
        <w:tc>
          <w:tcPr>
            <w:tcW w:w="1663" w:type="dxa"/>
          </w:tcPr>
          <w:p w14:paraId="37C192EB" w14:textId="77777777" w:rsidR="00236360" w:rsidRPr="009838FE" w:rsidRDefault="00236360" w:rsidP="006338AA">
            <w:r w:rsidRPr="009838FE">
              <w:t>51.43%</w:t>
            </w:r>
          </w:p>
        </w:tc>
        <w:tc>
          <w:tcPr>
            <w:tcW w:w="1656" w:type="dxa"/>
          </w:tcPr>
          <w:p w14:paraId="182E0AA7" w14:textId="77777777" w:rsidR="00236360" w:rsidRPr="009838FE" w:rsidRDefault="00236360" w:rsidP="006338AA">
            <w:r w:rsidRPr="009838FE">
              <w:t>59.63%</w:t>
            </w:r>
          </w:p>
        </w:tc>
        <w:tc>
          <w:tcPr>
            <w:tcW w:w="3502" w:type="dxa"/>
          </w:tcPr>
          <w:p w14:paraId="395B74DF" w14:textId="77777777" w:rsidR="00236360" w:rsidRPr="008B10A7" w:rsidRDefault="00236360" w:rsidP="006338AA">
            <w:pPr>
              <w:rPr>
                <w:highlight w:val="yellow"/>
              </w:rPr>
            </w:pPr>
            <w:r w:rsidRPr="009416C8">
              <w:t>χ</w:t>
            </w:r>
            <w:r w:rsidRPr="009416C8">
              <w:rPr>
                <w:vertAlign w:val="superscript"/>
              </w:rPr>
              <w:t>2</w:t>
            </w:r>
            <w:r w:rsidRPr="009416C8">
              <w:t xml:space="preserve">(2, N = 198) = 0.93, </w:t>
            </w:r>
            <w:r w:rsidRPr="009416C8">
              <w:rPr>
                <w:i/>
              </w:rPr>
              <w:t>p</w:t>
            </w:r>
            <w:r w:rsidRPr="009416C8">
              <w:t xml:space="preserve"> = .628</w:t>
            </w:r>
          </w:p>
        </w:tc>
        <w:tc>
          <w:tcPr>
            <w:tcW w:w="2946" w:type="dxa"/>
          </w:tcPr>
          <w:p w14:paraId="049F5E71" w14:textId="77777777" w:rsidR="00236360" w:rsidRPr="008B10A7" w:rsidRDefault="00236360" w:rsidP="006338AA">
            <w:pPr>
              <w:jc w:val="center"/>
              <w:rPr>
                <w:highlight w:val="yellow"/>
              </w:rPr>
            </w:pPr>
          </w:p>
        </w:tc>
      </w:tr>
      <w:tr w:rsidR="00236360" w:rsidRPr="000A66FB" w14:paraId="06E96572" w14:textId="77777777" w:rsidTr="00236360">
        <w:tc>
          <w:tcPr>
            <w:tcW w:w="1661" w:type="dxa"/>
          </w:tcPr>
          <w:p w14:paraId="43D1533C" w14:textId="77777777" w:rsidR="00236360" w:rsidRPr="009838FE" w:rsidRDefault="00236360" w:rsidP="006338AA">
            <w:pPr>
              <w:ind w:left="284"/>
            </w:pPr>
            <w:r w:rsidRPr="009838FE">
              <w:lastRenderedPageBreak/>
              <w:t>Obsessive-Compulsive Disorders</w:t>
            </w:r>
          </w:p>
        </w:tc>
        <w:tc>
          <w:tcPr>
            <w:tcW w:w="1580" w:type="dxa"/>
          </w:tcPr>
          <w:p w14:paraId="50730BD3" w14:textId="77777777" w:rsidR="00236360" w:rsidRPr="009838FE" w:rsidRDefault="00236360" w:rsidP="006338AA">
            <w:r w:rsidRPr="009838FE">
              <w:t>7.41%</w:t>
            </w:r>
          </w:p>
        </w:tc>
        <w:tc>
          <w:tcPr>
            <w:tcW w:w="1663" w:type="dxa"/>
          </w:tcPr>
          <w:p w14:paraId="68996E20" w14:textId="77777777" w:rsidR="00236360" w:rsidRPr="009838FE" w:rsidRDefault="00236360" w:rsidP="006338AA">
            <w:r w:rsidRPr="009838FE">
              <w:t>11.43%</w:t>
            </w:r>
          </w:p>
        </w:tc>
        <w:tc>
          <w:tcPr>
            <w:tcW w:w="1656" w:type="dxa"/>
          </w:tcPr>
          <w:p w14:paraId="61229E9C" w14:textId="77777777" w:rsidR="00236360" w:rsidRPr="009838FE" w:rsidRDefault="00236360" w:rsidP="006338AA">
            <w:r w:rsidRPr="009838FE">
              <w:t>9.17%</w:t>
            </w:r>
          </w:p>
        </w:tc>
        <w:tc>
          <w:tcPr>
            <w:tcW w:w="3502" w:type="dxa"/>
          </w:tcPr>
          <w:p w14:paraId="082BB079" w14:textId="77777777" w:rsidR="00236360" w:rsidRPr="00945854" w:rsidRDefault="00236360" w:rsidP="006338AA">
            <w:r w:rsidRPr="00945854">
              <w:t>χ</w:t>
            </w:r>
            <w:r w:rsidRPr="00945854">
              <w:rPr>
                <w:vertAlign w:val="superscript"/>
              </w:rPr>
              <w:t>2</w:t>
            </w:r>
            <w:r w:rsidRPr="00945854">
              <w:t xml:space="preserve">(2, N = 198) = 0.412, </w:t>
            </w:r>
            <w:r w:rsidRPr="00945854">
              <w:rPr>
                <w:i/>
              </w:rPr>
              <w:t>p</w:t>
            </w:r>
            <w:r w:rsidRPr="00945854">
              <w:t xml:space="preserve"> = .812</w:t>
            </w:r>
          </w:p>
        </w:tc>
        <w:tc>
          <w:tcPr>
            <w:tcW w:w="2946" w:type="dxa"/>
          </w:tcPr>
          <w:p w14:paraId="0F1DD7B8" w14:textId="77777777" w:rsidR="00236360" w:rsidRPr="008B10A7" w:rsidRDefault="00236360" w:rsidP="006338AA">
            <w:pPr>
              <w:jc w:val="center"/>
              <w:rPr>
                <w:highlight w:val="yellow"/>
              </w:rPr>
            </w:pPr>
          </w:p>
        </w:tc>
      </w:tr>
      <w:tr w:rsidR="00236360" w:rsidRPr="000A66FB" w14:paraId="5EC7EE1B" w14:textId="77777777" w:rsidTr="00236360">
        <w:tc>
          <w:tcPr>
            <w:tcW w:w="1661" w:type="dxa"/>
          </w:tcPr>
          <w:p w14:paraId="42E57159" w14:textId="77777777" w:rsidR="00236360" w:rsidRPr="009838FE" w:rsidRDefault="00236360" w:rsidP="006338AA">
            <w:pPr>
              <w:ind w:left="284"/>
            </w:pPr>
            <w:r w:rsidRPr="009838FE">
              <w:t>Trauma Disorders</w:t>
            </w:r>
          </w:p>
        </w:tc>
        <w:tc>
          <w:tcPr>
            <w:tcW w:w="1580" w:type="dxa"/>
          </w:tcPr>
          <w:p w14:paraId="773A403D" w14:textId="77777777" w:rsidR="00236360" w:rsidRPr="009838FE" w:rsidRDefault="00236360" w:rsidP="006338AA">
            <w:r w:rsidRPr="009838FE">
              <w:t>22.22%</w:t>
            </w:r>
          </w:p>
        </w:tc>
        <w:tc>
          <w:tcPr>
            <w:tcW w:w="1663" w:type="dxa"/>
          </w:tcPr>
          <w:p w14:paraId="10BF6D5B" w14:textId="77777777" w:rsidR="00236360" w:rsidRPr="009838FE" w:rsidRDefault="00236360" w:rsidP="006338AA">
            <w:r w:rsidRPr="009838FE">
              <w:t>31.43%</w:t>
            </w:r>
          </w:p>
        </w:tc>
        <w:tc>
          <w:tcPr>
            <w:tcW w:w="1656" w:type="dxa"/>
          </w:tcPr>
          <w:p w14:paraId="1AD30604" w14:textId="77777777" w:rsidR="00236360" w:rsidRPr="009838FE" w:rsidRDefault="00236360" w:rsidP="006338AA">
            <w:r w:rsidRPr="009838FE">
              <w:t>22.94%</w:t>
            </w:r>
          </w:p>
        </w:tc>
        <w:tc>
          <w:tcPr>
            <w:tcW w:w="3502" w:type="dxa"/>
          </w:tcPr>
          <w:p w14:paraId="2C9A85A5" w14:textId="77777777" w:rsidR="00236360" w:rsidRPr="008B10A7" w:rsidRDefault="00236360" w:rsidP="006338AA">
            <w:pPr>
              <w:rPr>
                <w:highlight w:val="yellow"/>
              </w:rPr>
            </w:pPr>
            <w:r w:rsidRPr="00945854">
              <w:t>χ</w:t>
            </w:r>
            <w:r w:rsidRPr="00945854">
              <w:rPr>
                <w:vertAlign w:val="superscript"/>
              </w:rPr>
              <w:t>2</w:t>
            </w:r>
            <w:r w:rsidRPr="00945854">
              <w:t xml:space="preserve">(2, N = 198) = 1.21, </w:t>
            </w:r>
            <w:r w:rsidRPr="00945854">
              <w:rPr>
                <w:i/>
              </w:rPr>
              <w:t>p</w:t>
            </w:r>
            <w:r w:rsidRPr="00945854">
              <w:t xml:space="preserve"> = .547</w:t>
            </w:r>
          </w:p>
        </w:tc>
        <w:tc>
          <w:tcPr>
            <w:tcW w:w="2946" w:type="dxa"/>
          </w:tcPr>
          <w:p w14:paraId="3F05DBA4" w14:textId="77777777" w:rsidR="00236360" w:rsidRPr="008B10A7" w:rsidRDefault="00236360" w:rsidP="006338AA">
            <w:pPr>
              <w:jc w:val="center"/>
              <w:rPr>
                <w:highlight w:val="yellow"/>
              </w:rPr>
            </w:pPr>
          </w:p>
        </w:tc>
      </w:tr>
      <w:tr w:rsidR="00236360" w:rsidRPr="000A66FB" w14:paraId="4FAE5868" w14:textId="77777777" w:rsidTr="00236360">
        <w:tc>
          <w:tcPr>
            <w:tcW w:w="1661" w:type="dxa"/>
          </w:tcPr>
          <w:p w14:paraId="37065F3F" w14:textId="77777777" w:rsidR="00236360" w:rsidRPr="004B32E5" w:rsidRDefault="00236360" w:rsidP="006338AA">
            <w:r w:rsidRPr="004B32E5">
              <w:t>Global Functioning: Social</w:t>
            </w:r>
          </w:p>
        </w:tc>
        <w:tc>
          <w:tcPr>
            <w:tcW w:w="1580" w:type="dxa"/>
          </w:tcPr>
          <w:p w14:paraId="0A80BAC6" w14:textId="77777777" w:rsidR="00236360" w:rsidRPr="004B32E5" w:rsidRDefault="00236360" w:rsidP="006338AA">
            <w:r w:rsidRPr="004B32E5">
              <w:t>7.86 (1.28)</w:t>
            </w:r>
          </w:p>
        </w:tc>
        <w:tc>
          <w:tcPr>
            <w:tcW w:w="1663" w:type="dxa"/>
          </w:tcPr>
          <w:p w14:paraId="0789EAF7" w14:textId="77777777" w:rsidR="00236360" w:rsidRPr="004B32E5" w:rsidRDefault="00236360" w:rsidP="006338AA">
            <w:r w:rsidRPr="004B32E5">
              <w:t>6.91 (1.38)</w:t>
            </w:r>
          </w:p>
        </w:tc>
        <w:tc>
          <w:tcPr>
            <w:tcW w:w="1656" w:type="dxa"/>
          </w:tcPr>
          <w:p w14:paraId="5107BF93" w14:textId="77777777" w:rsidR="00236360" w:rsidRPr="004B32E5" w:rsidRDefault="00236360" w:rsidP="006338AA">
            <w:r w:rsidRPr="004B32E5">
              <w:t>7.61 (1.32)</w:t>
            </w:r>
          </w:p>
        </w:tc>
        <w:tc>
          <w:tcPr>
            <w:tcW w:w="3502" w:type="dxa"/>
          </w:tcPr>
          <w:p w14:paraId="314D4CEF" w14:textId="77777777" w:rsidR="00236360" w:rsidRPr="008B10A7" w:rsidRDefault="00236360" w:rsidP="006338AA">
            <w:pPr>
              <w:rPr>
                <w:highlight w:val="yellow"/>
              </w:rPr>
            </w:pPr>
            <w:proofErr w:type="gramStart"/>
            <w:r w:rsidRPr="004B32E5">
              <w:rPr>
                <w:i/>
              </w:rPr>
              <w:t>F</w:t>
            </w:r>
            <w:r w:rsidRPr="004B32E5">
              <w:t>(</w:t>
            </w:r>
            <w:proofErr w:type="gramEnd"/>
            <w:r w:rsidRPr="004B32E5">
              <w:t xml:space="preserve">2,187) = 5.44, </w:t>
            </w:r>
            <w:r w:rsidRPr="004B32E5">
              <w:rPr>
                <w:i/>
              </w:rPr>
              <w:t xml:space="preserve">p </w:t>
            </w:r>
            <w:r w:rsidRPr="004B32E5">
              <w:t xml:space="preserve"> = .005, </w:t>
            </w:r>
            <w:r w:rsidRPr="004B32E5">
              <w:rPr>
                <w:rFonts w:eastAsia="MS Gothic"/>
                <w:color w:val="000000"/>
              </w:rPr>
              <w:t>η</w:t>
            </w:r>
            <w:r w:rsidRPr="004B32E5">
              <w:rPr>
                <w:rFonts w:eastAsia="MS Gothic"/>
                <w:color w:val="000000"/>
                <w:vertAlign w:val="subscript"/>
              </w:rPr>
              <w:t>p</w:t>
            </w:r>
            <w:r w:rsidRPr="004B32E5">
              <w:rPr>
                <w:rFonts w:eastAsia="MS Gothic"/>
                <w:color w:val="000000"/>
                <w:vertAlign w:val="superscript"/>
              </w:rPr>
              <w:t>2</w:t>
            </w:r>
            <w:r w:rsidRPr="004B32E5">
              <w:rPr>
                <w:rFonts w:eastAsia="MS Gothic"/>
                <w:color w:val="000000"/>
              </w:rPr>
              <w:t xml:space="preserve"> = 0.06</w:t>
            </w:r>
          </w:p>
        </w:tc>
        <w:tc>
          <w:tcPr>
            <w:tcW w:w="2946" w:type="dxa"/>
          </w:tcPr>
          <w:p w14:paraId="7D8D4131" w14:textId="77777777" w:rsidR="00236360" w:rsidRPr="004B32E5" w:rsidRDefault="00236360" w:rsidP="006338AA">
            <w:r w:rsidRPr="004B32E5">
              <w:t>Clus2 &lt; Clus1 (</w:t>
            </w:r>
            <w:r w:rsidRPr="004B32E5">
              <w:rPr>
                <w:i/>
              </w:rPr>
              <w:t xml:space="preserve">p </w:t>
            </w:r>
            <w:r w:rsidRPr="004B32E5">
              <w:rPr>
                <w:iCs/>
              </w:rPr>
              <w:t>=</w:t>
            </w:r>
            <w:r w:rsidRPr="004B32E5">
              <w:t xml:space="preserve"> .004)</w:t>
            </w:r>
          </w:p>
          <w:p w14:paraId="2F0AE2DF" w14:textId="77777777" w:rsidR="00236360" w:rsidRPr="008B10A7" w:rsidRDefault="00236360" w:rsidP="006338AA">
            <w:pPr>
              <w:rPr>
                <w:highlight w:val="yellow"/>
              </w:rPr>
            </w:pPr>
            <w:r w:rsidRPr="004B32E5">
              <w:t>Clus2 &lt; Clus3 (</w:t>
            </w:r>
            <w:r w:rsidRPr="004B32E5">
              <w:rPr>
                <w:i/>
              </w:rPr>
              <w:t xml:space="preserve">p </w:t>
            </w:r>
            <w:r w:rsidRPr="004B32E5">
              <w:rPr>
                <w:iCs/>
              </w:rPr>
              <w:t>=</w:t>
            </w:r>
            <w:r w:rsidRPr="004B32E5">
              <w:t xml:space="preserve"> .024)</w:t>
            </w:r>
          </w:p>
        </w:tc>
      </w:tr>
      <w:tr w:rsidR="00236360" w:rsidRPr="000A66FB" w14:paraId="58DFFB45" w14:textId="77777777" w:rsidTr="00236360">
        <w:tc>
          <w:tcPr>
            <w:tcW w:w="1661" w:type="dxa"/>
          </w:tcPr>
          <w:p w14:paraId="6E826DFD" w14:textId="77777777" w:rsidR="00236360" w:rsidRPr="00B82E4A" w:rsidRDefault="00236360" w:rsidP="006338AA">
            <w:r w:rsidRPr="00B82E4A">
              <w:t>Global Functioning: Role</w:t>
            </w:r>
          </w:p>
        </w:tc>
        <w:tc>
          <w:tcPr>
            <w:tcW w:w="1580" w:type="dxa"/>
          </w:tcPr>
          <w:p w14:paraId="1CC26571" w14:textId="77777777" w:rsidR="00236360" w:rsidRPr="00B82E4A" w:rsidRDefault="00236360" w:rsidP="006338AA">
            <w:r w:rsidRPr="00B82E4A">
              <w:t>8.22 (1.24)</w:t>
            </w:r>
          </w:p>
        </w:tc>
        <w:tc>
          <w:tcPr>
            <w:tcW w:w="1663" w:type="dxa"/>
          </w:tcPr>
          <w:p w14:paraId="68BA747E" w14:textId="77777777" w:rsidR="00236360" w:rsidRPr="00B82E4A" w:rsidRDefault="00236360" w:rsidP="006338AA">
            <w:r w:rsidRPr="00B82E4A">
              <w:t>7.55 (1.42)</w:t>
            </w:r>
          </w:p>
        </w:tc>
        <w:tc>
          <w:tcPr>
            <w:tcW w:w="1656" w:type="dxa"/>
          </w:tcPr>
          <w:p w14:paraId="5413FACF" w14:textId="77777777" w:rsidR="00236360" w:rsidRPr="00B82E4A" w:rsidRDefault="00236360" w:rsidP="006338AA">
            <w:r w:rsidRPr="00B82E4A">
              <w:t>7.93 (1.42)</w:t>
            </w:r>
          </w:p>
        </w:tc>
        <w:tc>
          <w:tcPr>
            <w:tcW w:w="3502" w:type="dxa"/>
          </w:tcPr>
          <w:p w14:paraId="1D89CCC4" w14:textId="77777777" w:rsidR="00236360" w:rsidRPr="00B82E4A" w:rsidRDefault="00236360" w:rsidP="006338AA">
            <w:proofErr w:type="gramStart"/>
            <w:r w:rsidRPr="00B82E4A">
              <w:rPr>
                <w:i/>
              </w:rPr>
              <w:t>F</w:t>
            </w:r>
            <w:r w:rsidRPr="00B82E4A">
              <w:t>(</w:t>
            </w:r>
            <w:proofErr w:type="gramEnd"/>
            <w:r w:rsidRPr="00B82E4A">
              <w:t xml:space="preserve">2,187) = 2.40, </w:t>
            </w:r>
            <w:r w:rsidRPr="00B82E4A">
              <w:rPr>
                <w:i/>
              </w:rPr>
              <w:t xml:space="preserve">p </w:t>
            </w:r>
            <w:r w:rsidRPr="00B82E4A">
              <w:t xml:space="preserve"> = .094, </w:t>
            </w:r>
            <w:r w:rsidRPr="00B82E4A">
              <w:rPr>
                <w:rFonts w:eastAsia="MS Gothic"/>
                <w:color w:val="000000"/>
              </w:rPr>
              <w:t>η</w:t>
            </w:r>
            <w:r w:rsidRPr="00B82E4A">
              <w:rPr>
                <w:rFonts w:eastAsia="MS Gothic"/>
                <w:color w:val="000000"/>
                <w:vertAlign w:val="subscript"/>
              </w:rPr>
              <w:t>p</w:t>
            </w:r>
            <w:r w:rsidRPr="00B82E4A">
              <w:rPr>
                <w:rFonts w:eastAsia="MS Gothic"/>
                <w:color w:val="000000"/>
                <w:vertAlign w:val="superscript"/>
              </w:rPr>
              <w:t>2</w:t>
            </w:r>
            <w:r w:rsidRPr="00B82E4A">
              <w:rPr>
                <w:rFonts w:eastAsia="MS Gothic"/>
                <w:color w:val="000000"/>
              </w:rPr>
              <w:t xml:space="preserve"> = 0.03</w:t>
            </w:r>
          </w:p>
        </w:tc>
        <w:tc>
          <w:tcPr>
            <w:tcW w:w="2946" w:type="dxa"/>
          </w:tcPr>
          <w:p w14:paraId="4A812E74" w14:textId="77777777" w:rsidR="00236360" w:rsidRPr="008B10A7" w:rsidRDefault="00236360" w:rsidP="006338AA">
            <w:pPr>
              <w:jc w:val="center"/>
              <w:rPr>
                <w:highlight w:val="yellow"/>
              </w:rPr>
            </w:pPr>
          </w:p>
        </w:tc>
      </w:tr>
      <w:tr w:rsidR="00236360" w:rsidRPr="000A66FB" w14:paraId="19500A37" w14:textId="77777777" w:rsidTr="00236360">
        <w:tc>
          <w:tcPr>
            <w:tcW w:w="1661" w:type="dxa"/>
          </w:tcPr>
          <w:p w14:paraId="23B76BD2" w14:textId="77777777" w:rsidR="00236360" w:rsidRPr="00047473" w:rsidRDefault="00236360" w:rsidP="006338AA">
            <w:r w:rsidRPr="00047473">
              <w:t>NAPLS 1-year Psychosis Conversion Risk Probability</w:t>
            </w:r>
          </w:p>
        </w:tc>
        <w:tc>
          <w:tcPr>
            <w:tcW w:w="1580" w:type="dxa"/>
          </w:tcPr>
          <w:p w14:paraId="4EB02464" w14:textId="77777777" w:rsidR="00236360" w:rsidRPr="00047473" w:rsidRDefault="00236360" w:rsidP="006338AA">
            <w:r w:rsidRPr="00047473">
              <w:t>8.48% (5.54)</w:t>
            </w:r>
          </w:p>
        </w:tc>
        <w:tc>
          <w:tcPr>
            <w:tcW w:w="1663" w:type="dxa"/>
          </w:tcPr>
          <w:p w14:paraId="5670E6A5" w14:textId="77777777" w:rsidR="00236360" w:rsidRPr="00047473" w:rsidRDefault="00236360" w:rsidP="006338AA">
            <w:r w:rsidRPr="00047473">
              <w:t>11.65% (7.92)</w:t>
            </w:r>
          </w:p>
        </w:tc>
        <w:tc>
          <w:tcPr>
            <w:tcW w:w="1656" w:type="dxa"/>
          </w:tcPr>
          <w:p w14:paraId="444D2B5F" w14:textId="77777777" w:rsidR="00236360" w:rsidRPr="00047473" w:rsidRDefault="00236360" w:rsidP="006338AA">
            <w:r w:rsidRPr="00047473">
              <w:t>7.98% (3.79)</w:t>
            </w:r>
          </w:p>
        </w:tc>
        <w:tc>
          <w:tcPr>
            <w:tcW w:w="3502" w:type="dxa"/>
          </w:tcPr>
          <w:p w14:paraId="5F85B6C6" w14:textId="77777777" w:rsidR="00236360" w:rsidRPr="00047473" w:rsidRDefault="00236360" w:rsidP="006338AA">
            <w:proofErr w:type="gramStart"/>
            <w:r w:rsidRPr="00047473">
              <w:rPr>
                <w:i/>
              </w:rPr>
              <w:t>F</w:t>
            </w:r>
            <w:r w:rsidRPr="00047473">
              <w:t>(</w:t>
            </w:r>
            <w:proofErr w:type="gramEnd"/>
            <w:r w:rsidRPr="00047473">
              <w:t xml:space="preserve">2,89) = 3.12, </w:t>
            </w:r>
            <w:r w:rsidRPr="00047473">
              <w:rPr>
                <w:i/>
              </w:rPr>
              <w:t xml:space="preserve">p </w:t>
            </w:r>
            <w:r w:rsidRPr="00047473">
              <w:t xml:space="preserve"> = .049, </w:t>
            </w:r>
            <w:r w:rsidRPr="00047473">
              <w:rPr>
                <w:rFonts w:eastAsia="MS Gothic"/>
                <w:color w:val="000000"/>
              </w:rPr>
              <w:t>η</w:t>
            </w:r>
            <w:r w:rsidRPr="00047473">
              <w:rPr>
                <w:rFonts w:eastAsia="MS Gothic"/>
                <w:color w:val="000000"/>
                <w:vertAlign w:val="subscript"/>
              </w:rPr>
              <w:t>p</w:t>
            </w:r>
            <w:r w:rsidRPr="00047473">
              <w:rPr>
                <w:rFonts w:eastAsia="MS Gothic"/>
                <w:color w:val="000000"/>
                <w:vertAlign w:val="superscript"/>
              </w:rPr>
              <w:t>2</w:t>
            </w:r>
            <w:r w:rsidRPr="00047473">
              <w:rPr>
                <w:rFonts w:eastAsia="MS Gothic"/>
                <w:color w:val="000000"/>
              </w:rPr>
              <w:t xml:space="preserve"> = 0.07</w:t>
            </w:r>
          </w:p>
        </w:tc>
        <w:tc>
          <w:tcPr>
            <w:tcW w:w="2946" w:type="dxa"/>
          </w:tcPr>
          <w:p w14:paraId="27C1ACE9" w14:textId="77777777" w:rsidR="00236360" w:rsidRPr="00047473" w:rsidRDefault="00236360" w:rsidP="006338AA">
            <w:r w:rsidRPr="00047473">
              <w:t>Clus2 &gt; Clus3 (</w:t>
            </w:r>
            <w:r w:rsidRPr="00047473">
              <w:rPr>
                <w:i/>
              </w:rPr>
              <w:t xml:space="preserve">p </w:t>
            </w:r>
            <w:r w:rsidRPr="00047473">
              <w:t>= .045)</w:t>
            </w:r>
          </w:p>
          <w:p w14:paraId="4C133E76" w14:textId="77777777" w:rsidR="00236360" w:rsidRPr="00047473" w:rsidRDefault="00236360" w:rsidP="006338AA"/>
        </w:tc>
      </w:tr>
      <w:tr w:rsidR="00236360" w:rsidRPr="000A66FB" w14:paraId="61DEB5DE" w14:textId="77777777" w:rsidTr="00236360">
        <w:tc>
          <w:tcPr>
            <w:tcW w:w="1661" w:type="dxa"/>
          </w:tcPr>
          <w:p w14:paraId="2EA48F30" w14:textId="77777777" w:rsidR="00236360" w:rsidRPr="005B4D81" w:rsidRDefault="00236360" w:rsidP="006338AA">
            <w:pPr>
              <w:rPr>
                <w:i/>
              </w:rPr>
            </w:pPr>
            <w:r w:rsidRPr="005B4D81">
              <w:t>NAPLS 2-year Psychosis Conversion Risk Probability</w:t>
            </w:r>
          </w:p>
        </w:tc>
        <w:tc>
          <w:tcPr>
            <w:tcW w:w="1580" w:type="dxa"/>
          </w:tcPr>
          <w:p w14:paraId="7A15E88B" w14:textId="77777777" w:rsidR="00236360" w:rsidRPr="005B4D81" w:rsidRDefault="00236360" w:rsidP="006338AA">
            <w:r w:rsidRPr="005B4D81">
              <w:t>11.15% (7.14)</w:t>
            </w:r>
          </w:p>
        </w:tc>
        <w:tc>
          <w:tcPr>
            <w:tcW w:w="1663" w:type="dxa"/>
          </w:tcPr>
          <w:p w14:paraId="358720F8" w14:textId="77777777" w:rsidR="00236360" w:rsidRPr="005B4D81" w:rsidRDefault="00236360" w:rsidP="006338AA">
            <w:r w:rsidRPr="005B4D81">
              <w:t>15.16% (10.04)</w:t>
            </w:r>
          </w:p>
        </w:tc>
        <w:tc>
          <w:tcPr>
            <w:tcW w:w="1656" w:type="dxa"/>
          </w:tcPr>
          <w:p w14:paraId="1C08A955" w14:textId="77777777" w:rsidR="00236360" w:rsidRPr="005B4D81" w:rsidRDefault="00236360" w:rsidP="006338AA">
            <w:r w:rsidRPr="005B4D81">
              <w:t>10.53% (4.91)</w:t>
            </w:r>
          </w:p>
        </w:tc>
        <w:tc>
          <w:tcPr>
            <w:tcW w:w="3502" w:type="dxa"/>
          </w:tcPr>
          <w:p w14:paraId="1354D030" w14:textId="77777777" w:rsidR="00236360" w:rsidRPr="005B4D81" w:rsidRDefault="00236360" w:rsidP="006338AA">
            <w:proofErr w:type="gramStart"/>
            <w:r w:rsidRPr="005B4D81">
              <w:rPr>
                <w:i/>
              </w:rPr>
              <w:t>F</w:t>
            </w:r>
            <w:r w:rsidRPr="005B4D81">
              <w:t>(</w:t>
            </w:r>
            <w:proofErr w:type="gramEnd"/>
            <w:r w:rsidRPr="005B4D81">
              <w:t xml:space="preserve">2,89) = 3.02, </w:t>
            </w:r>
            <w:r w:rsidRPr="005B4D81">
              <w:rPr>
                <w:i/>
              </w:rPr>
              <w:t xml:space="preserve">p </w:t>
            </w:r>
            <w:r w:rsidRPr="005B4D81">
              <w:t xml:space="preserve"> = .054, </w:t>
            </w:r>
            <w:r w:rsidRPr="005B4D81">
              <w:rPr>
                <w:rFonts w:eastAsia="MS Gothic"/>
                <w:color w:val="000000"/>
              </w:rPr>
              <w:t>η</w:t>
            </w:r>
            <w:r w:rsidRPr="005B4D81">
              <w:rPr>
                <w:rFonts w:eastAsia="MS Gothic"/>
                <w:color w:val="000000"/>
                <w:vertAlign w:val="subscript"/>
              </w:rPr>
              <w:t>p</w:t>
            </w:r>
            <w:r w:rsidRPr="005B4D81">
              <w:rPr>
                <w:rFonts w:eastAsia="MS Gothic"/>
                <w:color w:val="000000"/>
                <w:vertAlign w:val="superscript"/>
              </w:rPr>
              <w:t>2</w:t>
            </w:r>
            <w:r w:rsidRPr="005B4D81">
              <w:rPr>
                <w:rFonts w:eastAsia="MS Gothic"/>
                <w:color w:val="000000"/>
              </w:rPr>
              <w:t xml:space="preserve"> = 0.06</w:t>
            </w:r>
          </w:p>
        </w:tc>
        <w:tc>
          <w:tcPr>
            <w:tcW w:w="2946" w:type="dxa"/>
          </w:tcPr>
          <w:p w14:paraId="37C37EA8" w14:textId="77777777" w:rsidR="00236360" w:rsidRPr="008B10A7" w:rsidRDefault="00236360" w:rsidP="006338AA">
            <w:pPr>
              <w:rPr>
                <w:highlight w:val="yellow"/>
              </w:rPr>
            </w:pPr>
          </w:p>
        </w:tc>
      </w:tr>
      <w:tr w:rsidR="00236360" w:rsidRPr="000A66FB" w14:paraId="45236D4E" w14:textId="77777777" w:rsidTr="00236360">
        <w:tc>
          <w:tcPr>
            <w:tcW w:w="1661" w:type="dxa"/>
          </w:tcPr>
          <w:p w14:paraId="37F3E063" w14:textId="77777777" w:rsidR="00236360" w:rsidRPr="008749B8" w:rsidRDefault="00236360" w:rsidP="006338AA">
            <w:r w:rsidRPr="008749B8">
              <w:t>Current antipsychotic use</w:t>
            </w:r>
          </w:p>
        </w:tc>
        <w:tc>
          <w:tcPr>
            <w:tcW w:w="1580" w:type="dxa"/>
          </w:tcPr>
          <w:p w14:paraId="21F40E88" w14:textId="77777777" w:rsidR="00236360" w:rsidRPr="008749B8" w:rsidRDefault="00236360" w:rsidP="006338AA">
            <w:r w:rsidRPr="008749B8">
              <w:t>5.66%</w:t>
            </w:r>
          </w:p>
        </w:tc>
        <w:tc>
          <w:tcPr>
            <w:tcW w:w="1663" w:type="dxa"/>
          </w:tcPr>
          <w:p w14:paraId="2ADE45B5" w14:textId="77777777" w:rsidR="00236360" w:rsidRPr="008749B8" w:rsidRDefault="00236360" w:rsidP="006338AA">
            <w:r w:rsidRPr="008749B8">
              <w:t>6.06%</w:t>
            </w:r>
          </w:p>
        </w:tc>
        <w:tc>
          <w:tcPr>
            <w:tcW w:w="1656" w:type="dxa"/>
          </w:tcPr>
          <w:p w14:paraId="2C25037A" w14:textId="77777777" w:rsidR="00236360" w:rsidRPr="008749B8" w:rsidRDefault="00236360" w:rsidP="006338AA">
            <w:r w:rsidRPr="008749B8">
              <w:t>1.87%</w:t>
            </w:r>
          </w:p>
        </w:tc>
        <w:tc>
          <w:tcPr>
            <w:tcW w:w="3502" w:type="dxa"/>
          </w:tcPr>
          <w:p w14:paraId="2303272E" w14:textId="77777777" w:rsidR="00236360" w:rsidRPr="008749B8" w:rsidRDefault="00236360" w:rsidP="006338AA">
            <w:r w:rsidRPr="008749B8">
              <w:t>χ</w:t>
            </w:r>
            <w:r w:rsidRPr="008749B8">
              <w:rPr>
                <w:vertAlign w:val="superscript"/>
              </w:rPr>
              <w:t>2</w:t>
            </w:r>
            <w:r w:rsidRPr="008749B8">
              <w:t xml:space="preserve">(2, N = 193) = 2.13, </w:t>
            </w:r>
            <w:r w:rsidRPr="008749B8">
              <w:rPr>
                <w:i/>
              </w:rPr>
              <w:t>p</w:t>
            </w:r>
            <w:r w:rsidRPr="008749B8">
              <w:t xml:space="preserve"> = .344</w:t>
            </w:r>
          </w:p>
        </w:tc>
        <w:tc>
          <w:tcPr>
            <w:tcW w:w="2946" w:type="dxa"/>
          </w:tcPr>
          <w:p w14:paraId="4B02CA9B" w14:textId="77777777" w:rsidR="00236360" w:rsidRPr="008B10A7" w:rsidRDefault="00236360" w:rsidP="006338AA">
            <w:pPr>
              <w:jc w:val="center"/>
              <w:rPr>
                <w:highlight w:val="yellow"/>
              </w:rPr>
            </w:pPr>
          </w:p>
        </w:tc>
      </w:tr>
      <w:tr w:rsidR="00236360" w:rsidRPr="000A66FB" w14:paraId="0DB5BAF8" w14:textId="77777777" w:rsidTr="00236360">
        <w:tc>
          <w:tcPr>
            <w:tcW w:w="1661" w:type="dxa"/>
          </w:tcPr>
          <w:p w14:paraId="7B2530BC" w14:textId="77777777" w:rsidR="00236360" w:rsidRPr="008B10A7" w:rsidRDefault="00236360" w:rsidP="006338AA">
            <w:pPr>
              <w:rPr>
                <w:highlight w:val="yellow"/>
              </w:rPr>
            </w:pPr>
            <w:r w:rsidRPr="009226F9">
              <w:rPr>
                <w:b/>
                <w:i/>
                <w:sz w:val="21"/>
                <w:szCs w:val="21"/>
                <w:u w:val="single"/>
              </w:rPr>
              <w:t>Cognitive Variables</w:t>
            </w:r>
          </w:p>
        </w:tc>
        <w:tc>
          <w:tcPr>
            <w:tcW w:w="1580" w:type="dxa"/>
          </w:tcPr>
          <w:p w14:paraId="5CCB8F9C" w14:textId="77777777" w:rsidR="00236360" w:rsidRPr="008B10A7" w:rsidRDefault="00236360" w:rsidP="006338AA">
            <w:pPr>
              <w:rPr>
                <w:highlight w:val="yellow"/>
              </w:rPr>
            </w:pPr>
          </w:p>
        </w:tc>
        <w:tc>
          <w:tcPr>
            <w:tcW w:w="1663" w:type="dxa"/>
          </w:tcPr>
          <w:p w14:paraId="0851427F" w14:textId="77777777" w:rsidR="00236360" w:rsidRPr="008B10A7" w:rsidRDefault="00236360" w:rsidP="006338AA">
            <w:pPr>
              <w:rPr>
                <w:highlight w:val="yellow"/>
              </w:rPr>
            </w:pPr>
          </w:p>
        </w:tc>
        <w:tc>
          <w:tcPr>
            <w:tcW w:w="1656" w:type="dxa"/>
          </w:tcPr>
          <w:p w14:paraId="3070A80D" w14:textId="77777777" w:rsidR="00236360" w:rsidRPr="008B10A7" w:rsidRDefault="00236360" w:rsidP="006338AA">
            <w:pPr>
              <w:rPr>
                <w:highlight w:val="yellow"/>
              </w:rPr>
            </w:pPr>
          </w:p>
        </w:tc>
        <w:tc>
          <w:tcPr>
            <w:tcW w:w="3502" w:type="dxa"/>
          </w:tcPr>
          <w:p w14:paraId="6CEBD11D" w14:textId="77777777" w:rsidR="00236360" w:rsidRPr="008B10A7" w:rsidRDefault="00236360" w:rsidP="006338AA">
            <w:pPr>
              <w:rPr>
                <w:highlight w:val="yellow"/>
              </w:rPr>
            </w:pPr>
          </w:p>
        </w:tc>
        <w:tc>
          <w:tcPr>
            <w:tcW w:w="2946" w:type="dxa"/>
          </w:tcPr>
          <w:p w14:paraId="2DC22FEF" w14:textId="77777777" w:rsidR="00236360" w:rsidRPr="008B10A7" w:rsidRDefault="00236360" w:rsidP="006338AA">
            <w:pPr>
              <w:jc w:val="center"/>
              <w:rPr>
                <w:highlight w:val="yellow"/>
              </w:rPr>
            </w:pPr>
          </w:p>
        </w:tc>
      </w:tr>
      <w:tr w:rsidR="00236360" w:rsidRPr="000A66FB" w14:paraId="7E752AF4" w14:textId="77777777" w:rsidTr="00236360">
        <w:tc>
          <w:tcPr>
            <w:tcW w:w="1661" w:type="dxa"/>
          </w:tcPr>
          <w:p w14:paraId="0FD27917" w14:textId="77777777" w:rsidR="00236360" w:rsidRPr="00356E78" w:rsidRDefault="00236360" w:rsidP="006338AA">
            <w:r w:rsidRPr="00356E78">
              <w:rPr>
                <w:sz w:val="21"/>
                <w:szCs w:val="21"/>
              </w:rPr>
              <w:t>Estimated Premorbid Functioning (WRAT-4 Word Reading)</w:t>
            </w:r>
          </w:p>
        </w:tc>
        <w:tc>
          <w:tcPr>
            <w:tcW w:w="1580" w:type="dxa"/>
          </w:tcPr>
          <w:p w14:paraId="187C154A" w14:textId="77777777" w:rsidR="00236360" w:rsidRPr="00356E78" w:rsidRDefault="00236360" w:rsidP="006338AA">
            <w:r w:rsidRPr="00356E78">
              <w:t>113.76 (13.90)</w:t>
            </w:r>
          </w:p>
        </w:tc>
        <w:tc>
          <w:tcPr>
            <w:tcW w:w="1663" w:type="dxa"/>
          </w:tcPr>
          <w:p w14:paraId="6B49789E" w14:textId="77777777" w:rsidR="00236360" w:rsidRPr="00356E78" w:rsidRDefault="00236360" w:rsidP="006338AA">
            <w:r w:rsidRPr="00356E78">
              <w:t>107.73 (15.98)</w:t>
            </w:r>
          </w:p>
        </w:tc>
        <w:tc>
          <w:tcPr>
            <w:tcW w:w="1656" w:type="dxa"/>
          </w:tcPr>
          <w:p w14:paraId="7CA54333" w14:textId="77777777" w:rsidR="00236360" w:rsidRPr="00356E78" w:rsidRDefault="00236360" w:rsidP="006338AA">
            <w:r w:rsidRPr="00356E78">
              <w:t>110.84 (12.19)</w:t>
            </w:r>
          </w:p>
        </w:tc>
        <w:tc>
          <w:tcPr>
            <w:tcW w:w="3502" w:type="dxa"/>
          </w:tcPr>
          <w:p w14:paraId="6B0FFAD4" w14:textId="77777777" w:rsidR="00236360" w:rsidRPr="00356E78" w:rsidRDefault="00236360" w:rsidP="006338AA">
            <w:proofErr w:type="gramStart"/>
            <w:r w:rsidRPr="00356E78">
              <w:rPr>
                <w:i/>
              </w:rPr>
              <w:t>F</w:t>
            </w:r>
            <w:r w:rsidRPr="00356E78">
              <w:t>(</w:t>
            </w:r>
            <w:proofErr w:type="gramEnd"/>
            <w:r w:rsidRPr="00356E78">
              <w:t xml:space="preserve">2,160) = 1.84, </w:t>
            </w:r>
            <w:r w:rsidRPr="00356E78">
              <w:rPr>
                <w:i/>
              </w:rPr>
              <w:t xml:space="preserve">p </w:t>
            </w:r>
            <w:r w:rsidRPr="00356E78">
              <w:t xml:space="preserve"> = .164, </w:t>
            </w:r>
            <w:r w:rsidRPr="00356E78">
              <w:rPr>
                <w:rFonts w:eastAsia="MS Gothic"/>
                <w:color w:val="000000"/>
              </w:rPr>
              <w:t>η</w:t>
            </w:r>
            <w:r w:rsidRPr="00356E78">
              <w:rPr>
                <w:rFonts w:eastAsia="MS Gothic"/>
                <w:color w:val="000000"/>
                <w:vertAlign w:val="subscript"/>
              </w:rPr>
              <w:t>p</w:t>
            </w:r>
            <w:r w:rsidRPr="00356E78">
              <w:rPr>
                <w:rFonts w:eastAsia="MS Gothic"/>
                <w:color w:val="000000"/>
                <w:vertAlign w:val="superscript"/>
              </w:rPr>
              <w:t>2</w:t>
            </w:r>
            <w:r w:rsidRPr="00356E78">
              <w:rPr>
                <w:rFonts w:eastAsia="MS Gothic"/>
                <w:color w:val="000000"/>
              </w:rPr>
              <w:t xml:space="preserve"> = 0.02</w:t>
            </w:r>
          </w:p>
        </w:tc>
        <w:tc>
          <w:tcPr>
            <w:tcW w:w="2946" w:type="dxa"/>
          </w:tcPr>
          <w:p w14:paraId="5F16883B" w14:textId="77777777" w:rsidR="00236360" w:rsidRPr="008B10A7" w:rsidRDefault="00236360" w:rsidP="006338AA">
            <w:pPr>
              <w:rPr>
                <w:highlight w:val="yellow"/>
              </w:rPr>
            </w:pPr>
          </w:p>
        </w:tc>
      </w:tr>
      <w:tr w:rsidR="00236360" w:rsidRPr="000A66FB" w14:paraId="70CB5B46" w14:textId="77777777" w:rsidTr="00236360">
        <w:tc>
          <w:tcPr>
            <w:tcW w:w="1661" w:type="dxa"/>
          </w:tcPr>
          <w:p w14:paraId="6FFDC594" w14:textId="77777777" w:rsidR="00236360" w:rsidRPr="008B10A7" w:rsidRDefault="00236360" w:rsidP="006338AA">
            <w:pPr>
              <w:rPr>
                <w:i/>
                <w:highlight w:val="yellow"/>
              </w:rPr>
            </w:pPr>
            <w:r w:rsidRPr="0021109E">
              <w:rPr>
                <w:i/>
                <w:sz w:val="21"/>
                <w:szCs w:val="21"/>
              </w:rPr>
              <w:t>Verbal Learning (HVLT)</w:t>
            </w:r>
          </w:p>
        </w:tc>
        <w:tc>
          <w:tcPr>
            <w:tcW w:w="1580" w:type="dxa"/>
          </w:tcPr>
          <w:p w14:paraId="7591B12E" w14:textId="77777777" w:rsidR="00236360" w:rsidRPr="008B10A7" w:rsidRDefault="00236360" w:rsidP="006338AA">
            <w:pPr>
              <w:rPr>
                <w:highlight w:val="yellow"/>
              </w:rPr>
            </w:pPr>
          </w:p>
        </w:tc>
        <w:tc>
          <w:tcPr>
            <w:tcW w:w="1663" w:type="dxa"/>
          </w:tcPr>
          <w:p w14:paraId="714719A2" w14:textId="77777777" w:rsidR="00236360" w:rsidRPr="008B10A7" w:rsidRDefault="00236360" w:rsidP="006338AA">
            <w:pPr>
              <w:rPr>
                <w:highlight w:val="yellow"/>
              </w:rPr>
            </w:pPr>
          </w:p>
        </w:tc>
        <w:tc>
          <w:tcPr>
            <w:tcW w:w="1656" w:type="dxa"/>
          </w:tcPr>
          <w:p w14:paraId="4FAF59A8" w14:textId="77777777" w:rsidR="00236360" w:rsidRPr="008B10A7" w:rsidRDefault="00236360" w:rsidP="006338AA">
            <w:pPr>
              <w:rPr>
                <w:highlight w:val="yellow"/>
              </w:rPr>
            </w:pPr>
          </w:p>
        </w:tc>
        <w:tc>
          <w:tcPr>
            <w:tcW w:w="3502" w:type="dxa"/>
          </w:tcPr>
          <w:p w14:paraId="150F5AF9" w14:textId="77777777" w:rsidR="00236360" w:rsidRPr="008B10A7" w:rsidRDefault="00236360" w:rsidP="006338AA">
            <w:pPr>
              <w:rPr>
                <w:highlight w:val="yellow"/>
              </w:rPr>
            </w:pPr>
          </w:p>
        </w:tc>
        <w:tc>
          <w:tcPr>
            <w:tcW w:w="2946" w:type="dxa"/>
          </w:tcPr>
          <w:p w14:paraId="0921CD3D" w14:textId="77777777" w:rsidR="00236360" w:rsidRPr="008B10A7" w:rsidRDefault="00236360" w:rsidP="006338AA">
            <w:pPr>
              <w:jc w:val="center"/>
              <w:rPr>
                <w:highlight w:val="yellow"/>
              </w:rPr>
            </w:pPr>
          </w:p>
        </w:tc>
      </w:tr>
      <w:tr w:rsidR="00236360" w:rsidRPr="000A66FB" w14:paraId="67B202EE" w14:textId="77777777" w:rsidTr="00236360">
        <w:tc>
          <w:tcPr>
            <w:tcW w:w="1661" w:type="dxa"/>
          </w:tcPr>
          <w:p w14:paraId="44797C86" w14:textId="77777777" w:rsidR="00236360" w:rsidRPr="0021109E" w:rsidRDefault="00236360" w:rsidP="006338AA">
            <w:pPr>
              <w:ind w:left="284"/>
            </w:pPr>
            <w:r w:rsidRPr="0021109E">
              <w:rPr>
                <w:sz w:val="21"/>
                <w:szCs w:val="21"/>
              </w:rPr>
              <w:t xml:space="preserve">Total score </w:t>
            </w:r>
          </w:p>
        </w:tc>
        <w:tc>
          <w:tcPr>
            <w:tcW w:w="1580" w:type="dxa"/>
          </w:tcPr>
          <w:p w14:paraId="03AAF055" w14:textId="77777777" w:rsidR="00236360" w:rsidRPr="0021109E" w:rsidRDefault="00236360" w:rsidP="006338AA">
            <w:r w:rsidRPr="0021109E">
              <w:t>2772 (5.13)</w:t>
            </w:r>
          </w:p>
        </w:tc>
        <w:tc>
          <w:tcPr>
            <w:tcW w:w="1663" w:type="dxa"/>
          </w:tcPr>
          <w:p w14:paraId="4FD2A393" w14:textId="77777777" w:rsidR="00236360" w:rsidRPr="0021109E" w:rsidRDefault="00236360" w:rsidP="006338AA">
            <w:r w:rsidRPr="0021109E">
              <w:t>25.27 (5.52)</w:t>
            </w:r>
          </w:p>
        </w:tc>
        <w:tc>
          <w:tcPr>
            <w:tcW w:w="1656" w:type="dxa"/>
          </w:tcPr>
          <w:p w14:paraId="5EDA2F2B" w14:textId="77777777" w:rsidR="00236360" w:rsidRPr="0021109E" w:rsidRDefault="00236360" w:rsidP="006338AA">
            <w:r w:rsidRPr="0021109E">
              <w:t>27.31 (4.51)</w:t>
            </w:r>
          </w:p>
        </w:tc>
        <w:tc>
          <w:tcPr>
            <w:tcW w:w="3502" w:type="dxa"/>
          </w:tcPr>
          <w:p w14:paraId="73506C9E" w14:textId="77777777" w:rsidR="00236360" w:rsidRPr="0021109E" w:rsidRDefault="00236360" w:rsidP="006338AA">
            <w:proofErr w:type="gramStart"/>
            <w:r w:rsidRPr="0021109E">
              <w:rPr>
                <w:i/>
              </w:rPr>
              <w:t>F</w:t>
            </w:r>
            <w:r w:rsidRPr="0021109E">
              <w:t>(</w:t>
            </w:r>
            <w:proofErr w:type="gramEnd"/>
            <w:r w:rsidRPr="0021109E">
              <w:t xml:space="preserve">2,186) = 2.83, </w:t>
            </w:r>
            <w:r w:rsidRPr="0021109E">
              <w:rPr>
                <w:i/>
              </w:rPr>
              <w:t xml:space="preserve">p </w:t>
            </w:r>
            <w:r w:rsidRPr="0021109E">
              <w:t xml:space="preserve"> = .062, </w:t>
            </w:r>
            <w:r w:rsidRPr="0021109E">
              <w:rPr>
                <w:rFonts w:eastAsia="MS Gothic"/>
                <w:color w:val="000000"/>
              </w:rPr>
              <w:t>η</w:t>
            </w:r>
            <w:r w:rsidRPr="0021109E">
              <w:rPr>
                <w:rFonts w:eastAsia="MS Gothic"/>
                <w:color w:val="000000"/>
                <w:vertAlign w:val="subscript"/>
              </w:rPr>
              <w:t>p</w:t>
            </w:r>
            <w:r w:rsidRPr="0021109E">
              <w:rPr>
                <w:rFonts w:eastAsia="MS Gothic"/>
                <w:color w:val="000000"/>
                <w:vertAlign w:val="superscript"/>
              </w:rPr>
              <w:t>2</w:t>
            </w:r>
            <w:r w:rsidRPr="0021109E">
              <w:rPr>
                <w:rFonts w:eastAsia="MS Gothic"/>
                <w:color w:val="000000"/>
              </w:rPr>
              <w:t xml:space="preserve"> = 0.03</w:t>
            </w:r>
          </w:p>
        </w:tc>
        <w:tc>
          <w:tcPr>
            <w:tcW w:w="2946" w:type="dxa"/>
          </w:tcPr>
          <w:p w14:paraId="6F63EE18" w14:textId="77777777" w:rsidR="00236360" w:rsidRPr="008B10A7" w:rsidRDefault="00236360" w:rsidP="006338AA">
            <w:pPr>
              <w:jc w:val="center"/>
              <w:rPr>
                <w:highlight w:val="yellow"/>
              </w:rPr>
            </w:pPr>
          </w:p>
        </w:tc>
      </w:tr>
      <w:tr w:rsidR="00236360" w:rsidRPr="000A66FB" w14:paraId="216EE760" w14:textId="77777777" w:rsidTr="00236360">
        <w:tc>
          <w:tcPr>
            <w:tcW w:w="1661" w:type="dxa"/>
          </w:tcPr>
          <w:p w14:paraId="33275A2D" w14:textId="77777777" w:rsidR="00236360" w:rsidRPr="00960EB7" w:rsidRDefault="00236360" w:rsidP="006338AA">
            <w:pPr>
              <w:ind w:left="284"/>
            </w:pPr>
            <w:r w:rsidRPr="00960EB7">
              <w:rPr>
                <w:sz w:val="21"/>
                <w:szCs w:val="21"/>
              </w:rPr>
              <w:lastRenderedPageBreak/>
              <w:t>Learning rate (Trial 3 – Trial 1)</w:t>
            </w:r>
          </w:p>
        </w:tc>
        <w:tc>
          <w:tcPr>
            <w:tcW w:w="1580" w:type="dxa"/>
          </w:tcPr>
          <w:p w14:paraId="07BB318A" w14:textId="77777777" w:rsidR="00236360" w:rsidRPr="00960EB7" w:rsidRDefault="00236360" w:rsidP="006338AA">
            <w:r w:rsidRPr="00960EB7">
              <w:t>2.68 (1.99)</w:t>
            </w:r>
          </w:p>
        </w:tc>
        <w:tc>
          <w:tcPr>
            <w:tcW w:w="1663" w:type="dxa"/>
          </w:tcPr>
          <w:p w14:paraId="33682FA9" w14:textId="77777777" w:rsidR="00236360" w:rsidRPr="00960EB7" w:rsidRDefault="00236360" w:rsidP="006338AA">
            <w:r w:rsidRPr="00960EB7">
              <w:t>3.24 (1.73)</w:t>
            </w:r>
          </w:p>
        </w:tc>
        <w:tc>
          <w:tcPr>
            <w:tcW w:w="1656" w:type="dxa"/>
          </w:tcPr>
          <w:p w14:paraId="3EF92689" w14:textId="77777777" w:rsidR="00236360" w:rsidRPr="00960EB7" w:rsidRDefault="00236360" w:rsidP="006338AA">
            <w:r w:rsidRPr="00960EB7">
              <w:t>2.61 (1.61)</w:t>
            </w:r>
          </w:p>
        </w:tc>
        <w:tc>
          <w:tcPr>
            <w:tcW w:w="3502" w:type="dxa"/>
          </w:tcPr>
          <w:p w14:paraId="77481BD3" w14:textId="77777777" w:rsidR="00236360" w:rsidRPr="00960EB7" w:rsidRDefault="00236360" w:rsidP="006338AA">
            <w:proofErr w:type="gramStart"/>
            <w:r w:rsidRPr="00960EB7">
              <w:rPr>
                <w:i/>
              </w:rPr>
              <w:t>F</w:t>
            </w:r>
            <w:r w:rsidRPr="00960EB7">
              <w:t>(</w:t>
            </w:r>
            <w:proofErr w:type="gramEnd"/>
            <w:r w:rsidRPr="00960EB7">
              <w:t xml:space="preserve">2, 186) = 1.68, </w:t>
            </w:r>
            <w:r w:rsidRPr="00960EB7">
              <w:rPr>
                <w:i/>
              </w:rPr>
              <w:t xml:space="preserve">p </w:t>
            </w:r>
            <w:r w:rsidRPr="00960EB7">
              <w:t xml:space="preserve"> = .188, </w:t>
            </w:r>
            <w:r w:rsidRPr="00960EB7">
              <w:rPr>
                <w:rFonts w:eastAsia="MS Gothic"/>
                <w:color w:val="000000"/>
              </w:rPr>
              <w:t>η</w:t>
            </w:r>
            <w:r w:rsidRPr="00960EB7">
              <w:rPr>
                <w:rFonts w:eastAsia="MS Gothic"/>
                <w:color w:val="000000"/>
                <w:vertAlign w:val="subscript"/>
              </w:rPr>
              <w:t>p</w:t>
            </w:r>
            <w:r w:rsidRPr="00960EB7">
              <w:rPr>
                <w:rFonts w:eastAsia="MS Gothic"/>
                <w:color w:val="000000"/>
                <w:vertAlign w:val="superscript"/>
              </w:rPr>
              <w:t>2</w:t>
            </w:r>
            <w:r w:rsidRPr="00960EB7">
              <w:rPr>
                <w:rFonts w:eastAsia="MS Gothic"/>
                <w:color w:val="000000"/>
              </w:rPr>
              <w:t xml:space="preserve"> = 0.02</w:t>
            </w:r>
          </w:p>
        </w:tc>
        <w:tc>
          <w:tcPr>
            <w:tcW w:w="2946" w:type="dxa"/>
          </w:tcPr>
          <w:p w14:paraId="2460677D" w14:textId="77777777" w:rsidR="00236360" w:rsidRPr="008B10A7" w:rsidRDefault="00236360" w:rsidP="006338AA">
            <w:pPr>
              <w:jc w:val="center"/>
              <w:rPr>
                <w:highlight w:val="yellow"/>
              </w:rPr>
            </w:pPr>
          </w:p>
        </w:tc>
      </w:tr>
      <w:tr w:rsidR="00236360" w:rsidRPr="000A66FB" w14:paraId="60CAB02F" w14:textId="77777777" w:rsidTr="00236360">
        <w:tc>
          <w:tcPr>
            <w:tcW w:w="1661" w:type="dxa"/>
          </w:tcPr>
          <w:p w14:paraId="36AF13DC" w14:textId="77777777" w:rsidR="00236360" w:rsidRPr="00181D4E" w:rsidRDefault="00236360" w:rsidP="006338AA">
            <w:r w:rsidRPr="00181D4E">
              <w:rPr>
                <w:sz w:val="21"/>
                <w:szCs w:val="21"/>
              </w:rPr>
              <w:t>Processing Speed (BACS Symbol Coding)</w:t>
            </w:r>
          </w:p>
        </w:tc>
        <w:tc>
          <w:tcPr>
            <w:tcW w:w="1580" w:type="dxa"/>
          </w:tcPr>
          <w:p w14:paraId="7599AB6C" w14:textId="77777777" w:rsidR="00236360" w:rsidRPr="00181D4E" w:rsidRDefault="00236360" w:rsidP="006338AA">
            <w:r w:rsidRPr="00181D4E">
              <w:t>59.91 (11.58)</w:t>
            </w:r>
          </w:p>
        </w:tc>
        <w:tc>
          <w:tcPr>
            <w:tcW w:w="1663" w:type="dxa"/>
          </w:tcPr>
          <w:p w14:paraId="23523989" w14:textId="77777777" w:rsidR="00236360" w:rsidRPr="00181D4E" w:rsidRDefault="00236360" w:rsidP="006338AA">
            <w:r w:rsidRPr="00181D4E">
              <w:t>58.27 (11.62)</w:t>
            </w:r>
          </w:p>
        </w:tc>
        <w:tc>
          <w:tcPr>
            <w:tcW w:w="1656" w:type="dxa"/>
          </w:tcPr>
          <w:p w14:paraId="2475F471" w14:textId="77777777" w:rsidR="00236360" w:rsidRPr="00181D4E" w:rsidRDefault="00236360" w:rsidP="006338AA">
            <w:r w:rsidRPr="00181D4E">
              <w:t>58.57 (13.53)</w:t>
            </w:r>
          </w:p>
        </w:tc>
        <w:tc>
          <w:tcPr>
            <w:tcW w:w="3502" w:type="dxa"/>
          </w:tcPr>
          <w:p w14:paraId="5C2F6B51" w14:textId="77777777" w:rsidR="00236360" w:rsidRPr="00181D4E" w:rsidRDefault="00236360" w:rsidP="006338AA">
            <w:proofErr w:type="gramStart"/>
            <w:r w:rsidRPr="00181D4E">
              <w:rPr>
                <w:i/>
              </w:rPr>
              <w:t>F</w:t>
            </w:r>
            <w:r w:rsidRPr="00181D4E">
              <w:t>(</w:t>
            </w:r>
            <w:proofErr w:type="gramEnd"/>
            <w:r w:rsidRPr="00181D4E">
              <w:t xml:space="preserve">2, 170) = 0.22, </w:t>
            </w:r>
            <w:r w:rsidRPr="00181D4E">
              <w:rPr>
                <w:i/>
              </w:rPr>
              <w:t xml:space="preserve">p </w:t>
            </w:r>
            <w:r w:rsidRPr="00181D4E">
              <w:t xml:space="preserve"> = .806, </w:t>
            </w:r>
            <w:r w:rsidRPr="00181D4E">
              <w:rPr>
                <w:rFonts w:eastAsia="MS Gothic"/>
                <w:color w:val="000000"/>
              </w:rPr>
              <w:t>η</w:t>
            </w:r>
            <w:r w:rsidRPr="00181D4E">
              <w:rPr>
                <w:rFonts w:eastAsia="MS Gothic"/>
                <w:color w:val="000000"/>
                <w:vertAlign w:val="subscript"/>
              </w:rPr>
              <w:t>p</w:t>
            </w:r>
            <w:r w:rsidRPr="00181D4E">
              <w:rPr>
                <w:rFonts w:eastAsia="MS Gothic"/>
                <w:color w:val="000000"/>
                <w:vertAlign w:val="superscript"/>
              </w:rPr>
              <w:t>2</w:t>
            </w:r>
            <w:r w:rsidRPr="00181D4E">
              <w:rPr>
                <w:rFonts w:eastAsia="MS Gothic"/>
                <w:color w:val="000000"/>
              </w:rPr>
              <w:t xml:space="preserve"> = 0.00</w:t>
            </w:r>
          </w:p>
        </w:tc>
        <w:tc>
          <w:tcPr>
            <w:tcW w:w="2946" w:type="dxa"/>
          </w:tcPr>
          <w:p w14:paraId="2234DB38" w14:textId="77777777" w:rsidR="00236360" w:rsidRPr="008B10A7" w:rsidRDefault="00236360" w:rsidP="006338AA">
            <w:pPr>
              <w:jc w:val="center"/>
              <w:rPr>
                <w:highlight w:val="yellow"/>
              </w:rPr>
            </w:pPr>
          </w:p>
        </w:tc>
      </w:tr>
      <w:tr w:rsidR="00236360" w:rsidRPr="000A66FB" w14:paraId="05B21A06" w14:textId="77777777" w:rsidTr="00236360">
        <w:tc>
          <w:tcPr>
            <w:tcW w:w="1661" w:type="dxa"/>
          </w:tcPr>
          <w:p w14:paraId="5AD5E7CB" w14:textId="77777777" w:rsidR="00236360" w:rsidRPr="008B10A7" w:rsidRDefault="00236360" w:rsidP="006338AA">
            <w:pPr>
              <w:rPr>
                <w:b/>
                <w:i/>
                <w:highlight w:val="yellow"/>
                <w:u w:val="single"/>
              </w:rPr>
            </w:pPr>
            <w:r w:rsidRPr="00A30A35">
              <w:rPr>
                <w:b/>
                <w:i/>
                <w:u w:val="single"/>
              </w:rPr>
              <w:t>Task performance</w:t>
            </w:r>
          </w:p>
        </w:tc>
        <w:tc>
          <w:tcPr>
            <w:tcW w:w="1580" w:type="dxa"/>
          </w:tcPr>
          <w:p w14:paraId="5B2A4617" w14:textId="77777777" w:rsidR="00236360" w:rsidRPr="008B10A7" w:rsidRDefault="00236360" w:rsidP="006338AA">
            <w:pPr>
              <w:rPr>
                <w:highlight w:val="yellow"/>
              </w:rPr>
            </w:pPr>
          </w:p>
        </w:tc>
        <w:tc>
          <w:tcPr>
            <w:tcW w:w="1663" w:type="dxa"/>
          </w:tcPr>
          <w:p w14:paraId="7FCFB70B" w14:textId="77777777" w:rsidR="00236360" w:rsidRPr="008B10A7" w:rsidRDefault="00236360" w:rsidP="006338AA">
            <w:pPr>
              <w:rPr>
                <w:highlight w:val="yellow"/>
              </w:rPr>
            </w:pPr>
          </w:p>
        </w:tc>
        <w:tc>
          <w:tcPr>
            <w:tcW w:w="1656" w:type="dxa"/>
          </w:tcPr>
          <w:p w14:paraId="5EAE2744" w14:textId="77777777" w:rsidR="00236360" w:rsidRPr="008B10A7" w:rsidRDefault="00236360" w:rsidP="006338AA">
            <w:pPr>
              <w:rPr>
                <w:highlight w:val="yellow"/>
              </w:rPr>
            </w:pPr>
          </w:p>
        </w:tc>
        <w:tc>
          <w:tcPr>
            <w:tcW w:w="3502" w:type="dxa"/>
          </w:tcPr>
          <w:p w14:paraId="5A2548B9" w14:textId="77777777" w:rsidR="00236360" w:rsidRPr="008B10A7" w:rsidRDefault="00236360" w:rsidP="006338AA">
            <w:pPr>
              <w:rPr>
                <w:highlight w:val="yellow"/>
              </w:rPr>
            </w:pPr>
          </w:p>
        </w:tc>
        <w:tc>
          <w:tcPr>
            <w:tcW w:w="2946" w:type="dxa"/>
          </w:tcPr>
          <w:p w14:paraId="6363C60F" w14:textId="77777777" w:rsidR="00236360" w:rsidRPr="008B10A7" w:rsidRDefault="00236360" w:rsidP="006338AA">
            <w:pPr>
              <w:rPr>
                <w:highlight w:val="yellow"/>
              </w:rPr>
            </w:pPr>
          </w:p>
        </w:tc>
      </w:tr>
      <w:tr w:rsidR="00236360" w:rsidRPr="000A66FB" w14:paraId="70B382A9" w14:textId="77777777" w:rsidTr="00236360">
        <w:tc>
          <w:tcPr>
            <w:tcW w:w="1661" w:type="dxa"/>
          </w:tcPr>
          <w:p w14:paraId="1C9D133A" w14:textId="77777777" w:rsidR="00236360" w:rsidRPr="00A30A35" w:rsidRDefault="00236360" w:rsidP="006338AA">
            <w:r w:rsidRPr="00A30A35">
              <w:t>Hedonic Reactivity (average IAPS Pleasantness rating)</w:t>
            </w:r>
          </w:p>
        </w:tc>
        <w:tc>
          <w:tcPr>
            <w:tcW w:w="1580" w:type="dxa"/>
          </w:tcPr>
          <w:p w14:paraId="50F750A4" w14:textId="77777777" w:rsidR="00236360" w:rsidRPr="00A30A35" w:rsidRDefault="00236360" w:rsidP="006338AA">
            <w:r w:rsidRPr="00A30A35">
              <w:rPr>
                <w:rFonts w:eastAsia="MS Gothic"/>
                <w:color w:val="000000"/>
              </w:rPr>
              <w:t>−</w:t>
            </w:r>
            <w:r w:rsidRPr="00A30A35">
              <w:t>0.80 (1.04)</w:t>
            </w:r>
          </w:p>
        </w:tc>
        <w:tc>
          <w:tcPr>
            <w:tcW w:w="1663" w:type="dxa"/>
          </w:tcPr>
          <w:p w14:paraId="3ADD82BD" w14:textId="77777777" w:rsidR="00236360" w:rsidRPr="00A30A35" w:rsidRDefault="00236360" w:rsidP="006338AA">
            <w:r w:rsidRPr="00A30A35">
              <w:rPr>
                <w:rFonts w:eastAsia="MS Gothic"/>
                <w:color w:val="000000"/>
              </w:rPr>
              <w:t>−</w:t>
            </w:r>
            <w:r w:rsidRPr="00A30A35">
              <w:t>0.19 (1.00)</w:t>
            </w:r>
          </w:p>
        </w:tc>
        <w:tc>
          <w:tcPr>
            <w:tcW w:w="1656" w:type="dxa"/>
          </w:tcPr>
          <w:p w14:paraId="5EED5A5C" w14:textId="77777777" w:rsidR="00236360" w:rsidRPr="00A30A35" w:rsidRDefault="00236360" w:rsidP="006338AA">
            <w:r w:rsidRPr="00A30A35">
              <w:t>0.46 (0.66)</w:t>
            </w:r>
          </w:p>
        </w:tc>
        <w:tc>
          <w:tcPr>
            <w:tcW w:w="3502" w:type="dxa"/>
          </w:tcPr>
          <w:p w14:paraId="52B0631F" w14:textId="77777777" w:rsidR="00236360" w:rsidRPr="00AC6681" w:rsidRDefault="00236360" w:rsidP="006338AA">
            <w:proofErr w:type="spellStart"/>
            <w:proofErr w:type="gramStart"/>
            <w:r w:rsidRPr="00AC6681">
              <w:rPr>
                <w:i/>
              </w:rPr>
              <w:t>Fw</w:t>
            </w:r>
            <w:proofErr w:type="spellEnd"/>
            <w:r w:rsidRPr="00AC6681">
              <w:t>(</w:t>
            </w:r>
            <w:proofErr w:type="gramEnd"/>
            <w:r w:rsidRPr="00AC6681">
              <w:t xml:space="preserve">2,70.30) = 35.79, </w:t>
            </w:r>
            <w:r w:rsidRPr="00AC6681">
              <w:rPr>
                <w:i/>
              </w:rPr>
              <w:t xml:space="preserve">p </w:t>
            </w:r>
            <w:r w:rsidRPr="00AC6681">
              <w:t xml:space="preserve"> &lt; .001, </w:t>
            </w:r>
            <w:r w:rsidRPr="00AC6681">
              <w:rPr>
                <w:rFonts w:eastAsia="MS Gothic"/>
                <w:color w:val="000000"/>
              </w:rPr>
              <w:t>η</w:t>
            </w:r>
            <w:r w:rsidRPr="00AC6681">
              <w:rPr>
                <w:rFonts w:eastAsia="MS Gothic"/>
                <w:color w:val="000000"/>
                <w:vertAlign w:val="subscript"/>
              </w:rPr>
              <w:t>p</w:t>
            </w:r>
            <w:r w:rsidRPr="00AC6681">
              <w:rPr>
                <w:rFonts w:eastAsia="MS Gothic"/>
                <w:color w:val="000000"/>
                <w:vertAlign w:val="superscript"/>
              </w:rPr>
              <w:t>2</w:t>
            </w:r>
            <w:r w:rsidRPr="00AC6681">
              <w:rPr>
                <w:rFonts w:eastAsia="MS Gothic"/>
                <w:color w:val="000000"/>
              </w:rPr>
              <w:t xml:space="preserve"> = 0.30</w:t>
            </w:r>
          </w:p>
        </w:tc>
        <w:tc>
          <w:tcPr>
            <w:tcW w:w="2946" w:type="dxa"/>
          </w:tcPr>
          <w:p w14:paraId="53D78516" w14:textId="77777777" w:rsidR="00236360" w:rsidRPr="00AC6681" w:rsidRDefault="00236360" w:rsidP="006338AA">
            <w:r w:rsidRPr="00AC6681">
              <w:t>Clus1 &lt; Clus2 (</w:t>
            </w:r>
            <w:r w:rsidRPr="00AC6681">
              <w:rPr>
                <w:i/>
              </w:rPr>
              <w:t xml:space="preserve">p </w:t>
            </w:r>
            <w:r w:rsidRPr="00AC6681">
              <w:rPr>
                <w:iCs/>
              </w:rPr>
              <w:t>=</w:t>
            </w:r>
            <w:r w:rsidRPr="00AC6681">
              <w:t xml:space="preserve"> .0</w:t>
            </w:r>
            <w:r>
              <w:t>1</w:t>
            </w:r>
            <w:r w:rsidRPr="00AC6681">
              <w:t>9)</w:t>
            </w:r>
          </w:p>
          <w:p w14:paraId="0E197B41" w14:textId="77777777" w:rsidR="00236360" w:rsidRPr="00AC6681" w:rsidRDefault="00236360" w:rsidP="006338AA">
            <w:r w:rsidRPr="00AC6681">
              <w:t>Clus1 &lt; Clus3 (</w:t>
            </w:r>
            <w:r w:rsidRPr="00AC6681">
              <w:rPr>
                <w:i/>
              </w:rPr>
              <w:t xml:space="preserve">p </w:t>
            </w:r>
            <w:r w:rsidRPr="00AC6681">
              <w:t>&lt; .001)</w:t>
            </w:r>
          </w:p>
          <w:p w14:paraId="029A336D" w14:textId="77777777" w:rsidR="00236360" w:rsidRPr="00AC6681" w:rsidRDefault="00236360" w:rsidP="006338AA">
            <w:r w:rsidRPr="00AC6681">
              <w:t>Clus2 &lt; Clus3 (</w:t>
            </w:r>
            <w:proofErr w:type="gramStart"/>
            <w:r w:rsidRPr="00AC6681">
              <w:rPr>
                <w:i/>
              </w:rPr>
              <w:t xml:space="preserve">p </w:t>
            </w:r>
            <w:r w:rsidRPr="00AC6681">
              <w:t xml:space="preserve"> </w:t>
            </w:r>
            <w:r>
              <w:t>=</w:t>
            </w:r>
            <w:proofErr w:type="gramEnd"/>
            <w:r w:rsidRPr="00AC6681">
              <w:t xml:space="preserve"> .00</w:t>
            </w:r>
            <w:r>
              <w:t>2</w:t>
            </w:r>
            <w:r w:rsidRPr="00AC6681">
              <w:t>)</w:t>
            </w:r>
          </w:p>
        </w:tc>
      </w:tr>
      <w:tr w:rsidR="00236360" w:rsidRPr="000A66FB" w14:paraId="3E845C53" w14:textId="77777777" w:rsidTr="00236360">
        <w:tc>
          <w:tcPr>
            <w:tcW w:w="1661" w:type="dxa"/>
          </w:tcPr>
          <w:p w14:paraId="31A871BA" w14:textId="77777777" w:rsidR="00236360" w:rsidRPr="00A30A35" w:rsidRDefault="00236360" w:rsidP="006338AA">
            <w:r w:rsidRPr="00A30A35">
              <w:t xml:space="preserve">Value Representation (average </w:t>
            </w:r>
            <w:r w:rsidRPr="00A30A35">
              <w:rPr>
                <w:i/>
              </w:rPr>
              <w:t>k</w:t>
            </w:r>
            <w:r w:rsidRPr="00A30A35">
              <w:t>-delay discounting rate)</w:t>
            </w:r>
          </w:p>
        </w:tc>
        <w:tc>
          <w:tcPr>
            <w:tcW w:w="1580" w:type="dxa"/>
          </w:tcPr>
          <w:p w14:paraId="261FBF5E" w14:textId="77777777" w:rsidR="00236360" w:rsidRPr="00A30A35" w:rsidRDefault="00236360" w:rsidP="006338AA">
            <w:pPr>
              <w:rPr>
                <w:rFonts w:eastAsia="MS Gothic"/>
                <w:color w:val="000000"/>
              </w:rPr>
            </w:pPr>
            <w:r w:rsidRPr="00A30A35">
              <w:t>0.99 (0.86)</w:t>
            </w:r>
          </w:p>
        </w:tc>
        <w:tc>
          <w:tcPr>
            <w:tcW w:w="1663" w:type="dxa"/>
          </w:tcPr>
          <w:p w14:paraId="2AFD47FA" w14:textId="77777777" w:rsidR="00236360" w:rsidRPr="00A30A35" w:rsidRDefault="00236360" w:rsidP="006338AA">
            <w:r w:rsidRPr="00A30A35">
              <w:rPr>
                <w:rFonts w:eastAsia="MS Gothic"/>
                <w:color w:val="000000"/>
              </w:rPr>
              <w:t>−</w:t>
            </w:r>
            <w:r w:rsidRPr="00A30A35">
              <w:t>0.31 (1.01)</w:t>
            </w:r>
          </w:p>
        </w:tc>
        <w:tc>
          <w:tcPr>
            <w:tcW w:w="1656" w:type="dxa"/>
          </w:tcPr>
          <w:p w14:paraId="51BEF898" w14:textId="77777777" w:rsidR="00236360" w:rsidRPr="00A30A35" w:rsidRDefault="00236360" w:rsidP="006338AA">
            <w:r w:rsidRPr="00A30A35">
              <w:rPr>
                <w:rFonts w:eastAsia="MS Gothic"/>
                <w:color w:val="000000"/>
              </w:rPr>
              <w:t>−</w:t>
            </w:r>
            <w:r w:rsidRPr="00A30A35">
              <w:t>0.39 (0.68)</w:t>
            </w:r>
          </w:p>
        </w:tc>
        <w:tc>
          <w:tcPr>
            <w:tcW w:w="3502" w:type="dxa"/>
          </w:tcPr>
          <w:p w14:paraId="2653B098" w14:textId="77777777" w:rsidR="00236360" w:rsidRPr="00AC6681" w:rsidRDefault="00236360" w:rsidP="006338AA">
            <w:proofErr w:type="spellStart"/>
            <w:r w:rsidRPr="00AC6681">
              <w:rPr>
                <w:i/>
              </w:rPr>
              <w:t>Fw</w:t>
            </w:r>
            <w:proofErr w:type="spellEnd"/>
            <w:r w:rsidRPr="00AC6681">
              <w:t xml:space="preserve"> (2,73.12) = 54.39, </w:t>
            </w:r>
            <w:proofErr w:type="gramStart"/>
            <w:r w:rsidRPr="00AC6681">
              <w:rPr>
                <w:i/>
              </w:rPr>
              <w:t xml:space="preserve">p </w:t>
            </w:r>
            <w:r w:rsidRPr="00AC6681">
              <w:t xml:space="preserve"> &lt;</w:t>
            </w:r>
            <w:proofErr w:type="gramEnd"/>
            <w:r w:rsidRPr="00AC6681">
              <w:t xml:space="preserve"> .001, </w:t>
            </w:r>
            <w:r w:rsidRPr="00AC6681">
              <w:rPr>
                <w:rFonts w:eastAsia="MS Gothic"/>
                <w:color w:val="000000"/>
              </w:rPr>
              <w:t>η</w:t>
            </w:r>
            <w:r w:rsidRPr="00AC6681">
              <w:rPr>
                <w:rFonts w:eastAsia="MS Gothic"/>
                <w:color w:val="000000"/>
                <w:vertAlign w:val="subscript"/>
              </w:rPr>
              <w:t>p</w:t>
            </w:r>
            <w:r w:rsidRPr="00AC6681">
              <w:rPr>
                <w:rFonts w:eastAsia="MS Gothic"/>
                <w:color w:val="000000"/>
                <w:vertAlign w:val="superscript"/>
              </w:rPr>
              <w:t>2</w:t>
            </w:r>
            <w:r w:rsidRPr="00AC6681">
              <w:rPr>
                <w:rFonts w:eastAsia="MS Gothic"/>
                <w:color w:val="000000"/>
              </w:rPr>
              <w:t xml:space="preserve"> = 0.37</w:t>
            </w:r>
          </w:p>
        </w:tc>
        <w:tc>
          <w:tcPr>
            <w:tcW w:w="2946" w:type="dxa"/>
          </w:tcPr>
          <w:p w14:paraId="73AA74BB" w14:textId="77777777" w:rsidR="00236360" w:rsidRPr="00404BF8" w:rsidRDefault="00236360" w:rsidP="006338AA">
            <w:r w:rsidRPr="00404BF8">
              <w:t>Clus2 &lt; Clus1 (</w:t>
            </w:r>
            <w:proofErr w:type="gramStart"/>
            <w:r w:rsidRPr="00404BF8">
              <w:rPr>
                <w:i/>
              </w:rPr>
              <w:t xml:space="preserve">p </w:t>
            </w:r>
            <w:r w:rsidRPr="00404BF8">
              <w:t xml:space="preserve"> &lt;</w:t>
            </w:r>
            <w:proofErr w:type="gramEnd"/>
            <w:r w:rsidRPr="00404BF8">
              <w:t xml:space="preserve"> .001)</w:t>
            </w:r>
          </w:p>
          <w:p w14:paraId="6D4D2F01" w14:textId="77777777" w:rsidR="00236360" w:rsidRPr="00404BF8" w:rsidRDefault="00236360" w:rsidP="006338AA">
            <w:r w:rsidRPr="00404BF8">
              <w:t>Clus3 &lt; Clus1 (</w:t>
            </w:r>
            <w:proofErr w:type="gramStart"/>
            <w:r w:rsidRPr="00404BF8">
              <w:rPr>
                <w:i/>
              </w:rPr>
              <w:t xml:space="preserve">p </w:t>
            </w:r>
            <w:r w:rsidRPr="00404BF8">
              <w:t xml:space="preserve"> &lt;</w:t>
            </w:r>
            <w:proofErr w:type="gramEnd"/>
            <w:r w:rsidRPr="00404BF8">
              <w:t xml:space="preserve"> .001)</w:t>
            </w:r>
          </w:p>
          <w:p w14:paraId="451129FB" w14:textId="77777777" w:rsidR="00236360" w:rsidRPr="008B10A7" w:rsidRDefault="00236360" w:rsidP="006338AA">
            <w:pPr>
              <w:rPr>
                <w:highlight w:val="yellow"/>
              </w:rPr>
            </w:pPr>
          </w:p>
        </w:tc>
      </w:tr>
      <w:tr w:rsidR="00236360" w:rsidRPr="000A66FB" w14:paraId="4EDD8E4B" w14:textId="77777777" w:rsidTr="00236360">
        <w:tc>
          <w:tcPr>
            <w:tcW w:w="1661" w:type="dxa"/>
          </w:tcPr>
          <w:p w14:paraId="76D6A355" w14:textId="77777777" w:rsidR="00236360" w:rsidRPr="00165AD9" w:rsidRDefault="00236360" w:rsidP="006338AA">
            <w:r w:rsidRPr="00165AD9">
              <w:t>Effort-Cost Computation (</w:t>
            </w:r>
            <w:proofErr w:type="spellStart"/>
            <w:r w:rsidRPr="00165AD9">
              <w:t>EEfRT</w:t>
            </w:r>
            <w:proofErr w:type="spellEnd"/>
            <w:r w:rsidRPr="00165AD9">
              <w:t xml:space="preserve"> % Hard task </w:t>
            </w:r>
            <w:proofErr w:type="spellStart"/>
            <w:r w:rsidRPr="00165AD9">
              <w:t>choices</w:t>
            </w:r>
            <w:r w:rsidRPr="00165AD9">
              <w:rPr>
                <w:vertAlign w:val="superscript"/>
              </w:rPr>
              <w:t>b</w:t>
            </w:r>
            <w:proofErr w:type="spellEnd"/>
            <w:r w:rsidRPr="00165AD9">
              <w:t>)</w:t>
            </w:r>
          </w:p>
        </w:tc>
        <w:tc>
          <w:tcPr>
            <w:tcW w:w="1580" w:type="dxa"/>
          </w:tcPr>
          <w:p w14:paraId="2344E326" w14:textId="77777777" w:rsidR="00236360" w:rsidRPr="00165AD9" w:rsidRDefault="00236360" w:rsidP="006338AA">
            <w:pPr>
              <w:rPr>
                <w:rFonts w:eastAsia="MS Gothic"/>
                <w:color w:val="000000"/>
              </w:rPr>
            </w:pPr>
            <w:r w:rsidRPr="00165AD9">
              <w:t>0.</w:t>
            </w:r>
            <w:r>
              <w:t>12</w:t>
            </w:r>
            <w:r w:rsidRPr="00165AD9">
              <w:t xml:space="preserve"> (0.9</w:t>
            </w:r>
            <w:r>
              <w:t>3</w:t>
            </w:r>
            <w:r w:rsidRPr="00165AD9">
              <w:t>)</w:t>
            </w:r>
          </w:p>
        </w:tc>
        <w:tc>
          <w:tcPr>
            <w:tcW w:w="1663" w:type="dxa"/>
          </w:tcPr>
          <w:p w14:paraId="24CAF89B" w14:textId="77777777" w:rsidR="00236360" w:rsidRPr="00165AD9" w:rsidRDefault="00236360" w:rsidP="006338AA">
            <w:r w:rsidRPr="00165AD9">
              <w:rPr>
                <w:rFonts w:eastAsia="MS Gothic"/>
                <w:color w:val="000000"/>
              </w:rPr>
              <w:t>−</w:t>
            </w:r>
            <w:r w:rsidRPr="00165AD9">
              <w:t>0.3</w:t>
            </w:r>
            <w:r>
              <w:t>8</w:t>
            </w:r>
            <w:r w:rsidRPr="00165AD9">
              <w:t xml:space="preserve"> (1.0</w:t>
            </w:r>
            <w:r>
              <w:t>9</w:t>
            </w:r>
            <w:r w:rsidRPr="00165AD9">
              <w:t>)</w:t>
            </w:r>
          </w:p>
        </w:tc>
        <w:tc>
          <w:tcPr>
            <w:tcW w:w="1656" w:type="dxa"/>
          </w:tcPr>
          <w:p w14:paraId="19B016F2" w14:textId="77777777" w:rsidR="00236360" w:rsidRPr="00165AD9" w:rsidRDefault="00236360" w:rsidP="006338AA">
            <w:r w:rsidRPr="00165AD9">
              <w:t>0.06 (0.</w:t>
            </w:r>
            <w:r>
              <w:t>99</w:t>
            </w:r>
            <w:r w:rsidRPr="00165AD9">
              <w:t>)</w:t>
            </w:r>
          </w:p>
        </w:tc>
        <w:tc>
          <w:tcPr>
            <w:tcW w:w="3502" w:type="dxa"/>
          </w:tcPr>
          <w:p w14:paraId="136D0414" w14:textId="77777777" w:rsidR="00236360" w:rsidRPr="00AC6681" w:rsidRDefault="00236360" w:rsidP="006338AA">
            <w:proofErr w:type="gramStart"/>
            <w:r w:rsidRPr="00AC6681">
              <w:rPr>
                <w:i/>
              </w:rPr>
              <w:t>F</w:t>
            </w:r>
            <w:r w:rsidRPr="00AC6681">
              <w:t>(</w:t>
            </w:r>
            <w:proofErr w:type="gramEnd"/>
            <w:r w:rsidRPr="00AC6681">
              <w:t xml:space="preserve">2,195) = 3.13, </w:t>
            </w:r>
            <w:r w:rsidRPr="00AC6681">
              <w:rPr>
                <w:i/>
              </w:rPr>
              <w:t xml:space="preserve">p </w:t>
            </w:r>
            <w:r w:rsidRPr="00AC6681">
              <w:t xml:space="preserve"> =.046, </w:t>
            </w:r>
            <w:r w:rsidRPr="00AC6681">
              <w:rPr>
                <w:rFonts w:eastAsia="MS Gothic"/>
                <w:color w:val="000000"/>
              </w:rPr>
              <w:t>η</w:t>
            </w:r>
            <w:r w:rsidRPr="00AC6681">
              <w:rPr>
                <w:rFonts w:eastAsia="MS Gothic"/>
                <w:color w:val="000000"/>
                <w:vertAlign w:val="subscript"/>
              </w:rPr>
              <w:t>p</w:t>
            </w:r>
            <w:r w:rsidRPr="00AC6681">
              <w:rPr>
                <w:rFonts w:eastAsia="MS Gothic"/>
                <w:color w:val="000000"/>
                <w:vertAlign w:val="superscript"/>
              </w:rPr>
              <w:t>2</w:t>
            </w:r>
            <w:r w:rsidRPr="00AC6681">
              <w:rPr>
                <w:rFonts w:eastAsia="MS Gothic"/>
                <w:color w:val="000000"/>
              </w:rPr>
              <w:t xml:space="preserve"> = 0.03</w:t>
            </w:r>
          </w:p>
        </w:tc>
        <w:tc>
          <w:tcPr>
            <w:tcW w:w="2946" w:type="dxa"/>
          </w:tcPr>
          <w:p w14:paraId="584235A7" w14:textId="77777777" w:rsidR="00236360" w:rsidRPr="00165AD9" w:rsidRDefault="00236360" w:rsidP="006338AA">
            <w:r w:rsidRPr="00165AD9">
              <w:t>Clus2 &lt; Clus1 (</w:t>
            </w:r>
            <w:proofErr w:type="gramStart"/>
            <w:r w:rsidRPr="00165AD9">
              <w:rPr>
                <w:i/>
              </w:rPr>
              <w:t xml:space="preserve">p </w:t>
            </w:r>
            <w:r w:rsidRPr="00165AD9">
              <w:t xml:space="preserve"> =</w:t>
            </w:r>
            <w:proofErr w:type="gramEnd"/>
            <w:r w:rsidRPr="00165AD9">
              <w:t xml:space="preserve"> .065; </w:t>
            </w:r>
            <w:proofErr w:type="spellStart"/>
            <w:r w:rsidRPr="00165AD9">
              <w:rPr>
                <w:i/>
                <w:iCs/>
              </w:rPr>
              <w:t>p</w:t>
            </w:r>
            <w:r w:rsidRPr="00165AD9">
              <w:rPr>
                <w:i/>
                <w:iCs/>
                <w:vertAlign w:val="subscript"/>
              </w:rPr>
              <w:t>uncorrected</w:t>
            </w:r>
            <w:proofErr w:type="spellEnd"/>
            <w:r w:rsidRPr="00165AD9">
              <w:t xml:space="preserve"> = .022)</w:t>
            </w:r>
          </w:p>
          <w:p w14:paraId="7F111EF5" w14:textId="77777777" w:rsidR="00236360" w:rsidRPr="00165AD9" w:rsidRDefault="00236360" w:rsidP="006338AA">
            <w:r w:rsidRPr="00165AD9">
              <w:t>Clus2 &lt; Clus3 (</w:t>
            </w:r>
            <w:proofErr w:type="gramStart"/>
            <w:r w:rsidRPr="00165AD9">
              <w:rPr>
                <w:i/>
              </w:rPr>
              <w:t xml:space="preserve">p </w:t>
            </w:r>
            <w:r w:rsidRPr="00165AD9">
              <w:t xml:space="preserve"> =</w:t>
            </w:r>
            <w:proofErr w:type="gramEnd"/>
            <w:r w:rsidRPr="00165AD9">
              <w:t xml:space="preserve"> .073; </w:t>
            </w:r>
            <w:proofErr w:type="spellStart"/>
            <w:r w:rsidRPr="00165AD9">
              <w:rPr>
                <w:i/>
                <w:iCs/>
              </w:rPr>
              <w:t>p</w:t>
            </w:r>
            <w:r w:rsidRPr="00165AD9">
              <w:rPr>
                <w:i/>
                <w:iCs/>
                <w:vertAlign w:val="subscript"/>
              </w:rPr>
              <w:t>uncorrected</w:t>
            </w:r>
            <w:proofErr w:type="spellEnd"/>
            <w:r w:rsidRPr="00165AD9">
              <w:t xml:space="preserve"> = .024)</w:t>
            </w:r>
            <w:r w:rsidRPr="00165AD9">
              <w:tab/>
            </w:r>
          </w:p>
        </w:tc>
      </w:tr>
      <w:tr w:rsidR="00236360" w:rsidRPr="000A66FB" w14:paraId="6B578CCA" w14:textId="77777777" w:rsidTr="00236360">
        <w:tc>
          <w:tcPr>
            <w:tcW w:w="1661" w:type="dxa"/>
            <w:tcBorders>
              <w:bottom w:val="single" w:sz="4" w:space="0" w:color="auto"/>
            </w:tcBorders>
          </w:tcPr>
          <w:p w14:paraId="24A8C5AA" w14:textId="77777777" w:rsidR="00236360" w:rsidRPr="00A30A35" w:rsidRDefault="00236360" w:rsidP="006338AA">
            <w:r w:rsidRPr="00A30A35">
              <w:t xml:space="preserve">Reinforcement Learning (PRLT % Gain condition </w:t>
            </w:r>
            <w:proofErr w:type="spellStart"/>
            <w:r w:rsidRPr="00A30A35">
              <w:t>accuracy</w:t>
            </w:r>
            <w:r w:rsidRPr="00A30A35">
              <w:rPr>
                <w:vertAlign w:val="superscript"/>
              </w:rPr>
              <w:t>c</w:t>
            </w:r>
            <w:proofErr w:type="spellEnd"/>
            <w:r w:rsidRPr="00A30A35">
              <w:t>)</w:t>
            </w:r>
          </w:p>
        </w:tc>
        <w:tc>
          <w:tcPr>
            <w:tcW w:w="1580" w:type="dxa"/>
            <w:tcBorders>
              <w:bottom w:val="single" w:sz="4" w:space="0" w:color="auto"/>
            </w:tcBorders>
          </w:tcPr>
          <w:p w14:paraId="79B3CC3E" w14:textId="77777777" w:rsidR="00236360" w:rsidRPr="00A30A35" w:rsidRDefault="00236360" w:rsidP="006338AA">
            <w:r w:rsidRPr="00A30A35">
              <w:t>0.51 (0.49)</w:t>
            </w:r>
          </w:p>
        </w:tc>
        <w:tc>
          <w:tcPr>
            <w:tcW w:w="1663" w:type="dxa"/>
            <w:tcBorders>
              <w:bottom w:val="single" w:sz="4" w:space="0" w:color="auto"/>
            </w:tcBorders>
          </w:tcPr>
          <w:p w14:paraId="01AF5D4A" w14:textId="77777777" w:rsidR="00236360" w:rsidRPr="00A30A35" w:rsidRDefault="00236360" w:rsidP="006338AA">
            <w:r w:rsidRPr="00A30A35">
              <w:rPr>
                <w:rFonts w:eastAsia="MS Gothic"/>
                <w:color w:val="000000"/>
              </w:rPr>
              <w:t>−</w:t>
            </w:r>
            <w:r w:rsidRPr="00A30A35">
              <w:t>1.77 (0.83)</w:t>
            </w:r>
          </w:p>
        </w:tc>
        <w:tc>
          <w:tcPr>
            <w:tcW w:w="1656" w:type="dxa"/>
            <w:tcBorders>
              <w:bottom w:val="single" w:sz="4" w:space="0" w:color="auto"/>
            </w:tcBorders>
          </w:tcPr>
          <w:p w14:paraId="3F9A8F9D" w14:textId="77777777" w:rsidR="00236360" w:rsidRPr="00A30A35" w:rsidRDefault="00236360" w:rsidP="006338AA">
            <w:r w:rsidRPr="00A30A35">
              <w:t>0.32 (0.50)</w:t>
            </w:r>
          </w:p>
        </w:tc>
        <w:tc>
          <w:tcPr>
            <w:tcW w:w="3502" w:type="dxa"/>
            <w:tcBorders>
              <w:bottom w:val="single" w:sz="4" w:space="0" w:color="auto"/>
            </w:tcBorders>
          </w:tcPr>
          <w:p w14:paraId="27844890" w14:textId="77777777" w:rsidR="00236360" w:rsidRPr="00AC6681" w:rsidRDefault="00236360" w:rsidP="006338AA">
            <w:proofErr w:type="spellStart"/>
            <w:proofErr w:type="gramStart"/>
            <w:r w:rsidRPr="00AC6681">
              <w:rPr>
                <w:i/>
              </w:rPr>
              <w:t>Fw</w:t>
            </w:r>
            <w:proofErr w:type="spellEnd"/>
            <w:r w:rsidRPr="00AC6681">
              <w:t>(</w:t>
            </w:r>
            <w:proofErr w:type="gramEnd"/>
            <w:r w:rsidRPr="00AC6681">
              <w:t xml:space="preserve">2,75.25) = 111.90, </w:t>
            </w:r>
            <w:r w:rsidRPr="00AC6681">
              <w:rPr>
                <w:i/>
              </w:rPr>
              <w:t xml:space="preserve">p </w:t>
            </w:r>
            <w:r w:rsidRPr="00AC6681">
              <w:t xml:space="preserve"> &lt; .001, </w:t>
            </w:r>
            <w:r w:rsidRPr="00AC6681">
              <w:rPr>
                <w:rFonts w:eastAsia="MS Gothic"/>
                <w:color w:val="000000"/>
              </w:rPr>
              <w:t>η</w:t>
            </w:r>
            <w:r w:rsidRPr="00AC6681">
              <w:rPr>
                <w:rFonts w:eastAsia="MS Gothic"/>
                <w:color w:val="000000"/>
                <w:vertAlign w:val="subscript"/>
              </w:rPr>
              <w:t>p</w:t>
            </w:r>
            <w:r w:rsidRPr="00AC6681">
              <w:rPr>
                <w:rFonts w:eastAsia="MS Gothic"/>
                <w:color w:val="000000"/>
                <w:vertAlign w:val="superscript"/>
              </w:rPr>
              <w:t>2</w:t>
            </w:r>
            <w:r w:rsidRPr="00AC6681">
              <w:rPr>
                <w:rFonts w:eastAsia="MS Gothic"/>
                <w:color w:val="000000"/>
              </w:rPr>
              <w:t xml:space="preserve"> = 0.68</w:t>
            </w:r>
          </w:p>
        </w:tc>
        <w:tc>
          <w:tcPr>
            <w:tcW w:w="2946" w:type="dxa"/>
            <w:tcBorders>
              <w:bottom w:val="single" w:sz="4" w:space="0" w:color="auto"/>
            </w:tcBorders>
          </w:tcPr>
          <w:p w14:paraId="18E09495" w14:textId="77777777" w:rsidR="00236360" w:rsidRPr="00B819BA" w:rsidRDefault="00236360" w:rsidP="006338AA">
            <w:r w:rsidRPr="00B819BA">
              <w:t>Clus2 &lt; Clus1 (</w:t>
            </w:r>
            <w:proofErr w:type="gramStart"/>
            <w:r w:rsidRPr="00B819BA">
              <w:rPr>
                <w:i/>
              </w:rPr>
              <w:t xml:space="preserve">p </w:t>
            </w:r>
            <w:r w:rsidRPr="00B819BA">
              <w:t xml:space="preserve"> &lt;</w:t>
            </w:r>
            <w:proofErr w:type="gramEnd"/>
            <w:r w:rsidRPr="00B819BA">
              <w:t xml:space="preserve"> .001)</w:t>
            </w:r>
          </w:p>
          <w:p w14:paraId="7AB0CA8D" w14:textId="77777777" w:rsidR="00236360" w:rsidRPr="008B10A7" w:rsidRDefault="00236360" w:rsidP="006338AA">
            <w:pPr>
              <w:rPr>
                <w:highlight w:val="yellow"/>
              </w:rPr>
            </w:pPr>
            <w:r w:rsidRPr="00B819BA">
              <w:t>Clus2 &lt; Clus3 (</w:t>
            </w:r>
            <w:proofErr w:type="gramStart"/>
            <w:r w:rsidRPr="00B819BA">
              <w:rPr>
                <w:i/>
              </w:rPr>
              <w:t xml:space="preserve">p </w:t>
            </w:r>
            <w:r w:rsidRPr="00B819BA">
              <w:t xml:space="preserve"> &lt;</w:t>
            </w:r>
            <w:proofErr w:type="gramEnd"/>
            <w:r w:rsidRPr="00B819BA">
              <w:t xml:space="preserve"> .001)</w:t>
            </w:r>
          </w:p>
        </w:tc>
      </w:tr>
    </w:tbl>
    <w:p w14:paraId="18C10E1B" w14:textId="77777777" w:rsidR="00236360" w:rsidRPr="000A66FB" w:rsidRDefault="00236360" w:rsidP="00236360">
      <w:r w:rsidRPr="000A66FB">
        <w:rPr>
          <w:i/>
        </w:rPr>
        <w:t>Note</w:t>
      </w:r>
      <w:r w:rsidRPr="000A66FB">
        <w:t xml:space="preserve">. Values reflect Mean (Standard Deviation) unless otherwise indicated. CHR = Clinical High-Risk participants; HSC = Help-Seeking Control participants; NSI-PR = Negative Symptom Inventory – Psychosis Risk; SIPS = Structured Interview for Psychosis-Risk Syndromes; CES-D = Center for Epidemiologic Studies – Depression Scale; PSS = Perceived Stress Scale; STAI = State-Trait Anxiety Inventory; WRAT-4 = Wide-Range Achievement Test – 4; HVLT = Hopkins Verbal Learning Test; BACS = Brief Assessment of Cognition in Schizophrenia; IAPS = International Affective Picture System; </w:t>
      </w:r>
      <w:proofErr w:type="spellStart"/>
      <w:r w:rsidRPr="000A66FB">
        <w:t>EEfRT</w:t>
      </w:r>
      <w:proofErr w:type="spellEnd"/>
      <w:r w:rsidRPr="000A66FB">
        <w:t xml:space="preserve"> = Effort Expenditure for Rewards Task; PRLT = Probabilistic Reinforcement Learning Task; </w:t>
      </w:r>
      <w:proofErr w:type="spellStart"/>
      <w:r w:rsidRPr="000A66FB">
        <w:rPr>
          <w:i/>
        </w:rPr>
        <w:t>Fw</w:t>
      </w:r>
      <w:proofErr w:type="spellEnd"/>
      <w:r w:rsidRPr="000A66FB">
        <w:rPr>
          <w:i/>
        </w:rPr>
        <w:t xml:space="preserve"> </w:t>
      </w:r>
      <w:r w:rsidRPr="000A66FB">
        <w:t xml:space="preserve">= Welch’s </w:t>
      </w:r>
      <w:r w:rsidRPr="000A66FB">
        <w:rPr>
          <w:i/>
        </w:rPr>
        <w:t>F</w:t>
      </w:r>
      <w:r w:rsidRPr="000A66FB">
        <w:t xml:space="preserve">-statistic; </w:t>
      </w:r>
      <w:proofErr w:type="spellStart"/>
      <w:r w:rsidRPr="000A66FB">
        <w:rPr>
          <w:i/>
        </w:rPr>
        <w:t>p</w:t>
      </w:r>
      <w:r w:rsidRPr="000A66FB">
        <w:rPr>
          <w:i/>
          <w:vertAlign w:val="subscript"/>
        </w:rPr>
        <w:t>FDR</w:t>
      </w:r>
      <w:proofErr w:type="spellEnd"/>
      <w:r w:rsidRPr="000A66FB">
        <w:t xml:space="preserve"> = False-Discovery Rate-corrected </w:t>
      </w:r>
      <w:r w:rsidRPr="000A66FB">
        <w:rPr>
          <w:i/>
        </w:rPr>
        <w:t>p</w:t>
      </w:r>
      <w:r w:rsidRPr="000A66FB">
        <w:t>-value.</w:t>
      </w:r>
    </w:p>
    <w:p w14:paraId="4146EADD" w14:textId="77777777" w:rsidR="00236360" w:rsidRPr="000A66FB" w:rsidRDefault="00236360" w:rsidP="00236360">
      <w:proofErr w:type="spellStart"/>
      <w:r w:rsidRPr="000A66FB">
        <w:rPr>
          <w:vertAlign w:val="superscript"/>
        </w:rPr>
        <w:t>a</w:t>
      </w:r>
      <w:r w:rsidRPr="000A66FB">
        <w:t>Proxy</w:t>
      </w:r>
      <w:proofErr w:type="spellEnd"/>
      <w:r w:rsidRPr="000A66FB">
        <w:t xml:space="preserve"> primary negative symptom score is the scaled difference score of N1+N2+N3-G2-G4 SIPS items.</w:t>
      </w:r>
    </w:p>
    <w:p w14:paraId="58ACFDF2" w14:textId="77777777" w:rsidR="00236360" w:rsidRPr="000A66FB" w:rsidRDefault="00236360" w:rsidP="00236360">
      <w:proofErr w:type="spellStart"/>
      <w:r w:rsidRPr="000A66FB">
        <w:rPr>
          <w:vertAlign w:val="superscript"/>
        </w:rPr>
        <w:lastRenderedPageBreak/>
        <w:t>b</w:t>
      </w:r>
      <w:r w:rsidRPr="000A66FB">
        <w:t>Percentage</w:t>
      </w:r>
      <w:proofErr w:type="spellEnd"/>
      <w:r w:rsidRPr="000A66FB">
        <w:t xml:space="preserve"> of hard task choices for trials in the upper half of the reward magnitude range and in the upper (50%-88%) reward probability range.</w:t>
      </w:r>
    </w:p>
    <w:p w14:paraId="7F9708B3" w14:textId="77777777" w:rsidR="00236360" w:rsidRDefault="00236360" w:rsidP="00236360">
      <w:proofErr w:type="spellStart"/>
      <w:r w:rsidRPr="000A66FB">
        <w:rPr>
          <w:vertAlign w:val="superscript"/>
        </w:rPr>
        <w:t>c</w:t>
      </w:r>
      <w:r w:rsidRPr="000A66FB">
        <w:t>Percentage</w:t>
      </w:r>
      <w:proofErr w:type="spellEnd"/>
      <w:r w:rsidRPr="000A66FB">
        <w:t xml:space="preserve"> of correct choices on the most frequently rewarded gain stimulus pairing across learning trials.</w:t>
      </w:r>
    </w:p>
    <w:p w14:paraId="3D3C68D1" w14:textId="77777777" w:rsidR="00236360" w:rsidRDefault="00236360" w:rsidP="001413D8">
      <w:pPr>
        <w:spacing w:line="480" w:lineRule="auto"/>
        <w:rPr>
          <w:bCs/>
        </w:rPr>
      </w:pPr>
    </w:p>
    <w:p w14:paraId="1EAA51E9" w14:textId="77777777" w:rsidR="00236360" w:rsidRDefault="00236360" w:rsidP="001413D8">
      <w:pPr>
        <w:spacing w:line="480" w:lineRule="auto"/>
        <w:rPr>
          <w:bCs/>
        </w:rPr>
        <w:sectPr w:rsidR="00236360" w:rsidSect="00236360">
          <w:pgSz w:w="15840" w:h="12240" w:orient="landscape"/>
          <w:pgMar w:top="1134" w:right="1134" w:bottom="1134" w:left="1134" w:header="720" w:footer="720" w:gutter="0"/>
          <w:cols w:space="720"/>
          <w:noEndnote/>
          <w:docGrid w:linePitch="326"/>
        </w:sectPr>
      </w:pPr>
    </w:p>
    <w:p w14:paraId="74590F59" w14:textId="77777777" w:rsidR="00236360" w:rsidRPr="001413D8" w:rsidRDefault="00236360" w:rsidP="001413D8">
      <w:pPr>
        <w:spacing w:line="480" w:lineRule="auto"/>
        <w:rPr>
          <w:bCs/>
        </w:rPr>
      </w:pPr>
    </w:p>
    <w:p w14:paraId="6FBB254F" w14:textId="28647A82" w:rsidR="000F1D54" w:rsidRPr="002C2E14" w:rsidRDefault="000F1D54" w:rsidP="00C35F47">
      <w:pPr>
        <w:spacing w:line="480" w:lineRule="auto"/>
        <w:jc w:val="center"/>
        <w:rPr>
          <w:b/>
        </w:rPr>
      </w:pPr>
      <w:r w:rsidRPr="009664A2">
        <w:rPr>
          <w:b/>
        </w:rPr>
        <w:t>References</w:t>
      </w:r>
    </w:p>
    <w:p w14:paraId="4BA19C21" w14:textId="77777777" w:rsidR="00011926" w:rsidRPr="00011926" w:rsidRDefault="0047484D" w:rsidP="00011926">
      <w:pPr>
        <w:pStyle w:val="Bibliography"/>
      </w:pPr>
      <w:r>
        <w:rPr>
          <w:rFonts w:eastAsia="Times New Roman"/>
          <w:lang w:val="en-CA"/>
        </w:rPr>
        <w:fldChar w:fldCharType="begin"/>
      </w:r>
      <w:r w:rsidR="00011926">
        <w:rPr>
          <w:rFonts w:eastAsia="Times New Roman"/>
          <w:lang w:val="en-CA"/>
        </w:rPr>
        <w:instrText xml:space="preserve"> ADDIN ZOTERO_BIBL {"uncited":[],"omitted":[],"custom":[]} CSL_BIBLIOGRAPHY </w:instrText>
      </w:r>
      <w:r>
        <w:rPr>
          <w:rFonts w:eastAsia="Times New Roman"/>
          <w:lang w:val="en-CA"/>
        </w:rPr>
        <w:fldChar w:fldCharType="separate"/>
      </w:r>
      <w:r w:rsidR="00011926" w:rsidRPr="00011926">
        <w:t xml:space="preserve">Benedict, R. H., Schretlen, D., Groninger, L., &amp; Brandt, J. (1998). Hopkins Verbal Learning Test–Revised: Normative data and analysis of inter-form and test-retest reliability. </w:t>
      </w:r>
      <w:r w:rsidR="00011926" w:rsidRPr="00011926">
        <w:rPr>
          <w:i/>
          <w:iCs/>
        </w:rPr>
        <w:t>The Clinical Neuropsychologist</w:t>
      </w:r>
      <w:r w:rsidR="00011926" w:rsidRPr="00011926">
        <w:t xml:space="preserve">, </w:t>
      </w:r>
      <w:r w:rsidR="00011926" w:rsidRPr="00011926">
        <w:rPr>
          <w:i/>
          <w:iCs/>
        </w:rPr>
        <w:t>12</w:t>
      </w:r>
      <w:r w:rsidR="00011926" w:rsidRPr="00011926">
        <w:t>(1), 43–55.</w:t>
      </w:r>
    </w:p>
    <w:p w14:paraId="11EF7C07" w14:textId="77777777" w:rsidR="00011926" w:rsidRPr="00011926" w:rsidRDefault="00011926" w:rsidP="00011926">
      <w:pPr>
        <w:pStyle w:val="Bibliography"/>
      </w:pPr>
      <w:r w:rsidRPr="00011926">
        <w:t xml:space="preserve">Bieling, P. J., Antony, M. M., &amp; Swinson, R. P. (1998). The State-Trait Anxiety Inventory, Trait version: Structure and content re-examined. </w:t>
      </w:r>
      <w:r w:rsidRPr="00011926">
        <w:rPr>
          <w:i/>
          <w:iCs/>
        </w:rPr>
        <w:t>Behaviour Research and Therapy</w:t>
      </w:r>
      <w:r w:rsidRPr="00011926">
        <w:t xml:space="preserve">, </w:t>
      </w:r>
      <w:r w:rsidRPr="00011926">
        <w:rPr>
          <w:i/>
          <w:iCs/>
        </w:rPr>
        <w:t>36</w:t>
      </w:r>
      <w:r w:rsidRPr="00011926">
        <w:t>(7–8), 777–788. https://doi.org/10.1016/s0005-7967(98)00023-0</w:t>
      </w:r>
    </w:p>
    <w:p w14:paraId="2B75CA72" w14:textId="77777777" w:rsidR="00011926" w:rsidRPr="00011926" w:rsidRDefault="00011926" w:rsidP="00011926">
      <w:pPr>
        <w:pStyle w:val="Bibliography"/>
      </w:pPr>
      <w:r w:rsidRPr="00011926">
        <w:t xml:space="preserve">Cannon, T. D., Yu, C., Addington, J., Bearden, C. E., Cadenhead, K. S., Cornblatt, B. A., Heinssen, R., Jeffries, C. D., Mathalon, D. H., McGlashan, T. H., Perkins, D. O., Seidman, L. J., Tsuang, M. T., Walker, E. F., Woods, S. W., &amp; Kattan, M. W. (2016). An Individualized Risk Calculator for Research in Prodromal Psychosis. </w:t>
      </w:r>
      <w:r w:rsidRPr="00011926">
        <w:rPr>
          <w:i/>
          <w:iCs/>
        </w:rPr>
        <w:t>American Journal of Psychiatry</w:t>
      </w:r>
      <w:r w:rsidRPr="00011926">
        <w:t xml:space="preserve">, </w:t>
      </w:r>
      <w:r w:rsidRPr="00011926">
        <w:rPr>
          <w:i/>
          <w:iCs/>
        </w:rPr>
        <w:t>173</w:t>
      </w:r>
      <w:r w:rsidRPr="00011926">
        <w:t>(10), 980–988. https://doi.org/10.1176/appi.ajp.2016.15070890</w:t>
      </w:r>
    </w:p>
    <w:p w14:paraId="66F282E8" w14:textId="73EF1C64" w:rsidR="007A435F" w:rsidRDefault="007A435F" w:rsidP="00011926">
      <w:pPr>
        <w:pStyle w:val="Bibliography"/>
      </w:pPr>
      <w:r w:rsidRPr="007A435F">
        <w:t>Charrad, M., Ghazzali, N., Boiteau, V., &amp; Niknafs, A. (2014). NbClust: an R package for determining the relevant number of clusters in a data set. </w:t>
      </w:r>
      <w:r w:rsidRPr="007A435F">
        <w:rPr>
          <w:i/>
          <w:iCs/>
        </w:rPr>
        <w:t>Journal of statistical software</w:t>
      </w:r>
      <w:r w:rsidRPr="007A435F">
        <w:t>, </w:t>
      </w:r>
      <w:r w:rsidRPr="007A435F">
        <w:rPr>
          <w:i/>
          <w:iCs/>
        </w:rPr>
        <w:t>61</w:t>
      </w:r>
      <w:r w:rsidRPr="007A435F">
        <w:t>, 1-36.</w:t>
      </w:r>
    </w:p>
    <w:p w14:paraId="60E45034" w14:textId="54D76961" w:rsidR="00011926" w:rsidRPr="00011926" w:rsidRDefault="00011926" w:rsidP="00011926">
      <w:pPr>
        <w:pStyle w:val="Bibliography"/>
      </w:pPr>
      <w:r w:rsidRPr="00011926">
        <w:t xml:space="preserve">Cohen, S., Kamarck, T., &amp; Mermelstein, R. (1983). A global measure of perceived stress. </w:t>
      </w:r>
      <w:r w:rsidRPr="00011926">
        <w:rPr>
          <w:i/>
          <w:iCs/>
        </w:rPr>
        <w:t>Journal of Health and Social Behavior</w:t>
      </w:r>
      <w:r w:rsidRPr="00011926">
        <w:t xml:space="preserve">, </w:t>
      </w:r>
      <w:r w:rsidRPr="00011926">
        <w:rPr>
          <w:i/>
          <w:iCs/>
        </w:rPr>
        <w:t>24</w:t>
      </w:r>
      <w:r w:rsidRPr="00011926">
        <w:t>, 385–396. https://doi.org/10.2307/2136404</w:t>
      </w:r>
    </w:p>
    <w:p w14:paraId="31E5BE19" w14:textId="77777777" w:rsidR="00011926" w:rsidRPr="00011926" w:rsidRDefault="00011926" w:rsidP="00011926">
      <w:pPr>
        <w:pStyle w:val="Bibliography"/>
      </w:pPr>
      <w:r w:rsidRPr="00011926">
        <w:t xml:space="preserve">Cornblatt, B. A., Auther, A. M., Niendam, T., Smith, C. W., Zinberg, J., Bearden, C. E., &amp; Cannon, T. D. (2007). Preliminary findings for two new measures of social and role functioning in the prodromal phase of schizophrenia. </w:t>
      </w:r>
      <w:r w:rsidRPr="00011926">
        <w:rPr>
          <w:i/>
          <w:iCs/>
        </w:rPr>
        <w:t>Schizophrenia Bulletin</w:t>
      </w:r>
      <w:r w:rsidRPr="00011926">
        <w:t xml:space="preserve">, </w:t>
      </w:r>
      <w:r w:rsidRPr="00011926">
        <w:rPr>
          <w:i/>
          <w:iCs/>
        </w:rPr>
        <w:t>33</w:t>
      </w:r>
      <w:r w:rsidRPr="00011926">
        <w:t>(3), 688–702. https://doi.org/10.1093/schbul/sbm029</w:t>
      </w:r>
    </w:p>
    <w:p w14:paraId="55BA8B70" w14:textId="77777777" w:rsidR="00011926" w:rsidRPr="00011926" w:rsidRDefault="00011926" w:rsidP="00011926">
      <w:pPr>
        <w:pStyle w:val="Bibliography"/>
      </w:pPr>
      <w:r w:rsidRPr="00011926">
        <w:t xml:space="preserve">Culbreth, A. J., Moran, E. K., &amp; Barch, D. M. (2018). Effort-cost decision-making in psychosis and depression: Could a similar behavioral deficit arise from disparate psychological and neural mechanisms? </w:t>
      </w:r>
      <w:r w:rsidRPr="00011926">
        <w:rPr>
          <w:i/>
          <w:iCs/>
        </w:rPr>
        <w:t>Psychological Medicine</w:t>
      </w:r>
      <w:r w:rsidRPr="00011926">
        <w:t xml:space="preserve">, </w:t>
      </w:r>
      <w:r w:rsidRPr="00011926">
        <w:rPr>
          <w:i/>
          <w:iCs/>
        </w:rPr>
        <w:t>48</w:t>
      </w:r>
      <w:r w:rsidRPr="00011926">
        <w:t>(6), 889–904. https://doi.org/10.1017/S0033291717002525</w:t>
      </w:r>
    </w:p>
    <w:p w14:paraId="70843707" w14:textId="77777777" w:rsidR="00011926" w:rsidRPr="00011926" w:rsidRDefault="00011926" w:rsidP="00011926">
      <w:pPr>
        <w:pStyle w:val="Bibliography"/>
      </w:pPr>
      <w:r w:rsidRPr="00011926">
        <w:lastRenderedPageBreak/>
        <w:t xml:space="preserve">First, M. B., Williams, J. B., Karg, R. S., &amp; Spitzer, R. L. (2015). Structured clinical interview for DSM-5—Research version (SCID-5 for DSM-5, research version; SCID-5-RV). </w:t>
      </w:r>
      <w:r w:rsidRPr="00011926">
        <w:rPr>
          <w:i/>
          <w:iCs/>
        </w:rPr>
        <w:t>Arlington, VA: American Psychiatric Association</w:t>
      </w:r>
      <w:r w:rsidRPr="00011926">
        <w:t xml:space="preserve">, </w:t>
      </w:r>
      <w:r w:rsidRPr="00011926">
        <w:rPr>
          <w:i/>
          <w:iCs/>
        </w:rPr>
        <w:t>1–94</w:t>
      </w:r>
      <w:r w:rsidRPr="00011926">
        <w:t>.</w:t>
      </w:r>
    </w:p>
    <w:p w14:paraId="1B40049A" w14:textId="77777777" w:rsidR="00011926" w:rsidRPr="00011926" w:rsidRDefault="00011926" w:rsidP="00011926">
      <w:pPr>
        <w:pStyle w:val="Bibliography"/>
      </w:pPr>
      <w:r w:rsidRPr="00011926">
        <w:t xml:space="preserve">Gold, J. M., Waltz, J. A., Matveeva, T. M., Kasanova, Z., Strauss, G. P., Herbener, E. S., Collins, A. G. E., &amp; Frank, M. J. (2012). Negative symptoms and the failure to represent the expected reward value of actions: Behavioral and computational modeling evidence. </w:t>
      </w:r>
      <w:r w:rsidRPr="00011926">
        <w:rPr>
          <w:i/>
          <w:iCs/>
        </w:rPr>
        <w:t>Archives of General Psychiatry</w:t>
      </w:r>
      <w:r w:rsidRPr="00011926">
        <w:t xml:space="preserve">, </w:t>
      </w:r>
      <w:r w:rsidRPr="00011926">
        <w:rPr>
          <w:i/>
          <w:iCs/>
        </w:rPr>
        <w:t>69</w:t>
      </w:r>
      <w:r w:rsidRPr="00011926">
        <w:t>(2), 129–138. https://doi.org/10.1001/archgenpsychiatry.2011.1269</w:t>
      </w:r>
    </w:p>
    <w:p w14:paraId="01FD4192" w14:textId="77777777" w:rsidR="00011926" w:rsidRPr="00011926" w:rsidRDefault="00011926" w:rsidP="00011926">
      <w:pPr>
        <w:pStyle w:val="Bibliography"/>
      </w:pPr>
      <w:r w:rsidRPr="00011926">
        <w:t xml:space="preserve">Gray, J. C., Amlung, M. T., Palmer, A. A., &amp; MacKillop, J. (2016). Syntax for calculation of discounting indices from the monetary choice questionnaire and probability discounting questionnaire. </w:t>
      </w:r>
      <w:r w:rsidRPr="00011926">
        <w:rPr>
          <w:i/>
          <w:iCs/>
        </w:rPr>
        <w:t>Journal of the Experimental Analysis of Behavior</w:t>
      </w:r>
      <w:r w:rsidRPr="00011926">
        <w:t xml:space="preserve">, </w:t>
      </w:r>
      <w:r w:rsidRPr="00011926">
        <w:rPr>
          <w:i/>
          <w:iCs/>
        </w:rPr>
        <w:t>106</w:t>
      </w:r>
      <w:r w:rsidRPr="00011926">
        <w:t>(2), 156–163.</w:t>
      </w:r>
    </w:p>
    <w:p w14:paraId="6BC9254D" w14:textId="77777777" w:rsidR="00011926" w:rsidRPr="00011926" w:rsidRDefault="00011926" w:rsidP="00011926">
      <w:pPr>
        <w:pStyle w:val="Bibliography"/>
      </w:pPr>
      <w:r w:rsidRPr="00011926">
        <w:t xml:space="preserve">Hennig, C. (2007). Cluster-wise assessment of cluster stability. </w:t>
      </w:r>
      <w:r w:rsidRPr="00011926">
        <w:rPr>
          <w:i/>
          <w:iCs/>
        </w:rPr>
        <w:t>Computational Statistics &amp; Data Analysis</w:t>
      </w:r>
      <w:r w:rsidRPr="00011926">
        <w:t xml:space="preserve">, </w:t>
      </w:r>
      <w:r w:rsidRPr="00011926">
        <w:rPr>
          <w:i/>
          <w:iCs/>
        </w:rPr>
        <w:t>52</w:t>
      </w:r>
      <w:r w:rsidRPr="00011926">
        <w:t>(1), 258–271. https://doi.org/10.1016/j.csda.2006.11.025</w:t>
      </w:r>
    </w:p>
    <w:p w14:paraId="1EA8DBB6" w14:textId="77777777" w:rsidR="00011926" w:rsidRPr="00011926" w:rsidRDefault="00011926" w:rsidP="00011926">
      <w:pPr>
        <w:pStyle w:val="Bibliography"/>
      </w:pPr>
      <w:r w:rsidRPr="00011926">
        <w:t xml:space="preserve">Hennig, C. (2008). Dissolution point and isolation robustness: Robustness criteria for general cluster analysis methods. </w:t>
      </w:r>
      <w:r w:rsidRPr="00011926">
        <w:rPr>
          <w:i/>
          <w:iCs/>
        </w:rPr>
        <w:t>Journal of Multivariate Analysis</w:t>
      </w:r>
      <w:r w:rsidRPr="00011926">
        <w:t xml:space="preserve">, </w:t>
      </w:r>
      <w:r w:rsidRPr="00011926">
        <w:rPr>
          <w:i/>
          <w:iCs/>
        </w:rPr>
        <w:t>99</w:t>
      </w:r>
      <w:r w:rsidRPr="00011926">
        <w:t>(6), 1154–1176. https://doi.org/10.1016/j.jmva.2007.07.002</w:t>
      </w:r>
    </w:p>
    <w:p w14:paraId="4F018C57" w14:textId="77777777" w:rsidR="00011926" w:rsidRPr="00011926" w:rsidRDefault="00011926" w:rsidP="00011926">
      <w:pPr>
        <w:pStyle w:val="Bibliography"/>
      </w:pPr>
      <w:r w:rsidRPr="00011926">
        <w:t xml:space="preserve">Hennig, C. (2020). </w:t>
      </w:r>
      <w:r w:rsidRPr="00011926">
        <w:rPr>
          <w:i/>
          <w:iCs/>
        </w:rPr>
        <w:t>fpc: Flexible procedures for clustering (Version 2.2-9)</w:t>
      </w:r>
      <w:r w:rsidRPr="00011926">
        <w:t>.</w:t>
      </w:r>
    </w:p>
    <w:p w14:paraId="0971BA6E" w14:textId="77777777" w:rsidR="00011926" w:rsidRPr="00011926" w:rsidRDefault="00011926" w:rsidP="00011926">
      <w:pPr>
        <w:pStyle w:val="Bibliography"/>
      </w:pPr>
      <w:r w:rsidRPr="00011926">
        <w:t xml:space="preserve">Janssen, I., Krabbendam, L., Bak, M., Hanssen, M., Vollebergh, W., de Graaf, R., &amp; van Os, J. (2004). Childhood abuse as a risk factor for psychotic experiences. </w:t>
      </w:r>
      <w:r w:rsidRPr="00011926">
        <w:rPr>
          <w:i/>
          <w:iCs/>
        </w:rPr>
        <w:t>Acta Psychiatrica Scandinavica</w:t>
      </w:r>
      <w:r w:rsidRPr="00011926">
        <w:t xml:space="preserve">, </w:t>
      </w:r>
      <w:r w:rsidRPr="00011926">
        <w:rPr>
          <w:i/>
          <w:iCs/>
        </w:rPr>
        <w:t>109</w:t>
      </w:r>
      <w:r w:rsidRPr="00011926">
        <w:t>(1), 38–45. https://doi.org/10.1046/j.0001-690X.2003.00217.x</w:t>
      </w:r>
    </w:p>
    <w:p w14:paraId="6B09B2C0" w14:textId="77777777" w:rsidR="00011926" w:rsidRPr="00011926" w:rsidRDefault="00011926" w:rsidP="00011926">
      <w:pPr>
        <w:pStyle w:val="Bibliography"/>
      </w:pPr>
      <w:r w:rsidRPr="00ED47D3">
        <w:t>Keefe</w:t>
      </w:r>
      <w:r w:rsidRPr="00011926">
        <w:t xml:space="preserve">, R. S. E., Goldberg, T. E., Harvey, P. D., Gold, J. M., Poe, M. P., &amp; Coughenour, L. (2004). The Brief Assessment of Cognition in Schizophrenia: Reliability, sensitivity, and comparison with a standard neurocognitive battery. </w:t>
      </w:r>
      <w:r w:rsidRPr="00011926">
        <w:rPr>
          <w:i/>
          <w:iCs/>
        </w:rPr>
        <w:t>Schizophrenia Research</w:t>
      </w:r>
      <w:r w:rsidRPr="00011926">
        <w:t xml:space="preserve">, </w:t>
      </w:r>
      <w:r w:rsidRPr="00011926">
        <w:rPr>
          <w:i/>
          <w:iCs/>
        </w:rPr>
        <w:t>68</w:t>
      </w:r>
      <w:r w:rsidRPr="00011926">
        <w:t>(2), 283–297. https://doi.org/10.1016/j.schres.2003.09.011</w:t>
      </w:r>
    </w:p>
    <w:p w14:paraId="6E1B50B4" w14:textId="77777777" w:rsidR="00011926" w:rsidRPr="00011926" w:rsidRDefault="00011926" w:rsidP="00011926">
      <w:pPr>
        <w:pStyle w:val="Bibliography"/>
      </w:pPr>
      <w:r w:rsidRPr="00011926">
        <w:lastRenderedPageBreak/>
        <w:t xml:space="preserve">Kirby, K. N., Petry, N. M., &amp; Bickel, W. K. (1999). Heroin addicts have higher discount rates for delayed rewards than non-drug-using controls. </w:t>
      </w:r>
      <w:r w:rsidRPr="00011926">
        <w:rPr>
          <w:i/>
          <w:iCs/>
        </w:rPr>
        <w:t>Journal of Experimental Psychology: General</w:t>
      </w:r>
      <w:r w:rsidRPr="00011926">
        <w:t xml:space="preserve">, </w:t>
      </w:r>
      <w:r w:rsidRPr="00011926">
        <w:rPr>
          <w:i/>
          <w:iCs/>
        </w:rPr>
        <w:t>128</w:t>
      </w:r>
      <w:r w:rsidRPr="00011926">
        <w:t>(1), 78.</w:t>
      </w:r>
    </w:p>
    <w:p w14:paraId="28F40B65" w14:textId="77777777" w:rsidR="00011926" w:rsidRPr="00011926" w:rsidRDefault="00011926" w:rsidP="00011926">
      <w:pPr>
        <w:pStyle w:val="Bibliography"/>
      </w:pPr>
      <w:r w:rsidRPr="00011926">
        <w:t xml:space="preserve">Lang, P. J., Bradley, M. M., &amp; Cuthbert, B. N. (1997). International affective picture system (IAPS): Technical manual and affective ratings. </w:t>
      </w:r>
      <w:r w:rsidRPr="00011926">
        <w:rPr>
          <w:i/>
          <w:iCs/>
        </w:rPr>
        <w:t>NIMH Center for the Study of Emotion and Attention</w:t>
      </w:r>
      <w:r w:rsidRPr="00011926">
        <w:t xml:space="preserve">, </w:t>
      </w:r>
      <w:r w:rsidRPr="00011926">
        <w:rPr>
          <w:i/>
          <w:iCs/>
        </w:rPr>
        <w:t>1</w:t>
      </w:r>
      <w:r w:rsidRPr="00011926">
        <w:t>(39–58), 3.</w:t>
      </w:r>
    </w:p>
    <w:p w14:paraId="3565DADD" w14:textId="77777777" w:rsidR="00011926" w:rsidRPr="00011926" w:rsidRDefault="00011926" w:rsidP="00011926">
      <w:pPr>
        <w:pStyle w:val="Bibliography"/>
      </w:pPr>
      <w:r w:rsidRPr="00011926">
        <w:t xml:space="preserve">Maxwell, M. E. (1992). Family Interview for Genetic Studies (FIGS): A manual for FIGS. </w:t>
      </w:r>
      <w:r w:rsidRPr="00011926">
        <w:rPr>
          <w:i/>
          <w:iCs/>
        </w:rPr>
        <w:t>Bethesda, MD: Clinical Neurogenetics Branch, Intramural Research Program, National Institute of Mental Health</w:t>
      </w:r>
      <w:r w:rsidRPr="00011926">
        <w:t>.</w:t>
      </w:r>
    </w:p>
    <w:p w14:paraId="1F8A1A77" w14:textId="77777777" w:rsidR="00011926" w:rsidRPr="00011926" w:rsidRDefault="00011926" w:rsidP="00011926">
      <w:pPr>
        <w:pStyle w:val="Bibliography"/>
      </w:pPr>
      <w:r w:rsidRPr="00011926">
        <w:t xml:space="preserve">R Core Team. (2020). </w:t>
      </w:r>
      <w:r w:rsidRPr="00011926">
        <w:rPr>
          <w:i/>
          <w:iCs/>
        </w:rPr>
        <w:t>R: A Language and Environment for Statistical Computing</w:t>
      </w:r>
      <w:r w:rsidRPr="00011926">
        <w:t>. R Foundation for Statistical Computing. https://www.R-project.org/</w:t>
      </w:r>
    </w:p>
    <w:p w14:paraId="10261A54" w14:textId="77777777" w:rsidR="00011926" w:rsidRPr="00011926" w:rsidRDefault="00011926" w:rsidP="00011926">
      <w:pPr>
        <w:pStyle w:val="Bibliography"/>
      </w:pPr>
      <w:r w:rsidRPr="00011926">
        <w:t xml:space="preserve">Radloff, L. S. (1977). The CES-D Scale: A self-report depression scale for research in the general population. </w:t>
      </w:r>
      <w:r w:rsidRPr="00011926">
        <w:rPr>
          <w:i/>
          <w:iCs/>
        </w:rPr>
        <w:t>Applied Psychological Measurement</w:t>
      </w:r>
      <w:r w:rsidRPr="00011926">
        <w:t xml:space="preserve">, </w:t>
      </w:r>
      <w:r w:rsidRPr="00011926">
        <w:rPr>
          <w:i/>
          <w:iCs/>
        </w:rPr>
        <w:t>1</w:t>
      </w:r>
      <w:r w:rsidRPr="00011926">
        <w:t>, 385–401. https://doi.org/10.1177/014662167700100306</w:t>
      </w:r>
    </w:p>
    <w:p w14:paraId="43A58C16" w14:textId="6319F4F4" w:rsidR="00E90D11" w:rsidRPr="00E90D11" w:rsidRDefault="00E90D11" w:rsidP="0092290F">
      <w:pPr>
        <w:spacing w:line="480" w:lineRule="auto"/>
        <w:ind w:left="709" w:hanging="709"/>
      </w:pPr>
      <w:r w:rsidRPr="00E90D11">
        <w:t xml:space="preserve">Strauss, G. P., Walker, E. F., Pelletier-Baldelli, A., Carter, N. T., Ellman, L. M., Schiffman, J., ... &amp; Mittal, V. A. (2023). Development and Validation of the Negative Symptom Inventory-Psychosis Risk. </w:t>
      </w:r>
      <w:r w:rsidRPr="0092290F">
        <w:rPr>
          <w:i/>
          <w:iCs/>
        </w:rPr>
        <w:t>Schizophrenia Bulletin</w:t>
      </w:r>
      <w:r w:rsidRPr="00E90D11">
        <w:t>, sbad038.</w:t>
      </w:r>
      <w:r w:rsidRPr="00E90D11" w:rsidDel="00E90D11">
        <w:t xml:space="preserve"> </w:t>
      </w:r>
    </w:p>
    <w:p w14:paraId="6BDB93D8" w14:textId="77777777" w:rsidR="00011926" w:rsidRPr="00011926" w:rsidRDefault="00011926" w:rsidP="00011926">
      <w:pPr>
        <w:pStyle w:val="Bibliography"/>
      </w:pPr>
      <w:r w:rsidRPr="00011926">
        <w:t xml:space="preserve">Treadway, M. T., Buckholtz, J. W., Schwartzman, A. N., Lambert, W. E., &amp; Zald, D. H. (2009). Worth the ‘EEfRT’? The Effort Expenditure for Rewards Task as an Objective Measure of Motivation and Anhedonia. </w:t>
      </w:r>
      <w:r w:rsidRPr="00011926">
        <w:rPr>
          <w:i/>
          <w:iCs/>
        </w:rPr>
        <w:t>PLOS ONE</w:t>
      </w:r>
      <w:r w:rsidRPr="00011926">
        <w:t xml:space="preserve">, </w:t>
      </w:r>
      <w:r w:rsidRPr="00011926">
        <w:rPr>
          <w:i/>
          <w:iCs/>
        </w:rPr>
        <w:t>4</w:t>
      </w:r>
      <w:r w:rsidRPr="00011926">
        <w:t>(8), e6598. https://doi.org/10.1371/journal.pone.0006598</w:t>
      </w:r>
    </w:p>
    <w:p w14:paraId="61C3BEB3" w14:textId="77777777" w:rsidR="00011926" w:rsidRPr="00011926" w:rsidRDefault="00011926" w:rsidP="00011926">
      <w:pPr>
        <w:pStyle w:val="Bibliography"/>
      </w:pPr>
      <w:r w:rsidRPr="00011926">
        <w:t xml:space="preserve">Wilkinson, G. S., &amp; Robertson, G. J. (1993). Wide range achievement test 4. </w:t>
      </w:r>
      <w:r w:rsidRPr="00011926">
        <w:rPr>
          <w:i/>
          <w:iCs/>
        </w:rPr>
        <w:t>Journal of Clinical and Experimental Neuropsychology</w:t>
      </w:r>
      <w:r w:rsidRPr="00011926">
        <w:t>.</w:t>
      </w:r>
    </w:p>
    <w:p w14:paraId="782CAD8D" w14:textId="3556FFE5" w:rsidR="00FB00D7" w:rsidRPr="00C35F47" w:rsidRDefault="0047484D" w:rsidP="00C35F47">
      <w:pPr>
        <w:spacing w:line="480" w:lineRule="auto"/>
        <w:ind w:left="567" w:hanging="567"/>
        <w:rPr>
          <w:rFonts w:eastAsia="Times New Roman"/>
          <w:lang w:val="en-CA"/>
        </w:rPr>
      </w:pPr>
      <w:r>
        <w:rPr>
          <w:rFonts w:eastAsia="Times New Roman"/>
          <w:lang w:val="en-CA"/>
        </w:rPr>
        <w:fldChar w:fldCharType="end"/>
      </w:r>
    </w:p>
    <w:sectPr w:rsidR="00FB00D7" w:rsidRPr="00C35F47" w:rsidSect="00DD4719">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25C0F" w14:textId="77777777" w:rsidR="00C26AD5" w:rsidRDefault="00C26AD5" w:rsidP="007356B7">
      <w:r>
        <w:separator/>
      </w:r>
    </w:p>
  </w:endnote>
  <w:endnote w:type="continuationSeparator" w:id="0">
    <w:p w14:paraId="262CB1CC" w14:textId="77777777" w:rsidR="00C26AD5" w:rsidRDefault="00C26AD5" w:rsidP="0073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AC0F6" w14:textId="77777777" w:rsidR="00C26AD5" w:rsidRDefault="00C26AD5" w:rsidP="007356B7">
      <w:r>
        <w:separator/>
      </w:r>
    </w:p>
  </w:footnote>
  <w:footnote w:type="continuationSeparator" w:id="0">
    <w:p w14:paraId="13780F84" w14:textId="77777777" w:rsidR="00C26AD5" w:rsidRDefault="00C26AD5" w:rsidP="00735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79361703"/>
      <w:docPartObj>
        <w:docPartGallery w:val="Page Numbers (Top of Page)"/>
        <w:docPartUnique/>
      </w:docPartObj>
    </w:sdtPr>
    <w:sdtContent>
      <w:p w14:paraId="0440D891" w14:textId="7294C8F7" w:rsidR="00FB1D5B" w:rsidRDefault="00FB1D5B" w:rsidP="00460AC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BD7CEF" w14:textId="77777777" w:rsidR="00FB1D5B" w:rsidRDefault="00FB1D5B">
    <w:pPr>
      <w:pStyle w:val="Header"/>
      <w:ind w:right="360"/>
      <w:pPrChange w:id="0" w:author="Michael Spilka" w:date="2024-11-10T07:31:00Z" w16du:dateUtc="2024-11-10T12:31: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4438762"/>
      <w:docPartObj>
        <w:docPartGallery w:val="Page Numbers (Top of Page)"/>
        <w:docPartUnique/>
      </w:docPartObj>
    </w:sdtPr>
    <w:sdtContent>
      <w:p w14:paraId="7B0AA4F8" w14:textId="37DF0EB9" w:rsidR="00FB1D5B" w:rsidRDefault="00FB1D5B" w:rsidP="00460AC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1D980A" w14:textId="77777777" w:rsidR="00FB1D5B" w:rsidRDefault="00FB1D5B" w:rsidP="00FB1D5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28685" w14:textId="0345A636" w:rsidR="007356B7" w:rsidRDefault="007356B7">
    <w:pPr>
      <w:pStyle w:val="Header"/>
    </w:pPr>
    <w:r>
      <w:rPr>
        <w:rStyle w:val="PageNumber"/>
      </w:rPr>
      <w:t>EQUIFINALITY IN NEGATIVE SYMPTOMS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 Spilka">
    <w15:presenceInfo w15:providerId="AD" w15:userId="S::michael.spilka@camcog.com::61b6332f-a90a-443b-82bb-b8922611d9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AB"/>
    <w:rsid w:val="00011926"/>
    <w:rsid w:val="00012234"/>
    <w:rsid w:val="000627B8"/>
    <w:rsid w:val="00065A22"/>
    <w:rsid w:val="000729E7"/>
    <w:rsid w:val="000C3D5B"/>
    <w:rsid w:val="000E5782"/>
    <w:rsid w:val="000F1D54"/>
    <w:rsid w:val="00103B94"/>
    <w:rsid w:val="00111089"/>
    <w:rsid w:val="00116FFF"/>
    <w:rsid w:val="00123BD1"/>
    <w:rsid w:val="00126ED2"/>
    <w:rsid w:val="00131ADA"/>
    <w:rsid w:val="001413D8"/>
    <w:rsid w:val="001B12FE"/>
    <w:rsid w:val="001B2D2D"/>
    <w:rsid w:val="00213A62"/>
    <w:rsid w:val="00225616"/>
    <w:rsid w:val="00236360"/>
    <w:rsid w:val="00256487"/>
    <w:rsid w:val="00267400"/>
    <w:rsid w:val="00280313"/>
    <w:rsid w:val="00297C02"/>
    <w:rsid w:val="002B6CA4"/>
    <w:rsid w:val="002D0D23"/>
    <w:rsid w:val="002D2316"/>
    <w:rsid w:val="002E76A2"/>
    <w:rsid w:val="002F13B7"/>
    <w:rsid w:val="00325E1E"/>
    <w:rsid w:val="00332AE1"/>
    <w:rsid w:val="003333D8"/>
    <w:rsid w:val="003347B7"/>
    <w:rsid w:val="00345C39"/>
    <w:rsid w:val="0036165B"/>
    <w:rsid w:val="00391384"/>
    <w:rsid w:val="00394B1F"/>
    <w:rsid w:val="003B0ACC"/>
    <w:rsid w:val="003B161E"/>
    <w:rsid w:val="003D163F"/>
    <w:rsid w:val="003E156B"/>
    <w:rsid w:val="003E2922"/>
    <w:rsid w:val="00405206"/>
    <w:rsid w:val="004145CD"/>
    <w:rsid w:val="00423C4B"/>
    <w:rsid w:val="004247DC"/>
    <w:rsid w:val="004431F6"/>
    <w:rsid w:val="00443A5A"/>
    <w:rsid w:val="00460CF8"/>
    <w:rsid w:val="004635F6"/>
    <w:rsid w:val="00464825"/>
    <w:rsid w:val="004744F2"/>
    <w:rsid w:val="0047484D"/>
    <w:rsid w:val="00475F8C"/>
    <w:rsid w:val="00483D7F"/>
    <w:rsid w:val="004A607F"/>
    <w:rsid w:val="004B539A"/>
    <w:rsid w:val="004C20D8"/>
    <w:rsid w:val="004E03F8"/>
    <w:rsid w:val="004E331D"/>
    <w:rsid w:val="00531878"/>
    <w:rsid w:val="00537F4C"/>
    <w:rsid w:val="0054018C"/>
    <w:rsid w:val="00545070"/>
    <w:rsid w:val="005724F1"/>
    <w:rsid w:val="00572E0E"/>
    <w:rsid w:val="0058635C"/>
    <w:rsid w:val="005C0E58"/>
    <w:rsid w:val="005C221A"/>
    <w:rsid w:val="005D2A25"/>
    <w:rsid w:val="005D315D"/>
    <w:rsid w:val="005F2F97"/>
    <w:rsid w:val="006033C4"/>
    <w:rsid w:val="00644455"/>
    <w:rsid w:val="00666453"/>
    <w:rsid w:val="00671F01"/>
    <w:rsid w:val="0068625A"/>
    <w:rsid w:val="006873A8"/>
    <w:rsid w:val="006B2C40"/>
    <w:rsid w:val="006C0C6B"/>
    <w:rsid w:val="006C3A95"/>
    <w:rsid w:val="006F2307"/>
    <w:rsid w:val="0071196A"/>
    <w:rsid w:val="0072236E"/>
    <w:rsid w:val="00722EF4"/>
    <w:rsid w:val="00723FB6"/>
    <w:rsid w:val="00731C0A"/>
    <w:rsid w:val="007356B7"/>
    <w:rsid w:val="00746ECB"/>
    <w:rsid w:val="007649F0"/>
    <w:rsid w:val="007A39A8"/>
    <w:rsid w:val="007A435F"/>
    <w:rsid w:val="00801924"/>
    <w:rsid w:val="008226B7"/>
    <w:rsid w:val="008238FA"/>
    <w:rsid w:val="008372CC"/>
    <w:rsid w:val="00837C01"/>
    <w:rsid w:val="00846492"/>
    <w:rsid w:val="008544FC"/>
    <w:rsid w:val="0087317A"/>
    <w:rsid w:val="00880EC9"/>
    <w:rsid w:val="00887420"/>
    <w:rsid w:val="008C395A"/>
    <w:rsid w:val="008E32CA"/>
    <w:rsid w:val="008E4120"/>
    <w:rsid w:val="0092290F"/>
    <w:rsid w:val="00945C18"/>
    <w:rsid w:val="00955129"/>
    <w:rsid w:val="00961EA2"/>
    <w:rsid w:val="009664A2"/>
    <w:rsid w:val="00973192"/>
    <w:rsid w:val="00973C41"/>
    <w:rsid w:val="009A40B0"/>
    <w:rsid w:val="009D1DB1"/>
    <w:rsid w:val="009D39F0"/>
    <w:rsid w:val="009D52A5"/>
    <w:rsid w:val="009F2993"/>
    <w:rsid w:val="009F3E9C"/>
    <w:rsid w:val="00A075D5"/>
    <w:rsid w:val="00A12931"/>
    <w:rsid w:val="00A14692"/>
    <w:rsid w:val="00A17467"/>
    <w:rsid w:val="00A35CF0"/>
    <w:rsid w:val="00A54A17"/>
    <w:rsid w:val="00A64F85"/>
    <w:rsid w:val="00A6517B"/>
    <w:rsid w:val="00A674A3"/>
    <w:rsid w:val="00A92DF5"/>
    <w:rsid w:val="00AA19AA"/>
    <w:rsid w:val="00AB3333"/>
    <w:rsid w:val="00AC3FD7"/>
    <w:rsid w:val="00AE1B6F"/>
    <w:rsid w:val="00AF49C6"/>
    <w:rsid w:val="00B014C2"/>
    <w:rsid w:val="00B06183"/>
    <w:rsid w:val="00B37D8C"/>
    <w:rsid w:val="00B66E14"/>
    <w:rsid w:val="00BB05C4"/>
    <w:rsid w:val="00BF217C"/>
    <w:rsid w:val="00C06A59"/>
    <w:rsid w:val="00C14557"/>
    <w:rsid w:val="00C202DE"/>
    <w:rsid w:val="00C26AD5"/>
    <w:rsid w:val="00C35F47"/>
    <w:rsid w:val="00C36749"/>
    <w:rsid w:val="00C37D94"/>
    <w:rsid w:val="00C8061A"/>
    <w:rsid w:val="00C817AA"/>
    <w:rsid w:val="00C92521"/>
    <w:rsid w:val="00CA17CD"/>
    <w:rsid w:val="00CB0166"/>
    <w:rsid w:val="00CD15B2"/>
    <w:rsid w:val="00CE4A7E"/>
    <w:rsid w:val="00CE4F93"/>
    <w:rsid w:val="00D14C79"/>
    <w:rsid w:val="00D22976"/>
    <w:rsid w:val="00D2482F"/>
    <w:rsid w:val="00D35A51"/>
    <w:rsid w:val="00D545BD"/>
    <w:rsid w:val="00D6363C"/>
    <w:rsid w:val="00D975C5"/>
    <w:rsid w:val="00DA2DBC"/>
    <w:rsid w:val="00DD4719"/>
    <w:rsid w:val="00DD576D"/>
    <w:rsid w:val="00DE552F"/>
    <w:rsid w:val="00DE7808"/>
    <w:rsid w:val="00DF111B"/>
    <w:rsid w:val="00E115B1"/>
    <w:rsid w:val="00E162D0"/>
    <w:rsid w:val="00E305BC"/>
    <w:rsid w:val="00E536B3"/>
    <w:rsid w:val="00E707DB"/>
    <w:rsid w:val="00E70C59"/>
    <w:rsid w:val="00E7777C"/>
    <w:rsid w:val="00E90D11"/>
    <w:rsid w:val="00E97052"/>
    <w:rsid w:val="00EA3FDA"/>
    <w:rsid w:val="00EB0279"/>
    <w:rsid w:val="00EB48E7"/>
    <w:rsid w:val="00ED47D3"/>
    <w:rsid w:val="00EE4E9B"/>
    <w:rsid w:val="00EF5B2B"/>
    <w:rsid w:val="00F2027C"/>
    <w:rsid w:val="00F20920"/>
    <w:rsid w:val="00F406E4"/>
    <w:rsid w:val="00F51FAF"/>
    <w:rsid w:val="00F97380"/>
    <w:rsid w:val="00F97E58"/>
    <w:rsid w:val="00FA0CFB"/>
    <w:rsid w:val="00FB00D7"/>
    <w:rsid w:val="00FB1D5B"/>
    <w:rsid w:val="00FB52AB"/>
    <w:rsid w:val="00FB5B5C"/>
    <w:rsid w:val="00FC562E"/>
    <w:rsid w:val="00FE3842"/>
    <w:rsid w:val="00FE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0B5F571"/>
  <w14:defaultImageDpi w14:val="300"/>
  <w15:docId w15:val="{C8D5458A-698A-6F41-8408-590F111F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236360"/>
    <w:pPr>
      <w:keepNext/>
      <w:keepLines/>
      <w:spacing w:before="360" w:after="80"/>
      <w:outlineLvl w:val="0"/>
    </w:pPr>
    <w:rPr>
      <w:rFonts w:asciiTheme="majorHAnsi" w:eastAsiaTheme="majorEastAsia" w:hAnsiTheme="majorHAnsi" w:cstheme="majorBidi"/>
      <w:color w:val="365F9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236360"/>
    <w:pPr>
      <w:keepNext/>
      <w:keepLines/>
      <w:spacing w:before="160" w:after="80"/>
      <w:outlineLvl w:val="1"/>
    </w:pPr>
    <w:rPr>
      <w:rFonts w:asciiTheme="majorHAnsi" w:eastAsiaTheme="majorEastAsia" w:hAnsiTheme="majorHAnsi" w:cstheme="majorBidi"/>
      <w:color w:val="365F9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236360"/>
    <w:pPr>
      <w:keepNext/>
      <w:keepLines/>
      <w:spacing w:before="160" w:after="80"/>
      <w:outlineLvl w:val="2"/>
    </w:pPr>
    <w:rPr>
      <w:rFonts w:asciiTheme="minorHAnsi" w:eastAsiaTheme="majorEastAsia" w:hAnsiTheme="minorHAnsi" w:cstheme="majorBidi"/>
      <w:color w:val="365F9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236360"/>
    <w:pPr>
      <w:keepNext/>
      <w:keepLines/>
      <w:spacing w:before="80" w:after="40"/>
      <w:outlineLvl w:val="3"/>
    </w:pPr>
    <w:rPr>
      <w:rFonts w:asciiTheme="minorHAnsi" w:eastAsiaTheme="majorEastAsia" w:hAnsiTheme="minorHAnsi" w:cstheme="majorBidi"/>
      <w:i/>
      <w:iCs/>
      <w:color w:val="365F91" w:themeColor="accent1" w:themeShade="BF"/>
      <w:kern w:val="2"/>
      <w:lang w:val="en-CA"/>
      <w14:ligatures w14:val="standardContextual"/>
    </w:rPr>
  </w:style>
  <w:style w:type="paragraph" w:styleId="Heading5">
    <w:name w:val="heading 5"/>
    <w:basedOn w:val="Normal"/>
    <w:next w:val="Normal"/>
    <w:link w:val="Heading5Char"/>
    <w:uiPriority w:val="9"/>
    <w:semiHidden/>
    <w:unhideWhenUsed/>
    <w:qFormat/>
    <w:rsid w:val="00236360"/>
    <w:pPr>
      <w:keepNext/>
      <w:keepLines/>
      <w:spacing w:before="80" w:after="40"/>
      <w:outlineLvl w:val="4"/>
    </w:pPr>
    <w:rPr>
      <w:rFonts w:asciiTheme="minorHAnsi" w:eastAsiaTheme="majorEastAsia" w:hAnsiTheme="minorHAnsi" w:cstheme="majorBidi"/>
      <w:color w:val="365F91" w:themeColor="accent1" w:themeShade="BF"/>
      <w:kern w:val="2"/>
      <w:lang w:val="en-CA"/>
      <w14:ligatures w14:val="standardContextual"/>
    </w:rPr>
  </w:style>
  <w:style w:type="paragraph" w:styleId="Heading6">
    <w:name w:val="heading 6"/>
    <w:basedOn w:val="Normal"/>
    <w:next w:val="Normal"/>
    <w:link w:val="Heading6Char"/>
    <w:uiPriority w:val="9"/>
    <w:semiHidden/>
    <w:unhideWhenUsed/>
    <w:qFormat/>
    <w:rsid w:val="00236360"/>
    <w:pPr>
      <w:keepNext/>
      <w:keepLines/>
      <w:spacing w:before="40"/>
      <w:outlineLvl w:val="5"/>
    </w:pPr>
    <w:rPr>
      <w:rFonts w:asciiTheme="minorHAnsi" w:eastAsiaTheme="majorEastAsia" w:hAnsiTheme="minorHAnsi" w:cstheme="majorBidi"/>
      <w:i/>
      <w:iCs/>
      <w:color w:val="595959" w:themeColor="text1" w:themeTint="A6"/>
      <w:kern w:val="2"/>
      <w:lang w:val="en-CA"/>
      <w14:ligatures w14:val="standardContextual"/>
    </w:rPr>
  </w:style>
  <w:style w:type="paragraph" w:styleId="Heading7">
    <w:name w:val="heading 7"/>
    <w:basedOn w:val="Normal"/>
    <w:next w:val="Normal"/>
    <w:link w:val="Heading7Char"/>
    <w:uiPriority w:val="9"/>
    <w:semiHidden/>
    <w:unhideWhenUsed/>
    <w:qFormat/>
    <w:rsid w:val="00236360"/>
    <w:pPr>
      <w:keepNext/>
      <w:keepLines/>
      <w:spacing w:before="40"/>
      <w:outlineLvl w:val="6"/>
    </w:pPr>
    <w:rPr>
      <w:rFonts w:asciiTheme="minorHAnsi" w:eastAsiaTheme="majorEastAsia" w:hAnsiTheme="minorHAnsi" w:cstheme="majorBidi"/>
      <w:color w:val="595959" w:themeColor="text1" w:themeTint="A6"/>
      <w:kern w:val="2"/>
      <w:lang w:val="en-CA"/>
      <w14:ligatures w14:val="standardContextual"/>
    </w:rPr>
  </w:style>
  <w:style w:type="paragraph" w:styleId="Heading8">
    <w:name w:val="heading 8"/>
    <w:basedOn w:val="Normal"/>
    <w:next w:val="Normal"/>
    <w:link w:val="Heading8Char"/>
    <w:uiPriority w:val="9"/>
    <w:semiHidden/>
    <w:unhideWhenUsed/>
    <w:qFormat/>
    <w:rsid w:val="00236360"/>
    <w:pPr>
      <w:keepNext/>
      <w:keepLines/>
      <w:outlineLvl w:val="7"/>
    </w:pPr>
    <w:rPr>
      <w:rFonts w:asciiTheme="minorHAnsi" w:eastAsiaTheme="majorEastAsia" w:hAnsiTheme="minorHAnsi" w:cstheme="majorBidi"/>
      <w:i/>
      <w:iCs/>
      <w:color w:val="272727" w:themeColor="text1" w:themeTint="D8"/>
      <w:kern w:val="2"/>
      <w:lang w:val="en-CA"/>
      <w14:ligatures w14:val="standardContextual"/>
    </w:rPr>
  </w:style>
  <w:style w:type="paragraph" w:styleId="Heading9">
    <w:name w:val="heading 9"/>
    <w:basedOn w:val="Normal"/>
    <w:next w:val="Normal"/>
    <w:link w:val="Heading9Char"/>
    <w:uiPriority w:val="9"/>
    <w:semiHidden/>
    <w:unhideWhenUsed/>
    <w:qFormat/>
    <w:rsid w:val="00236360"/>
    <w:pPr>
      <w:keepNext/>
      <w:keepLines/>
      <w:outlineLvl w:val="8"/>
    </w:pPr>
    <w:rPr>
      <w:rFonts w:asciiTheme="minorHAnsi" w:eastAsiaTheme="majorEastAsia" w:hAnsiTheme="minorHAnsi" w:cstheme="majorBidi"/>
      <w:color w:val="272727" w:themeColor="text1" w:themeTint="D8"/>
      <w:kern w:val="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5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1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19AA"/>
    <w:rPr>
      <w:rFonts w:ascii="Lucida Grande" w:hAnsi="Lucida Grande" w:cs="Lucida Grande"/>
      <w:sz w:val="18"/>
      <w:szCs w:val="18"/>
      <w:lang w:eastAsia="en-US"/>
    </w:rPr>
  </w:style>
  <w:style w:type="paragraph" w:styleId="Bibliography">
    <w:name w:val="Bibliography"/>
    <w:basedOn w:val="Normal"/>
    <w:next w:val="Normal"/>
    <w:uiPriority w:val="37"/>
    <w:unhideWhenUsed/>
    <w:rsid w:val="0047484D"/>
    <w:pPr>
      <w:spacing w:line="480" w:lineRule="auto"/>
      <w:ind w:left="720" w:hanging="720"/>
    </w:pPr>
  </w:style>
  <w:style w:type="paragraph" w:styleId="Revision">
    <w:name w:val="Revision"/>
    <w:hidden/>
    <w:uiPriority w:val="99"/>
    <w:semiHidden/>
    <w:rsid w:val="00531878"/>
    <w:rPr>
      <w:sz w:val="24"/>
      <w:szCs w:val="24"/>
      <w:lang w:eastAsia="en-US"/>
    </w:rPr>
  </w:style>
  <w:style w:type="character" w:styleId="CommentReference">
    <w:name w:val="annotation reference"/>
    <w:basedOn w:val="DefaultParagraphFont"/>
    <w:uiPriority w:val="99"/>
    <w:semiHidden/>
    <w:unhideWhenUsed/>
    <w:rsid w:val="004C20D8"/>
    <w:rPr>
      <w:sz w:val="16"/>
      <w:szCs w:val="16"/>
    </w:rPr>
  </w:style>
  <w:style w:type="paragraph" w:styleId="CommentText">
    <w:name w:val="annotation text"/>
    <w:basedOn w:val="Normal"/>
    <w:link w:val="CommentTextChar"/>
    <w:uiPriority w:val="99"/>
    <w:semiHidden/>
    <w:unhideWhenUsed/>
    <w:rsid w:val="004C20D8"/>
    <w:rPr>
      <w:sz w:val="20"/>
      <w:szCs w:val="20"/>
    </w:rPr>
  </w:style>
  <w:style w:type="character" w:customStyle="1" w:styleId="CommentTextChar">
    <w:name w:val="Comment Text Char"/>
    <w:basedOn w:val="DefaultParagraphFont"/>
    <w:link w:val="CommentText"/>
    <w:uiPriority w:val="99"/>
    <w:semiHidden/>
    <w:rsid w:val="004C20D8"/>
    <w:rPr>
      <w:lang w:eastAsia="en-US"/>
    </w:rPr>
  </w:style>
  <w:style w:type="paragraph" w:styleId="CommentSubject">
    <w:name w:val="annotation subject"/>
    <w:basedOn w:val="CommentText"/>
    <w:next w:val="CommentText"/>
    <w:link w:val="CommentSubjectChar"/>
    <w:uiPriority w:val="99"/>
    <w:semiHidden/>
    <w:unhideWhenUsed/>
    <w:rsid w:val="004C20D8"/>
    <w:rPr>
      <w:b/>
      <w:bCs/>
    </w:rPr>
  </w:style>
  <w:style w:type="character" w:customStyle="1" w:styleId="CommentSubjectChar">
    <w:name w:val="Comment Subject Char"/>
    <w:basedOn w:val="CommentTextChar"/>
    <w:link w:val="CommentSubject"/>
    <w:uiPriority w:val="99"/>
    <w:semiHidden/>
    <w:rsid w:val="004C20D8"/>
    <w:rPr>
      <w:b/>
      <w:bCs/>
      <w:lang w:eastAsia="en-US"/>
    </w:rPr>
  </w:style>
  <w:style w:type="paragraph" w:styleId="Header">
    <w:name w:val="header"/>
    <w:basedOn w:val="Normal"/>
    <w:link w:val="HeaderChar"/>
    <w:uiPriority w:val="99"/>
    <w:unhideWhenUsed/>
    <w:rsid w:val="007356B7"/>
    <w:pPr>
      <w:tabs>
        <w:tab w:val="center" w:pos="4680"/>
        <w:tab w:val="right" w:pos="9360"/>
      </w:tabs>
    </w:pPr>
  </w:style>
  <w:style w:type="character" w:customStyle="1" w:styleId="HeaderChar">
    <w:name w:val="Header Char"/>
    <w:basedOn w:val="DefaultParagraphFont"/>
    <w:link w:val="Header"/>
    <w:uiPriority w:val="99"/>
    <w:rsid w:val="007356B7"/>
    <w:rPr>
      <w:sz w:val="24"/>
      <w:szCs w:val="24"/>
      <w:lang w:eastAsia="en-US"/>
    </w:rPr>
  </w:style>
  <w:style w:type="paragraph" w:styleId="Footer">
    <w:name w:val="footer"/>
    <w:basedOn w:val="Normal"/>
    <w:link w:val="FooterChar"/>
    <w:uiPriority w:val="99"/>
    <w:unhideWhenUsed/>
    <w:rsid w:val="007356B7"/>
    <w:pPr>
      <w:tabs>
        <w:tab w:val="center" w:pos="4680"/>
        <w:tab w:val="right" w:pos="9360"/>
      </w:tabs>
    </w:pPr>
  </w:style>
  <w:style w:type="character" w:customStyle="1" w:styleId="FooterChar">
    <w:name w:val="Footer Char"/>
    <w:basedOn w:val="DefaultParagraphFont"/>
    <w:link w:val="Footer"/>
    <w:uiPriority w:val="99"/>
    <w:rsid w:val="007356B7"/>
    <w:rPr>
      <w:sz w:val="24"/>
      <w:szCs w:val="24"/>
      <w:lang w:eastAsia="en-US"/>
    </w:rPr>
  </w:style>
  <w:style w:type="character" w:styleId="PageNumber">
    <w:name w:val="page number"/>
    <w:basedOn w:val="DefaultParagraphFont"/>
    <w:uiPriority w:val="99"/>
    <w:semiHidden/>
    <w:unhideWhenUsed/>
    <w:rsid w:val="007356B7"/>
  </w:style>
  <w:style w:type="character" w:customStyle="1" w:styleId="Heading1Char">
    <w:name w:val="Heading 1 Char"/>
    <w:basedOn w:val="DefaultParagraphFont"/>
    <w:link w:val="Heading1"/>
    <w:uiPriority w:val="9"/>
    <w:rsid w:val="00236360"/>
    <w:rPr>
      <w:rFonts w:asciiTheme="majorHAnsi" w:eastAsiaTheme="majorEastAsia" w:hAnsiTheme="majorHAnsi" w:cstheme="majorBidi"/>
      <w:color w:val="365F91" w:themeColor="accent1" w:themeShade="BF"/>
      <w:kern w:val="2"/>
      <w:sz w:val="40"/>
      <w:szCs w:val="40"/>
      <w:lang w:val="en-CA" w:eastAsia="en-US"/>
      <w14:ligatures w14:val="standardContextual"/>
    </w:rPr>
  </w:style>
  <w:style w:type="character" w:customStyle="1" w:styleId="Heading2Char">
    <w:name w:val="Heading 2 Char"/>
    <w:basedOn w:val="DefaultParagraphFont"/>
    <w:link w:val="Heading2"/>
    <w:uiPriority w:val="9"/>
    <w:semiHidden/>
    <w:rsid w:val="00236360"/>
    <w:rPr>
      <w:rFonts w:asciiTheme="majorHAnsi" w:eastAsiaTheme="majorEastAsia" w:hAnsiTheme="majorHAnsi" w:cstheme="majorBidi"/>
      <w:color w:val="365F91" w:themeColor="accent1" w:themeShade="BF"/>
      <w:kern w:val="2"/>
      <w:sz w:val="32"/>
      <w:szCs w:val="32"/>
      <w:lang w:val="en-CA" w:eastAsia="en-US"/>
      <w14:ligatures w14:val="standardContextual"/>
    </w:rPr>
  </w:style>
  <w:style w:type="character" w:customStyle="1" w:styleId="Heading3Char">
    <w:name w:val="Heading 3 Char"/>
    <w:basedOn w:val="DefaultParagraphFont"/>
    <w:link w:val="Heading3"/>
    <w:uiPriority w:val="9"/>
    <w:semiHidden/>
    <w:rsid w:val="00236360"/>
    <w:rPr>
      <w:rFonts w:asciiTheme="minorHAnsi" w:eastAsiaTheme="majorEastAsia" w:hAnsiTheme="minorHAnsi" w:cstheme="majorBidi"/>
      <w:color w:val="365F91" w:themeColor="accent1" w:themeShade="BF"/>
      <w:kern w:val="2"/>
      <w:sz w:val="28"/>
      <w:szCs w:val="28"/>
      <w:lang w:val="en-CA" w:eastAsia="en-US"/>
      <w14:ligatures w14:val="standardContextual"/>
    </w:rPr>
  </w:style>
  <w:style w:type="character" w:customStyle="1" w:styleId="Heading4Char">
    <w:name w:val="Heading 4 Char"/>
    <w:basedOn w:val="DefaultParagraphFont"/>
    <w:link w:val="Heading4"/>
    <w:uiPriority w:val="9"/>
    <w:semiHidden/>
    <w:rsid w:val="00236360"/>
    <w:rPr>
      <w:rFonts w:asciiTheme="minorHAnsi" w:eastAsiaTheme="majorEastAsia" w:hAnsiTheme="minorHAnsi" w:cstheme="majorBidi"/>
      <w:i/>
      <w:iCs/>
      <w:color w:val="365F91" w:themeColor="accent1" w:themeShade="BF"/>
      <w:kern w:val="2"/>
      <w:sz w:val="24"/>
      <w:szCs w:val="24"/>
      <w:lang w:val="en-CA" w:eastAsia="en-US"/>
      <w14:ligatures w14:val="standardContextual"/>
    </w:rPr>
  </w:style>
  <w:style w:type="character" w:customStyle="1" w:styleId="Heading5Char">
    <w:name w:val="Heading 5 Char"/>
    <w:basedOn w:val="DefaultParagraphFont"/>
    <w:link w:val="Heading5"/>
    <w:uiPriority w:val="9"/>
    <w:semiHidden/>
    <w:rsid w:val="00236360"/>
    <w:rPr>
      <w:rFonts w:asciiTheme="minorHAnsi" w:eastAsiaTheme="majorEastAsia" w:hAnsiTheme="minorHAnsi" w:cstheme="majorBidi"/>
      <w:color w:val="365F91" w:themeColor="accent1" w:themeShade="BF"/>
      <w:kern w:val="2"/>
      <w:sz w:val="24"/>
      <w:szCs w:val="24"/>
      <w:lang w:val="en-CA" w:eastAsia="en-US"/>
      <w14:ligatures w14:val="standardContextual"/>
    </w:rPr>
  </w:style>
  <w:style w:type="character" w:customStyle="1" w:styleId="Heading6Char">
    <w:name w:val="Heading 6 Char"/>
    <w:basedOn w:val="DefaultParagraphFont"/>
    <w:link w:val="Heading6"/>
    <w:uiPriority w:val="9"/>
    <w:semiHidden/>
    <w:rsid w:val="00236360"/>
    <w:rPr>
      <w:rFonts w:asciiTheme="minorHAnsi" w:eastAsiaTheme="majorEastAsia" w:hAnsiTheme="minorHAnsi" w:cstheme="majorBidi"/>
      <w:i/>
      <w:iCs/>
      <w:color w:val="595959" w:themeColor="text1" w:themeTint="A6"/>
      <w:kern w:val="2"/>
      <w:sz w:val="24"/>
      <w:szCs w:val="24"/>
      <w:lang w:val="en-CA" w:eastAsia="en-US"/>
      <w14:ligatures w14:val="standardContextual"/>
    </w:rPr>
  </w:style>
  <w:style w:type="character" w:customStyle="1" w:styleId="Heading7Char">
    <w:name w:val="Heading 7 Char"/>
    <w:basedOn w:val="DefaultParagraphFont"/>
    <w:link w:val="Heading7"/>
    <w:uiPriority w:val="9"/>
    <w:semiHidden/>
    <w:rsid w:val="00236360"/>
    <w:rPr>
      <w:rFonts w:asciiTheme="minorHAnsi" w:eastAsiaTheme="majorEastAsia" w:hAnsiTheme="minorHAnsi" w:cstheme="majorBidi"/>
      <w:color w:val="595959" w:themeColor="text1" w:themeTint="A6"/>
      <w:kern w:val="2"/>
      <w:sz w:val="24"/>
      <w:szCs w:val="24"/>
      <w:lang w:val="en-CA" w:eastAsia="en-US"/>
      <w14:ligatures w14:val="standardContextual"/>
    </w:rPr>
  </w:style>
  <w:style w:type="character" w:customStyle="1" w:styleId="Heading8Char">
    <w:name w:val="Heading 8 Char"/>
    <w:basedOn w:val="DefaultParagraphFont"/>
    <w:link w:val="Heading8"/>
    <w:uiPriority w:val="9"/>
    <w:semiHidden/>
    <w:rsid w:val="00236360"/>
    <w:rPr>
      <w:rFonts w:asciiTheme="minorHAnsi" w:eastAsiaTheme="majorEastAsia" w:hAnsiTheme="minorHAnsi" w:cstheme="majorBidi"/>
      <w:i/>
      <w:iCs/>
      <w:color w:val="272727" w:themeColor="text1" w:themeTint="D8"/>
      <w:kern w:val="2"/>
      <w:sz w:val="24"/>
      <w:szCs w:val="24"/>
      <w:lang w:val="en-CA" w:eastAsia="en-US"/>
      <w14:ligatures w14:val="standardContextual"/>
    </w:rPr>
  </w:style>
  <w:style w:type="character" w:customStyle="1" w:styleId="Heading9Char">
    <w:name w:val="Heading 9 Char"/>
    <w:basedOn w:val="DefaultParagraphFont"/>
    <w:link w:val="Heading9"/>
    <w:uiPriority w:val="9"/>
    <w:semiHidden/>
    <w:rsid w:val="00236360"/>
    <w:rPr>
      <w:rFonts w:asciiTheme="minorHAnsi" w:eastAsiaTheme="majorEastAsia" w:hAnsiTheme="minorHAnsi" w:cstheme="majorBidi"/>
      <w:color w:val="272727" w:themeColor="text1" w:themeTint="D8"/>
      <w:kern w:val="2"/>
      <w:sz w:val="24"/>
      <w:szCs w:val="24"/>
      <w:lang w:val="en-CA" w:eastAsia="en-US"/>
      <w14:ligatures w14:val="standardContextual"/>
    </w:rPr>
  </w:style>
  <w:style w:type="paragraph" w:styleId="Title">
    <w:name w:val="Title"/>
    <w:basedOn w:val="Normal"/>
    <w:next w:val="Normal"/>
    <w:link w:val="TitleChar"/>
    <w:uiPriority w:val="10"/>
    <w:qFormat/>
    <w:rsid w:val="00236360"/>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236360"/>
    <w:rPr>
      <w:rFonts w:asciiTheme="majorHAnsi" w:eastAsiaTheme="majorEastAsia" w:hAnsiTheme="majorHAnsi" w:cstheme="majorBidi"/>
      <w:spacing w:val="-10"/>
      <w:kern w:val="28"/>
      <w:sz w:val="56"/>
      <w:szCs w:val="56"/>
      <w:lang w:val="en-CA" w:eastAsia="en-US"/>
      <w14:ligatures w14:val="standardContextual"/>
    </w:rPr>
  </w:style>
  <w:style w:type="paragraph" w:styleId="Subtitle">
    <w:name w:val="Subtitle"/>
    <w:basedOn w:val="Normal"/>
    <w:next w:val="Normal"/>
    <w:link w:val="SubtitleChar"/>
    <w:uiPriority w:val="11"/>
    <w:qFormat/>
    <w:rsid w:val="00236360"/>
    <w:pPr>
      <w:numPr>
        <w:ilvl w:val="1"/>
      </w:numPr>
      <w:spacing w:after="160"/>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236360"/>
    <w:rPr>
      <w:rFonts w:asciiTheme="minorHAnsi" w:eastAsiaTheme="majorEastAsia" w:hAnsiTheme="minorHAnsi" w:cstheme="majorBidi"/>
      <w:color w:val="595959" w:themeColor="text1" w:themeTint="A6"/>
      <w:spacing w:val="15"/>
      <w:kern w:val="2"/>
      <w:sz w:val="28"/>
      <w:szCs w:val="28"/>
      <w:lang w:val="en-CA" w:eastAsia="en-US"/>
      <w14:ligatures w14:val="standardContextual"/>
    </w:rPr>
  </w:style>
  <w:style w:type="paragraph" w:styleId="Quote">
    <w:name w:val="Quote"/>
    <w:basedOn w:val="Normal"/>
    <w:next w:val="Normal"/>
    <w:link w:val="QuoteChar"/>
    <w:uiPriority w:val="29"/>
    <w:qFormat/>
    <w:rsid w:val="00236360"/>
    <w:pPr>
      <w:spacing w:before="160" w:after="160"/>
      <w:jc w:val="center"/>
    </w:pPr>
    <w:rPr>
      <w:rFonts w:asciiTheme="minorHAnsi" w:eastAsiaTheme="minorHAnsi" w:hAnsiTheme="minorHAnsi" w:cstheme="minorBidi"/>
      <w:i/>
      <w:iCs/>
      <w:color w:val="404040" w:themeColor="text1" w:themeTint="BF"/>
      <w:kern w:val="2"/>
      <w:lang w:val="en-CA"/>
      <w14:ligatures w14:val="standardContextual"/>
    </w:rPr>
  </w:style>
  <w:style w:type="character" w:customStyle="1" w:styleId="QuoteChar">
    <w:name w:val="Quote Char"/>
    <w:basedOn w:val="DefaultParagraphFont"/>
    <w:link w:val="Quote"/>
    <w:uiPriority w:val="29"/>
    <w:rsid w:val="00236360"/>
    <w:rPr>
      <w:rFonts w:asciiTheme="minorHAnsi" w:eastAsiaTheme="minorHAnsi" w:hAnsiTheme="minorHAnsi" w:cstheme="minorBidi"/>
      <w:i/>
      <w:iCs/>
      <w:color w:val="404040" w:themeColor="text1" w:themeTint="BF"/>
      <w:kern w:val="2"/>
      <w:sz w:val="24"/>
      <w:szCs w:val="24"/>
      <w:lang w:val="en-CA" w:eastAsia="en-US"/>
      <w14:ligatures w14:val="standardContextual"/>
    </w:rPr>
  </w:style>
  <w:style w:type="paragraph" w:styleId="ListParagraph">
    <w:name w:val="List Paragraph"/>
    <w:basedOn w:val="Normal"/>
    <w:uiPriority w:val="34"/>
    <w:qFormat/>
    <w:rsid w:val="00236360"/>
    <w:pPr>
      <w:ind w:left="720"/>
      <w:contextualSpacing/>
    </w:pPr>
    <w:rPr>
      <w:rFonts w:asciiTheme="minorHAnsi" w:eastAsiaTheme="minorHAnsi" w:hAnsiTheme="minorHAnsi" w:cstheme="minorBidi"/>
      <w:kern w:val="2"/>
      <w:lang w:val="en-CA"/>
      <w14:ligatures w14:val="standardContextual"/>
    </w:rPr>
  </w:style>
  <w:style w:type="character" w:styleId="IntenseEmphasis">
    <w:name w:val="Intense Emphasis"/>
    <w:basedOn w:val="DefaultParagraphFont"/>
    <w:uiPriority w:val="21"/>
    <w:qFormat/>
    <w:rsid w:val="00236360"/>
    <w:rPr>
      <w:i/>
      <w:iCs/>
      <w:color w:val="365F91" w:themeColor="accent1" w:themeShade="BF"/>
    </w:rPr>
  </w:style>
  <w:style w:type="paragraph" w:styleId="IntenseQuote">
    <w:name w:val="Intense Quote"/>
    <w:basedOn w:val="Normal"/>
    <w:next w:val="Normal"/>
    <w:link w:val="IntenseQuoteChar"/>
    <w:uiPriority w:val="30"/>
    <w:qFormat/>
    <w:rsid w:val="00236360"/>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lang w:val="en-CA"/>
      <w14:ligatures w14:val="standardContextual"/>
    </w:rPr>
  </w:style>
  <w:style w:type="character" w:customStyle="1" w:styleId="IntenseQuoteChar">
    <w:name w:val="Intense Quote Char"/>
    <w:basedOn w:val="DefaultParagraphFont"/>
    <w:link w:val="IntenseQuote"/>
    <w:uiPriority w:val="30"/>
    <w:rsid w:val="00236360"/>
    <w:rPr>
      <w:rFonts w:asciiTheme="minorHAnsi" w:eastAsiaTheme="minorHAnsi" w:hAnsiTheme="minorHAnsi" w:cstheme="minorBidi"/>
      <w:i/>
      <w:iCs/>
      <w:color w:val="365F91" w:themeColor="accent1" w:themeShade="BF"/>
      <w:kern w:val="2"/>
      <w:sz w:val="24"/>
      <w:szCs w:val="24"/>
      <w:lang w:val="en-CA" w:eastAsia="en-US"/>
      <w14:ligatures w14:val="standardContextual"/>
    </w:rPr>
  </w:style>
  <w:style w:type="character" w:styleId="IntenseReference">
    <w:name w:val="Intense Reference"/>
    <w:basedOn w:val="DefaultParagraphFont"/>
    <w:uiPriority w:val="32"/>
    <w:qFormat/>
    <w:rsid w:val="0023636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21</Pages>
  <Words>11885</Words>
  <Characters>67745</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Spilka</dc:creator>
  <cp:keywords/>
  <dc:description/>
  <cp:lastModifiedBy>Michael Spilka</cp:lastModifiedBy>
  <cp:revision>17</cp:revision>
  <dcterms:created xsi:type="dcterms:W3CDTF">2024-09-25T22:54:00Z</dcterms:created>
  <dcterms:modified xsi:type="dcterms:W3CDTF">2024-11-10T15:44:00Z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id="TADGUIRc"/&gt;&lt;style id="http://www.zotero.org/styles/apa" locale="en-CA"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