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E2A5" w14:textId="77777777" w:rsidR="00F23BD7" w:rsidRPr="00681F26" w:rsidRDefault="00F23BD7" w:rsidP="00F23BD7">
      <w:pPr>
        <w:rPr>
          <w:rFonts w:ascii="Arial" w:hAnsi="Arial" w:cs="Arial"/>
          <w:b/>
          <w:bCs/>
          <w:sz w:val="22"/>
          <w:szCs w:val="22"/>
        </w:rPr>
      </w:pPr>
      <w:r w:rsidRPr="00681F26">
        <w:rPr>
          <w:rFonts w:ascii="Arial" w:hAnsi="Arial" w:cs="Arial"/>
          <w:b/>
          <w:bCs/>
          <w:sz w:val="22"/>
          <w:szCs w:val="22"/>
        </w:rPr>
        <w:t>Supplemental Materials</w:t>
      </w:r>
    </w:p>
    <w:p w14:paraId="17DCA804" w14:textId="77777777" w:rsidR="00F23BD7" w:rsidRPr="00681F26" w:rsidRDefault="00F23BD7" w:rsidP="00F23BD7">
      <w:pPr>
        <w:rPr>
          <w:rFonts w:ascii="Arial" w:hAnsi="Arial" w:cs="Arial"/>
          <w:sz w:val="22"/>
          <w:szCs w:val="22"/>
        </w:rPr>
      </w:pPr>
    </w:p>
    <w:p w14:paraId="07264D4A" w14:textId="77777777" w:rsidR="00F23BD7" w:rsidRPr="00681F26" w:rsidRDefault="00F23BD7" w:rsidP="00F23BD7">
      <w:pPr>
        <w:rPr>
          <w:rFonts w:ascii="Arial" w:hAnsi="Arial" w:cs="Arial"/>
          <w:b/>
          <w:bCs/>
          <w:sz w:val="22"/>
          <w:szCs w:val="22"/>
          <w:u w:val="single"/>
        </w:rPr>
      </w:pPr>
      <w:r w:rsidRPr="00681F26">
        <w:rPr>
          <w:rFonts w:ascii="Arial" w:hAnsi="Arial" w:cs="Arial"/>
          <w:b/>
          <w:bCs/>
          <w:sz w:val="22"/>
          <w:szCs w:val="22"/>
          <w:u w:val="single"/>
        </w:rPr>
        <w:t>Participants</w:t>
      </w:r>
    </w:p>
    <w:p w14:paraId="636FCD52" w14:textId="77777777" w:rsidR="00F23BD7" w:rsidRPr="00681F26" w:rsidRDefault="00F23BD7" w:rsidP="00F23BD7">
      <w:pPr>
        <w:ind w:firstLine="720"/>
        <w:jc w:val="both"/>
        <w:rPr>
          <w:rFonts w:ascii="Arial" w:hAnsi="Arial" w:cs="Arial"/>
          <w:sz w:val="22"/>
          <w:szCs w:val="22"/>
        </w:rPr>
      </w:pPr>
      <w:r w:rsidRPr="00681F26">
        <w:rPr>
          <w:rFonts w:ascii="Arial" w:hAnsi="Arial" w:cs="Arial"/>
          <w:sz w:val="22"/>
          <w:szCs w:val="22"/>
        </w:rPr>
        <w:t xml:space="preserve">To define participants in the state </w:t>
      </w:r>
      <w:r>
        <w:rPr>
          <w:rFonts w:ascii="Arial" w:hAnsi="Arial" w:cs="Arial"/>
          <w:sz w:val="22"/>
          <w:szCs w:val="22"/>
        </w:rPr>
        <w:t xml:space="preserve">depression </w:t>
      </w:r>
      <w:r w:rsidRPr="00681F26">
        <w:rPr>
          <w:rFonts w:ascii="Arial" w:hAnsi="Arial" w:cs="Arial"/>
          <w:sz w:val="22"/>
          <w:szCs w:val="22"/>
        </w:rPr>
        <w:t xml:space="preserve">group, we applied a cut-off score of </w:t>
      </w:r>
      <w:r w:rsidRPr="00681F26">
        <w:rPr>
          <w:rFonts w:ascii="Cambria Math" w:hAnsi="Cambria Math" w:cs="Cambria Math"/>
          <w:sz w:val="22"/>
          <w:szCs w:val="22"/>
        </w:rPr>
        <w:t>𝜟</w:t>
      </w:r>
      <w:r w:rsidRPr="00681F26">
        <w:rPr>
          <w:rFonts w:ascii="Arial" w:hAnsi="Arial" w:cs="Arial"/>
          <w:sz w:val="22"/>
          <w:szCs w:val="22"/>
        </w:rPr>
        <w:t xml:space="preserve">RDS≥3 to capture significant changes in depression symptoms while maximizing the sample size. Varying the </w:t>
      </w:r>
      <w:r w:rsidRPr="00681F26">
        <w:rPr>
          <w:rFonts w:ascii="Cambria Math" w:hAnsi="Cambria Math" w:cs="Cambria Math"/>
          <w:sz w:val="22"/>
          <w:szCs w:val="22"/>
        </w:rPr>
        <w:t>𝜟</w:t>
      </w:r>
      <w:r w:rsidRPr="00681F26">
        <w:rPr>
          <w:rFonts w:ascii="Arial" w:hAnsi="Arial" w:cs="Arial"/>
          <w:sz w:val="22"/>
          <w:szCs w:val="22"/>
        </w:rPr>
        <w:t>RDS cut-off score (ranging from 1 to 6) resulted in different sample sizes and correlations between the measures used to define state and trait experiences of depression (</w:t>
      </w:r>
      <w:r w:rsidRPr="00681F26">
        <w:rPr>
          <w:rFonts w:ascii="Arial" w:hAnsi="Arial" w:cs="Arial"/>
          <w:b/>
          <w:bCs/>
          <w:i/>
          <w:iCs/>
          <w:sz w:val="22"/>
          <w:szCs w:val="22"/>
        </w:rPr>
        <w:t>Table S1</w:t>
      </w:r>
      <w:r w:rsidRPr="00681F26">
        <w:rPr>
          <w:rFonts w:ascii="Arial" w:hAnsi="Arial" w:cs="Arial"/>
          <w:sz w:val="22"/>
          <w:szCs w:val="22"/>
        </w:rPr>
        <w:t>).</w:t>
      </w:r>
      <w:r w:rsidRPr="00681F26">
        <w:rPr>
          <w:rFonts w:ascii="Arial" w:hAnsi="Arial" w:cs="Arial"/>
          <w:sz w:val="22"/>
          <w:szCs w:val="22"/>
        </w:rPr>
        <w:tab/>
      </w:r>
      <w:r w:rsidRPr="00681F26">
        <w:rPr>
          <w:rFonts w:ascii="Arial" w:eastAsia="Arial Unicode MS" w:hAnsi="Arial" w:cs="Arial"/>
          <w:sz w:val="22"/>
          <w:szCs w:val="22"/>
        </w:rPr>
        <w:t xml:space="preserve"> </w:t>
      </w:r>
    </w:p>
    <w:p w14:paraId="5324C0E4" w14:textId="77777777" w:rsidR="00F23BD7" w:rsidRPr="00681F26" w:rsidRDefault="00F23BD7" w:rsidP="00F23BD7">
      <w:pPr>
        <w:rPr>
          <w:rFonts w:ascii="Arial" w:hAnsi="Arial" w:cs="Arial"/>
          <w:b/>
          <w:bCs/>
          <w:sz w:val="22"/>
          <w:szCs w:val="22"/>
        </w:rPr>
      </w:pPr>
    </w:p>
    <w:p w14:paraId="4408DF91" w14:textId="77777777" w:rsidR="00F23BD7" w:rsidRPr="00681F26" w:rsidRDefault="00F23BD7" w:rsidP="00F23BD7">
      <w:pPr>
        <w:rPr>
          <w:rFonts w:ascii="Arial" w:hAnsi="Arial" w:cs="Arial"/>
          <w:b/>
          <w:bCs/>
          <w:sz w:val="20"/>
          <w:szCs w:val="20"/>
        </w:rPr>
      </w:pPr>
      <w:r w:rsidRPr="00681F26">
        <w:rPr>
          <w:rFonts w:ascii="Arial" w:hAnsi="Arial" w:cs="Arial"/>
          <w:b/>
          <w:bCs/>
          <w:sz w:val="20"/>
          <w:szCs w:val="20"/>
        </w:rPr>
        <w:t xml:space="preserve">Table S1. Sample size of state </w:t>
      </w:r>
      <w:r>
        <w:rPr>
          <w:rFonts w:ascii="Arial" w:hAnsi="Arial" w:cs="Arial"/>
          <w:b/>
          <w:bCs/>
          <w:sz w:val="20"/>
          <w:szCs w:val="20"/>
        </w:rPr>
        <w:t xml:space="preserve">depression </w:t>
      </w:r>
      <w:r w:rsidRPr="00681F26">
        <w:rPr>
          <w:rFonts w:ascii="Arial" w:hAnsi="Arial" w:cs="Arial"/>
          <w:b/>
          <w:bCs/>
          <w:sz w:val="20"/>
          <w:szCs w:val="20"/>
        </w:rPr>
        <w:t>group conditioned on different cut-off thresholds.</w:t>
      </w:r>
    </w:p>
    <w:p w14:paraId="2375975E" w14:textId="77777777" w:rsidR="00F23BD7" w:rsidRPr="00681F26" w:rsidRDefault="00F23BD7" w:rsidP="00F23BD7">
      <w:pPr>
        <w:rPr>
          <w:rFonts w:ascii="Arial" w:hAnsi="Arial" w:cs="Arial"/>
          <w:b/>
          <w:bCs/>
          <w:sz w:val="6"/>
          <w:szCs w:val="6"/>
        </w:rPr>
      </w:pPr>
    </w:p>
    <w:tbl>
      <w:tblPr>
        <w:tblStyle w:val="TableGridLight"/>
        <w:tblW w:w="9360" w:type="dxa"/>
        <w:tblLayout w:type="fixed"/>
        <w:tblLook w:val="0600" w:firstRow="0" w:lastRow="0" w:firstColumn="0" w:lastColumn="0" w:noHBand="1" w:noVBand="1"/>
      </w:tblPr>
      <w:tblGrid>
        <w:gridCol w:w="1345"/>
        <w:gridCol w:w="2430"/>
        <w:gridCol w:w="2340"/>
        <w:gridCol w:w="3245"/>
      </w:tblGrid>
      <w:tr w:rsidR="00F23BD7" w:rsidRPr="00681F26" w14:paraId="69B00E49" w14:textId="77777777" w:rsidTr="00AA05EB">
        <w:tc>
          <w:tcPr>
            <w:tcW w:w="1345" w:type="dxa"/>
            <w:vAlign w:val="center"/>
          </w:tcPr>
          <w:p w14:paraId="713CB4E2" w14:textId="77777777" w:rsidR="00F23BD7" w:rsidRPr="00681F26" w:rsidRDefault="00F23BD7" w:rsidP="00AA05EB">
            <w:pPr>
              <w:widowControl w:val="0"/>
              <w:spacing w:before="40"/>
              <w:jc w:val="center"/>
              <w:rPr>
                <w:rFonts w:ascii="Arial" w:hAnsi="Arial" w:cs="Arial"/>
                <w:b/>
                <w:sz w:val="20"/>
                <w:szCs w:val="20"/>
              </w:rPr>
            </w:pPr>
            <w:r w:rsidRPr="00681F26">
              <w:rPr>
                <w:rFonts w:ascii="Arial" w:hAnsi="Arial" w:cs="Arial"/>
                <w:b/>
                <w:sz w:val="20"/>
                <w:szCs w:val="20"/>
              </w:rPr>
              <w:t>Threshold</w:t>
            </w:r>
          </w:p>
        </w:tc>
        <w:tc>
          <w:tcPr>
            <w:tcW w:w="2430" w:type="dxa"/>
            <w:vAlign w:val="center"/>
          </w:tcPr>
          <w:p w14:paraId="40F423BC" w14:textId="77777777" w:rsidR="00F23BD7" w:rsidRPr="00681F26" w:rsidRDefault="00F23BD7" w:rsidP="00AA05EB">
            <w:pPr>
              <w:widowControl w:val="0"/>
              <w:spacing w:before="40"/>
              <w:jc w:val="center"/>
              <w:rPr>
                <w:rFonts w:ascii="Arial" w:hAnsi="Arial" w:cs="Arial"/>
                <w:b/>
                <w:sz w:val="20"/>
                <w:szCs w:val="20"/>
              </w:rPr>
            </w:pPr>
            <w:r w:rsidRPr="00681F26">
              <w:rPr>
                <w:rFonts w:ascii="Arial" w:hAnsi="Arial" w:cs="Arial"/>
                <w:b/>
                <w:sz w:val="20"/>
                <w:szCs w:val="20"/>
              </w:rPr>
              <w:t xml:space="preserve">Representative range </w:t>
            </w:r>
            <w:r w:rsidRPr="00681F26">
              <w:rPr>
                <w:rFonts w:ascii="Arial" w:hAnsi="Arial" w:cs="Arial"/>
                <w:bCs/>
                <w:sz w:val="20"/>
                <w:szCs w:val="20"/>
                <w:vertAlign w:val="superscript"/>
              </w:rPr>
              <w:t>a</w:t>
            </w:r>
          </w:p>
        </w:tc>
        <w:tc>
          <w:tcPr>
            <w:tcW w:w="2340" w:type="dxa"/>
            <w:vAlign w:val="center"/>
          </w:tcPr>
          <w:p w14:paraId="710BB0D8" w14:textId="77777777" w:rsidR="00F23BD7" w:rsidRPr="00681F26" w:rsidRDefault="00F23BD7" w:rsidP="00AA05EB">
            <w:pPr>
              <w:widowControl w:val="0"/>
              <w:jc w:val="center"/>
              <w:rPr>
                <w:rFonts w:ascii="Arial" w:hAnsi="Arial" w:cs="Arial"/>
                <w:b/>
                <w:sz w:val="20"/>
                <w:szCs w:val="20"/>
              </w:rPr>
            </w:pPr>
            <w:r w:rsidRPr="00681F26">
              <w:rPr>
                <w:rFonts w:ascii="Arial" w:hAnsi="Arial" w:cs="Arial"/>
                <w:b/>
                <w:sz w:val="20"/>
                <w:szCs w:val="20"/>
              </w:rPr>
              <w:t xml:space="preserve">Resulting sample size </w:t>
            </w:r>
          </w:p>
        </w:tc>
        <w:tc>
          <w:tcPr>
            <w:tcW w:w="3245" w:type="dxa"/>
            <w:vAlign w:val="center"/>
          </w:tcPr>
          <w:p w14:paraId="688C4E98" w14:textId="77777777" w:rsidR="00F23BD7" w:rsidRPr="00681F26" w:rsidRDefault="00F23BD7" w:rsidP="00AA05EB">
            <w:pPr>
              <w:widowControl w:val="0"/>
              <w:jc w:val="center"/>
              <w:rPr>
                <w:rFonts w:ascii="Arial" w:hAnsi="Arial" w:cs="Arial"/>
                <w:b/>
                <w:sz w:val="20"/>
                <w:szCs w:val="20"/>
                <w:vertAlign w:val="subscript"/>
              </w:rPr>
            </w:pPr>
            <w:r w:rsidRPr="00681F26">
              <w:rPr>
                <w:rFonts w:ascii="Arial" w:hAnsi="Arial" w:cs="Arial"/>
                <w:b/>
                <w:sz w:val="20"/>
                <w:szCs w:val="20"/>
              </w:rPr>
              <w:t xml:space="preserve">Correlation </w:t>
            </w:r>
            <w:r w:rsidRPr="00681F26">
              <w:rPr>
                <w:rFonts w:ascii="Cambria Math" w:hAnsi="Cambria Math" w:cs="Cambria Math"/>
                <w:b/>
                <w:sz w:val="20"/>
                <w:szCs w:val="20"/>
              </w:rPr>
              <w:t>𝜟</w:t>
            </w:r>
            <w:r w:rsidRPr="00681F26">
              <w:rPr>
                <w:rFonts w:ascii="Arial" w:hAnsi="Arial" w:cs="Arial"/>
                <w:b/>
                <w:sz w:val="20"/>
                <w:szCs w:val="20"/>
              </w:rPr>
              <w:t xml:space="preserve">RDS - </w:t>
            </w:r>
            <w:proofErr w:type="spellStart"/>
            <w:r w:rsidRPr="00681F26">
              <w:rPr>
                <w:rFonts w:ascii="Arial" w:hAnsi="Arial" w:cs="Arial"/>
                <w:b/>
                <w:sz w:val="20"/>
                <w:szCs w:val="20"/>
              </w:rPr>
              <w:t>RDS</w:t>
            </w:r>
            <w:r w:rsidRPr="00681F26">
              <w:rPr>
                <w:rFonts w:ascii="Arial" w:hAnsi="Arial" w:cs="Arial"/>
                <w:b/>
                <w:sz w:val="20"/>
                <w:szCs w:val="20"/>
                <w:vertAlign w:val="subscript"/>
              </w:rPr>
              <w:t>baseline</w:t>
            </w:r>
            <w:proofErr w:type="spellEnd"/>
            <w:r w:rsidRPr="00681F26">
              <w:rPr>
                <w:rFonts w:ascii="Arial" w:hAnsi="Arial" w:cs="Arial"/>
                <w:b/>
                <w:sz w:val="20"/>
                <w:szCs w:val="20"/>
                <w:vertAlign w:val="subscript"/>
              </w:rPr>
              <w:t xml:space="preserve"> </w:t>
            </w:r>
            <w:r w:rsidRPr="00681F26">
              <w:rPr>
                <w:rFonts w:ascii="Arial" w:hAnsi="Arial" w:cs="Arial"/>
                <w:bCs/>
                <w:sz w:val="20"/>
                <w:szCs w:val="20"/>
                <w:vertAlign w:val="superscript"/>
              </w:rPr>
              <w:t>b</w:t>
            </w:r>
          </w:p>
        </w:tc>
      </w:tr>
      <w:tr w:rsidR="00F23BD7" w:rsidRPr="00681F26" w14:paraId="55B9B6E3" w14:textId="77777777" w:rsidTr="00AA05EB">
        <w:tc>
          <w:tcPr>
            <w:tcW w:w="1345" w:type="dxa"/>
          </w:tcPr>
          <w:p w14:paraId="2220E408" w14:textId="77777777" w:rsidR="00F23BD7" w:rsidRPr="00681F26" w:rsidRDefault="00F23BD7" w:rsidP="00AA05EB">
            <w:pPr>
              <w:widowControl w:val="0"/>
              <w:jc w:val="center"/>
              <w:rPr>
                <w:rFonts w:ascii="Arial" w:hAnsi="Arial" w:cs="Arial"/>
                <w:sz w:val="20"/>
                <w:szCs w:val="20"/>
              </w:rPr>
            </w:pPr>
            <w:r w:rsidRPr="00681F26">
              <w:rPr>
                <w:rFonts w:ascii="Cambria Math" w:hAnsi="Cambria Math" w:cs="Cambria Math"/>
                <w:sz w:val="20"/>
                <w:szCs w:val="20"/>
              </w:rPr>
              <w:t>𝜟</w:t>
            </w:r>
            <w:r w:rsidRPr="00681F26">
              <w:rPr>
                <w:rFonts w:ascii="Arial" w:eastAsia="Arial Unicode MS" w:hAnsi="Arial" w:cs="Arial"/>
                <w:sz w:val="20"/>
                <w:szCs w:val="20"/>
              </w:rPr>
              <w:t>RDS≥1</w:t>
            </w:r>
          </w:p>
        </w:tc>
        <w:tc>
          <w:tcPr>
            <w:tcW w:w="2430" w:type="dxa"/>
          </w:tcPr>
          <w:p w14:paraId="62D8D4C1" w14:textId="77777777" w:rsidR="00F23BD7" w:rsidRPr="00681F26" w:rsidRDefault="00F23BD7" w:rsidP="00AA05EB">
            <w:pPr>
              <w:widowControl w:val="0"/>
              <w:jc w:val="center"/>
              <w:rPr>
                <w:rFonts w:ascii="Arial" w:hAnsi="Arial" w:cs="Arial"/>
                <w:sz w:val="20"/>
                <w:szCs w:val="20"/>
              </w:rPr>
            </w:pPr>
            <w:r w:rsidRPr="00681F26">
              <w:rPr>
                <w:rFonts w:ascii="Arial" w:hAnsi="Arial" w:cs="Arial"/>
                <w:sz w:val="20"/>
                <w:szCs w:val="20"/>
              </w:rPr>
              <w:t>8%</w:t>
            </w:r>
          </w:p>
        </w:tc>
        <w:tc>
          <w:tcPr>
            <w:tcW w:w="2340" w:type="dxa"/>
          </w:tcPr>
          <w:p w14:paraId="3366E5C0" w14:textId="77777777" w:rsidR="00F23BD7" w:rsidRPr="00681F26" w:rsidRDefault="00F23BD7" w:rsidP="00AA05EB">
            <w:pPr>
              <w:widowControl w:val="0"/>
              <w:jc w:val="center"/>
              <w:rPr>
                <w:rFonts w:ascii="Arial" w:hAnsi="Arial" w:cs="Arial"/>
                <w:sz w:val="20"/>
                <w:szCs w:val="20"/>
              </w:rPr>
            </w:pPr>
            <w:r w:rsidRPr="00681F26">
              <w:rPr>
                <w:rFonts w:ascii="Arial" w:hAnsi="Arial" w:cs="Arial"/>
                <w:sz w:val="20"/>
                <w:szCs w:val="20"/>
              </w:rPr>
              <w:t>2,242</w:t>
            </w:r>
          </w:p>
        </w:tc>
        <w:tc>
          <w:tcPr>
            <w:tcW w:w="3245" w:type="dxa"/>
          </w:tcPr>
          <w:p w14:paraId="0D88D756" w14:textId="77777777" w:rsidR="00F23BD7" w:rsidRPr="00681F26" w:rsidRDefault="00F23BD7" w:rsidP="00AA05EB">
            <w:pPr>
              <w:widowControl w:val="0"/>
              <w:jc w:val="center"/>
              <w:rPr>
                <w:rFonts w:ascii="Arial" w:hAnsi="Arial" w:cs="Arial"/>
                <w:sz w:val="20"/>
                <w:szCs w:val="20"/>
              </w:rPr>
            </w:pPr>
            <w:r w:rsidRPr="00681F26">
              <w:rPr>
                <w:rFonts w:ascii="Arial" w:hAnsi="Arial" w:cs="Arial"/>
                <w:sz w:val="20"/>
                <w:szCs w:val="20"/>
              </w:rPr>
              <w:t>0.17</w:t>
            </w:r>
          </w:p>
        </w:tc>
      </w:tr>
      <w:tr w:rsidR="00F23BD7" w:rsidRPr="00681F26" w14:paraId="1F68A4E5" w14:textId="77777777" w:rsidTr="00AA05EB">
        <w:tc>
          <w:tcPr>
            <w:tcW w:w="1345" w:type="dxa"/>
          </w:tcPr>
          <w:p w14:paraId="50AA0897" w14:textId="77777777" w:rsidR="00F23BD7" w:rsidRPr="00681F26" w:rsidRDefault="00F23BD7" w:rsidP="00AA05EB">
            <w:pPr>
              <w:widowControl w:val="0"/>
              <w:jc w:val="center"/>
              <w:rPr>
                <w:rFonts w:ascii="Arial" w:hAnsi="Arial" w:cs="Arial"/>
                <w:sz w:val="20"/>
                <w:szCs w:val="20"/>
              </w:rPr>
            </w:pPr>
            <w:r w:rsidRPr="00681F26">
              <w:rPr>
                <w:rFonts w:ascii="Cambria Math" w:hAnsi="Cambria Math" w:cs="Cambria Math"/>
                <w:sz w:val="20"/>
                <w:szCs w:val="20"/>
              </w:rPr>
              <w:t>𝜟</w:t>
            </w:r>
            <w:r w:rsidRPr="00681F26">
              <w:rPr>
                <w:rFonts w:ascii="Arial" w:hAnsi="Arial" w:cs="Arial"/>
                <w:sz w:val="20"/>
                <w:szCs w:val="20"/>
              </w:rPr>
              <w:t>RDS≥2</w:t>
            </w:r>
          </w:p>
        </w:tc>
        <w:tc>
          <w:tcPr>
            <w:tcW w:w="2430" w:type="dxa"/>
          </w:tcPr>
          <w:p w14:paraId="261878CD" w14:textId="77777777" w:rsidR="00F23BD7" w:rsidRPr="00681F26" w:rsidRDefault="00F23BD7" w:rsidP="00AA05EB">
            <w:pPr>
              <w:widowControl w:val="0"/>
              <w:jc w:val="center"/>
              <w:rPr>
                <w:rFonts w:ascii="Arial" w:hAnsi="Arial" w:cs="Arial"/>
                <w:sz w:val="20"/>
                <w:szCs w:val="20"/>
              </w:rPr>
            </w:pPr>
            <w:r w:rsidRPr="00681F26">
              <w:rPr>
                <w:rFonts w:ascii="Arial" w:hAnsi="Arial" w:cs="Arial"/>
                <w:sz w:val="20"/>
                <w:szCs w:val="20"/>
              </w:rPr>
              <w:t>17%</w:t>
            </w:r>
          </w:p>
        </w:tc>
        <w:tc>
          <w:tcPr>
            <w:tcW w:w="2340" w:type="dxa"/>
          </w:tcPr>
          <w:p w14:paraId="13DF1230" w14:textId="77777777" w:rsidR="00F23BD7" w:rsidRPr="00681F26" w:rsidRDefault="00F23BD7" w:rsidP="00AA05EB">
            <w:pPr>
              <w:widowControl w:val="0"/>
              <w:jc w:val="center"/>
              <w:rPr>
                <w:rFonts w:ascii="Arial" w:hAnsi="Arial" w:cs="Arial"/>
                <w:sz w:val="20"/>
                <w:szCs w:val="20"/>
              </w:rPr>
            </w:pPr>
            <w:r w:rsidRPr="00681F26">
              <w:rPr>
                <w:rFonts w:ascii="Arial" w:hAnsi="Arial" w:cs="Arial"/>
                <w:sz w:val="20"/>
                <w:szCs w:val="20"/>
              </w:rPr>
              <w:t>847</w:t>
            </w:r>
          </w:p>
        </w:tc>
        <w:tc>
          <w:tcPr>
            <w:tcW w:w="3245" w:type="dxa"/>
          </w:tcPr>
          <w:p w14:paraId="6FC97A60" w14:textId="77777777" w:rsidR="00F23BD7" w:rsidRPr="00681F26" w:rsidRDefault="00F23BD7" w:rsidP="00AA05EB">
            <w:pPr>
              <w:widowControl w:val="0"/>
              <w:jc w:val="center"/>
              <w:rPr>
                <w:rFonts w:ascii="Arial" w:hAnsi="Arial" w:cs="Arial"/>
                <w:sz w:val="20"/>
                <w:szCs w:val="20"/>
              </w:rPr>
            </w:pPr>
            <w:r w:rsidRPr="00681F26">
              <w:rPr>
                <w:rFonts w:ascii="Arial" w:hAnsi="Arial" w:cs="Arial"/>
                <w:sz w:val="20"/>
                <w:szCs w:val="20"/>
              </w:rPr>
              <w:t>0.11</w:t>
            </w:r>
          </w:p>
        </w:tc>
      </w:tr>
      <w:tr w:rsidR="00F23BD7" w:rsidRPr="00681F26" w14:paraId="6E36AC18" w14:textId="77777777" w:rsidTr="00AA05EB">
        <w:tc>
          <w:tcPr>
            <w:tcW w:w="1345" w:type="dxa"/>
            <w:shd w:val="clear" w:color="auto" w:fill="808080" w:themeFill="background1" w:themeFillShade="80"/>
          </w:tcPr>
          <w:p w14:paraId="0C8AADF3" w14:textId="77777777" w:rsidR="00F23BD7" w:rsidRPr="00681F26" w:rsidRDefault="00F23BD7" w:rsidP="00AA05EB">
            <w:pPr>
              <w:widowControl w:val="0"/>
              <w:jc w:val="center"/>
              <w:rPr>
                <w:rFonts w:ascii="Arial" w:hAnsi="Arial" w:cs="Arial"/>
                <w:b/>
                <w:bCs/>
                <w:color w:val="FFFFFF" w:themeColor="background1"/>
                <w:sz w:val="20"/>
                <w:szCs w:val="20"/>
              </w:rPr>
            </w:pPr>
            <w:r w:rsidRPr="00681F26">
              <w:rPr>
                <w:rFonts w:ascii="Cambria Math" w:hAnsi="Cambria Math" w:cs="Cambria Math"/>
                <w:b/>
                <w:bCs/>
                <w:color w:val="FFFFFF" w:themeColor="background1"/>
                <w:sz w:val="20"/>
                <w:szCs w:val="20"/>
              </w:rPr>
              <w:t>𝜟</w:t>
            </w:r>
            <w:r w:rsidRPr="00681F26">
              <w:rPr>
                <w:rFonts w:ascii="Arial" w:hAnsi="Arial" w:cs="Arial"/>
                <w:b/>
                <w:bCs/>
                <w:color w:val="FFFFFF" w:themeColor="background1"/>
                <w:sz w:val="20"/>
                <w:szCs w:val="20"/>
              </w:rPr>
              <w:t>RDS≥3</w:t>
            </w:r>
          </w:p>
        </w:tc>
        <w:tc>
          <w:tcPr>
            <w:tcW w:w="2430" w:type="dxa"/>
            <w:shd w:val="clear" w:color="auto" w:fill="808080" w:themeFill="background1" w:themeFillShade="80"/>
          </w:tcPr>
          <w:p w14:paraId="3F400511" w14:textId="77777777" w:rsidR="00F23BD7" w:rsidRPr="00681F26" w:rsidRDefault="00F23BD7" w:rsidP="00AA05EB">
            <w:pPr>
              <w:widowControl w:val="0"/>
              <w:jc w:val="center"/>
              <w:rPr>
                <w:rFonts w:ascii="Arial" w:hAnsi="Arial" w:cs="Arial"/>
                <w:b/>
                <w:bCs/>
                <w:color w:val="FFFFFF" w:themeColor="background1"/>
                <w:sz w:val="20"/>
                <w:szCs w:val="20"/>
              </w:rPr>
            </w:pPr>
            <w:r w:rsidRPr="00681F26">
              <w:rPr>
                <w:rFonts w:ascii="Arial" w:hAnsi="Arial" w:cs="Arial"/>
                <w:b/>
                <w:bCs/>
                <w:color w:val="FFFFFF" w:themeColor="background1"/>
                <w:sz w:val="20"/>
                <w:szCs w:val="20"/>
              </w:rPr>
              <w:t>25%</w:t>
            </w:r>
          </w:p>
        </w:tc>
        <w:tc>
          <w:tcPr>
            <w:tcW w:w="2340" w:type="dxa"/>
            <w:shd w:val="clear" w:color="auto" w:fill="808080" w:themeFill="background1" w:themeFillShade="80"/>
          </w:tcPr>
          <w:p w14:paraId="160F2316" w14:textId="77777777" w:rsidR="00F23BD7" w:rsidRPr="00681F26" w:rsidRDefault="00F23BD7" w:rsidP="00AA05EB">
            <w:pPr>
              <w:widowControl w:val="0"/>
              <w:jc w:val="center"/>
              <w:rPr>
                <w:rFonts w:ascii="Arial" w:hAnsi="Arial" w:cs="Arial"/>
                <w:b/>
                <w:bCs/>
                <w:color w:val="FFFFFF" w:themeColor="background1"/>
                <w:sz w:val="20"/>
                <w:szCs w:val="20"/>
              </w:rPr>
            </w:pPr>
            <w:r w:rsidRPr="00681F26">
              <w:rPr>
                <w:rFonts w:ascii="Arial" w:hAnsi="Arial" w:cs="Arial"/>
                <w:b/>
                <w:bCs/>
                <w:color w:val="FFFFFF" w:themeColor="background1"/>
                <w:sz w:val="20"/>
                <w:szCs w:val="20"/>
              </w:rPr>
              <w:t>311</w:t>
            </w:r>
          </w:p>
        </w:tc>
        <w:tc>
          <w:tcPr>
            <w:tcW w:w="3245" w:type="dxa"/>
            <w:shd w:val="clear" w:color="auto" w:fill="808080" w:themeFill="background1" w:themeFillShade="80"/>
          </w:tcPr>
          <w:p w14:paraId="5DC1C886" w14:textId="77777777" w:rsidR="00F23BD7" w:rsidRPr="00681F26" w:rsidRDefault="00F23BD7" w:rsidP="00AA05EB">
            <w:pPr>
              <w:widowControl w:val="0"/>
              <w:jc w:val="center"/>
              <w:rPr>
                <w:rFonts w:ascii="Arial" w:hAnsi="Arial" w:cs="Arial"/>
                <w:b/>
                <w:bCs/>
                <w:color w:val="FFFFFF" w:themeColor="background1"/>
                <w:sz w:val="20"/>
                <w:szCs w:val="20"/>
              </w:rPr>
            </w:pPr>
            <w:r w:rsidRPr="00681F26">
              <w:rPr>
                <w:rFonts w:ascii="Arial" w:hAnsi="Arial" w:cs="Arial"/>
                <w:b/>
                <w:bCs/>
                <w:color w:val="FFFFFF" w:themeColor="background1"/>
                <w:sz w:val="20"/>
                <w:szCs w:val="20"/>
              </w:rPr>
              <w:t>0.06</w:t>
            </w:r>
          </w:p>
        </w:tc>
      </w:tr>
      <w:tr w:rsidR="00F23BD7" w:rsidRPr="00681F26" w14:paraId="02E03F31" w14:textId="77777777" w:rsidTr="00AA05EB">
        <w:tc>
          <w:tcPr>
            <w:tcW w:w="1345" w:type="dxa"/>
          </w:tcPr>
          <w:p w14:paraId="427518BE" w14:textId="77777777" w:rsidR="00F23BD7" w:rsidRPr="00681F26" w:rsidRDefault="00F23BD7" w:rsidP="00AA05EB">
            <w:pPr>
              <w:widowControl w:val="0"/>
              <w:jc w:val="center"/>
              <w:rPr>
                <w:rFonts w:ascii="Arial" w:hAnsi="Arial" w:cs="Arial"/>
                <w:sz w:val="20"/>
                <w:szCs w:val="20"/>
              </w:rPr>
            </w:pPr>
            <w:r w:rsidRPr="00681F26">
              <w:rPr>
                <w:rFonts w:ascii="Cambria Math" w:hAnsi="Cambria Math" w:cs="Cambria Math"/>
                <w:sz w:val="20"/>
                <w:szCs w:val="20"/>
              </w:rPr>
              <w:t>𝜟</w:t>
            </w:r>
            <w:r w:rsidRPr="00681F26">
              <w:rPr>
                <w:rFonts w:ascii="Arial" w:hAnsi="Arial" w:cs="Arial"/>
                <w:sz w:val="20"/>
                <w:szCs w:val="20"/>
              </w:rPr>
              <w:t>RDS≥4</w:t>
            </w:r>
          </w:p>
        </w:tc>
        <w:tc>
          <w:tcPr>
            <w:tcW w:w="2430" w:type="dxa"/>
          </w:tcPr>
          <w:p w14:paraId="21430CD0" w14:textId="77777777" w:rsidR="00F23BD7" w:rsidRPr="00681F26" w:rsidRDefault="00F23BD7" w:rsidP="00AA05EB">
            <w:pPr>
              <w:widowControl w:val="0"/>
              <w:jc w:val="center"/>
              <w:rPr>
                <w:rFonts w:ascii="Arial" w:hAnsi="Arial" w:cs="Arial"/>
                <w:sz w:val="20"/>
                <w:szCs w:val="20"/>
              </w:rPr>
            </w:pPr>
            <w:r w:rsidRPr="00681F26">
              <w:rPr>
                <w:rFonts w:ascii="Arial" w:hAnsi="Arial" w:cs="Arial"/>
                <w:sz w:val="20"/>
                <w:szCs w:val="20"/>
              </w:rPr>
              <w:t>33%</w:t>
            </w:r>
          </w:p>
        </w:tc>
        <w:tc>
          <w:tcPr>
            <w:tcW w:w="2340" w:type="dxa"/>
          </w:tcPr>
          <w:p w14:paraId="244F4E99" w14:textId="77777777" w:rsidR="00F23BD7" w:rsidRPr="00681F26" w:rsidRDefault="00F23BD7" w:rsidP="00AA05EB">
            <w:pPr>
              <w:widowControl w:val="0"/>
              <w:jc w:val="center"/>
              <w:rPr>
                <w:rFonts w:ascii="Arial" w:hAnsi="Arial" w:cs="Arial"/>
                <w:sz w:val="20"/>
                <w:szCs w:val="20"/>
              </w:rPr>
            </w:pPr>
            <w:r w:rsidRPr="00681F26">
              <w:rPr>
                <w:rFonts w:ascii="Arial" w:hAnsi="Arial" w:cs="Arial"/>
                <w:sz w:val="20"/>
                <w:szCs w:val="20"/>
              </w:rPr>
              <w:t>128</w:t>
            </w:r>
          </w:p>
        </w:tc>
        <w:tc>
          <w:tcPr>
            <w:tcW w:w="3245" w:type="dxa"/>
          </w:tcPr>
          <w:p w14:paraId="1186FE8E" w14:textId="77777777" w:rsidR="00F23BD7" w:rsidRPr="00681F26" w:rsidRDefault="00F23BD7" w:rsidP="00AA05EB">
            <w:pPr>
              <w:widowControl w:val="0"/>
              <w:jc w:val="center"/>
              <w:rPr>
                <w:rFonts w:ascii="Arial" w:hAnsi="Arial" w:cs="Arial"/>
                <w:sz w:val="20"/>
                <w:szCs w:val="20"/>
              </w:rPr>
            </w:pPr>
            <w:r w:rsidRPr="00681F26">
              <w:rPr>
                <w:rFonts w:ascii="Arial" w:hAnsi="Arial" w:cs="Arial"/>
                <w:sz w:val="20"/>
                <w:szCs w:val="20"/>
              </w:rPr>
              <w:t>0.04</w:t>
            </w:r>
          </w:p>
        </w:tc>
      </w:tr>
      <w:tr w:rsidR="00F23BD7" w:rsidRPr="00681F26" w14:paraId="3DCDFAB3" w14:textId="77777777" w:rsidTr="00AA05EB">
        <w:tc>
          <w:tcPr>
            <w:tcW w:w="1345" w:type="dxa"/>
          </w:tcPr>
          <w:p w14:paraId="6FE4F7B7" w14:textId="77777777" w:rsidR="00F23BD7" w:rsidRPr="00681F26" w:rsidRDefault="00F23BD7" w:rsidP="00AA05EB">
            <w:pPr>
              <w:widowControl w:val="0"/>
              <w:jc w:val="center"/>
              <w:rPr>
                <w:rFonts w:ascii="Arial" w:hAnsi="Arial" w:cs="Arial"/>
                <w:sz w:val="20"/>
                <w:szCs w:val="20"/>
              </w:rPr>
            </w:pPr>
            <w:r w:rsidRPr="00681F26">
              <w:rPr>
                <w:rFonts w:ascii="Cambria Math" w:hAnsi="Cambria Math" w:cs="Cambria Math"/>
                <w:sz w:val="20"/>
                <w:szCs w:val="20"/>
              </w:rPr>
              <w:t>𝜟</w:t>
            </w:r>
            <w:r w:rsidRPr="00681F26">
              <w:rPr>
                <w:rFonts w:ascii="Arial" w:hAnsi="Arial" w:cs="Arial"/>
                <w:sz w:val="20"/>
                <w:szCs w:val="20"/>
              </w:rPr>
              <w:t>RDS≥5</w:t>
            </w:r>
          </w:p>
        </w:tc>
        <w:tc>
          <w:tcPr>
            <w:tcW w:w="2430" w:type="dxa"/>
          </w:tcPr>
          <w:p w14:paraId="3E001B2C" w14:textId="77777777" w:rsidR="00F23BD7" w:rsidRPr="00681F26" w:rsidRDefault="00F23BD7" w:rsidP="00AA05EB">
            <w:pPr>
              <w:widowControl w:val="0"/>
              <w:jc w:val="center"/>
              <w:rPr>
                <w:rFonts w:ascii="Arial" w:hAnsi="Arial" w:cs="Arial"/>
                <w:sz w:val="20"/>
                <w:szCs w:val="20"/>
              </w:rPr>
            </w:pPr>
            <w:r w:rsidRPr="00681F26">
              <w:rPr>
                <w:rFonts w:ascii="Arial" w:hAnsi="Arial" w:cs="Arial"/>
                <w:sz w:val="20"/>
                <w:szCs w:val="20"/>
              </w:rPr>
              <w:t>42%</w:t>
            </w:r>
          </w:p>
        </w:tc>
        <w:tc>
          <w:tcPr>
            <w:tcW w:w="2340" w:type="dxa"/>
          </w:tcPr>
          <w:p w14:paraId="251F42C6" w14:textId="77777777" w:rsidR="00F23BD7" w:rsidRPr="00681F26" w:rsidRDefault="00F23BD7" w:rsidP="00AA05EB">
            <w:pPr>
              <w:widowControl w:val="0"/>
              <w:jc w:val="center"/>
              <w:rPr>
                <w:rFonts w:ascii="Arial" w:hAnsi="Arial" w:cs="Arial"/>
                <w:sz w:val="20"/>
                <w:szCs w:val="20"/>
              </w:rPr>
            </w:pPr>
            <w:r w:rsidRPr="00681F26">
              <w:rPr>
                <w:rFonts w:ascii="Arial" w:hAnsi="Arial" w:cs="Arial"/>
                <w:sz w:val="20"/>
                <w:szCs w:val="20"/>
              </w:rPr>
              <w:t>59</w:t>
            </w:r>
          </w:p>
        </w:tc>
        <w:tc>
          <w:tcPr>
            <w:tcW w:w="3245" w:type="dxa"/>
          </w:tcPr>
          <w:p w14:paraId="3B516CF6" w14:textId="77777777" w:rsidR="00F23BD7" w:rsidRPr="00681F26" w:rsidRDefault="00F23BD7" w:rsidP="00AA05EB">
            <w:pPr>
              <w:widowControl w:val="0"/>
              <w:jc w:val="center"/>
              <w:rPr>
                <w:rFonts w:ascii="Arial" w:hAnsi="Arial" w:cs="Arial"/>
                <w:sz w:val="20"/>
                <w:szCs w:val="20"/>
              </w:rPr>
            </w:pPr>
            <w:r w:rsidRPr="00681F26">
              <w:rPr>
                <w:rFonts w:ascii="Arial" w:hAnsi="Arial" w:cs="Arial"/>
                <w:sz w:val="20"/>
                <w:szCs w:val="20"/>
              </w:rPr>
              <w:t>-0.13</w:t>
            </w:r>
          </w:p>
        </w:tc>
      </w:tr>
      <w:tr w:rsidR="00F23BD7" w:rsidRPr="00681F26" w14:paraId="5E992BB7" w14:textId="77777777" w:rsidTr="00AA05EB">
        <w:tc>
          <w:tcPr>
            <w:tcW w:w="1345" w:type="dxa"/>
          </w:tcPr>
          <w:p w14:paraId="22177CFF" w14:textId="77777777" w:rsidR="00F23BD7" w:rsidRPr="00681F26" w:rsidRDefault="00F23BD7" w:rsidP="00AA05EB">
            <w:pPr>
              <w:widowControl w:val="0"/>
              <w:jc w:val="center"/>
              <w:rPr>
                <w:rFonts w:ascii="Arial" w:hAnsi="Arial" w:cs="Arial"/>
                <w:sz w:val="20"/>
                <w:szCs w:val="20"/>
              </w:rPr>
            </w:pPr>
            <w:r w:rsidRPr="00681F26">
              <w:rPr>
                <w:rFonts w:ascii="Cambria Math" w:hAnsi="Cambria Math" w:cs="Cambria Math"/>
                <w:sz w:val="20"/>
                <w:szCs w:val="20"/>
              </w:rPr>
              <w:t>𝜟</w:t>
            </w:r>
            <w:r w:rsidRPr="00681F26">
              <w:rPr>
                <w:rFonts w:ascii="Arial" w:hAnsi="Arial" w:cs="Arial"/>
                <w:sz w:val="20"/>
                <w:szCs w:val="20"/>
              </w:rPr>
              <w:t>RDS≥6</w:t>
            </w:r>
          </w:p>
        </w:tc>
        <w:tc>
          <w:tcPr>
            <w:tcW w:w="2430" w:type="dxa"/>
          </w:tcPr>
          <w:p w14:paraId="7A22FF8D" w14:textId="77777777" w:rsidR="00F23BD7" w:rsidRPr="00681F26" w:rsidRDefault="00F23BD7" w:rsidP="00AA05EB">
            <w:pPr>
              <w:widowControl w:val="0"/>
              <w:jc w:val="center"/>
              <w:rPr>
                <w:rFonts w:ascii="Arial" w:hAnsi="Arial" w:cs="Arial"/>
                <w:sz w:val="20"/>
                <w:szCs w:val="20"/>
              </w:rPr>
            </w:pPr>
            <w:r w:rsidRPr="00681F26">
              <w:rPr>
                <w:rFonts w:ascii="Arial" w:hAnsi="Arial" w:cs="Arial"/>
                <w:sz w:val="20"/>
                <w:szCs w:val="20"/>
              </w:rPr>
              <w:t>50%</w:t>
            </w:r>
          </w:p>
        </w:tc>
        <w:tc>
          <w:tcPr>
            <w:tcW w:w="2340" w:type="dxa"/>
          </w:tcPr>
          <w:p w14:paraId="2BB2B7EA" w14:textId="77777777" w:rsidR="00F23BD7" w:rsidRPr="00681F26" w:rsidRDefault="00F23BD7" w:rsidP="00AA05EB">
            <w:pPr>
              <w:widowControl w:val="0"/>
              <w:jc w:val="center"/>
              <w:rPr>
                <w:rFonts w:ascii="Arial" w:hAnsi="Arial" w:cs="Arial"/>
                <w:sz w:val="20"/>
                <w:szCs w:val="20"/>
              </w:rPr>
            </w:pPr>
            <w:r w:rsidRPr="00681F26">
              <w:rPr>
                <w:rFonts w:ascii="Arial" w:hAnsi="Arial" w:cs="Arial"/>
                <w:sz w:val="20"/>
                <w:szCs w:val="20"/>
              </w:rPr>
              <w:t>33</w:t>
            </w:r>
          </w:p>
        </w:tc>
        <w:tc>
          <w:tcPr>
            <w:tcW w:w="3245" w:type="dxa"/>
          </w:tcPr>
          <w:p w14:paraId="024650DF" w14:textId="77777777" w:rsidR="00F23BD7" w:rsidRPr="00681F26" w:rsidRDefault="00F23BD7" w:rsidP="00AA05EB">
            <w:pPr>
              <w:widowControl w:val="0"/>
              <w:jc w:val="center"/>
              <w:rPr>
                <w:rFonts w:ascii="Arial" w:hAnsi="Arial" w:cs="Arial"/>
                <w:sz w:val="20"/>
                <w:szCs w:val="20"/>
              </w:rPr>
            </w:pPr>
            <w:r w:rsidRPr="00681F26">
              <w:rPr>
                <w:rFonts w:ascii="Arial" w:hAnsi="Arial" w:cs="Arial"/>
                <w:sz w:val="20"/>
                <w:szCs w:val="20"/>
              </w:rPr>
              <w:t>-0.17</w:t>
            </w:r>
          </w:p>
        </w:tc>
      </w:tr>
    </w:tbl>
    <w:p w14:paraId="352EE7DF" w14:textId="77777777" w:rsidR="00F23BD7" w:rsidRPr="00681F26" w:rsidRDefault="00F23BD7" w:rsidP="00F23BD7">
      <w:pPr>
        <w:jc w:val="both"/>
        <w:rPr>
          <w:rFonts w:ascii="Arial" w:hAnsi="Arial" w:cs="Arial"/>
          <w:sz w:val="18"/>
          <w:szCs w:val="18"/>
        </w:rPr>
      </w:pPr>
      <w:r w:rsidRPr="00681F26">
        <w:rPr>
          <w:rFonts w:ascii="Cambria Math" w:hAnsi="Cambria Math" w:cs="Cambria Math"/>
          <w:sz w:val="18"/>
          <w:szCs w:val="18"/>
        </w:rPr>
        <w:t>𝜟</w:t>
      </w:r>
      <w:r w:rsidRPr="00681F26">
        <w:rPr>
          <w:rFonts w:ascii="Arial" w:hAnsi="Arial" w:cs="Arial"/>
          <w:sz w:val="18"/>
          <w:szCs w:val="18"/>
        </w:rPr>
        <w:t>RDS = change scores in RDS between two scans (i.e., scan2 minus scan1)</w:t>
      </w:r>
    </w:p>
    <w:p w14:paraId="63821F11" w14:textId="77777777" w:rsidR="00F23BD7" w:rsidRPr="00681F26" w:rsidRDefault="00F23BD7" w:rsidP="00F23BD7">
      <w:pPr>
        <w:jc w:val="both"/>
        <w:rPr>
          <w:rFonts w:ascii="Arial" w:hAnsi="Arial" w:cs="Arial"/>
          <w:iCs/>
          <w:sz w:val="18"/>
          <w:szCs w:val="18"/>
        </w:rPr>
      </w:pPr>
      <w:proofErr w:type="spellStart"/>
      <w:r w:rsidRPr="00681F26">
        <w:rPr>
          <w:rFonts w:ascii="Arial" w:hAnsi="Arial" w:cs="Arial"/>
          <w:bCs/>
          <w:sz w:val="18"/>
          <w:szCs w:val="18"/>
          <w:vertAlign w:val="superscript"/>
        </w:rPr>
        <w:t>a</w:t>
      </w:r>
      <w:proofErr w:type="spellEnd"/>
      <w:r w:rsidRPr="00681F26">
        <w:rPr>
          <w:rFonts w:ascii="Arial" w:hAnsi="Arial" w:cs="Arial"/>
          <w:iCs/>
          <w:sz w:val="18"/>
          <w:szCs w:val="18"/>
        </w:rPr>
        <w:t xml:space="preserve"> </w:t>
      </w:r>
      <w:proofErr w:type="gramStart"/>
      <w:r w:rsidRPr="00681F26">
        <w:rPr>
          <w:rFonts w:ascii="Arial" w:hAnsi="Arial" w:cs="Arial"/>
          <w:iCs/>
          <w:sz w:val="18"/>
          <w:szCs w:val="18"/>
        </w:rPr>
        <w:t>The</w:t>
      </w:r>
      <w:proofErr w:type="gramEnd"/>
      <w:r w:rsidRPr="00681F26">
        <w:rPr>
          <w:rFonts w:ascii="Arial" w:hAnsi="Arial" w:cs="Arial"/>
          <w:iCs/>
          <w:sz w:val="18"/>
          <w:szCs w:val="18"/>
        </w:rPr>
        <w:t xml:space="preserve"> represented percentage of the full RDS scale (i.e., 16 points) for each chosen </w:t>
      </w:r>
      <w:bookmarkStart w:id="0" w:name="OLE_LINK1"/>
      <w:bookmarkStart w:id="1" w:name="OLE_LINK2"/>
      <w:r w:rsidRPr="00681F26">
        <w:rPr>
          <w:rFonts w:ascii="Cambria Math" w:hAnsi="Cambria Math" w:cs="Cambria Math"/>
          <w:sz w:val="18"/>
          <w:szCs w:val="18"/>
        </w:rPr>
        <w:t>𝜟</w:t>
      </w:r>
      <w:r w:rsidRPr="00681F26">
        <w:rPr>
          <w:rFonts w:ascii="Arial" w:hAnsi="Arial" w:cs="Arial"/>
          <w:iCs/>
          <w:sz w:val="18"/>
          <w:szCs w:val="18"/>
        </w:rPr>
        <w:t>RDS cut-off score</w:t>
      </w:r>
      <w:bookmarkEnd w:id="0"/>
      <w:bookmarkEnd w:id="1"/>
      <w:r w:rsidRPr="00681F26">
        <w:rPr>
          <w:rFonts w:ascii="Arial" w:hAnsi="Arial" w:cs="Arial"/>
          <w:iCs/>
          <w:sz w:val="18"/>
          <w:szCs w:val="18"/>
        </w:rPr>
        <w:t>.</w:t>
      </w:r>
    </w:p>
    <w:p w14:paraId="11EEACD7" w14:textId="77777777" w:rsidR="00F23BD7" w:rsidRPr="00681F26" w:rsidRDefault="00F23BD7" w:rsidP="00F23BD7">
      <w:pPr>
        <w:jc w:val="both"/>
        <w:rPr>
          <w:rFonts w:ascii="Arial" w:hAnsi="Arial" w:cs="Arial"/>
          <w:iCs/>
          <w:sz w:val="18"/>
          <w:szCs w:val="18"/>
        </w:rPr>
      </w:pPr>
      <w:r w:rsidRPr="00681F26">
        <w:rPr>
          <w:rFonts w:ascii="Arial" w:hAnsi="Arial" w:cs="Arial"/>
          <w:bCs/>
          <w:sz w:val="18"/>
          <w:szCs w:val="18"/>
          <w:vertAlign w:val="superscript"/>
        </w:rPr>
        <w:t>b</w:t>
      </w:r>
      <w:r w:rsidRPr="00681F26">
        <w:rPr>
          <w:rFonts w:ascii="Arial" w:hAnsi="Arial" w:cs="Arial"/>
          <w:iCs/>
          <w:sz w:val="18"/>
          <w:szCs w:val="18"/>
        </w:rPr>
        <w:t xml:space="preserve"> </w:t>
      </w:r>
      <w:proofErr w:type="gramStart"/>
      <w:r w:rsidRPr="00681F26">
        <w:rPr>
          <w:rFonts w:ascii="Arial" w:hAnsi="Arial" w:cs="Arial"/>
          <w:iCs/>
          <w:sz w:val="18"/>
          <w:szCs w:val="18"/>
        </w:rPr>
        <w:t>The</w:t>
      </w:r>
      <w:proofErr w:type="gramEnd"/>
      <w:r w:rsidRPr="00681F26">
        <w:rPr>
          <w:rFonts w:ascii="Arial" w:hAnsi="Arial" w:cs="Arial"/>
          <w:iCs/>
          <w:sz w:val="18"/>
          <w:szCs w:val="18"/>
        </w:rPr>
        <w:t xml:space="preserve"> correlation between baseline RDS, used to define trait depression, and changes in RDS (i.e., </w:t>
      </w:r>
      <w:r w:rsidRPr="00681F26">
        <w:rPr>
          <w:rFonts w:ascii="Cambria Math" w:hAnsi="Cambria Math" w:cs="Cambria Math"/>
          <w:sz w:val="18"/>
          <w:szCs w:val="18"/>
        </w:rPr>
        <w:t>𝜟</w:t>
      </w:r>
      <w:r w:rsidRPr="00681F26">
        <w:rPr>
          <w:rFonts w:ascii="Arial" w:eastAsia="Arial Unicode MS" w:hAnsi="Arial" w:cs="Arial"/>
          <w:sz w:val="18"/>
          <w:szCs w:val="18"/>
        </w:rPr>
        <w:t>RDS)</w:t>
      </w:r>
      <w:r w:rsidRPr="00681F26">
        <w:rPr>
          <w:rFonts w:ascii="Arial" w:hAnsi="Arial" w:cs="Arial"/>
          <w:iCs/>
          <w:sz w:val="18"/>
          <w:szCs w:val="18"/>
        </w:rPr>
        <w:t xml:space="preserve">, used to define state depression, varied across different </w:t>
      </w:r>
      <w:r w:rsidRPr="00681F26">
        <w:rPr>
          <w:rFonts w:ascii="Cambria Math" w:hAnsi="Cambria Math" w:cs="Cambria Math"/>
          <w:iCs/>
          <w:sz w:val="18"/>
          <w:szCs w:val="18"/>
        </w:rPr>
        <w:t>𝜟</w:t>
      </w:r>
      <w:r w:rsidRPr="00681F26">
        <w:rPr>
          <w:rFonts w:ascii="Arial" w:hAnsi="Arial" w:cs="Arial"/>
          <w:iCs/>
          <w:sz w:val="18"/>
          <w:szCs w:val="18"/>
        </w:rPr>
        <w:t>RDS cut-off scores. The selected cut-off score (in shade) exhibited a reduced correlation, with a substantial sample size.</w:t>
      </w:r>
    </w:p>
    <w:p w14:paraId="0C696988" w14:textId="77777777" w:rsidR="00F23BD7" w:rsidRPr="00681F26" w:rsidRDefault="00F23BD7" w:rsidP="00F23BD7">
      <w:pPr>
        <w:rPr>
          <w:rFonts w:ascii="Arial" w:hAnsi="Arial" w:cs="Arial"/>
          <w:sz w:val="22"/>
          <w:szCs w:val="22"/>
        </w:rPr>
      </w:pPr>
    </w:p>
    <w:p w14:paraId="43024D70" w14:textId="77777777" w:rsidR="00F23BD7" w:rsidRPr="00681F26" w:rsidRDefault="00F23BD7" w:rsidP="00F23BD7">
      <w:pPr>
        <w:jc w:val="both"/>
        <w:rPr>
          <w:rFonts w:ascii="Arial" w:hAnsi="Arial" w:cs="Arial"/>
          <w:sz w:val="22"/>
          <w:szCs w:val="22"/>
        </w:rPr>
      </w:pPr>
    </w:p>
    <w:p w14:paraId="4A61A305" w14:textId="77777777" w:rsidR="00F23BD7" w:rsidRPr="00681F26" w:rsidRDefault="00F23BD7" w:rsidP="00F23BD7">
      <w:pPr>
        <w:jc w:val="both"/>
        <w:rPr>
          <w:rFonts w:ascii="Arial" w:hAnsi="Arial" w:cs="Arial"/>
          <w:b/>
          <w:bCs/>
          <w:sz w:val="22"/>
          <w:szCs w:val="22"/>
          <w:u w:val="single"/>
        </w:rPr>
      </w:pPr>
      <w:r w:rsidRPr="00681F26">
        <w:rPr>
          <w:rFonts w:ascii="Arial" w:hAnsi="Arial" w:cs="Arial"/>
          <w:b/>
          <w:bCs/>
          <w:sz w:val="22"/>
          <w:szCs w:val="22"/>
          <w:u w:val="single"/>
        </w:rPr>
        <w:t>Group Matching</w:t>
      </w:r>
    </w:p>
    <w:p w14:paraId="1EB7CEC9" w14:textId="4C9BF1F2" w:rsidR="00F23BD7" w:rsidRPr="00681F26" w:rsidRDefault="00F23BD7" w:rsidP="00F23BD7">
      <w:pPr>
        <w:ind w:firstLine="720"/>
        <w:jc w:val="both"/>
        <w:rPr>
          <w:rFonts w:ascii="Arial" w:hAnsi="Arial" w:cs="Arial"/>
          <w:sz w:val="22"/>
          <w:szCs w:val="22"/>
        </w:rPr>
      </w:pPr>
      <w:r w:rsidRPr="00681F26">
        <w:rPr>
          <w:rFonts w:ascii="Arial" w:hAnsi="Arial" w:cs="Arial"/>
          <w:sz w:val="22"/>
          <w:szCs w:val="22"/>
        </w:rPr>
        <w:t xml:space="preserve">The control participants were identified separately for each of the </w:t>
      </w:r>
      <w:r>
        <w:rPr>
          <w:rFonts w:ascii="Arial" w:hAnsi="Arial" w:cs="Arial"/>
          <w:sz w:val="22"/>
          <w:szCs w:val="22"/>
        </w:rPr>
        <w:t>depression</w:t>
      </w:r>
      <w:r w:rsidRPr="00681F26">
        <w:rPr>
          <w:rFonts w:ascii="Arial" w:hAnsi="Arial" w:cs="Arial"/>
          <w:sz w:val="22"/>
          <w:szCs w:val="22"/>
        </w:rPr>
        <w:t xml:space="preserve"> groups via a group matching method, which aimed to minimize the confounding effects of a set of covariates on potential group differences of interest. </w:t>
      </w:r>
      <w:r>
        <w:rPr>
          <w:rFonts w:ascii="Arial" w:hAnsi="Arial" w:cs="Arial"/>
          <w:sz w:val="22"/>
          <w:szCs w:val="22"/>
        </w:rPr>
        <w:t>We considered several commonly used matching approaches that incorporated propensity score, including</w:t>
      </w:r>
      <w:r w:rsidRPr="00567FE8">
        <w:rPr>
          <w:rFonts w:ascii="Arial" w:hAnsi="Arial" w:cs="Arial"/>
          <w:sz w:val="22"/>
          <w:szCs w:val="22"/>
        </w:rPr>
        <w:t xml:space="preserve"> the nearest neighbor matching </w:t>
      </w:r>
      <w:r w:rsidRPr="00567FE8">
        <w:rPr>
          <w:rFonts w:ascii="Arial" w:hAnsi="Arial" w:cs="Arial"/>
          <w:sz w:val="22"/>
          <w:szCs w:val="22"/>
        </w:rPr>
        <w:fldChar w:fldCharType="begin"/>
      </w:r>
      <w:r>
        <w:rPr>
          <w:rFonts w:ascii="Arial" w:hAnsi="Arial" w:cs="Arial"/>
          <w:sz w:val="22"/>
          <w:szCs w:val="22"/>
        </w:rPr>
        <w:instrText xml:space="preserve"> ADDIN ZOTERO_ITEM CSL_CITATION {"citationID":"WJrfIGYT","properties":{"formattedCitation":"(Rosenbaum &amp; Rubin, 1983, 1984)","plainCitation":"(Rosenbaum &amp; Rubin, 1983, 1984)","noteIndex":0},"citationItems":[{"id":1314,"uris":["http://zotero.org/users/10421297/items/4LEHK9UE"],"itemData":{"id":1314,"type":"article-journal","abstract":"The propensity score is the conditional probability of assignment to a particular treatment given a vector of observed covariates. Both large and small sample theory show that adjustment for the scalar propensity score is sufficient to remove bias due to all observed covariates. Applications include: (i) matched sampling on the univariate propensity score, which is a generalization of discriminant matching, (ii) multivariate adjustment by subclassification on the propensity score where the same subclasses are used to estimate treatment effects for all outcome variables and in all subpopulations, and (iii) visual representation of multivariate covariance adjustment by a two- dimensional plot.","container-title":"Biometrika","DOI":"10.1093/biomet/70.1.41","ISSN":"0006-3444","issue":"1","journalAbbreviation":"Biometrika","page":"41-55","source":"Silverchair","title":"The central role of the propensity score in observational studies for causal effects","volume":"70","author":[{"family":"Rosenbaum","given":"Paul R."},{"family":"Rubin","given":"Donald B."}],"issued":{"date-parts":[["1983",4,1]]}}},{"id":1317,"uris":["http://zotero.org/users/10421297/items/YQ9TA3V3"],"itemData":{"id":1317,"type":"article-journal","abstract":"The propensity score is the conditional probability of assignment to a particular treatment given a vector of observed covariates. Previous theoretical arguments have shown that subclassification on the propensity score will balance all observed covariates. Subclassification on an estimated propensity score is illustrated, using observational data on treatments for coronary artery disease. Five subclasses defined by the estimated propensity score are constructed that balance 74 covariates, and thereby provide estimates of treatment effects using direct adjustment. These subclasses are applied within sub-populations, and model-based adjustments are then used to provide estimates of treatment effects within these sub-populations. Two appendixes address theoretical issues related to the application: the effectiveness of subclassification on the propensity score in removing bias, and balancing properties of propensity scores with incomplete data.","container-title":"Journal of the American Statistical Association","DOI":"10.1080/01621459.1984.10478078","ISSN":"0162-1459","issue":"387","note":"publisher: Taylor &amp; Francis\n_eprint: https://www.tandfonline.com/doi/pdf/10.1080/01621459.1984.10478078","page":"516-524","source":"Taylor and Francis+NEJM","title":"Reducing Bias in Observational Studies Using Subclassification on the Propensity Score","volume":"79","author":[{"family":"Rosenbaum","given":"Paul R."},{"family":"Rubin","given":"Donald B."}],"issued":{"date-parts":[["1984",9,1]]}}}],"schema":"https://github.com/citation-style-language/schema/raw/master/csl-citation.json"} </w:instrText>
      </w:r>
      <w:r w:rsidRPr="00567FE8">
        <w:rPr>
          <w:rFonts w:ascii="Arial" w:hAnsi="Arial" w:cs="Arial"/>
          <w:sz w:val="22"/>
          <w:szCs w:val="22"/>
        </w:rPr>
        <w:fldChar w:fldCharType="separate"/>
      </w:r>
      <w:r>
        <w:rPr>
          <w:rFonts w:ascii="Arial" w:hAnsi="Arial" w:cs="Arial"/>
          <w:kern w:val="0"/>
          <w:sz w:val="22"/>
          <w:szCs w:val="22"/>
        </w:rPr>
        <w:t>(Rosenbaum &amp; Rubin, 1983, 1984)</w:t>
      </w:r>
      <w:r w:rsidRPr="00567FE8">
        <w:rPr>
          <w:rFonts w:ascii="Arial" w:hAnsi="Arial" w:cs="Arial"/>
          <w:sz w:val="22"/>
          <w:szCs w:val="22"/>
        </w:rPr>
        <w:fldChar w:fldCharType="end"/>
      </w:r>
      <w:r w:rsidRPr="00567FE8">
        <w:rPr>
          <w:rFonts w:ascii="Arial" w:hAnsi="Arial" w:cs="Arial"/>
          <w:sz w:val="22"/>
          <w:szCs w:val="22"/>
        </w:rPr>
        <w:t xml:space="preserve">, exact matching </w:t>
      </w:r>
      <w:r w:rsidRPr="00567FE8">
        <w:rPr>
          <w:rFonts w:ascii="Arial" w:hAnsi="Arial" w:cs="Arial"/>
          <w:sz w:val="22"/>
          <w:szCs w:val="22"/>
        </w:rPr>
        <w:fldChar w:fldCharType="begin"/>
      </w:r>
      <w:r w:rsidR="00880067">
        <w:rPr>
          <w:rFonts w:ascii="Arial" w:hAnsi="Arial" w:cs="Arial"/>
          <w:sz w:val="22"/>
          <w:szCs w:val="22"/>
        </w:rPr>
        <w:instrText xml:space="preserve"> ADDIN ZOTERO_ITEM CSL_CITATION {"citationID":"qDVddzdv","properties":{"formattedCitation":"(Ho et al., 2007)","plainCitation":"(Ho et al., 2007)","noteIndex":0},"citationItems":[{"id":1319,"uris":["http://zotero.org/users/10421297/items/2W9FFH2K"],"itemData":{"id":1319,"type":"article-journal","abstract":"Although published works rarely include causal estimates from more than a few model specifications, authors usually choose the presented estimates from numerous trial runs readers never see. Given the often large variation in estimates across choices of control variables, functional forms, and other modeling assumptions, how can researchers ensure that the few estimates presented are accurate or representative? How do readers know that publications are not merely demonstrations that it is possible to find a specification that fits the author's favorite hypothesis? And how do we evaluate or even define statistical properties like unbiasedness or mean squared error when no unique model or estimator even exists? Matching methods, which offer the promise of causal inference with fewer assumptions, constitute one possible way forward, but crucial results in this fast-growing methodological literature are often grossly misinterpreted. We explain how to avoid these misinterpretations and propose a unified approach that makes it possible for researchers to preprocess data with matching (such as with the easy-to-use software we offer) and then to apply the best parametric techniques they would have used anyway. This procedure makes parametric models produce more accurate and considerably less model-dependent causal inferences.","container-title":"Political Analysis","DOI":"10.1093/pan/mpl013","ISSN":"1047-1987, 1476-4989","issue":"3","language":"en","page":"199-236","source":"Cambridge University Press","title":"Matching as Nonparametric Preprocessing for Reducing Model Dependence in Parametric Causal Inference","volume":"15","author":[{"family":"Ho","given":"Daniel E."},{"family":"Imai","given":"Kosuke"},{"family":"King","given":"Gary"},{"family":"Stuart","given":"Elizabeth A."}],"issued":{"date-parts":[["2007",7]]}}}],"schema":"https://github.com/citation-style-language/schema/raw/master/csl-citation.json"} </w:instrText>
      </w:r>
      <w:r w:rsidRPr="00567FE8">
        <w:rPr>
          <w:rFonts w:ascii="Arial" w:hAnsi="Arial" w:cs="Arial"/>
          <w:sz w:val="22"/>
          <w:szCs w:val="22"/>
        </w:rPr>
        <w:fldChar w:fldCharType="separate"/>
      </w:r>
      <w:r w:rsidR="00880067">
        <w:rPr>
          <w:rFonts w:ascii="Arial" w:hAnsi="Arial" w:cs="Arial"/>
          <w:kern w:val="0"/>
          <w:sz w:val="22"/>
          <w:szCs w:val="22"/>
        </w:rPr>
        <w:t>(Ho et al., 2007)</w:t>
      </w:r>
      <w:r w:rsidRPr="00567FE8">
        <w:rPr>
          <w:rFonts w:ascii="Arial" w:hAnsi="Arial" w:cs="Arial"/>
          <w:sz w:val="22"/>
          <w:szCs w:val="22"/>
        </w:rPr>
        <w:fldChar w:fldCharType="end"/>
      </w:r>
      <w:r w:rsidRPr="00567FE8">
        <w:rPr>
          <w:rFonts w:ascii="Arial" w:hAnsi="Arial" w:cs="Arial"/>
          <w:sz w:val="22"/>
          <w:szCs w:val="22"/>
        </w:rPr>
        <w:t xml:space="preserve"> (i.e., on sex), optimal matching </w:t>
      </w:r>
      <w:r w:rsidRPr="00567FE8">
        <w:rPr>
          <w:rFonts w:ascii="Arial" w:hAnsi="Arial" w:cs="Arial"/>
          <w:sz w:val="22"/>
          <w:szCs w:val="22"/>
        </w:rPr>
        <w:fldChar w:fldCharType="begin"/>
      </w:r>
      <w:r>
        <w:rPr>
          <w:rFonts w:ascii="Arial" w:hAnsi="Arial" w:cs="Arial"/>
          <w:sz w:val="22"/>
          <w:szCs w:val="22"/>
        </w:rPr>
        <w:instrText xml:space="preserve"> ADDIN ZOTERO_ITEM CSL_CITATION {"citationID":"NPyWKQ6h","properties":{"formattedCitation":"(Gu &amp; Rosenbaum, 1993; Rosenbaum, 1989)","plainCitation":"(Gu &amp; Rosenbaum, 1993; Rosenbaum, 1989)","noteIndex":0},"citationItems":[{"id":1321,"uris":["http://zotero.org/users/10421297/items/VRUVH89K"],"itemData":{"id":1321,"type":"article-journal","abstract":"Matching is a common method of adjustment in observational studies. Currently, matched samples are constructed using greedy heuristics (or “stepwise” procedures) that produce, in general, suboptimal matchings. With respect to a particular criterion, a matched sample is suboptimal if it could be improved by changing the controls assigned to specific treated units, that is, if it could be improved with the data at hand. Here, optimal matched samples are obtained using network flow theory. In addition to providing optimal matched-pair samples, this approach yields optimal constructions for several statistical matching problems that have not been studied previously, including the construction of matched samples with multiple controls, with a variable number of controls, and the construction of balanced matched samples that combine features of pair matching and frequency matching. Computational efficiency is discussed. Extensive use is made of ideas from two essentially disjoint literatures, namely statistical matching in observational studies and graph algorithms for matching. The article contains brief reviews of both topics.","container-title":"Journal of the American Statistical Association","DOI":"10.1080/01621459.1989.10478868","ISSN":"0162-1459","issue":"408","note":"publisher: Taylor &amp; Francis\n_eprint: https://www.tandfonline.com/doi/pdf/10.1080/01621459.1989.10478868","page":"1024-1032","source":"Taylor and Francis+NEJM","title":"Optimal Matching for Observational Studies","volume":"84","author":[{"family":"Rosenbaum","given":"Paul R."}],"issued":{"date-parts":[["1989",12,1]]}}},{"id":1323,"uris":["http://zotero.org/users/10421297/items/LNJJ72UT"],"itemData":{"id":1323,"type":"article-journal","abstract":"A comparison and evaluation is made of recent proposals for multivariate matched sampling in observational studies, where the following three questions are answered: (1) Algorithms: In current statistical practice, matched samples are formed using “nearest available” matching, a greedy algorithm. Greedy matching does not minimize the total distance within matched pairs, though good algorithms exist for optimal matching that do minimize the total distance. How much better is optimal matching than greedy matching? We find that optimal matching is sometimes noticeably better than greedy matching in the sense of producing closely matched pairs, sometimes only marginally better, but it is no better than greedy matching in the sense of producing balanced matched samples. (2) Structures: In common practice, treated units are matched to one control, called pair matching or 1–1 matching, or treated units are matched to two controls, called 1–2 matching, and so on. It is known, however, that the optimal structure is a full matching in which a treated unit may have one or more controls or a control may have one or more treated units. Optimal 1 — k matching is compared to optimal full matching, finding that optimal full matching is often much better. (3) Distances: Matching involves defining a distance between covariate vectors, and several such distances exist. Three recent proposals are compared. Practical advice is summarized in a final section.","container-title":"Journal of Computational and Graphical Statistics","DOI":"10.1080/10618600.1993.10474623","ISSN":"1061-8600","issue":"4","note":"publisher: Taylor &amp; Francis\n_eprint: https://www.tandfonline.com/doi/pdf/10.1080/10618600.1993.10474623","page":"405-420","source":"Taylor and Francis+NEJM","title":"Comparison of Multivariate Matching Methods: Structures, Distances, and Algorithms","title-short":"Comparison of Multivariate Matching Methods","volume":"2","author":[{"family":"Gu","given":"Xing Sam"},{"family":"Rosenbaum","given":"Paul R."}],"issued":{"date-parts":[["1993",12,1]]}}}],"schema":"https://github.com/citation-style-language/schema/raw/master/csl-citation.json"} </w:instrText>
      </w:r>
      <w:r w:rsidRPr="00567FE8">
        <w:rPr>
          <w:rFonts w:ascii="Arial" w:hAnsi="Arial" w:cs="Arial"/>
          <w:sz w:val="22"/>
          <w:szCs w:val="22"/>
        </w:rPr>
        <w:fldChar w:fldCharType="separate"/>
      </w:r>
      <w:r>
        <w:rPr>
          <w:rFonts w:ascii="Arial" w:hAnsi="Arial" w:cs="Arial"/>
          <w:kern w:val="0"/>
          <w:sz w:val="22"/>
          <w:szCs w:val="22"/>
        </w:rPr>
        <w:t>(Gu &amp; Rosenbaum, 1993; Rosenbaum, 1989)</w:t>
      </w:r>
      <w:r w:rsidRPr="00567FE8">
        <w:rPr>
          <w:rFonts w:ascii="Arial" w:hAnsi="Arial" w:cs="Arial"/>
          <w:sz w:val="22"/>
          <w:szCs w:val="22"/>
        </w:rPr>
        <w:fldChar w:fldCharType="end"/>
      </w:r>
      <w:r>
        <w:rPr>
          <w:rFonts w:ascii="Arial" w:hAnsi="Arial" w:cs="Arial"/>
          <w:sz w:val="22"/>
          <w:szCs w:val="22"/>
        </w:rPr>
        <w:t xml:space="preserve">, and </w:t>
      </w:r>
      <w:r w:rsidRPr="00567FE8">
        <w:rPr>
          <w:rFonts w:ascii="Arial" w:hAnsi="Arial" w:cs="Arial"/>
          <w:sz w:val="22"/>
          <w:szCs w:val="22"/>
        </w:rPr>
        <w:t xml:space="preserve">genetic matching </w:t>
      </w:r>
      <w:r w:rsidRPr="00567FE8">
        <w:rPr>
          <w:rFonts w:ascii="Arial" w:hAnsi="Arial" w:cs="Arial"/>
          <w:sz w:val="22"/>
          <w:szCs w:val="22"/>
        </w:rPr>
        <w:fldChar w:fldCharType="begin"/>
      </w:r>
      <w:r>
        <w:rPr>
          <w:rFonts w:ascii="Arial" w:hAnsi="Arial" w:cs="Arial"/>
          <w:sz w:val="22"/>
          <w:szCs w:val="22"/>
        </w:rPr>
        <w:instrText xml:space="preserve"> ADDIN ZOTERO_ITEM CSL_CITATION {"citationID":"YGpcjy2M","properties":{"formattedCitation":"(Diamond &amp; Sekhon, 2013; Tsai &amp; Peace, 2011)","plainCitation":"(Diamond &amp; Sekhon, 2013; Tsai &amp; Peace, 2011)","noteIndex":0},"citationItems":[{"id":1325,"uris":["http://zotero.org/users/10421297/items/H5S5N4SH"],"itemData":{"id":1325,"type":"article-journal","abstract":"This paper presents genetic matching, a method of multivariate matching that uses an evolutionary search algorithm to determine the weight each covariate is given. Both propensity score matching and matching based on Mahalanobis distance are limiting cases of this method. The algorithm makes transparent certain issues that all matching methods must confront. We present simulation studies that show that the algorithm improves covariate balance and that it may reduce bias if the selection on observables assumption holds. We then present a reanalysis of a number of data sets in the LaLonde (1986) controversy.","container-title":"The Review of Economics and Statistics","ISSN":"0034-6535","issue":"3","note":"publisher: The MIT Press","page":"932-945","source":"JSTOR","title":"Genetic Matching for Estimating Causal Effects: A General Multivariate Matching Method for Achieving Balance in Observational Studies","title-short":"Genetic Matching for Estimating Causal Effects","volume":"95","author":[{"family":"Diamond","given":"Alexis"},{"family":"Sekhon","given":"Jasjeet S."}],"issued":{"date-parts":[["2013"]]}}},{"id":1327,"uris":["http://zotero.org/users/10421297/items/UHN6EJAX"],"itemData":{"id":1327,"type":"article-journal","container-title":"Proceedings of the International Conference on Bioinformatics and Computational Biology","title":"Genetic Matching: A Better Algorithm for Adjusting Covariate Imbalance for Statistical Data Analysis and Modeling","title-short":"Genetic Matching","URL":"https://digitalcommons.georgiasouthern.edu/biostat-facpubs/54","author":[{"family":"Tsai","given":"Kao-Tai"},{"family":"Peace","given":"Karl"}],"issued":{"date-parts":[["2011",1,1]]}}}],"schema":"https://github.com/citation-style-language/schema/raw/master/csl-citation.json"} </w:instrText>
      </w:r>
      <w:r w:rsidRPr="00567FE8">
        <w:rPr>
          <w:rFonts w:ascii="Arial" w:hAnsi="Arial" w:cs="Arial"/>
          <w:sz w:val="22"/>
          <w:szCs w:val="22"/>
        </w:rPr>
        <w:fldChar w:fldCharType="separate"/>
      </w:r>
      <w:r>
        <w:rPr>
          <w:rFonts w:ascii="Arial" w:hAnsi="Arial" w:cs="Arial"/>
          <w:kern w:val="0"/>
          <w:sz w:val="22"/>
          <w:szCs w:val="22"/>
        </w:rPr>
        <w:t xml:space="preserve">(Diamond &amp; </w:t>
      </w:r>
      <w:proofErr w:type="spellStart"/>
      <w:r>
        <w:rPr>
          <w:rFonts w:ascii="Arial" w:hAnsi="Arial" w:cs="Arial"/>
          <w:kern w:val="0"/>
          <w:sz w:val="22"/>
          <w:szCs w:val="22"/>
        </w:rPr>
        <w:t>Sekhon</w:t>
      </w:r>
      <w:proofErr w:type="spellEnd"/>
      <w:r>
        <w:rPr>
          <w:rFonts w:ascii="Arial" w:hAnsi="Arial" w:cs="Arial"/>
          <w:kern w:val="0"/>
          <w:sz w:val="22"/>
          <w:szCs w:val="22"/>
        </w:rPr>
        <w:t>, 2013; Tsai &amp; Peace, 2011)</w:t>
      </w:r>
      <w:r w:rsidRPr="00567FE8">
        <w:rPr>
          <w:rFonts w:ascii="Arial" w:hAnsi="Arial" w:cs="Arial"/>
          <w:sz w:val="22"/>
          <w:szCs w:val="22"/>
        </w:rPr>
        <w:fldChar w:fldCharType="end"/>
      </w:r>
      <w:r>
        <w:rPr>
          <w:rFonts w:ascii="Arial" w:hAnsi="Arial" w:cs="Arial"/>
          <w:sz w:val="22"/>
          <w:szCs w:val="22"/>
        </w:rPr>
        <w:t xml:space="preserve">. </w:t>
      </w:r>
      <w:r w:rsidRPr="00681F26">
        <w:rPr>
          <w:rFonts w:ascii="Arial" w:hAnsi="Arial" w:cs="Arial"/>
          <w:sz w:val="22"/>
          <w:szCs w:val="22"/>
        </w:rPr>
        <w:t xml:space="preserve">The chosen propensity score-based </w:t>
      </w:r>
      <w:r w:rsidRPr="00681F26">
        <w:rPr>
          <w:rFonts w:ascii="Arial" w:hAnsi="Arial" w:cs="Arial"/>
          <w:i/>
          <w:iCs/>
          <w:sz w:val="22"/>
          <w:szCs w:val="22"/>
        </w:rPr>
        <w:t>optimal matching</w:t>
      </w:r>
      <w:r w:rsidRPr="00681F26">
        <w:rPr>
          <w:rFonts w:ascii="Arial" w:hAnsi="Arial" w:cs="Arial"/>
          <w:sz w:val="22"/>
          <w:szCs w:val="22"/>
        </w:rPr>
        <w:t xml:space="preserve"> method (PS-</w:t>
      </w:r>
      <w:proofErr w:type="spellStart"/>
      <w:r w:rsidRPr="00681F26">
        <w:rPr>
          <w:rFonts w:ascii="Arial" w:hAnsi="Arial" w:cs="Arial"/>
          <w:sz w:val="22"/>
          <w:szCs w:val="22"/>
        </w:rPr>
        <w:t>Opt</w:t>
      </w:r>
      <w:proofErr w:type="spellEnd"/>
      <w:r w:rsidRPr="00681F26">
        <w:rPr>
          <w:rFonts w:ascii="Arial" w:hAnsi="Arial" w:cs="Arial"/>
          <w:sz w:val="22"/>
          <w:szCs w:val="22"/>
        </w:rPr>
        <w:t>)</w:t>
      </w:r>
      <w:r w:rsidRPr="230EC552">
        <w:rPr>
          <w:rFonts w:ascii="Arial" w:hAnsi="Arial" w:cs="Arial"/>
          <w:sz w:val="22"/>
          <w:szCs w:val="22"/>
        </w:rPr>
        <w:t xml:space="preserve"> </w:t>
      </w:r>
      <w:r w:rsidRPr="00681F26">
        <w:rPr>
          <w:rFonts w:ascii="Arial" w:hAnsi="Arial" w:cs="Arial"/>
          <w:sz w:val="22"/>
          <w:szCs w:val="22"/>
        </w:rPr>
        <w:t xml:space="preserve">exhibited the best performance compared to nearest neighbor (PS-NN), exact matching (PS-Ext) and genetic matching (PS-Gen; </w:t>
      </w:r>
      <w:r w:rsidRPr="00681F26">
        <w:rPr>
          <w:rFonts w:ascii="Arial" w:hAnsi="Arial" w:cs="Arial"/>
          <w:b/>
          <w:bCs/>
          <w:i/>
          <w:iCs/>
          <w:sz w:val="22"/>
          <w:szCs w:val="22"/>
        </w:rPr>
        <w:t>Table S3</w:t>
      </w:r>
      <w:r w:rsidRPr="00681F26">
        <w:rPr>
          <w:rFonts w:ascii="Arial" w:hAnsi="Arial" w:cs="Arial"/>
          <w:sz w:val="22"/>
          <w:szCs w:val="22"/>
        </w:rPr>
        <w:t>), and the variables these groups were matched on showed no significant group differences (</w:t>
      </w:r>
      <w:r w:rsidRPr="00681F26">
        <w:rPr>
          <w:rFonts w:ascii="Arial" w:hAnsi="Arial" w:cs="Arial"/>
          <w:b/>
          <w:bCs/>
          <w:i/>
          <w:iCs/>
          <w:sz w:val="22"/>
          <w:szCs w:val="22"/>
        </w:rPr>
        <w:t>Table S4</w:t>
      </w:r>
      <w:r w:rsidRPr="00681F26">
        <w:rPr>
          <w:rFonts w:ascii="Arial" w:hAnsi="Arial" w:cs="Arial"/>
          <w:sz w:val="22"/>
          <w:szCs w:val="22"/>
        </w:rPr>
        <w:t>).</w:t>
      </w:r>
    </w:p>
    <w:p w14:paraId="0C84B1F1" w14:textId="77777777" w:rsidR="00F23BD7" w:rsidRPr="00681F26" w:rsidRDefault="00F23BD7" w:rsidP="00F23BD7">
      <w:pPr>
        <w:jc w:val="both"/>
        <w:rPr>
          <w:rFonts w:ascii="Arial" w:hAnsi="Arial" w:cs="Arial"/>
          <w:sz w:val="22"/>
          <w:szCs w:val="22"/>
        </w:rPr>
      </w:pPr>
    </w:p>
    <w:p w14:paraId="59AB1183" w14:textId="77777777" w:rsidR="00F23BD7" w:rsidRPr="00681F26" w:rsidRDefault="00F23BD7" w:rsidP="00F23BD7">
      <w:pPr>
        <w:rPr>
          <w:rFonts w:ascii="Arial" w:hAnsi="Arial" w:cs="Arial"/>
          <w:b/>
          <w:bCs/>
          <w:sz w:val="20"/>
          <w:szCs w:val="20"/>
        </w:rPr>
      </w:pPr>
      <w:r w:rsidRPr="00681F26">
        <w:rPr>
          <w:rFonts w:ascii="Arial" w:hAnsi="Arial" w:cs="Arial"/>
          <w:b/>
          <w:bCs/>
          <w:sz w:val="20"/>
          <w:szCs w:val="20"/>
        </w:rPr>
        <w:t>Table S3. Diagnostics for matching methods under study.</w:t>
      </w:r>
    </w:p>
    <w:tbl>
      <w:tblPr>
        <w:tblStyle w:val="TableGrid"/>
        <w:tblW w:w="0" w:type="auto"/>
        <w:jc w:val="center"/>
        <w:tblLook w:val="04A0" w:firstRow="1" w:lastRow="0" w:firstColumn="1" w:lastColumn="0" w:noHBand="0" w:noVBand="1"/>
      </w:tblPr>
      <w:tblGrid>
        <w:gridCol w:w="1124"/>
        <w:gridCol w:w="1352"/>
        <w:gridCol w:w="1470"/>
        <w:gridCol w:w="1351"/>
        <w:gridCol w:w="1351"/>
        <w:gridCol w:w="1351"/>
        <w:gridCol w:w="1351"/>
      </w:tblGrid>
      <w:tr w:rsidR="00F23BD7" w:rsidRPr="00681F26" w14:paraId="479024CA" w14:textId="77777777" w:rsidTr="00AA05EB">
        <w:trPr>
          <w:jc w:val="center"/>
        </w:trPr>
        <w:tc>
          <w:tcPr>
            <w:tcW w:w="1124" w:type="dxa"/>
          </w:tcPr>
          <w:p w14:paraId="12CBB9D1" w14:textId="77777777" w:rsidR="00F23BD7" w:rsidRPr="00681F26" w:rsidRDefault="00F23BD7" w:rsidP="00AA05EB">
            <w:pPr>
              <w:rPr>
                <w:rFonts w:ascii="Arial" w:hAnsi="Arial" w:cs="Arial"/>
                <w:b/>
                <w:bCs/>
                <w:sz w:val="20"/>
                <w:szCs w:val="20"/>
              </w:rPr>
            </w:pPr>
          </w:p>
        </w:tc>
        <w:tc>
          <w:tcPr>
            <w:tcW w:w="4173" w:type="dxa"/>
            <w:gridSpan w:val="3"/>
          </w:tcPr>
          <w:p w14:paraId="2CA437A1" w14:textId="77777777" w:rsidR="00F23BD7" w:rsidRPr="00681F26" w:rsidRDefault="00F23BD7" w:rsidP="00AA05EB">
            <w:pPr>
              <w:jc w:val="center"/>
              <w:rPr>
                <w:rFonts w:ascii="Arial" w:hAnsi="Arial" w:cs="Arial"/>
                <w:b/>
                <w:bCs/>
                <w:sz w:val="20"/>
                <w:szCs w:val="20"/>
              </w:rPr>
            </w:pPr>
            <w:r w:rsidRPr="00681F26">
              <w:rPr>
                <w:rFonts w:ascii="Arial" w:hAnsi="Arial" w:cs="Arial"/>
                <w:b/>
                <w:bCs/>
                <w:sz w:val="20"/>
                <w:szCs w:val="20"/>
              </w:rPr>
              <w:t>State (N=311)</w:t>
            </w:r>
          </w:p>
        </w:tc>
        <w:tc>
          <w:tcPr>
            <w:tcW w:w="4053" w:type="dxa"/>
            <w:gridSpan w:val="3"/>
          </w:tcPr>
          <w:p w14:paraId="32F6F7E0" w14:textId="77777777" w:rsidR="00F23BD7" w:rsidRPr="00681F26" w:rsidRDefault="00F23BD7" w:rsidP="00AA05EB">
            <w:pPr>
              <w:jc w:val="center"/>
              <w:rPr>
                <w:rFonts w:ascii="Arial" w:hAnsi="Arial" w:cs="Arial"/>
                <w:b/>
                <w:bCs/>
                <w:sz w:val="20"/>
                <w:szCs w:val="20"/>
              </w:rPr>
            </w:pPr>
            <w:r w:rsidRPr="00681F26">
              <w:rPr>
                <w:rFonts w:ascii="Arial" w:hAnsi="Arial" w:cs="Arial"/>
                <w:b/>
                <w:bCs/>
                <w:sz w:val="20"/>
                <w:szCs w:val="20"/>
              </w:rPr>
              <w:t>Trait (N=265)</w:t>
            </w:r>
          </w:p>
        </w:tc>
      </w:tr>
      <w:tr w:rsidR="00F23BD7" w:rsidRPr="00681F26" w14:paraId="332B26DB" w14:textId="77777777" w:rsidTr="00AA05EB">
        <w:trPr>
          <w:jc w:val="center"/>
        </w:trPr>
        <w:tc>
          <w:tcPr>
            <w:tcW w:w="1124" w:type="dxa"/>
          </w:tcPr>
          <w:p w14:paraId="7FE0401B" w14:textId="77777777" w:rsidR="00F23BD7" w:rsidRPr="00681F26" w:rsidRDefault="00F23BD7" w:rsidP="00AA05EB">
            <w:pPr>
              <w:rPr>
                <w:rFonts w:ascii="Arial" w:hAnsi="Arial" w:cs="Arial"/>
                <w:b/>
                <w:bCs/>
                <w:sz w:val="20"/>
                <w:szCs w:val="20"/>
              </w:rPr>
            </w:pPr>
            <w:r w:rsidRPr="00681F26">
              <w:rPr>
                <w:rFonts w:ascii="Arial" w:hAnsi="Arial" w:cs="Arial"/>
                <w:b/>
                <w:bCs/>
                <w:sz w:val="20"/>
                <w:szCs w:val="20"/>
              </w:rPr>
              <w:t>Method</w:t>
            </w:r>
          </w:p>
        </w:tc>
        <w:tc>
          <w:tcPr>
            <w:tcW w:w="1352" w:type="dxa"/>
          </w:tcPr>
          <w:p w14:paraId="59084D22" w14:textId="77777777" w:rsidR="00F23BD7" w:rsidRPr="00681F26" w:rsidRDefault="00F23BD7" w:rsidP="00AA05EB">
            <w:pPr>
              <w:jc w:val="center"/>
              <w:rPr>
                <w:rFonts w:ascii="Arial" w:hAnsi="Arial" w:cs="Arial"/>
                <w:b/>
                <w:bCs/>
                <w:sz w:val="20"/>
                <w:szCs w:val="20"/>
              </w:rPr>
            </w:pPr>
            <w:r w:rsidRPr="00681F26">
              <w:rPr>
                <w:rFonts w:ascii="Arial" w:hAnsi="Arial" w:cs="Arial"/>
                <w:b/>
                <w:bCs/>
                <w:sz w:val="20"/>
                <w:szCs w:val="20"/>
              </w:rPr>
              <w:t>SMD</w:t>
            </w:r>
          </w:p>
        </w:tc>
        <w:tc>
          <w:tcPr>
            <w:tcW w:w="1470" w:type="dxa"/>
          </w:tcPr>
          <w:p w14:paraId="2E83FED3" w14:textId="77777777" w:rsidR="00F23BD7" w:rsidRPr="00681F26" w:rsidRDefault="00F23BD7" w:rsidP="00AA05EB">
            <w:pPr>
              <w:jc w:val="center"/>
              <w:rPr>
                <w:rFonts w:ascii="Arial" w:hAnsi="Arial" w:cs="Arial"/>
                <w:b/>
                <w:bCs/>
                <w:sz w:val="20"/>
                <w:szCs w:val="20"/>
              </w:rPr>
            </w:pPr>
            <w:r w:rsidRPr="00681F26">
              <w:rPr>
                <w:rFonts w:ascii="Arial" w:hAnsi="Arial" w:cs="Arial"/>
                <w:b/>
                <w:bCs/>
                <w:sz w:val="20"/>
                <w:szCs w:val="20"/>
              </w:rPr>
              <w:t>Var. Ratio</w:t>
            </w:r>
          </w:p>
        </w:tc>
        <w:tc>
          <w:tcPr>
            <w:tcW w:w="1351" w:type="dxa"/>
          </w:tcPr>
          <w:p w14:paraId="18D3A698" w14:textId="77777777" w:rsidR="00F23BD7" w:rsidRPr="00681F26" w:rsidRDefault="00F23BD7" w:rsidP="00AA05EB">
            <w:pPr>
              <w:jc w:val="center"/>
              <w:rPr>
                <w:rFonts w:ascii="Arial" w:hAnsi="Arial" w:cs="Arial"/>
                <w:b/>
                <w:bCs/>
                <w:sz w:val="20"/>
                <w:szCs w:val="20"/>
              </w:rPr>
            </w:pPr>
            <w:proofErr w:type="spellStart"/>
            <w:r w:rsidRPr="00681F26">
              <w:rPr>
                <w:rFonts w:ascii="Arial" w:hAnsi="Arial" w:cs="Arial"/>
                <w:b/>
                <w:bCs/>
                <w:sz w:val="20"/>
                <w:szCs w:val="20"/>
              </w:rPr>
              <w:t>eCDFs</w:t>
            </w:r>
            <w:proofErr w:type="spellEnd"/>
          </w:p>
        </w:tc>
        <w:tc>
          <w:tcPr>
            <w:tcW w:w="1351" w:type="dxa"/>
          </w:tcPr>
          <w:p w14:paraId="0AAAC2B4" w14:textId="77777777" w:rsidR="00F23BD7" w:rsidRPr="00681F26" w:rsidRDefault="00F23BD7" w:rsidP="00AA05EB">
            <w:pPr>
              <w:jc w:val="center"/>
              <w:rPr>
                <w:rFonts w:ascii="Arial" w:hAnsi="Arial" w:cs="Arial"/>
                <w:b/>
                <w:bCs/>
                <w:sz w:val="20"/>
                <w:szCs w:val="20"/>
              </w:rPr>
            </w:pPr>
            <w:r w:rsidRPr="00681F26">
              <w:rPr>
                <w:rFonts w:ascii="Arial" w:hAnsi="Arial" w:cs="Arial"/>
                <w:b/>
                <w:bCs/>
                <w:sz w:val="20"/>
                <w:szCs w:val="20"/>
              </w:rPr>
              <w:t>SMD</w:t>
            </w:r>
          </w:p>
        </w:tc>
        <w:tc>
          <w:tcPr>
            <w:tcW w:w="1351" w:type="dxa"/>
          </w:tcPr>
          <w:p w14:paraId="53FC30AE" w14:textId="77777777" w:rsidR="00F23BD7" w:rsidRPr="00681F26" w:rsidRDefault="00F23BD7" w:rsidP="00AA05EB">
            <w:pPr>
              <w:jc w:val="center"/>
              <w:rPr>
                <w:rFonts w:ascii="Arial" w:hAnsi="Arial" w:cs="Arial"/>
                <w:b/>
                <w:bCs/>
                <w:sz w:val="20"/>
                <w:szCs w:val="20"/>
              </w:rPr>
            </w:pPr>
            <w:r w:rsidRPr="00681F26">
              <w:rPr>
                <w:rFonts w:ascii="Arial" w:hAnsi="Arial" w:cs="Arial"/>
                <w:b/>
                <w:bCs/>
                <w:sz w:val="20"/>
                <w:szCs w:val="20"/>
              </w:rPr>
              <w:t>Var. Ratio</w:t>
            </w:r>
          </w:p>
        </w:tc>
        <w:tc>
          <w:tcPr>
            <w:tcW w:w="1351" w:type="dxa"/>
          </w:tcPr>
          <w:p w14:paraId="0CE47362" w14:textId="77777777" w:rsidR="00F23BD7" w:rsidRPr="00681F26" w:rsidRDefault="00F23BD7" w:rsidP="00AA05EB">
            <w:pPr>
              <w:jc w:val="center"/>
              <w:rPr>
                <w:rFonts w:ascii="Arial" w:hAnsi="Arial" w:cs="Arial"/>
                <w:b/>
                <w:bCs/>
                <w:sz w:val="20"/>
                <w:szCs w:val="20"/>
              </w:rPr>
            </w:pPr>
            <w:proofErr w:type="spellStart"/>
            <w:r w:rsidRPr="00681F26">
              <w:rPr>
                <w:rFonts w:ascii="Arial" w:hAnsi="Arial" w:cs="Arial"/>
                <w:b/>
                <w:bCs/>
                <w:sz w:val="20"/>
                <w:szCs w:val="20"/>
              </w:rPr>
              <w:t>eCDFs</w:t>
            </w:r>
            <w:proofErr w:type="spellEnd"/>
          </w:p>
        </w:tc>
      </w:tr>
      <w:tr w:rsidR="00F23BD7" w:rsidRPr="00681F26" w14:paraId="7D0A81B1" w14:textId="77777777" w:rsidTr="00AA05EB">
        <w:trPr>
          <w:jc w:val="center"/>
        </w:trPr>
        <w:tc>
          <w:tcPr>
            <w:tcW w:w="1124" w:type="dxa"/>
          </w:tcPr>
          <w:p w14:paraId="197E7880" w14:textId="77777777" w:rsidR="00F23BD7" w:rsidRPr="00681F26" w:rsidRDefault="00F23BD7" w:rsidP="00AA05EB">
            <w:pPr>
              <w:rPr>
                <w:rFonts w:ascii="Arial" w:hAnsi="Arial" w:cs="Arial"/>
                <w:b/>
                <w:bCs/>
                <w:sz w:val="20"/>
                <w:szCs w:val="20"/>
              </w:rPr>
            </w:pPr>
            <w:r w:rsidRPr="00681F26">
              <w:rPr>
                <w:rFonts w:ascii="Arial" w:hAnsi="Arial" w:cs="Arial"/>
                <w:b/>
                <w:bCs/>
                <w:sz w:val="20"/>
                <w:szCs w:val="20"/>
              </w:rPr>
              <w:t>Pre-matching</w:t>
            </w:r>
          </w:p>
        </w:tc>
        <w:tc>
          <w:tcPr>
            <w:tcW w:w="1352" w:type="dxa"/>
          </w:tcPr>
          <w:p w14:paraId="23E19148" w14:textId="77777777" w:rsidR="00F23BD7" w:rsidRPr="00681F26" w:rsidRDefault="00F23BD7" w:rsidP="00AA05EB">
            <w:pPr>
              <w:rPr>
                <w:rFonts w:ascii="Arial" w:hAnsi="Arial" w:cs="Arial"/>
                <w:sz w:val="20"/>
                <w:szCs w:val="20"/>
              </w:rPr>
            </w:pPr>
            <w:r w:rsidRPr="00681F26">
              <w:rPr>
                <w:rFonts w:ascii="Arial" w:hAnsi="Arial" w:cs="Arial"/>
                <w:sz w:val="20"/>
                <w:szCs w:val="20"/>
              </w:rPr>
              <w:t>1.1941</w:t>
            </w:r>
          </w:p>
        </w:tc>
        <w:tc>
          <w:tcPr>
            <w:tcW w:w="1470" w:type="dxa"/>
          </w:tcPr>
          <w:p w14:paraId="1F8F3546" w14:textId="77777777" w:rsidR="00F23BD7" w:rsidRPr="00681F26" w:rsidRDefault="00F23BD7" w:rsidP="00AA05EB">
            <w:pPr>
              <w:rPr>
                <w:rFonts w:ascii="Arial" w:hAnsi="Arial" w:cs="Arial"/>
                <w:sz w:val="20"/>
                <w:szCs w:val="20"/>
              </w:rPr>
            </w:pPr>
            <w:r w:rsidRPr="00681F26">
              <w:rPr>
                <w:rFonts w:ascii="Arial" w:hAnsi="Arial" w:cs="Arial"/>
                <w:sz w:val="20"/>
                <w:szCs w:val="20"/>
              </w:rPr>
              <w:t>15.9838</w:t>
            </w:r>
          </w:p>
        </w:tc>
        <w:tc>
          <w:tcPr>
            <w:tcW w:w="1351" w:type="dxa"/>
          </w:tcPr>
          <w:p w14:paraId="53FB8829" w14:textId="77777777" w:rsidR="00F23BD7" w:rsidRPr="00681F26" w:rsidRDefault="00F23BD7" w:rsidP="00AA05EB">
            <w:pPr>
              <w:rPr>
                <w:rFonts w:ascii="Arial" w:hAnsi="Arial" w:cs="Arial"/>
                <w:sz w:val="20"/>
                <w:szCs w:val="20"/>
              </w:rPr>
            </w:pPr>
            <w:r w:rsidRPr="00681F26">
              <w:rPr>
                <w:rFonts w:ascii="Arial" w:hAnsi="Arial" w:cs="Arial"/>
                <w:sz w:val="20"/>
                <w:szCs w:val="20"/>
              </w:rPr>
              <w:t>0.36</w:t>
            </w:r>
          </w:p>
        </w:tc>
        <w:tc>
          <w:tcPr>
            <w:tcW w:w="1351" w:type="dxa"/>
          </w:tcPr>
          <w:p w14:paraId="73A35C8A" w14:textId="77777777" w:rsidR="00F23BD7" w:rsidRPr="00681F26" w:rsidRDefault="00F23BD7" w:rsidP="00AA05EB">
            <w:pPr>
              <w:rPr>
                <w:rFonts w:ascii="Arial" w:hAnsi="Arial" w:cs="Arial"/>
                <w:sz w:val="20"/>
                <w:szCs w:val="20"/>
              </w:rPr>
            </w:pPr>
            <w:r w:rsidRPr="00681F26">
              <w:rPr>
                <w:rFonts w:ascii="Arial" w:hAnsi="Arial" w:cs="Arial"/>
                <w:sz w:val="20"/>
                <w:szCs w:val="20"/>
              </w:rPr>
              <w:t>0.8346</w:t>
            </w:r>
          </w:p>
        </w:tc>
        <w:tc>
          <w:tcPr>
            <w:tcW w:w="1351" w:type="dxa"/>
          </w:tcPr>
          <w:p w14:paraId="5D221D8E" w14:textId="77777777" w:rsidR="00F23BD7" w:rsidRPr="00681F26" w:rsidRDefault="00F23BD7" w:rsidP="00AA05EB">
            <w:pPr>
              <w:rPr>
                <w:rFonts w:ascii="Arial" w:hAnsi="Arial" w:cs="Arial"/>
                <w:sz w:val="20"/>
                <w:szCs w:val="20"/>
              </w:rPr>
            </w:pPr>
            <w:r w:rsidRPr="00681F26">
              <w:rPr>
                <w:rFonts w:ascii="Arial" w:hAnsi="Arial" w:cs="Arial"/>
                <w:sz w:val="20"/>
                <w:szCs w:val="20"/>
              </w:rPr>
              <w:t>2.1102</w:t>
            </w:r>
          </w:p>
        </w:tc>
        <w:tc>
          <w:tcPr>
            <w:tcW w:w="1351" w:type="dxa"/>
          </w:tcPr>
          <w:p w14:paraId="00D4C15B" w14:textId="77777777" w:rsidR="00F23BD7" w:rsidRPr="00681F26" w:rsidRDefault="00F23BD7" w:rsidP="00AA05EB">
            <w:pPr>
              <w:rPr>
                <w:rFonts w:ascii="Arial" w:hAnsi="Arial" w:cs="Arial"/>
                <w:sz w:val="20"/>
                <w:szCs w:val="20"/>
              </w:rPr>
            </w:pPr>
            <w:r w:rsidRPr="00681F26">
              <w:rPr>
                <w:rFonts w:ascii="Arial" w:hAnsi="Arial" w:cs="Arial"/>
                <w:sz w:val="20"/>
                <w:szCs w:val="20"/>
              </w:rPr>
              <w:t>0.2640</w:t>
            </w:r>
          </w:p>
        </w:tc>
      </w:tr>
      <w:tr w:rsidR="00F23BD7" w:rsidRPr="00681F26" w14:paraId="30B68502" w14:textId="77777777" w:rsidTr="00AA05EB">
        <w:trPr>
          <w:jc w:val="center"/>
        </w:trPr>
        <w:tc>
          <w:tcPr>
            <w:tcW w:w="1124" w:type="dxa"/>
          </w:tcPr>
          <w:p w14:paraId="171E6801" w14:textId="77777777" w:rsidR="00F23BD7" w:rsidRPr="00681F26" w:rsidRDefault="00F23BD7" w:rsidP="00AA05EB">
            <w:pPr>
              <w:rPr>
                <w:rFonts w:ascii="Arial" w:hAnsi="Arial" w:cs="Arial"/>
                <w:b/>
                <w:bCs/>
                <w:sz w:val="20"/>
                <w:szCs w:val="20"/>
              </w:rPr>
            </w:pPr>
            <w:r w:rsidRPr="00681F26">
              <w:rPr>
                <w:rFonts w:ascii="Arial" w:hAnsi="Arial" w:cs="Arial"/>
                <w:b/>
                <w:bCs/>
                <w:sz w:val="20"/>
                <w:szCs w:val="20"/>
              </w:rPr>
              <w:t>PS-NN</w:t>
            </w:r>
          </w:p>
        </w:tc>
        <w:tc>
          <w:tcPr>
            <w:tcW w:w="1352" w:type="dxa"/>
          </w:tcPr>
          <w:p w14:paraId="0488A13E" w14:textId="77777777" w:rsidR="00F23BD7" w:rsidRPr="00681F26" w:rsidRDefault="00F23BD7" w:rsidP="00AA05EB">
            <w:pPr>
              <w:rPr>
                <w:rFonts w:ascii="Arial" w:hAnsi="Arial" w:cs="Arial"/>
                <w:sz w:val="20"/>
                <w:szCs w:val="20"/>
              </w:rPr>
            </w:pPr>
            <w:r w:rsidRPr="00681F26">
              <w:rPr>
                <w:rFonts w:ascii="Arial" w:hAnsi="Arial" w:cs="Arial"/>
                <w:sz w:val="20"/>
                <w:szCs w:val="20"/>
              </w:rPr>
              <w:t>0.8380</w:t>
            </w:r>
          </w:p>
        </w:tc>
        <w:tc>
          <w:tcPr>
            <w:tcW w:w="1470" w:type="dxa"/>
          </w:tcPr>
          <w:p w14:paraId="089E87D1" w14:textId="77777777" w:rsidR="00F23BD7" w:rsidRPr="00681F26" w:rsidRDefault="00F23BD7" w:rsidP="00AA05EB">
            <w:pPr>
              <w:rPr>
                <w:rFonts w:ascii="Arial" w:hAnsi="Arial" w:cs="Arial"/>
                <w:sz w:val="20"/>
                <w:szCs w:val="20"/>
              </w:rPr>
            </w:pPr>
            <w:r w:rsidRPr="00681F26">
              <w:rPr>
                <w:rFonts w:ascii="Arial" w:hAnsi="Arial" w:cs="Arial"/>
                <w:sz w:val="20"/>
                <w:szCs w:val="20"/>
              </w:rPr>
              <w:t>12.2447</w:t>
            </w:r>
          </w:p>
        </w:tc>
        <w:tc>
          <w:tcPr>
            <w:tcW w:w="1351" w:type="dxa"/>
          </w:tcPr>
          <w:p w14:paraId="44CD0A8F" w14:textId="77777777" w:rsidR="00F23BD7" w:rsidRPr="00681F26" w:rsidRDefault="00F23BD7" w:rsidP="00AA05EB">
            <w:pPr>
              <w:rPr>
                <w:rFonts w:ascii="Arial" w:hAnsi="Arial" w:cs="Arial"/>
                <w:sz w:val="20"/>
                <w:szCs w:val="20"/>
              </w:rPr>
            </w:pPr>
            <w:r w:rsidRPr="00681F26">
              <w:rPr>
                <w:rFonts w:ascii="Arial" w:hAnsi="Arial" w:cs="Arial"/>
                <w:sz w:val="20"/>
                <w:szCs w:val="20"/>
              </w:rPr>
              <w:t>0.0728</w:t>
            </w:r>
          </w:p>
        </w:tc>
        <w:tc>
          <w:tcPr>
            <w:tcW w:w="1351" w:type="dxa"/>
          </w:tcPr>
          <w:p w14:paraId="091ADB2E" w14:textId="77777777" w:rsidR="00F23BD7" w:rsidRPr="00681F26" w:rsidRDefault="00F23BD7" w:rsidP="00AA05EB">
            <w:pPr>
              <w:rPr>
                <w:rFonts w:ascii="Arial" w:hAnsi="Arial" w:cs="Arial"/>
                <w:sz w:val="20"/>
                <w:szCs w:val="20"/>
              </w:rPr>
            </w:pPr>
            <w:r w:rsidRPr="00681F26">
              <w:rPr>
                <w:rFonts w:ascii="Arial" w:hAnsi="Arial" w:cs="Arial"/>
                <w:sz w:val="20"/>
                <w:szCs w:val="20"/>
              </w:rPr>
              <w:t>0.0245</w:t>
            </w:r>
          </w:p>
        </w:tc>
        <w:tc>
          <w:tcPr>
            <w:tcW w:w="1351" w:type="dxa"/>
          </w:tcPr>
          <w:p w14:paraId="66573545" w14:textId="77777777" w:rsidR="00F23BD7" w:rsidRPr="00681F26" w:rsidRDefault="00F23BD7" w:rsidP="00AA05EB">
            <w:pPr>
              <w:rPr>
                <w:rFonts w:ascii="Arial" w:hAnsi="Arial" w:cs="Arial"/>
                <w:sz w:val="20"/>
                <w:szCs w:val="20"/>
              </w:rPr>
            </w:pPr>
            <w:r w:rsidRPr="00681F26">
              <w:rPr>
                <w:rFonts w:ascii="Arial" w:hAnsi="Arial" w:cs="Arial"/>
                <w:sz w:val="20"/>
                <w:szCs w:val="20"/>
              </w:rPr>
              <w:t>1.0674</w:t>
            </w:r>
          </w:p>
        </w:tc>
        <w:tc>
          <w:tcPr>
            <w:tcW w:w="1351" w:type="dxa"/>
          </w:tcPr>
          <w:p w14:paraId="3AA395CC" w14:textId="77777777" w:rsidR="00F23BD7" w:rsidRPr="00681F26" w:rsidRDefault="00F23BD7" w:rsidP="00AA05EB">
            <w:pPr>
              <w:rPr>
                <w:rFonts w:ascii="Arial" w:hAnsi="Arial" w:cs="Arial"/>
                <w:sz w:val="20"/>
                <w:szCs w:val="20"/>
              </w:rPr>
            </w:pPr>
            <w:r w:rsidRPr="00681F26">
              <w:rPr>
                <w:rFonts w:ascii="Arial" w:hAnsi="Arial" w:cs="Arial"/>
                <w:sz w:val="20"/>
                <w:szCs w:val="20"/>
              </w:rPr>
              <w:t>0.0019</w:t>
            </w:r>
          </w:p>
        </w:tc>
      </w:tr>
      <w:tr w:rsidR="00F23BD7" w:rsidRPr="00681F26" w14:paraId="6ECA4AAD" w14:textId="77777777" w:rsidTr="00AA05EB">
        <w:trPr>
          <w:jc w:val="center"/>
        </w:trPr>
        <w:tc>
          <w:tcPr>
            <w:tcW w:w="1124" w:type="dxa"/>
          </w:tcPr>
          <w:p w14:paraId="651965A8" w14:textId="77777777" w:rsidR="00F23BD7" w:rsidRPr="00681F26" w:rsidRDefault="00F23BD7" w:rsidP="00AA05EB">
            <w:pPr>
              <w:rPr>
                <w:rFonts w:ascii="Arial" w:hAnsi="Arial" w:cs="Arial"/>
                <w:b/>
                <w:bCs/>
                <w:sz w:val="20"/>
                <w:szCs w:val="20"/>
              </w:rPr>
            </w:pPr>
            <w:r w:rsidRPr="00681F26">
              <w:rPr>
                <w:rFonts w:ascii="Arial" w:hAnsi="Arial" w:cs="Arial"/>
                <w:b/>
                <w:bCs/>
                <w:sz w:val="20"/>
                <w:szCs w:val="20"/>
              </w:rPr>
              <w:t>PS-Ext (sex)</w:t>
            </w:r>
          </w:p>
        </w:tc>
        <w:tc>
          <w:tcPr>
            <w:tcW w:w="1352" w:type="dxa"/>
          </w:tcPr>
          <w:p w14:paraId="1A5DC642" w14:textId="77777777" w:rsidR="00F23BD7" w:rsidRPr="00681F26" w:rsidRDefault="00F23BD7" w:rsidP="00AA05EB">
            <w:pPr>
              <w:rPr>
                <w:rFonts w:ascii="Arial" w:hAnsi="Arial" w:cs="Arial"/>
                <w:sz w:val="20"/>
                <w:szCs w:val="20"/>
              </w:rPr>
            </w:pPr>
            <w:r w:rsidRPr="00681F26">
              <w:rPr>
                <w:rFonts w:ascii="Arial" w:hAnsi="Arial" w:cs="Arial"/>
                <w:sz w:val="20"/>
                <w:szCs w:val="20"/>
              </w:rPr>
              <w:t>0.8436</w:t>
            </w:r>
          </w:p>
        </w:tc>
        <w:tc>
          <w:tcPr>
            <w:tcW w:w="1470" w:type="dxa"/>
          </w:tcPr>
          <w:p w14:paraId="1A8B9EDB" w14:textId="77777777" w:rsidR="00F23BD7" w:rsidRPr="00681F26" w:rsidRDefault="00F23BD7" w:rsidP="00AA05EB">
            <w:pPr>
              <w:rPr>
                <w:rFonts w:ascii="Arial" w:hAnsi="Arial" w:cs="Arial"/>
                <w:sz w:val="20"/>
                <w:szCs w:val="20"/>
              </w:rPr>
            </w:pPr>
            <w:r w:rsidRPr="00681F26">
              <w:rPr>
                <w:rFonts w:ascii="Arial" w:hAnsi="Arial" w:cs="Arial"/>
                <w:sz w:val="20"/>
                <w:szCs w:val="20"/>
              </w:rPr>
              <w:t>12.1958</w:t>
            </w:r>
          </w:p>
        </w:tc>
        <w:tc>
          <w:tcPr>
            <w:tcW w:w="1351" w:type="dxa"/>
          </w:tcPr>
          <w:p w14:paraId="7959F8F8" w14:textId="77777777" w:rsidR="00F23BD7" w:rsidRPr="00681F26" w:rsidRDefault="00F23BD7" w:rsidP="00AA05EB">
            <w:pPr>
              <w:rPr>
                <w:rFonts w:ascii="Arial" w:hAnsi="Arial" w:cs="Arial"/>
                <w:sz w:val="20"/>
                <w:szCs w:val="20"/>
              </w:rPr>
            </w:pPr>
            <w:r w:rsidRPr="00681F26">
              <w:rPr>
                <w:rFonts w:ascii="Arial" w:hAnsi="Arial" w:cs="Arial"/>
                <w:sz w:val="20"/>
                <w:szCs w:val="20"/>
              </w:rPr>
              <w:t>0.0753</w:t>
            </w:r>
          </w:p>
        </w:tc>
        <w:tc>
          <w:tcPr>
            <w:tcW w:w="1351" w:type="dxa"/>
          </w:tcPr>
          <w:p w14:paraId="0BB131E4" w14:textId="77777777" w:rsidR="00F23BD7" w:rsidRPr="00681F26" w:rsidRDefault="00F23BD7" w:rsidP="00AA05EB">
            <w:pPr>
              <w:rPr>
                <w:rFonts w:ascii="Arial" w:hAnsi="Arial" w:cs="Arial"/>
                <w:sz w:val="20"/>
                <w:szCs w:val="20"/>
              </w:rPr>
            </w:pPr>
            <w:r w:rsidRPr="00681F26">
              <w:rPr>
                <w:rFonts w:ascii="Arial" w:hAnsi="Arial" w:cs="Arial"/>
                <w:sz w:val="20"/>
                <w:szCs w:val="20"/>
              </w:rPr>
              <w:t>0.0357</w:t>
            </w:r>
          </w:p>
        </w:tc>
        <w:tc>
          <w:tcPr>
            <w:tcW w:w="1351" w:type="dxa"/>
          </w:tcPr>
          <w:p w14:paraId="27D3AB9B" w14:textId="77777777" w:rsidR="00F23BD7" w:rsidRPr="00681F26" w:rsidRDefault="00F23BD7" w:rsidP="00AA05EB">
            <w:pPr>
              <w:rPr>
                <w:rFonts w:ascii="Arial" w:hAnsi="Arial" w:cs="Arial"/>
                <w:sz w:val="20"/>
                <w:szCs w:val="20"/>
              </w:rPr>
            </w:pPr>
            <w:r w:rsidRPr="00681F26">
              <w:rPr>
                <w:rFonts w:ascii="Arial" w:hAnsi="Arial" w:cs="Arial"/>
                <w:sz w:val="20"/>
                <w:szCs w:val="20"/>
              </w:rPr>
              <w:t>1.0913</w:t>
            </w:r>
          </w:p>
        </w:tc>
        <w:tc>
          <w:tcPr>
            <w:tcW w:w="1351" w:type="dxa"/>
          </w:tcPr>
          <w:p w14:paraId="7E6B207D" w14:textId="77777777" w:rsidR="00F23BD7" w:rsidRPr="00681F26" w:rsidRDefault="00F23BD7" w:rsidP="00AA05EB">
            <w:pPr>
              <w:rPr>
                <w:rFonts w:ascii="Arial" w:hAnsi="Arial" w:cs="Arial"/>
                <w:sz w:val="20"/>
                <w:szCs w:val="20"/>
              </w:rPr>
            </w:pPr>
            <w:r w:rsidRPr="00681F26">
              <w:rPr>
                <w:rFonts w:ascii="Arial" w:hAnsi="Arial" w:cs="Arial"/>
                <w:sz w:val="20"/>
                <w:szCs w:val="20"/>
              </w:rPr>
              <w:t>0.0032</w:t>
            </w:r>
          </w:p>
        </w:tc>
      </w:tr>
      <w:tr w:rsidR="00F23BD7" w:rsidRPr="00681F26" w14:paraId="7C9DB921" w14:textId="77777777" w:rsidTr="00AA05EB">
        <w:trPr>
          <w:jc w:val="center"/>
        </w:trPr>
        <w:tc>
          <w:tcPr>
            <w:tcW w:w="1124" w:type="dxa"/>
            <w:shd w:val="clear" w:color="auto" w:fill="808080" w:themeFill="background1" w:themeFillShade="80"/>
          </w:tcPr>
          <w:p w14:paraId="619FC502" w14:textId="77777777" w:rsidR="00F23BD7" w:rsidRPr="00307E1A" w:rsidRDefault="00F23BD7" w:rsidP="00AA05EB">
            <w:pPr>
              <w:rPr>
                <w:rFonts w:ascii="Arial" w:hAnsi="Arial" w:cs="Arial"/>
                <w:b/>
                <w:bCs/>
                <w:color w:val="FFFFFF" w:themeColor="background1"/>
                <w:sz w:val="20"/>
                <w:szCs w:val="20"/>
              </w:rPr>
            </w:pPr>
            <w:r w:rsidRPr="00307E1A">
              <w:rPr>
                <w:rFonts w:ascii="Arial" w:hAnsi="Arial" w:cs="Arial"/>
                <w:b/>
                <w:bCs/>
                <w:color w:val="FFFFFF" w:themeColor="background1"/>
                <w:sz w:val="20"/>
                <w:szCs w:val="20"/>
              </w:rPr>
              <w:t>PS-</w:t>
            </w:r>
            <w:proofErr w:type="spellStart"/>
            <w:r w:rsidRPr="00307E1A">
              <w:rPr>
                <w:rFonts w:ascii="Arial" w:hAnsi="Arial" w:cs="Arial"/>
                <w:b/>
                <w:bCs/>
                <w:color w:val="FFFFFF" w:themeColor="background1"/>
                <w:sz w:val="20"/>
                <w:szCs w:val="20"/>
              </w:rPr>
              <w:t>Opt</w:t>
            </w:r>
            <w:proofErr w:type="spellEnd"/>
          </w:p>
        </w:tc>
        <w:tc>
          <w:tcPr>
            <w:tcW w:w="1352" w:type="dxa"/>
            <w:shd w:val="clear" w:color="auto" w:fill="808080" w:themeFill="background1" w:themeFillShade="80"/>
          </w:tcPr>
          <w:p w14:paraId="4955C8CD" w14:textId="77777777" w:rsidR="00F23BD7" w:rsidRPr="00307E1A" w:rsidRDefault="00F23BD7" w:rsidP="00AA05EB">
            <w:pPr>
              <w:rPr>
                <w:rFonts w:ascii="Arial" w:hAnsi="Arial" w:cs="Arial"/>
                <w:b/>
                <w:bCs/>
                <w:color w:val="FFFFFF" w:themeColor="background1"/>
                <w:sz w:val="20"/>
                <w:szCs w:val="20"/>
              </w:rPr>
            </w:pPr>
            <w:r w:rsidRPr="00307E1A">
              <w:rPr>
                <w:rFonts w:ascii="Arial" w:hAnsi="Arial" w:cs="Arial"/>
                <w:b/>
                <w:bCs/>
                <w:color w:val="FFFFFF" w:themeColor="background1"/>
                <w:sz w:val="20"/>
                <w:szCs w:val="20"/>
              </w:rPr>
              <w:t>0.8377</w:t>
            </w:r>
          </w:p>
        </w:tc>
        <w:tc>
          <w:tcPr>
            <w:tcW w:w="1470" w:type="dxa"/>
            <w:shd w:val="clear" w:color="auto" w:fill="808080" w:themeFill="background1" w:themeFillShade="80"/>
          </w:tcPr>
          <w:p w14:paraId="7B052999" w14:textId="77777777" w:rsidR="00F23BD7" w:rsidRPr="00307E1A" w:rsidRDefault="00F23BD7" w:rsidP="00AA05EB">
            <w:pPr>
              <w:rPr>
                <w:rFonts w:ascii="Arial" w:hAnsi="Arial" w:cs="Arial"/>
                <w:b/>
                <w:bCs/>
                <w:color w:val="FFFFFF" w:themeColor="background1"/>
                <w:sz w:val="20"/>
                <w:szCs w:val="20"/>
              </w:rPr>
            </w:pPr>
            <w:r w:rsidRPr="00307E1A">
              <w:rPr>
                <w:rFonts w:ascii="Arial" w:hAnsi="Arial" w:cs="Arial"/>
                <w:b/>
                <w:bCs/>
                <w:color w:val="FFFFFF" w:themeColor="background1"/>
                <w:sz w:val="20"/>
                <w:szCs w:val="20"/>
              </w:rPr>
              <w:t>12.2626</w:t>
            </w:r>
          </w:p>
        </w:tc>
        <w:tc>
          <w:tcPr>
            <w:tcW w:w="1351" w:type="dxa"/>
            <w:shd w:val="clear" w:color="auto" w:fill="808080" w:themeFill="background1" w:themeFillShade="80"/>
          </w:tcPr>
          <w:p w14:paraId="1019DD94" w14:textId="77777777" w:rsidR="00F23BD7" w:rsidRPr="00307E1A" w:rsidRDefault="00F23BD7" w:rsidP="00AA05EB">
            <w:pPr>
              <w:rPr>
                <w:rFonts w:ascii="Arial" w:hAnsi="Arial" w:cs="Arial"/>
                <w:b/>
                <w:bCs/>
                <w:color w:val="FFFFFF" w:themeColor="background1"/>
                <w:sz w:val="20"/>
                <w:szCs w:val="20"/>
              </w:rPr>
            </w:pPr>
            <w:r w:rsidRPr="00307E1A">
              <w:rPr>
                <w:rFonts w:ascii="Arial" w:hAnsi="Arial" w:cs="Arial"/>
                <w:b/>
                <w:bCs/>
                <w:color w:val="FFFFFF" w:themeColor="background1"/>
                <w:sz w:val="20"/>
                <w:szCs w:val="20"/>
              </w:rPr>
              <w:t>0.0728</w:t>
            </w:r>
          </w:p>
        </w:tc>
        <w:tc>
          <w:tcPr>
            <w:tcW w:w="1351" w:type="dxa"/>
            <w:shd w:val="clear" w:color="auto" w:fill="808080" w:themeFill="background1" w:themeFillShade="80"/>
          </w:tcPr>
          <w:p w14:paraId="4B562825" w14:textId="77777777" w:rsidR="00F23BD7" w:rsidRPr="00307E1A" w:rsidRDefault="00F23BD7" w:rsidP="00AA05EB">
            <w:pPr>
              <w:rPr>
                <w:rFonts w:ascii="Arial" w:hAnsi="Arial" w:cs="Arial"/>
                <w:b/>
                <w:bCs/>
                <w:color w:val="FFFFFF" w:themeColor="background1"/>
                <w:sz w:val="20"/>
                <w:szCs w:val="20"/>
              </w:rPr>
            </w:pPr>
            <w:r w:rsidRPr="00307E1A">
              <w:rPr>
                <w:rFonts w:ascii="Arial" w:hAnsi="Arial" w:cs="Arial"/>
                <w:b/>
                <w:bCs/>
                <w:color w:val="FFFFFF" w:themeColor="background1"/>
                <w:sz w:val="20"/>
                <w:szCs w:val="20"/>
              </w:rPr>
              <w:t>0.0095</w:t>
            </w:r>
          </w:p>
        </w:tc>
        <w:tc>
          <w:tcPr>
            <w:tcW w:w="1351" w:type="dxa"/>
            <w:shd w:val="clear" w:color="auto" w:fill="808080" w:themeFill="background1" w:themeFillShade="80"/>
          </w:tcPr>
          <w:p w14:paraId="434EE1D1" w14:textId="77777777" w:rsidR="00F23BD7" w:rsidRPr="00307E1A" w:rsidRDefault="00F23BD7" w:rsidP="00AA05EB">
            <w:pPr>
              <w:rPr>
                <w:rFonts w:ascii="Arial" w:hAnsi="Arial" w:cs="Arial"/>
                <w:b/>
                <w:bCs/>
                <w:color w:val="FFFFFF" w:themeColor="background1"/>
                <w:sz w:val="20"/>
                <w:szCs w:val="20"/>
              </w:rPr>
            </w:pPr>
            <w:r w:rsidRPr="00307E1A">
              <w:rPr>
                <w:rFonts w:ascii="Arial" w:hAnsi="Arial" w:cs="Arial"/>
                <w:b/>
                <w:bCs/>
                <w:color w:val="FFFFFF" w:themeColor="background1"/>
                <w:sz w:val="20"/>
                <w:szCs w:val="20"/>
              </w:rPr>
              <w:t>1.</w:t>
            </w:r>
            <w:r w:rsidRPr="00307E1A" w:rsidDel="00EC1275">
              <w:rPr>
                <w:rFonts w:ascii="Arial" w:hAnsi="Arial" w:cs="Arial"/>
                <w:b/>
                <w:bCs/>
                <w:color w:val="FFFFFF" w:themeColor="background1"/>
                <w:sz w:val="20"/>
                <w:szCs w:val="20"/>
              </w:rPr>
              <w:t xml:space="preserve"> </w:t>
            </w:r>
            <w:r w:rsidRPr="00307E1A">
              <w:rPr>
                <w:rFonts w:ascii="Arial" w:hAnsi="Arial" w:cs="Arial"/>
                <w:b/>
                <w:bCs/>
                <w:color w:val="FFFFFF" w:themeColor="background1"/>
                <w:sz w:val="20"/>
                <w:szCs w:val="20"/>
              </w:rPr>
              <w:t>0315</w:t>
            </w:r>
          </w:p>
        </w:tc>
        <w:tc>
          <w:tcPr>
            <w:tcW w:w="1351" w:type="dxa"/>
            <w:shd w:val="clear" w:color="auto" w:fill="808080" w:themeFill="background1" w:themeFillShade="80"/>
          </w:tcPr>
          <w:p w14:paraId="4439E89D" w14:textId="77777777" w:rsidR="00F23BD7" w:rsidRPr="00307E1A" w:rsidRDefault="00F23BD7" w:rsidP="00AA05EB">
            <w:pPr>
              <w:rPr>
                <w:rFonts w:ascii="Arial" w:hAnsi="Arial" w:cs="Arial"/>
                <w:b/>
                <w:bCs/>
                <w:color w:val="FFFFFF" w:themeColor="background1"/>
                <w:sz w:val="20"/>
                <w:szCs w:val="20"/>
              </w:rPr>
            </w:pPr>
            <w:r w:rsidRPr="00307E1A">
              <w:rPr>
                <w:rFonts w:ascii="Arial" w:hAnsi="Arial" w:cs="Arial"/>
                <w:b/>
                <w:bCs/>
                <w:color w:val="FFFFFF" w:themeColor="background1"/>
                <w:sz w:val="20"/>
                <w:szCs w:val="20"/>
              </w:rPr>
              <w:t>0.0011</w:t>
            </w:r>
          </w:p>
        </w:tc>
      </w:tr>
      <w:tr w:rsidR="00F23BD7" w:rsidRPr="00681F26" w14:paraId="4EAED3C9" w14:textId="77777777" w:rsidTr="00AA05EB">
        <w:trPr>
          <w:jc w:val="center"/>
        </w:trPr>
        <w:tc>
          <w:tcPr>
            <w:tcW w:w="1124" w:type="dxa"/>
          </w:tcPr>
          <w:p w14:paraId="49D42EFC" w14:textId="77777777" w:rsidR="00F23BD7" w:rsidRPr="00681F26" w:rsidRDefault="00F23BD7" w:rsidP="00AA05EB">
            <w:pPr>
              <w:rPr>
                <w:rFonts w:ascii="Arial" w:hAnsi="Arial" w:cs="Arial"/>
                <w:b/>
                <w:bCs/>
                <w:sz w:val="20"/>
                <w:szCs w:val="20"/>
              </w:rPr>
            </w:pPr>
            <w:r w:rsidRPr="00681F26">
              <w:rPr>
                <w:rFonts w:ascii="Arial" w:hAnsi="Arial" w:cs="Arial"/>
                <w:b/>
                <w:bCs/>
                <w:sz w:val="20"/>
                <w:szCs w:val="20"/>
              </w:rPr>
              <w:t>PS-Gen</w:t>
            </w:r>
          </w:p>
        </w:tc>
        <w:tc>
          <w:tcPr>
            <w:tcW w:w="1352" w:type="dxa"/>
          </w:tcPr>
          <w:p w14:paraId="6C1B4718" w14:textId="77777777" w:rsidR="00F23BD7" w:rsidRPr="00681F26" w:rsidRDefault="00F23BD7" w:rsidP="00AA05EB">
            <w:pPr>
              <w:rPr>
                <w:rFonts w:ascii="Arial" w:hAnsi="Arial" w:cs="Arial"/>
                <w:sz w:val="20"/>
                <w:szCs w:val="20"/>
              </w:rPr>
            </w:pPr>
            <w:r w:rsidRPr="00681F26">
              <w:rPr>
                <w:rFonts w:ascii="Arial" w:hAnsi="Arial" w:cs="Arial"/>
                <w:sz w:val="20"/>
                <w:szCs w:val="20"/>
              </w:rPr>
              <w:t>0.8768</w:t>
            </w:r>
          </w:p>
        </w:tc>
        <w:tc>
          <w:tcPr>
            <w:tcW w:w="1470" w:type="dxa"/>
          </w:tcPr>
          <w:p w14:paraId="6D8363D8" w14:textId="77777777" w:rsidR="00F23BD7" w:rsidRPr="00681F26" w:rsidRDefault="00F23BD7" w:rsidP="00AA05EB">
            <w:pPr>
              <w:rPr>
                <w:rFonts w:ascii="Arial" w:hAnsi="Arial" w:cs="Arial"/>
                <w:sz w:val="20"/>
                <w:szCs w:val="20"/>
              </w:rPr>
            </w:pPr>
            <w:r w:rsidRPr="00681F26">
              <w:rPr>
                <w:rFonts w:ascii="Arial" w:hAnsi="Arial" w:cs="Arial"/>
                <w:sz w:val="20"/>
                <w:szCs w:val="20"/>
              </w:rPr>
              <w:t>11.0043</w:t>
            </w:r>
          </w:p>
        </w:tc>
        <w:tc>
          <w:tcPr>
            <w:tcW w:w="1351" w:type="dxa"/>
          </w:tcPr>
          <w:p w14:paraId="649A4689" w14:textId="77777777" w:rsidR="00F23BD7" w:rsidRPr="00681F26" w:rsidRDefault="00F23BD7" w:rsidP="00AA05EB">
            <w:pPr>
              <w:rPr>
                <w:rFonts w:ascii="Arial" w:hAnsi="Arial" w:cs="Arial"/>
                <w:sz w:val="20"/>
                <w:szCs w:val="20"/>
              </w:rPr>
            </w:pPr>
            <w:r w:rsidRPr="00681F26">
              <w:rPr>
                <w:rFonts w:ascii="Arial" w:hAnsi="Arial" w:cs="Arial"/>
                <w:sz w:val="20"/>
                <w:szCs w:val="20"/>
              </w:rPr>
              <w:t>0.0970</w:t>
            </w:r>
          </w:p>
        </w:tc>
        <w:tc>
          <w:tcPr>
            <w:tcW w:w="1351" w:type="dxa"/>
          </w:tcPr>
          <w:p w14:paraId="0D90D35C" w14:textId="77777777" w:rsidR="00F23BD7" w:rsidRPr="00681F26" w:rsidRDefault="00F23BD7" w:rsidP="00AA05EB">
            <w:pPr>
              <w:rPr>
                <w:rFonts w:ascii="Arial" w:hAnsi="Arial" w:cs="Arial"/>
                <w:sz w:val="20"/>
                <w:szCs w:val="20"/>
              </w:rPr>
            </w:pPr>
            <w:r w:rsidRPr="00681F26">
              <w:rPr>
                <w:rFonts w:ascii="Arial" w:hAnsi="Arial" w:cs="Arial"/>
                <w:sz w:val="20"/>
                <w:szCs w:val="20"/>
              </w:rPr>
              <w:t>0.0424</w:t>
            </w:r>
          </w:p>
        </w:tc>
        <w:tc>
          <w:tcPr>
            <w:tcW w:w="1351" w:type="dxa"/>
          </w:tcPr>
          <w:p w14:paraId="08091EE2" w14:textId="77777777" w:rsidR="00F23BD7" w:rsidRPr="00681F26" w:rsidRDefault="00F23BD7" w:rsidP="00AA05EB">
            <w:pPr>
              <w:rPr>
                <w:rFonts w:ascii="Arial" w:hAnsi="Arial" w:cs="Arial"/>
                <w:sz w:val="20"/>
                <w:szCs w:val="20"/>
              </w:rPr>
            </w:pPr>
            <w:r w:rsidRPr="00681F26">
              <w:rPr>
                <w:rFonts w:ascii="Arial" w:hAnsi="Arial" w:cs="Arial"/>
                <w:sz w:val="20"/>
                <w:szCs w:val="20"/>
              </w:rPr>
              <w:t>1.09218</w:t>
            </w:r>
          </w:p>
        </w:tc>
        <w:tc>
          <w:tcPr>
            <w:tcW w:w="1351" w:type="dxa"/>
          </w:tcPr>
          <w:p w14:paraId="60F268E4" w14:textId="77777777" w:rsidR="00F23BD7" w:rsidRPr="00681F26" w:rsidRDefault="00F23BD7" w:rsidP="00AA05EB">
            <w:pPr>
              <w:rPr>
                <w:rFonts w:ascii="Arial" w:hAnsi="Arial" w:cs="Arial"/>
                <w:sz w:val="20"/>
                <w:szCs w:val="20"/>
              </w:rPr>
            </w:pPr>
            <w:r w:rsidRPr="00681F26">
              <w:rPr>
                <w:rFonts w:ascii="Arial" w:hAnsi="Arial" w:cs="Arial"/>
                <w:sz w:val="20"/>
                <w:szCs w:val="20"/>
              </w:rPr>
              <w:t>0.0076</w:t>
            </w:r>
          </w:p>
        </w:tc>
      </w:tr>
    </w:tbl>
    <w:p w14:paraId="23FFA182" w14:textId="77777777" w:rsidR="00F23BD7" w:rsidRPr="00681F26" w:rsidRDefault="00F23BD7" w:rsidP="00F23BD7">
      <w:pPr>
        <w:ind w:left="720" w:hanging="720"/>
        <w:rPr>
          <w:rFonts w:ascii="Arial" w:hAnsi="Arial" w:cs="Arial"/>
          <w:sz w:val="6"/>
          <w:szCs w:val="6"/>
        </w:rPr>
      </w:pPr>
    </w:p>
    <w:p w14:paraId="20E3C9C0" w14:textId="77777777" w:rsidR="00F23BD7" w:rsidRPr="00681F26" w:rsidRDefault="00F23BD7" w:rsidP="00F23BD7">
      <w:pPr>
        <w:ind w:left="720" w:hanging="720"/>
        <w:rPr>
          <w:rFonts w:ascii="Arial" w:hAnsi="Arial" w:cs="Arial"/>
          <w:sz w:val="18"/>
          <w:szCs w:val="18"/>
        </w:rPr>
      </w:pPr>
      <w:r w:rsidRPr="00681F26">
        <w:rPr>
          <w:rFonts w:ascii="Arial" w:hAnsi="Arial" w:cs="Arial"/>
          <w:sz w:val="18"/>
          <w:szCs w:val="18"/>
        </w:rPr>
        <w:t>SMD = Standardized Mean Difference</w:t>
      </w:r>
    </w:p>
    <w:p w14:paraId="5DBF9634" w14:textId="77777777" w:rsidR="00F23BD7" w:rsidRPr="00681F26" w:rsidRDefault="00F23BD7" w:rsidP="00F23BD7">
      <w:pPr>
        <w:ind w:left="720" w:hanging="720"/>
        <w:rPr>
          <w:rFonts w:ascii="Arial" w:hAnsi="Arial" w:cs="Arial"/>
          <w:sz w:val="18"/>
          <w:szCs w:val="18"/>
        </w:rPr>
      </w:pPr>
      <w:r w:rsidRPr="00681F26">
        <w:rPr>
          <w:rFonts w:ascii="Arial" w:hAnsi="Arial" w:cs="Arial"/>
          <w:sz w:val="18"/>
          <w:szCs w:val="18"/>
        </w:rPr>
        <w:t>Var. Ratio = Variance Ratio</w:t>
      </w:r>
    </w:p>
    <w:p w14:paraId="19F21F5C" w14:textId="77777777" w:rsidR="00F23BD7" w:rsidRPr="00681F26" w:rsidRDefault="00F23BD7" w:rsidP="00F23BD7">
      <w:pPr>
        <w:ind w:left="720" w:hanging="720"/>
        <w:rPr>
          <w:rFonts w:ascii="Arial" w:hAnsi="Arial" w:cs="Arial"/>
          <w:sz w:val="18"/>
          <w:szCs w:val="18"/>
        </w:rPr>
      </w:pPr>
      <w:proofErr w:type="spellStart"/>
      <w:r w:rsidRPr="00681F26">
        <w:rPr>
          <w:rFonts w:ascii="Arial" w:hAnsi="Arial" w:cs="Arial"/>
          <w:sz w:val="18"/>
          <w:szCs w:val="18"/>
        </w:rPr>
        <w:t>eCDFs</w:t>
      </w:r>
      <w:proofErr w:type="spellEnd"/>
      <w:r w:rsidRPr="00681F26">
        <w:rPr>
          <w:rFonts w:ascii="Arial" w:hAnsi="Arial" w:cs="Arial"/>
          <w:sz w:val="18"/>
          <w:szCs w:val="18"/>
        </w:rPr>
        <w:t xml:space="preserve"> = Empirical Cumulative Distribution Functions</w:t>
      </w:r>
    </w:p>
    <w:p w14:paraId="78A9D76C" w14:textId="77777777" w:rsidR="00F23BD7" w:rsidRPr="00681F26" w:rsidRDefault="00F23BD7" w:rsidP="00F23BD7">
      <w:pPr>
        <w:ind w:left="720" w:hanging="720"/>
        <w:rPr>
          <w:rFonts w:ascii="Arial" w:hAnsi="Arial" w:cs="Arial"/>
          <w:sz w:val="20"/>
          <w:szCs w:val="20"/>
        </w:rPr>
      </w:pPr>
    </w:p>
    <w:p w14:paraId="26BA439F" w14:textId="77777777" w:rsidR="00F23BD7" w:rsidRPr="00681F26" w:rsidRDefault="00F23BD7" w:rsidP="00F23BD7">
      <w:pPr>
        <w:rPr>
          <w:rFonts w:ascii="Arial" w:hAnsi="Arial" w:cs="Arial"/>
          <w:b/>
          <w:bCs/>
          <w:sz w:val="20"/>
          <w:szCs w:val="20"/>
        </w:rPr>
      </w:pPr>
      <w:r w:rsidRPr="00681F26">
        <w:rPr>
          <w:rFonts w:ascii="Arial" w:hAnsi="Arial" w:cs="Arial"/>
          <w:b/>
          <w:bCs/>
          <w:sz w:val="20"/>
          <w:szCs w:val="20"/>
        </w:rPr>
        <w:t>Table S4. Mean values of matched variables after Optimal Matching.</w:t>
      </w:r>
    </w:p>
    <w:tbl>
      <w:tblPr>
        <w:tblStyle w:val="TableGrid"/>
        <w:tblW w:w="9350" w:type="dxa"/>
        <w:jc w:val="center"/>
        <w:tblLook w:val="04A0" w:firstRow="1" w:lastRow="0" w:firstColumn="1" w:lastColumn="0" w:noHBand="0" w:noVBand="1"/>
      </w:tblPr>
      <w:tblGrid>
        <w:gridCol w:w="1615"/>
        <w:gridCol w:w="1890"/>
        <w:gridCol w:w="1080"/>
        <w:gridCol w:w="920"/>
        <w:gridCol w:w="1843"/>
        <w:gridCol w:w="1040"/>
        <w:gridCol w:w="962"/>
      </w:tblGrid>
      <w:tr w:rsidR="00F23BD7" w:rsidRPr="00681F26" w14:paraId="5D31958E" w14:textId="77777777" w:rsidTr="00AA05EB">
        <w:trPr>
          <w:trHeight w:val="300"/>
          <w:jc w:val="center"/>
        </w:trPr>
        <w:tc>
          <w:tcPr>
            <w:tcW w:w="1615" w:type="dxa"/>
          </w:tcPr>
          <w:p w14:paraId="52C0E821" w14:textId="77777777" w:rsidR="00F23BD7" w:rsidRPr="00681F26" w:rsidRDefault="00F23BD7" w:rsidP="00AA05EB">
            <w:pPr>
              <w:rPr>
                <w:rFonts w:ascii="Arial" w:hAnsi="Arial" w:cs="Arial"/>
                <w:b/>
                <w:bCs/>
                <w:sz w:val="20"/>
                <w:szCs w:val="20"/>
              </w:rPr>
            </w:pPr>
          </w:p>
        </w:tc>
        <w:tc>
          <w:tcPr>
            <w:tcW w:w="3890" w:type="dxa"/>
            <w:gridSpan w:val="3"/>
          </w:tcPr>
          <w:p w14:paraId="4D960AC3" w14:textId="77777777" w:rsidR="00F23BD7" w:rsidRPr="00681F26" w:rsidRDefault="00F23BD7" w:rsidP="00AA05EB">
            <w:pPr>
              <w:jc w:val="center"/>
              <w:rPr>
                <w:rFonts w:ascii="Arial" w:hAnsi="Arial" w:cs="Arial"/>
                <w:b/>
                <w:bCs/>
                <w:sz w:val="20"/>
                <w:szCs w:val="20"/>
              </w:rPr>
            </w:pPr>
            <w:r w:rsidRPr="00681F26">
              <w:rPr>
                <w:rFonts w:ascii="Arial" w:hAnsi="Arial" w:cs="Arial"/>
                <w:b/>
                <w:bCs/>
                <w:sz w:val="20"/>
                <w:szCs w:val="20"/>
              </w:rPr>
              <w:t>State-Control Pair</w:t>
            </w:r>
          </w:p>
        </w:tc>
        <w:tc>
          <w:tcPr>
            <w:tcW w:w="3845" w:type="dxa"/>
            <w:gridSpan w:val="3"/>
          </w:tcPr>
          <w:p w14:paraId="1027AD57" w14:textId="77777777" w:rsidR="00F23BD7" w:rsidRPr="00681F26" w:rsidRDefault="00F23BD7" w:rsidP="00AA05EB">
            <w:pPr>
              <w:jc w:val="center"/>
              <w:rPr>
                <w:rFonts w:ascii="Arial" w:hAnsi="Arial" w:cs="Arial"/>
                <w:b/>
                <w:bCs/>
                <w:sz w:val="20"/>
                <w:szCs w:val="20"/>
              </w:rPr>
            </w:pPr>
            <w:r w:rsidRPr="00681F26">
              <w:rPr>
                <w:rFonts w:ascii="Arial" w:hAnsi="Arial" w:cs="Arial"/>
                <w:b/>
                <w:bCs/>
                <w:sz w:val="20"/>
                <w:szCs w:val="20"/>
              </w:rPr>
              <w:t>Trait-Control Pair</w:t>
            </w:r>
          </w:p>
        </w:tc>
      </w:tr>
      <w:tr w:rsidR="00F23BD7" w:rsidRPr="00681F26" w14:paraId="788BBE9D" w14:textId="77777777" w:rsidTr="00AA05EB">
        <w:trPr>
          <w:trHeight w:val="300"/>
          <w:jc w:val="center"/>
        </w:trPr>
        <w:tc>
          <w:tcPr>
            <w:tcW w:w="1615" w:type="dxa"/>
          </w:tcPr>
          <w:p w14:paraId="52435635" w14:textId="77777777" w:rsidR="00F23BD7" w:rsidRPr="00681F26" w:rsidRDefault="00F23BD7" w:rsidP="00AA05EB">
            <w:pPr>
              <w:rPr>
                <w:rFonts w:ascii="Arial" w:hAnsi="Arial" w:cs="Arial"/>
                <w:b/>
                <w:bCs/>
                <w:sz w:val="20"/>
                <w:szCs w:val="20"/>
              </w:rPr>
            </w:pPr>
          </w:p>
        </w:tc>
        <w:tc>
          <w:tcPr>
            <w:tcW w:w="1890" w:type="dxa"/>
          </w:tcPr>
          <w:p w14:paraId="7C4EFF20" w14:textId="77777777" w:rsidR="00F23BD7" w:rsidRPr="00681F26" w:rsidRDefault="00F23BD7" w:rsidP="00AA05EB">
            <w:pPr>
              <w:jc w:val="center"/>
              <w:rPr>
                <w:rFonts w:ascii="Arial" w:hAnsi="Arial" w:cs="Arial"/>
                <w:b/>
                <w:bCs/>
                <w:sz w:val="20"/>
                <w:szCs w:val="20"/>
              </w:rPr>
            </w:pPr>
            <w:r>
              <w:rPr>
                <w:rFonts w:ascii="Arial" w:hAnsi="Arial" w:cs="Arial"/>
                <w:b/>
                <w:bCs/>
                <w:sz w:val="20"/>
                <w:szCs w:val="20"/>
              </w:rPr>
              <w:t>State Depression</w:t>
            </w:r>
          </w:p>
        </w:tc>
        <w:tc>
          <w:tcPr>
            <w:tcW w:w="1080" w:type="dxa"/>
          </w:tcPr>
          <w:p w14:paraId="7D9E6096" w14:textId="77777777" w:rsidR="00F23BD7" w:rsidRPr="00681F26" w:rsidRDefault="00F23BD7" w:rsidP="00AA05EB">
            <w:pPr>
              <w:jc w:val="center"/>
              <w:rPr>
                <w:rFonts w:ascii="Arial" w:hAnsi="Arial" w:cs="Arial"/>
                <w:b/>
                <w:bCs/>
                <w:sz w:val="20"/>
                <w:szCs w:val="20"/>
              </w:rPr>
            </w:pPr>
            <w:r w:rsidRPr="00681F26">
              <w:rPr>
                <w:rFonts w:ascii="Arial" w:hAnsi="Arial" w:cs="Arial"/>
                <w:b/>
                <w:bCs/>
                <w:sz w:val="20"/>
                <w:szCs w:val="20"/>
              </w:rPr>
              <w:t>Control</w:t>
            </w:r>
          </w:p>
        </w:tc>
        <w:tc>
          <w:tcPr>
            <w:tcW w:w="920" w:type="dxa"/>
          </w:tcPr>
          <w:p w14:paraId="3FEC6556" w14:textId="77777777" w:rsidR="00F23BD7" w:rsidRPr="00681F26" w:rsidRDefault="00F23BD7" w:rsidP="00AA05EB">
            <w:pPr>
              <w:jc w:val="center"/>
              <w:rPr>
                <w:rFonts w:ascii="Arial" w:hAnsi="Arial" w:cs="Arial"/>
                <w:b/>
                <w:bCs/>
                <w:sz w:val="20"/>
                <w:szCs w:val="20"/>
              </w:rPr>
            </w:pPr>
            <w:r w:rsidRPr="00681F26">
              <w:rPr>
                <w:rFonts w:ascii="Arial" w:hAnsi="Arial" w:cs="Arial"/>
                <w:b/>
                <w:bCs/>
                <w:sz w:val="20"/>
                <w:szCs w:val="20"/>
              </w:rPr>
              <w:t>Stats</w:t>
            </w:r>
            <w:r w:rsidRPr="00681F26">
              <w:rPr>
                <w:rFonts w:ascii="Arial" w:hAnsi="Arial" w:cs="Arial"/>
                <w:sz w:val="20"/>
                <w:szCs w:val="20"/>
                <w:vertAlign w:val="superscript"/>
              </w:rPr>
              <w:t xml:space="preserve"> a</w:t>
            </w:r>
          </w:p>
        </w:tc>
        <w:tc>
          <w:tcPr>
            <w:tcW w:w="1843" w:type="dxa"/>
          </w:tcPr>
          <w:p w14:paraId="6AF85E0B" w14:textId="77777777" w:rsidR="00F23BD7" w:rsidRPr="00681F26" w:rsidRDefault="00F23BD7" w:rsidP="00AA05EB">
            <w:pPr>
              <w:jc w:val="center"/>
              <w:rPr>
                <w:rFonts w:ascii="Arial" w:hAnsi="Arial" w:cs="Arial"/>
                <w:b/>
                <w:bCs/>
                <w:sz w:val="20"/>
                <w:szCs w:val="20"/>
              </w:rPr>
            </w:pPr>
            <w:r>
              <w:rPr>
                <w:rFonts w:ascii="Arial" w:hAnsi="Arial" w:cs="Arial"/>
                <w:b/>
                <w:bCs/>
                <w:sz w:val="20"/>
                <w:szCs w:val="20"/>
              </w:rPr>
              <w:t>Trait Depression</w:t>
            </w:r>
          </w:p>
        </w:tc>
        <w:tc>
          <w:tcPr>
            <w:tcW w:w="1040" w:type="dxa"/>
          </w:tcPr>
          <w:p w14:paraId="553CC8FA" w14:textId="77777777" w:rsidR="00F23BD7" w:rsidRPr="00681F26" w:rsidRDefault="00F23BD7" w:rsidP="00AA05EB">
            <w:pPr>
              <w:jc w:val="center"/>
              <w:rPr>
                <w:rFonts w:ascii="Arial" w:hAnsi="Arial" w:cs="Arial"/>
                <w:b/>
                <w:bCs/>
                <w:sz w:val="20"/>
                <w:szCs w:val="20"/>
              </w:rPr>
            </w:pPr>
            <w:r w:rsidRPr="00681F26">
              <w:rPr>
                <w:rFonts w:ascii="Arial" w:hAnsi="Arial" w:cs="Arial"/>
                <w:b/>
                <w:bCs/>
                <w:sz w:val="20"/>
                <w:szCs w:val="20"/>
              </w:rPr>
              <w:t>Control</w:t>
            </w:r>
          </w:p>
        </w:tc>
        <w:tc>
          <w:tcPr>
            <w:tcW w:w="962" w:type="dxa"/>
          </w:tcPr>
          <w:p w14:paraId="17F6F7C3" w14:textId="77777777" w:rsidR="00F23BD7" w:rsidRPr="00681F26" w:rsidRDefault="00F23BD7" w:rsidP="00AA05EB">
            <w:pPr>
              <w:jc w:val="center"/>
              <w:rPr>
                <w:rFonts w:ascii="Arial" w:hAnsi="Arial" w:cs="Arial"/>
                <w:b/>
                <w:bCs/>
                <w:sz w:val="20"/>
                <w:szCs w:val="20"/>
              </w:rPr>
            </w:pPr>
            <w:r w:rsidRPr="00681F26">
              <w:rPr>
                <w:rFonts w:ascii="Arial" w:hAnsi="Arial" w:cs="Arial"/>
                <w:b/>
                <w:bCs/>
                <w:sz w:val="20"/>
                <w:szCs w:val="20"/>
              </w:rPr>
              <w:t>Stats</w:t>
            </w:r>
            <w:r w:rsidRPr="00681F26">
              <w:rPr>
                <w:rFonts w:ascii="Arial" w:hAnsi="Arial" w:cs="Arial"/>
                <w:sz w:val="20"/>
                <w:szCs w:val="20"/>
                <w:vertAlign w:val="superscript"/>
              </w:rPr>
              <w:t xml:space="preserve"> a</w:t>
            </w:r>
          </w:p>
        </w:tc>
      </w:tr>
      <w:tr w:rsidR="00F23BD7" w:rsidRPr="00681F26" w14:paraId="09398AFF" w14:textId="77777777" w:rsidTr="00AA05EB">
        <w:trPr>
          <w:trHeight w:val="300"/>
          <w:jc w:val="center"/>
        </w:trPr>
        <w:tc>
          <w:tcPr>
            <w:tcW w:w="1615" w:type="dxa"/>
          </w:tcPr>
          <w:p w14:paraId="241C97E1" w14:textId="77777777" w:rsidR="00F23BD7" w:rsidRPr="00681F26" w:rsidRDefault="00F23BD7" w:rsidP="00AA05EB">
            <w:pPr>
              <w:rPr>
                <w:rFonts w:ascii="Arial" w:hAnsi="Arial" w:cs="Arial"/>
                <w:sz w:val="20"/>
                <w:szCs w:val="20"/>
              </w:rPr>
            </w:pPr>
            <w:r w:rsidRPr="00681F26">
              <w:rPr>
                <w:rFonts w:ascii="Arial" w:hAnsi="Arial" w:cs="Arial"/>
                <w:sz w:val="20"/>
                <w:szCs w:val="20"/>
              </w:rPr>
              <w:lastRenderedPageBreak/>
              <w:t>Sex-F</w:t>
            </w:r>
            <w:r w:rsidRPr="00681F26">
              <w:rPr>
                <w:rFonts w:ascii="Arial" w:hAnsi="Arial" w:cs="Arial"/>
                <w:sz w:val="20"/>
                <w:szCs w:val="20"/>
                <w:vertAlign w:val="superscript"/>
              </w:rPr>
              <w:t xml:space="preserve"> b</w:t>
            </w:r>
          </w:p>
        </w:tc>
        <w:tc>
          <w:tcPr>
            <w:tcW w:w="1890" w:type="dxa"/>
            <w:vAlign w:val="center"/>
          </w:tcPr>
          <w:p w14:paraId="77FB5C8A"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0.63</w:t>
            </w:r>
          </w:p>
        </w:tc>
        <w:tc>
          <w:tcPr>
            <w:tcW w:w="1080" w:type="dxa"/>
            <w:vAlign w:val="center"/>
          </w:tcPr>
          <w:p w14:paraId="011A171E"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0.70</w:t>
            </w:r>
          </w:p>
        </w:tc>
        <w:tc>
          <w:tcPr>
            <w:tcW w:w="920" w:type="dxa"/>
            <w:vMerge w:val="restart"/>
            <w:vAlign w:val="center"/>
          </w:tcPr>
          <w:p w14:paraId="60F58C79"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3.18</w:t>
            </w:r>
          </w:p>
        </w:tc>
        <w:tc>
          <w:tcPr>
            <w:tcW w:w="1843" w:type="dxa"/>
            <w:vAlign w:val="center"/>
          </w:tcPr>
          <w:p w14:paraId="471AEF1A"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0.63</w:t>
            </w:r>
          </w:p>
        </w:tc>
        <w:tc>
          <w:tcPr>
            <w:tcW w:w="1040" w:type="dxa"/>
            <w:vAlign w:val="center"/>
          </w:tcPr>
          <w:p w14:paraId="6F538206"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0.68</w:t>
            </w:r>
          </w:p>
        </w:tc>
        <w:tc>
          <w:tcPr>
            <w:tcW w:w="962" w:type="dxa"/>
            <w:vMerge w:val="restart"/>
            <w:vAlign w:val="center"/>
          </w:tcPr>
          <w:p w14:paraId="71B00841"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1.20</w:t>
            </w:r>
          </w:p>
        </w:tc>
      </w:tr>
      <w:tr w:rsidR="00F23BD7" w:rsidRPr="00681F26" w14:paraId="0D03B62B" w14:textId="77777777" w:rsidTr="00AA05EB">
        <w:trPr>
          <w:trHeight w:val="300"/>
          <w:jc w:val="center"/>
        </w:trPr>
        <w:tc>
          <w:tcPr>
            <w:tcW w:w="1615" w:type="dxa"/>
          </w:tcPr>
          <w:p w14:paraId="7F9602F8" w14:textId="77777777" w:rsidR="00F23BD7" w:rsidRPr="00681F26" w:rsidRDefault="00F23BD7" w:rsidP="00AA05EB">
            <w:pPr>
              <w:rPr>
                <w:rFonts w:ascii="Arial" w:hAnsi="Arial" w:cs="Arial"/>
                <w:sz w:val="20"/>
                <w:szCs w:val="20"/>
              </w:rPr>
            </w:pPr>
            <w:r w:rsidRPr="00681F26">
              <w:rPr>
                <w:rFonts w:ascii="Arial" w:hAnsi="Arial" w:cs="Arial"/>
                <w:sz w:val="20"/>
                <w:szCs w:val="20"/>
              </w:rPr>
              <w:t>Sex-M</w:t>
            </w:r>
            <w:r w:rsidRPr="00681F26">
              <w:rPr>
                <w:rFonts w:ascii="Arial" w:hAnsi="Arial" w:cs="Arial"/>
                <w:sz w:val="20"/>
                <w:szCs w:val="20"/>
                <w:vertAlign w:val="superscript"/>
              </w:rPr>
              <w:t xml:space="preserve"> b</w:t>
            </w:r>
          </w:p>
        </w:tc>
        <w:tc>
          <w:tcPr>
            <w:tcW w:w="1890" w:type="dxa"/>
            <w:vAlign w:val="center"/>
          </w:tcPr>
          <w:p w14:paraId="38FCD5FC"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0.37</w:t>
            </w:r>
          </w:p>
        </w:tc>
        <w:tc>
          <w:tcPr>
            <w:tcW w:w="1080" w:type="dxa"/>
            <w:vAlign w:val="center"/>
          </w:tcPr>
          <w:p w14:paraId="56AA01FB"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0.30</w:t>
            </w:r>
          </w:p>
        </w:tc>
        <w:tc>
          <w:tcPr>
            <w:tcW w:w="920" w:type="dxa"/>
            <w:vMerge/>
            <w:vAlign w:val="center"/>
          </w:tcPr>
          <w:p w14:paraId="531AE76E" w14:textId="77777777" w:rsidR="00F23BD7" w:rsidRPr="00681F26" w:rsidRDefault="00F23BD7" w:rsidP="00AA05EB">
            <w:pPr>
              <w:jc w:val="center"/>
              <w:rPr>
                <w:rFonts w:ascii="Arial" w:hAnsi="Arial" w:cs="Arial"/>
                <w:sz w:val="20"/>
                <w:szCs w:val="20"/>
              </w:rPr>
            </w:pPr>
          </w:p>
        </w:tc>
        <w:tc>
          <w:tcPr>
            <w:tcW w:w="1843" w:type="dxa"/>
            <w:vAlign w:val="center"/>
          </w:tcPr>
          <w:p w14:paraId="4A2D3A5B"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0.37</w:t>
            </w:r>
          </w:p>
        </w:tc>
        <w:tc>
          <w:tcPr>
            <w:tcW w:w="1040" w:type="dxa"/>
            <w:vAlign w:val="center"/>
          </w:tcPr>
          <w:p w14:paraId="44249544"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0.33</w:t>
            </w:r>
          </w:p>
        </w:tc>
        <w:tc>
          <w:tcPr>
            <w:tcW w:w="962" w:type="dxa"/>
            <w:vMerge/>
            <w:vAlign w:val="center"/>
          </w:tcPr>
          <w:p w14:paraId="4A7F343C" w14:textId="77777777" w:rsidR="00F23BD7" w:rsidRPr="00681F26" w:rsidRDefault="00F23BD7" w:rsidP="00AA05EB">
            <w:pPr>
              <w:jc w:val="center"/>
              <w:rPr>
                <w:rFonts w:ascii="Arial" w:hAnsi="Arial" w:cs="Arial"/>
                <w:sz w:val="20"/>
                <w:szCs w:val="20"/>
              </w:rPr>
            </w:pPr>
          </w:p>
        </w:tc>
      </w:tr>
      <w:tr w:rsidR="00F23BD7" w:rsidRPr="00681F26" w14:paraId="382C1075" w14:textId="77777777" w:rsidTr="00AA05EB">
        <w:trPr>
          <w:trHeight w:val="300"/>
          <w:jc w:val="center"/>
        </w:trPr>
        <w:tc>
          <w:tcPr>
            <w:tcW w:w="1615" w:type="dxa"/>
          </w:tcPr>
          <w:p w14:paraId="62705753" w14:textId="77777777" w:rsidR="00F23BD7" w:rsidRPr="00681F26" w:rsidRDefault="00F23BD7" w:rsidP="00AA05EB">
            <w:pPr>
              <w:rPr>
                <w:rFonts w:ascii="Arial" w:hAnsi="Arial" w:cs="Arial"/>
                <w:sz w:val="20"/>
                <w:szCs w:val="20"/>
              </w:rPr>
            </w:pPr>
            <w:r w:rsidRPr="00681F26">
              <w:rPr>
                <w:rFonts w:ascii="Arial" w:hAnsi="Arial" w:cs="Arial"/>
                <w:sz w:val="20"/>
                <w:szCs w:val="20"/>
              </w:rPr>
              <w:t>Age</w:t>
            </w:r>
          </w:p>
        </w:tc>
        <w:tc>
          <w:tcPr>
            <w:tcW w:w="1890" w:type="dxa"/>
            <w:vAlign w:val="center"/>
          </w:tcPr>
          <w:p w14:paraId="0AD304D7"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59.95</w:t>
            </w:r>
          </w:p>
        </w:tc>
        <w:tc>
          <w:tcPr>
            <w:tcW w:w="1080" w:type="dxa"/>
            <w:vAlign w:val="center"/>
          </w:tcPr>
          <w:p w14:paraId="5C6D5EFB"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60.22</w:t>
            </w:r>
          </w:p>
        </w:tc>
        <w:tc>
          <w:tcPr>
            <w:tcW w:w="920" w:type="dxa"/>
            <w:vAlign w:val="center"/>
          </w:tcPr>
          <w:p w14:paraId="6AE1A9D5"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0.49</w:t>
            </w:r>
          </w:p>
        </w:tc>
        <w:tc>
          <w:tcPr>
            <w:tcW w:w="1843" w:type="dxa"/>
            <w:vAlign w:val="center"/>
          </w:tcPr>
          <w:p w14:paraId="6E3D4ABC"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61.01</w:t>
            </w:r>
          </w:p>
        </w:tc>
        <w:tc>
          <w:tcPr>
            <w:tcW w:w="1040" w:type="dxa"/>
            <w:vAlign w:val="center"/>
          </w:tcPr>
          <w:p w14:paraId="4068FFF7"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60.81</w:t>
            </w:r>
          </w:p>
        </w:tc>
        <w:tc>
          <w:tcPr>
            <w:tcW w:w="962" w:type="dxa"/>
            <w:vAlign w:val="center"/>
          </w:tcPr>
          <w:p w14:paraId="17306F57"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-0.36</w:t>
            </w:r>
          </w:p>
        </w:tc>
      </w:tr>
      <w:tr w:rsidR="00F23BD7" w:rsidRPr="00681F26" w14:paraId="0B7016B3" w14:textId="77777777" w:rsidTr="00AA05EB">
        <w:trPr>
          <w:trHeight w:val="300"/>
          <w:jc w:val="center"/>
        </w:trPr>
        <w:tc>
          <w:tcPr>
            <w:tcW w:w="1615" w:type="dxa"/>
            <w:shd w:val="clear" w:color="auto" w:fill="auto"/>
          </w:tcPr>
          <w:p w14:paraId="0D8026A8" w14:textId="77777777" w:rsidR="00F23BD7" w:rsidRPr="00681F26" w:rsidRDefault="00F23BD7" w:rsidP="00AA05EB">
            <w:pPr>
              <w:rPr>
                <w:rFonts w:ascii="Arial" w:hAnsi="Arial" w:cs="Arial"/>
                <w:sz w:val="20"/>
                <w:szCs w:val="20"/>
              </w:rPr>
            </w:pPr>
            <w:r w:rsidRPr="00681F26">
              <w:rPr>
                <w:rFonts w:ascii="Arial" w:hAnsi="Arial" w:cs="Arial"/>
                <w:sz w:val="20"/>
                <w:szCs w:val="20"/>
              </w:rPr>
              <w:t xml:space="preserve">Head Motion </w:t>
            </w:r>
            <w:r w:rsidRPr="00681F26">
              <w:rPr>
                <w:rFonts w:ascii="Arial" w:hAnsi="Arial" w:cs="Arial"/>
                <w:sz w:val="20"/>
                <w:szCs w:val="20"/>
                <w:vertAlign w:val="superscript"/>
              </w:rPr>
              <w:t>c</w:t>
            </w:r>
          </w:p>
        </w:tc>
        <w:tc>
          <w:tcPr>
            <w:tcW w:w="1890" w:type="dxa"/>
            <w:shd w:val="clear" w:color="auto" w:fill="auto"/>
            <w:vAlign w:val="center"/>
          </w:tcPr>
          <w:p w14:paraId="0857BFD2"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0.12</w:t>
            </w:r>
          </w:p>
        </w:tc>
        <w:tc>
          <w:tcPr>
            <w:tcW w:w="1080" w:type="dxa"/>
            <w:shd w:val="clear" w:color="auto" w:fill="auto"/>
            <w:vAlign w:val="center"/>
          </w:tcPr>
          <w:p w14:paraId="29668507"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0.12</w:t>
            </w:r>
          </w:p>
        </w:tc>
        <w:tc>
          <w:tcPr>
            <w:tcW w:w="920" w:type="dxa"/>
            <w:shd w:val="clear" w:color="auto" w:fill="auto"/>
            <w:vAlign w:val="center"/>
          </w:tcPr>
          <w:p w14:paraId="5D0A17B0"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-0.96</w:t>
            </w:r>
          </w:p>
        </w:tc>
        <w:tc>
          <w:tcPr>
            <w:tcW w:w="1843" w:type="dxa"/>
            <w:shd w:val="clear" w:color="auto" w:fill="auto"/>
            <w:vAlign w:val="center"/>
          </w:tcPr>
          <w:p w14:paraId="673B92FA"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0.12</w:t>
            </w:r>
          </w:p>
        </w:tc>
        <w:tc>
          <w:tcPr>
            <w:tcW w:w="1040" w:type="dxa"/>
            <w:vAlign w:val="center"/>
          </w:tcPr>
          <w:p w14:paraId="73826B11"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0.11</w:t>
            </w:r>
          </w:p>
        </w:tc>
        <w:tc>
          <w:tcPr>
            <w:tcW w:w="962" w:type="dxa"/>
            <w:vAlign w:val="center"/>
          </w:tcPr>
          <w:p w14:paraId="6D525ABE"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-0.95</w:t>
            </w:r>
          </w:p>
        </w:tc>
      </w:tr>
      <w:tr w:rsidR="00F23BD7" w:rsidRPr="00681F26" w14:paraId="01110D8E" w14:textId="77777777" w:rsidTr="00AA05EB">
        <w:trPr>
          <w:trHeight w:val="300"/>
          <w:jc w:val="center"/>
        </w:trPr>
        <w:tc>
          <w:tcPr>
            <w:tcW w:w="1615" w:type="dxa"/>
          </w:tcPr>
          <w:p w14:paraId="66238540" w14:textId="77777777" w:rsidR="00F23BD7" w:rsidRPr="00681F26" w:rsidRDefault="00F23BD7" w:rsidP="00AA05EB">
            <w:pPr>
              <w:rPr>
                <w:rFonts w:ascii="Arial" w:hAnsi="Arial" w:cs="Arial"/>
                <w:sz w:val="20"/>
                <w:szCs w:val="20"/>
              </w:rPr>
            </w:pPr>
            <w:r w:rsidRPr="00681F26">
              <w:rPr>
                <w:rFonts w:ascii="Arial" w:hAnsi="Arial" w:cs="Arial"/>
                <w:sz w:val="20"/>
                <w:szCs w:val="20"/>
              </w:rPr>
              <w:t xml:space="preserve">Site A </w:t>
            </w:r>
            <w:r w:rsidRPr="00681F26">
              <w:rPr>
                <w:rFonts w:ascii="Arial" w:hAnsi="Arial" w:cs="Arial"/>
                <w:sz w:val="20"/>
                <w:szCs w:val="20"/>
                <w:vertAlign w:val="superscript"/>
              </w:rPr>
              <w:t>c</w:t>
            </w:r>
          </w:p>
        </w:tc>
        <w:tc>
          <w:tcPr>
            <w:tcW w:w="1890" w:type="dxa"/>
            <w:vAlign w:val="center"/>
          </w:tcPr>
          <w:p w14:paraId="7BBBD93D"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0.54</w:t>
            </w:r>
          </w:p>
        </w:tc>
        <w:tc>
          <w:tcPr>
            <w:tcW w:w="1080" w:type="dxa"/>
            <w:vAlign w:val="center"/>
          </w:tcPr>
          <w:p w14:paraId="7089F610"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0.52</w:t>
            </w:r>
          </w:p>
        </w:tc>
        <w:tc>
          <w:tcPr>
            <w:tcW w:w="920" w:type="dxa"/>
            <w:vMerge w:val="restart"/>
            <w:vAlign w:val="center"/>
          </w:tcPr>
          <w:p w14:paraId="77B1BC38"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3.31</w:t>
            </w:r>
          </w:p>
        </w:tc>
        <w:tc>
          <w:tcPr>
            <w:tcW w:w="1843" w:type="dxa"/>
            <w:vAlign w:val="center"/>
          </w:tcPr>
          <w:p w14:paraId="788EACA6"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0.63</w:t>
            </w:r>
          </w:p>
        </w:tc>
        <w:tc>
          <w:tcPr>
            <w:tcW w:w="1040" w:type="dxa"/>
            <w:vAlign w:val="center"/>
          </w:tcPr>
          <w:p w14:paraId="14824356"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0.60</w:t>
            </w:r>
          </w:p>
        </w:tc>
        <w:tc>
          <w:tcPr>
            <w:tcW w:w="962" w:type="dxa"/>
            <w:vMerge w:val="restart"/>
            <w:vAlign w:val="center"/>
          </w:tcPr>
          <w:p w14:paraId="645DE46D"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0.33</w:t>
            </w:r>
          </w:p>
        </w:tc>
      </w:tr>
      <w:tr w:rsidR="00F23BD7" w:rsidRPr="00681F26" w14:paraId="28D22C92" w14:textId="77777777" w:rsidTr="00AA05EB">
        <w:trPr>
          <w:trHeight w:val="300"/>
          <w:jc w:val="center"/>
        </w:trPr>
        <w:tc>
          <w:tcPr>
            <w:tcW w:w="1615" w:type="dxa"/>
          </w:tcPr>
          <w:p w14:paraId="0641BFE7" w14:textId="77777777" w:rsidR="00F23BD7" w:rsidRPr="00681F26" w:rsidRDefault="00F23BD7" w:rsidP="00AA05EB">
            <w:pPr>
              <w:rPr>
                <w:rFonts w:ascii="Arial" w:hAnsi="Arial" w:cs="Arial"/>
                <w:sz w:val="20"/>
                <w:szCs w:val="20"/>
              </w:rPr>
            </w:pPr>
            <w:r w:rsidRPr="00681F26">
              <w:rPr>
                <w:rFonts w:ascii="Arial" w:hAnsi="Arial" w:cs="Arial"/>
                <w:sz w:val="20"/>
                <w:szCs w:val="20"/>
              </w:rPr>
              <w:t xml:space="preserve">Site B </w:t>
            </w:r>
            <w:r w:rsidRPr="00681F26">
              <w:rPr>
                <w:rFonts w:ascii="Arial" w:hAnsi="Arial" w:cs="Arial"/>
                <w:sz w:val="20"/>
                <w:szCs w:val="20"/>
                <w:vertAlign w:val="superscript"/>
              </w:rPr>
              <w:t>c</w:t>
            </w:r>
          </w:p>
        </w:tc>
        <w:tc>
          <w:tcPr>
            <w:tcW w:w="1890" w:type="dxa"/>
            <w:vAlign w:val="center"/>
          </w:tcPr>
          <w:p w14:paraId="236BC70E"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0.05</w:t>
            </w:r>
          </w:p>
        </w:tc>
        <w:tc>
          <w:tcPr>
            <w:tcW w:w="1080" w:type="dxa"/>
            <w:vAlign w:val="center"/>
          </w:tcPr>
          <w:p w14:paraId="78C023A9"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0.03</w:t>
            </w:r>
          </w:p>
        </w:tc>
        <w:tc>
          <w:tcPr>
            <w:tcW w:w="920" w:type="dxa"/>
            <w:vMerge/>
            <w:vAlign w:val="center"/>
          </w:tcPr>
          <w:p w14:paraId="7E24FC18" w14:textId="77777777" w:rsidR="00F23BD7" w:rsidRPr="00681F26" w:rsidRDefault="00F23BD7" w:rsidP="00AA05EB">
            <w:pPr>
              <w:jc w:val="center"/>
              <w:rPr>
                <w:rFonts w:ascii="Arial" w:hAnsi="Arial" w:cs="Arial"/>
                <w:sz w:val="20"/>
                <w:szCs w:val="20"/>
              </w:rPr>
            </w:pPr>
          </w:p>
        </w:tc>
        <w:tc>
          <w:tcPr>
            <w:tcW w:w="1843" w:type="dxa"/>
            <w:vAlign w:val="center"/>
          </w:tcPr>
          <w:p w14:paraId="6BE82A50"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0.10</w:t>
            </w:r>
          </w:p>
        </w:tc>
        <w:tc>
          <w:tcPr>
            <w:tcW w:w="1040" w:type="dxa"/>
            <w:vAlign w:val="center"/>
          </w:tcPr>
          <w:p w14:paraId="44AC3A2B"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0.11</w:t>
            </w:r>
          </w:p>
        </w:tc>
        <w:tc>
          <w:tcPr>
            <w:tcW w:w="962" w:type="dxa"/>
            <w:vMerge/>
            <w:vAlign w:val="center"/>
          </w:tcPr>
          <w:p w14:paraId="1E406E3F" w14:textId="77777777" w:rsidR="00F23BD7" w:rsidRPr="00681F26" w:rsidRDefault="00F23BD7" w:rsidP="00AA05EB">
            <w:pPr>
              <w:jc w:val="center"/>
              <w:rPr>
                <w:rFonts w:ascii="Arial" w:hAnsi="Arial" w:cs="Arial"/>
                <w:sz w:val="20"/>
                <w:szCs w:val="20"/>
              </w:rPr>
            </w:pPr>
          </w:p>
        </w:tc>
      </w:tr>
      <w:tr w:rsidR="00F23BD7" w:rsidRPr="00681F26" w14:paraId="5C355BAD" w14:textId="77777777" w:rsidTr="00AA05EB">
        <w:trPr>
          <w:trHeight w:val="300"/>
          <w:jc w:val="center"/>
        </w:trPr>
        <w:tc>
          <w:tcPr>
            <w:tcW w:w="1615" w:type="dxa"/>
          </w:tcPr>
          <w:p w14:paraId="2204B408" w14:textId="77777777" w:rsidR="00F23BD7" w:rsidRPr="00681F26" w:rsidRDefault="00F23BD7" w:rsidP="00AA05EB">
            <w:pPr>
              <w:rPr>
                <w:rFonts w:ascii="Arial" w:hAnsi="Arial" w:cs="Arial"/>
                <w:sz w:val="20"/>
                <w:szCs w:val="20"/>
              </w:rPr>
            </w:pPr>
            <w:r w:rsidRPr="00681F26">
              <w:rPr>
                <w:rFonts w:ascii="Arial" w:hAnsi="Arial" w:cs="Arial"/>
                <w:sz w:val="20"/>
                <w:szCs w:val="20"/>
              </w:rPr>
              <w:t xml:space="preserve">Site C </w:t>
            </w:r>
            <w:proofErr w:type="spellStart"/>
            <w:r w:rsidRPr="00681F26">
              <w:rPr>
                <w:rFonts w:ascii="Arial" w:hAnsi="Arial" w:cs="Arial"/>
                <w:sz w:val="20"/>
                <w:szCs w:val="20"/>
                <w:vertAlign w:val="superscript"/>
              </w:rPr>
              <w:t>c</w:t>
            </w:r>
            <w:proofErr w:type="spellEnd"/>
          </w:p>
        </w:tc>
        <w:tc>
          <w:tcPr>
            <w:tcW w:w="1890" w:type="dxa"/>
            <w:vAlign w:val="center"/>
          </w:tcPr>
          <w:p w14:paraId="297B6C54"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0.41</w:t>
            </w:r>
          </w:p>
        </w:tc>
        <w:tc>
          <w:tcPr>
            <w:tcW w:w="1080" w:type="dxa"/>
            <w:vAlign w:val="center"/>
          </w:tcPr>
          <w:p w14:paraId="7EF788AF"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0.45</w:t>
            </w:r>
          </w:p>
        </w:tc>
        <w:tc>
          <w:tcPr>
            <w:tcW w:w="920" w:type="dxa"/>
            <w:vMerge/>
            <w:vAlign w:val="center"/>
          </w:tcPr>
          <w:p w14:paraId="7943AE49" w14:textId="77777777" w:rsidR="00F23BD7" w:rsidRPr="00681F26" w:rsidRDefault="00F23BD7" w:rsidP="00AA05EB">
            <w:pPr>
              <w:jc w:val="center"/>
              <w:rPr>
                <w:rFonts w:ascii="Arial" w:hAnsi="Arial" w:cs="Arial"/>
                <w:sz w:val="20"/>
                <w:szCs w:val="20"/>
              </w:rPr>
            </w:pPr>
          </w:p>
        </w:tc>
        <w:tc>
          <w:tcPr>
            <w:tcW w:w="1843" w:type="dxa"/>
            <w:vAlign w:val="center"/>
          </w:tcPr>
          <w:p w14:paraId="34822B5E"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0.27</w:t>
            </w:r>
          </w:p>
        </w:tc>
        <w:tc>
          <w:tcPr>
            <w:tcW w:w="1040" w:type="dxa"/>
            <w:vAlign w:val="center"/>
          </w:tcPr>
          <w:p w14:paraId="00C690F1"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0.28</w:t>
            </w:r>
          </w:p>
        </w:tc>
        <w:tc>
          <w:tcPr>
            <w:tcW w:w="962" w:type="dxa"/>
            <w:vMerge/>
            <w:vAlign w:val="center"/>
          </w:tcPr>
          <w:p w14:paraId="5CB30E38" w14:textId="77777777" w:rsidR="00F23BD7" w:rsidRPr="00681F26" w:rsidRDefault="00F23BD7" w:rsidP="00AA05EB">
            <w:pPr>
              <w:jc w:val="center"/>
              <w:rPr>
                <w:rFonts w:ascii="Arial" w:hAnsi="Arial" w:cs="Arial"/>
                <w:sz w:val="20"/>
                <w:szCs w:val="20"/>
              </w:rPr>
            </w:pPr>
          </w:p>
        </w:tc>
      </w:tr>
      <w:tr w:rsidR="00F23BD7" w:rsidRPr="00681F26" w14:paraId="2EE1E4E5" w14:textId="77777777" w:rsidTr="00AA05EB">
        <w:trPr>
          <w:trHeight w:val="300"/>
          <w:jc w:val="center"/>
        </w:trPr>
        <w:tc>
          <w:tcPr>
            <w:tcW w:w="1615" w:type="dxa"/>
          </w:tcPr>
          <w:p w14:paraId="060ADF48" w14:textId="77777777" w:rsidR="00F23BD7" w:rsidRPr="00681F26" w:rsidRDefault="00F23BD7" w:rsidP="00AA05EB">
            <w:pPr>
              <w:rPr>
                <w:rFonts w:ascii="Arial" w:hAnsi="Arial" w:cs="Arial"/>
                <w:sz w:val="20"/>
                <w:szCs w:val="20"/>
              </w:rPr>
            </w:pPr>
            <w:r w:rsidRPr="00681F26">
              <w:rPr>
                <w:rFonts w:ascii="Arial" w:hAnsi="Arial" w:cs="Arial"/>
                <w:sz w:val="20"/>
                <w:szCs w:val="20"/>
              </w:rPr>
              <w:t>Alcohol Intake</w:t>
            </w:r>
          </w:p>
        </w:tc>
        <w:tc>
          <w:tcPr>
            <w:tcW w:w="1890" w:type="dxa"/>
            <w:vAlign w:val="center"/>
          </w:tcPr>
          <w:p w14:paraId="6A24820E"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1.88</w:t>
            </w:r>
          </w:p>
        </w:tc>
        <w:tc>
          <w:tcPr>
            <w:tcW w:w="1080" w:type="dxa"/>
            <w:vAlign w:val="center"/>
          </w:tcPr>
          <w:p w14:paraId="159E3612"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1.92</w:t>
            </w:r>
          </w:p>
        </w:tc>
        <w:tc>
          <w:tcPr>
            <w:tcW w:w="920" w:type="dxa"/>
            <w:vAlign w:val="center"/>
          </w:tcPr>
          <w:p w14:paraId="718D01FD"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1.19</w:t>
            </w:r>
          </w:p>
        </w:tc>
        <w:tc>
          <w:tcPr>
            <w:tcW w:w="1843" w:type="dxa"/>
            <w:vAlign w:val="center"/>
          </w:tcPr>
          <w:p w14:paraId="4992429E"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1.86</w:t>
            </w:r>
          </w:p>
        </w:tc>
        <w:tc>
          <w:tcPr>
            <w:tcW w:w="1040" w:type="dxa"/>
            <w:vAlign w:val="center"/>
          </w:tcPr>
          <w:p w14:paraId="0B127D0C"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1.87</w:t>
            </w:r>
          </w:p>
        </w:tc>
        <w:tc>
          <w:tcPr>
            <w:tcW w:w="962" w:type="dxa"/>
            <w:vAlign w:val="center"/>
          </w:tcPr>
          <w:p w14:paraId="5F53DA13" w14:textId="77777777" w:rsidR="00F23BD7" w:rsidRPr="00681F26" w:rsidRDefault="00F23BD7" w:rsidP="00AA05EB">
            <w:pPr>
              <w:jc w:val="center"/>
              <w:rPr>
                <w:rFonts w:ascii="Arial" w:hAnsi="Arial" w:cs="Arial"/>
                <w:sz w:val="20"/>
                <w:szCs w:val="20"/>
              </w:rPr>
            </w:pPr>
            <w:r w:rsidRPr="00681F26">
              <w:rPr>
                <w:rFonts w:ascii="Arial" w:hAnsi="Arial" w:cs="Arial"/>
                <w:sz w:val="20"/>
                <w:szCs w:val="20"/>
              </w:rPr>
              <w:t>0.22</w:t>
            </w:r>
          </w:p>
        </w:tc>
      </w:tr>
    </w:tbl>
    <w:p w14:paraId="2B16DE70" w14:textId="77777777" w:rsidR="00F23BD7" w:rsidRPr="00681F26" w:rsidRDefault="00F23BD7" w:rsidP="00F23BD7">
      <w:pPr>
        <w:jc w:val="both"/>
        <w:rPr>
          <w:rFonts w:ascii="Arial" w:hAnsi="Arial" w:cs="Arial"/>
          <w:sz w:val="18"/>
          <w:szCs w:val="18"/>
        </w:rPr>
      </w:pPr>
      <w:r w:rsidRPr="00681F26">
        <w:rPr>
          <w:rFonts w:ascii="Arial" w:hAnsi="Arial" w:cs="Arial"/>
          <w:sz w:val="18"/>
          <w:szCs w:val="18"/>
          <w:vertAlign w:val="superscript"/>
        </w:rPr>
        <w:t xml:space="preserve">a </w:t>
      </w:r>
      <w:r w:rsidRPr="00681F26">
        <w:rPr>
          <w:rFonts w:ascii="Arial" w:hAnsi="Arial" w:cs="Arial"/>
          <w:sz w:val="18"/>
          <w:szCs w:val="18"/>
        </w:rPr>
        <w:t>Chi-square tests were conducted to examine between-group differences in categorical variables (i.e., sex, site), and paired t-tests to examine numerical variables.</w:t>
      </w:r>
    </w:p>
    <w:p w14:paraId="27603FD6" w14:textId="77777777" w:rsidR="00F23BD7" w:rsidRPr="00681F26" w:rsidRDefault="00F23BD7" w:rsidP="00F23BD7">
      <w:pPr>
        <w:jc w:val="both"/>
        <w:rPr>
          <w:rFonts w:ascii="Arial" w:hAnsi="Arial" w:cs="Arial"/>
          <w:sz w:val="18"/>
          <w:szCs w:val="18"/>
        </w:rPr>
      </w:pPr>
      <w:r w:rsidRPr="00681F26">
        <w:rPr>
          <w:rFonts w:ascii="Arial" w:hAnsi="Arial" w:cs="Arial"/>
          <w:sz w:val="18"/>
          <w:szCs w:val="18"/>
          <w:vertAlign w:val="superscript"/>
        </w:rPr>
        <w:t xml:space="preserve">a </w:t>
      </w:r>
      <w:r w:rsidRPr="00681F26">
        <w:rPr>
          <w:rFonts w:ascii="Arial" w:hAnsi="Arial" w:cs="Arial"/>
          <w:sz w:val="18"/>
          <w:szCs w:val="18"/>
        </w:rPr>
        <w:t>Sex is coded as a categorical variable, including Sex-F (female) and Sex-M (male).</w:t>
      </w:r>
    </w:p>
    <w:p w14:paraId="327DC3B8" w14:textId="77777777" w:rsidR="00F23BD7" w:rsidRPr="00681F26" w:rsidRDefault="00F23BD7" w:rsidP="00F23BD7">
      <w:pPr>
        <w:jc w:val="both"/>
        <w:rPr>
          <w:rFonts w:ascii="Arial" w:hAnsi="Arial" w:cs="Arial"/>
          <w:sz w:val="18"/>
          <w:szCs w:val="18"/>
        </w:rPr>
      </w:pPr>
      <w:r w:rsidRPr="00681F26">
        <w:rPr>
          <w:rFonts w:ascii="Arial" w:hAnsi="Arial" w:cs="Arial"/>
          <w:sz w:val="18"/>
          <w:szCs w:val="18"/>
          <w:vertAlign w:val="superscript"/>
        </w:rPr>
        <w:t xml:space="preserve">c </w:t>
      </w:r>
      <w:r w:rsidRPr="00681F26">
        <w:rPr>
          <w:rFonts w:ascii="Arial" w:hAnsi="Arial" w:cs="Arial"/>
          <w:sz w:val="18"/>
          <w:szCs w:val="18"/>
        </w:rPr>
        <w:t>Variables relevant for brain measures including in-scanner head motion, and imaging acquisition site A-B.</w:t>
      </w:r>
    </w:p>
    <w:p w14:paraId="1DCA2E8E" w14:textId="77777777" w:rsidR="00F23BD7" w:rsidRPr="00681F26" w:rsidRDefault="00F23BD7" w:rsidP="00F23BD7">
      <w:pPr>
        <w:jc w:val="both"/>
        <w:rPr>
          <w:rFonts w:ascii="Arial" w:hAnsi="Arial" w:cs="Arial"/>
          <w:sz w:val="22"/>
          <w:szCs w:val="22"/>
        </w:rPr>
      </w:pPr>
    </w:p>
    <w:p w14:paraId="7068C6B7" w14:textId="77777777" w:rsidR="00F23BD7" w:rsidRPr="00681F26" w:rsidRDefault="00F23BD7" w:rsidP="00F23BD7">
      <w:pPr>
        <w:jc w:val="both"/>
        <w:rPr>
          <w:rFonts w:ascii="Arial" w:hAnsi="Arial" w:cs="Arial"/>
          <w:sz w:val="22"/>
          <w:szCs w:val="22"/>
        </w:rPr>
      </w:pPr>
    </w:p>
    <w:p w14:paraId="7E9C3F1B" w14:textId="77777777" w:rsidR="00F23BD7" w:rsidRPr="00681F26" w:rsidRDefault="00F23BD7" w:rsidP="00F23BD7">
      <w:pPr>
        <w:ind w:firstLine="720"/>
        <w:jc w:val="both"/>
        <w:rPr>
          <w:rFonts w:ascii="Arial" w:eastAsia="Arial" w:hAnsi="Arial" w:cs="Arial"/>
          <w:b/>
          <w:bCs/>
          <w:sz w:val="22"/>
          <w:szCs w:val="22"/>
        </w:rPr>
      </w:pPr>
      <w:r w:rsidRPr="00681F26">
        <w:rPr>
          <w:rFonts w:ascii="Arial" w:hAnsi="Arial" w:cs="Arial"/>
          <w:sz w:val="22"/>
          <w:szCs w:val="22"/>
        </w:rPr>
        <w:t xml:space="preserve">Notably, control participants </w:t>
      </w:r>
      <w:r>
        <w:rPr>
          <w:rFonts w:ascii="Arial" w:hAnsi="Arial" w:cs="Arial"/>
          <w:sz w:val="22"/>
          <w:szCs w:val="22"/>
        </w:rPr>
        <w:t xml:space="preserve">had minimal depression symptoms, with </w:t>
      </w:r>
      <w:r w:rsidRPr="00567FE8">
        <w:rPr>
          <w:rFonts w:ascii="Arial" w:hAnsi="Arial" w:cs="Arial"/>
          <w:sz w:val="22"/>
          <w:szCs w:val="22"/>
        </w:rPr>
        <w:t xml:space="preserve">RDS </w:t>
      </w:r>
      <w:r w:rsidRPr="00567FE8">
        <w:rPr>
          <w:rFonts w:ascii="Arial" w:eastAsia="Arial Unicode MS" w:hAnsi="Arial" w:cs="Arial"/>
          <w:sz w:val="22"/>
          <w:szCs w:val="22"/>
        </w:rPr>
        <w:t>≤ 5</w:t>
      </w:r>
      <w:r>
        <w:rPr>
          <w:rFonts w:ascii="Arial" w:hAnsi="Arial" w:cs="Arial"/>
          <w:sz w:val="22"/>
          <w:szCs w:val="22"/>
        </w:rPr>
        <w:t xml:space="preserve"> across all time points. </w:t>
      </w:r>
      <w:r w:rsidRPr="00567FE8">
        <w:rPr>
          <w:rFonts w:ascii="Arial" w:hAnsi="Arial" w:cs="Arial"/>
          <w:sz w:val="22"/>
          <w:szCs w:val="22"/>
        </w:rPr>
        <w:t>Th</w:t>
      </w:r>
      <w:r>
        <w:rPr>
          <w:rFonts w:ascii="Arial" w:hAnsi="Arial" w:cs="Arial"/>
          <w:sz w:val="22"/>
          <w:szCs w:val="22"/>
        </w:rPr>
        <w:t>is</w:t>
      </w:r>
      <w:r w:rsidRPr="00567FE8">
        <w:rPr>
          <w:rFonts w:ascii="Arial" w:hAnsi="Arial" w:cs="Arial"/>
          <w:sz w:val="22"/>
          <w:szCs w:val="22"/>
        </w:rPr>
        <w:t xml:space="preserve"> chosen cut-off indicates that at most one out of the four questions in the RDS scale was answered by ‘several days’, whereas all other questions by ‘not at all’, suggesting the minimal degree of depression symptomatology across all three timepoints. </w:t>
      </w:r>
      <w:r>
        <w:rPr>
          <w:rFonts w:ascii="Arial" w:hAnsi="Arial" w:cs="Arial"/>
          <w:sz w:val="22"/>
          <w:szCs w:val="22"/>
        </w:rPr>
        <w:t xml:space="preserve">Additionally, control participants </w:t>
      </w:r>
      <w:r w:rsidRPr="00681F26">
        <w:rPr>
          <w:rFonts w:ascii="Arial" w:hAnsi="Arial" w:cs="Arial"/>
          <w:sz w:val="22"/>
          <w:szCs w:val="22"/>
        </w:rPr>
        <w:t xml:space="preserve">on antidepressants at any time point of assessments were excluded. </w:t>
      </w:r>
      <w:r>
        <w:rPr>
          <w:rFonts w:ascii="Arial" w:hAnsi="Arial" w:cs="Arial"/>
          <w:sz w:val="22"/>
          <w:szCs w:val="22"/>
        </w:rPr>
        <w:t>We utilized i</w:t>
      </w:r>
      <w:r w:rsidRPr="230EC552">
        <w:rPr>
          <w:rFonts w:ascii="Arial" w:hAnsi="Arial" w:cs="Arial"/>
          <w:sz w:val="22"/>
          <w:szCs w:val="22"/>
        </w:rPr>
        <w:t>nformation from</w:t>
      </w:r>
      <w:r>
        <w:rPr>
          <w:rFonts w:ascii="Arial" w:hAnsi="Arial" w:cs="Arial"/>
          <w:sz w:val="22"/>
          <w:szCs w:val="22"/>
        </w:rPr>
        <w:t xml:space="preserve"> the</w:t>
      </w:r>
      <w:r w:rsidRPr="230EC552">
        <w:rPr>
          <w:rFonts w:ascii="Arial" w:hAnsi="Arial" w:cs="Arial"/>
          <w:sz w:val="22"/>
          <w:szCs w:val="22"/>
        </w:rPr>
        <w:t xml:space="preserve"> </w:t>
      </w:r>
      <w:r>
        <w:rPr>
          <w:rFonts w:ascii="Arial" w:hAnsi="Arial" w:cs="Arial"/>
          <w:sz w:val="22"/>
          <w:szCs w:val="22"/>
        </w:rPr>
        <w:t xml:space="preserve">UKB </w:t>
      </w:r>
      <w:r w:rsidRPr="230EC552">
        <w:rPr>
          <w:rFonts w:ascii="Arial" w:hAnsi="Arial" w:cs="Arial"/>
          <w:sz w:val="22"/>
          <w:szCs w:val="22"/>
        </w:rPr>
        <w:t xml:space="preserve">variable </w:t>
      </w:r>
      <w:r>
        <w:rPr>
          <w:rFonts w:ascii="Arial" w:hAnsi="Arial" w:cs="Arial"/>
          <w:sz w:val="22"/>
          <w:szCs w:val="22"/>
        </w:rPr>
        <w:t>(</w:t>
      </w:r>
      <w:r w:rsidRPr="230EC552">
        <w:rPr>
          <w:rFonts w:ascii="Arial" w:hAnsi="Arial" w:cs="Arial"/>
          <w:sz w:val="22"/>
          <w:szCs w:val="22"/>
        </w:rPr>
        <w:t>ID 20003</w:t>
      </w:r>
      <w:r>
        <w:rPr>
          <w:rFonts w:ascii="Arial" w:hAnsi="Arial" w:cs="Arial"/>
          <w:sz w:val="22"/>
          <w:szCs w:val="22"/>
        </w:rPr>
        <w:t>,</w:t>
      </w:r>
      <w:r w:rsidRPr="230EC552">
        <w:rPr>
          <w:rFonts w:ascii="Arial" w:hAnsi="Arial" w:cs="Arial"/>
          <w:sz w:val="22"/>
          <w:szCs w:val="22"/>
        </w:rPr>
        <w:t xml:space="preserve"> ‘Treatment/medication code’), obtained </w:t>
      </w:r>
      <w:r>
        <w:rPr>
          <w:rFonts w:ascii="Arial" w:hAnsi="Arial" w:cs="Arial"/>
          <w:sz w:val="22"/>
          <w:szCs w:val="22"/>
        </w:rPr>
        <w:t xml:space="preserve">through </w:t>
      </w:r>
      <w:r w:rsidRPr="230EC552">
        <w:rPr>
          <w:rFonts w:ascii="Arial" w:hAnsi="Arial" w:cs="Arial"/>
          <w:sz w:val="22"/>
          <w:szCs w:val="22"/>
        </w:rPr>
        <w:t xml:space="preserve">a verbal interview </w:t>
      </w:r>
      <w:r>
        <w:rPr>
          <w:rFonts w:ascii="Arial" w:hAnsi="Arial" w:cs="Arial"/>
          <w:sz w:val="22"/>
          <w:szCs w:val="22"/>
        </w:rPr>
        <w:t>with</w:t>
      </w:r>
      <w:r w:rsidRPr="230EC552">
        <w:rPr>
          <w:rFonts w:ascii="Arial" w:hAnsi="Arial" w:cs="Arial"/>
          <w:sz w:val="22"/>
          <w:szCs w:val="22"/>
        </w:rPr>
        <w:t xml:space="preserve"> the question ‘In the touch screen you said you are taking regular prescription medications. Can you now tell me what these are?’. </w:t>
      </w:r>
      <w:r w:rsidRPr="00681F26">
        <w:rPr>
          <w:rFonts w:ascii="Arial" w:hAnsi="Arial" w:cs="Arial"/>
          <w:sz w:val="22"/>
          <w:szCs w:val="22"/>
        </w:rPr>
        <w:t xml:space="preserve">The name and corresponding </w:t>
      </w:r>
      <w:r w:rsidRPr="230EC552">
        <w:rPr>
          <w:rFonts w:ascii="Arial" w:hAnsi="Arial" w:cs="Arial"/>
          <w:sz w:val="22"/>
          <w:szCs w:val="22"/>
        </w:rPr>
        <w:t>data coding</w:t>
      </w:r>
      <w:r w:rsidRPr="00681F26">
        <w:rPr>
          <w:rFonts w:ascii="Arial" w:hAnsi="Arial" w:cs="Arial"/>
          <w:sz w:val="22"/>
          <w:szCs w:val="22"/>
        </w:rPr>
        <w:t xml:space="preserve"> for each antidepressant medication in the UKB database are summarized in the list below:</w:t>
      </w:r>
    </w:p>
    <w:p w14:paraId="4B2DECEA" w14:textId="77777777" w:rsidR="00F23BD7" w:rsidRPr="00681F26" w:rsidRDefault="00F23BD7" w:rsidP="00F23BD7">
      <w:pPr>
        <w:jc w:val="both"/>
        <w:rPr>
          <w:rFonts w:ascii="Arial" w:eastAsia="Arial" w:hAnsi="Arial" w:cs="Arial"/>
          <w:i/>
          <w:iCs/>
          <w:sz w:val="20"/>
          <w:szCs w:val="20"/>
        </w:rPr>
      </w:pPr>
      <w:r w:rsidRPr="00681F26">
        <w:rPr>
          <w:rFonts w:ascii="Arial" w:eastAsia="Arial" w:hAnsi="Arial" w:cs="Arial"/>
          <w:i/>
          <w:iCs/>
          <w:sz w:val="22"/>
          <w:szCs w:val="22"/>
        </w:rPr>
        <w:t xml:space="preserve">Antidepressants List (Index, </w:t>
      </w:r>
      <w:r w:rsidRPr="00681F26">
        <w:rPr>
          <w:rFonts w:ascii="Arial" w:eastAsia="Arial" w:hAnsi="Arial" w:cs="Arial"/>
          <w:i/>
          <w:iCs/>
          <w:sz w:val="20"/>
          <w:szCs w:val="20"/>
        </w:rPr>
        <w:t xml:space="preserve">Name, UKB </w:t>
      </w:r>
      <w:r w:rsidRPr="230EC552">
        <w:rPr>
          <w:rFonts w:ascii="Arial" w:eastAsia="Arial" w:hAnsi="Arial" w:cs="Arial"/>
          <w:i/>
          <w:iCs/>
          <w:sz w:val="20"/>
          <w:szCs w:val="20"/>
        </w:rPr>
        <w:t>data coding</w:t>
      </w:r>
      <w:r w:rsidRPr="00681F26">
        <w:rPr>
          <w:rFonts w:ascii="Arial" w:eastAsia="Arial" w:hAnsi="Arial" w:cs="Arial"/>
          <w:i/>
          <w:iCs/>
          <w:sz w:val="20"/>
          <w:szCs w:val="20"/>
        </w:rPr>
        <w:t>)</w:t>
      </w:r>
    </w:p>
    <w:p w14:paraId="3BE69B75"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roofErr w:type="spellStart"/>
      <w:r w:rsidRPr="00681F26">
        <w:rPr>
          <w:rFonts w:ascii="Arial" w:hAnsi="Arial" w:cs="Arial"/>
          <w:color w:val="000000"/>
          <w:sz w:val="20"/>
          <w:szCs w:val="20"/>
        </w:rPr>
        <w:t>allegron</w:t>
      </w:r>
      <w:proofErr w:type="spellEnd"/>
      <w:r w:rsidRPr="00681F26">
        <w:rPr>
          <w:rFonts w:ascii="Arial" w:hAnsi="Arial" w:cs="Arial"/>
          <w:color w:val="000000"/>
          <w:sz w:val="20"/>
          <w:szCs w:val="20"/>
        </w:rPr>
        <w:t xml:space="preserve"> 10mg tablet, 1140867820</w:t>
      </w:r>
    </w:p>
    <w:p w14:paraId="18E6B82A"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681F26">
        <w:rPr>
          <w:rFonts w:ascii="Arial" w:hAnsi="Arial" w:cs="Arial"/>
          <w:color w:val="000000"/>
          <w:sz w:val="20"/>
          <w:szCs w:val="20"/>
        </w:rPr>
        <w:t xml:space="preserve">amitriptyline </w:t>
      </w:r>
      <w:proofErr w:type="spellStart"/>
      <w:r w:rsidRPr="00681F26">
        <w:rPr>
          <w:rFonts w:ascii="Arial" w:hAnsi="Arial" w:cs="Arial"/>
          <w:color w:val="000000"/>
          <w:sz w:val="20"/>
          <w:szCs w:val="20"/>
        </w:rPr>
        <w:t>hydrochloride+perphenazine</w:t>
      </w:r>
      <w:proofErr w:type="spellEnd"/>
      <w:r w:rsidRPr="00681F26">
        <w:rPr>
          <w:rFonts w:ascii="Arial" w:hAnsi="Arial" w:cs="Arial"/>
          <w:color w:val="000000"/>
          <w:sz w:val="20"/>
          <w:szCs w:val="20"/>
        </w:rPr>
        <w:t xml:space="preserve"> 10mg/2mg tablet, 1140867948</w:t>
      </w:r>
    </w:p>
    <w:p w14:paraId="6633E2DF"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681F26">
        <w:rPr>
          <w:rFonts w:ascii="Arial" w:hAnsi="Arial" w:cs="Arial"/>
          <w:color w:val="000000"/>
          <w:sz w:val="20"/>
          <w:szCs w:val="20"/>
        </w:rPr>
        <w:t>amitriptyline, 1140879616</w:t>
      </w:r>
    </w:p>
    <w:p w14:paraId="6F936704"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roofErr w:type="spellStart"/>
      <w:r w:rsidRPr="00681F26">
        <w:rPr>
          <w:rFonts w:ascii="Arial" w:hAnsi="Arial" w:cs="Arial"/>
          <w:color w:val="000000"/>
          <w:sz w:val="20"/>
          <w:szCs w:val="20"/>
        </w:rPr>
        <w:t>amitriptyline+chlordiazepoxide</w:t>
      </w:r>
      <w:proofErr w:type="spellEnd"/>
      <w:r w:rsidRPr="00681F26">
        <w:rPr>
          <w:rFonts w:ascii="Arial" w:hAnsi="Arial" w:cs="Arial"/>
          <w:color w:val="000000"/>
          <w:sz w:val="20"/>
          <w:szCs w:val="20"/>
        </w:rPr>
        <w:t xml:space="preserve"> 12.5mg/5mg capsule, 1140867938</w:t>
      </w:r>
    </w:p>
    <w:p w14:paraId="04E3F4C6"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681F26">
        <w:rPr>
          <w:rFonts w:ascii="Arial" w:hAnsi="Arial" w:cs="Arial"/>
          <w:color w:val="000000"/>
          <w:sz w:val="20"/>
          <w:szCs w:val="20"/>
        </w:rPr>
        <w:t>anafranil10mg capsule, 1140867690</w:t>
      </w:r>
    </w:p>
    <w:p w14:paraId="38320E32"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roofErr w:type="spellStart"/>
      <w:r w:rsidRPr="00681F26">
        <w:rPr>
          <w:rFonts w:ascii="Arial" w:hAnsi="Arial" w:cs="Arial"/>
          <w:color w:val="000000"/>
          <w:sz w:val="20"/>
          <w:szCs w:val="20"/>
        </w:rPr>
        <w:t>cipralex</w:t>
      </w:r>
      <w:proofErr w:type="spellEnd"/>
      <w:r w:rsidRPr="00681F26">
        <w:rPr>
          <w:rFonts w:ascii="Arial" w:hAnsi="Arial" w:cs="Arial"/>
          <w:color w:val="000000"/>
          <w:sz w:val="20"/>
          <w:szCs w:val="20"/>
        </w:rPr>
        <w:t xml:space="preserve"> 5mg tablet, 1141190158</w:t>
      </w:r>
    </w:p>
    <w:p w14:paraId="73576BD4"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roofErr w:type="spellStart"/>
      <w:r w:rsidRPr="00681F26">
        <w:rPr>
          <w:rFonts w:ascii="Arial" w:hAnsi="Arial" w:cs="Arial"/>
          <w:color w:val="000000"/>
          <w:sz w:val="20"/>
          <w:szCs w:val="20"/>
        </w:rPr>
        <w:t>cipramil</w:t>
      </w:r>
      <w:proofErr w:type="spellEnd"/>
      <w:r w:rsidRPr="00681F26">
        <w:rPr>
          <w:rFonts w:ascii="Arial" w:hAnsi="Arial" w:cs="Arial"/>
          <w:color w:val="000000"/>
          <w:sz w:val="20"/>
          <w:szCs w:val="20"/>
        </w:rPr>
        <w:t xml:space="preserve"> 10mg tablet, 1141151946</w:t>
      </w:r>
    </w:p>
    <w:p w14:paraId="7BD091C8"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681F26">
        <w:rPr>
          <w:rFonts w:ascii="Arial" w:hAnsi="Arial" w:cs="Arial"/>
          <w:color w:val="000000"/>
          <w:sz w:val="20"/>
          <w:szCs w:val="20"/>
        </w:rPr>
        <w:t>citalopram, 1140921600</w:t>
      </w:r>
    </w:p>
    <w:p w14:paraId="0B75A9E9"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681F26">
        <w:rPr>
          <w:rFonts w:ascii="Arial" w:hAnsi="Arial" w:cs="Arial"/>
          <w:color w:val="000000"/>
          <w:sz w:val="20"/>
          <w:szCs w:val="20"/>
        </w:rPr>
        <w:t>clomipramine, 1140879620</w:t>
      </w:r>
    </w:p>
    <w:p w14:paraId="3C03F3B0"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roofErr w:type="spellStart"/>
      <w:r w:rsidRPr="00681F26">
        <w:rPr>
          <w:rFonts w:ascii="Arial" w:hAnsi="Arial" w:cs="Arial"/>
          <w:color w:val="000000"/>
          <w:sz w:val="20"/>
          <w:szCs w:val="20"/>
        </w:rPr>
        <w:t>cymbalta</w:t>
      </w:r>
      <w:proofErr w:type="spellEnd"/>
      <w:r w:rsidRPr="00681F26">
        <w:rPr>
          <w:rFonts w:ascii="Arial" w:hAnsi="Arial" w:cs="Arial"/>
          <w:color w:val="000000"/>
          <w:sz w:val="20"/>
          <w:szCs w:val="20"/>
        </w:rPr>
        <w:t xml:space="preserve"> 30mg gastro-resistant capsule, 1141201834</w:t>
      </w:r>
    </w:p>
    <w:p w14:paraId="7EA86892"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roofErr w:type="spellStart"/>
      <w:r w:rsidRPr="00681F26">
        <w:rPr>
          <w:rFonts w:ascii="Arial" w:hAnsi="Arial" w:cs="Arial"/>
          <w:color w:val="000000"/>
          <w:sz w:val="20"/>
          <w:szCs w:val="20"/>
        </w:rPr>
        <w:t>depixol</w:t>
      </w:r>
      <w:proofErr w:type="spellEnd"/>
      <w:r w:rsidRPr="00681F26">
        <w:rPr>
          <w:rFonts w:ascii="Arial" w:hAnsi="Arial" w:cs="Arial"/>
          <w:color w:val="000000"/>
          <w:sz w:val="20"/>
          <w:szCs w:val="20"/>
        </w:rPr>
        <w:t xml:space="preserve"> 3mg tablet, 1140867152</w:t>
      </w:r>
    </w:p>
    <w:p w14:paraId="1DC0ADBD"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roofErr w:type="spellStart"/>
      <w:r w:rsidRPr="00681F26">
        <w:rPr>
          <w:rFonts w:ascii="Arial" w:hAnsi="Arial" w:cs="Arial"/>
          <w:color w:val="000000"/>
          <w:sz w:val="20"/>
          <w:szCs w:val="20"/>
        </w:rPr>
        <w:t>dosulepin</w:t>
      </w:r>
      <w:proofErr w:type="spellEnd"/>
      <w:r w:rsidRPr="00681F26">
        <w:rPr>
          <w:rFonts w:ascii="Arial" w:hAnsi="Arial" w:cs="Arial"/>
          <w:color w:val="000000"/>
          <w:sz w:val="20"/>
          <w:szCs w:val="20"/>
        </w:rPr>
        <w:t>, 1140909806</w:t>
      </w:r>
    </w:p>
    <w:p w14:paraId="03D5F984"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681F26">
        <w:rPr>
          <w:rFonts w:ascii="Arial" w:hAnsi="Arial" w:cs="Arial"/>
          <w:color w:val="000000"/>
          <w:sz w:val="20"/>
          <w:szCs w:val="20"/>
        </w:rPr>
        <w:t>dothiepin, 1140879628</w:t>
      </w:r>
    </w:p>
    <w:p w14:paraId="42D1E5DD"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681F26">
        <w:rPr>
          <w:rFonts w:ascii="Arial" w:hAnsi="Arial" w:cs="Arial"/>
          <w:color w:val="000000"/>
          <w:sz w:val="20"/>
          <w:szCs w:val="20"/>
        </w:rPr>
        <w:t>doxepin, 1140867640</w:t>
      </w:r>
    </w:p>
    <w:p w14:paraId="096C2FDF"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681F26">
        <w:rPr>
          <w:rFonts w:ascii="Arial" w:hAnsi="Arial" w:cs="Arial"/>
          <w:color w:val="000000"/>
          <w:sz w:val="20"/>
          <w:szCs w:val="20"/>
        </w:rPr>
        <w:t>duloxetine, 1141200564</w:t>
      </w:r>
    </w:p>
    <w:p w14:paraId="167536A9"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roofErr w:type="spellStart"/>
      <w:r w:rsidRPr="00681F26">
        <w:rPr>
          <w:rFonts w:ascii="Arial" w:hAnsi="Arial" w:cs="Arial"/>
          <w:color w:val="000000"/>
          <w:sz w:val="20"/>
          <w:szCs w:val="20"/>
        </w:rPr>
        <w:t>edronax</w:t>
      </w:r>
      <w:proofErr w:type="spellEnd"/>
      <w:r w:rsidRPr="00681F26">
        <w:rPr>
          <w:rFonts w:ascii="Arial" w:hAnsi="Arial" w:cs="Arial"/>
          <w:color w:val="000000"/>
          <w:sz w:val="20"/>
          <w:szCs w:val="20"/>
        </w:rPr>
        <w:t xml:space="preserve"> 4mg tablet, 1141151982</w:t>
      </w:r>
    </w:p>
    <w:p w14:paraId="29BEB129"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roofErr w:type="spellStart"/>
      <w:r w:rsidRPr="00681F26">
        <w:rPr>
          <w:rFonts w:ascii="Arial" w:hAnsi="Arial" w:cs="Arial"/>
          <w:color w:val="000000"/>
          <w:sz w:val="20"/>
          <w:szCs w:val="20"/>
        </w:rPr>
        <w:t>efexor</w:t>
      </w:r>
      <w:proofErr w:type="spellEnd"/>
      <w:r w:rsidRPr="00681F26">
        <w:rPr>
          <w:rFonts w:ascii="Arial" w:hAnsi="Arial" w:cs="Arial"/>
          <w:color w:val="000000"/>
          <w:sz w:val="20"/>
          <w:szCs w:val="20"/>
        </w:rPr>
        <w:t xml:space="preserve"> 37.5mg tablet, 1140916288</w:t>
      </w:r>
    </w:p>
    <w:p w14:paraId="139F3B7A"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681F26">
        <w:rPr>
          <w:rFonts w:ascii="Arial" w:hAnsi="Arial" w:cs="Arial"/>
          <w:color w:val="000000"/>
          <w:sz w:val="20"/>
          <w:szCs w:val="20"/>
        </w:rPr>
        <w:t>escitalopram, 1141180212</w:t>
      </w:r>
    </w:p>
    <w:p w14:paraId="5EB97908"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roofErr w:type="spellStart"/>
      <w:r w:rsidRPr="00681F26">
        <w:rPr>
          <w:rFonts w:ascii="Arial" w:hAnsi="Arial" w:cs="Arial"/>
          <w:color w:val="000000"/>
          <w:sz w:val="20"/>
          <w:szCs w:val="20"/>
        </w:rPr>
        <w:t>faverin</w:t>
      </w:r>
      <w:proofErr w:type="spellEnd"/>
      <w:r w:rsidRPr="00681F26">
        <w:rPr>
          <w:rFonts w:ascii="Arial" w:hAnsi="Arial" w:cs="Arial"/>
          <w:color w:val="000000"/>
          <w:sz w:val="20"/>
          <w:szCs w:val="20"/>
        </w:rPr>
        <w:t xml:space="preserve"> 50mg tablet, 1140867860</w:t>
      </w:r>
    </w:p>
    <w:p w14:paraId="0C650D36"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roofErr w:type="spellStart"/>
      <w:r w:rsidRPr="00681F26">
        <w:rPr>
          <w:rFonts w:ascii="Arial" w:hAnsi="Arial" w:cs="Arial"/>
          <w:color w:val="000000"/>
          <w:sz w:val="20"/>
          <w:szCs w:val="20"/>
        </w:rPr>
        <w:t>fluanxol</w:t>
      </w:r>
      <w:proofErr w:type="spellEnd"/>
      <w:r w:rsidRPr="00681F26">
        <w:rPr>
          <w:rFonts w:ascii="Arial" w:hAnsi="Arial" w:cs="Arial"/>
          <w:color w:val="000000"/>
          <w:sz w:val="20"/>
          <w:szCs w:val="20"/>
        </w:rPr>
        <w:t xml:space="preserve"> 500micrograms tablet, 1140867952</w:t>
      </w:r>
    </w:p>
    <w:p w14:paraId="1BB89A46"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681F26">
        <w:rPr>
          <w:rFonts w:ascii="Arial" w:hAnsi="Arial" w:cs="Arial"/>
          <w:color w:val="000000"/>
          <w:sz w:val="20"/>
          <w:szCs w:val="20"/>
        </w:rPr>
        <w:t>fluoxetine, 1140879540</w:t>
      </w:r>
    </w:p>
    <w:p w14:paraId="1403381D"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roofErr w:type="spellStart"/>
      <w:r w:rsidRPr="00681F26">
        <w:rPr>
          <w:rFonts w:ascii="Arial" w:hAnsi="Arial" w:cs="Arial"/>
          <w:color w:val="000000"/>
          <w:sz w:val="20"/>
          <w:szCs w:val="20"/>
        </w:rPr>
        <w:t>flupenthixol</w:t>
      </w:r>
      <w:proofErr w:type="spellEnd"/>
      <w:r w:rsidRPr="00681F26">
        <w:rPr>
          <w:rFonts w:ascii="Arial" w:hAnsi="Arial" w:cs="Arial"/>
          <w:color w:val="000000"/>
          <w:sz w:val="20"/>
          <w:szCs w:val="20"/>
        </w:rPr>
        <w:t>, 1140867150</w:t>
      </w:r>
    </w:p>
    <w:p w14:paraId="5A8C6B5A"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681F26">
        <w:rPr>
          <w:rFonts w:ascii="Arial" w:hAnsi="Arial" w:cs="Arial"/>
          <w:color w:val="000000"/>
          <w:sz w:val="20"/>
          <w:szCs w:val="20"/>
        </w:rPr>
        <w:t>flupentixol, 1140909800</w:t>
      </w:r>
    </w:p>
    <w:p w14:paraId="57FF4C16"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681F26">
        <w:rPr>
          <w:rFonts w:ascii="Arial" w:hAnsi="Arial" w:cs="Arial"/>
          <w:color w:val="000000"/>
          <w:sz w:val="20"/>
          <w:szCs w:val="20"/>
        </w:rPr>
        <w:t xml:space="preserve">fluphenazine </w:t>
      </w:r>
      <w:proofErr w:type="spellStart"/>
      <w:r w:rsidRPr="00681F26">
        <w:rPr>
          <w:rFonts w:ascii="Arial" w:hAnsi="Arial" w:cs="Arial"/>
          <w:color w:val="000000"/>
          <w:sz w:val="20"/>
          <w:szCs w:val="20"/>
        </w:rPr>
        <w:t>hydrochloride+nortriptyline</w:t>
      </w:r>
      <w:proofErr w:type="spellEnd"/>
      <w:r w:rsidRPr="00681F26">
        <w:rPr>
          <w:rFonts w:ascii="Arial" w:hAnsi="Arial" w:cs="Arial"/>
          <w:color w:val="000000"/>
          <w:sz w:val="20"/>
          <w:szCs w:val="20"/>
        </w:rPr>
        <w:t xml:space="preserve"> 1.5mg/30mg tablet, 1140867940</w:t>
      </w:r>
    </w:p>
    <w:p w14:paraId="7816D383"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681F26">
        <w:rPr>
          <w:rFonts w:ascii="Arial" w:hAnsi="Arial" w:cs="Arial"/>
          <w:color w:val="000000"/>
          <w:sz w:val="20"/>
          <w:szCs w:val="20"/>
        </w:rPr>
        <w:t>fluvoxamine, 1140879544</w:t>
      </w:r>
    </w:p>
    <w:p w14:paraId="1EBD3B88"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681F26">
        <w:rPr>
          <w:rFonts w:ascii="Arial" w:hAnsi="Arial" w:cs="Arial"/>
          <w:color w:val="000000"/>
          <w:sz w:val="20"/>
          <w:szCs w:val="20"/>
        </w:rPr>
        <w:t>imipramine, 1140879630</w:t>
      </w:r>
    </w:p>
    <w:p w14:paraId="5CA19C4F"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roofErr w:type="spellStart"/>
      <w:r w:rsidRPr="00681F26">
        <w:rPr>
          <w:rFonts w:ascii="Arial" w:hAnsi="Arial" w:cs="Arial"/>
          <w:color w:val="000000"/>
          <w:sz w:val="20"/>
          <w:szCs w:val="20"/>
        </w:rPr>
        <w:t>isocarboxazid</w:t>
      </w:r>
      <w:proofErr w:type="spellEnd"/>
      <w:r w:rsidRPr="00681F26">
        <w:rPr>
          <w:rFonts w:ascii="Arial" w:hAnsi="Arial" w:cs="Arial"/>
          <w:color w:val="000000"/>
          <w:sz w:val="20"/>
          <w:szCs w:val="20"/>
        </w:rPr>
        <w:t>, 1140867856</w:t>
      </w:r>
    </w:p>
    <w:p w14:paraId="3EF65C9D"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roofErr w:type="spellStart"/>
      <w:r w:rsidRPr="00681F26">
        <w:rPr>
          <w:rFonts w:ascii="Arial" w:hAnsi="Arial" w:cs="Arial"/>
          <w:color w:val="000000"/>
          <w:sz w:val="20"/>
          <w:szCs w:val="20"/>
        </w:rPr>
        <w:t>lofepramine</w:t>
      </w:r>
      <w:proofErr w:type="spellEnd"/>
      <w:r w:rsidRPr="00681F26">
        <w:rPr>
          <w:rFonts w:ascii="Arial" w:hAnsi="Arial" w:cs="Arial"/>
          <w:color w:val="000000"/>
          <w:sz w:val="20"/>
          <w:szCs w:val="20"/>
        </w:rPr>
        <w:t>, 1140867726</w:t>
      </w:r>
    </w:p>
    <w:p w14:paraId="0C4BCBAE"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681F26">
        <w:rPr>
          <w:rFonts w:ascii="Arial" w:hAnsi="Arial" w:cs="Arial"/>
          <w:color w:val="000000"/>
          <w:sz w:val="20"/>
          <w:szCs w:val="20"/>
        </w:rPr>
        <w:lastRenderedPageBreak/>
        <w:t>lustral 50mg tablet, 1140867884</w:t>
      </w:r>
    </w:p>
    <w:p w14:paraId="52D1811D"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roofErr w:type="spellStart"/>
      <w:r w:rsidRPr="00681F26">
        <w:rPr>
          <w:rFonts w:ascii="Arial" w:hAnsi="Arial" w:cs="Arial"/>
          <w:color w:val="000000"/>
          <w:sz w:val="20"/>
          <w:szCs w:val="20"/>
        </w:rPr>
        <w:t>manerix</w:t>
      </w:r>
      <w:proofErr w:type="spellEnd"/>
      <w:r w:rsidRPr="00681F26">
        <w:rPr>
          <w:rFonts w:ascii="Arial" w:hAnsi="Arial" w:cs="Arial"/>
          <w:color w:val="000000"/>
          <w:sz w:val="20"/>
          <w:szCs w:val="20"/>
        </w:rPr>
        <w:t xml:space="preserve"> 150mg tablet, 1140867922</w:t>
      </w:r>
    </w:p>
    <w:p w14:paraId="4A532A7F"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roofErr w:type="spellStart"/>
      <w:r w:rsidRPr="00681F26">
        <w:rPr>
          <w:rFonts w:ascii="Arial" w:hAnsi="Arial" w:cs="Arial"/>
          <w:color w:val="000000"/>
          <w:sz w:val="20"/>
          <w:szCs w:val="20"/>
        </w:rPr>
        <w:t>maoi</w:t>
      </w:r>
      <w:proofErr w:type="spellEnd"/>
      <w:r w:rsidRPr="00681F26">
        <w:rPr>
          <w:rFonts w:ascii="Arial" w:hAnsi="Arial" w:cs="Arial"/>
          <w:color w:val="000000"/>
          <w:sz w:val="20"/>
          <w:szCs w:val="20"/>
        </w:rPr>
        <w:t xml:space="preserve"> - tranylcypromine, 1140910820</w:t>
      </w:r>
    </w:p>
    <w:p w14:paraId="739238BA"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roofErr w:type="spellStart"/>
      <w:r w:rsidRPr="00681F26">
        <w:rPr>
          <w:rFonts w:ascii="Arial" w:hAnsi="Arial" w:cs="Arial"/>
          <w:color w:val="000000"/>
          <w:sz w:val="20"/>
          <w:szCs w:val="20"/>
        </w:rPr>
        <w:t>mianserin</w:t>
      </w:r>
      <w:proofErr w:type="spellEnd"/>
      <w:r w:rsidRPr="00681F26">
        <w:rPr>
          <w:rFonts w:ascii="Arial" w:hAnsi="Arial" w:cs="Arial"/>
          <w:color w:val="000000"/>
          <w:sz w:val="20"/>
          <w:szCs w:val="20"/>
        </w:rPr>
        <w:t>, 1140879556</w:t>
      </w:r>
    </w:p>
    <w:p w14:paraId="4B973BAB"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681F26">
        <w:rPr>
          <w:rFonts w:ascii="Arial" w:hAnsi="Arial" w:cs="Arial"/>
          <w:color w:val="000000"/>
          <w:sz w:val="20"/>
          <w:szCs w:val="20"/>
        </w:rPr>
        <w:t>mirtazapine, 1141152732</w:t>
      </w:r>
    </w:p>
    <w:p w14:paraId="03D8F1F5"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681F26">
        <w:rPr>
          <w:rFonts w:ascii="Arial" w:hAnsi="Arial" w:cs="Arial"/>
          <w:color w:val="000000"/>
          <w:sz w:val="20"/>
          <w:szCs w:val="20"/>
        </w:rPr>
        <w:t>moclobemide, 1140867920</w:t>
      </w:r>
    </w:p>
    <w:p w14:paraId="34C6E785"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roofErr w:type="spellStart"/>
      <w:r w:rsidRPr="00681F26">
        <w:rPr>
          <w:rFonts w:ascii="Arial" w:hAnsi="Arial" w:cs="Arial"/>
          <w:color w:val="000000"/>
          <w:sz w:val="20"/>
          <w:szCs w:val="20"/>
        </w:rPr>
        <w:t>molipaxin</w:t>
      </w:r>
      <w:proofErr w:type="spellEnd"/>
      <w:r w:rsidRPr="00681F26">
        <w:rPr>
          <w:rFonts w:ascii="Arial" w:hAnsi="Arial" w:cs="Arial"/>
          <w:color w:val="000000"/>
          <w:sz w:val="20"/>
          <w:szCs w:val="20"/>
        </w:rPr>
        <w:t xml:space="preserve"> 50mg capsule, 1140882244</w:t>
      </w:r>
    </w:p>
    <w:p w14:paraId="4DACB6E7"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roofErr w:type="spellStart"/>
      <w:r w:rsidRPr="00681F26">
        <w:rPr>
          <w:rFonts w:ascii="Arial" w:hAnsi="Arial" w:cs="Arial"/>
          <w:color w:val="000000"/>
          <w:sz w:val="20"/>
          <w:szCs w:val="20"/>
        </w:rPr>
        <w:t>nardil</w:t>
      </w:r>
      <w:proofErr w:type="spellEnd"/>
      <w:r w:rsidRPr="00681F26">
        <w:rPr>
          <w:rFonts w:ascii="Arial" w:hAnsi="Arial" w:cs="Arial"/>
          <w:color w:val="000000"/>
          <w:sz w:val="20"/>
          <w:szCs w:val="20"/>
        </w:rPr>
        <w:t xml:space="preserve"> 15mg tablet, 1140867852</w:t>
      </w:r>
    </w:p>
    <w:p w14:paraId="75F190BC"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681F26">
        <w:rPr>
          <w:rFonts w:ascii="Arial" w:hAnsi="Arial" w:cs="Arial"/>
          <w:color w:val="000000"/>
          <w:sz w:val="20"/>
          <w:szCs w:val="20"/>
        </w:rPr>
        <w:t>nortriptyline, 1140867818</w:t>
      </w:r>
    </w:p>
    <w:p w14:paraId="4F4A6DD0"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roofErr w:type="spellStart"/>
      <w:r w:rsidRPr="00681F26">
        <w:rPr>
          <w:rFonts w:ascii="Arial" w:hAnsi="Arial" w:cs="Arial"/>
          <w:color w:val="000000"/>
          <w:sz w:val="20"/>
          <w:szCs w:val="20"/>
        </w:rPr>
        <w:t>oxactin</w:t>
      </w:r>
      <w:proofErr w:type="spellEnd"/>
      <w:r w:rsidRPr="00681F26">
        <w:rPr>
          <w:rFonts w:ascii="Arial" w:hAnsi="Arial" w:cs="Arial"/>
          <w:color w:val="000000"/>
          <w:sz w:val="20"/>
          <w:szCs w:val="20"/>
        </w:rPr>
        <w:t xml:space="preserve"> 20mg capsule, 1141174756</w:t>
      </w:r>
    </w:p>
    <w:p w14:paraId="7563A597"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roofErr w:type="spellStart"/>
      <w:r w:rsidRPr="00681F26">
        <w:rPr>
          <w:rFonts w:ascii="Arial" w:hAnsi="Arial" w:cs="Arial"/>
          <w:color w:val="000000"/>
          <w:sz w:val="20"/>
          <w:szCs w:val="20"/>
        </w:rPr>
        <w:t>parnate</w:t>
      </w:r>
      <w:proofErr w:type="spellEnd"/>
      <w:r w:rsidRPr="00681F26">
        <w:rPr>
          <w:rFonts w:ascii="Arial" w:hAnsi="Arial" w:cs="Arial"/>
          <w:color w:val="000000"/>
          <w:sz w:val="20"/>
          <w:szCs w:val="20"/>
        </w:rPr>
        <w:t xml:space="preserve"> 10mg tablet, 1140867916</w:t>
      </w:r>
    </w:p>
    <w:p w14:paraId="0AD49AAE"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681F26">
        <w:rPr>
          <w:rFonts w:ascii="Arial" w:hAnsi="Arial" w:cs="Arial"/>
          <w:color w:val="000000"/>
          <w:sz w:val="20"/>
          <w:szCs w:val="20"/>
        </w:rPr>
        <w:t>paroxetine, 1140867888</w:t>
      </w:r>
    </w:p>
    <w:p w14:paraId="193EAC40"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681F26">
        <w:rPr>
          <w:rFonts w:ascii="Arial" w:hAnsi="Arial" w:cs="Arial"/>
          <w:color w:val="000000"/>
          <w:sz w:val="20"/>
          <w:szCs w:val="20"/>
        </w:rPr>
        <w:t>phenelzine, 1140867850</w:t>
      </w:r>
    </w:p>
    <w:p w14:paraId="1462DF15"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roofErr w:type="spellStart"/>
      <w:r w:rsidRPr="00681F26">
        <w:rPr>
          <w:rFonts w:ascii="Arial" w:hAnsi="Arial" w:cs="Arial"/>
          <w:color w:val="000000"/>
          <w:sz w:val="20"/>
          <w:szCs w:val="20"/>
        </w:rPr>
        <w:t>prothiaden</w:t>
      </w:r>
      <w:proofErr w:type="spellEnd"/>
      <w:r w:rsidRPr="00681F26">
        <w:rPr>
          <w:rFonts w:ascii="Arial" w:hAnsi="Arial" w:cs="Arial"/>
          <w:color w:val="000000"/>
          <w:sz w:val="20"/>
          <w:szCs w:val="20"/>
        </w:rPr>
        <w:t xml:space="preserve"> 25mg capsule, 1140867624</w:t>
      </w:r>
    </w:p>
    <w:p w14:paraId="3014D536"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roofErr w:type="spellStart"/>
      <w:r w:rsidRPr="00681F26">
        <w:rPr>
          <w:rFonts w:ascii="Arial" w:hAnsi="Arial" w:cs="Arial"/>
          <w:color w:val="000000"/>
          <w:sz w:val="20"/>
          <w:szCs w:val="20"/>
        </w:rPr>
        <w:t>prozac</w:t>
      </w:r>
      <w:proofErr w:type="spellEnd"/>
      <w:r w:rsidRPr="00681F26">
        <w:rPr>
          <w:rFonts w:ascii="Arial" w:hAnsi="Arial" w:cs="Arial"/>
          <w:color w:val="000000"/>
          <w:sz w:val="20"/>
          <w:szCs w:val="20"/>
        </w:rPr>
        <w:t xml:space="preserve"> 20mg capsule, 1140867876</w:t>
      </w:r>
    </w:p>
    <w:p w14:paraId="2A445561"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681F26">
        <w:rPr>
          <w:rFonts w:ascii="Arial" w:hAnsi="Arial" w:cs="Arial"/>
          <w:color w:val="000000"/>
          <w:sz w:val="20"/>
          <w:szCs w:val="20"/>
        </w:rPr>
        <w:t>reboxetine, 1141151978</w:t>
      </w:r>
    </w:p>
    <w:p w14:paraId="1A8C3F22"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roofErr w:type="spellStart"/>
      <w:r w:rsidRPr="00681F26">
        <w:rPr>
          <w:rFonts w:ascii="Arial" w:hAnsi="Arial" w:cs="Arial"/>
          <w:color w:val="000000"/>
          <w:sz w:val="20"/>
          <w:szCs w:val="20"/>
        </w:rPr>
        <w:t>seroxat</w:t>
      </w:r>
      <w:proofErr w:type="spellEnd"/>
      <w:r w:rsidRPr="00681F26">
        <w:rPr>
          <w:rFonts w:ascii="Arial" w:hAnsi="Arial" w:cs="Arial"/>
          <w:color w:val="000000"/>
          <w:sz w:val="20"/>
          <w:szCs w:val="20"/>
        </w:rPr>
        <w:t xml:space="preserve"> 20mg tablet, 1140882236</w:t>
      </w:r>
    </w:p>
    <w:p w14:paraId="115ECD7A"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681F26">
        <w:rPr>
          <w:rFonts w:ascii="Arial" w:hAnsi="Arial" w:cs="Arial"/>
          <w:color w:val="000000"/>
          <w:sz w:val="20"/>
          <w:szCs w:val="20"/>
        </w:rPr>
        <w:t>sertraline, 1140867878</w:t>
      </w:r>
    </w:p>
    <w:p w14:paraId="7CFD77CA"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roofErr w:type="spellStart"/>
      <w:r w:rsidRPr="00681F26">
        <w:rPr>
          <w:rFonts w:ascii="Arial" w:hAnsi="Arial" w:cs="Arial"/>
          <w:color w:val="000000"/>
          <w:sz w:val="20"/>
          <w:szCs w:val="20"/>
        </w:rPr>
        <w:t>st</w:t>
      </w:r>
      <w:proofErr w:type="spellEnd"/>
      <w:r w:rsidRPr="00681F26">
        <w:rPr>
          <w:rFonts w:ascii="Arial" w:hAnsi="Arial" w:cs="Arial"/>
          <w:color w:val="000000"/>
          <w:sz w:val="20"/>
          <w:szCs w:val="20"/>
        </w:rPr>
        <w:t xml:space="preserve"> john's wort/hypericum [</w:t>
      </w:r>
      <w:proofErr w:type="spellStart"/>
      <w:r w:rsidRPr="00681F26">
        <w:rPr>
          <w:rFonts w:ascii="Arial" w:hAnsi="Arial" w:cs="Arial"/>
          <w:color w:val="000000"/>
          <w:sz w:val="20"/>
          <w:szCs w:val="20"/>
        </w:rPr>
        <w:t>ctsu</w:t>
      </w:r>
      <w:proofErr w:type="spellEnd"/>
      <w:r w:rsidRPr="00681F26">
        <w:rPr>
          <w:rFonts w:ascii="Arial" w:hAnsi="Arial" w:cs="Arial"/>
          <w:color w:val="000000"/>
          <w:sz w:val="20"/>
          <w:szCs w:val="20"/>
        </w:rPr>
        <w:t>], 1201</w:t>
      </w:r>
    </w:p>
    <w:p w14:paraId="22E9829C"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roofErr w:type="spellStart"/>
      <w:r w:rsidRPr="00681F26">
        <w:rPr>
          <w:rFonts w:ascii="Arial" w:hAnsi="Arial" w:cs="Arial"/>
          <w:color w:val="000000"/>
          <w:sz w:val="20"/>
          <w:szCs w:val="20"/>
        </w:rPr>
        <w:t>sinequan</w:t>
      </w:r>
      <w:proofErr w:type="spellEnd"/>
      <w:r w:rsidRPr="00681F26">
        <w:rPr>
          <w:rFonts w:ascii="Arial" w:hAnsi="Arial" w:cs="Arial"/>
          <w:color w:val="000000"/>
          <w:sz w:val="20"/>
          <w:szCs w:val="20"/>
        </w:rPr>
        <w:t xml:space="preserve"> 10mg capsule, 1140882312</w:t>
      </w:r>
    </w:p>
    <w:p w14:paraId="734468AB"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roofErr w:type="spellStart"/>
      <w:r w:rsidRPr="00681F26">
        <w:rPr>
          <w:rFonts w:ascii="Arial" w:hAnsi="Arial" w:cs="Arial"/>
          <w:color w:val="000000"/>
          <w:sz w:val="20"/>
          <w:szCs w:val="20"/>
        </w:rPr>
        <w:t>surmontil</w:t>
      </w:r>
      <w:proofErr w:type="spellEnd"/>
      <w:r w:rsidRPr="00681F26">
        <w:rPr>
          <w:rFonts w:ascii="Arial" w:hAnsi="Arial" w:cs="Arial"/>
          <w:color w:val="000000"/>
          <w:sz w:val="20"/>
          <w:szCs w:val="20"/>
        </w:rPr>
        <w:t xml:space="preserve"> 10mg tablet, 1140867758</w:t>
      </w:r>
    </w:p>
    <w:p w14:paraId="22706BB3"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roofErr w:type="spellStart"/>
      <w:r w:rsidRPr="00681F26">
        <w:rPr>
          <w:rFonts w:ascii="Arial" w:hAnsi="Arial" w:cs="Arial"/>
          <w:color w:val="000000"/>
          <w:sz w:val="20"/>
          <w:szCs w:val="20"/>
        </w:rPr>
        <w:t>tofranil</w:t>
      </w:r>
      <w:proofErr w:type="spellEnd"/>
      <w:r w:rsidRPr="00681F26">
        <w:rPr>
          <w:rFonts w:ascii="Arial" w:hAnsi="Arial" w:cs="Arial"/>
          <w:color w:val="000000"/>
          <w:sz w:val="20"/>
          <w:szCs w:val="20"/>
        </w:rPr>
        <w:t xml:space="preserve"> 10mg tablet, 1140867712</w:t>
      </w:r>
    </w:p>
    <w:p w14:paraId="4DE06401"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681F26">
        <w:rPr>
          <w:rFonts w:ascii="Arial" w:hAnsi="Arial" w:cs="Arial"/>
          <w:color w:val="000000"/>
          <w:sz w:val="20"/>
          <w:szCs w:val="20"/>
        </w:rPr>
        <w:t>tranylcypromine, 1140867914</w:t>
      </w:r>
    </w:p>
    <w:p w14:paraId="34695A1F"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roofErr w:type="spellStart"/>
      <w:r w:rsidRPr="00681F26">
        <w:rPr>
          <w:rFonts w:ascii="Arial" w:hAnsi="Arial" w:cs="Arial"/>
          <w:color w:val="000000"/>
          <w:sz w:val="20"/>
          <w:szCs w:val="20"/>
        </w:rPr>
        <w:t>tranylcypromine+trifluoperazine</w:t>
      </w:r>
      <w:proofErr w:type="spellEnd"/>
      <w:r w:rsidRPr="00681F26">
        <w:rPr>
          <w:rFonts w:ascii="Arial" w:hAnsi="Arial" w:cs="Arial"/>
          <w:color w:val="000000"/>
          <w:sz w:val="20"/>
          <w:szCs w:val="20"/>
        </w:rPr>
        <w:t xml:space="preserve"> 10mg/1mg tablet, 1140867944</w:t>
      </w:r>
    </w:p>
    <w:p w14:paraId="48B33658"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681F26">
        <w:rPr>
          <w:rFonts w:ascii="Arial" w:hAnsi="Arial" w:cs="Arial"/>
          <w:color w:val="000000"/>
          <w:sz w:val="20"/>
          <w:szCs w:val="20"/>
        </w:rPr>
        <w:t>trazodone, 1140879634</w:t>
      </w:r>
    </w:p>
    <w:p w14:paraId="1E38BB11"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681F26">
        <w:rPr>
          <w:rFonts w:ascii="Arial" w:hAnsi="Arial" w:cs="Arial"/>
          <w:color w:val="000000"/>
          <w:sz w:val="20"/>
          <w:szCs w:val="20"/>
        </w:rPr>
        <w:t>trimipramine, 1140867756</w:t>
      </w:r>
    </w:p>
    <w:p w14:paraId="016D40A3"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roofErr w:type="spellStart"/>
      <w:r w:rsidRPr="00681F26">
        <w:rPr>
          <w:rFonts w:ascii="Arial" w:hAnsi="Arial" w:cs="Arial"/>
          <w:color w:val="000000"/>
          <w:sz w:val="20"/>
          <w:szCs w:val="20"/>
        </w:rPr>
        <w:t>triptafen</w:t>
      </w:r>
      <w:proofErr w:type="spellEnd"/>
      <w:r w:rsidRPr="00681F26">
        <w:rPr>
          <w:rFonts w:ascii="Arial" w:hAnsi="Arial" w:cs="Arial"/>
          <w:color w:val="000000"/>
          <w:sz w:val="20"/>
          <w:szCs w:val="20"/>
        </w:rPr>
        <w:t xml:space="preserve"> tablet, 1140867934</w:t>
      </w:r>
    </w:p>
    <w:p w14:paraId="57556F4D"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681F26">
        <w:rPr>
          <w:rFonts w:ascii="Arial" w:hAnsi="Arial" w:cs="Arial"/>
          <w:color w:val="000000"/>
          <w:sz w:val="20"/>
          <w:szCs w:val="20"/>
        </w:rPr>
        <w:t>tryptophan product, 1140867960</w:t>
      </w:r>
    </w:p>
    <w:p w14:paraId="039BBEC2"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681F26">
        <w:rPr>
          <w:rFonts w:ascii="Arial" w:hAnsi="Arial" w:cs="Arial"/>
          <w:color w:val="000000"/>
          <w:sz w:val="20"/>
          <w:szCs w:val="20"/>
        </w:rPr>
        <w:t>venlafaxine, 1140916282</w:t>
      </w:r>
    </w:p>
    <w:p w14:paraId="08F1D8FE" w14:textId="77777777" w:rsidR="00F23BD7" w:rsidRPr="00681F26" w:rsidRDefault="00F23BD7" w:rsidP="00F23BD7">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roofErr w:type="spellStart"/>
      <w:r w:rsidRPr="00681F26">
        <w:rPr>
          <w:rFonts w:ascii="Arial" w:hAnsi="Arial" w:cs="Arial"/>
          <w:color w:val="000000"/>
          <w:sz w:val="20"/>
          <w:szCs w:val="20"/>
        </w:rPr>
        <w:t>yentreve</w:t>
      </w:r>
      <w:proofErr w:type="spellEnd"/>
      <w:r w:rsidRPr="00681F26">
        <w:rPr>
          <w:rFonts w:ascii="Arial" w:hAnsi="Arial" w:cs="Arial"/>
          <w:color w:val="000000"/>
          <w:sz w:val="20"/>
          <w:szCs w:val="20"/>
        </w:rPr>
        <w:t xml:space="preserve"> 20mg gastro-resistant capsule, 1141200570</w:t>
      </w:r>
    </w:p>
    <w:p w14:paraId="411E4ACF" w14:textId="77777777" w:rsidR="00F23BD7" w:rsidRPr="00681F26" w:rsidRDefault="00F23BD7" w:rsidP="00F23BD7">
      <w:pPr>
        <w:pStyle w:val="ListParagraph"/>
        <w:numPr>
          <w:ilvl w:val="0"/>
          <w:numId w:val="1"/>
        </w:numPr>
        <w:rPr>
          <w:rFonts w:ascii="Arial" w:hAnsi="Arial" w:cs="Arial"/>
          <w:sz w:val="22"/>
          <w:szCs w:val="22"/>
        </w:rPr>
      </w:pPr>
      <w:proofErr w:type="spellStart"/>
      <w:r w:rsidRPr="00681F26">
        <w:rPr>
          <w:rFonts w:ascii="Arial" w:hAnsi="Arial" w:cs="Arial"/>
          <w:color w:val="000000"/>
          <w:sz w:val="20"/>
          <w:szCs w:val="20"/>
        </w:rPr>
        <w:t>zispin</w:t>
      </w:r>
      <w:proofErr w:type="spellEnd"/>
      <w:r w:rsidRPr="00681F26">
        <w:rPr>
          <w:rFonts w:ascii="Arial" w:hAnsi="Arial" w:cs="Arial"/>
          <w:color w:val="000000"/>
          <w:sz w:val="20"/>
          <w:szCs w:val="20"/>
        </w:rPr>
        <w:t xml:space="preserve"> 30mg tablet, 1141152736</w:t>
      </w:r>
    </w:p>
    <w:p w14:paraId="4228CC6D" w14:textId="77777777" w:rsidR="00F23BD7" w:rsidRDefault="00F23BD7" w:rsidP="00F23BD7">
      <w:pPr>
        <w:jc w:val="both"/>
        <w:rPr>
          <w:rFonts w:ascii="Arial" w:hAnsi="Arial" w:cs="Arial"/>
          <w:b/>
          <w:bCs/>
          <w:iCs/>
          <w:sz w:val="20"/>
          <w:szCs w:val="20"/>
          <w:u w:val="single"/>
        </w:rPr>
      </w:pPr>
    </w:p>
    <w:p w14:paraId="32375AA6" w14:textId="77777777" w:rsidR="00F23BD7" w:rsidRDefault="00F23BD7" w:rsidP="00F23BD7">
      <w:pPr>
        <w:jc w:val="both"/>
        <w:rPr>
          <w:rFonts w:ascii="Arial" w:eastAsia="Arial" w:hAnsi="Arial" w:cs="Arial"/>
          <w:b/>
          <w:bCs/>
          <w:sz w:val="22"/>
          <w:szCs w:val="22"/>
        </w:rPr>
      </w:pPr>
    </w:p>
    <w:p w14:paraId="109D5F1C" w14:textId="77777777" w:rsidR="00F23BD7" w:rsidRDefault="00F23BD7" w:rsidP="00F23BD7">
      <w:pPr>
        <w:jc w:val="both"/>
        <w:rPr>
          <w:rFonts w:ascii="Arial" w:hAnsi="Arial" w:cs="Arial"/>
          <w:b/>
          <w:bCs/>
          <w:iCs/>
          <w:sz w:val="20"/>
          <w:szCs w:val="20"/>
          <w:u w:val="single"/>
        </w:rPr>
      </w:pPr>
    </w:p>
    <w:p w14:paraId="00566F9F" w14:textId="77777777" w:rsidR="00F23BD7" w:rsidRPr="00681F26" w:rsidRDefault="00F23BD7" w:rsidP="00F23BD7">
      <w:pPr>
        <w:jc w:val="both"/>
        <w:rPr>
          <w:rFonts w:ascii="Arial" w:hAnsi="Arial" w:cs="Arial"/>
          <w:b/>
          <w:bCs/>
          <w:iCs/>
          <w:sz w:val="20"/>
          <w:szCs w:val="20"/>
          <w:u w:val="single"/>
        </w:rPr>
      </w:pPr>
      <w:r w:rsidRPr="00681F26">
        <w:rPr>
          <w:rFonts w:ascii="Arial" w:hAnsi="Arial" w:cs="Arial"/>
          <w:b/>
          <w:bCs/>
          <w:iCs/>
          <w:sz w:val="20"/>
          <w:szCs w:val="20"/>
          <w:u w:val="single"/>
        </w:rPr>
        <w:t>fMRI Data Decomposition</w:t>
      </w:r>
    </w:p>
    <w:p w14:paraId="0F04CDF4" w14:textId="77777777" w:rsidR="00F23BD7" w:rsidRPr="00681F26" w:rsidRDefault="00F23BD7" w:rsidP="00F23BD7">
      <w:pPr>
        <w:ind w:firstLine="720"/>
        <w:jc w:val="both"/>
        <w:rPr>
          <w:rFonts w:ascii="Arial" w:hAnsi="Arial" w:cs="Arial"/>
          <w:sz w:val="22"/>
          <w:szCs w:val="22"/>
        </w:rPr>
      </w:pPr>
      <w:r w:rsidRPr="00681F26">
        <w:rPr>
          <w:rFonts w:ascii="Arial" w:hAnsi="Arial" w:cs="Arial"/>
          <w:iCs/>
          <w:sz w:val="22"/>
          <w:szCs w:val="22"/>
        </w:rPr>
        <w:t xml:space="preserve">In the main analysis, the resting-state fMRI data were decomposed into 15 probabilistic modes or brain networks using the </w:t>
      </w:r>
      <w:proofErr w:type="spellStart"/>
      <w:r w:rsidRPr="00681F26">
        <w:rPr>
          <w:rFonts w:ascii="Arial" w:hAnsi="Arial" w:cs="Arial"/>
          <w:iCs/>
          <w:sz w:val="22"/>
          <w:szCs w:val="22"/>
        </w:rPr>
        <w:t>PRObabilistic</w:t>
      </w:r>
      <w:proofErr w:type="spellEnd"/>
      <w:r w:rsidRPr="00681F26">
        <w:rPr>
          <w:rFonts w:ascii="Arial" w:hAnsi="Arial" w:cs="Arial"/>
          <w:iCs/>
          <w:sz w:val="22"/>
          <w:szCs w:val="22"/>
        </w:rPr>
        <w:t xml:space="preserve"> Functional Modes (PROFUMO). </w:t>
      </w:r>
      <w:r w:rsidRPr="00681F26">
        <w:rPr>
          <w:rFonts w:ascii="Arial" w:hAnsi="Arial" w:cs="Arial"/>
          <w:iCs/>
          <w:sz w:val="20"/>
          <w:szCs w:val="20"/>
        </w:rPr>
        <w:t xml:space="preserve">PROFUMO </w:t>
      </w:r>
      <w:r w:rsidRPr="00681F26">
        <w:rPr>
          <w:rFonts w:ascii="Arial" w:hAnsi="Arial" w:cs="Arial"/>
          <w:sz w:val="22"/>
          <w:szCs w:val="22"/>
        </w:rPr>
        <w:t xml:space="preserve">is a hierarchical Bayesian approach that can decompose resting-state neuroimaging data into a set of modes or resting-state networks </w:t>
      </w:r>
      <w:hyperlink r:id="rId5">
        <w:r w:rsidRPr="00681F26">
          <w:rPr>
            <w:rFonts w:ascii="Arial" w:hAnsi="Arial" w:cs="Arial"/>
            <w:sz w:val="22"/>
            <w:szCs w:val="22"/>
            <w:vertAlign w:val="superscript"/>
          </w:rPr>
          <w:t>38,49</w:t>
        </w:r>
      </w:hyperlink>
      <w:r w:rsidRPr="00681F26">
        <w:rPr>
          <w:rFonts w:ascii="Arial" w:hAnsi="Arial" w:cs="Arial"/>
          <w:sz w:val="22"/>
          <w:szCs w:val="22"/>
        </w:rPr>
        <w:t xml:space="preserve">. Each estimated functional mode is described by a spatial map, network matrix (i.e., connectivity matrix </w:t>
      </w:r>
      <w:r>
        <w:rPr>
          <w:rFonts w:ascii="Arial" w:hAnsi="Arial" w:cs="Arial"/>
          <w:sz w:val="22"/>
          <w:szCs w:val="22"/>
        </w:rPr>
        <w:t>–</w:t>
      </w:r>
      <w:r w:rsidRPr="00681F26">
        <w:rPr>
          <w:rFonts w:ascii="Arial" w:hAnsi="Arial" w:cs="Arial"/>
          <w:sz w:val="22"/>
          <w:szCs w:val="22"/>
        </w:rPr>
        <w:t xml:space="preserve"> estimated as the partial correlation between mode time-courses), and mode amplitude. </w:t>
      </w:r>
      <w:r w:rsidRPr="00567FE8">
        <w:rPr>
          <w:rFonts w:ascii="Arial" w:hAnsi="Arial" w:cs="Arial"/>
          <w:sz w:val="22"/>
          <w:szCs w:val="22"/>
        </w:rPr>
        <w:t xml:space="preserve">PROFUMO offers several advantages over alternative approaches, such as Independent Component Analysis </w:t>
      </w:r>
      <w:r w:rsidRPr="00567FE8">
        <w:rPr>
          <w:rFonts w:ascii="Arial" w:hAnsi="Arial" w:cs="Arial"/>
          <w:sz w:val="22"/>
          <w:szCs w:val="22"/>
        </w:rPr>
        <w:fldChar w:fldCharType="begin"/>
      </w:r>
      <w:r>
        <w:rPr>
          <w:rFonts w:ascii="Arial" w:hAnsi="Arial" w:cs="Arial"/>
          <w:sz w:val="22"/>
          <w:szCs w:val="22"/>
        </w:rPr>
        <w:instrText xml:space="preserve"> ADDIN ZOTERO_ITEM CSL_CITATION {"citationID":"hmginhiG","properties":{"formattedCitation":"(Beckmann et al., 2005)","plainCitation":"(Beckmann et al., 2005)","noteIndex":0},"citationItems":[{"id":1331,"uris":["http://zotero.org/users/10421297/items/HZGZDG8T"],"itemData":{"id":1331,"type":"article-journal","abstract":"Inferring resting-state connectivity patterns from functional magnetic resonance imaging (fMRI) data is a challenging task for any analytical technique. In this paper, we review a probabilistic independent component analysis (PICA) approach, optimized for the analysis of fMRI data, and discuss the role which this exploratory technique can take in scientific investigations into the structure of these effects. We apply PICA to fMRI data acquired at rest, in order to characterize the spatio-temporal structure of such data, and demonstrate that this is an effective and robust tool for the identification of low-frequency resting-state patterns from data acquired at various different spatial and temporal resolutions. We show that these networks exhibit high spatial consistency across subjects and closely resemble discrete cortical functional networks such as visual cortical areas or sensory–motor cortex.","container-title":"Philosophical Transactions of the Royal Society B: Biological Sciences","DOI":"10.1098/rstb.2005.1634","ISSN":"0962-8436","issue":"1457","journalAbbreviation":"Philos Trans R Soc Lond B Biol Sci","note":"PMID: 16087444\nPMCID: PMC1854918","page":"1001-1013","source":"PubMed Central","title":"Investigations into resting-state connectivity using independent component analysis","volume":"360","author":[{"family":"Beckmann","given":"Christian F"},{"family":"DeLuca","given":"Marilena"},{"family":"Devlin","given":"Joseph T"},{"family":"Smith","given":"Stephen M"}],"issued":{"date-parts":[["2005",5,29]]}}}],"schema":"https://github.com/citation-style-language/schema/raw/master/csl-citation.json"} </w:instrText>
      </w:r>
      <w:r w:rsidRPr="00567FE8">
        <w:rPr>
          <w:rFonts w:ascii="Arial" w:hAnsi="Arial" w:cs="Arial"/>
          <w:sz w:val="22"/>
          <w:szCs w:val="22"/>
        </w:rPr>
        <w:fldChar w:fldCharType="separate"/>
      </w:r>
      <w:r>
        <w:rPr>
          <w:rFonts w:ascii="Arial" w:hAnsi="Arial" w:cs="Arial"/>
          <w:kern w:val="0"/>
          <w:sz w:val="22"/>
          <w:szCs w:val="22"/>
        </w:rPr>
        <w:t>(Beckmann et al., 2005)</w:t>
      </w:r>
      <w:r w:rsidRPr="00567FE8">
        <w:rPr>
          <w:rFonts w:ascii="Arial" w:hAnsi="Arial" w:cs="Arial"/>
          <w:sz w:val="22"/>
          <w:szCs w:val="22"/>
        </w:rPr>
        <w:fldChar w:fldCharType="end"/>
      </w:r>
      <w:r w:rsidRPr="00567FE8">
        <w:rPr>
          <w:rFonts w:ascii="Arial" w:hAnsi="Arial" w:cs="Arial"/>
          <w:sz w:val="22"/>
          <w:szCs w:val="22"/>
        </w:rPr>
        <w:t xml:space="preserve"> in conjunction with Dual Regression </w:t>
      </w:r>
      <w:r w:rsidRPr="00567FE8">
        <w:rPr>
          <w:rFonts w:ascii="Arial" w:hAnsi="Arial" w:cs="Arial"/>
          <w:sz w:val="22"/>
          <w:szCs w:val="22"/>
        </w:rPr>
        <w:fldChar w:fldCharType="begin"/>
      </w:r>
      <w:r>
        <w:rPr>
          <w:rFonts w:ascii="Arial" w:hAnsi="Arial" w:cs="Arial"/>
          <w:sz w:val="22"/>
          <w:szCs w:val="22"/>
        </w:rPr>
        <w:instrText xml:space="preserve"> ADDIN ZOTERO_ITEM CSL_CITATION {"citationID":"UFGNGYLx","properties":{"formattedCitation":"(Nickerson et al., 2017)","plainCitation":"(Nickerson et al., 2017)","noteIndex":0},"citationItems":[{"id":1336,"uris":["http://zotero.org/users/10421297/items/73CXLPTK"],"itemData":{"id":1336,"type":"article-journal","abstract":"Independent Component Analysis (ICA) is one of the most popular techniques for the analysis of resting state FMRI data because it has several advantageous properties when compared with other techniques. Most notably, in contrast to a conventional seed-based correlation analysis, it is model-free and multivariate, thus switching the focus from evaluating the functional connectivity of single brain regions identified a priori to evaluating brain connectivity in terms of all brain resting state networks (RSNs) that simultaneously engage in oscillatory activity. Furthermore, typical seed-based analysis characterizes RSNs in terms of spatially distributed patterns of correlation (typically by means of simple Pearson's coefficients) and thereby confounds together amplitude information of oscillatory activity and noise. ICA and other regression techniques, on the other hand, retain magnitude information and therefore can be sensitive to both changes in the spatially distributed nature of correlations (differences in the spatial pattern or “shape”) as well as the amplitude of the network activity. Furthermore, motion can mimic amplitude effects so it is crucial to use a technique that retains such information to ensure that connectivity differences are accurately localized. In this work, we investigate the dual regression approach that is frequently applied with group ICA to assess group differences in resting state functional connectivity of brain networks. We show how ignoring amplitude effects and how excessive motion corrupts connectivity maps and results in spurious connectivity differences. We also show how to implement the dual regression to retain amplitude information and how to use dual regression outputs to identify potential motion effects. Two key findings are that using a technique that retains magnitude information, e.g., dual regression, and using strict motion criteria are crucial for controlling both network amplitude and motion-related amplitude effects, respectively, in resting state connectivity analyses. We illustrate these concepts using realistic simulated resting state FMRI data and in vivo data acquired in healthy subjects and patients with bipolar disorder and schizophrenia.","container-title":"Frontiers in Neuroscience","DOI":"10.3389/fnins.2017.00115","ISSN":"1662-4548","journalAbbreviation":"Front Neurosci","note":"PMID: 28348512\nPMCID: PMC5346569","page":"115","source":"PubMed Central","title":"Using Dual Regression to Investigate Network Shape and Amplitude in Functional Connectivity Analyses","volume":"11","author":[{"family":"Nickerson","given":"Lisa D."},{"family":"Smith","given":"Stephen M."},{"family":"Öngür","given":"Döst"},{"family":"Beckmann","given":"Christian F."}],"issued":{"date-parts":[["2017",3,13]]}}}],"schema":"https://github.com/citation-style-language/schema/raw/master/csl-citation.json"} </w:instrText>
      </w:r>
      <w:r w:rsidRPr="00567FE8">
        <w:rPr>
          <w:rFonts w:ascii="Arial" w:hAnsi="Arial" w:cs="Arial"/>
          <w:sz w:val="22"/>
          <w:szCs w:val="22"/>
        </w:rPr>
        <w:fldChar w:fldCharType="separate"/>
      </w:r>
      <w:r>
        <w:rPr>
          <w:rFonts w:ascii="Arial" w:hAnsi="Arial" w:cs="Arial"/>
          <w:kern w:val="0"/>
          <w:sz w:val="22"/>
          <w:szCs w:val="22"/>
        </w:rPr>
        <w:t>(Nickerson et al., 2017)</w:t>
      </w:r>
      <w:r w:rsidRPr="00567FE8">
        <w:rPr>
          <w:rFonts w:ascii="Arial" w:hAnsi="Arial" w:cs="Arial"/>
          <w:sz w:val="22"/>
          <w:szCs w:val="22"/>
        </w:rPr>
        <w:fldChar w:fldCharType="end"/>
      </w:r>
      <w:r w:rsidRPr="00567FE8">
        <w:rPr>
          <w:rFonts w:ascii="Arial" w:hAnsi="Arial" w:cs="Arial"/>
          <w:sz w:val="22"/>
          <w:szCs w:val="22"/>
        </w:rPr>
        <w:t xml:space="preserve">. Unlike these alternatives, PROFUMO circumvents the spatial independence constraint, allowing it to effectively capture overlapping network structures </w:t>
      </w:r>
      <w:r w:rsidRPr="00567FE8">
        <w:rPr>
          <w:rFonts w:ascii="Arial" w:hAnsi="Arial" w:cs="Arial"/>
          <w:sz w:val="22"/>
          <w:szCs w:val="22"/>
        </w:rPr>
        <w:fldChar w:fldCharType="begin"/>
      </w:r>
      <w:r>
        <w:rPr>
          <w:rFonts w:ascii="Arial" w:hAnsi="Arial" w:cs="Arial"/>
          <w:sz w:val="22"/>
          <w:szCs w:val="22"/>
        </w:rPr>
        <w:instrText xml:space="preserve"> ADDIN ZOTERO_ITEM CSL_CITATION {"citationID":"OgzUmYwU","properties":{"formattedCitation":"(Bijsterbosch et al., 2019)","plainCitation":"(Bijsterbosch et al., 2019)","noteIndex":0},"citationItems":[{"id":983,"uris":["http://zotero.org/users/10421297/items/PJBSN4DY"],"itemData":{"id":983,"type":"article-journal","abstract":"Previously we showed that network-based modelling of brain connectivity interacts strongly with the shape and exact location of brain regions, such that cross-subject variations in the spatial configuration of functional brain regions are being interpreted as changes in functional connectivity (Bijsterbosch et al., 2018). Here we show that these spatial effects on connectivity estimates actually occur as a result of spatial overlap between brain networks. This is shown to systematically bias connectivity estimates obtained from group spatial ICA followed by dual regression. We introduce an extended method that addresses the bias and achieves more accurate connectivity estimates.","container-title":"eLife","DOI":"10.7554/eLife.44890","ISSN":"2050-084X","note":"publisher: eLife Sciences Publications, Ltd","page":"e44890","source":"eLife","title":"The relationship between spatial configuration and functional connectivity of brain regions revisited","volume":"8","author":[{"family":"Bijsterbosch","given":"Janine Diane"},{"family":"Beckmann","given":"Christian F"},{"family":"Woolrich","given":"Mark W"},{"family":"Smith","given":"Stephen M"},{"family":"Harrison","given":"Samuel J"}],"editor":[{"family":"Ivry","given":"Richard B"},{"family":"Honey","given":"Chris"},{"family":"Margulies","given":"Daniel S"},{"family":"Seidlitz","given":"Jakob"}],"issued":{"date-parts":[["2019",5,8]]}}}],"schema":"https://github.com/citation-style-language/schema/raw/master/csl-citation.json"} </w:instrText>
      </w:r>
      <w:r w:rsidRPr="00567FE8">
        <w:rPr>
          <w:rFonts w:ascii="Arial" w:hAnsi="Arial" w:cs="Arial"/>
          <w:sz w:val="22"/>
          <w:szCs w:val="22"/>
        </w:rPr>
        <w:fldChar w:fldCharType="separate"/>
      </w:r>
      <w:r>
        <w:rPr>
          <w:rFonts w:ascii="Arial" w:hAnsi="Arial" w:cs="Arial"/>
          <w:kern w:val="0"/>
          <w:sz w:val="22"/>
          <w:szCs w:val="22"/>
        </w:rPr>
        <w:t>(</w:t>
      </w:r>
      <w:proofErr w:type="spellStart"/>
      <w:r>
        <w:rPr>
          <w:rFonts w:ascii="Arial" w:hAnsi="Arial" w:cs="Arial"/>
          <w:kern w:val="0"/>
          <w:sz w:val="22"/>
          <w:szCs w:val="22"/>
        </w:rPr>
        <w:t>Bijsterbosch</w:t>
      </w:r>
      <w:proofErr w:type="spellEnd"/>
      <w:r>
        <w:rPr>
          <w:rFonts w:ascii="Arial" w:hAnsi="Arial" w:cs="Arial"/>
          <w:kern w:val="0"/>
          <w:sz w:val="22"/>
          <w:szCs w:val="22"/>
        </w:rPr>
        <w:t xml:space="preserve"> et al., 2019)</w:t>
      </w:r>
      <w:r w:rsidRPr="00567FE8">
        <w:rPr>
          <w:rFonts w:ascii="Arial" w:hAnsi="Arial" w:cs="Arial"/>
          <w:sz w:val="22"/>
          <w:szCs w:val="22"/>
        </w:rPr>
        <w:fldChar w:fldCharType="end"/>
      </w:r>
      <w:r w:rsidRPr="00567FE8">
        <w:rPr>
          <w:rFonts w:ascii="Arial" w:hAnsi="Arial" w:cs="Arial"/>
          <w:sz w:val="22"/>
          <w:szCs w:val="22"/>
        </w:rPr>
        <w:t xml:space="preserve">. Moreover, PROFUMO employs an iterative optimization process for group and scan/subject estimates, leading to heightened sensitivity in discerning individual-specific network organization </w:t>
      </w:r>
      <w:r w:rsidRPr="00567FE8">
        <w:rPr>
          <w:rFonts w:ascii="Arial" w:hAnsi="Arial" w:cs="Arial"/>
          <w:sz w:val="22"/>
          <w:szCs w:val="22"/>
        </w:rPr>
        <w:fldChar w:fldCharType="begin"/>
      </w:r>
      <w:r>
        <w:rPr>
          <w:rFonts w:ascii="Arial" w:hAnsi="Arial" w:cs="Arial"/>
          <w:sz w:val="22"/>
          <w:szCs w:val="22"/>
        </w:rPr>
        <w:instrText xml:space="preserve"> ADDIN ZOTERO_ITEM CSL_CITATION {"citationID":"WLpUK6oM","properties":{"formattedCitation":"(Bijsterbosch et al., 2018; Harrison et al., 2020)","plainCitation":"(Bijsterbosch et al., 2018; Harrison et al., 2020)","noteIndex":0},"citationItems":[{"id":976,"uris":["http://zotero.org/users/10421297/items/PA8ML3R9"],"itemData":{"id":976,"type":"article-journal","abstract":"Recent work has highlighted the scale and ubiquity of subject variability in observations from functional MRI data (fMRI). Furthermore, it is highly likely that errors in the estimation of either the spatial presentation of, or the coupling between, functional regions can confound cross-subject analyses, making accurate and unbiased representations of functional data essential for interpreting any downstream analyses. Here, we extend the framework of probabilistic functional modes (PFMs) (Harrison et al., 2015) to capture cross-subject variability not only in the mode spatial maps, but also in the functional coupling between modes and in mode amplitudes. A new implementation of the inference now also allows for the analysis of modern, large-scale data sets, and the combined inference and analysis package, PROFUMO, is available from git.fmrib.ox.ac.uk/samh/profumo. A new implementation of the inference now also allows for the analysis of modern, large-scale data sets. Using simulated data, resting-state data from 1000 subjects collected as part of the Human Connectome Project (Van Essen et al., 2013), and an analysis of 14 subjects in a variety of continuous task-states (Kieliba et al., 2019), we demonstrate how PFMs are able to capture, within a single model, a rich description of how the spatio-temporal structure of resting-state fMRI activity varies across subjects. We also compare the new PFM model to the well established independent component analysis with dual regression (ICA-DR) pipeline. This reveals that, under PFM assumptions, much more of the (behaviorally relevant) cross-subject variability in fMRI activity should be attributed to the variability in spatial maps, and that, after accounting for this, functional coupling between modes primarily reflects current cognitive state. This has fundamental implications for the interpretation of cross-sectional studies of functional connectivity that do not capture cross-subject variability to the same extent as PFMs.","container-title":"NeuroImage","DOI":"10.1016/j.neuroimage.2020.117226","ISSN":"1053-8119","journalAbbreviation":"NeuroImage","page":"117226","source":"ScienceDirect","title":"Modelling subject variability in the spatial and temporal characteristics of functional modes","volume":"222","author":[{"family":"Harrison","given":"Samuel J."},{"family":"Bijsterbosch","given":"Janine D."},{"family":"Segerdahl","given":"Andrew R."},{"family":"Fitzgibbon","given":"Sean P."},{"family":"Farahibozorg","given":"Seyedeh-Rezvan"},{"family":"Duff","given":"Eugene P."},{"family":"Smith","given":"Stephen M."},{"family":"Woolrich","given":"Mark W."}],"issued":{"date-parts":[["2020",11,15]]}}},{"id":1345,"uris":["http://zotero.org/users/10421297/items/9NPY3D8C"],"itemData":{"id":1345,"type":"article-journal","abstract":"Brain connectivity is often considered in terms of the communication between functionally distinct brain regions. Many studies have investigated the extent to which patterns of coupling strength between multiple neural populations relates to behaviour. For example, studies have used ‘functional connectivity fingerprints’ to characterise individuals' brain activity. Here, we investigate the extent to which the exact spatial arrangement of cortical regions interacts with measures of brain connectivity. We find that the shape and exact location of brain regions interact strongly with the modelling of brain connectivity, and present evidence that the spatial arrangement of functional regions is strongly predictive of non-imaging measures of behaviour and lifestyle. We believe that, in many cases, cross-subject variations in the spatial configuration of functional brain regions are being interpreted as changes in functional connectivity. Therefore, a better understanding of these effects is important when interpreting the relationship between functional imaging data and cognitive traits.","container-title":"eLife","DOI":"10.7554/eLife.32992","ISSN":"2050-084X","note":"publisher: eLife Sciences Publications, Ltd","page":"e32992","source":"eLife","title":"The relationship between spatial configuration and functional connectivity of brain regions","volume":"7","author":[{"family":"Bijsterbosch","given":"Janine Diane"},{"family":"Woolrich","given":"Mark W"},{"family":"Glasser","given":"Matthew F"},{"family":"Robinson","given":"Emma C"},{"family":"Beckmann","given":"Christian F"},{"family":"Van Essen","given":"David C"},{"family":"Harrison","given":"Samuel J"},{"family":"Smith","given":"Stephen M"}],"editor":[{"family":"Honey","given":"Chris"}],"issued":{"date-parts":[["2018",2,16]]}}}],"schema":"https://github.com/citation-style-language/schema/raw/master/csl-citation.json"} </w:instrText>
      </w:r>
      <w:r w:rsidRPr="00567FE8">
        <w:rPr>
          <w:rFonts w:ascii="Arial" w:hAnsi="Arial" w:cs="Arial"/>
          <w:sz w:val="22"/>
          <w:szCs w:val="22"/>
        </w:rPr>
        <w:fldChar w:fldCharType="separate"/>
      </w:r>
      <w:r>
        <w:rPr>
          <w:rFonts w:ascii="Arial" w:hAnsi="Arial" w:cs="Arial"/>
          <w:kern w:val="0"/>
          <w:sz w:val="22"/>
          <w:szCs w:val="22"/>
        </w:rPr>
        <w:t>(</w:t>
      </w:r>
      <w:proofErr w:type="spellStart"/>
      <w:r>
        <w:rPr>
          <w:rFonts w:ascii="Arial" w:hAnsi="Arial" w:cs="Arial"/>
          <w:kern w:val="0"/>
          <w:sz w:val="22"/>
          <w:szCs w:val="22"/>
        </w:rPr>
        <w:t>Bijsterbosch</w:t>
      </w:r>
      <w:proofErr w:type="spellEnd"/>
      <w:r>
        <w:rPr>
          <w:rFonts w:ascii="Arial" w:hAnsi="Arial" w:cs="Arial"/>
          <w:kern w:val="0"/>
          <w:sz w:val="22"/>
          <w:szCs w:val="22"/>
        </w:rPr>
        <w:t xml:space="preserve"> et al., 2018; Harrison et al., 2020)</w:t>
      </w:r>
      <w:r w:rsidRPr="00567FE8">
        <w:rPr>
          <w:rFonts w:ascii="Arial" w:hAnsi="Arial" w:cs="Arial"/>
          <w:sz w:val="22"/>
          <w:szCs w:val="22"/>
        </w:rPr>
        <w:fldChar w:fldCharType="end"/>
      </w:r>
      <w:r w:rsidRPr="00567FE8">
        <w:rPr>
          <w:rFonts w:ascii="Arial" w:hAnsi="Arial" w:cs="Arial"/>
          <w:sz w:val="22"/>
          <w:szCs w:val="22"/>
        </w:rPr>
        <w:t xml:space="preserve">. </w:t>
      </w:r>
      <w:r w:rsidRPr="00681F26">
        <w:rPr>
          <w:rFonts w:ascii="Arial" w:hAnsi="Arial" w:cs="Arial"/>
          <w:sz w:val="22"/>
          <w:szCs w:val="22"/>
        </w:rPr>
        <w:t xml:space="preserve"> </w:t>
      </w:r>
    </w:p>
    <w:p w14:paraId="465DBD0B" w14:textId="77777777" w:rsidR="00F23BD7" w:rsidRDefault="00F23BD7" w:rsidP="00F23BD7">
      <w:pPr>
        <w:ind w:firstLine="720"/>
        <w:jc w:val="both"/>
        <w:rPr>
          <w:rFonts w:ascii="Arial" w:hAnsi="Arial" w:cs="Arial"/>
          <w:sz w:val="22"/>
          <w:szCs w:val="22"/>
        </w:rPr>
      </w:pPr>
      <w:r>
        <w:rPr>
          <w:rFonts w:ascii="Arial" w:hAnsi="Arial" w:cs="Arial"/>
          <w:sz w:val="22"/>
          <w:szCs w:val="22"/>
        </w:rPr>
        <w:t>T</w:t>
      </w:r>
      <w:r w:rsidRPr="00567FE8">
        <w:rPr>
          <w:rFonts w:ascii="Arial" w:hAnsi="Arial" w:cs="Arial"/>
          <w:sz w:val="22"/>
          <w:szCs w:val="22"/>
        </w:rPr>
        <w:t>o identify spurious modes, characterized by either being consistently empty across participants/timepoints (indicated by low mode amplitudes and/or spatial weights) or containing noise (e.g., activity in the circle of Willis)</w:t>
      </w:r>
      <w:r>
        <w:rPr>
          <w:rFonts w:ascii="Arial" w:hAnsi="Arial" w:cs="Arial"/>
          <w:sz w:val="22"/>
          <w:szCs w:val="22"/>
        </w:rPr>
        <w:t>, we conducted v</w:t>
      </w:r>
      <w:r w:rsidRPr="00567FE8">
        <w:rPr>
          <w:rFonts w:ascii="Arial" w:hAnsi="Arial" w:cs="Arial"/>
          <w:sz w:val="22"/>
          <w:szCs w:val="22"/>
        </w:rPr>
        <w:t>isual inspections of group-level spatial maps for each PROFUMO mode. Two spurious modes were excluded from the total of 15 decomposed modes, resulting in n=13 meaningful brain networks for statistical analyses.</w:t>
      </w:r>
      <w:r>
        <w:rPr>
          <w:rFonts w:ascii="Arial" w:hAnsi="Arial" w:cs="Arial"/>
          <w:sz w:val="22"/>
          <w:szCs w:val="22"/>
        </w:rPr>
        <w:t xml:space="preserve"> These functional modes </w:t>
      </w:r>
      <w:r w:rsidRPr="00681F26">
        <w:rPr>
          <w:rFonts w:ascii="Arial" w:hAnsi="Arial" w:cs="Arial"/>
          <w:sz w:val="22"/>
          <w:szCs w:val="22"/>
        </w:rPr>
        <w:t>largely resemble canonical resting-state networks, including the default mode, central executive, salience, visual, and motor networks (</w:t>
      </w:r>
      <w:r w:rsidRPr="00481F82">
        <w:rPr>
          <w:rFonts w:ascii="Arial" w:hAnsi="Arial" w:cs="Arial"/>
          <w:b/>
          <w:bCs/>
          <w:i/>
          <w:iCs/>
          <w:sz w:val="22"/>
          <w:szCs w:val="22"/>
        </w:rPr>
        <w:t>Figure S1</w:t>
      </w:r>
      <w:r w:rsidRPr="00681F26">
        <w:rPr>
          <w:rFonts w:ascii="Arial" w:hAnsi="Arial" w:cs="Arial"/>
          <w:sz w:val="22"/>
          <w:szCs w:val="22"/>
        </w:rPr>
        <w:t xml:space="preserve">). </w:t>
      </w:r>
    </w:p>
    <w:p w14:paraId="152A2812" w14:textId="77777777" w:rsidR="00F23BD7" w:rsidRDefault="00F23BD7" w:rsidP="00F23BD7">
      <w:pPr>
        <w:ind w:firstLine="720"/>
        <w:jc w:val="both"/>
        <w:rPr>
          <w:rFonts w:ascii="Arial" w:hAnsi="Arial" w:cs="Arial"/>
          <w:sz w:val="22"/>
          <w:szCs w:val="22"/>
        </w:rPr>
      </w:pPr>
    </w:p>
    <w:p w14:paraId="0D4FF4C3" w14:textId="77777777" w:rsidR="00F23BD7" w:rsidRDefault="00F23BD7" w:rsidP="00F23BD7">
      <w:pPr>
        <w:ind w:firstLine="720"/>
        <w:jc w:val="both"/>
        <w:rPr>
          <w:rFonts w:ascii="Arial" w:hAnsi="Arial" w:cs="Arial"/>
          <w:sz w:val="22"/>
          <w:szCs w:val="22"/>
        </w:rPr>
      </w:pPr>
    </w:p>
    <w:p w14:paraId="4F6D957C" w14:textId="77777777" w:rsidR="00F23BD7" w:rsidRDefault="00F23BD7" w:rsidP="00F23BD7">
      <w:pPr>
        <w:ind w:firstLine="720"/>
        <w:jc w:val="center"/>
        <w:rPr>
          <w:rFonts w:ascii="Arial" w:hAnsi="Arial" w:cs="Arial"/>
          <w:sz w:val="22"/>
          <w:szCs w:val="22"/>
        </w:rPr>
      </w:pPr>
      <w:r>
        <w:rPr>
          <w:noProof/>
          <w:sz w:val="16"/>
          <w:szCs w:val="16"/>
        </w:rPr>
        <w:drawing>
          <wp:inline distT="0" distB="0" distL="0" distR="0" wp14:anchorId="3B404408" wp14:editId="2B7ECDC9">
            <wp:extent cx="4760976" cy="2930340"/>
            <wp:effectExtent l="0" t="0" r="1905" b="3810"/>
            <wp:docPr id="257101972" name="Picture 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101972" name="Picture 2" descr="A screenshot of a computer scree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75365" cy="2939196"/>
                    </a:xfrm>
                    <a:prstGeom prst="rect">
                      <a:avLst/>
                    </a:prstGeom>
                  </pic:spPr>
                </pic:pic>
              </a:graphicData>
            </a:graphic>
          </wp:inline>
        </w:drawing>
      </w:r>
    </w:p>
    <w:p w14:paraId="3A0C9C2D" w14:textId="77777777" w:rsidR="00F23BD7" w:rsidRPr="00123286" w:rsidRDefault="00F23BD7" w:rsidP="00F23BD7">
      <w:pPr>
        <w:jc w:val="both"/>
        <w:rPr>
          <w:rFonts w:ascii="Arial" w:hAnsi="Arial" w:cs="Arial"/>
          <w:sz w:val="20"/>
          <w:szCs w:val="20"/>
        </w:rPr>
      </w:pPr>
      <w:r w:rsidRPr="00123286">
        <w:rPr>
          <w:rFonts w:ascii="Arial" w:hAnsi="Arial" w:cs="Arial"/>
          <w:b/>
          <w:bCs/>
          <w:sz w:val="20"/>
          <w:szCs w:val="20"/>
        </w:rPr>
        <w:t>Figure S1.</w:t>
      </w:r>
      <w:r w:rsidRPr="00123286">
        <w:rPr>
          <w:rFonts w:ascii="Arial" w:hAnsi="Arial" w:cs="Arial"/>
          <w:sz w:val="20"/>
          <w:szCs w:val="20"/>
        </w:rPr>
        <w:t xml:space="preserve"> The decomposed 15 functional modes/networks, including two spurious modes (M8 and M10) that were excluded from statistical analyses.</w:t>
      </w:r>
    </w:p>
    <w:p w14:paraId="10D033EE" w14:textId="77777777" w:rsidR="00F23BD7" w:rsidRPr="00681F26" w:rsidRDefault="00F23BD7" w:rsidP="00F23BD7">
      <w:pPr>
        <w:jc w:val="both"/>
        <w:rPr>
          <w:rFonts w:ascii="Arial" w:hAnsi="Arial" w:cs="Arial"/>
          <w:sz w:val="22"/>
          <w:szCs w:val="22"/>
        </w:rPr>
      </w:pPr>
      <w:r>
        <w:rPr>
          <w:rFonts w:ascii="Arial" w:hAnsi="Arial" w:cs="Arial"/>
          <w:sz w:val="22"/>
          <w:szCs w:val="22"/>
        </w:rPr>
        <w:t xml:space="preserve"> </w:t>
      </w:r>
    </w:p>
    <w:p w14:paraId="1E64F32D" w14:textId="77777777" w:rsidR="00F23BD7" w:rsidRDefault="00F23BD7" w:rsidP="00F23BD7">
      <w:pPr>
        <w:ind w:firstLine="720"/>
        <w:jc w:val="both"/>
        <w:rPr>
          <w:rFonts w:ascii="Arial" w:hAnsi="Arial" w:cs="Arial"/>
          <w:sz w:val="22"/>
          <w:szCs w:val="22"/>
        </w:rPr>
      </w:pPr>
      <w:r w:rsidRPr="00681F26">
        <w:rPr>
          <w:rFonts w:ascii="Arial" w:hAnsi="Arial" w:cs="Arial"/>
          <w:sz w:val="22"/>
          <w:szCs w:val="22"/>
        </w:rPr>
        <w:t xml:space="preserve">To replicate the significant findings observed in the 15 modes, we further decomposed the data with 10 and 20 dimensions, separately. Similar resemblances with canonical networks </w:t>
      </w:r>
      <w:r w:rsidRPr="47B6E3A2">
        <w:rPr>
          <w:rFonts w:ascii="Arial" w:hAnsi="Arial" w:cs="Arial"/>
          <w:sz w:val="22"/>
          <w:szCs w:val="22"/>
        </w:rPr>
        <w:t>can</w:t>
      </w:r>
      <w:r w:rsidRPr="00681F26">
        <w:rPr>
          <w:rFonts w:ascii="Arial" w:hAnsi="Arial" w:cs="Arial"/>
          <w:sz w:val="22"/>
          <w:szCs w:val="22"/>
        </w:rPr>
        <w:t xml:space="preserve"> be observed in these decompositions with varying dimension decompositions, with some of the resulting networks in one decomposition merging into one or splitting into two or more modes in another decomposition (</w:t>
      </w:r>
      <w:r w:rsidRPr="00481F82">
        <w:rPr>
          <w:rFonts w:ascii="Arial" w:hAnsi="Arial" w:cs="Arial"/>
          <w:b/>
          <w:bCs/>
          <w:i/>
          <w:iCs/>
          <w:sz w:val="22"/>
          <w:szCs w:val="22"/>
        </w:rPr>
        <w:t>Figure S2</w:t>
      </w:r>
      <w:r w:rsidRPr="00481F82">
        <w:rPr>
          <w:rFonts w:ascii="Arial" w:hAnsi="Arial" w:cs="Arial"/>
          <w:sz w:val="22"/>
          <w:szCs w:val="22"/>
        </w:rPr>
        <w:t>;</w:t>
      </w:r>
      <w:r>
        <w:rPr>
          <w:rFonts w:ascii="Arial" w:hAnsi="Arial" w:cs="Arial"/>
          <w:b/>
          <w:bCs/>
          <w:sz w:val="22"/>
          <w:szCs w:val="22"/>
        </w:rPr>
        <w:t xml:space="preserve"> </w:t>
      </w:r>
      <w:r w:rsidRPr="00481F82">
        <w:rPr>
          <w:rFonts w:ascii="Arial" w:hAnsi="Arial" w:cs="Arial"/>
          <w:b/>
          <w:bCs/>
          <w:i/>
          <w:iCs/>
          <w:sz w:val="22"/>
          <w:szCs w:val="22"/>
        </w:rPr>
        <w:t>Figure S</w:t>
      </w:r>
      <w:r>
        <w:rPr>
          <w:rFonts w:ascii="Arial" w:hAnsi="Arial" w:cs="Arial"/>
          <w:b/>
          <w:bCs/>
          <w:i/>
          <w:iCs/>
          <w:sz w:val="22"/>
          <w:szCs w:val="22"/>
        </w:rPr>
        <w:t>3</w:t>
      </w:r>
      <w:r w:rsidRPr="00681F26">
        <w:rPr>
          <w:rFonts w:ascii="Arial" w:hAnsi="Arial" w:cs="Arial"/>
          <w:sz w:val="22"/>
          <w:szCs w:val="22"/>
        </w:rPr>
        <w:t xml:space="preserve">). </w:t>
      </w:r>
    </w:p>
    <w:p w14:paraId="21D1C44A" w14:textId="77777777" w:rsidR="00F23BD7" w:rsidRDefault="00F23BD7" w:rsidP="00F23BD7">
      <w:pPr>
        <w:ind w:firstLine="720"/>
        <w:jc w:val="both"/>
        <w:rPr>
          <w:rFonts w:ascii="Arial" w:hAnsi="Arial" w:cs="Arial"/>
          <w:sz w:val="22"/>
          <w:szCs w:val="22"/>
        </w:rPr>
      </w:pPr>
    </w:p>
    <w:p w14:paraId="0764148B" w14:textId="77777777" w:rsidR="00F23BD7" w:rsidRDefault="00F23BD7" w:rsidP="00F23BD7">
      <w:pPr>
        <w:ind w:firstLine="720"/>
        <w:jc w:val="center"/>
        <w:rPr>
          <w:rFonts w:ascii="Arial" w:hAnsi="Arial" w:cs="Arial"/>
          <w:sz w:val="22"/>
          <w:szCs w:val="22"/>
        </w:rPr>
      </w:pPr>
      <w:r>
        <w:rPr>
          <w:rFonts w:ascii="Arial" w:hAnsi="Arial" w:cs="Arial"/>
          <w:noProof/>
          <w:sz w:val="22"/>
          <w:szCs w:val="22"/>
        </w:rPr>
        <w:drawing>
          <wp:inline distT="0" distB="0" distL="0" distR="0" wp14:anchorId="3AA95A8E" wp14:editId="0E03DED1">
            <wp:extent cx="3218688" cy="1769247"/>
            <wp:effectExtent l="0" t="0" r="0" b="0"/>
            <wp:docPr id="1325068509" name="Picture 4" descr="A group of images of the b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068509" name="Picture 4" descr="A group of images of the brai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2899" cy="1804543"/>
                    </a:xfrm>
                    <a:prstGeom prst="rect">
                      <a:avLst/>
                    </a:prstGeom>
                  </pic:spPr>
                </pic:pic>
              </a:graphicData>
            </a:graphic>
          </wp:inline>
        </w:drawing>
      </w:r>
    </w:p>
    <w:p w14:paraId="2574BAD1" w14:textId="77777777" w:rsidR="00F23BD7" w:rsidRPr="00123286" w:rsidRDefault="00F23BD7" w:rsidP="00F23BD7">
      <w:pPr>
        <w:jc w:val="both"/>
        <w:rPr>
          <w:rFonts w:ascii="Arial" w:hAnsi="Arial" w:cs="Arial"/>
          <w:sz w:val="20"/>
          <w:szCs w:val="20"/>
        </w:rPr>
      </w:pPr>
      <w:r w:rsidRPr="00123286">
        <w:rPr>
          <w:rFonts w:ascii="Arial" w:hAnsi="Arial" w:cs="Arial"/>
          <w:b/>
          <w:bCs/>
          <w:sz w:val="20"/>
          <w:szCs w:val="20"/>
        </w:rPr>
        <w:t>Figure S2.</w:t>
      </w:r>
      <w:r w:rsidRPr="00123286">
        <w:rPr>
          <w:rFonts w:ascii="Arial" w:hAnsi="Arial" w:cs="Arial"/>
          <w:sz w:val="20"/>
          <w:szCs w:val="20"/>
        </w:rPr>
        <w:t xml:space="preserve"> The decomposed 10 functional modes/networks, including two spurious modes (M2 and M10). Mode 6 (M6) from this decomposition showed the highest Cosine similarity with mode 2 and mode 3 from 15-dimension decomposition, the amplitude of which was found higher in individuals with trait experience of depression in contrast to control participants.</w:t>
      </w:r>
    </w:p>
    <w:p w14:paraId="0A2F9EC0" w14:textId="77777777" w:rsidR="00F23BD7" w:rsidRDefault="00F23BD7" w:rsidP="00F23BD7">
      <w:pPr>
        <w:ind w:firstLine="720"/>
        <w:jc w:val="both"/>
        <w:rPr>
          <w:rFonts w:ascii="Arial" w:hAnsi="Arial" w:cs="Arial"/>
          <w:sz w:val="22"/>
          <w:szCs w:val="22"/>
        </w:rPr>
      </w:pPr>
    </w:p>
    <w:p w14:paraId="5FE9CF6A" w14:textId="77777777" w:rsidR="00F23BD7" w:rsidRDefault="00F23BD7" w:rsidP="00F23BD7">
      <w:pPr>
        <w:ind w:firstLine="720"/>
        <w:jc w:val="center"/>
        <w:rPr>
          <w:rFonts w:ascii="Arial" w:hAnsi="Arial" w:cs="Arial"/>
          <w:sz w:val="22"/>
          <w:szCs w:val="22"/>
        </w:rPr>
      </w:pPr>
      <w:r>
        <w:rPr>
          <w:rFonts w:ascii="Arial" w:hAnsi="Arial" w:cs="Arial"/>
          <w:noProof/>
          <w:sz w:val="22"/>
          <w:szCs w:val="22"/>
        </w:rPr>
        <w:lastRenderedPageBreak/>
        <w:drawing>
          <wp:inline distT="0" distB="0" distL="0" distR="0" wp14:anchorId="4587BA9D" wp14:editId="030EE5D7">
            <wp:extent cx="3457504" cy="3249168"/>
            <wp:effectExtent l="0" t="0" r="0" b="2540"/>
            <wp:docPr id="417716535" name="Picture 5" descr="A screenshot of a brain sc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716535" name="Picture 5" descr="A screenshot of a brain sca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9052" cy="3269417"/>
                    </a:xfrm>
                    <a:prstGeom prst="rect">
                      <a:avLst/>
                    </a:prstGeom>
                  </pic:spPr>
                </pic:pic>
              </a:graphicData>
            </a:graphic>
          </wp:inline>
        </w:drawing>
      </w:r>
    </w:p>
    <w:p w14:paraId="27C70108" w14:textId="77777777" w:rsidR="00F23BD7" w:rsidRPr="00123286" w:rsidRDefault="00F23BD7" w:rsidP="00F23BD7">
      <w:pPr>
        <w:jc w:val="both"/>
        <w:rPr>
          <w:rFonts w:ascii="Arial" w:hAnsi="Arial" w:cs="Arial"/>
          <w:sz w:val="20"/>
          <w:szCs w:val="20"/>
        </w:rPr>
      </w:pPr>
      <w:r w:rsidRPr="00123286">
        <w:rPr>
          <w:rFonts w:ascii="Arial" w:hAnsi="Arial" w:cs="Arial"/>
          <w:b/>
          <w:bCs/>
          <w:sz w:val="20"/>
          <w:szCs w:val="20"/>
        </w:rPr>
        <w:t>Figure S3.</w:t>
      </w:r>
      <w:r w:rsidRPr="00123286">
        <w:rPr>
          <w:rFonts w:ascii="Arial" w:hAnsi="Arial" w:cs="Arial"/>
          <w:sz w:val="20"/>
          <w:szCs w:val="20"/>
        </w:rPr>
        <w:t xml:space="preserve"> The decomposed 20 functional modes/networks, including three spurious modes. (M10, M11 and M16). Mode 15 (M15) from this decomposition showed the highest Cosine similarity with mode 2 from 15-dimension decomposition, the amplitude of which was found higher in individuals with trait experience of depression in contrast to control participants.</w:t>
      </w:r>
    </w:p>
    <w:p w14:paraId="187F5C7C" w14:textId="77777777" w:rsidR="00F23BD7" w:rsidRDefault="00F23BD7" w:rsidP="00F23BD7">
      <w:pPr>
        <w:jc w:val="both"/>
        <w:rPr>
          <w:rFonts w:ascii="Arial" w:hAnsi="Arial" w:cs="Arial"/>
          <w:sz w:val="22"/>
          <w:szCs w:val="22"/>
        </w:rPr>
      </w:pPr>
    </w:p>
    <w:p w14:paraId="690BCCF2" w14:textId="77777777" w:rsidR="00F23BD7" w:rsidRDefault="00F23BD7" w:rsidP="00F23BD7">
      <w:pPr>
        <w:jc w:val="both"/>
        <w:rPr>
          <w:rFonts w:ascii="Arial" w:hAnsi="Arial" w:cs="Arial"/>
          <w:sz w:val="22"/>
          <w:szCs w:val="22"/>
        </w:rPr>
      </w:pPr>
    </w:p>
    <w:p w14:paraId="04C26032" w14:textId="77777777" w:rsidR="00F23BD7" w:rsidRPr="00681F26" w:rsidRDefault="00F23BD7" w:rsidP="00F23BD7">
      <w:pPr>
        <w:rPr>
          <w:rFonts w:ascii="Arial" w:hAnsi="Arial" w:cs="Arial"/>
          <w:b/>
          <w:bCs/>
          <w:sz w:val="22"/>
          <w:szCs w:val="22"/>
          <w:u w:val="single"/>
        </w:rPr>
      </w:pPr>
      <w:r>
        <w:rPr>
          <w:rFonts w:ascii="Arial" w:hAnsi="Arial" w:cs="Arial"/>
          <w:b/>
          <w:bCs/>
          <w:sz w:val="22"/>
          <w:szCs w:val="22"/>
          <w:u w:val="single"/>
        </w:rPr>
        <w:t>Supplemental Results</w:t>
      </w:r>
    </w:p>
    <w:p w14:paraId="2FF11071" w14:textId="77777777" w:rsidR="00F23BD7" w:rsidRDefault="00F23BD7" w:rsidP="00F23BD7">
      <w:pPr>
        <w:ind w:firstLine="720"/>
        <w:jc w:val="both"/>
        <w:rPr>
          <w:rFonts w:ascii="Arial" w:hAnsi="Arial" w:cs="Arial"/>
          <w:sz w:val="22"/>
          <w:szCs w:val="22"/>
        </w:rPr>
      </w:pPr>
      <w:r w:rsidRPr="0081177C">
        <w:rPr>
          <w:rFonts w:ascii="Arial" w:hAnsi="Arial" w:cs="Arial"/>
          <w:sz w:val="22"/>
          <w:szCs w:val="22"/>
        </w:rPr>
        <w:t xml:space="preserve">To validate the robustness of our main findings, which indicated that individuals with a trait experience of depression exhibited higher amplitude in visual networks compared to control participants, we </w:t>
      </w:r>
      <w:r>
        <w:rPr>
          <w:rFonts w:ascii="Arial" w:hAnsi="Arial" w:cs="Arial"/>
          <w:sz w:val="22"/>
          <w:szCs w:val="22"/>
        </w:rPr>
        <w:t>repeated these analyses</w:t>
      </w:r>
      <w:r w:rsidRPr="0081177C">
        <w:rPr>
          <w:rFonts w:ascii="Arial" w:hAnsi="Arial" w:cs="Arial"/>
          <w:sz w:val="22"/>
          <w:szCs w:val="22"/>
        </w:rPr>
        <w:t xml:space="preserve"> </w:t>
      </w:r>
      <w:r>
        <w:rPr>
          <w:rFonts w:ascii="Arial" w:hAnsi="Arial" w:cs="Arial"/>
          <w:sz w:val="22"/>
          <w:szCs w:val="22"/>
        </w:rPr>
        <w:t>using</w:t>
      </w:r>
      <w:r w:rsidRPr="0081177C">
        <w:rPr>
          <w:rFonts w:ascii="Arial" w:hAnsi="Arial" w:cs="Arial"/>
          <w:sz w:val="22"/>
          <w:szCs w:val="22"/>
        </w:rPr>
        <w:t xml:space="preserve"> 10 and 20 decomposition dimensionalities, </w:t>
      </w:r>
      <w:r>
        <w:rPr>
          <w:rFonts w:ascii="Arial" w:hAnsi="Arial" w:cs="Arial"/>
          <w:sz w:val="22"/>
          <w:szCs w:val="22"/>
        </w:rPr>
        <w:t xml:space="preserve">which </w:t>
      </w:r>
      <w:r w:rsidRPr="0081177C">
        <w:rPr>
          <w:rFonts w:ascii="Arial" w:hAnsi="Arial" w:cs="Arial"/>
          <w:sz w:val="22"/>
          <w:szCs w:val="22"/>
        </w:rPr>
        <w:t>result</w:t>
      </w:r>
      <w:r>
        <w:rPr>
          <w:rFonts w:ascii="Arial" w:hAnsi="Arial" w:cs="Arial"/>
          <w:sz w:val="22"/>
          <w:szCs w:val="22"/>
        </w:rPr>
        <w:t>ed</w:t>
      </w:r>
      <w:r w:rsidRPr="0081177C">
        <w:rPr>
          <w:rFonts w:ascii="Arial" w:hAnsi="Arial" w:cs="Arial"/>
          <w:sz w:val="22"/>
          <w:szCs w:val="22"/>
        </w:rPr>
        <w:t xml:space="preserve"> in 10 and 20 brain networks (rather than 15), respectively. </w:t>
      </w:r>
    </w:p>
    <w:p w14:paraId="4E109452" w14:textId="77777777" w:rsidR="00F23BD7" w:rsidRDefault="00F23BD7" w:rsidP="00F23BD7">
      <w:pPr>
        <w:ind w:firstLine="720"/>
        <w:jc w:val="both"/>
        <w:rPr>
          <w:rFonts w:ascii="Arial" w:hAnsi="Arial" w:cs="Arial"/>
          <w:sz w:val="22"/>
          <w:szCs w:val="22"/>
        </w:rPr>
      </w:pPr>
      <w:r>
        <w:rPr>
          <w:rFonts w:ascii="Arial" w:hAnsi="Arial" w:cs="Arial"/>
          <w:sz w:val="22"/>
          <w:szCs w:val="22"/>
        </w:rPr>
        <w:t>We first identified the “best-matched” modes from 10- and 20-dimension decompositions for the target modes showing the significant between-group difference in amplitudes. Cosine similarity coefficients were used and  the identified modes</w:t>
      </w:r>
      <w:r w:rsidRPr="00567FE8">
        <w:rPr>
          <w:rFonts w:ascii="Arial" w:hAnsi="Arial" w:cs="Arial"/>
          <w:sz w:val="22"/>
          <w:szCs w:val="22"/>
        </w:rPr>
        <w:t xml:space="preserve"> </w:t>
      </w:r>
      <w:r>
        <w:rPr>
          <w:rFonts w:ascii="Arial" w:hAnsi="Arial" w:cs="Arial"/>
          <w:sz w:val="22"/>
          <w:szCs w:val="22"/>
        </w:rPr>
        <w:t xml:space="preserve">that </w:t>
      </w:r>
      <w:r w:rsidRPr="00567FE8">
        <w:rPr>
          <w:rFonts w:ascii="Arial" w:hAnsi="Arial" w:cs="Arial"/>
          <w:sz w:val="22"/>
          <w:szCs w:val="22"/>
        </w:rPr>
        <w:t>exhibit</w:t>
      </w:r>
      <w:r>
        <w:rPr>
          <w:rFonts w:ascii="Arial" w:hAnsi="Arial" w:cs="Arial"/>
          <w:sz w:val="22"/>
          <w:szCs w:val="22"/>
        </w:rPr>
        <w:t xml:space="preserve">ed </w:t>
      </w:r>
      <w:r w:rsidRPr="00567FE8">
        <w:rPr>
          <w:rFonts w:ascii="Arial" w:hAnsi="Arial" w:cs="Arial"/>
          <w:sz w:val="22"/>
          <w:szCs w:val="22"/>
        </w:rPr>
        <w:t xml:space="preserve">the most similar spatial distributions to the target </w:t>
      </w:r>
      <w:r>
        <w:rPr>
          <w:rFonts w:ascii="Arial" w:hAnsi="Arial" w:cs="Arial"/>
          <w:sz w:val="22"/>
          <w:szCs w:val="22"/>
        </w:rPr>
        <w:t>ones from the 15-dimension decomposition (</w:t>
      </w:r>
      <w:r w:rsidRPr="007523E8">
        <w:rPr>
          <w:rFonts w:ascii="Arial" w:hAnsi="Arial" w:cs="Arial"/>
          <w:b/>
          <w:bCs/>
          <w:i/>
          <w:iCs/>
          <w:sz w:val="22"/>
          <w:szCs w:val="22"/>
        </w:rPr>
        <w:t>Figure S2-3</w:t>
      </w:r>
      <w:r>
        <w:rPr>
          <w:rFonts w:ascii="Arial" w:hAnsi="Arial" w:cs="Arial"/>
          <w:sz w:val="22"/>
          <w:szCs w:val="22"/>
        </w:rPr>
        <w:t>).</w:t>
      </w:r>
    </w:p>
    <w:p w14:paraId="6D16DC63" w14:textId="77777777" w:rsidR="00F23BD7" w:rsidRDefault="00F23BD7" w:rsidP="00F23BD7">
      <w:pPr>
        <w:ind w:firstLine="720"/>
        <w:jc w:val="both"/>
        <w:rPr>
          <w:rFonts w:ascii="Arial" w:hAnsi="Arial" w:cs="Arial"/>
          <w:sz w:val="22"/>
          <w:szCs w:val="22"/>
        </w:rPr>
      </w:pPr>
      <w:r w:rsidRPr="0081177C">
        <w:rPr>
          <w:rFonts w:ascii="Arial" w:hAnsi="Arial" w:cs="Arial"/>
          <w:sz w:val="22"/>
          <w:szCs w:val="22"/>
        </w:rPr>
        <w:t xml:space="preserve">Consistently, we observed the same pattern as in our main findings: higher amplitude in the visual networks was noted in participants with trait depression compared to controls (β’s &gt; 0.02, p’s &lt; 0.03), even when brain networks were identified with different decomposition dimensionalities. Intriguingly, the two visual networks from the 15-mode decomposition appeared to merge into one network (i.e., mode </w:t>
      </w:r>
      <w:r>
        <w:rPr>
          <w:rFonts w:ascii="Arial" w:hAnsi="Arial" w:cs="Arial"/>
          <w:sz w:val="22"/>
          <w:szCs w:val="22"/>
        </w:rPr>
        <w:t>6</w:t>
      </w:r>
      <w:r w:rsidRPr="0081177C">
        <w:rPr>
          <w:rFonts w:ascii="Arial" w:hAnsi="Arial" w:cs="Arial"/>
          <w:sz w:val="22"/>
          <w:szCs w:val="22"/>
        </w:rPr>
        <w:t xml:space="preserve">) in the 10-mode decomposition, while the same visual networks maintained their spatial distribution in only one network (i.e., mode </w:t>
      </w:r>
      <w:r>
        <w:rPr>
          <w:rFonts w:ascii="Arial" w:hAnsi="Arial" w:cs="Arial"/>
          <w:sz w:val="22"/>
          <w:szCs w:val="22"/>
        </w:rPr>
        <w:t>15</w:t>
      </w:r>
      <w:r w:rsidRPr="0081177C">
        <w:rPr>
          <w:rFonts w:ascii="Arial" w:hAnsi="Arial" w:cs="Arial"/>
          <w:sz w:val="22"/>
          <w:szCs w:val="22"/>
        </w:rPr>
        <w:t>) in the 20-mode decomposition (</w:t>
      </w:r>
      <w:r w:rsidRPr="000E244C">
        <w:rPr>
          <w:rFonts w:ascii="Arial" w:hAnsi="Arial" w:cs="Arial"/>
          <w:b/>
          <w:bCs/>
          <w:i/>
          <w:iCs/>
          <w:sz w:val="22"/>
          <w:szCs w:val="22"/>
        </w:rPr>
        <w:t>Figure S</w:t>
      </w:r>
      <w:r>
        <w:rPr>
          <w:rFonts w:ascii="Arial" w:hAnsi="Arial" w:cs="Arial"/>
          <w:b/>
          <w:bCs/>
          <w:i/>
          <w:iCs/>
          <w:sz w:val="22"/>
          <w:szCs w:val="22"/>
        </w:rPr>
        <w:t>2-3</w:t>
      </w:r>
      <w:r w:rsidRPr="0081177C">
        <w:rPr>
          <w:rFonts w:ascii="Arial" w:hAnsi="Arial" w:cs="Arial"/>
          <w:sz w:val="22"/>
          <w:szCs w:val="22"/>
        </w:rPr>
        <w:t xml:space="preserve">; </w:t>
      </w:r>
      <w:r w:rsidRPr="000E244C">
        <w:rPr>
          <w:rFonts w:ascii="Arial" w:hAnsi="Arial" w:cs="Arial"/>
          <w:b/>
          <w:bCs/>
          <w:i/>
          <w:iCs/>
          <w:sz w:val="22"/>
          <w:szCs w:val="22"/>
        </w:rPr>
        <w:t>Table S</w:t>
      </w:r>
      <w:r>
        <w:rPr>
          <w:rFonts w:ascii="Arial" w:hAnsi="Arial" w:cs="Arial"/>
          <w:b/>
          <w:bCs/>
          <w:i/>
          <w:iCs/>
          <w:sz w:val="22"/>
          <w:szCs w:val="22"/>
        </w:rPr>
        <w:t>5</w:t>
      </w:r>
      <w:r w:rsidRPr="0081177C">
        <w:rPr>
          <w:rFonts w:ascii="Arial" w:hAnsi="Arial" w:cs="Arial"/>
          <w:sz w:val="22"/>
          <w:szCs w:val="22"/>
        </w:rPr>
        <w:t>).</w:t>
      </w:r>
      <w:r>
        <w:rPr>
          <w:rFonts w:ascii="Arial" w:hAnsi="Arial" w:cs="Arial"/>
          <w:sz w:val="22"/>
          <w:szCs w:val="22"/>
        </w:rPr>
        <w:t xml:space="preserve"> These corresponding networks were identified based on their Cosine similarity with the target modes (see full similarity matrices in </w:t>
      </w:r>
      <w:r w:rsidRPr="00481F82">
        <w:rPr>
          <w:rFonts w:ascii="Arial" w:hAnsi="Arial" w:cs="Arial"/>
          <w:b/>
          <w:bCs/>
          <w:i/>
          <w:iCs/>
          <w:sz w:val="22"/>
          <w:szCs w:val="22"/>
        </w:rPr>
        <w:t xml:space="preserve">Figure </w:t>
      </w:r>
      <w:r>
        <w:rPr>
          <w:rFonts w:ascii="Arial" w:hAnsi="Arial" w:cs="Arial"/>
          <w:b/>
          <w:bCs/>
          <w:i/>
          <w:iCs/>
          <w:sz w:val="22"/>
          <w:szCs w:val="22"/>
        </w:rPr>
        <w:t>S4</w:t>
      </w:r>
      <w:r>
        <w:rPr>
          <w:rFonts w:ascii="Arial" w:hAnsi="Arial" w:cs="Arial"/>
          <w:sz w:val="22"/>
          <w:szCs w:val="22"/>
        </w:rPr>
        <w:t>).</w:t>
      </w:r>
    </w:p>
    <w:p w14:paraId="2111B090" w14:textId="77777777" w:rsidR="00F23BD7" w:rsidRDefault="00F23BD7" w:rsidP="00F23BD7">
      <w:pPr>
        <w:jc w:val="both"/>
        <w:rPr>
          <w:rFonts w:ascii="Arial" w:hAnsi="Arial" w:cs="Arial"/>
          <w:sz w:val="22"/>
          <w:szCs w:val="22"/>
        </w:rPr>
      </w:pPr>
    </w:p>
    <w:p w14:paraId="3EAF3BAF" w14:textId="77777777" w:rsidR="00F23BD7" w:rsidRDefault="00F23BD7" w:rsidP="00F23BD7">
      <w:pPr>
        <w:jc w:val="both"/>
        <w:rPr>
          <w:rFonts w:ascii="Arial" w:hAnsi="Arial" w:cs="Arial"/>
          <w:b/>
          <w:bCs/>
          <w:sz w:val="22"/>
          <w:szCs w:val="22"/>
        </w:rPr>
      </w:pPr>
      <w:r w:rsidRPr="00481F82">
        <w:rPr>
          <w:rFonts w:ascii="Arial" w:hAnsi="Arial" w:cs="Arial"/>
          <w:b/>
          <w:bCs/>
          <w:sz w:val="22"/>
          <w:szCs w:val="22"/>
        </w:rPr>
        <w:t xml:space="preserve">Table S5. Replicated results of higher visual network amplitude. </w:t>
      </w:r>
    </w:p>
    <w:p w14:paraId="63918B54" w14:textId="77777777" w:rsidR="00F23BD7" w:rsidRPr="00481F82" w:rsidRDefault="00F23BD7" w:rsidP="00F23BD7">
      <w:pPr>
        <w:jc w:val="both"/>
        <w:rPr>
          <w:rFonts w:ascii="Arial" w:hAnsi="Arial" w:cs="Arial"/>
          <w:b/>
          <w:bCs/>
          <w:sz w:val="6"/>
          <w:szCs w:val="6"/>
        </w:rPr>
      </w:pPr>
    </w:p>
    <w:tbl>
      <w:tblPr>
        <w:tblStyle w:val="TableGrid"/>
        <w:tblW w:w="0" w:type="auto"/>
        <w:tblLook w:val="04A0" w:firstRow="1" w:lastRow="0" w:firstColumn="1" w:lastColumn="0" w:noHBand="0" w:noVBand="1"/>
      </w:tblPr>
      <w:tblGrid>
        <w:gridCol w:w="4855"/>
        <w:gridCol w:w="1620"/>
        <w:gridCol w:w="1452"/>
      </w:tblGrid>
      <w:tr w:rsidR="00F23BD7" w:rsidRPr="00481F82" w14:paraId="7C9C8A25" w14:textId="77777777" w:rsidTr="00AA05EB">
        <w:tc>
          <w:tcPr>
            <w:tcW w:w="4855" w:type="dxa"/>
          </w:tcPr>
          <w:p w14:paraId="619AFECA" w14:textId="77777777" w:rsidR="00F23BD7" w:rsidRPr="00481F82" w:rsidRDefault="00F23BD7" w:rsidP="00AA05EB">
            <w:pPr>
              <w:jc w:val="both"/>
              <w:rPr>
                <w:rFonts w:ascii="Arial" w:hAnsi="Arial" w:cs="Arial"/>
                <w:sz w:val="22"/>
                <w:szCs w:val="22"/>
              </w:rPr>
            </w:pPr>
          </w:p>
        </w:tc>
        <w:tc>
          <w:tcPr>
            <w:tcW w:w="1620" w:type="dxa"/>
          </w:tcPr>
          <w:p w14:paraId="122D6D18" w14:textId="77777777" w:rsidR="00F23BD7" w:rsidRPr="00481F82" w:rsidRDefault="00F23BD7" w:rsidP="00AA05EB">
            <w:pPr>
              <w:jc w:val="center"/>
              <w:rPr>
                <w:rFonts w:ascii="Arial" w:hAnsi="Arial" w:cs="Arial"/>
                <w:b/>
                <w:bCs/>
                <w:sz w:val="22"/>
                <w:szCs w:val="22"/>
              </w:rPr>
            </w:pPr>
            <w:r w:rsidRPr="00481F82">
              <w:rPr>
                <w:rFonts w:ascii="Arial" w:hAnsi="Arial" w:cs="Arial"/>
                <w:b/>
                <w:bCs/>
                <w:sz w:val="22"/>
                <w:szCs w:val="22"/>
              </w:rPr>
              <w:t>β</w:t>
            </w:r>
          </w:p>
        </w:tc>
        <w:tc>
          <w:tcPr>
            <w:tcW w:w="1452" w:type="dxa"/>
          </w:tcPr>
          <w:p w14:paraId="73BEDFCC" w14:textId="77777777" w:rsidR="00F23BD7" w:rsidRPr="00481F82" w:rsidRDefault="00F23BD7" w:rsidP="00AA05EB">
            <w:pPr>
              <w:jc w:val="center"/>
              <w:rPr>
                <w:rFonts w:ascii="Arial" w:hAnsi="Arial" w:cs="Arial"/>
                <w:b/>
                <w:bCs/>
                <w:sz w:val="22"/>
                <w:szCs w:val="22"/>
              </w:rPr>
            </w:pPr>
            <w:r w:rsidRPr="00481F82">
              <w:rPr>
                <w:rFonts w:ascii="Arial" w:hAnsi="Arial" w:cs="Arial"/>
                <w:b/>
                <w:bCs/>
                <w:sz w:val="22"/>
                <w:szCs w:val="22"/>
              </w:rPr>
              <w:t xml:space="preserve">P-value </w:t>
            </w:r>
            <w:r w:rsidRPr="00481F82">
              <w:rPr>
                <w:rFonts w:ascii="Arial" w:hAnsi="Arial" w:cs="Arial"/>
                <w:sz w:val="22"/>
                <w:szCs w:val="22"/>
                <w:vertAlign w:val="superscript"/>
              </w:rPr>
              <w:t>a</w:t>
            </w:r>
          </w:p>
        </w:tc>
      </w:tr>
      <w:tr w:rsidR="00F23BD7" w:rsidRPr="00481F82" w14:paraId="40E674EC" w14:textId="77777777" w:rsidTr="00AA05EB">
        <w:tc>
          <w:tcPr>
            <w:tcW w:w="4855" w:type="dxa"/>
          </w:tcPr>
          <w:p w14:paraId="1C6CA302" w14:textId="77777777" w:rsidR="00F23BD7" w:rsidRPr="007523E8" w:rsidRDefault="00F23BD7" w:rsidP="00AA05EB">
            <w:pPr>
              <w:jc w:val="both"/>
              <w:rPr>
                <w:rFonts w:ascii="Arial" w:hAnsi="Arial" w:cs="Arial"/>
                <w:strike/>
                <w:sz w:val="22"/>
                <w:szCs w:val="22"/>
              </w:rPr>
            </w:pPr>
            <w:r w:rsidRPr="00481F82">
              <w:rPr>
                <w:rFonts w:ascii="Arial" w:hAnsi="Arial" w:cs="Arial"/>
                <w:sz w:val="22"/>
                <w:szCs w:val="22"/>
              </w:rPr>
              <w:t>Visual Network from 10-Mode Decomposition</w:t>
            </w:r>
          </w:p>
        </w:tc>
        <w:tc>
          <w:tcPr>
            <w:tcW w:w="1620" w:type="dxa"/>
          </w:tcPr>
          <w:p w14:paraId="0EB6370E" w14:textId="77777777" w:rsidR="00F23BD7" w:rsidRPr="007523E8" w:rsidRDefault="00F23BD7" w:rsidP="00AA05EB">
            <w:pPr>
              <w:jc w:val="center"/>
              <w:rPr>
                <w:rFonts w:ascii="Arial" w:hAnsi="Arial" w:cs="Arial"/>
                <w:strike/>
                <w:sz w:val="22"/>
                <w:szCs w:val="22"/>
              </w:rPr>
            </w:pPr>
            <w:r>
              <w:rPr>
                <w:rFonts w:ascii="Arial" w:hAnsi="Arial" w:cs="Arial"/>
                <w:sz w:val="22"/>
                <w:szCs w:val="22"/>
              </w:rPr>
              <w:t>0.05</w:t>
            </w:r>
          </w:p>
        </w:tc>
        <w:tc>
          <w:tcPr>
            <w:tcW w:w="1452" w:type="dxa"/>
          </w:tcPr>
          <w:p w14:paraId="7F6AD7D1" w14:textId="77777777" w:rsidR="00F23BD7" w:rsidRPr="007523E8" w:rsidRDefault="00F23BD7" w:rsidP="00AA05EB">
            <w:pPr>
              <w:jc w:val="center"/>
              <w:rPr>
                <w:rFonts w:ascii="Arial" w:hAnsi="Arial" w:cs="Arial"/>
                <w:strike/>
                <w:sz w:val="22"/>
                <w:szCs w:val="22"/>
              </w:rPr>
            </w:pPr>
            <w:r>
              <w:rPr>
                <w:rFonts w:ascii="Arial" w:hAnsi="Arial" w:cs="Arial"/>
                <w:sz w:val="22"/>
                <w:szCs w:val="22"/>
              </w:rPr>
              <w:t>&lt;0.01</w:t>
            </w:r>
          </w:p>
        </w:tc>
      </w:tr>
      <w:tr w:rsidR="00F23BD7" w:rsidRPr="00481F82" w14:paraId="539F7C37" w14:textId="77777777" w:rsidTr="00AA05EB">
        <w:tc>
          <w:tcPr>
            <w:tcW w:w="4855" w:type="dxa"/>
          </w:tcPr>
          <w:p w14:paraId="64204F49" w14:textId="77777777" w:rsidR="00F23BD7" w:rsidRPr="00481F82" w:rsidRDefault="00F23BD7" w:rsidP="00AA05EB">
            <w:pPr>
              <w:jc w:val="both"/>
              <w:rPr>
                <w:rFonts w:ascii="Arial" w:hAnsi="Arial" w:cs="Arial"/>
                <w:sz w:val="22"/>
                <w:szCs w:val="22"/>
              </w:rPr>
            </w:pPr>
            <w:r w:rsidRPr="00481F82">
              <w:rPr>
                <w:rFonts w:ascii="Arial" w:hAnsi="Arial" w:cs="Arial"/>
                <w:sz w:val="22"/>
                <w:szCs w:val="22"/>
              </w:rPr>
              <w:t>Visual Network from 20-Mode Decomposition</w:t>
            </w:r>
          </w:p>
        </w:tc>
        <w:tc>
          <w:tcPr>
            <w:tcW w:w="1620" w:type="dxa"/>
          </w:tcPr>
          <w:p w14:paraId="468E7D49" w14:textId="77777777" w:rsidR="00F23BD7" w:rsidRPr="00481F82" w:rsidRDefault="00F23BD7" w:rsidP="00AA05EB">
            <w:pPr>
              <w:jc w:val="center"/>
              <w:rPr>
                <w:rFonts w:ascii="Arial" w:hAnsi="Arial" w:cs="Arial"/>
                <w:sz w:val="22"/>
                <w:szCs w:val="22"/>
              </w:rPr>
            </w:pPr>
            <w:r>
              <w:rPr>
                <w:rFonts w:ascii="Arial" w:hAnsi="Arial" w:cs="Arial"/>
                <w:sz w:val="22"/>
                <w:szCs w:val="22"/>
              </w:rPr>
              <w:t>0.02</w:t>
            </w:r>
          </w:p>
        </w:tc>
        <w:tc>
          <w:tcPr>
            <w:tcW w:w="1452" w:type="dxa"/>
          </w:tcPr>
          <w:p w14:paraId="63692439" w14:textId="77777777" w:rsidR="00F23BD7" w:rsidRPr="00481F82" w:rsidRDefault="00F23BD7" w:rsidP="00AA05EB">
            <w:pPr>
              <w:jc w:val="center"/>
              <w:rPr>
                <w:rFonts w:ascii="Arial" w:hAnsi="Arial" w:cs="Arial"/>
                <w:sz w:val="22"/>
                <w:szCs w:val="22"/>
              </w:rPr>
            </w:pPr>
            <w:r>
              <w:rPr>
                <w:rFonts w:ascii="Arial" w:hAnsi="Arial" w:cs="Arial"/>
                <w:sz w:val="22"/>
                <w:szCs w:val="22"/>
              </w:rPr>
              <w:t>&lt;0.05</w:t>
            </w:r>
          </w:p>
        </w:tc>
      </w:tr>
    </w:tbl>
    <w:p w14:paraId="286D3E32" w14:textId="77777777" w:rsidR="00F23BD7" w:rsidRPr="005334A0" w:rsidRDefault="00F23BD7" w:rsidP="00F23BD7">
      <w:pPr>
        <w:jc w:val="both"/>
        <w:rPr>
          <w:rFonts w:ascii="Arial" w:hAnsi="Arial" w:cs="Arial"/>
          <w:sz w:val="20"/>
          <w:szCs w:val="20"/>
        </w:rPr>
      </w:pPr>
      <w:proofErr w:type="gramStart"/>
      <w:r w:rsidRPr="005334A0">
        <w:rPr>
          <w:rFonts w:ascii="Arial" w:hAnsi="Arial" w:cs="Arial"/>
          <w:sz w:val="20"/>
          <w:szCs w:val="20"/>
          <w:vertAlign w:val="superscript"/>
        </w:rPr>
        <w:t>a</w:t>
      </w:r>
      <w:proofErr w:type="gramEnd"/>
      <w:r w:rsidRPr="005334A0">
        <w:rPr>
          <w:rFonts w:ascii="Arial" w:hAnsi="Arial" w:cs="Arial"/>
          <w:sz w:val="20"/>
          <w:szCs w:val="20"/>
          <w:vertAlign w:val="superscript"/>
        </w:rPr>
        <w:t xml:space="preserve"> </w:t>
      </w:r>
      <w:r w:rsidRPr="005334A0">
        <w:rPr>
          <w:rFonts w:ascii="Arial" w:hAnsi="Arial" w:cs="Arial"/>
          <w:sz w:val="20"/>
          <w:szCs w:val="20"/>
        </w:rPr>
        <w:t>Uncorrected p-values were reported for these replication analyses that only tested the significant findings from the main analyses.</w:t>
      </w:r>
    </w:p>
    <w:p w14:paraId="01F7D371" w14:textId="77777777" w:rsidR="00F23BD7" w:rsidRDefault="00F23BD7" w:rsidP="00F23BD7">
      <w:pPr>
        <w:jc w:val="both"/>
        <w:rPr>
          <w:rFonts w:ascii="Arial" w:hAnsi="Arial" w:cs="Arial"/>
          <w:sz w:val="22"/>
          <w:szCs w:val="22"/>
        </w:rPr>
      </w:pPr>
    </w:p>
    <w:p w14:paraId="1B775046" w14:textId="77777777" w:rsidR="00F23BD7" w:rsidRPr="00481F82" w:rsidRDefault="00F23BD7" w:rsidP="00F23BD7">
      <w:pPr>
        <w:jc w:val="center"/>
        <w:rPr>
          <w:rFonts w:ascii="Arial" w:hAnsi="Arial" w:cs="Arial"/>
          <w:sz w:val="22"/>
          <w:szCs w:val="22"/>
        </w:rPr>
      </w:pPr>
      <w:r>
        <w:rPr>
          <w:noProof/>
          <w:sz w:val="16"/>
          <w:szCs w:val="16"/>
        </w:rPr>
        <w:lastRenderedPageBreak/>
        <w:drawing>
          <wp:inline distT="0" distB="0" distL="0" distR="0" wp14:anchorId="6D94238C" wp14:editId="6724A5C6">
            <wp:extent cx="4749906" cy="2668270"/>
            <wp:effectExtent l="0" t="0" r="0" b="0"/>
            <wp:docPr id="1053925544" name="Picture 9"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925544" name="Picture 9" descr="A screenshot of a graph&#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767309" cy="2678046"/>
                    </a:xfrm>
                    <a:prstGeom prst="rect">
                      <a:avLst/>
                    </a:prstGeom>
                  </pic:spPr>
                </pic:pic>
              </a:graphicData>
            </a:graphic>
          </wp:inline>
        </w:drawing>
      </w:r>
    </w:p>
    <w:p w14:paraId="4B4F4614" w14:textId="77777777" w:rsidR="00F23BD7" w:rsidRPr="005334A0" w:rsidRDefault="00F23BD7" w:rsidP="00F23BD7">
      <w:pPr>
        <w:jc w:val="both"/>
        <w:rPr>
          <w:rFonts w:ascii="Arial" w:hAnsi="Arial" w:cs="Arial"/>
          <w:sz w:val="20"/>
          <w:szCs w:val="20"/>
        </w:rPr>
      </w:pPr>
      <w:r w:rsidRPr="005334A0">
        <w:rPr>
          <w:rFonts w:ascii="Arial" w:hAnsi="Arial" w:cs="Arial"/>
          <w:b/>
          <w:bCs/>
          <w:sz w:val="20"/>
          <w:szCs w:val="20"/>
        </w:rPr>
        <w:t>Figure S4.</w:t>
      </w:r>
      <w:r w:rsidRPr="005334A0">
        <w:rPr>
          <w:rFonts w:ascii="Arial" w:hAnsi="Arial" w:cs="Arial"/>
          <w:sz w:val="20"/>
          <w:szCs w:val="20"/>
        </w:rPr>
        <w:t xml:space="preserve"> Similarity matrices between each pair of modes from 15- and 10-dimension decompositions (panel</w:t>
      </w:r>
      <w:r>
        <w:rPr>
          <w:rFonts w:ascii="Arial" w:hAnsi="Arial" w:cs="Arial"/>
          <w:sz w:val="20"/>
          <w:szCs w:val="20"/>
        </w:rPr>
        <w:t xml:space="preserve"> A</w:t>
      </w:r>
      <w:r w:rsidRPr="005334A0">
        <w:rPr>
          <w:rFonts w:ascii="Arial" w:hAnsi="Arial" w:cs="Arial"/>
          <w:sz w:val="20"/>
          <w:szCs w:val="20"/>
        </w:rPr>
        <w:t>), and between 15- and 20-dimension decompositions</w:t>
      </w:r>
      <w:r>
        <w:rPr>
          <w:rFonts w:ascii="Arial" w:hAnsi="Arial" w:cs="Arial"/>
          <w:sz w:val="20"/>
          <w:szCs w:val="20"/>
        </w:rPr>
        <w:t xml:space="preserve"> (</w:t>
      </w:r>
      <w:r w:rsidRPr="005334A0">
        <w:rPr>
          <w:rFonts w:ascii="Arial" w:hAnsi="Arial" w:cs="Arial"/>
          <w:sz w:val="20"/>
          <w:szCs w:val="20"/>
        </w:rPr>
        <w:t>panel</w:t>
      </w:r>
      <w:r>
        <w:rPr>
          <w:rFonts w:ascii="Arial" w:hAnsi="Arial" w:cs="Arial"/>
          <w:sz w:val="20"/>
          <w:szCs w:val="20"/>
        </w:rPr>
        <w:t xml:space="preserve"> B)</w:t>
      </w:r>
      <w:r w:rsidRPr="005334A0">
        <w:rPr>
          <w:rFonts w:ascii="Arial" w:hAnsi="Arial" w:cs="Arial"/>
          <w:sz w:val="20"/>
          <w:szCs w:val="20"/>
        </w:rPr>
        <w:t>.</w:t>
      </w:r>
      <w:r>
        <w:rPr>
          <w:rFonts w:ascii="Arial" w:hAnsi="Arial" w:cs="Arial"/>
          <w:sz w:val="20"/>
          <w:szCs w:val="20"/>
        </w:rPr>
        <w:t xml:space="preserve"> M1-M20 indicates mode1-mode20, in different decompositions. The spurious modes from each decomposition were removed from the matrices (i.e., empty rows and columns) and mode 6 (M6) from 10-dimension decomposition showed the highest Cosine similarity to mode 2 and mode 3 from 15-dimension decomposition (i.e., two visual networks), as highlighted in blue and with </w:t>
      </w:r>
      <w:r w:rsidRPr="00B97385">
        <w:rPr>
          <w:rFonts w:ascii="Arial" w:hAnsi="Arial" w:cs="Arial"/>
          <w:i/>
          <w:iCs/>
          <w:sz w:val="20"/>
          <w:szCs w:val="20"/>
        </w:rPr>
        <w:t>#</w:t>
      </w:r>
      <w:r>
        <w:rPr>
          <w:rFonts w:ascii="Arial" w:hAnsi="Arial" w:cs="Arial"/>
          <w:sz w:val="20"/>
          <w:szCs w:val="20"/>
        </w:rPr>
        <w:t xml:space="preserve"> symbol, whereas mode15 (M15) and mode 14 (M14) from 20-dimension decomposition “best matched” mode 2 and 3 from 15-dimension decomposition, respectively. </w:t>
      </w:r>
    </w:p>
    <w:p w14:paraId="39E2E91F" w14:textId="077AE4FB" w:rsidR="00AA2879" w:rsidRDefault="00AA2879" w:rsidP="00F23BD7"/>
    <w:p w14:paraId="53ECF6EE" w14:textId="77777777" w:rsidR="00880067" w:rsidRDefault="00880067">
      <w:r>
        <w:br w:type="page"/>
      </w:r>
    </w:p>
    <w:p w14:paraId="2E0231CD" w14:textId="38968412" w:rsidR="00880067" w:rsidRPr="00880067" w:rsidRDefault="00880067" w:rsidP="00F23BD7">
      <w:pPr>
        <w:rPr>
          <w:rFonts w:ascii="Arial" w:hAnsi="Arial" w:cs="Arial"/>
          <w:b/>
          <w:bCs/>
          <w:sz w:val="22"/>
          <w:szCs w:val="22"/>
        </w:rPr>
      </w:pPr>
      <w:r w:rsidRPr="00880067">
        <w:rPr>
          <w:rFonts w:ascii="Arial" w:hAnsi="Arial" w:cs="Arial"/>
          <w:b/>
          <w:bCs/>
          <w:sz w:val="22"/>
          <w:szCs w:val="22"/>
        </w:rPr>
        <w:lastRenderedPageBreak/>
        <w:t>Reference:</w:t>
      </w:r>
    </w:p>
    <w:p w14:paraId="213B7E72" w14:textId="77777777" w:rsidR="00880067" w:rsidRPr="00880067" w:rsidRDefault="00880067" w:rsidP="00880067">
      <w:pPr>
        <w:pStyle w:val="Bibliography"/>
        <w:spacing w:line="240" w:lineRule="auto"/>
        <w:rPr>
          <w:rFonts w:ascii="Arial" w:hAnsi="Arial" w:cs="Arial"/>
          <w:sz w:val="22"/>
        </w:rPr>
      </w:pPr>
      <w:r>
        <w:rPr>
          <w:rFonts w:ascii="Arial" w:hAnsi="Arial" w:cs="Arial"/>
          <w:sz w:val="22"/>
          <w:szCs w:val="22"/>
        </w:rPr>
        <w:fldChar w:fldCharType="begin"/>
      </w:r>
      <w:r>
        <w:rPr>
          <w:rFonts w:ascii="Arial" w:hAnsi="Arial" w:cs="Arial"/>
          <w:sz w:val="22"/>
          <w:szCs w:val="22"/>
        </w:rPr>
        <w:instrText xml:space="preserve"> ADDIN ZOTERO_BIBL {"uncited":[],"omitted":[],"custom":[]} CSL_BIBLIOGRAPHY </w:instrText>
      </w:r>
      <w:r>
        <w:rPr>
          <w:rFonts w:ascii="Arial" w:hAnsi="Arial" w:cs="Arial"/>
          <w:sz w:val="22"/>
          <w:szCs w:val="22"/>
        </w:rPr>
        <w:fldChar w:fldCharType="separate"/>
      </w:r>
      <w:r w:rsidRPr="00880067">
        <w:rPr>
          <w:rFonts w:ascii="Arial" w:hAnsi="Arial" w:cs="Arial"/>
          <w:sz w:val="22"/>
        </w:rPr>
        <w:t xml:space="preserve">Beckmann, C. F., DeLuca, M., Devlin, J. T., &amp; Smith, S. M. (2005). Investigations into resting-state connectivity using independent component analysis. </w:t>
      </w:r>
      <w:r w:rsidRPr="00880067">
        <w:rPr>
          <w:rFonts w:ascii="Arial" w:hAnsi="Arial" w:cs="Arial"/>
          <w:i/>
          <w:iCs/>
          <w:sz w:val="22"/>
        </w:rPr>
        <w:t>Philosophical Transactions of the Royal Society B: Biological Sciences</w:t>
      </w:r>
      <w:r w:rsidRPr="00880067">
        <w:rPr>
          <w:rFonts w:ascii="Arial" w:hAnsi="Arial" w:cs="Arial"/>
          <w:sz w:val="22"/>
        </w:rPr>
        <w:t xml:space="preserve">, </w:t>
      </w:r>
      <w:r w:rsidRPr="00880067">
        <w:rPr>
          <w:rFonts w:ascii="Arial" w:hAnsi="Arial" w:cs="Arial"/>
          <w:i/>
          <w:iCs/>
          <w:sz w:val="22"/>
        </w:rPr>
        <w:t>360</w:t>
      </w:r>
      <w:r w:rsidRPr="00880067">
        <w:rPr>
          <w:rFonts w:ascii="Arial" w:hAnsi="Arial" w:cs="Arial"/>
          <w:sz w:val="22"/>
        </w:rPr>
        <w:t>(1457), 1001–1013. https://doi.org/10.1098/rstb.2005.1634</w:t>
      </w:r>
    </w:p>
    <w:p w14:paraId="026E99AF" w14:textId="77777777" w:rsidR="00880067" w:rsidRPr="00880067" w:rsidRDefault="00880067" w:rsidP="00880067">
      <w:pPr>
        <w:pStyle w:val="Bibliography"/>
        <w:spacing w:line="240" w:lineRule="auto"/>
        <w:rPr>
          <w:rFonts w:ascii="Arial" w:hAnsi="Arial" w:cs="Arial"/>
          <w:sz w:val="22"/>
        </w:rPr>
      </w:pPr>
      <w:proofErr w:type="spellStart"/>
      <w:r w:rsidRPr="00880067">
        <w:rPr>
          <w:rFonts w:ascii="Arial" w:hAnsi="Arial" w:cs="Arial"/>
          <w:sz w:val="22"/>
        </w:rPr>
        <w:t>Bijsterbosch</w:t>
      </w:r>
      <w:proofErr w:type="spellEnd"/>
      <w:r w:rsidRPr="00880067">
        <w:rPr>
          <w:rFonts w:ascii="Arial" w:hAnsi="Arial" w:cs="Arial"/>
          <w:sz w:val="22"/>
        </w:rPr>
        <w:t xml:space="preserve">, J. D., Beckmann, C. F., Woolrich, M. W., Smith, S. M., &amp; Harrison, S. J. (2019). The relationship between spatial configuration and functional connectivity of brain regions revisited. </w:t>
      </w:r>
      <w:proofErr w:type="spellStart"/>
      <w:r w:rsidRPr="00880067">
        <w:rPr>
          <w:rFonts w:ascii="Arial" w:hAnsi="Arial" w:cs="Arial"/>
          <w:i/>
          <w:iCs/>
          <w:sz w:val="22"/>
        </w:rPr>
        <w:t>eLife</w:t>
      </w:r>
      <w:proofErr w:type="spellEnd"/>
      <w:r w:rsidRPr="00880067">
        <w:rPr>
          <w:rFonts w:ascii="Arial" w:hAnsi="Arial" w:cs="Arial"/>
          <w:sz w:val="22"/>
        </w:rPr>
        <w:t xml:space="preserve">, </w:t>
      </w:r>
      <w:r w:rsidRPr="00880067">
        <w:rPr>
          <w:rFonts w:ascii="Arial" w:hAnsi="Arial" w:cs="Arial"/>
          <w:i/>
          <w:iCs/>
          <w:sz w:val="22"/>
        </w:rPr>
        <w:t>8</w:t>
      </w:r>
      <w:r w:rsidRPr="00880067">
        <w:rPr>
          <w:rFonts w:ascii="Arial" w:hAnsi="Arial" w:cs="Arial"/>
          <w:sz w:val="22"/>
        </w:rPr>
        <w:t>, e44890. https://doi.org/10.7554/eLife.44890</w:t>
      </w:r>
    </w:p>
    <w:p w14:paraId="680A7FE0" w14:textId="77777777" w:rsidR="00880067" w:rsidRPr="00880067" w:rsidRDefault="00880067" w:rsidP="00880067">
      <w:pPr>
        <w:pStyle w:val="Bibliography"/>
        <w:spacing w:line="240" w:lineRule="auto"/>
        <w:rPr>
          <w:rFonts w:ascii="Arial" w:hAnsi="Arial" w:cs="Arial"/>
          <w:sz w:val="22"/>
        </w:rPr>
      </w:pPr>
      <w:proofErr w:type="spellStart"/>
      <w:r w:rsidRPr="00880067">
        <w:rPr>
          <w:rFonts w:ascii="Arial" w:hAnsi="Arial" w:cs="Arial"/>
          <w:sz w:val="22"/>
        </w:rPr>
        <w:t>Bijsterbosch</w:t>
      </w:r>
      <w:proofErr w:type="spellEnd"/>
      <w:r w:rsidRPr="00880067">
        <w:rPr>
          <w:rFonts w:ascii="Arial" w:hAnsi="Arial" w:cs="Arial"/>
          <w:sz w:val="22"/>
        </w:rPr>
        <w:t xml:space="preserve">, J. D., Woolrich, M. W., Glasser, M. F., Robinson, E. C., Beckmann, C. F., Van Essen, D. C., Harrison, S. J., &amp; Smith, S. M. (2018). The relationship between spatial configuration and functional connectivity of brain regions. </w:t>
      </w:r>
      <w:proofErr w:type="spellStart"/>
      <w:r w:rsidRPr="00880067">
        <w:rPr>
          <w:rFonts w:ascii="Arial" w:hAnsi="Arial" w:cs="Arial"/>
          <w:i/>
          <w:iCs/>
          <w:sz w:val="22"/>
        </w:rPr>
        <w:t>eLife</w:t>
      </w:r>
      <w:proofErr w:type="spellEnd"/>
      <w:r w:rsidRPr="00880067">
        <w:rPr>
          <w:rFonts w:ascii="Arial" w:hAnsi="Arial" w:cs="Arial"/>
          <w:sz w:val="22"/>
        </w:rPr>
        <w:t xml:space="preserve">, </w:t>
      </w:r>
      <w:r w:rsidRPr="00880067">
        <w:rPr>
          <w:rFonts w:ascii="Arial" w:hAnsi="Arial" w:cs="Arial"/>
          <w:i/>
          <w:iCs/>
          <w:sz w:val="22"/>
        </w:rPr>
        <w:t>7</w:t>
      </w:r>
      <w:r w:rsidRPr="00880067">
        <w:rPr>
          <w:rFonts w:ascii="Arial" w:hAnsi="Arial" w:cs="Arial"/>
          <w:sz w:val="22"/>
        </w:rPr>
        <w:t>, e32992. https://doi.org/10.7554/eLife.32992</w:t>
      </w:r>
    </w:p>
    <w:p w14:paraId="75D8A225" w14:textId="77777777" w:rsidR="00880067" w:rsidRPr="00880067" w:rsidRDefault="00880067" w:rsidP="00880067">
      <w:pPr>
        <w:pStyle w:val="Bibliography"/>
        <w:spacing w:line="240" w:lineRule="auto"/>
        <w:rPr>
          <w:rFonts w:ascii="Arial" w:hAnsi="Arial" w:cs="Arial"/>
          <w:sz w:val="22"/>
        </w:rPr>
      </w:pPr>
      <w:r w:rsidRPr="00880067">
        <w:rPr>
          <w:rFonts w:ascii="Arial" w:hAnsi="Arial" w:cs="Arial"/>
          <w:sz w:val="22"/>
        </w:rPr>
        <w:t xml:space="preserve">Diamond, A., &amp; </w:t>
      </w:r>
      <w:proofErr w:type="spellStart"/>
      <w:r w:rsidRPr="00880067">
        <w:rPr>
          <w:rFonts w:ascii="Arial" w:hAnsi="Arial" w:cs="Arial"/>
          <w:sz w:val="22"/>
        </w:rPr>
        <w:t>Sekhon</w:t>
      </w:r>
      <w:proofErr w:type="spellEnd"/>
      <w:r w:rsidRPr="00880067">
        <w:rPr>
          <w:rFonts w:ascii="Arial" w:hAnsi="Arial" w:cs="Arial"/>
          <w:sz w:val="22"/>
        </w:rPr>
        <w:t xml:space="preserve">, J. S. (2013). Genetic Matching for Estimating Causal Effects: A General Multivariate Matching Method for Achieving Balance in Observational Studies. </w:t>
      </w:r>
      <w:r w:rsidRPr="00880067">
        <w:rPr>
          <w:rFonts w:ascii="Arial" w:hAnsi="Arial" w:cs="Arial"/>
          <w:i/>
          <w:iCs/>
          <w:sz w:val="22"/>
        </w:rPr>
        <w:t>The Review of Economics and Statistics</w:t>
      </w:r>
      <w:r w:rsidRPr="00880067">
        <w:rPr>
          <w:rFonts w:ascii="Arial" w:hAnsi="Arial" w:cs="Arial"/>
          <w:sz w:val="22"/>
        </w:rPr>
        <w:t xml:space="preserve">, </w:t>
      </w:r>
      <w:r w:rsidRPr="00880067">
        <w:rPr>
          <w:rFonts w:ascii="Arial" w:hAnsi="Arial" w:cs="Arial"/>
          <w:i/>
          <w:iCs/>
          <w:sz w:val="22"/>
        </w:rPr>
        <w:t>95</w:t>
      </w:r>
      <w:r w:rsidRPr="00880067">
        <w:rPr>
          <w:rFonts w:ascii="Arial" w:hAnsi="Arial" w:cs="Arial"/>
          <w:sz w:val="22"/>
        </w:rPr>
        <w:t>(3), 932–945.</w:t>
      </w:r>
    </w:p>
    <w:p w14:paraId="12D15A42" w14:textId="77777777" w:rsidR="00880067" w:rsidRPr="00880067" w:rsidRDefault="00880067" w:rsidP="00880067">
      <w:pPr>
        <w:pStyle w:val="Bibliography"/>
        <w:spacing w:line="240" w:lineRule="auto"/>
        <w:rPr>
          <w:rFonts w:ascii="Arial" w:hAnsi="Arial" w:cs="Arial"/>
          <w:sz w:val="22"/>
        </w:rPr>
      </w:pPr>
      <w:r w:rsidRPr="00880067">
        <w:rPr>
          <w:rFonts w:ascii="Arial" w:hAnsi="Arial" w:cs="Arial"/>
          <w:sz w:val="22"/>
        </w:rPr>
        <w:t xml:space="preserve">Gu, X. S., &amp; Rosenbaum, P. R. (1993). Comparison of Multivariate Matching Methods: Structures, Distances, and Algorithms. </w:t>
      </w:r>
      <w:r w:rsidRPr="00880067">
        <w:rPr>
          <w:rFonts w:ascii="Arial" w:hAnsi="Arial" w:cs="Arial"/>
          <w:i/>
          <w:iCs/>
          <w:sz w:val="22"/>
        </w:rPr>
        <w:t>Journal of Computational and Graphical Statistics</w:t>
      </w:r>
      <w:r w:rsidRPr="00880067">
        <w:rPr>
          <w:rFonts w:ascii="Arial" w:hAnsi="Arial" w:cs="Arial"/>
          <w:sz w:val="22"/>
        </w:rPr>
        <w:t xml:space="preserve">, </w:t>
      </w:r>
      <w:r w:rsidRPr="00880067">
        <w:rPr>
          <w:rFonts w:ascii="Arial" w:hAnsi="Arial" w:cs="Arial"/>
          <w:i/>
          <w:iCs/>
          <w:sz w:val="22"/>
        </w:rPr>
        <w:t>2</w:t>
      </w:r>
      <w:r w:rsidRPr="00880067">
        <w:rPr>
          <w:rFonts w:ascii="Arial" w:hAnsi="Arial" w:cs="Arial"/>
          <w:sz w:val="22"/>
        </w:rPr>
        <w:t>(4), 405–420. https://doi.org/10.1080/10618600.1993.10474623</w:t>
      </w:r>
    </w:p>
    <w:p w14:paraId="0480505A" w14:textId="77777777" w:rsidR="00880067" w:rsidRPr="00880067" w:rsidRDefault="00880067" w:rsidP="00880067">
      <w:pPr>
        <w:pStyle w:val="Bibliography"/>
        <w:spacing w:line="240" w:lineRule="auto"/>
        <w:rPr>
          <w:rFonts w:ascii="Arial" w:hAnsi="Arial" w:cs="Arial"/>
          <w:sz w:val="22"/>
        </w:rPr>
      </w:pPr>
      <w:r w:rsidRPr="00880067">
        <w:rPr>
          <w:rFonts w:ascii="Arial" w:hAnsi="Arial" w:cs="Arial"/>
          <w:sz w:val="22"/>
        </w:rPr>
        <w:t xml:space="preserve">Harrison, S. J., </w:t>
      </w:r>
      <w:proofErr w:type="spellStart"/>
      <w:r w:rsidRPr="00880067">
        <w:rPr>
          <w:rFonts w:ascii="Arial" w:hAnsi="Arial" w:cs="Arial"/>
          <w:sz w:val="22"/>
        </w:rPr>
        <w:t>Bijsterbosch</w:t>
      </w:r>
      <w:proofErr w:type="spellEnd"/>
      <w:r w:rsidRPr="00880067">
        <w:rPr>
          <w:rFonts w:ascii="Arial" w:hAnsi="Arial" w:cs="Arial"/>
          <w:sz w:val="22"/>
        </w:rPr>
        <w:t xml:space="preserve">, J. D., </w:t>
      </w:r>
      <w:proofErr w:type="spellStart"/>
      <w:r w:rsidRPr="00880067">
        <w:rPr>
          <w:rFonts w:ascii="Arial" w:hAnsi="Arial" w:cs="Arial"/>
          <w:sz w:val="22"/>
        </w:rPr>
        <w:t>Segerdahl</w:t>
      </w:r>
      <w:proofErr w:type="spellEnd"/>
      <w:r w:rsidRPr="00880067">
        <w:rPr>
          <w:rFonts w:ascii="Arial" w:hAnsi="Arial" w:cs="Arial"/>
          <w:sz w:val="22"/>
        </w:rPr>
        <w:t xml:space="preserve">, A. R., Fitzgibbon, S. P., </w:t>
      </w:r>
      <w:proofErr w:type="spellStart"/>
      <w:r w:rsidRPr="00880067">
        <w:rPr>
          <w:rFonts w:ascii="Arial" w:hAnsi="Arial" w:cs="Arial"/>
          <w:sz w:val="22"/>
        </w:rPr>
        <w:t>Farahibozorg</w:t>
      </w:r>
      <w:proofErr w:type="spellEnd"/>
      <w:r w:rsidRPr="00880067">
        <w:rPr>
          <w:rFonts w:ascii="Arial" w:hAnsi="Arial" w:cs="Arial"/>
          <w:sz w:val="22"/>
        </w:rPr>
        <w:t xml:space="preserve">, S.-R., Duff, E. P., Smith, S. M., &amp; Woolrich, M. W. (2020). Modelling subject variability in the spatial and temporal characteristics of functional modes. </w:t>
      </w:r>
      <w:proofErr w:type="spellStart"/>
      <w:r w:rsidRPr="00880067">
        <w:rPr>
          <w:rFonts w:ascii="Arial" w:hAnsi="Arial" w:cs="Arial"/>
          <w:i/>
          <w:iCs/>
          <w:sz w:val="22"/>
        </w:rPr>
        <w:t>NeuroImage</w:t>
      </w:r>
      <w:proofErr w:type="spellEnd"/>
      <w:r w:rsidRPr="00880067">
        <w:rPr>
          <w:rFonts w:ascii="Arial" w:hAnsi="Arial" w:cs="Arial"/>
          <w:sz w:val="22"/>
        </w:rPr>
        <w:t xml:space="preserve">, </w:t>
      </w:r>
      <w:r w:rsidRPr="00880067">
        <w:rPr>
          <w:rFonts w:ascii="Arial" w:hAnsi="Arial" w:cs="Arial"/>
          <w:i/>
          <w:iCs/>
          <w:sz w:val="22"/>
        </w:rPr>
        <w:t>222</w:t>
      </w:r>
      <w:r w:rsidRPr="00880067">
        <w:rPr>
          <w:rFonts w:ascii="Arial" w:hAnsi="Arial" w:cs="Arial"/>
          <w:sz w:val="22"/>
        </w:rPr>
        <w:t>, 117226. https://doi.org/10.1016/j.neuroimage.2020.117226</w:t>
      </w:r>
    </w:p>
    <w:p w14:paraId="49972CEA" w14:textId="77777777" w:rsidR="00880067" w:rsidRPr="00880067" w:rsidRDefault="00880067" w:rsidP="00880067">
      <w:pPr>
        <w:pStyle w:val="Bibliography"/>
        <w:spacing w:line="240" w:lineRule="auto"/>
        <w:rPr>
          <w:rFonts w:ascii="Arial" w:hAnsi="Arial" w:cs="Arial"/>
          <w:sz w:val="22"/>
        </w:rPr>
      </w:pPr>
      <w:r w:rsidRPr="00880067">
        <w:rPr>
          <w:rFonts w:ascii="Arial" w:hAnsi="Arial" w:cs="Arial"/>
          <w:sz w:val="22"/>
        </w:rPr>
        <w:t xml:space="preserve">Ho, D. E., Imai, K., King, G., &amp; Stuart, E. A. (2007). Matching as Nonparametric Preprocessing for Reducing Model Dependence in Parametric Causal Inference. </w:t>
      </w:r>
      <w:r w:rsidRPr="00880067">
        <w:rPr>
          <w:rFonts w:ascii="Arial" w:hAnsi="Arial" w:cs="Arial"/>
          <w:i/>
          <w:iCs/>
          <w:sz w:val="22"/>
        </w:rPr>
        <w:t>Political Analysis</w:t>
      </w:r>
      <w:r w:rsidRPr="00880067">
        <w:rPr>
          <w:rFonts w:ascii="Arial" w:hAnsi="Arial" w:cs="Arial"/>
          <w:sz w:val="22"/>
        </w:rPr>
        <w:t xml:space="preserve">, </w:t>
      </w:r>
      <w:r w:rsidRPr="00880067">
        <w:rPr>
          <w:rFonts w:ascii="Arial" w:hAnsi="Arial" w:cs="Arial"/>
          <w:i/>
          <w:iCs/>
          <w:sz w:val="22"/>
        </w:rPr>
        <w:t>15</w:t>
      </w:r>
      <w:r w:rsidRPr="00880067">
        <w:rPr>
          <w:rFonts w:ascii="Arial" w:hAnsi="Arial" w:cs="Arial"/>
          <w:sz w:val="22"/>
        </w:rPr>
        <w:t>(3), 199–236. https://doi.org/10.1093/pan/mpl013</w:t>
      </w:r>
    </w:p>
    <w:p w14:paraId="47A2EAE5" w14:textId="77777777" w:rsidR="00880067" w:rsidRPr="00880067" w:rsidRDefault="00880067" w:rsidP="00880067">
      <w:pPr>
        <w:pStyle w:val="Bibliography"/>
        <w:spacing w:line="240" w:lineRule="auto"/>
        <w:rPr>
          <w:rFonts w:ascii="Arial" w:hAnsi="Arial" w:cs="Arial"/>
          <w:sz w:val="22"/>
        </w:rPr>
      </w:pPr>
      <w:r w:rsidRPr="00880067">
        <w:rPr>
          <w:rFonts w:ascii="Arial" w:hAnsi="Arial" w:cs="Arial"/>
          <w:sz w:val="22"/>
        </w:rPr>
        <w:t xml:space="preserve">Nickerson, L. D., Smith, S. M., </w:t>
      </w:r>
      <w:proofErr w:type="spellStart"/>
      <w:r w:rsidRPr="00880067">
        <w:rPr>
          <w:rFonts w:ascii="Arial" w:hAnsi="Arial" w:cs="Arial"/>
          <w:sz w:val="22"/>
        </w:rPr>
        <w:t>Öngür</w:t>
      </w:r>
      <w:proofErr w:type="spellEnd"/>
      <w:r w:rsidRPr="00880067">
        <w:rPr>
          <w:rFonts w:ascii="Arial" w:hAnsi="Arial" w:cs="Arial"/>
          <w:sz w:val="22"/>
        </w:rPr>
        <w:t xml:space="preserve">, D., &amp; Beckmann, C. F. (2017). Using Dual Regression to Investigate Network Shape and Amplitude in Functional Connectivity Analyses. </w:t>
      </w:r>
      <w:r w:rsidRPr="00880067">
        <w:rPr>
          <w:rFonts w:ascii="Arial" w:hAnsi="Arial" w:cs="Arial"/>
          <w:i/>
          <w:iCs/>
          <w:sz w:val="22"/>
        </w:rPr>
        <w:t>Frontiers in Neuroscience</w:t>
      </w:r>
      <w:r w:rsidRPr="00880067">
        <w:rPr>
          <w:rFonts w:ascii="Arial" w:hAnsi="Arial" w:cs="Arial"/>
          <w:sz w:val="22"/>
        </w:rPr>
        <w:t xml:space="preserve">, </w:t>
      </w:r>
      <w:r w:rsidRPr="00880067">
        <w:rPr>
          <w:rFonts w:ascii="Arial" w:hAnsi="Arial" w:cs="Arial"/>
          <w:i/>
          <w:iCs/>
          <w:sz w:val="22"/>
        </w:rPr>
        <w:t>11</w:t>
      </w:r>
      <w:r w:rsidRPr="00880067">
        <w:rPr>
          <w:rFonts w:ascii="Arial" w:hAnsi="Arial" w:cs="Arial"/>
          <w:sz w:val="22"/>
        </w:rPr>
        <w:t>, 115. https://doi.org/10.3389/fnins.2017.00115</w:t>
      </w:r>
    </w:p>
    <w:p w14:paraId="501A1D85" w14:textId="77777777" w:rsidR="00880067" w:rsidRPr="00880067" w:rsidRDefault="00880067" w:rsidP="00880067">
      <w:pPr>
        <w:pStyle w:val="Bibliography"/>
        <w:spacing w:line="240" w:lineRule="auto"/>
        <w:rPr>
          <w:rFonts w:ascii="Arial" w:hAnsi="Arial" w:cs="Arial"/>
          <w:sz w:val="22"/>
        </w:rPr>
      </w:pPr>
      <w:r w:rsidRPr="00880067">
        <w:rPr>
          <w:rFonts w:ascii="Arial" w:hAnsi="Arial" w:cs="Arial"/>
          <w:sz w:val="22"/>
        </w:rPr>
        <w:t xml:space="preserve">Rosenbaum, P. R. (1989). Optimal Matching for Observational Studies. </w:t>
      </w:r>
      <w:r w:rsidRPr="00880067">
        <w:rPr>
          <w:rFonts w:ascii="Arial" w:hAnsi="Arial" w:cs="Arial"/>
          <w:i/>
          <w:iCs/>
          <w:sz w:val="22"/>
        </w:rPr>
        <w:t>Journal of the American Statistical Association</w:t>
      </w:r>
      <w:r w:rsidRPr="00880067">
        <w:rPr>
          <w:rFonts w:ascii="Arial" w:hAnsi="Arial" w:cs="Arial"/>
          <w:sz w:val="22"/>
        </w:rPr>
        <w:t xml:space="preserve">, </w:t>
      </w:r>
      <w:r w:rsidRPr="00880067">
        <w:rPr>
          <w:rFonts w:ascii="Arial" w:hAnsi="Arial" w:cs="Arial"/>
          <w:i/>
          <w:iCs/>
          <w:sz w:val="22"/>
        </w:rPr>
        <w:t>84</w:t>
      </w:r>
      <w:r w:rsidRPr="00880067">
        <w:rPr>
          <w:rFonts w:ascii="Arial" w:hAnsi="Arial" w:cs="Arial"/>
          <w:sz w:val="22"/>
        </w:rPr>
        <w:t>(408), 1024–1032. https://doi.org/10.1080/01621459.1989.10478868</w:t>
      </w:r>
    </w:p>
    <w:p w14:paraId="14EB585A" w14:textId="77777777" w:rsidR="00880067" w:rsidRPr="00880067" w:rsidRDefault="00880067" w:rsidP="00880067">
      <w:pPr>
        <w:pStyle w:val="Bibliography"/>
        <w:spacing w:line="240" w:lineRule="auto"/>
        <w:rPr>
          <w:rFonts w:ascii="Arial" w:hAnsi="Arial" w:cs="Arial"/>
          <w:sz w:val="22"/>
        </w:rPr>
      </w:pPr>
      <w:r w:rsidRPr="00880067">
        <w:rPr>
          <w:rFonts w:ascii="Arial" w:hAnsi="Arial" w:cs="Arial"/>
          <w:sz w:val="22"/>
        </w:rPr>
        <w:t xml:space="preserve">Rosenbaum, P. R., &amp; Rubin, D. B. (1983). The central role of the propensity score in observational studies for causal effects. </w:t>
      </w:r>
      <w:proofErr w:type="spellStart"/>
      <w:r w:rsidRPr="00880067">
        <w:rPr>
          <w:rFonts w:ascii="Arial" w:hAnsi="Arial" w:cs="Arial"/>
          <w:i/>
          <w:iCs/>
          <w:sz w:val="22"/>
        </w:rPr>
        <w:t>Biometrika</w:t>
      </w:r>
      <w:proofErr w:type="spellEnd"/>
      <w:r w:rsidRPr="00880067">
        <w:rPr>
          <w:rFonts w:ascii="Arial" w:hAnsi="Arial" w:cs="Arial"/>
          <w:sz w:val="22"/>
        </w:rPr>
        <w:t xml:space="preserve">, </w:t>
      </w:r>
      <w:r w:rsidRPr="00880067">
        <w:rPr>
          <w:rFonts w:ascii="Arial" w:hAnsi="Arial" w:cs="Arial"/>
          <w:i/>
          <w:iCs/>
          <w:sz w:val="22"/>
        </w:rPr>
        <w:t>70</w:t>
      </w:r>
      <w:r w:rsidRPr="00880067">
        <w:rPr>
          <w:rFonts w:ascii="Arial" w:hAnsi="Arial" w:cs="Arial"/>
          <w:sz w:val="22"/>
        </w:rPr>
        <w:t>(1), 41–55. https://doi.org/10.1093/biomet/70.1.41</w:t>
      </w:r>
    </w:p>
    <w:p w14:paraId="23A930CA" w14:textId="77777777" w:rsidR="00880067" w:rsidRPr="00880067" w:rsidRDefault="00880067" w:rsidP="00880067">
      <w:pPr>
        <w:pStyle w:val="Bibliography"/>
        <w:spacing w:line="240" w:lineRule="auto"/>
        <w:rPr>
          <w:rFonts w:ascii="Arial" w:hAnsi="Arial" w:cs="Arial"/>
          <w:sz w:val="22"/>
        </w:rPr>
      </w:pPr>
      <w:r w:rsidRPr="00880067">
        <w:rPr>
          <w:rFonts w:ascii="Arial" w:hAnsi="Arial" w:cs="Arial"/>
          <w:sz w:val="22"/>
        </w:rPr>
        <w:t xml:space="preserve">Rosenbaum, P. R., &amp; Rubin, D. B. (1984). Reducing Bias in Observational Studies Using Subclassification on the Propensity Score. </w:t>
      </w:r>
      <w:r w:rsidRPr="00880067">
        <w:rPr>
          <w:rFonts w:ascii="Arial" w:hAnsi="Arial" w:cs="Arial"/>
          <w:i/>
          <w:iCs/>
          <w:sz w:val="22"/>
        </w:rPr>
        <w:t>Journal of the American Statistical Association</w:t>
      </w:r>
      <w:r w:rsidRPr="00880067">
        <w:rPr>
          <w:rFonts w:ascii="Arial" w:hAnsi="Arial" w:cs="Arial"/>
          <w:sz w:val="22"/>
        </w:rPr>
        <w:t xml:space="preserve">, </w:t>
      </w:r>
      <w:r w:rsidRPr="00880067">
        <w:rPr>
          <w:rFonts w:ascii="Arial" w:hAnsi="Arial" w:cs="Arial"/>
          <w:i/>
          <w:iCs/>
          <w:sz w:val="22"/>
        </w:rPr>
        <w:t>79</w:t>
      </w:r>
      <w:r w:rsidRPr="00880067">
        <w:rPr>
          <w:rFonts w:ascii="Arial" w:hAnsi="Arial" w:cs="Arial"/>
          <w:sz w:val="22"/>
        </w:rPr>
        <w:t>(387), 516–524. https://doi.org/10.1080/01621459.1984.10478078</w:t>
      </w:r>
    </w:p>
    <w:p w14:paraId="2CC182C9" w14:textId="77777777" w:rsidR="00880067" w:rsidRPr="00880067" w:rsidRDefault="00880067" w:rsidP="00880067">
      <w:pPr>
        <w:pStyle w:val="Bibliography"/>
        <w:spacing w:line="240" w:lineRule="auto"/>
        <w:rPr>
          <w:rFonts w:ascii="Arial" w:hAnsi="Arial" w:cs="Arial"/>
          <w:sz w:val="22"/>
        </w:rPr>
      </w:pPr>
      <w:r w:rsidRPr="00880067">
        <w:rPr>
          <w:rFonts w:ascii="Arial" w:hAnsi="Arial" w:cs="Arial"/>
          <w:sz w:val="22"/>
        </w:rPr>
        <w:t xml:space="preserve">Tsai, K.-T., &amp; Peace, K. (2011). Genetic Matching: A Better Algorithm for Adjusting Covariate Imbalance for Statistical Data Analysis and Modeling. </w:t>
      </w:r>
      <w:r w:rsidRPr="00880067">
        <w:rPr>
          <w:rFonts w:ascii="Arial" w:hAnsi="Arial" w:cs="Arial"/>
          <w:i/>
          <w:iCs/>
          <w:sz w:val="22"/>
        </w:rPr>
        <w:t>Proceedings of the International Conference on Bioinformatics and Computational Biology</w:t>
      </w:r>
      <w:r w:rsidRPr="00880067">
        <w:rPr>
          <w:rFonts w:ascii="Arial" w:hAnsi="Arial" w:cs="Arial"/>
          <w:sz w:val="22"/>
        </w:rPr>
        <w:t>. https://digitalcommons.georgiasouthern.edu/biostat-facpubs/54</w:t>
      </w:r>
    </w:p>
    <w:p w14:paraId="3A931EDF" w14:textId="57696BC7" w:rsidR="00880067" w:rsidRPr="00880067" w:rsidRDefault="00880067" w:rsidP="00880067">
      <w:pPr>
        <w:rPr>
          <w:rFonts w:ascii="Arial" w:hAnsi="Arial" w:cs="Arial"/>
          <w:sz w:val="22"/>
          <w:szCs w:val="22"/>
        </w:rPr>
      </w:pPr>
      <w:r>
        <w:rPr>
          <w:rFonts w:ascii="Arial" w:hAnsi="Arial" w:cs="Arial"/>
          <w:sz w:val="22"/>
          <w:szCs w:val="22"/>
        </w:rPr>
        <w:fldChar w:fldCharType="end"/>
      </w:r>
    </w:p>
    <w:p w14:paraId="0E0F8C18" w14:textId="77777777" w:rsidR="00880067" w:rsidRPr="00F23BD7" w:rsidRDefault="00880067" w:rsidP="00F23BD7"/>
    <w:sectPr w:rsidR="00880067" w:rsidRPr="00F23BD7" w:rsidSect="00157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83FD9"/>
    <w:multiLevelType w:val="hybridMultilevel"/>
    <w:tmpl w:val="360CE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706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BB"/>
    <w:rsid w:val="000E244C"/>
    <w:rsid w:val="001360EC"/>
    <w:rsid w:val="001576F8"/>
    <w:rsid w:val="002A2ABB"/>
    <w:rsid w:val="002F04EC"/>
    <w:rsid w:val="00351768"/>
    <w:rsid w:val="003F0E73"/>
    <w:rsid w:val="004249E5"/>
    <w:rsid w:val="00481F82"/>
    <w:rsid w:val="00503F0B"/>
    <w:rsid w:val="0057670A"/>
    <w:rsid w:val="00634E7E"/>
    <w:rsid w:val="00681F26"/>
    <w:rsid w:val="00721010"/>
    <w:rsid w:val="00757B60"/>
    <w:rsid w:val="00796C7A"/>
    <w:rsid w:val="0081177C"/>
    <w:rsid w:val="00851AC7"/>
    <w:rsid w:val="00880067"/>
    <w:rsid w:val="008A5F24"/>
    <w:rsid w:val="008C16C2"/>
    <w:rsid w:val="0093285A"/>
    <w:rsid w:val="00967AF7"/>
    <w:rsid w:val="009A4FE6"/>
    <w:rsid w:val="009B77CD"/>
    <w:rsid w:val="009E73EC"/>
    <w:rsid w:val="00A133CD"/>
    <w:rsid w:val="00AA2879"/>
    <w:rsid w:val="00AA6919"/>
    <w:rsid w:val="00AF3C99"/>
    <w:rsid w:val="00B370BE"/>
    <w:rsid w:val="00B54DBB"/>
    <w:rsid w:val="00B75D96"/>
    <w:rsid w:val="00BA5FA5"/>
    <w:rsid w:val="00BB16EE"/>
    <w:rsid w:val="00BE787E"/>
    <w:rsid w:val="00BF460A"/>
    <w:rsid w:val="00C24306"/>
    <w:rsid w:val="00C60ADF"/>
    <w:rsid w:val="00CE46F2"/>
    <w:rsid w:val="00D8559B"/>
    <w:rsid w:val="00DB6C97"/>
    <w:rsid w:val="00DD2F34"/>
    <w:rsid w:val="00DD7913"/>
    <w:rsid w:val="00E16328"/>
    <w:rsid w:val="00E3297C"/>
    <w:rsid w:val="00E830CA"/>
    <w:rsid w:val="00EB1496"/>
    <w:rsid w:val="00F05428"/>
    <w:rsid w:val="00F23BD7"/>
    <w:rsid w:val="00F74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55F9B"/>
  <w15:chartTrackingRefBased/>
  <w15:docId w15:val="{CC4D0D4C-2D38-3B40-9BB3-428C16E09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503F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AA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2879"/>
    <w:rPr>
      <w:sz w:val="16"/>
      <w:szCs w:val="16"/>
    </w:rPr>
  </w:style>
  <w:style w:type="paragraph" w:styleId="CommentText">
    <w:name w:val="annotation text"/>
    <w:basedOn w:val="Normal"/>
    <w:link w:val="CommentTextChar"/>
    <w:uiPriority w:val="99"/>
    <w:unhideWhenUsed/>
    <w:rsid w:val="00AA2879"/>
    <w:rPr>
      <w:sz w:val="20"/>
      <w:szCs w:val="20"/>
    </w:rPr>
  </w:style>
  <w:style w:type="character" w:customStyle="1" w:styleId="CommentTextChar">
    <w:name w:val="Comment Text Char"/>
    <w:basedOn w:val="DefaultParagraphFont"/>
    <w:link w:val="CommentText"/>
    <w:uiPriority w:val="99"/>
    <w:rsid w:val="00AA2879"/>
    <w:rPr>
      <w:sz w:val="20"/>
      <w:szCs w:val="20"/>
    </w:rPr>
  </w:style>
  <w:style w:type="character" w:styleId="Hyperlink">
    <w:name w:val="Hyperlink"/>
    <w:basedOn w:val="DefaultParagraphFont"/>
    <w:uiPriority w:val="99"/>
    <w:unhideWhenUsed/>
    <w:rsid w:val="00BB16EE"/>
    <w:rPr>
      <w:color w:val="0563C1" w:themeColor="hyperlink"/>
      <w:u w:val="single"/>
    </w:rPr>
  </w:style>
  <w:style w:type="paragraph" w:styleId="ListParagraph">
    <w:name w:val="List Paragraph"/>
    <w:basedOn w:val="Normal"/>
    <w:uiPriority w:val="34"/>
    <w:qFormat/>
    <w:rsid w:val="00721010"/>
    <w:pPr>
      <w:ind w:left="720"/>
      <w:contextualSpacing/>
    </w:pPr>
  </w:style>
  <w:style w:type="paragraph" w:styleId="CommentSubject">
    <w:name w:val="annotation subject"/>
    <w:basedOn w:val="CommentText"/>
    <w:next w:val="CommentText"/>
    <w:link w:val="CommentSubjectChar"/>
    <w:uiPriority w:val="99"/>
    <w:semiHidden/>
    <w:unhideWhenUsed/>
    <w:rsid w:val="009B77CD"/>
    <w:rPr>
      <w:b/>
      <w:bCs/>
    </w:rPr>
  </w:style>
  <w:style w:type="character" w:customStyle="1" w:styleId="CommentSubjectChar">
    <w:name w:val="Comment Subject Char"/>
    <w:basedOn w:val="CommentTextChar"/>
    <w:link w:val="CommentSubject"/>
    <w:uiPriority w:val="99"/>
    <w:semiHidden/>
    <w:rsid w:val="009B77CD"/>
    <w:rPr>
      <w:b/>
      <w:bCs/>
      <w:sz w:val="20"/>
      <w:szCs w:val="20"/>
    </w:rPr>
  </w:style>
  <w:style w:type="paragraph" w:styleId="Bibliography">
    <w:name w:val="Bibliography"/>
    <w:basedOn w:val="Normal"/>
    <w:next w:val="Normal"/>
    <w:uiPriority w:val="37"/>
    <w:unhideWhenUsed/>
    <w:rsid w:val="00880067"/>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paperpile.com/c/tKa7Hw/ccKW+pY1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5793</Words>
  <Characters>33023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wzzang</dc:creator>
  <cp:keywords/>
  <dc:description/>
  <cp:lastModifiedBy>wzzang</cp:lastModifiedBy>
  <cp:revision>3</cp:revision>
  <dcterms:created xsi:type="dcterms:W3CDTF">2024-03-25T13:26:00Z</dcterms:created>
  <dcterms:modified xsi:type="dcterms:W3CDTF">2024-03-25T13:27:00Z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id="X6hDUw49"/&gt;&lt;style id="http://www.zotero.org/styles/apa" locale="en-US" hasBibliography="1" bibliographyStyleHasBeenSet="1"/&gt;&lt;prefs&gt;&lt;pref name="fieldType" value="Field"/&gt;&lt;/prefs&gt;&lt;/data&gt;</vt:lpwstr>
  </property>
</Properties>
</file>