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FFE3" w14:textId="77777777" w:rsidR="00AA2795" w:rsidRDefault="00AA2795">
      <w:pPr>
        <w:rPr>
          <w:noProof/>
        </w:rPr>
      </w:pPr>
    </w:p>
    <w:p w14:paraId="00DCBDFA" w14:textId="77777777" w:rsidR="00AA2795" w:rsidRDefault="00AA2795">
      <w:pPr>
        <w:rPr>
          <w:noProof/>
        </w:rPr>
      </w:pPr>
    </w:p>
    <w:tbl>
      <w:tblPr>
        <w:tblStyle w:val="TableGrid"/>
        <w:tblW w:w="5000" w:type="pct"/>
        <w:tblLook w:val="04A0" w:firstRow="1" w:lastRow="0" w:firstColumn="1" w:lastColumn="0" w:noHBand="0" w:noVBand="1"/>
      </w:tblPr>
      <w:tblGrid>
        <w:gridCol w:w="13948"/>
      </w:tblGrid>
      <w:tr w:rsidR="00AA2795" w14:paraId="1C261BF6" w14:textId="77777777" w:rsidTr="00AA2795">
        <w:tc>
          <w:tcPr>
            <w:tcW w:w="5000" w:type="pct"/>
          </w:tcPr>
          <w:p w14:paraId="383674A8" w14:textId="77777777" w:rsidR="00AA2795" w:rsidRDefault="00AA2795">
            <w:pPr>
              <w:rPr>
                <w:noProof/>
              </w:rPr>
            </w:pPr>
          </w:p>
        </w:tc>
      </w:tr>
      <w:tr w:rsidR="00AA2795" w14:paraId="193CC21B" w14:textId="77777777" w:rsidTr="00AA2795">
        <w:tc>
          <w:tcPr>
            <w:tcW w:w="5000" w:type="pct"/>
          </w:tcPr>
          <w:p w14:paraId="6FC2A4E4" w14:textId="08DF768F" w:rsidR="00AA2795" w:rsidRPr="00AA2795" w:rsidRDefault="00AA2795">
            <w:pPr>
              <w:rPr>
                <w:i/>
                <w:iCs/>
                <w:noProof/>
              </w:rPr>
            </w:pPr>
            <w:r w:rsidRPr="00AA2795">
              <w:rPr>
                <w:i/>
                <w:iCs/>
                <w:noProof/>
              </w:rPr>
              <w:t>Criteria for Ultra-high risk for psychosis from the CAARMS</w:t>
            </w:r>
          </w:p>
        </w:tc>
      </w:tr>
      <w:tr w:rsidR="00AA2795" w14:paraId="57CE67AC" w14:textId="77777777" w:rsidTr="00AA2795">
        <w:tc>
          <w:tcPr>
            <w:tcW w:w="5000" w:type="pct"/>
          </w:tcPr>
          <w:p w14:paraId="4AEF4246" w14:textId="29283A37" w:rsidR="00AA2795" w:rsidRDefault="00AA2795">
            <w:pPr>
              <w:rPr>
                <w:noProof/>
              </w:rPr>
            </w:pPr>
            <w:r>
              <w:rPr>
                <w:rFonts w:cstheme="minorHAnsi"/>
              </w:rPr>
              <w:t xml:space="preserve">The criteria for the UHR state from the CAARMS </w:t>
            </w:r>
            <w:r w:rsidRPr="002C4D88">
              <w:rPr>
                <w:rFonts w:cstheme="minorHAnsi"/>
              </w:rPr>
              <w:t>stipulate</w:t>
            </w:r>
            <w:r>
              <w:rPr>
                <w:rFonts w:cstheme="minorHAnsi"/>
              </w:rPr>
              <w:t>s</w:t>
            </w:r>
            <w:r w:rsidRPr="002C4D88">
              <w:rPr>
                <w:rFonts w:cstheme="minorHAnsi"/>
              </w:rPr>
              <w:t xml:space="preserve"> that, to be identiﬁed as UHR for psychosis, an individual must be</w:t>
            </w:r>
            <w:r>
              <w:rPr>
                <w:rFonts w:cstheme="minorHAnsi"/>
              </w:rPr>
              <w:t xml:space="preserve"> </w:t>
            </w:r>
            <w:r w:rsidRPr="002C4D88">
              <w:rPr>
                <w:rFonts w:cstheme="minorHAnsi"/>
              </w:rPr>
              <w:t xml:space="preserve">help-seeking and experience at least one of the following: </w:t>
            </w:r>
            <w:r>
              <w:rPr>
                <w:rFonts w:cstheme="minorHAnsi"/>
              </w:rPr>
              <w:t>(</w:t>
            </w:r>
            <w:proofErr w:type="spellStart"/>
            <w:r>
              <w:rPr>
                <w:rFonts w:cstheme="minorHAnsi"/>
              </w:rPr>
              <w:t>i</w:t>
            </w:r>
            <w:proofErr w:type="spellEnd"/>
            <w:r>
              <w:rPr>
                <w:rFonts w:cstheme="minorHAnsi"/>
              </w:rPr>
              <w:t>) A</w:t>
            </w:r>
            <w:r w:rsidRPr="002C4D88">
              <w:rPr>
                <w:rFonts w:cstheme="minorHAnsi"/>
              </w:rPr>
              <w:t>ttenuated Positive Psychotic Symptoms (APS): subthreshold symptom intensity or frequency present within the last year;</w:t>
            </w:r>
            <w:r>
              <w:rPr>
                <w:rFonts w:cstheme="minorHAnsi"/>
              </w:rPr>
              <w:t xml:space="preserve"> (ii) B</w:t>
            </w:r>
            <w:r w:rsidRPr="002C4D88">
              <w:rPr>
                <w:rFonts w:cstheme="minorHAnsi"/>
              </w:rPr>
              <w:t>rief Limited Intermittent Psychotic Symptoms (BLIPS): full-threshold psychotic symptoms that have lasted no longer than a week in the last year and spontaneously remitted (without treatment); or</w:t>
            </w:r>
            <w:r>
              <w:rPr>
                <w:rFonts w:cstheme="minorHAnsi"/>
              </w:rPr>
              <w:t xml:space="preserve"> (iii) </w:t>
            </w:r>
            <w:r w:rsidRPr="002C4D88">
              <w:rPr>
                <w:rFonts w:cstheme="minorHAnsi"/>
              </w:rPr>
              <w:t>Trait Vulnerability for a psychotic disorder: presence of risk factors of schizotypal personality disorder or a ﬁrst-degree relative with a psychotic disorder</w:t>
            </w:r>
            <w:r>
              <w:rPr>
                <w:rFonts w:cstheme="minorHAnsi"/>
              </w:rPr>
              <w:t xml:space="preserve"> </w:t>
            </w:r>
            <w:r>
              <w:rPr>
                <w:rFonts w:cstheme="minorHAnsi"/>
              </w:rPr>
              <w:fldChar w:fldCharType="begin">
                <w:fldData xml:space="preserve">PEVuZE5vdGU+PENpdGU+PEF1dGhvcj5ZdW5nPC9BdXRob3I+PFllYXI+MjAwNTwvWWVhcj48UmVj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=
</w:fldData>
              </w:fldChar>
            </w:r>
            <w:r>
              <w:rPr>
                <w:rFonts w:cstheme="minorHAnsi"/>
              </w:rPr>
              <w:instrText xml:space="preserve"> ADDIN EN.CITE </w:instrText>
            </w:r>
            <w:r>
              <w:rPr>
                <w:rFonts w:cstheme="minorHAnsi"/>
              </w:rPr>
              <w:fldChar w:fldCharType="begin">
                <w:fldData xml:space="preserve">PEVuZE5vdGU+PENpdGU+PEF1dGhvcj5ZdW5nPC9BdXRob3I+PFllYXI+MjAwNTwvWWVhcj48UmVj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=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rPr>
              <w:t>(Yung et al., 2005)</w:t>
            </w:r>
            <w:r>
              <w:rPr>
                <w:rFonts w:cstheme="minorHAnsi"/>
              </w:rPr>
              <w:fldChar w:fldCharType="end"/>
            </w:r>
            <w:r w:rsidRPr="002C4D88">
              <w:rPr>
                <w:rFonts w:cstheme="minorHAnsi"/>
              </w:rPr>
              <w:t>.</w:t>
            </w:r>
            <w:r>
              <w:rPr>
                <w:rFonts w:cstheme="minorHAnsi"/>
              </w:rPr>
              <w:t xml:space="preserve"> </w:t>
            </w:r>
            <w:r w:rsidRPr="002C4D88">
              <w:rPr>
                <w:rFonts w:cstheme="minorHAnsi"/>
              </w:rPr>
              <w:t>Individuals must also have impaired functioning</w:t>
            </w:r>
            <w:r>
              <w:rPr>
                <w:rFonts w:cstheme="minorHAnsi"/>
              </w:rPr>
              <w:t>.</w:t>
            </w:r>
          </w:p>
        </w:tc>
      </w:tr>
      <w:tr w:rsidR="00AA2795" w14:paraId="608AFA5B" w14:textId="77777777" w:rsidTr="00AA2795">
        <w:tc>
          <w:tcPr>
            <w:tcW w:w="5000" w:type="pct"/>
          </w:tcPr>
          <w:p w14:paraId="246C0F12" w14:textId="1D292719" w:rsidR="00AA2795" w:rsidRPr="00AA2795" w:rsidRDefault="00AA2795">
            <w:pPr>
              <w:rPr>
                <w:i/>
                <w:iCs/>
                <w:noProof/>
              </w:rPr>
            </w:pPr>
            <w:r w:rsidRPr="00AA2795">
              <w:rPr>
                <w:i/>
                <w:iCs/>
                <w:noProof/>
              </w:rPr>
              <w:t>Classification of neighbourhood characteristics</w:t>
            </w:r>
          </w:p>
        </w:tc>
      </w:tr>
      <w:tr w:rsidR="00AA2795" w14:paraId="7C58A8E0" w14:textId="77777777" w:rsidTr="00AA2795">
        <w:tc>
          <w:tcPr>
            <w:tcW w:w="5000" w:type="pct"/>
          </w:tcPr>
          <w:p w14:paraId="7F643A5C" w14:textId="77777777" w:rsidR="00AA2795" w:rsidRPr="00DD644E" w:rsidRDefault="00AA2795" w:rsidP="00AA2795">
            <w:pPr>
              <w:rPr>
                <w:rFonts w:cstheme="minorHAnsi"/>
              </w:rPr>
            </w:pPr>
            <w:r w:rsidRPr="00DD644E">
              <w:rPr>
                <w:rFonts w:cstheme="minorHAnsi"/>
              </w:rPr>
              <w:t xml:space="preserve">Social deprivation was determined using the Index of Relative Socio-Economic Disadvantage from the Australian Bureau of Statistics and it was divided into quartiles, ranging from affluent to deprived. The level of social deprivation </w:t>
            </w:r>
            <w:r>
              <w:rPr>
                <w:rFonts w:cstheme="minorHAnsi"/>
              </w:rPr>
              <w:t>was</w:t>
            </w:r>
            <w:r w:rsidRPr="00DD644E">
              <w:rPr>
                <w:rFonts w:cstheme="minorHAnsi"/>
              </w:rPr>
              <w:t xml:space="preserve"> determined from the neighbourhood level of income, education level, employment, occupation, housing and other measures such as receipt of disability benefits. Social fragmentation is a composite measure composed of four census variables: the percentage of single-person households, dwellings rented, persons having lived at a different address one-year prior, and (socially defined) unmarried persons. </w:t>
            </w:r>
            <w:r>
              <w:rPr>
                <w:rFonts w:cstheme="minorHAnsi"/>
              </w:rPr>
              <w:t>T</w:t>
            </w:r>
            <w:r w:rsidRPr="00DD644E">
              <w:rPr>
                <w:rFonts w:cstheme="minorHAnsi"/>
              </w:rPr>
              <w:t xml:space="preserve">he postcodes were arranged into quartiles according to the level of social fragmentation </w:t>
            </w:r>
            <w:r w:rsidRPr="00DD644E">
              <w:rPr>
                <w:rFonts w:cstheme="minorHAnsi"/>
              </w:rPr>
              <w:fldChar w:fldCharType="begin"/>
            </w:r>
            <w:r>
              <w:rPr>
                <w:rFonts w:cstheme="minorHAnsi"/>
              </w:rPr>
              <w:instrText xml:space="preserve"> ADDIN EN.CITE &lt;EndNote&gt;&lt;Cite&gt;&lt;Author&gt;Congdon&lt;/Author&gt;&lt;Year&gt;1996&lt;/Year&gt;&lt;RecNum&gt;35&lt;/RecNum&gt;&lt;DisplayText&gt;(Congdon, 1996)&lt;/DisplayText&gt;&lt;record&gt;&lt;rec-number&gt;35&lt;/rec-number&gt;&lt;foreign-keys&gt;&lt;key app="EN" db-id="es9xf2fr055xwie9f0ovwfw6zx2x92fedder" timestamp="1491964217"&gt;35&lt;/key&gt;&lt;/foreign-keys&gt;&lt;ref-type name="Journal Article"&gt;17&lt;/ref-type&gt;&lt;contributors&gt;&lt;authors&gt;&lt;author&gt;Congdon, P.&lt;/author&gt;&lt;/authors&gt;&lt;/contributors&gt;&lt;titles&gt;&lt;title&gt;Suicide and Parasuicide in London: A Small-area&amp;#xD;Study&lt;/title&gt;&lt;secondary-title&gt;Urban Studies&lt;/secondary-title&gt;&lt;/titles&gt;&lt;periodical&gt;&lt;full-title&gt;Urban Studies&lt;/full-title&gt;&lt;/periodical&gt;&lt;pages&gt;137-158&lt;/pages&gt;&lt;volume&gt;33&lt;/volume&gt;&lt;number&gt;1&lt;/number&gt;&lt;dates&gt;&lt;year&gt;1996&lt;/year&gt;&lt;/dates&gt;&lt;urls&gt;&lt;/urls&gt;&lt;/record&gt;&lt;/Cite&gt;&lt;/EndNote&gt;</w:instrText>
            </w:r>
            <w:r w:rsidRPr="00DD644E">
              <w:rPr>
                <w:rFonts w:cstheme="minorHAnsi"/>
              </w:rPr>
              <w:fldChar w:fldCharType="separate"/>
            </w:r>
            <w:r>
              <w:rPr>
                <w:rFonts w:cstheme="minorHAnsi"/>
                <w:noProof/>
              </w:rPr>
              <w:t>(Congdon, 1996)</w:t>
            </w:r>
            <w:r w:rsidRPr="00DD644E">
              <w:rPr>
                <w:rFonts w:cstheme="minorHAnsi"/>
              </w:rPr>
              <w:fldChar w:fldCharType="end"/>
            </w:r>
            <w:r w:rsidRPr="00DD644E">
              <w:rPr>
                <w:rFonts w:cstheme="minorHAnsi"/>
              </w:rPr>
              <w:t>.</w:t>
            </w:r>
            <w:r>
              <w:rPr>
                <w:rFonts w:cstheme="minorHAnsi"/>
              </w:rPr>
              <w:t xml:space="preserve"> The population density was calculated from the total population residing within a postcode divided by the area of the postcode and these were also arranged into quartiles. The most socially deprived, fragmented and densely populated quartiles were used to define presence of neighbourhood level risk factors, i.e. living in a postcode that was in the ‘most deprived’ quartile for social deprivation was defined as having this </w:t>
            </w:r>
            <w:proofErr w:type="gramStart"/>
            <w:r>
              <w:rPr>
                <w:rFonts w:cstheme="minorHAnsi"/>
              </w:rPr>
              <w:t>particular neighbourhood</w:t>
            </w:r>
            <w:proofErr w:type="gramEnd"/>
            <w:r>
              <w:rPr>
                <w:rFonts w:cstheme="minorHAnsi"/>
              </w:rPr>
              <w:t xml:space="preserve"> level risk factor and this definition was also used for social fragmentation and population density.  </w:t>
            </w:r>
            <w:bookmarkStart w:id="0" w:name="_Hlk171070690"/>
            <w:r w:rsidRPr="00E33BC1">
              <w:rPr>
                <w:rFonts w:cstheme="minorHAnsi"/>
              </w:rPr>
              <w:t>For each neighbourhood characteristic, postcodes were arranged into quartiles, based on their ranking within the state of Victoria</w:t>
            </w:r>
            <w:r>
              <w:rPr>
                <w:rFonts w:cstheme="minorHAnsi"/>
              </w:rPr>
              <w:t xml:space="preserve"> in Australia</w:t>
            </w:r>
            <w:r w:rsidRPr="00E33BC1">
              <w:rPr>
                <w:rFonts w:cstheme="minorHAnsi"/>
              </w:rPr>
              <w:t xml:space="preserve">. This method was </w:t>
            </w:r>
            <w:r>
              <w:rPr>
                <w:rFonts w:cstheme="minorHAnsi"/>
              </w:rPr>
              <w:t xml:space="preserve">deemed more appropriate than </w:t>
            </w:r>
            <w:r w:rsidRPr="00E33BC1">
              <w:rPr>
                <w:rFonts w:cstheme="minorHAnsi"/>
              </w:rPr>
              <w:t xml:space="preserve">ranking </w:t>
            </w:r>
            <w:r>
              <w:rPr>
                <w:rFonts w:cstheme="minorHAnsi"/>
              </w:rPr>
              <w:t>each postcode</w:t>
            </w:r>
            <w:r w:rsidRPr="00E33BC1">
              <w:rPr>
                <w:rFonts w:cstheme="minorHAnsi"/>
              </w:rPr>
              <w:t xml:space="preserve"> within the catchment area because the catchment area is located within an area of Melbourne with higher social deprivation. Therefore, if postcodes were ranked </w:t>
            </w:r>
            <w:r>
              <w:rPr>
                <w:rFonts w:cstheme="minorHAnsi"/>
              </w:rPr>
              <w:t>just within</w:t>
            </w:r>
            <w:r w:rsidRPr="00E33BC1">
              <w:rPr>
                <w:rFonts w:cstheme="minorHAnsi"/>
              </w:rPr>
              <w:t xml:space="preserve"> the catchment area, it could potentially result in deprived areas being classified as affluent.</w:t>
            </w:r>
            <w:bookmarkEnd w:id="0"/>
          </w:p>
          <w:p w14:paraId="43A06BE9" w14:textId="77777777" w:rsidR="00AA2795" w:rsidRDefault="00AA2795">
            <w:pPr>
              <w:rPr>
                <w:noProof/>
              </w:rPr>
            </w:pPr>
          </w:p>
        </w:tc>
      </w:tr>
    </w:tbl>
    <w:p w14:paraId="62574C2E" w14:textId="77777777" w:rsidR="00AA2795" w:rsidRDefault="00AA2795">
      <w:pPr>
        <w:rPr>
          <w:noProof/>
        </w:rPr>
      </w:pPr>
    </w:p>
    <w:p w14:paraId="4F535C11" w14:textId="561288F5" w:rsidR="00CF677E" w:rsidRDefault="00831B57">
      <w:r w:rsidRPr="00003EF4">
        <w:rPr>
          <w:noProof/>
        </w:rPr>
        <w:lastRenderedPageBreak/>
        <w:drawing>
          <wp:inline distT="0" distB="0" distL="0" distR="0" wp14:anchorId="68AF4DC6" wp14:editId="179A751D">
            <wp:extent cx="6722932" cy="4899562"/>
            <wp:effectExtent l="19050" t="19050" r="20955" b="15875"/>
            <wp:docPr id="1832709160" name="Picture 1" descr="A graph of different siz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09160" name="Picture 1" descr="A graph of different sizes and numbers&#10;&#10;Description automatically generated with medium confidence"/>
                    <pic:cNvPicPr/>
                  </pic:nvPicPr>
                  <pic:blipFill>
                    <a:blip r:embed="rId4"/>
                    <a:stretch>
                      <a:fillRect/>
                    </a:stretch>
                  </pic:blipFill>
                  <pic:spPr>
                    <a:xfrm>
                      <a:off x="0" y="0"/>
                      <a:ext cx="6741614" cy="4913177"/>
                    </a:xfrm>
                    <a:prstGeom prst="rect">
                      <a:avLst/>
                    </a:prstGeom>
                    <a:ln>
                      <a:solidFill>
                        <a:schemeClr val="tx1"/>
                      </a:solidFill>
                    </a:ln>
                  </pic:spPr>
                </pic:pic>
              </a:graphicData>
            </a:graphic>
          </wp:inline>
        </w:drawing>
      </w:r>
    </w:p>
    <w:p w14:paraId="31409785" w14:textId="5E1C567A" w:rsidR="00831B57" w:rsidRPr="00E33BC1" w:rsidRDefault="00831B57">
      <w:pPr>
        <w:rPr>
          <w:rFonts w:ascii="Arial" w:hAnsi="Arial" w:cs="Arial"/>
          <w:sz w:val="16"/>
          <w:szCs w:val="16"/>
        </w:rPr>
      </w:pPr>
      <w:proofErr w:type="spellStart"/>
      <w:r w:rsidRPr="00E33BC1">
        <w:rPr>
          <w:rFonts w:ascii="Arial" w:hAnsi="Arial" w:cs="Arial"/>
          <w:sz w:val="16"/>
          <w:szCs w:val="16"/>
        </w:rPr>
        <w:t>eFigure</w:t>
      </w:r>
      <w:proofErr w:type="spellEnd"/>
      <w:r w:rsidRPr="00E33BC1">
        <w:rPr>
          <w:rFonts w:ascii="Arial" w:hAnsi="Arial" w:cs="Arial"/>
          <w:sz w:val="16"/>
          <w:szCs w:val="16"/>
        </w:rPr>
        <w:t xml:space="preserve"> 1: Missing data assumed to be missing at random through visualisation with the ‘</w:t>
      </w:r>
      <w:proofErr w:type="spellStart"/>
      <w:r w:rsidRPr="00E33BC1">
        <w:rPr>
          <w:rFonts w:ascii="Arial" w:hAnsi="Arial" w:cs="Arial"/>
          <w:sz w:val="16"/>
          <w:szCs w:val="16"/>
        </w:rPr>
        <w:t>naniar</w:t>
      </w:r>
      <w:proofErr w:type="spellEnd"/>
      <w:r w:rsidRPr="00E33BC1">
        <w:rPr>
          <w:rFonts w:ascii="Arial" w:hAnsi="Arial" w:cs="Arial"/>
          <w:sz w:val="16"/>
          <w:szCs w:val="16"/>
        </w:rPr>
        <w:t>’ (version 0.6.1) package.</w:t>
      </w:r>
    </w:p>
    <w:p w14:paraId="253DE55E" w14:textId="77777777" w:rsidR="00831B57" w:rsidRDefault="00831B57"/>
    <w:sectPr w:rsidR="00831B57" w:rsidSect="00831B5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57"/>
    <w:rsid w:val="00497C76"/>
    <w:rsid w:val="00831B57"/>
    <w:rsid w:val="009018DB"/>
    <w:rsid w:val="00AA2795"/>
    <w:rsid w:val="00AE0E4B"/>
    <w:rsid w:val="00CF677E"/>
    <w:rsid w:val="00D44ADC"/>
    <w:rsid w:val="00E33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D9809"/>
  <w15:chartTrackingRefBased/>
  <w15:docId w15:val="{9E8CBD1C-DA67-423B-BFA2-5EE3C5FF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B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B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B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B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B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B57"/>
    <w:rPr>
      <w:rFonts w:eastAsiaTheme="majorEastAsia" w:cstheme="majorBidi"/>
      <w:color w:val="272727" w:themeColor="text1" w:themeTint="D8"/>
    </w:rPr>
  </w:style>
  <w:style w:type="paragraph" w:styleId="Title">
    <w:name w:val="Title"/>
    <w:basedOn w:val="Normal"/>
    <w:next w:val="Normal"/>
    <w:link w:val="TitleChar"/>
    <w:uiPriority w:val="10"/>
    <w:qFormat/>
    <w:rsid w:val="00831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B57"/>
    <w:pPr>
      <w:spacing w:before="160"/>
      <w:jc w:val="center"/>
    </w:pPr>
    <w:rPr>
      <w:i/>
      <w:iCs/>
      <w:color w:val="404040" w:themeColor="text1" w:themeTint="BF"/>
    </w:rPr>
  </w:style>
  <w:style w:type="character" w:customStyle="1" w:styleId="QuoteChar">
    <w:name w:val="Quote Char"/>
    <w:basedOn w:val="DefaultParagraphFont"/>
    <w:link w:val="Quote"/>
    <w:uiPriority w:val="29"/>
    <w:rsid w:val="00831B57"/>
    <w:rPr>
      <w:i/>
      <w:iCs/>
      <w:color w:val="404040" w:themeColor="text1" w:themeTint="BF"/>
    </w:rPr>
  </w:style>
  <w:style w:type="paragraph" w:styleId="ListParagraph">
    <w:name w:val="List Paragraph"/>
    <w:basedOn w:val="Normal"/>
    <w:uiPriority w:val="34"/>
    <w:qFormat/>
    <w:rsid w:val="00831B57"/>
    <w:pPr>
      <w:ind w:left="720"/>
      <w:contextualSpacing/>
    </w:pPr>
  </w:style>
  <w:style w:type="character" w:styleId="IntenseEmphasis">
    <w:name w:val="Intense Emphasis"/>
    <w:basedOn w:val="DefaultParagraphFont"/>
    <w:uiPriority w:val="21"/>
    <w:qFormat/>
    <w:rsid w:val="00831B57"/>
    <w:rPr>
      <w:i/>
      <w:iCs/>
      <w:color w:val="0F4761" w:themeColor="accent1" w:themeShade="BF"/>
    </w:rPr>
  </w:style>
  <w:style w:type="paragraph" w:styleId="IntenseQuote">
    <w:name w:val="Intense Quote"/>
    <w:basedOn w:val="Normal"/>
    <w:next w:val="Normal"/>
    <w:link w:val="IntenseQuoteChar"/>
    <w:uiPriority w:val="30"/>
    <w:qFormat/>
    <w:rsid w:val="00831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B57"/>
    <w:rPr>
      <w:i/>
      <w:iCs/>
      <w:color w:val="0F4761" w:themeColor="accent1" w:themeShade="BF"/>
    </w:rPr>
  </w:style>
  <w:style w:type="character" w:styleId="IntenseReference">
    <w:name w:val="Intense Reference"/>
    <w:basedOn w:val="DefaultParagraphFont"/>
    <w:uiPriority w:val="32"/>
    <w:qFormat/>
    <w:rsid w:val="00831B57"/>
    <w:rPr>
      <w:b/>
      <w:bCs/>
      <w:smallCaps/>
      <w:color w:val="0F4761" w:themeColor="accent1" w:themeShade="BF"/>
      <w:spacing w:val="5"/>
    </w:rPr>
  </w:style>
  <w:style w:type="paragraph" w:styleId="Revision">
    <w:name w:val="Revision"/>
    <w:hidden/>
    <w:uiPriority w:val="99"/>
    <w:semiHidden/>
    <w:rsid w:val="00831B57"/>
    <w:pPr>
      <w:spacing w:after="0" w:line="240" w:lineRule="auto"/>
    </w:pPr>
  </w:style>
  <w:style w:type="table" w:styleId="TableGrid">
    <w:name w:val="Table Grid"/>
    <w:basedOn w:val="TableNormal"/>
    <w:uiPriority w:val="39"/>
    <w:rsid w:val="00AA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2355</Characters>
  <Application>Microsoft Office Word</Application>
  <DocSecurity>0</DocSecurity>
  <Lines>29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O'Donoghue</dc:creator>
  <cp:keywords/>
  <dc:description/>
  <cp:lastModifiedBy>Brian O'Donoghue</cp:lastModifiedBy>
  <cp:revision>2</cp:revision>
  <dcterms:created xsi:type="dcterms:W3CDTF">2024-09-04T11:17:00Z</dcterms:created>
  <dcterms:modified xsi:type="dcterms:W3CDTF">2024-09-04T11:17:00Z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ee9feef1-f394-490a-b798-9912c26a2089</vt:lpwstr>
  </property>
</Properties>
</file>