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6E17" w14:textId="77777777" w:rsidR="00D82760" w:rsidRPr="00D82760" w:rsidRDefault="00D82760" w:rsidP="00D82760">
      <w:pPr>
        <w:pStyle w:val="Heading1"/>
        <w:rPr>
          <w:rFonts w:ascii="Times New Roman" w:hAnsi="Times New Roman" w:cs="Times New Roman"/>
          <w:noProof/>
        </w:rPr>
      </w:pPr>
      <w:r w:rsidRPr="00E9095A">
        <w:rPr>
          <w:rFonts w:ascii="Times New Roman" w:hAnsi="Times New Roman" w:cs="Times New Roman"/>
          <w:noProof/>
        </w:rPr>
        <w:t>Appendix</w:t>
      </w:r>
    </w:p>
    <w:p w14:paraId="59FF3EE5" w14:textId="77777777" w:rsidR="00D82760" w:rsidRPr="00D82760" w:rsidRDefault="00D82760" w:rsidP="00D82760">
      <w:pPr>
        <w:rPr>
          <w:rFonts w:cs="Times New Roman"/>
        </w:rPr>
      </w:pPr>
    </w:p>
    <w:p w14:paraId="301CCF87" w14:textId="77777777" w:rsidR="00D82760" w:rsidRPr="00D82760" w:rsidRDefault="00D82760" w:rsidP="00D82760">
      <w:pPr>
        <w:pStyle w:val="Heading2"/>
        <w:spacing w:before="0" w:line="360" w:lineRule="auto"/>
        <w:rPr>
          <w:rFonts w:ascii="Times New Roman" w:hAnsi="Times New Roman" w:cs="Times New Roman"/>
        </w:rPr>
      </w:pPr>
      <w:r w:rsidRPr="00D82760">
        <w:rPr>
          <w:rFonts w:ascii="Times New Roman" w:hAnsi="Times New Roman" w:cs="Times New Roman"/>
        </w:rPr>
        <w:t>Socioeconomic Advantage and Disadvantage (SEIFA):</w:t>
      </w:r>
    </w:p>
    <w:p w14:paraId="5C523CF1" w14:textId="66B60441" w:rsidR="00D82760" w:rsidRPr="00D82760" w:rsidRDefault="00D82760" w:rsidP="00D82760">
      <w:pPr>
        <w:spacing w:after="0" w:line="360" w:lineRule="auto"/>
        <w:jc w:val="both"/>
        <w:rPr>
          <w:rFonts w:cs="Times New Roman"/>
          <w:color w:val="000000" w:themeColor="text1"/>
          <w:szCs w:val="24"/>
        </w:rPr>
      </w:pPr>
      <w:r w:rsidRPr="00D82760">
        <w:rPr>
          <w:rFonts w:cs="Times New Roman"/>
          <w:color w:val="000000" w:themeColor="text1"/>
          <w:szCs w:val="24"/>
        </w:rPr>
        <w:t xml:space="preserve">Socioeconomic Advantage and Disadvantage (SEIFA) ranks areas in Australia based on their relative socioeconomic advantage and disadvantage, considering factors such as income, education, occupation, employment, and housing characteristics. There are four indices of SEIFA, including the Index of Relative Socioeconomic Advantage and Disadvantage (IRSAD), which summarises the economic and social conditions of people and households within an area, including both advantage and disadvantage measures </w:t>
      </w:r>
      <w:r w:rsidRPr="00D82760">
        <w:rPr>
          <w:rFonts w:cs="Times New Roman"/>
          <w:color w:val="000000" w:themeColor="text1"/>
          <w:szCs w:val="24"/>
        </w:rPr>
        <w:fldChar w:fldCharType="begin"/>
      </w:r>
      <w:r w:rsidRPr="00D82760">
        <w:rPr>
          <w:rFonts w:cs="Times New Roman"/>
          <w:color w:val="000000" w:themeColor="text1"/>
          <w:szCs w:val="24"/>
        </w:rPr>
        <w:instrText xml:space="preserve"> ADDIN EN.CITE &lt;EndNote&gt;&lt;Cite&gt;&lt;Author&gt;Australian Bureau of Statistics&lt;/Author&gt;&lt;Year&gt;2013&lt;/Year&gt;&lt;RecNum&gt;198983&lt;/RecNum&gt;&lt;DisplayText&gt;(Australian Bureau of Statistics, 2008; 2013)&lt;/DisplayText&gt;&lt;record&gt;&lt;rec-number&gt;198983&lt;/rec-number&gt;&lt;foreign-keys&gt;&lt;key app="EN" db-id="s95z0xxa4pdvznefvp6xxtpk2p0v9wddvaaz" timestamp="1686809968"&gt;198983&lt;/key&gt;&lt;/foreign-keys&gt;&lt;ref-type name="Report"&gt;27&lt;/ref-type&gt;&lt;contributors&gt;&lt;authors&gt;&lt;author&gt;Australian Bureau of Statistics,&lt;/author&gt;&lt;/authors&gt;&lt;/contributors&gt;&lt;titles&gt;&lt;title&gt;Socio-Economic Indexes for Areas (SEIFA) - Technical Paper&lt;/title&gt;&lt;/titles&gt;&lt;dates&gt;&lt;year&gt;2013&lt;/year&gt;&lt;/dates&gt;&lt;urls&gt;&lt;related-urls&gt;&lt;url&gt;https://www.abs.gov.au/ausstats/abs@.nsf/DetailsPage/2033.0.55.0012011?OpenDocument&lt;/url&gt;&lt;/related-urls&gt;&lt;/urls&gt;&lt;access-date&gt;2023 May 05&lt;/access-date&gt;&lt;/record&gt;&lt;/Cite&gt;&lt;Cite&gt;&lt;Author&gt;Australian Bureau of Statistics&lt;/Author&gt;&lt;Year&gt;2008&lt;/Year&gt;&lt;RecNum&gt;20&lt;/RecNum&gt;&lt;record&gt;&lt;rec-number&gt;20&lt;/rec-number&gt;&lt;foreign-keys&gt;&lt;key app="EN" db-id="s95z0xxa4pdvznefvp6xxtpk2p0v9wddvaaz" timestamp="1610588905" guid="fd6fc7ef-fcad-49cb-a780-6f2c8fedebaa"&gt;20&lt;/key&gt;&lt;/foreign-keys&gt;&lt;ref-type name="Report"&gt;27&lt;/ref-type&gt;&lt;contributors&gt;&lt;authors&gt;&lt;author&gt;Australian Bureau of Statistics,&lt;/author&gt;&lt;/authors&gt;&lt;/contributors&gt;&lt;titles&gt;&lt;title&gt;Information Paper: An Introduction to Socio-Economic Indexes for Areas (SEIFA),2006&lt;/title&gt;&lt;/titles&gt;&lt;number&gt;2039.0&lt;/number&gt;&lt;dates&gt;&lt;year&gt;2008&lt;/year&gt;&lt;/dates&gt;&lt;pub-location&gt;Canberra (AU)&lt;/pub-location&gt;&lt;urls&gt;&lt;related-urls&gt;&lt;url&gt;https://www.abs.gov.au/ausstats/abs@.nsf/Latestproducts/2039.0Main%20Features62006?opendocument&amp;amp;tabname=Summary&amp;amp;prodno=2039.0&amp;amp;issue=2006&amp;amp;num=&amp;amp;view=#Figure%204.1%20IRSD%20Scores%20Histogram&lt;/url&gt;&lt;/related-urls&gt;&lt;/urls&gt;&lt;access-date&gt;2023 Oct 09&lt;/access-date&gt;&lt;/record&gt;&lt;/Cite&gt;&lt;/EndNote&gt;</w:instrText>
      </w:r>
      <w:r w:rsidRPr="00D82760">
        <w:rPr>
          <w:rFonts w:cs="Times New Roman"/>
          <w:color w:val="000000" w:themeColor="text1"/>
          <w:szCs w:val="24"/>
        </w:rPr>
        <w:fldChar w:fldCharType="separate"/>
      </w:r>
      <w:r w:rsidRPr="00D82760">
        <w:rPr>
          <w:rFonts w:cs="Times New Roman"/>
          <w:noProof/>
          <w:color w:val="000000" w:themeColor="text1"/>
          <w:szCs w:val="24"/>
        </w:rPr>
        <w:t>(Australian Bureau of Statistics, 2008; 2013)</w:t>
      </w:r>
      <w:r w:rsidRPr="00D82760">
        <w:rPr>
          <w:rFonts w:cs="Times New Roman"/>
          <w:color w:val="000000" w:themeColor="text1"/>
          <w:szCs w:val="24"/>
        </w:rPr>
        <w:fldChar w:fldCharType="end"/>
      </w:r>
      <w:r w:rsidRPr="00D82760">
        <w:rPr>
          <w:rFonts w:cs="Times New Roman"/>
          <w:color w:val="000000" w:themeColor="text1"/>
          <w:szCs w:val="24"/>
        </w:rPr>
        <w:t xml:space="preserve">. </w:t>
      </w:r>
      <w:r w:rsidRPr="00D82760">
        <w:rPr>
          <w:rFonts w:cs="Times New Roman"/>
          <w:szCs w:val="24"/>
        </w:rPr>
        <w:t xml:space="preserve">The IRSAD </w:t>
      </w:r>
      <w:r w:rsidRPr="00D82760">
        <w:rPr>
          <w:rFonts w:cs="Times New Roman"/>
          <w:szCs w:val="24"/>
        </w:rPr>
        <w:fldChar w:fldCharType="begin"/>
      </w:r>
      <w:r w:rsidRPr="00D82760">
        <w:rPr>
          <w:rFonts w:cs="Times New Roman"/>
          <w:szCs w:val="24"/>
        </w:rPr>
        <w:instrText xml:space="preserve"> ADDIN EN.CITE &lt;EndNote&gt;&lt;Cite&gt;&lt;Author&gt;Australian Bureau of Statistics&lt;/Author&gt;&lt;Year&gt;2013&lt;/Year&gt;&lt;RecNum&gt;198983&lt;/RecNum&gt;&lt;DisplayText&gt;(Australian Bureau of Statistics, 2008; 2013)&lt;/DisplayText&gt;&lt;record&gt;&lt;rec-number&gt;198983&lt;/rec-number&gt;&lt;foreign-keys&gt;&lt;key app="EN" db-id="s95z0xxa4pdvznefvp6xxtpk2p0v9wddvaaz" timestamp="1686809968"&gt;198983&lt;/key&gt;&lt;/foreign-keys&gt;&lt;ref-type name="Report"&gt;27&lt;/ref-type&gt;&lt;contributors&gt;&lt;authors&gt;&lt;author&gt;Australian Bureau of Statistics,&lt;/author&gt;&lt;/authors&gt;&lt;/contributors&gt;&lt;titles&gt;&lt;title&gt;Socio-Economic Indexes for Areas (SEIFA) - Technical Paper&lt;/title&gt;&lt;/titles&gt;&lt;dates&gt;&lt;year&gt;2013&lt;/year&gt;&lt;/dates&gt;&lt;urls&gt;&lt;related-urls&gt;&lt;url&gt;https://www.abs.gov.au/ausstats/abs@.nsf/DetailsPage/2033.0.55.0012011?OpenDocument&lt;/url&gt;&lt;/related-urls&gt;&lt;/urls&gt;&lt;access-date&gt;2023 May 05&lt;/access-date&gt;&lt;/record&gt;&lt;/Cite&gt;&lt;Cite&gt;&lt;Author&gt;Australian Bureau of Statistics&lt;/Author&gt;&lt;Year&gt;2008&lt;/Year&gt;&lt;RecNum&gt;20&lt;/RecNum&gt;&lt;record&gt;&lt;rec-number&gt;20&lt;/rec-number&gt;&lt;foreign-keys&gt;&lt;key app="EN" db-id="s95z0xxa4pdvznefvp6xxtpk2p0v9wddvaaz" timestamp="1610588905" guid="fd6fc7ef-fcad-49cb-a780-6f2c8fedebaa"&gt;20&lt;/key&gt;&lt;/foreign-keys&gt;&lt;ref-type name="Report"&gt;27&lt;/ref-type&gt;&lt;contributors&gt;&lt;authors&gt;&lt;author&gt;Australian Bureau of Statistics,&lt;/author&gt;&lt;/authors&gt;&lt;/contributors&gt;&lt;titles&gt;&lt;title&gt;Information Paper: An Introduction to Socio-Economic Indexes for Areas (SEIFA),2006&lt;/title&gt;&lt;/titles&gt;&lt;number&gt;2039.0&lt;/number&gt;&lt;dates&gt;&lt;year&gt;2008&lt;/year&gt;&lt;/dates&gt;&lt;pub-location&gt;Canberra (AU)&lt;/pub-location&gt;&lt;urls&gt;&lt;related-urls&gt;&lt;url&gt;https://www.abs.gov.au/ausstats/abs@.nsf/Latestproducts/2039.0Main%20Features62006?opendocument&amp;amp;tabname=Summary&amp;amp;prodno=2039.0&amp;amp;issue=2006&amp;amp;num=&amp;amp;view=#Figure%204.1%20IRSD%20Scores%20Histogram&lt;/url&gt;&lt;/related-urls&gt;&lt;/urls&gt;&lt;access-date&gt;2023 Oct 09&lt;/access-date&gt;&lt;/record&gt;&lt;/Cite&gt;&lt;/EndNote&gt;</w:instrText>
      </w:r>
      <w:r w:rsidRPr="00D82760">
        <w:rPr>
          <w:rFonts w:cs="Times New Roman"/>
          <w:szCs w:val="24"/>
        </w:rPr>
        <w:fldChar w:fldCharType="separate"/>
      </w:r>
      <w:r w:rsidRPr="00D82760">
        <w:rPr>
          <w:rFonts w:cs="Times New Roman"/>
          <w:noProof/>
          <w:szCs w:val="24"/>
        </w:rPr>
        <w:t>(Australian Bureau of Statistics, 2008; 2013)</w:t>
      </w:r>
      <w:r w:rsidRPr="00D82760">
        <w:rPr>
          <w:rFonts w:cs="Times New Roman"/>
          <w:szCs w:val="24"/>
        </w:rPr>
        <w:fldChar w:fldCharType="end"/>
      </w:r>
      <w:r w:rsidRPr="00D82760">
        <w:rPr>
          <w:rFonts w:cs="Times New Roman"/>
          <w:szCs w:val="24"/>
        </w:rPr>
        <w:t xml:space="preserve"> was employed in this study, consistent with recent studies </w:t>
      </w:r>
      <w:r w:rsidRPr="00D82760">
        <w:rPr>
          <w:rFonts w:cs="Times New Roman"/>
          <w:szCs w:val="24"/>
        </w:rPr>
        <w:fldChar w:fldCharType="begin">
          <w:fldData xml:space="preserve">PEVuZE5vdGU+PENpdGU+PEF1dGhvcj5Jc2xhbTwvQXV0aG9yPjxZZWFyPjIwMjE8L1llYXI+PFJl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</w:fldData>
        </w:fldChar>
      </w:r>
      <w:r w:rsidRPr="00D82760">
        <w:rPr>
          <w:rFonts w:cs="Times New Roman"/>
          <w:szCs w:val="24"/>
        </w:rPr>
        <w:instrText xml:space="preserve"> ADDIN EN.CITE </w:instrText>
      </w:r>
      <w:r w:rsidRPr="00D82760">
        <w:rPr>
          <w:rFonts w:cs="Times New Roman"/>
          <w:szCs w:val="24"/>
        </w:rPr>
        <w:fldChar w:fldCharType="begin">
          <w:fldData xml:space="preserve">PEVuZE5vdGU+PENpdGU+PEF1dGhvcj5Jc2xhbTwvQXV0aG9yPjxZZWFyPjIwMjE8L1llYXI+PFJl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</w:fldData>
        </w:fldChar>
      </w:r>
      <w:r w:rsidRPr="00D82760">
        <w:rPr>
          <w:rFonts w:cs="Times New Roman"/>
          <w:szCs w:val="24"/>
        </w:rPr>
        <w:instrText xml:space="preserve"> ADDIN EN.CITE.DATA </w:instrText>
      </w:r>
      <w:r w:rsidRPr="00D82760">
        <w:rPr>
          <w:rFonts w:cs="Times New Roman"/>
          <w:szCs w:val="24"/>
        </w:rPr>
      </w:r>
      <w:r w:rsidRPr="00D82760">
        <w:rPr>
          <w:rFonts w:cs="Times New Roman"/>
          <w:szCs w:val="24"/>
        </w:rPr>
        <w:fldChar w:fldCharType="end"/>
      </w:r>
      <w:r w:rsidRPr="00D82760">
        <w:rPr>
          <w:rFonts w:cs="Times New Roman"/>
          <w:szCs w:val="24"/>
        </w:rPr>
      </w:r>
      <w:r w:rsidRPr="00D82760">
        <w:rPr>
          <w:rFonts w:cs="Times New Roman"/>
          <w:szCs w:val="24"/>
        </w:rPr>
        <w:fldChar w:fldCharType="separate"/>
      </w:r>
      <w:r w:rsidRPr="00D82760">
        <w:rPr>
          <w:rFonts w:cs="Times New Roman"/>
          <w:noProof/>
          <w:szCs w:val="24"/>
        </w:rPr>
        <w:t>(Islam, Ormsby, Kabir, &amp; Khanam, 2021; Pulok, van Gool, &amp; Hall, 2020a; 2020b)</w:t>
      </w:r>
      <w:r w:rsidRPr="00D82760">
        <w:rPr>
          <w:rFonts w:cs="Times New Roman"/>
          <w:szCs w:val="24"/>
        </w:rPr>
        <w:fldChar w:fldCharType="end"/>
      </w:r>
      <w:r w:rsidRPr="00D82760">
        <w:rPr>
          <w:rFonts w:cs="Times New Roman"/>
          <w:szCs w:val="24"/>
        </w:rPr>
        <w:t>. SEIFA scores are categorised by decile, with the lowest decile (1) representing the most disadvantaged and the highest (10) representing the least disadvantaged.</w:t>
      </w:r>
    </w:p>
    <w:p w14:paraId="59F8CDA7" w14:textId="77777777" w:rsidR="00D82760" w:rsidRPr="00D82760" w:rsidRDefault="00D82760" w:rsidP="00D82760">
      <w:pPr>
        <w:pStyle w:val="Heading2"/>
        <w:spacing w:before="0" w:line="360" w:lineRule="auto"/>
        <w:rPr>
          <w:rFonts w:cs="Times New Roman"/>
        </w:rPr>
      </w:pPr>
      <w:r w:rsidRPr="00D82760">
        <w:rPr>
          <w:rFonts w:ascii="Times New Roman" w:hAnsi="Times New Roman" w:cs="Times New Roman"/>
        </w:rPr>
        <w:t>Estimation of Concentration Index (CI) and Horizontal Inequity (HI) index:</w:t>
      </w:r>
    </w:p>
    <w:p w14:paraId="38F67348" w14:textId="77777777" w:rsidR="00D82760" w:rsidRPr="00D82760" w:rsidRDefault="00D82760" w:rsidP="00D82760">
      <w:pPr>
        <w:spacing w:after="0" w:line="360" w:lineRule="auto"/>
        <w:jc w:val="both"/>
        <w:rPr>
          <w:rFonts w:cs="Times New Roman"/>
          <w:szCs w:val="24"/>
        </w:rPr>
      </w:pPr>
      <w:r w:rsidRPr="00D82760">
        <w:rPr>
          <w:rFonts w:cs="Times New Roman"/>
          <w:szCs w:val="24"/>
        </w:rPr>
        <w:t xml:space="preserve">Concentration Indices (CIs)  in this study are calculated using the following “convenient regression” approach suggested by Kakwani et al. (1997) </w:t>
      </w:r>
      <w:r w:rsidRPr="00D82760">
        <w:rPr>
          <w:rFonts w:cs="Times New Roman"/>
          <w:szCs w:val="24"/>
        </w:rPr>
        <w:fldChar w:fldCharType="begin"/>
      </w:r>
      <w:r w:rsidRPr="00D82760">
        <w:rPr>
          <w:rFonts w:cs="Times New Roman"/>
          <w:szCs w:val="24"/>
        </w:rPr>
        <w:instrText xml:space="preserve"> ADDIN EN.CITE &lt;EndNote&gt;&lt;Cite&gt;&lt;Author&gt;Kakwani&lt;/Author&gt;&lt;Year&gt;1997&lt;/Year&gt;&lt;RecNum&gt;259279&lt;/RecNum&gt;&lt;DisplayText&gt;(Kakwani, Wagstaff, &amp;amp; van Doorslaer, 1997)&lt;/DisplayText&gt;&lt;record&gt;&lt;rec-number&gt;259279&lt;/rec-number&gt;&lt;foreign-keys&gt;&lt;key app="EN" db-id="s95z0xxa4pdvznefvp6xxtpk2p0v9wddvaaz" timestamp="1708649097"&gt;259279&lt;/key&gt;&lt;/foreign-keys&gt;&lt;ref-type name="Journal Article"&gt;17&lt;/ref-type&gt;&lt;contributors&gt;&lt;authors&gt;&lt;author&gt;Kakwani, Nanak&lt;/author&gt;&lt;author&gt;Wagstaff, Adam&lt;/author&gt;&lt;author&gt;van Doorslaer, Eddy&lt;/author&gt;&lt;/authors&gt;&lt;/contributors&gt;&lt;titles&gt;&lt;title&gt;Socioeconomic inequalities in health: Measurement, computation, and statistical inference&lt;/title&gt;&lt;secondary-title&gt;Journal of Econometrics&lt;/secondary-title&gt;&lt;/titles&gt;&lt;pages&gt;87-103&lt;/pages&gt;&lt;volume&gt;77&lt;/volume&gt;&lt;number&gt;1&lt;/number&gt;&lt;keywords&gt;&lt;keyword&gt;Socioeconomic inequality&lt;/keyword&gt;&lt;keyword&gt;Concentration index&lt;/keyword&gt;&lt;keyword&gt;Standard errors&lt;/keyword&gt;&lt;/keywords&gt;&lt;dates&gt;&lt;year&gt;1997&lt;/year&gt;&lt;pub-dates&gt;&lt;date&gt;1997/03/01/&lt;/date&gt;&lt;/pub-dates&gt;&lt;/dates&gt;&lt;isbn&gt;0304-4076&lt;/isbn&gt;&lt;urls&gt;&lt;related-urls&gt;&lt;url&gt;https://www.sciencedirect.com/science/article/pii/S0304407696018076&lt;/url&gt;&lt;/related-urls&gt;&lt;/urls&gt;&lt;electronic-resource-num&gt;10.1016/S0304-4076(96)01807-6&lt;/electronic-resource-num&gt;&lt;/record&gt;&lt;/Cite&gt;&lt;/EndNote&gt;</w:instrText>
      </w:r>
      <w:r w:rsidRPr="00D82760">
        <w:rPr>
          <w:rFonts w:cs="Times New Roman"/>
          <w:szCs w:val="24"/>
        </w:rPr>
        <w:fldChar w:fldCharType="separate"/>
      </w:r>
      <w:r w:rsidRPr="00D82760">
        <w:rPr>
          <w:rFonts w:cs="Times New Roman"/>
          <w:noProof/>
          <w:szCs w:val="24"/>
        </w:rPr>
        <w:t>(Kakwani, Wagstaff, &amp; van Doorslaer, 1997)</w:t>
      </w:r>
      <w:r w:rsidRPr="00D82760">
        <w:rPr>
          <w:rFonts w:cs="Times New Roman"/>
          <w:szCs w:val="24"/>
        </w:rPr>
        <w:fldChar w:fldCharType="end"/>
      </w:r>
      <w:r w:rsidRPr="00D82760">
        <w:rPr>
          <w:rFonts w:cs="Times New Roman"/>
          <w:szCs w:val="24"/>
        </w:rPr>
        <w:t>:</w:t>
      </w:r>
    </w:p>
    <w:p w14:paraId="61B17569" w14:textId="77777777" w:rsidR="00D82760" w:rsidRPr="00D82760" w:rsidRDefault="00D82760" w:rsidP="00D82760">
      <w:pPr>
        <w:spacing w:after="0" w:line="360" w:lineRule="auto"/>
        <w:jc w:val="both"/>
        <w:rPr>
          <w:rFonts w:cs="Times New Roman"/>
          <w:szCs w:val="24"/>
        </w:rPr>
      </w:pPr>
      <m:oMathPara>
        <m:oMath>
          <m:r>
            <m:rPr>
              <m:sty m:val="p"/>
            </m:rPr>
            <w:rPr>
              <w:rFonts w:ascii="Cambria Math" w:hAnsi="Cambria Math" w:cs="Times New Roman"/>
              <w:szCs w:val="24"/>
            </w:rPr>
            <m:t>2</m:t>
          </m:r>
          <m:sSubSup>
            <m:sSubSupPr>
              <m:ctrlPr>
                <w:rPr>
                  <w:rFonts w:ascii="Cambria Math" w:hAnsi="Cambria Math" w:cs="Times New Roman"/>
                  <w:szCs w:val="24"/>
                </w:rPr>
              </m:ctrlPr>
            </m:sSubSupPr>
            <m:e>
              <m:r>
                <w:rPr>
                  <w:rFonts w:ascii="Cambria Math" w:hAnsi="Cambria Math" w:cs="Times New Roman"/>
                  <w:szCs w:val="24"/>
                </w:rPr>
                <m:t>σ</m:t>
              </m:r>
            </m:e>
            <m:sub>
              <m:r>
                <w:rPr>
                  <w:rFonts w:ascii="Cambria Math" w:hAnsi="Cambria Math" w:cs="Times New Roman"/>
                  <w:szCs w:val="24"/>
                </w:rPr>
                <m:t>r</m:t>
              </m:r>
            </m:sub>
            <m:sup>
              <m:r>
                <m:rPr>
                  <m:sty m:val="p"/>
                </m:rPr>
                <w:rPr>
                  <w:rFonts w:ascii="Cambria Math" w:hAnsi="Cambria Math" w:cs="Times New Roman"/>
                  <w:szCs w:val="24"/>
                </w:rPr>
                <m:t>2</m:t>
              </m:r>
            </m:sup>
          </m:sSubSup>
          <m:r>
            <m:rPr>
              <m:sty m:val="p"/>
            </m:rPr>
            <w:rPr>
              <w:rFonts w:ascii="Cambria Math" w:hAnsi="Cambria Math" w:cs="Times New Roman"/>
              <w:szCs w:val="24"/>
            </w:rPr>
            <m:t>(</m:t>
          </m:r>
          <m:f>
            <m:fPr>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h</m:t>
                  </m:r>
                </m:e>
                <m:sub>
                  <m:r>
                    <w:rPr>
                      <w:rFonts w:ascii="Cambria Math" w:hAnsi="Cambria Math" w:cs="Times New Roman"/>
                      <w:szCs w:val="24"/>
                    </w:rPr>
                    <m:t>i</m:t>
                  </m:r>
                </m:sub>
              </m:sSub>
            </m:num>
            <m:den>
              <m:r>
                <w:rPr>
                  <w:rFonts w:ascii="Cambria Math" w:hAnsi="Cambria Math" w:cs="Times New Roman"/>
                  <w:szCs w:val="24"/>
                </w:rPr>
                <m:t>μ</m:t>
              </m:r>
            </m:den>
          </m:f>
          <m:r>
            <m:rPr>
              <m:sty m:val="p"/>
            </m:rPr>
            <w:rPr>
              <w:rFonts w:ascii="Cambria Math" w:hAnsi="Cambria Math" w:cs="Times New Roman"/>
              <w:szCs w:val="24"/>
            </w:rPr>
            <m:t>)=</m:t>
          </m:r>
          <m:r>
            <w:rPr>
              <w:rFonts w:ascii="Cambria Math" w:hAnsi="Cambria Math" w:cs="Times New Roman"/>
              <w:szCs w:val="24"/>
            </w:rPr>
            <m:t>α</m:t>
          </m:r>
          <m:r>
            <m:rPr>
              <m:sty m:val="p"/>
            </m:rPr>
            <w:rPr>
              <w:rFonts w:ascii="Cambria Math" w:hAnsi="Cambria Math" w:cs="Times New Roman"/>
              <w:szCs w:val="24"/>
            </w:rPr>
            <m:t>+</m:t>
          </m:r>
          <m:r>
            <w:rPr>
              <w:rFonts w:ascii="Cambria Math" w:hAnsi="Cambria Math" w:cs="Times New Roman"/>
              <w:szCs w:val="24"/>
            </w:rPr>
            <m:t>β</m:t>
          </m:r>
          <m:sSub>
            <m:sSubPr>
              <m:ctrlPr>
                <w:rPr>
                  <w:rFonts w:ascii="Cambria Math" w:hAnsi="Cambria Math" w:cs="Times New Roman"/>
                  <w:szCs w:val="24"/>
                </w:rPr>
              </m:ctrlPr>
            </m:sSubPr>
            <m:e>
              <m:r>
                <w:rPr>
                  <w:rFonts w:ascii="Cambria Math" w:hAnsi="Cambria Math" w:cs="Times New Roman"/>
                  <w:szCs w:val="24"/>
                </w:rPr>
                <m:t>r</m:t>
              </m:r>
            </m:e>
            <m:sub>
              <m: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i</m:t>
              </m:r>
            </m:sub>
          </m:sSub>
        </m:oMath>
      </m:oMathPara>
    </w:p>
    <w:p w14:paraId="6FF21854" w14:textId="44F64B13" w:rsidR="00D82760" w:rsidRPr="00D82760" w:rsidRDefault="00D82760" w:rsidP="00D82760">
      <w:pPr>
        <w:spacing w:after="0" w:line="360" w:lineRule="auto"/>
        <w:jc w:val="both"/>
        <w:rPr>
          <w:rFonts w:cs="Times New Roman"/>
          <w:szCs w:val="24"/>
        </w:rPr>
      </w:pPr>
      <w:r w:rsidRPr="00D82760">
        <w:rPr>
          <w:rFonts w:cs="Times New Roman"/>
          <w:szCs w:val="24"/>
        </w:rPr>
        <w:t xml:space="preserve">where </w:t>
      </w:r>
      <m:oMath>
        <m:sSub>
          <m:sSubPr>
            <m:ctrlPr>
              <w:rPr>
                <w:rFonts w:ascii="Cambria Math" w:hAnsi="Cambria Math" w:cs="Times New Roman"/>
                <w:szCs w:val="24"/>
              </w:rPr>
            </m:ctrlPr>
          </m:sSubPr>
          <m:e>
            <m:r>
              <w:rPr>
                <w:rFonts w:ascii="Cambria Math" w:hAnsi="Cambria Math" w:cs="Times New Roman"/>
                <w:szCs w:val="24"/>
              </w:rPr>
              <m:t>h</m:t>
            </m:r>
          </m:e>
          <m:sub>
            <m:r>
              <w:rPr>
                <w:rFonts w:ascii="Cambria Math" w:hAnsi="Cambria Math" w:cs="Times New Roman"/>
                <w:szCs w:val="24"/>
              </w:rPr>
              <m:t>i</m:t>
            </m:r>
          </m:sub>
        </m:sSub>
      </m:oMath>
      <w:r w:rsidRPr="00D82760">
        <w:rPr>
          <w:rFonts w:cs="Times New Roman"/>
          <w:szCs w:val="24"/>
        </w:rPr>
        <w:t xml:space="preserve"> is the healthcare resource utilisation variable, </w:t>
      </w:r>
      <m:oMath>
        <m:sSub>
          <m:sSubPr>
            <m:ctrlPr>
              <w:rPr>
                <w:rFonts w:ascii="Cambria Math" w:hAnsi="Cambria Math" w:cs="Times New Roman"/>
                <w:szCs w:val="24"/>
              </w:rPr>
            </m:ctrlPr>
          </m:sSubPr>
          <m:e>
            <m:r>
              <w:rPr>
                <w:rFonts w:ascii="Cambria Math" w:hAnsi="Cambria Math" w:cs="Times New Roman"/>
                <w:szCs w:val="24"/>
              </w:rPr>
              <m:t>r</m:t>
            </m:r>
          </m:e>
          <m:sub>
            <m:r>
              <w:rPr>
                <w:rFonts w:ascii="Cambria Math" w:hAnsi="Cambria Math" w:cs="Times New Roman"/>
                <w:szCs w:val="24"/>
              </w:rPr>
              <m:t>i</m:t>
            </m:r>
          </m:sub>
        </m:sSub>
        <m:r>
          <m:rPr>
            <m:sty m:val="p"/>
          </m:rPr>
          <w:rPr>
            <w:rFonts w:ascii="Cambria Math" w:hAnsi="Cambria Math" w:cs="Times New Roman"/>
            <w:szCs w:val="24"/>
          </w:rPr>
          <m:t xml:space="preserve"> </m:t>
        </m:r>
      </m:oMath>
      <w:r w:rsidRPr="00D82760">
        <w:rPr>
          <w:rFonts w:cs="Times New Roman"/>
          <w:szCs w:val="24"/>
        </w:rPr>
        <w:t xml:space="preserve">is the fractional ranking of individuals by SES, which is SEIFA IRSAD in the present study, </w:t>
      </w:r>
      <m:oMath>
        <m:r>
          <w:rPr>
            <w:rFonts w:ascii="Cambria Math" w:hAnsi="Cambria Math" w:cs="Times New Roman"/>
            <w:szCs w:val="24"/>
          </w:rPr>
          <m:t>μ</m:t>
        </m:r>
      </m:oMath>
      <w:r w:rsidRPr="00D82760">
        <w:rPr>
          <w:rFonts w:cs="Times New Roman"/>
          <w:szCs w:val="24"/>
        </w:rPr>
        <w:t xml:space="preserve"> is the population mean of healthcare resource utilisation (cost), </w:t>
      </w:r>
      <m:oMath>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i</m:t>
            </m:r>
          </m:sub>
        </m:sSub>
        <m:r>
          <m:rPr>
            <m:sty m:val="p"/>
          </m:rPr>
          <w:rPr>
            <w:rFonts w:ascii="Cambria Math" w:hAnsi="Cambria Math" w:cs="Times New Roman"/>
            <w:szCs w:val="24"/>
          </w:rPr>
          <m:t> </m:t>
        </m:r>
      </m:oMath>
      <w:r w:rsidRPr="00D82760">
        <w:rPr>
          <w:rFonts w:cs="Times New Roman"/>
          <w:szCs w:val="24"/>
        </w:rPr>
        <w:t xml:space="preserve">was the random error term and </w:t>
      </w:r>
      <m:oMath>
        <m:sSubSup>
          <m:sSubSupPr>
            <m:ctrlPr>
              <w:rPr>
                <w:rFonts w:ascii="Cambria Math" w:hAnsi="Cambria Math" w:cs="Times New Roman"/>
                <w:szCs w:val="24"/>
              </w:rPr>
            </m:ctrlPr>
          </m:sSubSupPr>
          <m:e>
            <m:r>
              <w:rPr>
                <w:rFonts w:ascii="Cambria Math" w:hAnsi="Cambria Math" w:cs="Times New Roman"/>
                <w:szCs w:val="24"/>
              </w:rPr>
              <m:t>σ</m:t>
            </m:r>
          </m:e>
          <m:sub>
            <m:r>
              <w:rPr>
                <w:rFonts w:ascii="Cambria Math" w:hAnsi="Cambria Math" w:cs="Times New Roman"/>
                <w:szCs w:val="24"/>
              </w:rPr>
              <m:t>r</m:t>
            </m:r>
          </m:sub>
          <m:sup>
            <m:r>
              <m:rPr>
                <m:sty m:val="p"/>
              </m:rPr>
              <w:rPr>
                <w:rFonts w:ascii="Cambria Math" w:hAnsi="Cambria Math" w:cs="Times New Roman"/>
                <w:szCs w:val="24"/>
              </w:rPr>
              <m:t>2</m:t>
            </m:r>
          </m:sup>
        </m:sSubSup>
        <m:r>
          <m:rPr>
            <m:sty m:val="p"/>
          </m:rPr>
          <w:rPr>
            <w:rFonts w:ascii="Cambria Math" w:hAnsi="Cambria Math" w:cs="Times New Roman"/>
            <w:szCs w:val="24"/>
          </w:rPr>
          <m:t> </m:t>
        </m:r>
      </m:oMath>
      <w:r w:rsidRPr="00D82760">
        <w:rPr>
          <w:rFonts w:cs="Times New Roman"/>
          <w:szCs w:val="24"/>
        </w:rPr>
        <w:t xml:space="preserve">is the population variance of fractional rank. The ordinary least squares (OLS) estimate of </w:t>
      </w:r>
      <m:oMath>
        <m:r>
          <w:rPr>
            <w:rFonts w:ascii="Cambria Math" w:hAnsi="Cambria Math" w:cs="Times New Roman"/>
            <w:szCs w:val="24"/>
          </w:rPr>
          <m:t>β</m:t>
        </m:r>
      </m:oMath>
      <w:r w:rsidRPr="00D82760">
        <w:rPr>
          <w:rFonts w:cs="Times New Roman"/>
          <w:szCs w:val="24"/>
        </w:rPr>
        <w:t xml:space="preserve"> represents the CI.</w:t>
      </w:r>
    </w:p>
    <w:p w14:paraId="359C50E4" w14:textId="77777777" w:rsidR="00D82760" w:rsidRPr="00D82760" w:rsidRDefault="00D82760" w:rsidP="00D82760">
      <w:pPr>
        <w:spacing w:after="0" w:line="360" w:lineRule="auto"/>
        <w:jc w:val="both"/>
        <w:rPr>
          <w:rFonts w:cs="Times New Roman"/>
          <w:szCs w:val="24"/>
        </w:rPr>
      </w:pPr>
    </w:p>
    <w:p w14:paraId="7843F579" w14:textId="1B395EBE" w:rsidR="00D82760" w:rsidRPr="00F842DE" w:rsidRDefault="00D82760" w:rsidP="00F842DE">
      <w:pPr>
        <w:spacing w:after="0" w:line="360" w:lineRule="auto"/>
        <w:jc w:val="both"/>
        <w:rPr>
          <w:rFonts w:cs="Times New Roman"/>
          <w:szCs w:val="24"/>
        </w:rPr>
      </w:pPr>
      <w:r w:rsidRPr="00D82760">
        <w:rPr>
          <w:rFonts w:cs="Times New Roman"/>
          <w:szCs w:val="24"/>
        </w:rPr>
        <w:t xml:space="preserve">Following this, CIs need to be normalised to allow for comparing inequalities across different populations and time periods, and the correction is particularly important for binary outcomes </w:t>
      </w:r>
      <w:r w:rsidRPr="00D82760">
        <w:rPr>
          <w:rFonts w:cs="Times New Roman"/>
          <w:szCs w:val="24"/>
        </w:rPr>
        <w:fldChar w:fldCharType="begin"/>
      </w:r>
      <w:r w:rsidRPr="00D82760">
        <w:rPr>
          <w:rFonts w:cs="Times New Roman"/>
          <w:szCs w:val="24"/>
        </w:rPr>
        <w:instrText xml:space="preserve"> ADDIN EN.CITE &lt;EndNote&gt;&lt;Cite&gt;&lt;Author&gt;Wagstaff&lt;/Author&gt;&lt;Year&gt;2005&lt;/Year&gt;&lt;RecNum&gt;166130&lt;/RecNum&gt;&lt;DisplayText&gt;(Wagstaff, 2005)&lt;/DisplayText&gt;&lt;record&gt;&lt;rec-number&gt;166130&lt;/rec-number&gt;&lt;foreign-keys&gt;&lt;key app="EN" db-id="s95z0xxa4pdvznefvp6xxtpk2p0v9wddvaaz" timestamp="1676512580" guid="880dfd95-5528-490c-9e8c-d61024fb43ee"&gt;166130&lt;/key&gt;&lt;/foreign-keys&gt;&lt;ref-type name="Journal Article"&gt;17&lt;/ref-type&gt;&lt;contributors&gt;&lt;authors&gt;&lt;author&gt;Wagstaff, A.&lt;/author&gt;&lt;/authors&gt;&lt;/contributors&gt;&lt;titles&gt;&lt;title&gt;The bounds of the concentration index when the variable of interest is binary, with an application to immunization inequality&lt;/title&gt;&lt;secondary-title&gt;Health Economics&lt;/secondary-title&gt;&lt;/titles&gt;&lt;periodical&gt;&lt;full-title&gt;Health Economics&lt;/full-title&gt;&lt;abbr-1&gt;Health Econ.&lt;/abbr-1&gt;&lt;abbr-2&gt;Health Econ&lt;/abbr-2&gt;&lt;/periodical&gt;&lt;pages&gt;429-432&lt;/pages&gt;&lt;volume&gt;14&lt;/volume&gt;&lt;number&gt;4&lt;/number&gt;&lt;dates&gt;&lt;year&gt;2005&lt;/year&gt;&lt;/dates&gt;&lt;work-type&gt;Article&lt;/work-type&gt;&lt;urls&gt;&lt;related-urls&gt;&lt;url&gt;https://www.scopus.com/inward/record.uri?eid=2-s2.0-17144377411&amp;amp;doi=10.1002%2fhec.953&amp;amp;partnerID=40&amp;amp;md5=01db473821e9dae79420f33de005ed1f&lt;/url&gt;&lt;/related-urls&gt;&lt;/urls&gt;&lt;electronic-resource-num&gt;10.1002/hec.953&lt;/electronic-resource-num&gt;&lt;remote-database-name&gt;Scopus&lt;/remote-database-name&gt;&lt;/record&gt;&lt;/Cite&gt;&lt;/EndNote&gt;</w:instrText>
      </w:r>
      <w:r w:rsidRPr="00D82760">
        <w:rPr>
          <w:rFonts w:cs="Times New Roman"/>
          <w:szCs w:val="24"/>
        </w:rPr>
        <w:fldChar w:fldCharType="separate"/>
      </w:r>
      <w:r w:rsidRPr="00D82760">
        <w:rPr>
          <w:rFonts w:cs="Times New Roman"/>
          <w:noProof/>
          <w:szCs w:val="24"/>
        </w:rPr>
        <w:t>(Wagstaff, 2005)</w:t>
      </w:r>
      <w:r w:rsidRPr="00D82760">
        <w:rPr>
          <w:rFonts w:cs="Times New Roman"/>
          <w:szCs w:val="24"/>
        </w:rPr>
        <w:fldChar w:fldCharType="end"/>
      </w:r>
      <w:r w:rsidRPr="00D82760">
        <w:rPr>
          <w:rFonts w:cs="Times New Roman"/>
          <w:szCs w:val="24"/>
        </w:rPr>
        <w:t xml:space="preserve">. To address this issue, two approaches can be taken: Wagstaff's approach, which normalises the CI by dividing it by one minus the mean of the healthcare use variable or Erreygers's correction, which corrects the CI by multiplying it by four times the mean </w:t>
      </w:r>
      <w:r w:rsidRPr="00D82760">
        <w:rPr>
          <w:rFonts w:cs="Times New Roman"/>
          <w:szCs w:val="24"/>
        </w:rPr>
        <w:lastRenderedPageBreak/>
        <w:t xml:space="preserve">healthcare use </w:t>
      </w:r>
      <w:r w:rsidRPr="00D82760">
        <w:rPr>
          <w:rFonts w:cs="Times New Roman"/>
          <w:szCs w:val="24"/>
        </w:rPr>
        <w:fldChar w:fldCharType="begin"/>
      </w:r>
      <w:r w:rsidRPr="00D82760">
        <w:rPr>
          <w:rFonts w:cs="Times New Roman"/>
          <w:szCs w:val="24"/>
        </w:rPr>
        <w:instrText xml:space="preserve"> ADDIN EN.CITE &lt;EndNote&gt;&lt;Cite&gt;&lt;Author&gt;Erreygers&lt;/Author&gt;&lt;Year&gt;2009&lt;/Year&gt;&lt;RecNum&gt;166125&lt;/RecNum&gt;&lt;DisplayText&gt;(Erreygers, 2009)&lt;/DisplayText&gt;&lt;record&gt;&lt;rec-number&gt;166125&lt;/rec-number&gt;&lt;foreign-keys&gt;&lt;key app="EN" db-id="s95z0xxa4pdvznefvp6xxtpk2p0v9wddvaaz" timestamp="1676512561" guid="a2119664-8e69-429e-811b-96720b9296c1"&gt;166125&lt;/key&gt;&lt;/foreign-keys&gt;&lt;ref-type name="Journal Article"&gt;17&lt;/ref-type&gt;&lt;contributors&gt;&lt;authors&gt;&lt;author&gt;Erreygers, Guido&lt;/author&gt;&lt;/authors&gt;&lt;/contributors&gt;&lt;titles&gt;&lt;title&gt;Correcting the Concentration Index&lt;/title&gt;&lt;secondary-title&gt;Journal of Health Economics&lt;/secondary-title&gt;&lt;/titles&gt;&lt;periodical&gt;&lt;full-title&gt;Journal of Health Economics&lt;/full-title&gt;&lt;abbr-1&gt;J. Health Econ.&lt;/abbr-1&gt;&lt;abbr-2&gt;J Health Econ&lt;/abbr-2&gt;&lt;/periodical&gt;&lt;pages&gt;504-515&lt;/pages&gt;&lt;volume&gt;28&lt;/volume&gt;&lt;number&gt;2&lt;/number&gt;&lt;keywords&gt;&lt;keyword&gt;Health inequality&lt;/keyword&gt;&lt;keyword&gt;Socioeconomic inequality&lt;/keyword&gt;&lt;keyword&gt;Concentration Index&lt;/keyword&gt;&lt;/keywords&gt;&lt;dates&gt;&lt;year&gt;2009&lt;/year&gt;&lt;pub-dates&gt;&lt;date&gt;2009/03/01/&lt;/date&gt;&lt;/pub-dates&gt;&lt;/dates&gt;&lt;isbn&gt;0167-6296&lt;/isbn&gt;&lt;urls&gt;&lt;related-urls&gt;&lt;url&gt;https://www.sciencedirect.com/science/article/pii/S0167629608000076&lt;/url&gt;&lt;/related-urls&gt;&lt;/urls&gt;&lt;electronic-resource-num&gt;10.1016/j.jhealeco.2008.02.003&lt;/electronic-resource-num&gt;&lt;/record&gt;&lt;/Cite&gt;&lt;/EndNote&gt;</w:instrText>
      </w:r>
      <w:r w:rsidRPr="00D82760">
        <w:rPr>
          <w:rFonts w:cs="Times New Roman"/>
          <w:szCs w:val="24"/>
        </w:rPr>
        <w:fldChar w:fldCharType="separate"/>
      </w:r>
      <w:r w:rsidRPr="00D82760">
        <w:rPr>
          <w:rFonts w:cs="Times New Roman"/>
          <w:noProof/>
          <w:szCs w:val="24"/>
        </w:rPr>
        <w:t>(Erreygers, 2009)</w:t>
      </w:r>
      <w:r w:rsidRPr="00D82760">
        <w:rPr>
          <w:rFonts w:cs="Times New Roman"/>
          <w:szCs w:val="24"/>
        </w:rPr>
        <w:fldChar w:fldCharType="end"/>
      </w:r>
      <w:r w:rsidRPr="00D82760">
        <w:rPr>
          <w:rFonts w:cs="Times New Roman"/>
          <w:szCs w:val="24"/>
        </w:rPr>
        <w:t xml:space="preserve">. In this study, Erreygers's correction was employed, which satisfied all four properties of rank-dependent measures of inequality </w:t>
      </w:r>
      <w:r w:rsidRPr="00D82760">
        <w:rPr>
          <w:rFonts w:cs="Times New Roman"/>
          <w:szCs w:val="24"/>
        </w:rPr>
        <w:fldChar w:fldCharType="begin"/>
      </w:r>
      <w:r w:rsidRPr="00D82760">
        <w:rPr>
          <w:rFonts w:cs="Times New Roman"/>
          <w:szCs w:val="24"/>
        </w:rPr>
        <w:instrText xml:space="preserve"> ADDIN EN.CITE &lt;EndNote&gt;&lt;Cite&gt;&lt;Author&gt;Kjellsson&lt;/Author&gt;&lt;Year&gt;2013&lt;/Year&gt;&lt;RecNum&gt;166127&lt;/RecNum&gt;&lt;DisplayText&gt;(Kjellsson &amp;amp; Gerdtham, 2013)&lt;/DisplayText&gt;&lt;record&gt;&lt;rec-number&gt;166127&lt;/rec-number&gt;&lt;foreign-keys&gt;&lt;key app="EN" db-id="s95z0xxa4pdvznefvp6xxtpk2p0v9wddvaaz" timestamp="1676512568" guid="4765f1f0-05ac-43c2-9972-b7db2549dc4a"&gt;166127&lt;/key&gt;&lt;/foreign-keys&gt;&lt;ref-type name="Journal Article"&gt;17&lt;/ref-type&gt;&lt;contributors&gt;&lt;authors&gt;&lt;author&gt;Kjellsson, Gustav&lt;/author&gt;&lt;author&gt;Gerdtham, Ulf- G.&lt;/author&gt;&lt;/authors&gt;&lt;/contributors&gt;&lt;titles&gt;&lt;title&gt;On correcting the concentration index for binary variables&lt;/title&gt;&lt;secondary-title&gt;Journal of Health Economics&lt;/secondary-title&gt;&lt;/titles&gt;&lt;periodical&gt;&lt;full-title&gt;Journal of Health Economics&lt;/full-title&gt;&lt;abbr-1&gt;J. Health Econ.&lt;/abbr-1&gt;&lt;abbr-2&gt;J Health Econ&lt;/abbr-2&gt;&lt;/periodical&gt;&lt;pages&gt;659-670&lt;/pages&gt;&lt;volume&gt;32&lt;/volume&gt;&lt;number&gt;3&lt;/number&gt;&lt;keywords&gt;&lt;keyword&gt;Health inequality&lt;/keyword&gt;&lt;keyword&gt;Socioeconomic inequality&lt;/keyword&gt;&lt;keyword&gt;Concentration index&lt;/keyword&gt;&lt;keyword&gt;Binary variables&lt;/keyword&gt;&lt;/keywords&gt;&lt;dates&gt;&lt;year&gt;2013&lt;/year&gt;&lt;pub-dates&gt;&lt;date&gt;2013/05/01/&lt;/date&gt;&lt;/pub-dates&gt;&lt;/dates&gt;&lt;isbn&gt;0167-6296&lt;/isbn&gt;&lt;urls&gt;&lt;related-urls&gt;&lt;url&gt;https://www.sciencedirect.com/science/article/pii/S0167629612001737&lt;/url&gt;&lt;/related-urls&gt;&lt;/urls&gt;&lt;electronic-resource-num&gt;10.1016/j.jhealeco.2012.10.012&lt;/electronic-resource-num&gt;&lt;/record&gt;&lt;/Cite&gt;&lt;/EndNote&gt;</w:instrText>
      </w:r>
      <w:r w:rsidRPr="00D82760">
        <w:rPr>
          <w:rFonts w:cs="Times New Roman"/>
          <w:szCs w:val="24"/>
        </w:rPr>
        <w:fldChar w:fldCharType="separate"/>
      </w:r>
      <w:r w:rsidRPr="00D82760">
        <w:rPr>
          <w:rFonts w:cs="Times New Roman"/>
          <w:noProof/>
          <w:szCs w:val="24"/>
        </w:rPr>
        <w:t>(Kjellsson &amp; Gerdtham, 2013)</w:t>
      </w:r>
      <w:r w:rsidRPr="00D82760">
        <w:rPr>
          <w:rFonts w:cs="Times New Roman"/>
          <w:szCs w:val="24"/>
        </w:rPr>
        <w:fldChar w:fldCharType="end"/>
      </w:r>
      <w:r w:rsidRPr="00D82760">
        <w:rPr>
          <w:rFonts w:cs="Times New Roman"/>
          <w:szCs w:val="24"/>
        </w:rPr>
        <w:t>.</w:t>
      </w:r>
    </w:p>
    <w:p w14:paraId="7931C7A2" w14:textId="145EB1D5" w:rsidR="00D82760" w:rsidRPr="00D82760" w:rsidRDefault="00D82760" w:rsidP="00D82760">
      <w:pPr>
        <w:pStyle w:val="Heading1"/>
        <w:rPr>
          <w:rFonts w:ascii="Times New Roman" w:hAnsi="Times New Roman" w:cs="Times New Roman"/>
          <w:noProof/>
        </w:rPr>
      </w:pPr>
      <w:r w:rsidRPr="00D82760">
        <w:rPr>
          <w:rFonts w:ascii="Times New Roman" w:hAnsi="Times New Roman" w:cs="Times New Roman"/>
          <w:noProof/>
        </w:rPr>
        <w:t>References</w:t>
      </w:r>
    </w:p>
    <w:p w14:paraId="36DDA093" w14:textId="6C1E1726" w:rsidR="00D82760" w:rsidRPr="00D82760" w:rsidRDefault="00D82760" w:rsidP="00D82760">
      <w:pPr>
        <w:pStyle w:val="EndNoteBibliography"/>
        <w:spacing w:after="0"/>
        <w:ind w:left="720" w:hanging="720"/>
      </w:pPr>
      <w:r w:rsidRPr="00D82760">
        <w:fldChar w:fldCharType="begin"/>
      </w:r>
      <w:r w:rsidRPr="00D82760">
        <w:instrText xml:space="preserve"> ADDIN EN.REFLIST </w:instrText>
      </w:r>
      <w:r w:rsidRPr="00D82760">
        <w:fldChar w:fldCharType="separate"/>
      </w:r>
      <w:r w:rsidRPr="00D82760">
        <w:t xml:space="preserve">Australian Bureau of Statistics (2008). </w:t>
      </w:r>
      <w:r w:rsidRPr="00D82760">
        <w:rPr>
          <w:i/>
        </w:rPr>
        <w:t>Information Paper: An Introduction to Socio-Economic Indexes for Areas (SEIFA),2006</w:t>
      </w:r>
      <w:r w:rsidRPr="00D82760">
        <w:t xml:space="preserve">. Retrieved from </w:t>
      </w:r>
      <w:hyperlink r:id="rId4" w:anchor="Figure%204.1%20IRSD%20Scores%20Histogram" w:history="1">
        <w:r w:rsidRPr="00D82760">
          <w:rPr>
            <w:rStyle w:val="Hyperlink"/>
          </w:rPr>
          <w:t>https://www.abs.gov.au/ausstats/abs@.nsf/Latestproducts/2039.0Main%20Features62006?opendocument&amp;tabname=Summary&amp;prodno=2039.0&amp;issue=2006&amp;num=&amp;view=#Figure%204.1%20IRSD%20Scores%20Histogram</w:t>
        </w:r>
      </w:hyperlink>
    </w:p>
    <w:p w14:paraId="44EC15ED" w14:textId="4A460A28" w:rsidR="00D82760" w:rsidRPr="00D82760" w:rsidRDefault="00D82760" w:rsidP="00D82760">
      <w:pPr>
        <w:pStyle w:val="EndNoteBibliography"/>
        <w:spacing w:after="0"/>
        <w:ind w:left="720" w:hanging="720"/>
      </w:pPr>
      <w:r w:rsidRPr="00D82760">
        <w:t xml:space="preserve">Australian Bureau of Statistics (2013). </w:t>
      </w:r>
      <w:r w:rsidRPr="00D82760">
        <w:rPr>
          <w:i/>
        </w:rPr>
        <w:t>Socio-Economic Indexes for Areas (SEIFA) - Technical Paper</w:t>
      </w:r>
      <w:r w:rsidRPr="00D82760">
        <w:t xml:space="preserve">. Retrieved from </w:t>
      </w:r>
      <w:hyperlink r:id="rId5" w:history="1">
        <w:r w:rsidRPr="00D82760">
          <w:rPr>
            <w:rStyle w:val="Hyperlink"/>
          </w:rPr>
          <w:t>https://www.abs.gov.au/ausstats/abs@.nsf/DetailsPage/2033.0.55.0012011?OpenDocument</w:t>
        </w:r>
      </w:hyperlink>
    </w:p>
    <w:p w14:paraId="3F25DB13" w14:textId="77777777" w:rsidR="00D82760" w:rsidRPr="00D82760" w:rsidRDefault="00D82760" w:rsidP="00D82760">
      <w:pPr>
        <w:pStyle w:val="EndNoteBibliography"/>
        <w:spacing w:after="0"/>
        <w:ind w:left="720" w:hanging="720"/>
      </w:pPr>
      <w:r w:rsidRPr="00D82760">
        <w:t xml:space="preserve">Erreygers G. (2009). Correcting the Concentration Index. </w:t>
      </w:r>
      <w:r w:rsidRPr="00D82760">
        <w:rPr>
          <w:i/>
        </w:rPr>
        <w:t>Journal of Health Economics</w:t>
      </w:r>
      <w:r w:rsidRPr="00D82760">
        <w:t>, 28(2)</w:t>
      </w:r>
      <w:r w:rsidRPr="00D82760">
        <w:rPr>
          <w:b/>
        </w:rPr>
        <w:t xml:space="preserve">, </w:t>
      </w:r>
      <w:r w:rsidRPr="00D82760">
        <w:t xml:space="preserve"> 504-515. doi: 10.1016/j.jhealeco.2008.02.003.</w:t>
      </w:r>
    </w:p>
    <w:p w14:paraId="68B8B817" w14:textId="77777777" w:rsidR="00D82760" w:rsidRPr="00D82760" w:rsidRDefault="00D82760" w:rsidP="00D82760">
      <w:pPr>
        <w:pStyle w:val="EndNoteBibliography"/>
        <w:spacing w:after="0"/>
        <w:ind w:left="720" w:hanging="720"/>
      </w:pPr>
      <w:r w:rsidRPr="00D82760">
        <w:t xml:space="preserve">Islam M.I., Ormsby G.M., Kabir E., &amp; Khanam R. (2021). Estimating income-related and area-based inequalities in mental health among nationally representative adolescents in Australia: The concentration index approach. </w:t>
      </w:r>
      <w:r w:rsidRPr="00D82760">
        <w:rPr>
          <w:i/>
        </w:rPr>
        <w:t>PloS One</w:t>
      </w:r>
      <w:r w:rsidRPr="00D82760">
        <w:t>, 16(9)</w:t>
      </w:r>
      <w:r w:rsidRPr="00D82760">
        <w:rPr>
          <w:b/>
        </w:rPr>
        <w:t xml:space="preserve">, </w:t>
      </w:r>
      <w:r w:rsidRPr="00D82760">
        <w:t xml:space="preserve"> e0257573. doi: 10.1371/journal.pone.0257573.</w:t>
      </w:r>
    </w:p>
    <w:p w14:paraId="1D748055" w14:textId="77777777" w:rsidR="00D82760" w:rsidRPr="00D82760" w:rsidRDefault="00D82760" w:rsidP="00D82760">
      <w:pPr>
        <w:pStyle w:val="EndNoteBibliography"/>
        <w:spacing w:after="0"/>
        <w:ind w:left="720" w:hanging="720"/>
      </w:pPr>
      <w:r w:rsidRPr="00D82760">
        <w:t xml:space="preserve">Kakwani N., Wagstaff A., &amp; van Doorslaer E. (1997). Socioeconomic inequalities in health: Measurement, computation, and statistical inference. </w:t>
      </w:r>
      <w:r w:rsidRPr="00D82760">
        <w:rPr>
          <w:i/>
        </w:rPr>
        <w:t>Journal of Econometrics</w:t>
      </w:r>
      <w:r w:rsidRPr="00D82760">
        <w:t>, 77(1)</w:t>
      </w:r>
      <w:r w:rsidRPr="00D82760">
        <w:rPr>
          <w:b/>
        </w:rPr>
        <w:t xml:space="preserve">, </w:t>
      </w:r>
      <w:r w:rsidRPr="00D82760">
        <w:t xml:space="preserve"> 87-103. doi: 10.1016/S0304-4076(96)01807-6.</w:t>
      </w:r>
    </w:p>
    <w:p w14:paraId="0532DD38" w14:textId="77777777" w:rsidR="00D82760" w:rsidRPr="00D82760" w:rsidRDefault="00D82760" w:rsidP="00D82760">
      <w:pPr>
        <w:pStyle w:val="EndNoteBibliography"/>
        <w:spacing w:after="0"/>
        <w:ind w:left="720" w:hanging="720"/>
      </w:pPr>
      <w:r w:rsidRPr="00D82760">
        <w:t xml:space="preserve">Kjellsson G., &amp; Gerdtham U.-G. (2013). On correcting the concentration index for binary variables. </w:t>
      </w:r>
      <w:r w:rsidRPr="00D82760">
        <w:rPr>
          <w:i/>
        </w:rPr>
        <w:t>Journal of Health Economics</w:t>
      </w:r>
      <w:r w:rsidRPr="00D82760">
        <w:t>, 32(3)</w:t>
      </w:r>
      <w:r w:rsidRPr="00D82760">
        <w:rPr>
          <w:b/>
        </w:rPr>
        <w:t xml:space="preserve">, </w:t>
      </w:r>
      <w:r w:rsidRPr="00D82760">
        <w:t xml:space="preserve"> 659-670. doi: 10.1016/j.jhealeco.2012.10.012.</w:t>
      </w:r>
    </w:p>
    <w:p w14:paraId="6C0C9028" w14:textId="77777777" w:rsidR="00D82760" w:rsidRPr="00D82760" w:rsidRDefault="00D82760" w:rsidP="00D82760">
      <w:pPr>
        <w:pStyle w:val="EndNoteBibliography"/>
        <w:spacing w:after="0"/>
        <w:ind w:left="720" w:hanging="720"/>
      </w:pPr>
      <w:r w:rsidRPr="00D82760">
        <w:t xml:space="preserve">Pulok M.H., van Gool K., &amp; Hall J. (2020a). Horizontal inequity in the utilisation of healthcare services in Australia. </w:t>
      </w:r>
      <w:r w:rsidRPr="00D82760">
        <w:rPr>
          <w:i/>
        </w:rPr>
        <w:t>Health Policy</w:t>
      </w:r>
      <w:r w:rsidRPr="00D82760">
        <w:t>, 124(11)</w:t>
      </w:r>
      <w:r w:rsidRPr="00D82760">
        <w:rPr>
          <w:b/>
        </w:rPr>
        <w:t xml:space="preserve">, </w:t>
      </w:r>
      <w:r w:rsidRPr="00D82760">
        <w:t xml:space="preserve"> 1263-1271. doi: 10.1016/j.healthpol.2020.08.012.</w:t>
      </w:r>
    </w:p>
    <w:p w14:paraId="4A86A6F1" w14:textId="77777777" w:rsidR="00D82760" w:rsidRPr="00D82760" w:rsidRDefault="00D82760" w:rsidP="00D82760">
      <w:pPr>
        <w:pStyle w:val="EndNoteBibliography"/>
        <w:spacing w:after="0"/>
        <w:ind w:left="720" w:hanging="720"/>
      </w:pPr>
      <w:r w:rsidRPr="00D82760">
        <w:t xml:space="preserve">Pulok M.H., van Gool K., &amp; Hall J. (2020b). Inequity in physician visits: the case of the unregulated fee market in Australia. </w:t>
      </w:r>
      <w:r w:rsidRPr="00D82760">
        <w:rPr>
          <w:i/>
        </w:rPr>
        <w:t>Social Science and Medicine</w:t>
      </w:r>
      <w:r w:rsidRPr="00D82760">
        <w:t>, 255</w:t>
      </w:r>
      <w:r w:rsidRPr="00D82760">
        <w:rPr>
          <w:b/>
        </w:rPr>
        <w:t xml:space="preserve">, </w:t>
      </w:r>
      <w:r w:rsidRPr="00D82760">
        <w:t xml:space="preserve"> 113004. doi: 10.1016/j.socscimed.2020.113004.</w:t>
      </w:r>
    </w:p>
    <w:p w14:paraId="2FE33A93" w14:textId="77777777" w:rsidR="00D82760" w:rsidRPr="00D82760" w:rsidRDefault="00D82760" w:rsidP="00D82760">
      <w:pPr>
        <w:pStyle w:val="EndNoteBibliography"/>
        <w:ind w:left="720" w:hanging="720"/>
      </w:pPr>
      <w:r w:rsidRPr="00D82760">
        <w:t xml:space="preserve">Wagstaff A. (2005). The bounds of the concentration index when the variable of interest is binary, with an application to immunization inequality. </w:t>
      </w:r>
      <w:r w:rsidRPr="00D82760">
        <w:rPr>
          <w:i/>
        </w:rPr>
        <w:t>Health Economics</w:t>
      </w:r>
      <w:r w:rsidRPr="00D82760">
        <w:t>, 14(4)</w:t>
      </w:r>
      <w:r w:rsidRPr="00D82760">
        <w:rPr>
          <w:b/>
        </w:rPr>
        <w:t xml:space="preserve">, </w:t>
      </w:r>
      <w:r w:rsidRPr="00D82760">
        <w:t xml:space="preserve"> 429-432. doi: 10.1002/hec.953.</w:t>
      </w:r>
    </w:p>
    <w:p w14:paraId="766C5B8D" w14:textId="0A1A595F" w:rsidR="00027E35" w:rsidRDefault="00D82760">
      <w:r w:rsidRPr="00D82760">
        <w:fldChar w:fldCharType="end"/>
      </w:r>
    </w:p>
    <w:sectPr w:rsidR="00027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MLMwNzIxMzU3MzNT0lEKTi0uzszPAykwrgUAnvF16SwAAAA="/>
    <w:docVar w:name="EN.Layout" w:val="&lt;ENLayout&gt;&lt;Style&gt;Psychological Medicine Main 2023&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5z0xxa4pdvznefvp6xxtpk2p0v9wddvaaz&quot;&gt;EndNote Library_USyd2&lt;record-ids&gt;&lt;item&gt;20&lt;/item&gt;&lt;item&gt;166125&lt;/item&gt;&lt;item&gt;166127&lt;/item&gt;&lt;item&gt;166130&lt;/item&gt;&lt;item&gt;198972&lt;/item&gt;&lt;item&gt;198983&lt;/item&gt;&lt;item&gt;198984&lt;/item&gt;&lt;item&gt;198987&lt;/item&gt;&lt;item&gt;259279&lt;/item&gt;&lt;/record-ids&gt;&lt;/item&gt;&lt;/Libraries&gt;"/>
  </w:docVars>
  <w:rsids>
    <w:rsidRoot w:val="000064E4"/>
    <w:rsid w:val="000064E4"/>
    <w:rsid w:val="00027E35"/>
    <w:rsid w:val="003D7F8F"/>
    <w:rsid w:val="00591DFA"/>
    <w:rsid w:val="009373DA"/>
    <w:rsid w:val="00CA7F26"/>
    <w:rsid w:val="00D22E9A"/>
    <w:rsid w:val="00D82760"/>
    <w:rsid w:val="00E9095A"/>
    <w:rsid w:val="00E90E2B"/>
    <w:rsid w:val="00F842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3CFC"/>
  <w15:chartTrackingRefBased/>
  <w15:docId w15:val="{E4D71821-EEF7-48A6-8627-790070E9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60"/>
    <w:rPr>
      <w:rFonts w:ascii="Times New Roman" w:hAnsi="Times New Roman"/>
      <w:kern w:val="0"/>
      <w:sz w:val="24"/>
      <w14:ligatures w14:val="none"/>
    </w:rPr>
  </w:style>
  <w:style w:type="paragraph" w:styleId="Heading1">
    <w:name w:val="heading 1"/>
    <w:basedOn w:val="Normal"/>
    <w:next w:val="Normal"/>
    <w:link w:val="Heading1Char"/>
    <w:uiPriority w:val="9"/>
    <w:qFormat/>
    <w:rsid w:val="000064E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064E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64E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64E4"/>
    <w:pPr>
      <w:keepNext/>
      <w:keepLines/>
      <w:spacing w:before="80" w:after="40"/>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0064E4"/>
    <w:pPr>
      <w:keepNext/>
      <w:keepLines/>
      <w:spacing w:before="80" w:after="40"/>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0064E4"/>
    <w:pPr>
      <w:keepNext/>
      <w:keepLines/>
      <w:spacing w:before="40" w:after="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0064E4"/>
    <w:pPr>
      <w:keepNext/>
      <w:keepLines/>
      <w:spacing w:before="40" w:after="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0064E4"/>
    <w:pPr>
      <w:keepNext/>
      <w:keepLines/>
      <w:spacing w:after="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0064E4"/>
    <w:pPr>
      <w:keepNext/>
      <w:keepLines/>
      <w:spacing w:after="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6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4E4"/>
    <w:rPr>
      <w:rFonts w:eastAsiaTheme="majorEastAsia" w:cstheme="majorBidi"/>
      <w:color w:val="272727" w:themeColor="text1" w:themeTint="D8"/>
    </w:rPr>
  </w:style>
  <w:style w:type="paragraph" w:styleId="Title">
    <w:name w:val="Title"/>
    <w:basedOn w:val="Normal"/>
    <w:next w:val="Normal"/>
    <w:link w:val="TitleChar"/>
    <w:uiPriority w:val="10"/>
    <w:qFormat/>
    <w:rsid w:val="000064E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6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4E4"/>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06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4E4"/>
    <w:pPr>
      <w:spacing w:before="160"/>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0064E4"/>
    <w:rPr>
      <w:i/>
      <w:iCs/>
      <w:color w:val="404040" w:themeColor="text1" w:themeTint="BF"/>
    </w:rPr>
  </w:style>
  <w:style w:type="paragraph" w:styleId="ListParagraph">
    <w:name w:val="List Paragraph"/>
    <w:basedOn w:val="Normal"/>
    <w:uiPriority w:val="34"/>
    <w:qFormat/>
    <w:rsid w:val="000064E4"/>
    <w:pPr>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0064E4"/>
    <w:rPr>
      <w:i/>
      <w:iCs/>
      <w:color w:val="0F4761" w:themeColor="accent1" w:themeShade="BF"/>
    </w:rPr>
  </w:style>
  <w:style w:type="paragraph" w:styleId="IntenseQuote">
    <w:name w:val="Intense Quote"/>
    <w:basedOn w:val="Normal"/>
    <w:next w:val="Normal"/>
    <w:link w:val="IntenseQuoteChar"/>
    <w:uiPriority w:val="30"/>
    <w:qFormat/>
    <w:rsid w:val="000064E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0064E4"/>
    <w:rPr>
      <w:i/>
      <w:iCs/>
      <w:color w:val="0F4761" w:themeColor="accent1" w:themeShade="BF"/>
    </w:rPr>
  </w:style>
  <w:style w:type="character" w:styleId="IntenseReference">
    <w:name w:val="Intense Reference"/>
    <w:basedOn w:val="DefaultParagraphFont"/>
    <w:uiPriority w:val="32"/>
    <w:qFormat/>
    <w:rsid w:val="000064E4"/>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D82760"/>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D82760"/>
    <w:rPr>
      <w:rFonts w:ascii="Times New Roman" w:hAnsi="Times New Roman" w:cs="Times New Roman"/>
      <w:noProof/>
      <w:kern w:val="0"/>
      <w:sz w:val="24"/>
      <w:lang w:val="en-US"/>
      <w14:ligatures w14:val="none"/>
    </w:rPr>
  </w:style>
  <w:style w:type="paragraph" w:customStyle="1" w:styleId="EndNoteBibliography">
    <w:name w:val="EndNote Bibliography"/>
    <w:basedOn w:val="Normal"/>
    <w:link w:val="EndNoteBibliographyChar"/>
    <w:rsid w:val="00D82760"/>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D82760"/>
    <w:rPr>
      <w:rFonts w:ascii="Times New Roman" w:hAnsi="Times New Roman" w:cs="Times New Roman"/>
      <w:noProof/>
      <w:kern w:val="0"/>
      <w:sz w:val="24"/>
      <w:lang w:val="en-US"/>
      <w14:ligatures w14:val="none"/>
    </w:rPr>
  </w:style>
  <w:style w:type="character" w:styleId="Hyperlink">
    <w:name w:val="Hyperlink"/>
    <w:basedOn w:val="DefaultParagraphFont"/>
    <w:uiPriority w:val="99"/>
    <w:unhideWhenUsed/>
    <w:rsid w:val="00D82760"/>
    <w:rPr>
      <w:color w:val="467886" w:themeColor="hyperlink"/>
      <w:u w:val="single"/>
    </w:rPr>
  </w:style>
  <w:style w:type="character" w:styleId="UnresolvedMention">
    <w:name w:val="Unresolved Mention"/>
    <w:basedOn w:val="DefaultParagraphFont"/>
    <w:uiPriority w:val="99"/>
    <w:semiHidden/>
    <w:unhideWhenUsed/>
    <w:rsid w:val="00D82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bs.gov.au/ausstats/abs@.nsf/DetailsPage/2033.0.55.0012011?OpenDocument" TargetMode="External"/><Relationship Id="rId4" Type="http://schemas.openxmlformats.org/officeDocument/2006/relationships/hyperlink" Target="https://www.abs.gov.au/ausstats/abs@.nsf/Latestproducts/2039.0Main%20Features62006?opendocument&amp;tabname=Summary&amp;prodno=2039.0&amp;issue=2006&amp;num=&am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Moin</dc:creator>
  <cp:keywords/>
  <dc:description/>
  <cp:lastModifiedBy>Moin</cp:lastModifiedBy>
  <cp:revision>5</cp:revision>
  <dcterms:created xsi:type="dcterms:W3CDTF">2024-06-21T01:27:00Z</dcterms:created>
  <dcterms:modified xsi:type="dcterms:W3CDTF">2024-07-12T01:00:00Z</dcterms:modified>
</cp:coreProperties>
</file>