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11585" w14:textId="2B130786" w:rsidR="00563C7F" w:rsidRPr="00FD2EA4" w:rsidRDefault="00563C7F" w:rsidP="00563C7F">
      <w:pPr>
        <w:spacing w:line="480" w:lineRule="auto"/>
        <w:jc w:val="both"/>
        <w:rPr>
          <w:rFonts w:ascii="Arial" w:hAnsi="Arial" w:cs="Arial"/>
          <w:b/>
          <w:bCs/>
          <w:sz w:val="16"/>
          <w:szCs w:val="16"/>
        </w:rPr>
      </w:pPr>
      <w:bookmarkStart w:id="0" w:name="_GoBack"/>
      <w:bookmarkEnd w:id="0"/>
      <w:r>
        <w:rPr>
          <w:rFonts w:ascii="Arial" w:hAnsi="Arial" w:cs="Arial"/>
          <w:b/>
          <w:bCs/>
          <w:sz w:val="16"/>
          <w:szCs w:val="16"/>
        </w:rPr>
        <w:t>Supplementary</w:t>
      </w:r>
      <w:r w:rsidR="00573BD2">
        <w:rPr>
          <w:rFonts w:ascii="Arial" w:hAnsi="Arial" w:cs="Arial"/>
          <w:b/>
          <w:bCs/>
          <w:sz w:val="16"/>
          <w:szCs w:val="16"/>
        </w:rPr>
        <w:t xml:space="preserve"> material 1 -</w:t>
      </w:r>
      <w:r>
        <w:rPr>
          <w:rFonts w:ascii="Arial" w:hAnsi="Arial" w:cs="Arial"/>
          <w:b/>
          <w:bCs/>
          <w:sz w:val="16"/>
          <w:szCs w:val="16"/>
        </w:rPr>
        <w:t xml:space="preserve"> </w:t>
      </w:r>
      <w:r w:rsidRPr="00FD2EA4">
        <w:rPr>
          <w:rFonts w:ascii="Arial" w:hAnsi="Arial" w:cs="Arial"/>
          <w:b/>
          <w:bCs/>
          <w:sz w:val="16"/>
          <w:szCs w:val="16"/>
        </w:rPr>
        <w:t>Table</w:t>
      </w:r>
      <w:r>
        <w:rPr>
          <w:rFonts w:ascii="Arial" w:hAnsi="Arial" w:cs="Arial"/>
          <w:b/>
          <w:bCs/>
          <w:sz w:val="16"/>
          <w:szCs w:val="16"/>
        </w:rPr>
        <w:t xml:space="preserve"> 1</w:t>
      </w:r>
      <w:r w:rsidR="00F571F6">
        <w:rPr>
          <w:rFonts w:ascii="Arial" w:hAnsi="Arial" w:cs="Arial"/>
          <w:b/>
          <w:bCs/>
          <w:sz w:val="16"/>
          <w:szCs w:val="16"/>
        </w:rPr>
        <w:t>S</w:t>
      </w:r>
    </w:p>
    <w:p w14:paraId="76938F37" w14:textId="1D85EC3F" w:rsidR="00563C7F" w:rsidRPr="00FD2EA4" w:rsidRDefault="00563C7F" w:rsidP="00563C7F">
      <w:pPr>
        <w:spacing w:line="480" w:lineRule="auto"/>
        <w:jc w:val="both"/>
        <w:rPr>
          <w:rFonts w:ascii="Arial" w:hAnsi="Arial" w:cs="Arial"/>
          <w:sz w:val="16"/>
          <w:szCs w:val="16"/>
        </w:rPr>
      </w:pPr>
      <w:r>
        <w:rPr>
          <w:rFonts w:ascii="Arial" w:hAnsi="Arial" w:cs="Arial"/>
          <w:i/>
          <w:iCs/>
          <w:sz w:val="16"/>
          <w:szCs w:val="16"/>
        </w:rPr>
        <w:t>Chi-square analyses by sex</w:t>
      </w:r>
    </w:p>
    <w:tbl>
      <w:tblPr>
        <w:tblW w:w="7642" w:type="dxa"/>
        <w:tblBorders>
          <w:top w:val="single" w:sz="4" w:space="0" w:color="auto"/>
          <w:bottom w:val="single" w:sz="4" w:space="0" w:color="auto"/>
        </w:tblBorders>
        <w:tblLook w:val="04A0" w:firstRow="1" w:lastRow="0" w:firstColumn="1" w:lastColumn="0" w:noHBand="0" w:noVBand="1"/>
      </w:tblPr>
      <w:tblGrid>
        <w:gridCol w:w="3033"/>
        <w:gridCol w:w="1466"/>
        <w:gridCol w:w="1277"/>
        <w:gridCol w:w="1866"/>
      </w:tblGrid>
      <w:tr w:rsidR="00563C7F" w:rsidRPr="00FD2EA4" w14:paraId="3B179B15" w14:textId="77777777" w:rsidTr="00EF7404">
        <w:trPr>
          <w:trHeight w:val="874"/>
        </w:trPr>
        <w:tc>
          <w:tcPr>
            <w:tcW w:w="3033" w:type="dxa"/>
            <w:tcBorders>
              <w:bottom w:val="single" w:sz="4" w:space="0" w:color="auto"/>
            </w:tcBorders>
            <w:shd w:val="clear" w:color="auto" w:fill="auto"/>
            <w:vAlign w:val="center"/>
          </w:tcPr>
          <w:p w14:paraId="15EA3395" w14:textId="77777777" w:rsidR="00563C7F" w:rsidRPr="00FD2EA4" w:rsidRDefault="00563C7F" w:rsidP="00EF7404">
            <w:pPr>
              <w:rPr>
                <w:rFonts w:ascii="Arial" w:eastAsia="Calibri" w:hAnsi="Arial" w:cs="Arial"/>
                <w:sz w:val="16"/>
                <w:szCs w:val="16"/>
              </w:rPr>
            </w:pPr>
            <w:r>
              <w:rPr>
                <w:rFonts w:ascii="Arial" w:eastAsia="Calibri" w:hAnsi="Arial" w:cs="Arial"/>
                <w:sz w:val="16"/>
                <w:szCs w:val="16"/>
              </w:rPr>
              <w:t>Scale/Timepoint</w:t>
            </w:r>
          </w:p>
        </w:tc>
        <w:tc>
          <w:tcPr>
            <w:tcW w:w="1466" w:type="dxa"/>
            <w:tcBorders>
              <w:bottom w:val="single" w:sz="4" w:space="0" w:color="auto"/>
            </w:tcBorders>
            <w:shd w:val="clear" w:color="auto" w:fill="auto"/>
            <w:vAlign w:val="center"/>
          </w:tcPr>
          <w:p w14:paraId="54C9A5AE" w14:textId="77777777" w:rsidR="00563C7F" w:rsidRPr="00581038" w:rsidRDefault="00563C7F" w:rsidP="00EF7404">
            <w:pPr>
              <w:jc w:val="center"/>
              <w:rPr>
                <w:rFonts w:ascii="Arial" w:eastAsia="Calibri" w:hAnsi="Arial" w:cs="Arial"/>
                <w:sz w:val="16"/>
                <w:szCs w:val="16"/>
              </w:rPr>
            </w:pPr>
            <w:r w:rsidRPr="00581038">
              <w:rPr>
                <w:rFonts w:ascii="Arial" w:hAnsi="Arial" w:cs="Arial"/>
                <w:sz w:val="16"/>
                <w:szCs w:val="16"/>
              </w:rPr>
              <w:sym w:font="Symbol" w:char="F043"/>
            </w:r>
            <w:r w:rsidRPr="00581038">
              <w:rPr>
                <w:rFonts w:ascii="Arial" w:hAnsi="Arial" w:cs="Arial"/>
                <w:sz w:val="16"/>
                <w:szCs w:val="16"/>
                <w:vertAlign w:val="superscript"/>
              </w:rPr>
              <w:t>2</w:t>
            </w:r>
          </w:p>
        </w:tc>
        <w:tc>
          <w:tcPr>
            <w:tcW w:w="1277" w:type="dxa"/>
            <w:tcBorders>
              <w:bottom w:val="single" w:sz="4" w:space="0" w:color="auto"/>
            </w:tcBorders>
            <w:shd w:val="clear" w:color="auto" w:fill="auto"/>
            <w:vAlign w:val="center"/>
          </w:tcPr>
          <w:p w14:paraId="56E5FA26" w14:textId="77777777" w:rsidR="00563C7F" w:rsidRPr="00FD2EA4" w:rsidRDefault="00563C7F" w:rsidP="00EF7404">
            <w:pPr>
              <w:jc w:val="center"/>
              <w:rPr>
                <w:rFonts w:ascii="Arial" w:eastAsia="Calibri" w:hAnsi="Arial" w:cs="Arial"/>
                <w:sz w:val="16"/>
                <w:szCs w:val="16"/>
              </w:rPr>
            </w:pPr>
            <w:r>
              <w:rPr>
                <w:rFonts w:ascii="Arial" w:eastAsia="Calibri" w:hAnsi="Arial" w:cs="Arial"/>
                <w:sz w:val="16"/>
                <w:szCs w:val="16"/>
              </w:rPr>
              <w:t>df</w:t>
            </w:r>
          </w:p>
        </w:tc>
        <w:tc>
          <w:tcPr>
            <w:tcW w:w="1866" w:type="dxa"/>
            <w:tcBorders>
              <w:bottom w:val="single" w:sz="4" w:space="0" w:color="auto"/>
            </w:tcBorders>
            <w:shd w:val="clear" w:color="auto" w:fill="auto"/>
            <w:vAlign w:val="center"/>
          </w:tcPr>
          <w:p w14:paraId="4FBA59E6" w14:textId="77777777" w:rsidR="00563C7F" w:rsidRPr="00BD2C57" w:rsidRDefault="00563C7F" w:rsidP="00EF7404">
            <w:pPr>
              <w:jc w:val="center"/>
              <w:rPr>
                <w:rFonts w:ascii="Arial" w:eastAsia="Calibri" w:hAnsi="Arial" w:cs="Arial"/>
                <w:i/>
                <w:iCs/>
                <w:sz w:val="16"/>
                <w:szCs w:val="16"/>
              </w:rPr>
            </w:pPr>
            <w:r>
              <w:rPr>
                <w:rFonts w:ascii="Arial" w:eastAsia="Calibri" w:hAnsi="Arial" w:cs="Arial"/>
                <w:i/>
                <w:iCs/>
                <w:sz w:val="16"/>
                <w:szCs w:val="16"/>
              </w:rPr>
              <w:t>p</w:t>
            </w:r>
          </w:p>
        </w:tc>
      </w:tr>
      <w:tr w:rsidR="00563C7F" w:rsidRPr="00FD2EA4" w14:paraId="79C7B5A2" w14:textId="77777777" w:rsidTr="00EF7404">
        <w:trPr>
          <w:trHeight w:val="747"/>
        </w:trPr>
        <w:tc>
          <w:tcPr>
            <w:tcW w:w="3033" w:type="dxa"/>
            <w:tcBorders>
              <w:top w:val="single" w:sz="4" w:space="0" w:color="auto"/>
              <w:bottom w:val="nil"/>
            </w:tcBorders>
            <w:shd w:val="clear" w:color="auto" w:fill="auto"/>
            <w:vAlign w:val="center"/>
          </w:tcPr>
          <w:p w14:paraId="13A535E5" w14:textId="77777777" w:rsidR="00563C7F" w:rsidRPr="00FD2EA4" w:rsidRDefault="00563C7F" w:rsidP="00EF7404">
            <w:pPr>
              <w:rPr>
                <w:rFonts w:ascii="Arial" w:eastAsia="Calibri" w:hAnsi="Arial" w:cs="Arial"/>
                <w:sz w:val="16"/>
                <w:szCs w:val="16"/>
              </w:rPr>
            </w:pPr>
            <w:r>
              <w:rPr>
                <w:rFonts w:ascii="Arial" w:eastAsia="Calibri" w:hAnsi="Arial" w:cs="Arial"/>
                <w:sz w:val="16"/>
                <w:szCs w:val="16"/>
              </w:rPr>
              <w:t>Conduct/T1</w:t>
            </w:r>
          </w:p>
        </w:tc>
        <w:tc>
          <w:tcPr>
            <w:tcW w:w="1466" w:type="dxa"/>
            <w:tcBorders>
              <w:top w:val="single" w:sz="4" w:space="0" w:color="auto"/>
              <w:bottom w:val="nil"/>
            </w:tcBorders>
            <w:shd w:val="clear" w:color="auto" w:fill="auto"/>
            <w:vAlign w:val="center"/>
          </w:tcPr>
          <w:p w14:paraId="44114DAF" w14:textId="77777777" w:rsidR="00563C7F" w:rsidRPr="00FD2EA4" w:rsidRDefault="00563C7F" w:rsidP="00EF7404">
            <w:pPr>
              <w:jc w:val="center"/>
              <w:rPr>
                <w:rFonts w:ascii="Arial" w:eastAsia="Calibri" w:hAnsi="Arial" w:cs="Arial"/>
                <w:sz w:val="16"/>
                <w:szCs w:val="16"/>
              </w:rPr>
            </w:pPr>
            <w:r>
              <w:rPr>
                <w:rFonts w:ascii="Arial" w:eastAsia="Calibri" w:hAnsi="Arial" w:cs="Arial"/>
                <w:sz w:val="16"/>
                <w:szCs w:val="16"/>
              </w:rPr>
              <w:t>.211</w:t>
            </w:r>
          </w:p>
        </w:tc>
        <w:tc>
          <w:tcPr>
            <w:tcW w:w="1277" w:type="dxa"/>
            <w:tcBorders>
              <w:top w:val="single" w:sz="4" w:space="0" w:color="auto"/>
              <w:bottom w:val="nil"/>
            </w:tcBorders>
            <w:shd w:val="clear" w:color="auto" w:fill="auto"/>
            <w:vAlign w:val="center"/>
          </w:tcPr>
          <w:p w14:paraId="66DE14F4" w14:textId="77777777" w:rsidR="00563C7F" w:rsidRPr="00FD2EA4" w:rsidRDefault="00563C7F" w:rsidP="00EF7404">
            <w:pPr>
              <w:jc w:val="center"/>
              <w:rPr>
                <w:rFonts w:ascii="Arial" w:eastAsia="Calibri" w:hAnsi="Arial" w:cs="Arial"/>
                <w:sz w:val="16"/>
                <w:szCs w:val="16"/>
              </w:rPr>
            </w:pPr>
            <w:r>
              <w:rPr>
                <w:rFonts w:ascii="Arial" w:eastAsia="Calibri" w:hAnsi="Arial" w:cs="Arial"/>
                <w:sz w:val="16"/>
                <w:szCs w:val="16"/>
              </w:rPr>
              <w:t>1</w:t>
            </w:r>
          </w:p>
        </w:tc>
        <w:tc>
          <w:tcPr>
            <w:tcW w:w="1866" w:type="dxa"/>
            <w:tcBorders>
              <w:top w:val="single" w:sz="4" w:space="0" w:color="auto"/>
              <w:bottom w:val="nil"/>
            </w:tcBorders>
            <w:shd w:val="clear" w:color="auto" w:fill="auto"/>
            <w:vAlign w:val="center"/>
          </w:tcPr>
          <w:p w14:paraId="70D6C16F" w14:textId="77777777" w:rsidR="00563C7F" w:rsidRPr="00FD2EA4" w:rsidRDefault="00563C7F" w:rsidP="00EF7404">
            <w:pPr>
              <w:jc w:val="center"/>
              <w:rPr>
                <w:rFonts w:ascii="Arial" w:eastAsia="Calibri" w:hAnsi="Arial" w:cs="Arial"/>
                <w:sz w:val="16"/>
                <w:szCs w:val="16"/>
              </w:rPr>
            </w:pPr>
            <w:r>
              <w:rPr>
                <w:rFonts w:ascii="Arial" w:eastAsia="Calibri" w:hAnsi="Arial" w:cs="Arial"/>
                <w:sz w:val="16"/>
                <w:szCs w:val="16"/>
              </w:rPr>
              <w:t>.65</w:t>
            </w:r>
          </w:p>
        </w:tc>
      </w:tr>
      <w:tr w:rsidR="00563C7F" w:rsidRPr="00FD2EA4" w14:paraId="642A7ACC" w14:textId="77777777" w:rsidTr="00EF7404">
        <w:trPr>
          <w:trHeight w:val="741"/>
        </w:trPr>
        <w:tc>
          <w:tcPr>
            <w:tcW w:w="3033" w:type="dxa"/>
            <w:tcBorders>
              <w:top w:val="nil"/>
            </w:tcBorders>
            <w:shd w:val="clear" w:color="auto" w:fill="auto"/>
            <w:vAlign w:val="center"/>
          </w:tcPr>
          <w:p w14:paraId="7D9000DB" w14:textId="77777777" w:rsidR="00563C7F" w:rsidRPr="00FD2EA4" w:rsidRDefault="00563C7F" w:rsidP="00EF7404">
            <w:pPr>
              <w:rPr>
                <w:rFonts w:ascii="Arial" w:eastAsia="Calibri" w:hAnsi="Arial" w:cs="Arial"/>
                <w:sz w:val="16"/>
                <w:szCs w:val="16"/>
              </w:rPr>
            </w:pPr>
            <w:r>
              <w:rPr>
                <w:rFonts w:ascii="Arial" w:eastAsia="Calibri" w:hAnsi="Arial" w:cs="Arial"/>
                <w:sz w:val="16"/>
                <w:szCs w:val="16"/>
              </w:rPr>
              <w:t>Oppositional/T1</w:t>
            </w:r>
          </w:p>
        </w:tc>
        <w:tc>
          <w:tcPr>
            <w:tcW w:w="1466" w:type="dxa"/>
            <w:tcBorders>
              <w:top w:val="nil"/>
            </w:tcBorders>
            <w:shd w:val="clear" w:color="auto" w:fill="auto"/>
            <w:vAlign w:val="center"/>
          </w:tcPr>
          <w:p w14:paraId="187DDF40" w14:textId="77777777" w:rsidR="00563C7F" w:rsidRPr="00FD2EA4" w:rsidRDefault="00563C7F" w:rsidP="00EF7404">
            <w:pPr>
              <w:jc w:val="center"/>
              <w:rPr>
                <w:rFonts w:ascii="Arial" w:eastAsia="Calibri" w:hAnsi="Arial" w:cs="Arial"/>
                <w:sz w:val="16"/>
                <w:szCs w:val="16"/>
              </w:rPr>
            </w:pPr>
            <w:r>
              <w:rPr>
                <w:rFonts w:ascii="Arial" w:eastAsia="Calibri" w:hAnsi="Arial" w:cs="Arial"/>
                <w:sz w:val="16"/>
                <w:szCs w:val="16"/>
              </w:rPr>
              <w:t>.714</w:t>
            </w:r>
          </w:p>
        </w:tc>
        <w:tc>
          <w:tcPr>
            <w:tcW w:w="1277" w:type="dxa"/>
            <w:tcBorders>
              <w:top w:val="nil"/>
            </w:tcBorders>
            <w:shd w:val="clear" w:color="auto" w:fill="auto"/>
            <w:vAlign w:val="center"/>
          </w:tcPr>
          <w:p w14:paraId="2FEA604F" w14:textId="77777777" w:rsidR="00563C7F" w:rsidRPr="00FD2EA4" w:rsidRDefault="00563C7F" w:rsidP="00EF7404">
            <w:pPr>
              <w:jc w:val="center"/>
              <w:rPr>
                <w:rFonts w:ascii="Arial" w:eastAsia="Calibri" w:hAnsi="Arial" w:cs="Arial"/>
                <w:sz w:val="16"/>
                <w:szCs w:val="16"/>
              </w:rPr>
            </w:pPr>
            <w:r w:rsidRPr="00FD2EA4">
              <w:rPr>
                <w:rFonts w:ascii="Arial" w:eastAsia="Calibri" w:hAnsi="Arial" w:cs="Arial"/>
                <w:sz w:val="16"/>
                <w:szCs w:val="16"/>
              </w:rPr>
              <w:t>1</w:t>
            </w:r>
          </w:p>
        </w:tc>
        <w:tc>
          <w:tcPr>
            <w:tcW w:w="1866" w:type="dxa"/>
            <w:tcBorders>
              <w:top w:val="nil"/>
            </w:tcBorders>
            <w:shd w:val="clear" w:color="auto" w:fill="auto"/>
            <w:vAlign w:val="center"/>
          </w:tcPr>
          <w:p w14:paraId="4D7D8A2B" w14:textId="77777777" w:rsidR="00563C7F" w:rsidRPr="00FD2EA4" w:rsidRDefault="00563C7F" w:rsidP="00EF7404">
            <w:pPr>
              <w:jc w:val="center"/>
              <w:rPr>
                <w:rFonts w:ascii="Arial" w:eastAsia="Calibri" w:hAnsi="Arial" w:cs="Arial"/>
                <w:sz w:val="16"/>
                <w:szCs w:val="16"/>
              </w:rPr>
            </w:pPr>
            <w:r>
              <w:rPr>
                <w:rFonts w:ascii="Arial" w:eastAsia="Calibri" w:hAnsi="Arial" w:cs="Arial"/>
                <w:sz w:val="16"/>
                <w:szCs w:val="16"/>
              </w:rPr>
              <w:t>.40</w:t>
            </w:r>
          </w:p>
        </w:tc>
      </w:tr>
      <w:tr w:rsidR="00563C7F" w:rsidRPr="00FD2EA4" w14:paraId="745478AA" w14:textId="77777777" w:rsidTr="00EF7404">
        <w:trPr>
          <w:trHeight w:val="904"/>
        </w:trPr>
        <w:tc>
          <w:tcPr>
            <w:tcW w:w="3033" w:type="dxa"/>
            <w:shd w:val="clear" w:color="auto" w:fill="auto"/>
            <w:vAlign w:val="center"/>
          </w:tcPr>
          <w:p w14:paraId="4CB5C285" w14:textId="77777777" w:rsidR="00563C7F" w:rsidRPr="00FD2EA4" w:rsidRDefault="00563C7F" w:rsidP="00EF7404">
            <w:pPr>
              <w:rPr>
                <w:rFonts w:ascii="Arial" w:eastAsia="Calibri" w:hAnsi="Arial" w:cs="Arial"/>
                <w:sz w:val="16"/>
                <w:szCs w:val="16"/>
              </w:rPr>
            </w:pPr>
            <w:r>
              <w:rPr>
                <w:rFonts w:ascii="Arial" w:eastAsia="Calibri" w:hAnsi="Arial" w:cs="Arial"/>
                <w:sz w:val="16"/>
                <w:szCs w:val="16"/>
              </w:rPr>
              <w:t>Conduct/T2</w:t>
            </w:r>
          </w:p>
        </w:tc>
        <w:tc>
          <w:tcPr>
            <w:tcW w:w="1466" w:type="dxa"/>
            <w:shd w:val="clear" w:color="auto" w:fill="auto"/>
            <w:vAlign w:val="center"/>
          </w:tcPr>
          <w:p w14:paraId="73F43D0F" w14:textId="77777777" w:rsidR="00563C7F" w:rsidRPr="00FD2EA4" w:rsidRDefault="00563C7F" w:rsidP="00EF7404">
            <w:pPr>
              <w:jc w:val="center"/>
              <w:rPr>
                <w:rFonts w:ascii="Arial" w:eastAsia="Calibri" w:hAnsi="Arial" w:cs="Arial"/>
                <w:sz w:val="16"/>
                <w:szCs w:val="16"/>
              </w:rPr>
            </w:pPr>
            <w:r>
              <w:rPr>
                <w:rFonts w:ascii="Arial" w:eastAsia="Calibri" w:hAnsi="Arial" w:cs="Arial"/>
                <w:sz w:val="16"/>
                <w:szCs w:val="16"/>
              </w:rPr>
              <w:t>.166</w:t>
            </w:r>
          </w:p>
        </w:tc>
        <w:tc>
          <w:tcPr>
            <w:tcW w:w="1277" w:type="dxa"/>
            <w:shd w:val="clear" w:color="auto" w:fill="auto"/>
            <w:vAlign w:val="center"/>
          </w:tcPr>
          <w:p w14:paraId="7BD752FE" w14:textId="77777777" w:rsidR="00563C7F" w:rsidRPr="00FD2EA4" w:rsidRDefault="00563C7F" w:rsidP="00EF7404">
            <w:pPr>
              <w:jc w:val="center"/>
              <w:rPr>
                <w:rFonts w:ascii="Arial" w:eastAsia="Calibri" w:hAnsi="Arial" w:cs="Arial"/>
                <w:sz w:val="16"/>
                <w:szCs w:val="16"/>
              </w:rPr>
            </w:pPr>
            <w:r>
              <w:rPr>
                <w:rFonts w:ascii="Arial" w:eastAsia="Calibri" w:hAnsi="Arial" w:cs="Arial"/>
                <w:sz w:val="16"/>
                <w:szCs w:val="16"/>
              </w:rPr>
              <w:t>1</w:t>
            </w:r>
          </w:p>
        </w:tc>
        <w:tc>
          <w:tcPr>
            <w:tcW w:w="1866" w:type="dxa"/>
            <w:shd w:val="clear" w:color="auto" w:fill="auto"/>
            <w:vAlign w:val="center"/>
          </w:tcPr>
          <w:p w14:paraId="0E97E5B8" w14:textId="77777777" w:rsidR="00563C7F" w:rsidRPr="00FD2EA4" w:rsidRDefault="00563C7F" w:rsidP="00EF7404">
            <w:pPr>
              <w:jc w:val="center"/>
              <w:rPr>
                <w:rFonts w:ascii="Arial" w:eastAsia="Calibri" w:hAnsi="Arial" w:cs="Arial"/>
                <w:sz w:val="16"/>
                <w:szCs w:val="16"/>
              </w:rPr>
            </w:pPr>
            <w:r>
              <w:rPr>
                <w:rFonts w:ascii="Arial" w:eastAsia="Calibri" w:hAnsi="Arial" w:cs="Arial"/>
                <w:sz w:val="16"/>
                <w:szCs w:val="16"/>
              </w:rPr>
              <w:t>.68</w:t>
            </w:r>
          </w:p>
        </w:tc>
      </w:tr>
      <w:tr w:rsidR="00563C7F" w:rsidRPr="00FD2EA4" w14:paraId="1A1B583D" w14:textId="77777777" w:rsidTr="00EF7404">
        <w:trPr>
          <w:trHeight w:val="728"/>
        </w:trPr>
        <w:tc>
          <w:tcPr>
            <w:tcW w:w="3033" w:type="dxa"/>
            <w:shd w:val="clear" w:color="auto" w:fill="auto"/>
            <w:vAlign w:val="center"/>
          </w:tcPr>
          <w:p w14:paraId="67A61422" w14:textId="77777777" w:rsidR="00563C7F" w:rsidRPr="00FD2EA4" w:rsidRDefault="00563C7F" w:rsidP="00EF7404">
            <w:pPr>
              <w:rPr>
                <w:rFonts w:ascii="Arial" w:eastAsia="Calibri" w:hAnsi="Arial" w:cs="Arial"/>
                <w:sz w:val="16"/>
                <w:szCs w:val="16"/>
              </w:rPr>
            </w:pPr>
            <w:r>
              <w:rPr>
                <w:rFonts w:ascii="Arial" w:eastAsia="Calibri" w:hAnsi="Arial" w:cs="Arial"/>
                <w:sz w:val="16"/>
                <w:szCs w:val="16"/>
              </w:rPr>
              <w:t>Oppositional/T2</w:t>
            </w:r>
          </w:p>
        </w:tc>
        <w:tc>
          <w:tcPr>
            <w:tcW w:w="1466" w:type="dxa"/>
            <w:shd w:val="clear" w:color="auto" w:fill="auto"/>
            <w:vAlign w:val="center"/>
          </w:tcPr>
          <w:p w14:paraId="695F3849" w14:textId="77777777" w:rsidR="00563C7F" w:rsidRPr="00FD2EA4" w:rsidRDefault="00563C7F" w:rsidP="00EF7404">
            <w:pPr>
              <w:jc w:val="center"/>
              <w:rPr>
                <w:rFonts w:ascii="Arial" w:eastAsia="Calibri" w:hAnsi="Arial" w:cs="Arial"/>
                <w:sz w:val="16"/>
                <w:szCs w:val="16"/>
              </w:rPr>
            </w:pPr>
            <w:r>
              <w:rPr>
                <w:rFonts w:ascii="Arial" w:eastAsia="Calibri" w:hAnsi="Arial" w:cs="Arial"/>
                <w:sz w:val="16"/>
                <w:szCs w:val="16"/>
              </w:rPr>
              <w:t>.444</w:t>
            </w:r>
          </w:p>
        </w:tc>
        <w:tc>
          <w:tcPr>
            <w:tcW w:w="1277" w:type="dxa"/>
            <w:shd w:val="clear" w:color="auto" w:fill="auto"/>
            <w:vAlign w:val="center"/>
          </w:tcPr>
          <w:p w14:paraId="04FF43DB" w14:textId="77777777" w:rsidR="00563C7F" w:rsidRPr="00FD2EA4" w:rsidRDefault="00563C7F" w:rsidP="00EF7404">
            <w:pPr>
              <w:jc w:val="center"/>
              <w:rPr>
                <w:rFonts w:ascii="Arial" w:eastAsia="Calibri" w:hAnsi="Arial" w:cs="Arial"/>
                <w:sz w:val="16"/>
                <w:szCs w:val="16"/>
              </w:rPr>
            </w:pPr>
            <w:r>
              <w:rPr>
                <w:rFonts w:ascii="Arial" w:eastAsia="Calibri" w:hAnsi="Arial" w:cs="Arial"/>
                <w:sz w:val="16"/>
                <w:szCs w:val="16"/>
              </w:rPr>
              <w:t>1</w:t>
            </w:r>
          </w:p>
        </w:tc>
        <w:tc>
          <w:tcPr>
            <w:tcW w:w="1866" w:type="dxa"/>
            <w:shd w:val="clear" w:color="auto" w:fill="auto"/>
            <w:vAlign w:val="center"/>
          </w:tcPr>
          <w:p w14:paraId="4FDADB49" w14:textId="77777777" w:rsidR="00563C7F" w:rsidRPr="00FD2EA4" w:rsidRDefault="00563C7F" w:rsidP="00EF7404">
            <w:pPr>
              <w:jc w:val="center"/>
              <w:rPr>
                <w:rFonts w:ascii="Arial" w:eastAsia="Calibri" w:hAnsi="Arial" w:cs="Arial"/>
                <w:sz w:val="16"/>
                <w:szCs w:val="16"/>
              </w:rPr>
            </w:pPr>
            <w:r>
              <w:rPr>
                <w:rFonts w:ascii="Arial" w:eastAsia="Calibri" w:hAnsi="Arial" w:cs="Arial"/>
                <w:sz w:val="16"/>
                <w:szCs w:val="16"/>
              </w:rPr>
              <w:t>.51</w:t>
            </w:r>
          </w:p>
        </w:tc>
      </w:tr>
      <w:tr w:rsidR="00563C7F" w:rsidRPr="00FD2EA4" w14:paraId="78D75394" w14:textId="77777777" w:rsidTr="00EF7404">
        <w:trPr>
          <w:trHeight w:val="750"/>
        </w:trPr>
        <w:tc>
          <w:tcPr>
            <w:tcW w:w="3033" w:type="dxa"/>
            <w:shd w:val="clear" w:color="auto" w:fill="auto"/>
            <w:vAlign w:val="center"/>
          </w:tcPr>
          <w:p w14:paraId="2614D209" w14:textId="77777777" w:rsidR="00563C7F" w:rsidRPr="00FD2EA4" w:rsidRDefault="00563C7F" w:rsidP="00EF7404">
            <w:pPr>
              <w:rPr>
                <w:rFonts w:ascii="Arial" w:eastAsia="Calibri" w:hAnsi="Arial" w:cs="Arial"/>
                <w:sz w:val="16"/>
                <w:szCs w:val="16"/>
              </w:rPr>
            </w:pPr>
            <w:r>
              <w:rPr>
                <w:rFonts w:ascii="Arial" w:eastAsia="Calibri" w:hAnsi="Arial" w:cs="Arial"/>
                <w:sz w:val="16"/>
                <w:szCs w:val="16"/>
              </w:rPr>
              <w:t>Conduct/T3</w:t>
            </w:r>
          </w:p>
        </w:tc>
        <w:tc>
          <w:tcPr>
            <w:tcW w:w="1466" w:type="dxa"/>
            <w:shd w:val="clear" w:color="auto" w:fill="auto"/>
            <w:vAlign w:val="center"/>
          </w:tcPr>
          <w:p w14:paraId="07CA6DC1" w14:textId="77777777" w:rsidR="00563C7F" w:rsidRPr="00FD2EA4" w:rsidRDefault="00563C7F" w:rsidP="00EF7404">
            <w:pPr>
              <w:jc w:val="center"/>
              <w:rPr>
                <w:rFonts w:ascii="Arial" w:eastAsia="Calibri" w:hAnsi="Arial" w:cs="Arial"/>
                <w:sz w:val="16"/>
                <w:szCs w:val="16"/>
              </w:rPr>
            </w:pPr>
            <w:r>
              <w:rPr>
                <w:rFonts w:ascii="Arial" w:eastAsia="Calibri" w:hAnsi="Arial" w:cs="Arial"/>
                <w:sz w:val="16"/>
                <w:szCs w:val="16"/>
              </w:rPr>
              <w:t>1.24</w:t>
            </w:r>
          </w:p>
        </w:tc>
        <w:tc>
          <w:tcPr>
            <w:tcW w:w="1277" w:type="dxa"/>
            <w:shd w:val="clear" w:color="auto" w:fill="auto"/>
            <w:vAlign w:val="center"/>
          </w:tcPr>
          <w:p w14:paraId="7BE1275A" w14:textId="77777777" w:rsidR="00563C7F" w:rsidRPr="00FD2EA4" w:rsidRDefault="00563C7F" w:rsidP="00EF7404">
            <w:pPr>
              <w:jc w:val="center"/>
              <w:rPr>
                <w:rFonts w:ascii="Arial" w:eastAsia="Calibri" w:hAnsi="Arial" w:cs="Arial"/>
                <w:sz w:val="16"/>
                <w:szCs w:val="16"/>
              </w:rPr>
            </w:pPr>
            <w:r>
              <w:rPr>
                <w:rFonts w:ascii="Arial" w:eastAsia="Calibri" w:hAnsi="Arial" w:cs="Arial"/>
                <w:sz w:val="16"/>
                <w:szCs w:val="16"/>
              </w:rPr>
              <w:t>1</w:t>
            </w:r>
          </w:p>
        </w:tc>
        <w:tc>
          <w:tcPr>
            <w:tcW w:w="1866" w:type="dxa"/>
            <w:shd w:val="clear" w:color="auto" w:fill="auto"/>
            <w:vAlign w:val="center"/>
          </w:tcPr>
          <w:p w14:paraId="07AFA847" w14:textId="77777777" w:rsidR="00563C7F" w:rsidRPr="00FD2EA4" w:rsidRDefault="00563C7F" w:rsidP="00EF7404">
            <w:pPr>
              <w:jc w:val="center"/>
              <w:rPr>
                <w:rFonts w:ascii="Arial" w:eastAsia="Calibri" w:hAnsi="Arial" w:cs="Arial"/>
                <w:sz w:val="16"/>
                <w:szCs w:val="16"/>
              </w:rPr>
            </w:pPr>
            <w:r>
              <w:rPr>
                <w:rFonts w:ascii="Arial" w:eastAsia="Calibri" w:hAnsi="Arial" w:cs="Arial"/>
                <w:sz w:val="16"/>
                <w:szCs w:val="16"/>
              </w:rPr>
              <w:t>.27</w:t>
            </w:r>
          </w:p>
        </w:tc>
      </w:tr>
      <w:tr w:rsidR="00563C7F" w:rsidRPr="00FD2EA4" w14:paraId="7C94583D" w14:textId="77777777" w:rsidTr="00EF7404">
        <w:trPr>
          <w:trHeight w:val="750"/>
        </w:trPr>
        <w:tc>
          <w:tcPr>
            <w:tcW w:w="3033" w:type="dxa"/>
            <w:shd w:val="clear" w:color="auto" w:fill="auto"/>
            <w:vAlign w:val="center"/>
          </w:tcPr>
          <w:p w14:paraId="77AE3FE9" w14:textId="77777777" w:rsidR="00563C7F" w:rsidRPr="00FD2EA4" w:rsidRDefault="00563C7F" w:rsidP="00EF7404">
            <w:pPr>
              <w:rPr>
                <w:rFonts w:ascii="Arial" w:eastAsia="Calibri" w:hAnsi="Arial" w:cs="Arial"/>
                <w:sz w:val="16"/>
                <w:szCs w:val="16"/>
              </w:rPr>
            </w:pPr>
            <w:r>
              <w:rPr>
                <w:rFonts w:ascii="Arial" w:eastAsia="Calibri" w:hAnsi="Arial" w:cs="Arial"/>
                <w:sz w:val="16"/>
                <w:szCs w:val="16"/>
              </w:rPr>
              <w:t>Oppositional/T3</w:t>
            </w:r>
          </w:p>
        </w:tc>
        <w:tc>
          <w:tcPr>
            <w:tcW w:w="1466" w:type="dxa"/>
            <w:shd w:val="clear" w:color="auto" w:fill="auto"/>
            <w:vAlign w:val="center"/>
          </w:tcPr>
          <w:p w14:paraId="72D6C41A" w14:textId="77777777" w:rsidR="00563C7F" w:rsidRPr="00FD2EA4" w:rsidRDefault="00563C7F" w:rsidP="00EF7404">
            <w:pPr>
              <w:jc w:val="center"/>
              <w:rPr>
                <w:rFonts w:ascii="Arial" w:eastAsia="Calibri" w:hAnsi="Arial" w:cs="Arial"/>
                <w:sz w:val="16"/>
                <w:szCs w:val="16"/>
              </w:rPr>
            </w:pPr>
            <w:r>
              <w:rPr>
                <w:rFonts w:ascii="Arial" w:eastAsia="Calibri" w:hAnsi="Arial" w:cs="Arial"/>
                <w:sz w:val="16"/>
                <w:szCs w:val="16"/>
              </w:rPr>
              <w:t>.226</w:t>
            </w:r>
          </w:p>
        </w:tc>
        <w:tc>
          <w:tcPr>
            <w:tcW w:w="1277" w:type="dxa"/>
            <w:shd w:val="clear" w:color="auto" w:fill="auto"/>
            <w:vAlign w:val="center"/>
          </w:tcPr>
          <w:p w14:paraId="342E2064" w14:textId="77777777" w:rsidR="00563C7F" w:rsidRPr="00FD2EA4" w:rsidRDefault="00563C7F" w:rsidP="00EF7404">
            <w:pPr>
              <w:jc w:val="center"/>
              <w:rPr>
                <w:rFonts w:ascii="Arial" w:eastAsia="Calibri" w:hAnsi="Arial" w:cs="Arial"/>
                <w:sz w:val="16"/>
                <w:szCs w:val="16"/>
              </w:rPr>
            </w:pPr>
            <w:r>
              <w:rPr>
                <w:rFonts w:ascii="Arial" w:eastAsia="Calibri" w:hAnsi="Arial" w:cs="Arial"/>
                <w:sz w:val="16"/>
                <w:szCs w:val="16"/>
              </w:rPr>
              <w:t>1</w:t>
            </w:r>
          </w:p>
        </w:tc>
        <w:tc>
          <w:tcPr>
            <w:tcW w:w="1866" w:type="dxa"/>
            <w:shd w:val="clear" w:color="auto" w:fill="auto"/>
            <w:vAlign w:val="center"/>
          </w:tcPr>
          <w:p w14:paraId="689D7B69" w14:textId="77777777" w:rsidR="00563C7F" w:rsidRPr="00FD2EA4" w:rsidRDefault="00563C7F" w:rsidP="00EF7404">
            <w:pPr>
              <w:jc w:val="center"/>
              <w:rPr>
                <w:rFonts w:ascii="Arial" w:eastAsia="Calibri" w:hAnsi="Arial" w:cs="Arial"/>
                <w:sz w:val="16"/>
                <w:szCs w:val="16"/>
              </w:rPr>
            </w:pPr>
            <w:r>
              <w:rPr>
                <w:rFonts w:ascii="Arial" w:eastAsia="Calibri" w:hAnsi="Arial" w:cs="Arial"/>
                <w:sz w:val="16"/>
                <w:szCs w:val="16"/>
              </w:rPr>
              <w:t>.63</w:t>
            </w:r>
          </w:p>
        </w:tc>
      </w:tr>
      <w:tr w:rsidR="00563C7F" w:rsidRPr="00FD2EA4" w14:paraId="26865D76" w14:textId="77777777" w:rsidTr="00EF7404">
        <w:trPr>
          <w:trHeight w:val="749"/>
        </w:trPr>
        <w:tc>
          <w:tcPr>
            <w:tcW w:w="3033" w:type="dxa"/>
            <w:shd w:val="clear" w:color="auto" w:fill="auto"/>
            <w:vAlign w:val="center"/>
          </w:tcPr>
          <w:p w14:paraId="620A07FB" w14:textId="77777777" w:rsidR="00563C7F" w:rsidRPr="00FD2EA4" w:rsidRDefault="00563C7F" w:rsidP="00EF7404">
            <w:pPr>
              <w:rPr>
                <w:rFonts w:ascii="Arial" w:eastAsia="Calibri" w:hAnsi="Arial" w:cs="Arial"/>
                <w:sz w:val="16"/>
                <w:szCs w:val="16"/>
              </w:rPr>
            </w:pPr>
            <w:r>
              <w:rPr>
                <w:rFonts w:ascii="Arial" w:eastAsia="Calibri" w:hAnsi="Arial" w:cs="Arial"/>
                <w:sz w:val="16"/>
                <w:szCs w:val="16"/>
              </w:rPr>
              <w:t>Conduct/T4</w:t>
            </w:r>
          </w:p>
        </w:tc>
        <w:tc>
          <w:tcPr>
            <w:tcW w:w="1466" w:type="dxa"/>
            <w:shd w:val="clear" w:color="auto" w:fill="auto"/>
            <w:vAlign w:val="center"/>
          </w:tcPr>
          <w:p w14:paraId="35E110B6" w14:textId="77777777" w:rsidR="00563C7F" w:rsidRPr="00FD2EA4" w:rsidRDefault="00563C7F" w:rsidP="00EF7404">
            <w:pPr>
              <w:jc w:val="center"/>
              <w:rPr>
                <w:rFonts w:ascii="Arial" w:eastAsia="Calibri" w:hAnsi="Arial" w:cs="Arial"/>
                <w:sz w:val="16"/>
                <w:szCs w:val="16"/>
              </w:rPr>
            </w:pPr>
            <w:r>
              <w:rPr>
                <w:rFonts w:ascii="Arial" w:eastAsia="Calibri" w:hAnsi="Arial" w:cs="Arial"/>
                <w:sz w:val="16"/>
                <w:szCs w:val="16"/>
              </w:rPr>
              <w:t>.000</w:t>
            </w:r>
          </w:p>
        </w:tc>
        <w:tc>
          <w:tcPr>
            <w:tcW w:w="1277" w:type="dxa"/>
            <w:shd w:val="clear" w:color="auto" w:fill="auto"/>
            <w:vAlign w:val="center"/>
          </w:tcPr>
          <w:p w14:paraId="164AD882" w14:textId="77777777" w:rsidR="00563C7F" w:rsidRPr="00FD2EA4" w:rsidRDefault="00563C7F" w:rsidP="00EF7404">
            <w:pPr>
              <w:jc w:val="center"/>
              <w:rPr>
                <w:rFonts w:ascii="Arial" w:eastAsia="Calibri" w:hAnsi="Arial" w:cs="Arial"/>
                <w:sz w:val="16"/>
                <w:szCs w:val="16"/>
              </w:rPr>
            </w:pPr>
            <w:r>
              <w:rPr>
                <w:rFonts w:ascii="Arial" w:eastAsia="Calibri" w:hAnsi="Arial" w:cs="Arial"/>
                <w:sz w:val="16"/>
                <w:szCs w:val="16"/>
              </w:rPr>
              <w:t>1</w:t>
            </w:r>
          </w:p>
        </w:tc>
        <w:tc>
          <w:tcPr>
            <w:tcW w:w="1866" w:type="dxa"/>
            <w:shd w:val="clear" w:color="auto" w:fill="auto"/>
            <w:vAlign w:val="center"/>
          </w:tcPr>
          <w:p w14:paraId="5060A427" w14:textId="77777777" w:rsidR="00563C7F" w:rsidRPr="00FD2EA4" w:rsidRDefault="00563C7F" w:rsidP="00EF7404">
            <w:pPr>
              <w:jc w:val="center"/>
              <w:rPr>
                <w:rFonts w:ascii="Arial" w:eastAsia="Calibri" w:hAnsi="Arial" w:cs="Arial"/>
                <w:sz w:val="16"/>
                <w:szCs w:val="16"/>
              </w:rPr>
            </w:pPr>
            <w:r>
              <w:rPr>
                <w:rFonts w:ascii="Arial" w:eastAsia="Calibri" w:hAnsi="Arial" w:cs="Arial"/>
                <w:sz w:val="16"/>
                <w:szCs w:val="16"/>
              </w:rPr>
              <w:t>.99</w:t>
            </w:r>
          </w:p>
        </w:tc>
      </w:tr>
      <w:tr w:rsidR="00563C7F" w:rsidRPr="00FD2EA4" w14:paraId="3F780A93" w14:textId="77777777" w:rsidTr="00EF7404">
        <w:trPr>
          <w:trHeight w:val="749"/>
        </w:trPr>
        <w:tc>
          <w:tcPr>
            <w:tcW w:w="3033" w:type="dxa"/>
            <w:shd w:val="clear" w:color="auto" w:fill="auto"/>
            <w:vAlign w:val="center"/>
          </w:tcPr>
          <w:p w14:paraId="0BBC43EC" w14:textId="77777777" w:rsidR="00563C7F" w:rsidRDefault="00563C7F" w:rsidP="00EF7404">
            <w:pPr>
              <w:rPr>
                <w:rFonts w:ascii="Arial" w:eastAsia="Calibri" w:hAnsi="Arial" w:cs="Arial"/>
                <w:sz w:val="16"/>
                <w:szCs w:val="16"/>
              </w:rPr>
            </w:pPr>
            <w:r>
              <w:rPr>
                <w:rFonts w:ascii="Arial" w:eastAsia="Calibri" w:hAnsi="Arial" w:cs="Arial"/>
                <w:sz w:val="16"/>
                <w:szCs w:val="16"/>
              </w:rPr>
              <w:t>Oppositional/T4</w:t>
            </w:r>
          </w:p>
        </w:tc>
        <w:tc>
          <w:tcPr>
            <w:tcW w:w="1466" w:type="dxa"/>
            <w:shd w:val="clear" w:color="auto" w:fill="auto"/>
            <w:vAlign w:val="center"/>
          </w:tcPr>
          <w:p w14:paraId="50867639" w14:textId="77777777" w:rsidR="00563C7F" w:rsidRPr="00FD2EA4" w:rsidRDefault="00563C7F" w:rsidP="00EF7404">
            <w:pPr>
              <w:jc w:val="center"/>
              <w:rPr>
                <w:rFonts w:ascii="Arial" w:eastAsia="Calibri" w:hAnsi="Arial" w:cs="Arial"/>
                <w:sz w:val="16"/>
                <w:szCs w:val="16"/>
              </w:rPr>
            </w:pPr>
            <w:r>
              <w:rPr>
                <w:rFonts w:ascii="Arial" w:eastAsia="Calibri" w:hAnsi="Arial" w:cs="Arial"/>
                <w:sz w:val="16"/>
                <w:szCs w:val="16"/>
              </w:rPr>
              <w:t>.662</w:t>
            </w:r>
          </w:p>
        </w:tc>
        <w:tc>
          <w:tcPr>
            <w:tcW w:w="1277" w:type="dxa"/>
            <w:shd w:val="clear" w:color="auto" w:fill="auto"/>
            <w:vAlign w:val="center"/>
          </w:tcPr>
          <w:p w14:paraId="5172391B" w14:textId="77777777" w:rsidR="00563C7F" w:rsidRPr="00FD2EA4" w:rsidRDefault="00563C7F" w:rsidP="00EF7404">
            <w:pPr>
              <w:jc w:val="center"/>
              <w:rPr>
                <w:rFonts w:ascii="Arial" w:eastAsia="Calibri" w:hAnsi="Arial" w:cs="Arial"/>
                <w:sz w:val="16"/>
                <w:szCs w:val="16"/>
              </w:rPr>
            </w:pPr>
            <w:r>
              <w:rPr>
                <w:rFonts w:ascii="Arial" w:eastAsia="Calibri" w:hAnsi="Arial" w:cs="Arial"/>
                <w:sz w:val="16"/>
                <w:szCs w:val="16"/>
              </w:rPr>
              <w:t>1</w:t>
            </w:r>
          </w:p>
        </w:tc>
        <w:tc>
          <w:tcPr>
            <w:tcW w:w="1866" w:type="dxa"/>
            <w:shd w:val="clear" w:color="auto" w:fill="auto"/>
            <w:vAlign w:val="center"/>
          </w:tcPr>
          <w:p w14:paraId="260596D4" w14:textId="77777777" w:rsidR="00563C7F" w:rsidRPr="00FD2EA4" w:rsidRDefault="00563C7F" w:rsidP="00EF7404">
            <w:pPr>
              <w:jc w:val="center"/>
              <w:rPr>
                <w:rFonts w:ascii="Arial" w:eastAsia="Calibri" w:hAnsi="Arial" w:cs="Arial"/>
                <w:sz w:val="16"/>
                <w:szCs w:val="16"/>
              </w:rPr>
            </w:pPr>
            <w:r>
              <w:rPr>
                <w:rFonts w:ascii="Arial" w:eastAsia="Calibri" w:hAnsi="Arial" w:cs="Arial"/>
                <w:sz w:val="16"/>
                <w:szCs w:val="16"/>
              </w:rPr>
              <w:t>.42</w:t>
            </w:r>
          </w:p>
        </w:tc>
      </w:tr>
    </w:tbl>
    <w:p w14:paraId="7B3A6EC8" w14:textId="77777777" w:rsidR="00563C7F" w:rsidRDefault="00563C7F" w:rsidP="00563C7F">
      <w:pPr>
        <w:rPr>
          <w:rFonts w:ascii="Arial" w:hAnsi="Arial" w:cs="Arial"/>
          <w:i/>
          <w:iCs/>
          <w:sz w:val="16"/>
          <w:szCs w:val="16"/>
        </w:rPr>
      </w:pPr>
    </w:p>
    <w:p w14:paraId="39287520" w14:textId="7FEC9A72" w:rsidR="00997C82" w:rsidRDefault="00563C7F">
      <w:pPr>
        <w:rPr>
          <w:rFonts w:ascii="Arial" w:hAnsi="Arial" w:cs="Arial"/>
          <w:sz w:val="16"/>
          <w:szCs w:val="16"/>
        </w:rPr>
      </w:pPr>
      <w:r w:rsidRPr="00FD2EA4">
        <w:rPr>
          <w:rFonts w:ascii="Arial" w:hAnsi="Arial" w:cs="Arial"/>
          <w:i/>
          <w:iCs/>
          <w:sz w:val="16"/>
          <w:szCs w:val="16"/>
        </w:rPr>
        <w:t>Note</w:t>
      </w:r>
      <w:r w:rsidRPr="00FD2EA4">
        <w:rPr>
          <w:rFonts w:ascii="Arial" w:hAnsi="Arial" w:cs="Arial"/>
          <w:sz w:val="16"/>
          <w:szCs w:val="16"/>
        </w:rPr>
        <w:t xml:space="preserve">. </w:t>
      </w:r>
      <w:r w:rsidRPr="00FD2EA4">
        <w:rPr>
          <w:rFonts w:ascii="Arial" w:hAnsi="Arial" w:cs="Arial"/>
          <w:i/>
          <w:iCs/>
          <w:sz w:val="16"/>
          <w:szCs w:val="16"/>
        </w:rPr>
        <w:t>n</w:t>
      </w:r>
      <w:r w:rsidRPr="00FD2EA4">
        <w:rPr>
          <w:rFonts w:ascii="Arial" w:hAnsi="Arial" w:cs="Arial"/>
          <w:sz w:val="16"/>
          <w:szCs w:val="16"/>
        </w:rPr>
        <w:t xml:space="preserve"> </w:t>
      </w:r>
      <w:r>
        <w:rPr>
          <w:rFonts w:ascii="Arial" w:hAnsi="Arial" w:cs="Arial"/>
          <w:sz w:val="16"/>
          <w:szCs w:val="16"/>
        </w:rPr>
        <w:t>= 744</w:t>
      </w:r>
      <w:r w:rsidRPr="00FD2EA4">
        <w:rPr>
          <w:rFonts w:ascii="Arial" w:hAnsi="Arial" w:cs="Arial"/>
          <w:sz w:val="16"/>
          <w:szCs w:val="16"/>
        </w:rPr>
        <w:t>.</w:t>
      </w:r>
    </w:p>
    <w:p w14:paraId="32EDFF4D" w14:textId="77777777" w:rsidR="00997C82" w:rsidRDefault="00997C82">
      <w:pPr>
        <w:rPr>
          <w:rFonts w:ascii="Arial" w:hAnsi="Arial" w:cs="Arial"/>
          <w:sz w:val="16"/>
          <w:szCs w:val="16"/>
        </w:rPr>
      </w:pPr>
      <w:r>
        <w:rPr>
          <w:rFonts w:ascii="Arial" w:hAnsi="Arial" w:cs="Arial"/>
          <w:sz w:val="16"/>
          <w:szCs w:val="16"/>
        </w:rPr>
        <w:br w:type="page"/>
      </w:r>
    </w:p>
    <w:p w14:paraId="6F541017" w14:textId="426C6835" w:rsidR="00313EC1" w:rsidRPr="00085AB8" w:rsidRDefault="00313EC1" w:rsidP="00313EC1">
      <w:pPr>
        <w:spacing w:line="480" w:lineRule="auto"/>
        <w:jc w:val="both"/>
        <w:rPr>
          <w:rFonts w:ascii="Arial" w:hAnsi="Arial" w:cs="Arial"/>
          <w:b/>
          <w:bCs/>
          <w:sz w:val="16"/>
          <w:szCs w:val="16"/>
        </w:rPr>
      </w:pPr>
      <w:r w:rsidRPr="00085AB8">
        <w:rPr>
          <w:rFonts w:ascii="Arial" w:hAnsi="Arial" w:cs="Arial"/>
          <w:b/>
          <w:bCs/>
          <w:sz w:val="16"/>
          <w:szCs w:val="16"/>
        </w:rPr>
        <w:lastRenderedPageBreak/>
        <w:t>Supplementary material 2</w:t>
      </w:r>
    </w:p>
    <w:p w14:paraId="4A321F6E" w14:textId="38A2EDA7" w:rsidR="00AB1550" w:rsidRPr="00085AB8" w:rsidRDefault="00BB385D" w:rsidP="00BB385D">
      <w:pPr>
        <w:spacing w:line="480" w:lineRule="auto"/>
        <w:ind w:firstLine="720"/>
        <w:rPr>
          <w:rFonts w:ascii="Arial" w:hAnsi="Arial" w:cs="Arial"/>
          <w:sz w:val="16"/>
          <w:szCs w:val="16"/>
        </w:rPr>
      </w:pPr>
      <w:r w:rsidRPr="00085AB8">
        <w:rPr>
          <w:rFonts w:ascii="Arial" w:hAnsi="Arial" w:cs="Arial"/>
          <w:sz w:val="16"/>
          <w:szCs w:val="16"/>
        </w:rPr>
        <w:t>The baseline association between CP and internalizing problems (CBCL</w:t>
      </w:r>
      <w:r w:rsidR="0099022D">
        <w:rPr>
          <w:rFonts w:ascii="Arial" w:hAnsi="Arial" w:cs="Arial"/>
          <w:sz w:val="16"/>
          <w:szCs w:val="16"/>
        </w:rPr>
        <w:t xml:space="preserve"> and </w:t>
      </w:r>
      <w:r w:rsidRPr="00085AB8">
        <w:rPr>
          <w:rFonts w:ascii="Arial" w:hAnsi="Arial" w:cs="Arial"/>
          <w:sz w:val="16"/>
          <w:szCs w:val="16"/>
        </w:rPr>
        <w:t>TRF;</w:t>
      </w:r>
      <w:r w:rsidR="00221C36">
        <w:rPr>
          <w:rFonts w:ascii="Arial" w:hAnsi="Arial" w:cs="Arial"/>
          <w:sz w:val="16"/>
          <w:szCs w:val="16"/>
        </w:rPr>
        <w:t xml:space="preserve"> </w:t>
      </w:r>
      <w:r w:rsidR="00221C36">
        <w:rPr>
          <w:rFonts w:ascii="Arial" w:hAnsi="Arial" w:cs="Arial"/>
          <w:sz w:val="16"/>
          <w:szCs w:val="16"/>
        </w:rPr>
        <w:fldChar w:fldCharType="begin"/>
      </w:r>
      <w:r w:rsidR="00221C36">
        <w:rPr>
          <w:rFonts w:ascii="Arial" w:hAnsi="Arial" w:cs="Arial"/>
          <w:sz w:val="16"/>
          <w:szCs w:val="16"/>
        </w:rPr>
        <w:instrText xml:space="preserve"> ADDIN ZOTERO_ITEM CSL_CITATION {"citationID":"UmfVmrIl","properties":{"formattedCitation":"(Achenbach &amp; Rescorla, 2001)","plainCitation":"(Achenbach &amp; Rescorla, 2001)","noteIndex":0},"citationItems":[{"id":71,"uris":["http://zotero.org/users/11600887/items/BB2LPX6A"],"itemData":{"id":71,"type":"book","event-place":"Research Center for Children, Youth, &amp; Families","publisher":"University of Vermont","publisher-place":"Research Center for Children, Youth, &amp; Families","title":"Manual for the ASEBA school</w:instrText>
      </w:r>
      <w:r w:rsidR="00221C36">
        <w:rPr>
          <w:rFonts w:ascii="Cambria Math" w:hAnsi="Cambria Math" w:cs="Cambria Math"/>
          <w:sz w:val="16"/>
          <w:szCs w:val="16"/>
        </w:rPr>
        <w:instrText>‐</w:instrText>
      </w:r>
      <w:r w:rsidR="00221C36">
        <w:rPr>
          <w:rFonts w:ascii="Arial" w:hAnsi="Arial" w:cs="Arial"/>
          <w:sz w:val="16"/>
          <w:szCs w:val="16"/>
        </w:rPr>
        <w:instrText xml:space="preserve">age forms &amp; profiles","author":[{"family":"Achenbach","given":"T. M."},{"family":"Rescorla","given":"L. A."}],"issued":{"date-parts":[["2001"]]}}}],"schema":"https://github.com/citation-style-language/schema/raw/master/csl-citation.json"} </w:instrText>
      </w:r>
      <w:r w:rsidR="00221C36">
        <w:rPr>
          <w:rFonts w:ascii="Arial" w:hAnsi="Arial" w:cs="Arial"/>
          <w:sz w:val="16"/>
          <w:szCs w:val="16"/>
        </w:rPr>
        <w:fldChar w:fldCharType="separate"/>
      </w:r>
      <w:r w:rsidR="00221C36">
        <w:rPr>
          <w:rFonts w:ascii="Arial" w:hAnsi="Arial" w:cs="Arial"/>
          <w:noProof/>
          <w:sz w:val="16"/>
          <w:szCs w:val="16"/>
        </w:rPr>
        <w:t>(Achenbach &amp; Rescorla, 2001)</w:t>
      </w:r>
      <w:r w:rsidR="00221C36">
        <w:rPr>
          <w:rFonts w:ascii="Arial" w:hAnsi="Arial" w:cs="Arial"/>
          <w:sz w:val="16"/>
          <w:szCs w:val="16"/>
        </w:rPr>
        <w:fldChar w:fldCharType="end"/>
      </w:r>
      <w:r w:rsidRPr="00085AB8">
        <w:rPr>
          <w:rFonts w:ascii="Arial" w:hAnsi="Arial" w:cs="Arial"/>
          <w:sz w:val="16"/>
          <w:szCs w:val="16"/>
        </w:rPr>
        <w:t>) was analyzed. Youth with CP (</w:t>
      </w:r>
      <w:r w:rsidRPr="00085AB8">
        <w:rPr>
          <w:rFonts w:ascii="Arial" w:hAnsi="Arial" w:cs="Arial"/>
          <w:i/>
          <w:iCs/>
          <w:sz w:val="16"/>
          <w:szCs w:val="16"/>
        </w:rPr>
        <w:t>M</w:t>
      </w:r>
      <w:r w:rsidRPr="00085AB8">
        <w:rPr>
          <w:rFonts w:ascii="Arial" w:hAnsi="Arial" w:cs="Arial"/>
          <w:sz w:val="16"/>
          <w:szCs w:val="16"/>
        </w:rPr>
        <w:t xml:space="preserve"> = 62.21, </w:t>
      </w:r>
      <w:r w:rsidRPr="00085AB8">
        <w:rPr>
          <w:rFonts w:ascii="Arial" w:hAnsi="Arial" w:cs="Arial"/>
          <w:i/>
          <w:iCs/>
          <w:sz w:val="16"/>
          <w:szCs w:val="16"/>
        </w:rPr>
        <w:t>SD</w:t>
      </w:r>
      <w:r w:rsidRPr="00085AB8">
        <w:rPr>
          <w:rFonts w:ascii="Arial" w:hAnsi="Arial" w:cs="Arial"/>
          <w:sz w:val="16"/>
          <w:szCs w:val="16"/>
        </w:rPr>
        <w:t xml:space="preserve"> = 9.51) had significantly higher parent-reported internalizing problems than youth without CP at baseline (</w:t>
      </w:r>
      <w:r w:rsidRPr="00085AB8">
        <w:rPr>
          <w:rFonts w:ascii="Arial" w:hAnsi="Arial" w:cs="Arial"/>
          <w:i/>
          <w:iCs/>
          <w:sz w:val="16"/>
          <w:szCs w:val="16"/>
        </w:rPr>
        <w:t>M</w:t>
      </w:r>
      <w:r w:rsidRPr="00085AB8">
        <w:rPr>
          <w:rFonts w:ascii="Arial" w:hAnsi="Arial" w:cs="Arial"/>
          <w:sz w:val="16"/>
          <w:szCs w:val="16"/>
        </w:rPr>
        <w:t xml:space="preserve"> = 56.26, </w:t>
      </w:r>
      <w:r w:rsidRPr="00085AB8">
        <w:rPr>
          <w:rFonts w:ascii="Arial" w:hAnsi="Arial" w:cs="Arial"/>
          <w:i/>
          <w:iCs/>
          <w:sz w:val="16"/>
          <w:szCs w:val="16"/>
        </w:rPr>
        <w:t>SD</w:t>
      </w:r>
      <w:r w:rsidRPr="00085AB8">
        <w:rPr>
          <w:rFonts w:ascii="Arial" w:hAnsi="Arial" w:cs="Arial"/>
          <w:sz w:val="16"/>
          <w:szCs w:val="16"/>
        </w:rPr>
        <w:t xml:space="preserve"> = 10.47), </w:t>
      </w:r>
      <w:r w:rsidRPr="00085AB8">
        <w:rPr>
          <w:rFonts w:ascii="Arial" w:hAnsi="Arial" w:cs="Arial"/>
          <w:i/>
          <w:iCs/>
          <w:sz w:val="16"/>
          <w:szCs w:val="16"/>
        </w:rPr>
        <w:t>t</w:t>
      </w:r>
      <w:r w:rsidRPr="00085AB8">
        <w:rPr>
          <w:rFonts w:ascii="Arial" w:hAnsi="Arial" w:cs="Arial"/>
          <w:sz w:val="16"/>
          <w:szCs w:val="16"/>
        </w:rPr>
        <w:t xml:space="preserve">(730.60) = 8.10, </w:t>
      </w:r>
      <w:r w:rsidRPr="00085AB8">
        <w:rPr>
          <w:rFonts w:ascii="Arial" w:hAnsi="Arial" w:cs="Arial"/>
          <w:i/>
          <w:iCs/>
          <w:sz w:val="16"/>
          <w:szCs w:val="16"/>
        </w:rPr>
        <w:t>p</w:t>
      </w:r>
      <w:r w:rsidRPr="00085AB8">
        <w:rPr>
          <w:rFonts w:ascii="Arial" w:hAnsi="Arial" w:cs="Arial"/>
          <w:sz w:val="16"/>
          <w:szCs w:val="16"/>
        </w:rPr>
        <w:t xml:space="preserve"> &lt; .001. Similarly, youth with CP (</w:t>
      </w:r>
      <w:r w:rsidRPr="00085AB8">
        <w:rPr>
          <w:rFonts w:ascii="Arial" w:hAnsi="Arial" w:cs="Arial"/>
          <w:i/>
          <w:iCs/>
          <w:sz w:val="16"/>
          <w:szCs w:val="16"/>
        </w:rPr>
        <w:t>M</w:t>
      </w:r>
      <w:r w:rsidRPr="00085AB8">
        <w:rPr>
          <w:rFonts w:ascii="Arial" w:hAnsi="Arial" w:cs="Arial"/>
          <w:sz w:val="16"/>
          <w:szCs w:val="16"/>
        </w:rPr>
        <w:t xml:space="preserve"> = 62.33, </w:t>
      </w:r>
      <w:r w:rsidRPr="00085AB8">
        <w:rPr>
          <w:rFonts w:ascii="Arial" w:hAnsi="Arial" w:cs="Arial"/>
          <w:i/>
          <w:iCs/>
          <w:sz w:val="16"/>
          <w:szCs w:val="16"/>
        </w:rPr>
        <w:t>SD</w:t>
      </w:r>
      <w:r w:rsidRPr="00085AB8">
        <w:rPr>
          <w:rFonts w:ascii="Arial" w:hAnsi="Arial" w:cs="Arial"/>
          <w:sz w:val="16"/>
          <w:szCs w:val="16"/>
        </w:rPr>
        <w:t xml:space="preserve"> = 9.18) had significantly higher teacher-reported internalizing problems than youth without CP at baseline (</w:t>
      </w:r>
      <w:r w:rsidRPr="00085AB8">
        <w:rPr>
          <w:rFonts w:ascii="Arial" w:hAnsi="Arial" w:cs="Arial"/>
          <w:i/>
          <w:iCs/>
          <w:sz w:val="16"/>
          <w:szCs w:val="16"/>
        </w:rPr>
        <w:t>M</w:t>
      </w:r>
      <w:r w:rsidRPr="00085AB8">
        <w:rPr>
          <w:rFonts w:ascii="Arial" w:hAnsi="Arial" w:cs="Arial"/>
          <w:sz w:val="16"/>
          <w:szCs w:val="16"/>
        </w:rPr>
        <w:t xml:space="preserve"> = 55.38, </w:t>
      </w:r>
      <w:r w:rsidRPr="00085AB8">
        <w:rPr>
          <w:rFonts w:ascii="Arial" w:hAnsi="Arial" w:cs="Arial"/>
          <w:i/>
          <w:iCs/>
          <w:sz w:val="16"/>
          <w:szCs w:val="16"/>
        </w:rPr>
        <w:t>SD</w:t>
      </w:r>
      <w:r w:rsidRPr="00085AB8">
        <w:rPr>
          <w:rFonts w:ascii="Arial" w:hAnsi="Arial" w:cs="Arial"/>
          <w:sz w:val="16"/>
          <w:szCs w:val="16"/>
        </w:rPr>
        <w:t xml:space="preserve"> = 9.61), </w:t>
      </w:r>
      <w:r w:rsidRPr="00085AB8">
        <w:rPr>
          <w:rFonts w:ascii="Arial" w:hAnsi="Arial" w:cs="Arial"/>
          <w:i/>
          <w:iCs/>
          <w:sz w:val="16"/>
          <w:szCs w:val="16"/>
        </w:rPr>
        <w:t>t</w:t>
      </w:r>
      <w:r w:rsidRPr="00085AB8">
        <w:rPr>
          <w:rFonts w:ascii="Arial" w:hAnsi="Arial" w:cs="Arial"/>
          <w:sz w:val="16"/>
          <w:szCs w:val="16"/>
        </w:rPr>
        <w:t xml:space="preserve">(704) = 9.83, </w:t>
      </w:r>
      <w:r w:rsidRPr="00085AB8">
        <w:rPr>
          <w:rFonts w:ascii="Arial" w:hAnsi="Arial" w:cs="Arial"/>
          <w:i/>
          <w:iCs/>
          <w:sz w:val="16"/>
          <w:szCs w:val="16"/>
        </w:rPr>
        <w:t>p</w:t>
      </w:r>
      <w:r w:rsidRPr="00085AB8">
        <w:rPr>
          <w:rFonts w:ascii="Arial" w:hAnsi="Arial" w:cs="Arial"/>
          <w:sz w:val="16"/>
          <w:szCs w:val="16"/>
        </w:rPr>
        <w:t xml:space="preserve"> &lt; .001.</w:t>
      </w:r>
    </w:p>
    <w:p w14:paraId="60AE0F1B" w14:textId="77777777" w:rsidR="00AB1550" w:rsidRDefault="00AB1550">
      <w:r>
        <w:br w:type="page"/>
      </w:r>
    </w:p>
    <w:p w14:paraId="48FF5585" w14:textId="39EAB9DD" w:rsidR="001C6AB6" w:rsidRPr="00293A1D" w:rsidRDefault="001C6AB6" w:rsidP="001C6AB6">
      <w:pPr>
        <w:tabs>
          <w:tab w:val="left" w:pos="1019"/>
        </w:tabs>
        <w:spacing w:line="480" w:lineRule="auto"/>
        <w:rPr>
          <w:rFonts w:ascii="Arial" w:hAnsi="Arial" w:cs="Arial"/>
          <w:sz w:val="16"/>
          <w:szCs w:val="16"/>
        </w:rPr>
      </w:pPr>
      <w:r>
        <w:rPr>
          <w:rFonts w:ascii="Arial" w:hAnsi="Arial" w:cs="Arial"/>
          <w:b/>
          <w:bCs/>
          <w:sz w:val="16"/>
          <w:szCs w:val="16"/>
        </w:rPr>
        <w:lastRenderedPageBreak/>
        <w:t xml:space="preserve">Supplementary material 3 - </w:t>
      </w:r>
      <w:r w:rsidRPr="00293A1D">
        <w:rPr>
          <w:rFonts w:ascii="Arial" w:hAnsi="Arial" w:cs="Arial"/>
          <w:b/>
          <w:bCs/>
          <w:sz w:val="16"/>
          <w:szCs w:val="16"/>
        </w:rPr>
        <w:t xml:space="preserve">Figure </w:t>
      </w:r>
      <w:r>
        <w:rPr>
          <w:rFonts w:ascii="Arial" w:hAnsi="Arial" w:cs="Arial"/>
          <w:b/>
          <w:bCs/>
          <w:sz w:val="16"/>
          <w:szCs w:val="16"/>
        </w:rPr>
        <w:t>1S</w:t>
      </w:r>
    </w:p>
    <w:p w14:paraId="0680B1DA" w14:textId="77777777" w:rsidR="001C6AB6" w:rsidRPr="00293A1D" w:rsidRDefault="001C6AB6" w:rsidP="001C6AB6">
      <w:pPr>
        <w:tabs>
          <w:tab w:val="left" w:pos="1019"/>
        </w:tabs>
        <w:spacing w:line="480" w:lineRule="auto"/>
        <w:rPr>
          <w:rFonts w:ascii="Arial" w:hAnsi="Arial" w:cs="Arial"/>
          <w:sz w:val="16"/>
          <w:szCs w:val="16"/>
        </w:rPr>
      </w:pPr>
      <w:r w:rsidRPr="00293A1D">
        <w:rPr>
          <w:rFonts w:ascii="Arial" w:hAnsi="Arial" w:cs="Arial"/>
          <w:i/>
          <w:iCs/>
          <w:sz w:val="16"/>
          <w:szCs w:val="16"/>
        </w:rPr>
        <w:t>Serial mediational model for total service use</w:t>
      </w:r>
      <w:r>
        <w:rPr>
          <w:rFonts w:ascii="Arial" w:hAnsi="Arial" w:cs="Arial"/>
          <w:i/>
          <w:iCs/>
          <w:sz w:val="16"/>
          <w:szCs w:val="16"/>
        </w:rPr>
        <w:t xml:space="preserve"> (minus psychiatric visits)</w:t>
      </w:r>
    </w:p>
    <w:p w14:paraId="1233A634" w14:textId="77777777" w:rsidR="001C6AB6" w:rsidRDefault="001C6AB6" w:rsidP="001C6AB6"/>
    <w:p w14:paraId="627BE098" w14:textId="77777777" w:rsidR="001C6AB6" w:rsidRDefault="001C6AB6" w:rsidP="001C6AB6">
      <w:r>
        <w:rPr>
          <w:noProof/>
          <w:lang w:eastAsia="en-CA"/>
        </w:rPr>
        <w:drawing>
          <wp:inline distT="0" distB="0" distL="0" distR="0" wp14:anchorId="4E38402F" wp14:editId="5F031F11">
            <wp:extent cx="5765804" cy="2096655"/>
            <wp:effectExtent l="0" t="0" r="0" b="0"/>
            <wp:docPr id="268291541" name="Picture 1" descr="A diagram of a mathematical pro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291541" name="Picture 1" descr="A diagram of a mathematical problem&#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823819" cy="2117751"/>
                    </a:xfrm>
                    <a:prstGeom prst="rect">
                      <a:avLst/>
                    </a:prstGeom>
                  </pic:spPr>
                </pic:pic>
              </a:graphicData>
            </a:graphic>
          </wp:inline>
        </w:drawing>
      </w:r>
    </w:p>
    <w:p w14:paraId="456420E7" w14:textId="77777777" w:rsidR="001C6AB6" w:rsidRDefault="001C6AB6" w:rsidP="001C6AB6"/>
    <w:p w14:paraId="625A391E" w14:textId="3CC93F52" w:rsidR="00001B3A" w:rsidRDefault="001C6AB6" w:rsidP="004A31D2">
      <w:pPr>
        <w:tabs>
          <w:tab w:val="left" w:pos="1019"/>
        </w:tabs>
        <w:spacing w:line="480" w:lineRule="auto"/>
        <w:rPr>
          <w:rFonts w:ascii="Arial" w:hAnsi="Arial" w:cs="Arial"/>
          <w:sz w:val="16"/>
          <w:szCs w:val="16"/>
        </w:rPr>
      </w:pPr>
      <w:r w:rsidRPr="00293A1D">
        <w:rPr>
          <w:rFonts w:ascii="Arial" w:hAnsi="Arial" w:cs="Arial"/>
          <w:i/>
          <w:iCs/>
          <w:sz w:val="16"/>
          <w:szCs w:val="16"/>
        </w:rPr>
        <w:t>Note.</w:t>
      </w:r>
      <w:r w:rsidRPr="00293A1D">
        <w:rPr>
          <w:rFonts w:ascii="Arial" w:hAnsi="Arial" w:cs="Arial"/>
          <w:sz w:val="16"/>
          <w:szCs w:val="16"/>
        </w:rPr>
        <w:t xml:space="preserve"> *</w:t>
      </w:r>
      <w:r w:rsidRPr="00293A1D">
        <w:rPr>
          <w:rFonts w:ascii="Arial" w:hAnsi="Arial" w:cs="Arial"/>
          <w:i/>
          <w:iCs/>
          <w:sz w:val="16"/>
          <w:szCs w:val="16"/>
        </w:rPr>
        <w:t>p</w:t>
      </w:r>
      <w:r w:rsidRPr="00293A1D">
        <w:rPr>
          <w:rFonts w:ascii="Arial" w:hAnsi="Arial" w:cs="Arial"/>
          <w:sz w:val="16"/>
          <w:szCs w:val="16"/>
        </w:rPr>
        <w:t xml:space="preserve"> &lt; .05, **</w:t>
      </w:r>
      <w:r w:rsidRPr="00293A1D">
        <w:rPr>
          <w:rFonts w:ascii="Arial" w:hAnsi="Arial" w:cs="Arial"/>
          <w:i/>
          <w:iCs/>
          <w:sz w:val="16"/>
          <w:szCs w:val="16"/>
        </w:rPr>
        <w:t>p</w:t>
      </w:r>
      <w:r w:rsidRPr="00293A1D">
        <w:rPr>
          <w:rFonts w:ascii="Arial" w:hAnsi="Arial" w:cs="Arial"/>
          <w:sz w:val="16"/>
          <w:szCs w:val="16"/>
        </w:rPr>
        <w:t xml:space="preserve"> &lt; .01, ***</w:t>
      </w:r>
      <w:r w:rsidRPr="00293A1D">
        <w:rPr>
          <w:rFonts w:ascii="Arial" w:hAnsi="Arial" w:cs="Arial"/>
          <w:i/>
          <w:iCs/>
          <w:sz w:val="16"/>
          <w:szCs w:val="16"/>
        </w:rPr>
        <w:t>p</w:t>
      </w:r>
      <w:r w:rsidRPr="00293A1D">
        <w:rPr>
          <w:rFonts w:ascii="Arial" w:hAnsi="Arial" w:cs="Arial"/>
          <w:sz w:val="16"/>
          <w:szCs w:val="16"/>
        </w:rPr>
        <w:t xml:space="preserve"> &lt; .001.</w:t>
      </w:r>
    </w:p>
    <w:p w14:paraId="0F8F1086" w14:textId="77777777" w:rsidR="00001B3A" w:rsidRDefault="00001B3A">
      <w:pPr>
        <w:rPr>
          <w:rFonts w:ascii="Arial" w:hAnsi="Arial" w:cs="Arial"/>
          <w:sz w:val="16"/>
          <w:szCs w:val="16"/>
        </w:rPr>
      </w:pPr>
      <w:r>
        <w:rPr>
          <w:rFonts w:ascii="Arial" w:hAnsi="Arial" w:cs="Arial"/>
          <w:sz w:val="16"/>
          <w:szCs w:val="16"/>
        </w:rPr>
        <w:br w:type="page"/>
      </w:r>
    </w:p>
    <w:p w14:paraId="75463D53" w14:textId="71DB5D79" w:rsidR="00557311" w:rsidRPr="00550B4F" w:rsidRDefault="00557311" w:rsidP="00557311">
      <w:pPr>
        <w:rPr>
          <w:rFonts w:ascii="Arial" w:hAnsi="Arial" w:cs="Arial"/>
          <w:b/>
          <w:bCs/>
          <w:sz w:val="16"/>
          <w:szCs w:val="16"/>
        </w:rPr>
      </w:pPr>
      <w:r w:rsidRPr="00550B4F">
        <w:rPr>
          <w:rFonts w:ascii="Arial" w:hAnsi="Arial" w:cs="Arial"/>
          <w:b/>
          <w:bCs/>
          <w:sz w:val="16"/>
          <w:szCs w:val="16"/>
        </w:rPr>
        <w:lastRenderedPageBreak/>
        <w:t>Supplementary material 4</w:t>
      </w:r>
    </w:p>
    <w:p w14:paraId="4CAA3FCD" w14:textId="77777777" w:rsidR="00557311" w:rsidRPr="00557311" w:rsidRDefault="00557311" w:rsidP="00557311">
      <w:pPr>
        <w:rPr>
          <w:rFonts w:ascii="Arial" w:hAnsi="Arial" w:cs="Arial"/>
          <w:sz w:val="16"/>
          <w:szCs w:val="16"/>
        </w:rPr>
      </w:pPr>
    </w:p>
    <w:p w14:paraId="62A0C12C" w14:textId="41A30AA0" w:rsidR="00557311" w:rsidRPr="00557311" w:rsidRDefault="00557311" w:rsidP="00557311">
      <w:pPr>
        <w:spacing w:line="480" w:lineRule="auto"/>
        <w:ind w:firstLine="720"/>
        <w:rPr>
          <w:rFonts w:ascii="Arial" w:hAnsi="Arial" w:cs="Arial"/>
          <w:sz w:val="16"/>
          <w:szCs w:val="16"/>
        </w:rPr>
      </w:pPr>
      <w:r w:rsidRPr="00557311">
        <w:rPr>
          <w:rFonts w:ascii="Arial" w:hAnsi="Arial" w:cs="Arial"/>
          <w:sz w:val="16"/>
          <w:szCs w:val="16"/>
        </w:rPr>
        <w:t xml:space="preserve">Extant literature has shown that up to 26% of children with CP have comorbid ADHD </w:t>
      </w:r>
      <w:r w:rsidRPr="00557311">
        <w:rPr>
          <w:rFonts w:ascii="Arial" w:hAnsi="Arial" w:cs="Arial"/>
          <w:sz w:val="16"/>
          <w:szCs w:val="16"/>
        </w:rPr>
        <w:fldChar w:fldCharType="begin"/>
      </w:r>
      <w:r w:rsidRPr="00557311">
        <w:rPr>
          <w:rFonts w:ascii="Arial" w:hAnsi="Arial" w:cs="Arial"/>
          <w:sz w:val="16"/>
          <w:szCs w:val="16"/>
        </w:rPr>
        <w:instrText xml:space="preserve"> ADDIN ZOTERO_ITEM CSL_CITATION {"citationID":"Ozis6RQ4","properties":{"formattedCitation":"(Mohammadi et al., 2021)","plainCitation":"(Mohammadi et al., 2021)","noteIndex":0},"citationItems":[{"id":3319,"uris":["http://zotero.org/users/11600887/items/M5ZSB3RQ"],"itemData":{"id":3319,"type":"article-journal","abstract":"Objective: We aimed to investigate the prevalence of ADHD and its comorbidities and some associated demographic factors in a large sample population-based study. Method: As part of a population-based survey among 30,532 children and adolescents between 6 and 18 years, we used K-SADS-PL to screen and detect ADHD and its comorbidities. Results: The prevalence of ADHD was 4%, with more prevalence among boys (5.2% vs. 2.7%), younger participants, urban residents, and offspring of mothers who had a history of psychiatric hospitalization. Anxiety disorders (37.9%) and behavioral disorders (31%) are the most prevalent group of comorbidities, and oppositional defiant disorder (ODD) is the most prevalent comorbid disorder (26.1%). Mood disorders and anxiety disorders are more common among girls, but conduct disorder has a higher rate among boys. Conclusion: ADHD is a common neurodevelopmental disorder which is accompanied by several comorbid conditions. The high rate of comorbidities makes it complicated and difficult to manage.","container-title":"Journal of Attention Disorders","DOI":"10.1177/1087054719886372","ISSN":"1087-0547","issue":"8","journalAbbreviation":"J Atten Disord","language":"en","note":"publisher: SAGE Publications Inc","page":"1058-1067","source":"SAGE Journals","title":"Prevalence of ADHD and Its Comorbidities in a Population-Based Sample","volume":"25","author":[{"family":"Mohammadi","given":"Mohammad-Reza"},{"family":"Zarafshan","given":"Hadi"},{"family":"Khaleghi","given":"Ali"},{"family":"Ahmadi","given":"Nastaran"},{"family":"Hooshyari","given":"Zahra"},{"family":"Mostafavi","given":"Seyed-Ali"},{"family":"Ahmadi","given":"Ameneh"},{"family":"Alavi","given":"Seyyed-Salman"},{"family":"Shakiba","given":"Alia"},{"family":"Salmanian","given":"Maryam"}],"issued":{"date-parts":[["2021",6,1]]}}}],"schema":"https://github.com/citation-style-language/schema/raw/master/csl-citation.json"} </w:instrText>
      </w:r>
      <w:r w:rsidRPr="00557311">
        <w:rPr>
          <w:rFonts w:ascii="Arial" w:hAnsi="Arial" w:cs="Arial"/>
          <w:sz w:val="16"/>
          <w:szCs w:val="16"/>
        </w:rPr>
        <w:fldChar w:fldCharType="separate"/>
      </w:r>
      <w:r w:rsidRPr="00557311">
        <w:rPr>
          <w:rFonts w:ascii="Arial" w:hAnsi="Arial" w:cs="Arial"/>
          <w:noProof/>
          <w:sz w:val="16"/>
          <w:szCs w:val="16"/>
        </w:rPr>
        <w:t>(Mohammadi et al., 2021)</w:t>
      </w:r>
      <w:r w:rsidRPr="00557311">
        <w:rPr>
          <w:rFonts w:ascii="Arial" w:hAnsi="Arial" w:cs="Arial"/>
          <w:sz w:val="16"/>
          <w:szCs w:val="16"/>
        </w:rPr>
        <w:fldChar w:fldCharType="end"/>
      </w:r>
      <w:r w:rsidRPr="00557311">
        <w:rPr>
          <w:rFonts w:ascii="Arial" w:hAnsi="Arial" w:cs="Arial"/>
          <w:sz w:val="16"/>
          <w:szCs w:val="16"/>
        </w:rPr>
        <w:t xml:space="preserve">. Given that ADHD has also been associated with </w:t>
      </w:r>
      <w:r w:rsidR="007B44B6">
        <w:rPr>
          <w:rFonts w:ascii="Arial" w:hAnsi="Arial" w:cs="Arial"/>
          <w:sz w:val="16"/>
          <w:szCs w:val="16"/>
        </w:rPr>
        <w:t>higher medical and psychiatric service use</w:t>
      </w:r>
      <w:r w:rsidRPr="00557311">
        <w:rPr>
          <w:rFonts w:ascii="Arial" w:hAnsi="Arial" w:cs="Arial"/>
          <w:sz w:val="16"/>
          <w:szCs w:val="16"/>
        </w:rPr>
        <w:t xml:space="preserve"> </w:t>
      </w:r>
      <w:r w:rsidR="00065F79">
        <w:rPr>
          <w:rFonts w:ascii="Arial" w:hAnsi="Arial" w:cs="Arial"/>
          <w:sz w:val="16"/>
          <w:szCs w:val="16"/>
        </w:rPr>
        <w:fldChar w:fldCharType="begin"/>
      </w:r>
      <w:r w:rsidR="00065F79">
        <w:rPr>
          <w:rFonts w:ascii="Arial" w:hAnsi="Arial" w:cs="Arial"/>
          <w:sz w:val="16"/>
          <w:szCs w:val="16"/>
        </w:rPr>
        <w:instrText xml:space="preserve"> ADDIN ZOTERO_ITEM CSL_CITATION {"citationID":"YqKsCoK6","properties":{"formattedCitation":"(Du Rietz et al., 2020)","plainCitation":"(Du Rietz et al., 2020)","noteIndex":0},"citationItems":[{"id":3322,"uris":["http://zotero.org/users/11600887/items/SVUPEEG2"],"itemData":{"id":3322,"type":"article-journal","abstract":"Background A better understanding of the trajectories and economic burden of psychiatric and somatic disorders (multimorbidity) in ADHD from childhood to adulthood is important for guiding more targeted areas for treatment of ADHD and prevention of multimorbidity, and for forecasting demands on the medical infrastructure. This study aimed to investigate patterns of healthcare utilization and costs of multimorbidity across young adulthood in individuals with a childhood ADHD diagnosis, and additionally in individuals who continue to have ADHD-related contact with health services (persisters) and those who do not (remitters). Methods We prospectively followed a cohort (N = 445,790) born 1987–1990 from the ages of 18 to 26 years. Data on healthcare utilization were obtained from the Swedish National Patient Register (inpatient and outpatient care) and the Prescribed Drug Register (medication prescriptions). Results Mean annual costs per capita from multimorbidity was €890 (\\1,223) in individuals with a childhood ADHD diagnosis (persisters/remitters: €1,060[\\1,456]/€609[\\837]) and €304 (\\418) in individuals without. Costs were largely driven by inpatient hospital admissions, mainly from drug abuse and injuries. Healthcare utilization and costs of psychiatric and somatic disorders at 18 years was significantly higher in individuals with childhood ADHD compared to those without. These group differences remained stable or increased across young adulthood for most outcomes and were generally larger in women than in men. ADHD remitters continued to show significantly greater healthcare utilization and costs compared to individuals without childhood ADHD, although their profiles were not as severe as ADHD persisters. Conclusions Childhood ADHD has long-term associations with both psychiatric and somatic disorders. Findings demonstrate the individual and societal burden of ADHD in adulthood and highlight the importance of continued support from childhood–adolescent to adult health services and early prevention of multimorbidity. Findings also point to specific targets for intervention that may be effective, such as drug abuse and injuries.","container-title":"Journal of Child Psychology and Psychiatry","DOI":"10.1111/jcpp.13206","ISSN":"1469-7610","issue":"9","language":"en","license":"© 2020 The Authors. Journal of Child Psychology and Psychiatry published by John Wiley &amp; Sons Ltd on behalf of Association for Child and Adolescent Mental Health.","note":"_eprint: https://onlinelibrary.wiley.com/doi/pdf/10.1111/jcpp.13206","page":"959-968","source":"Wiley Online Library","title":"Trajectories of healthcare utilization and costs of psychiatric and somatic multimorbidity in adults with childhood ADHD: a prospective register-based study","title-short":"Trajectories of healthcare utilization and costs of psychiatric and somatic multimorbidity in adults with childhood ADHD","volume":"61","author":[{"family":"Du Rietz","given":"Ebba"},{"family":"Jangmo","given":"Andreas"},{"family":"Kuja-Halkola","given":"Ralf"},{"family":"Chang","given":"Zheng"},{"family":"D'Onofrio","given":"Brian M."},{"family":"Ahnemark","given":"Ewa"},{"family":"Werner-Kiechle","given":"Tamara"},{"family":"Larsson","given":"Henrik"}],"issued":{"date-parts":[["2020"]]}}}],"schema":"https://github.com/citation-style-language/schema/raw/master/csl-citation.json"} </w:instrText>
      </w:r>
      <w:r w:rsidR="00065F79">
        <w:rPr>
          <w:rFonts w:ascii="Arial" w:hAnsi="Arial" w:cs="Arial"/>
          <w:sz w:val="16"/>
          <w:szCs w:val="16"/>
        </w:rPr>
        <w:fldChar w:fldCharType="separate"/>
      </w:r>
      <w:r w:rsidR="00065F79">
        <w:rPr>
          <w:rFonts w:ascii="Arial" w:hAnsi="Arial" w:cs="Arial"/>
          <w:noProof/>
          <w:sz w:val="16"/>
          <w:szCs w:val="16"/>
        </w:rPr>
        <w:t>(Du Rietz et al., 2020)</w:t>
      </w:r>
      <w:r w:rsidR="00065F79">
        <w:rPr>
          <w:rFonts w:ascii="Arial" w:hAnsi="Arial" w:cs="Arial"/>
          <w:sz w:val="16"/>
          <w:szCs w:val="16"/>
        </w:rPr>
        <w:fldChar w:fldCharType="end"/>
      </w:r>
      <w:r w:rsidRPr="00557311">
        <w:rPr>
          <w:rFonts w:ascii="Arial" w:hAnsi="Arial" w:cs="Arial"/>
          <w:sz w:val="16"/>
          <w:szCs w:val="16"/>
        </w:rPr>
        <w:t xml:space="preserve">, we wanted to demonstrate that the effect of CP persists, even when controlling for ADHD. We used a composite measure of ADHD at T1 that was constructed in a similar manner to the T1 measure of CP (dichotomized score; 0 = No ADHD diagnosis by parent and teacher, 1 = ADHD diagnosis by parent and/or teacher). ADHD symptomatology was measured using the parent- and teacher-reported Conners Rating Scales </w:t>
      </w:r>
      <w:r w:rsidRPr="00557311">
        <w:rPr>
          <w:rFonts w:ascii="Arial" w:hAnsi="Arial" w:cs="Arial"/>
          <w:sz w:val="16"/>
          <w:szCs w:val="16"/>
        </w:rPr>
        <w:fldChar w:fldCharType="begin"/>
      </w:r>
      <w:r w:rsidRPr="00557311">
        <w:rPr>
          <w:rFonts w:ascii="Arial" w:hAnsi="Arial" w:cs="Arial"/>
          <w:sz w:val="16"/>
          <w:szCs w:val="16"/>
        </w:rPr>
        <w:instrText xml:space="preserve"> ADDIN ZOTERO_ITEM CSL_CITATION {"citationID":"AGFvN7q3","properties":{"formattedCitation":"(Conners, Sitarenios, Parker, &amp; Epstein, 1998b, 1998a)","plainCitation":"(Conners, Sitarenios, Parker, &amp; Epstein, 1998b, 1998a)","noteIndex":0},"citationItems":[{"id":3268,"uris":["http://zotero.org/users/11600887/items/YK67K86V"],"itemData":{"id":3268,"type":"article-journal","abstract":"The Conners' Parent Rating Scale (CPRS) is a popular research and clinical tool for obtaining parental reports of childhood behavior problems. The present study introduces a revised CPRS (CPRS-R) which has norms derived from a large, representative sample of North American children, uses confirmatory factor analysis to develop a definitive factor structure, and has an updated item content to reflect recent knowledge and developments concerning childhood behavior problems. Exploratory and confirmatory factor-analytic results revealed a seven-factor model including the following factors: Cognitive Problems, Oppositional, Hyperactivity-Impulsivity, Anxious-Shy, Perfectionism, Social Problems, and Psychosomatic. The psychometric properties of the revised scale appear adequate as demonstrated by good internal reliability coefficients, high test-retest reliability, and effective discriminatory power. Advantages of the CPRS-R include a corresponding factor structure with the Conners' Teacher Rating Scale—Revised and comprehensive symptom coverage for attention deficit hyperactivity disorder (ADHD) and related disorders. Factor congruence with the original CPRS as well as similarities with other parent rating scales are discussed.","container-title":"Journal of Abnormal Child Psychology","DOI":"10.1023/A:1022602400621","ISSN":"1573-2835","issue":"4","journalAbbreviation":"J Abnorm Child Psychol","language":"en","page":"257-268","source":"Springer Link","title":"The Revised Conners' Parent Rating Scale (CPRS-R): Factor Structure, Reliability, and Criterion Validity","title-short":"The Revised Conners' Parent Rating Scale (CPRS-R)","volume":"26","author":[{"family":"Conners","given":"C. Keith"},{"family":"Sitarenios","given":"Gill"},{"family":"Parker","given":"James D. A."},{"family":"Epstein","given":"Jeffery N."}],"issued":{"date-parts":[["1998",8,1]]}}},{"id":3269,"uris":["http://zotero.org/users/11600887/items/U9B5AVZ8"],"itemData":{"id":3269,"type":"article-journal","abstract":"The Conners Teacher Rating Scale (CTRS) is a commonly used research and clinical tool for assessing children's behavior in the classroom. The present study introduces the revised CTRS (CTRS-R) which improves on the original CTRS by (1) establishing normative data from a large, representative North American sample, (2) deriving a factor structure using advanced statistical techniques, and (3) updating the item content to reflect current conceptualizations of childhood disorders. Using confirmatory factor analysis, a six-factor structure was found which includes Hyperactivity-Impulsivity, Perfectionism, Inattention/Cognitive Problems, Social Problems, Oppositionality, and Anxious/Shy factors. The reliability of the scale, as measured by test-retest correlations and internal consistency, is generally satisfactory. Using all of the scale factors to discriminate between attention deficit hyperactivity disordered and normal children, 85 percent of children were correctly classified, supporting the validity of the scale and indicating excellent clinical utility. Similarities and differences between the original CTRS factor structure and the CTRS-R factor structure are discussed.","container-title":"Journal of Abnormal Child Psychology","DOI":"10.1023/A:1022606501530","ISSN":"1573-2835","issue":"4","journalAbbreviation":"J Abnorm Child Psychol","language":"en","page":"279-291","source":"Springer Link","title":"Revision and Restandardization of the Conners Teacher Rating Scale (CTRS-R): Factor Structure, Reliability, and Criterion Validity","title-short":"Revision and Restandardization of the Conners Teacher Rating Scale (CTRS-R)","volume":"26","author":[{"family":"Conners","given":"C. Keith"},{"family":"Sitarenios","given":"Gill"},{"family":"Parker","given":"James D. A."},{"family":"Epstein","given":"Jeffery N."}],"issued":{"date-parts":[["1998",8,1]]}}}],"schema":"https://github.com/citation-style-language/schema/raw/master/csl-citation.json"} </w:instrText>
      </w:r>
      <w:r w:rsidRPr="00557311">
        <w:rPr>
          <w:rFonts w:ascii="Arial" w:hAnsi="Arial" w:cs="Arial"/>
          <w:sz w:val="16"/>
          <w:szCs w:val="16"/>
        </w:rPr>
        <w:fldChar w:fldCharType="separate"/>
      </w:r>
      <w:r w:rsidRPr="00557311">
        <w:rPr>
          <w:rFonts w:ascii="Arial" w:hAnsi="Arial" w:cs="Arial"/>
          <w:noProof/>
          <w:sz w:val="16"/>
          <w:szCs w:val="16"/>
        </w:rPr>
        <w:t>(Conners, Sitarenios, Parker, &amp; Epstein, 1998b, 1998a)</w:t>
      </w:r>
      <w:r w:rsidRPr="00557311">
        <w:rPr>
          <w:rFonts w:ascii="Arial" w:hAnsi="Arial" w:cs="Arial"/>
          <w:sz w:val="16"/>
          <w:szCs w:val="16"/>
        </w:rPr>
        <w:fldChar w:fldCharType="end"/>
      </w:r>
      <w:r w:rsidRPr="00557311">
        <w:rPr>
          <w:rFonts w:ascii="Arial" w:hAnsi="Arial" w:cs="Arial"/>
          <w:sz w:val="16"/>
          <w:szCs w:val="16"/>
        </w:rPr>
        <w:t>. While ADHD was correlated with both CP (</w:t>
      </w:r>
      <w:r w:rsidRPr="00557311">
        <w:rPr>
          <w:rFonts w:ascii="Arial" w:hAnsi="Arial" w:cs="Arial"/>
          <w:i/>
          <w:iCs/>
          <w:sz w:val="16"/>
          <w:szCs w:val="16"/>
        </w:rPr>
        <w:t>r</w:t>
      </w:r>
      <w:r w:rsidRPr="00557311">
        <w:rPr>
          <w:rFonts w:ascii="Arial" w:hAnsi="Arial" w:cs="Arial"/>
          <w:sz w:val="16"/>
          <w:szCs w:val="16"/>
        </w:rPr>
        <w:t xml:space="preserve"> = .38, </w:t>
      </w:r>
      <w:r w:rsidRPr="00557311">
        <w:rPr>
          <w:rFonts w:ascii="Arial" w:hAnsi="Arial" w:cs="Arial"/>
          <w:i/>
          <w:iCs/>
          <w:sz w:val="16"/>
          <w:szCs w:val="16"/>
        </w:rPr>
        <w:t>p</w:t>
      </w:r>
      <w:r w:rsidRPr="00557311">
        <w:rPr>
          <w:rFonts w:ascii="Arial" w:hAnsi="Arial" w:cs="Arial"/>
          <w:sz w:val="16"/>
          <w:szCs w:val="16"/>
        </w:rPr>
        <w:t xml:space="preserve"> &lt; .001) and service use (total service use </w:t>
      </w:r>
      <w:r w:rsidRPr="00557311">
        <w:rPr>
          <w:rFonts w:ascii="Arial" w:hAnsi="Arial" w:cs="Arial"/>
          <w:i/>
          <w:iCs/>
          <w:sz w:val="16"/>
          <w:szCs w:val="16"/>
        </w:rPr>
        <w:t>r</w:t>
      </w:r>
      <w:r w:rsidRPr="00557311">
        <w:rPr>
          <w:rFonts w:ascii="Arial" w:hAnsi="Arial" w:cs="Arial"/>
          <w:sz w:val="16"/>
          <w:szCs w:val="16"/>
        </w:rPr>
        <w:t xml:space="preserve"> = .18, </w:t>
      </w:r>
      <w:r w:rsidRPr="00557311">
        <w:rPr>
          <w:rFonts w:ascii="Arial" w:hAnsi="Arial" w:cs="Arial"/>
          <w:i/>
          <w:iCs/>
          <w:sz w:val="16"/>
          <w:szCs w:val="16"/>
        </w:rPr>
        <w:t>p</w:t>
      </w:r>
      <w:r w:rsidRPr="00557311">
        <w:rPr>
          <w:rFonts w:ascii="Arial" w:hAnsi="Arial" w:cs="Arial"/>
          <w:sz w:val="16"/>
          <w:szCs w:val="16"/>
        </w:rPr>
        <w:t xml:space="preserve"> &lt; .001; psychiatric service use </w:t>
      </w:r>
      <w:r w:rsidRPr="00557311">
        <w:rPr>
          <w:rFonts w:ascii="Arial" w:hAnsi="Arial" w:cs="Arial"/>
          <w:i/>
          <w:iCs/>
          <w:sz w:val="16"/>
          <w:szCs w:val="16"/>
        </w:rPr>
        <w:t>r</w:t>
      </w:r>
      <w:r w:rsidRPr="00557311">
        <w:rPr>
          <w:rFonts w:ascii="Arial" w:hAnsi="Arial" w:cs="Arial"/>
          <w:sz w:val="16"/>
          <w:szCs w:val="16"/>
        </w:rPr>
        <w:t xml:space="preserve"> = .18, </w:t>
      </w:r>
      <w:r w:rsidRPr="00557311">
        <w:rPr>
          <w:rFonts w:ascii="Arial" w:hAnsi="Arial" w:cs="Arial"/>
          <w:i/>
          <w:iCs/>
          <w:sz w:val="16"/>
          <w:szCs w:val="16"/>
        </w:rPr>
        <w:t>p</w:t>
      </w:r>
      <w:r w:rsidRPr="00557311">
        <w:rPr>
          <w:rFonts w:ascii="Arial" w:hAnsi="Arial" w:cs="Arial"/>
          <w:sz w:val="16"/>
          <w:szCs w:val="16"/>
        </w:rPr>
        <w:t xml:space="preserve"> &lt; .001), regression analyses revealed that, while T1 ADHD was related to both service use outcomes, CP remained pertinent and still predicted both outcomes while accounting for ADHD (see Tables </w:t>
      </w:r>
      <w:r w:rsidR="00D347A1">
        <w:rPr>
          <w:rFonts w:ascii="Arial" w:hAnsi="Arial" w:cs="Arial"/>
          <w:sz w:val="16"/>
          <w:szCs w:val="16"/>
        </w:rPr>
        <w:t>2S</w:t>
      </w:r>
      <w:r w:rsidRPr="00557311">
        <w:rPr>
          <w:rFonts w:ascii="Arial" w:hAnsi="Arial" w:cs="Arial"/>
          <w:sz w:val="16"/>
          <w:szCs w:val="16"/>
        </w:rPr>
        <w:t xml:space="preserve"> and </w:t>
      </w:r>
      <w:r w:rsidR="00D347A1">
        <w:rPr>
          <w:rFonts w:ascii="Arial" w:hAnsi="Arial" w:cs="Arial"/>
          <w:sz w:val="16"/>
          <w:szCs w:val="16"/>
        </w:rPr>
        <w:t>3S below</w:t>
      </w:r>
      <w:r w:rsidRPr="00557311">
        <w:rPr>
          <w:rFonts w:ascii="Arial" w:hAnsi="Arial" w:cs="Arial"/>
          <w:sz w:val="16"/>
          <w:szCs w:val="16"/>
        </w:rPr>
        <w:t>).</w:t>
      </w:r>
    </w:p>
    <w:p w14:paraId="509673CD" w14:textId="77777777" w:rsidR="003F6CFD" w:rsidRDefault="003F6CFD" w:rsidP="00550B4F">
      <w:pPr>
        <w:spacing w:line="480" w:lineRule="auto"/>
        <w:jc w:val="both"/>
        <w:rPr>
          <w:rFonts w:ascii="Arial" w:hAnsi="Arial" w:cs="Arial"/>
          <w:b/>
          <w:bCs/>
          <w:sz w:val="16"/>
          <w:szCs w:val="16"/>
        </w:rPr>
      </w:pPr>
    </w:p>
    <w:p w14:paraId="15D72B68" w14:textId="6B2A4B45" w:rsidR="00550B4F" w:rsidRPr="009720FC" w:rsidRDefault="00550B4F" w:rsidP="00550B4F">
      <w:pPr>
        <w:spacing w:line="480" w:lineRule="auto"/>
        <w:jc w:val="both"/>
        <w:rPr>
          <w:rFonts w:ascii="Arial" w:hAnsi="Arial" w:cs="Arial"/>
          <w:b/>
          <w:bCs/>
          <w:sz w:val="16"/>
          <w:szCs w:val="16"/>
        </w:rPr>
      </w:pPr>
      <w:r w:rsidRPr="00FD2EA4">
        <w:rPr>
          <w:rFonts w:ascii="Arial" w:hAnsi="Arial" w:cs="Arial"/>
          <w:b/>
          <w:bCs/>
          <w:sz w:val="16"/>
          <w:szCs w:val="16"/>
        </w:rPr>
        <w:t xml:space="preserve">Table </w:t>
      </w:r>
      <w:r>
        <w:rPr>
          <w:rFonts w:ascii="Arial" w:hAnsi="Arial" w:cs="Arial"/>
          <w:b/>
          <w:bCs/>
          <w:sz w:val="16"/>
          <w:szCs w:val="16"/>
        </w:rPr>
        <w:t>2S</w:t>
      </w:r>
    </w:p>
    <w:p w14:paraId="7AA8FE95" w14:textId="4F897D53" w:rsidR="00550B4F" w:rsidRPr="00FD2EA4" w:rsidRDefault="00550B4F" w:rsidP="00550B4F">
      <w:pPr>
        <w:spacing w:line="480" w:lineRule="auto"/>
        <w:jc w:val="both"/>
        <w:rPr>
          <w:rFonts w:ascii="Arial" w:hAnsi="Arial" w:cs="Arial"/>
          <w:sz w:val="16"/>
          <w:szCs w:val="16"/>
        </w:rPr>
      </w:pPr>
      <w:r>
        <w:rPr>
          <w:rFonts w:ascii="Arial" w:hAnsi="Arial" w:cs="Arial"/>
          <w:i/>
          <w:iCs/>
          <w:sz w:val="16"/>
          <w:szCs w:val="16"/>
        </w:rPr>
        <w:t>Regression results predicting total service use with ADHD</w:t>
      </w:r>
    </w:p>
    <w:tbl>
      <w:tblPr>
        <w:tblW w:w="7241" w:type="dxa"/>
        <w:tblBorders>
          <w:top w:val="single" w:sz="4" w:space="0" w:color="auto"/>
          <w:bottom w:val="single" w:sz="4" w:space="0" w:color="auto"/>
        </w:tblBorders>
        <w:tblLook w:val="04A0" w:firstRow="1" w:lastRow="0" w:firstColumn="1" w:lastColumn="0" w:noHBand="0" w:noVBand="1"/>
      </w:tblPr>
      <w:tblGrid>
        <w:gridCol w:w="2860"/>
        <w:gridCol w:w="1389"/>
        <w:gridCol w:w="1231"/>
        <w:gridCol w:w="1761"/>
      </w:tblGrid>
      <w:tr w:rsidR="00550B4F" w:rsidRPr="00FD2EA4" w14:paraId="5C315439" w14:textId="77777777" w:rsidTr="00EF7404">
        <w:trPr>
          <w:trHeight w:val="787"/>
        </w:trPr>
        <w:tc>
          <w:tcPr>
            <w:tcW w:w="2860" w:type="dxa"/>
            <w:tcBorders>
              <w:bottom w:val="single" w:sz="4" w:space="0" w:color="auto"/>
            </w:tcBorders>
            <w:shd w:val="clear" w:color="auto" w:fill="auto"/>
            <w:vAlign w:val="center"/>
          </w:tcPr>
          <w:p w14:paraId="403B971C" w14:textId="77777777" w:rsidR="00550B4F" w:rsidRPr="00FD2EA4" w:rsidRDefault="00550B4F" w:rsidP="00EF7404">
            <w:pPr>
              <w:rPr>
                <w:rFonts w:ascii="Arial" w:eastAsia="Calibri" w:hAnsi="Arial" w:cs="Arial"/>
                <w:sz w:val="16"/>
                <w:szCs w:val="16"/>
              </w:rPr>
            </w:pPr>
          </w:p>
        </w:tc>
        <w:tc>
          <w:tcPr>
            <w:tcW w:w="1389" w:type="dxa"/>
            <w:tcBorders>
              <w:bottom w:val="single" w:sz="4" w:space="0" w:color="auto"/>
            </w:tcBorders>
            <w:shd w:val="clear" w:color="auto" w:fill="auto"/>
            <w:vAlign w:val="center"/>
          </w:tcPr>
          <w:p w14:paraId="4920E61D" w14:textId="77777777" w:rsidR="00550B4F" w:rsidRPr="00FD2EA4" w:rsidRDefault="00550B4F" w:rsidP="00EF7404">
            <w:pPr>
              <w:jc w:val="center"/>
              <w:rPr>
                <w:rFonts w:ascii="Arial" w:eastAsia="Calibri" w:hAnsi="Arial" w:cs="Arial"/>
                <w:sz w:val="16"/>
                <w:szCs w:val="16"/>
              </w:rPr>
            </w:pPr>
            <w:r w:rsidRPr="00DB01A5">
              <w:rPr>
                <w:rFonts w:ascii="Arial" w:hAnsi="Arial" w:cs="Arial"/>
                <w:i/>
                <w:iCs/>
                <w:sz w:val="16"/>
                <w:szCs w:val="16"/>
              </w:rPr>
              <w:t>B</w:t>
            </w:r>
          </w:p>
        </w:tc>
        <w:tc>
          <w:tcPr>
            <w:tcW w:w="1231" w:type="dxa"/>
            <w:tcBorders>
              <w:bottom w:val="single" w:sz="4" w:space="0" w:color="auto"/>
            </w:tcBorders>
            <w:shd w:val="clear" w:color="auto" w:fill="auto"/>
            <w:vAlign w:val="center"/>
          </w:tcPr>
          <w:p w14:paraId="0E28B151" w14:textId="77777777" w:rsidR="00550B4F" w:rsidRPr="00FD2EA4" w:rsidRDefault="00550B4F" w:rsidP="00EF7404">
            <w:pPr>
              <w:jc w:val="center"/>
              <w:rPr>
                <w:rFonts w:ascii="Arial" w:eastAsia="Calibri" w:hAnsi="Arial" w:cs="Arial"/>
                <w:sz w:val="16"/>
                <w:szCs w:val="16"/>
              </w:rPr>
            </w:pPr>
            <w:r w:rsidRPr="00DB01A5">
              <w:rPr>
                <w:rFonts w:ascii="Arial" w:hAnsi="Arial" w:cs="Arial"/>
                <w:sz w:val="16"/>
                <w:szCs w:val="16"/>
              </w:rPr>
              <w:t>β</w:t>
            </w:r>
          </w:p>
        </w:tc>
        <w:tc>
          <w:tcPr>
            <w:tcW w:w="1761" w:type="dxa"/>
            <w:tcBorders>
              <w:bottom w:val="single" w:sz="4" w:space="0" w:color="auto"/>
            </w:tcBorders>
            <w:shd w:val="clear" w:color="auto" w:fill="auto"/>
            <w:vAlign w:val="center"/>
          </w:tcPr>
          <w:p w14:paraId="4A272E8B" w14:textId="77777777" w:rsidR="00550B4F" w:rsidRPr="00314AC5" w:rsidRDefault="00550B4F" w:rsidP="00EF7404">
            <w:pPr>
              <w:jc w:val="center"/>
              <w:rPr>
                <w:rFonts w:ascii="Arial" w:eastAsia="Calibri" w:hAnsi="Arial" w:cs="Arial"/>
                <w:i/>
                <w:iCs/>
                <w:sz w:val="16"/>
                <w:szCs w:val="16"/>
              </w:rPr>
            </w:pPr>
            <w:r w:rsidRPr="00314AC5">
              <w:rPr>
                <w:rFonts w:ascii="Arial" w:eastAsia="Calibri" w:hAnsi="Arial" w:cs="Arial"/>
                <w:i/>
                <w:iCs/>
                <w:sz w:val="16"/>
                <w:szCs w:val="16"/>
              </w:rPr>
              <w:t>p</w:t>
            </w:r>
          </w:p>
        </w:tc>
      </w:tr>
      <w:tr w:rsidR="00550B4F" w:rsidRPr="00FD2EA4" w14:paraId="3756CFBD" w14:textId="77777777" w:rsidTr="00EF7404">
        <w:trPr>
          <w:trHeight w:val="623"/>
        </w:trPr>
        <w:tc>
          <w:tcPr>
            <w:tcW w:w="2860" w:type="dxa"/>
            <w:tcBorders>
              <w:top w:val="single" w:sz="4" w:space="0" w:color="auto"/>
              <w:bottom w:val="nil"/>
            </w:tcBorders>
            <w:shd w:val="clear" w:color="auto" w:fill="auto"/>
            <w:vAlign w:val="center"/>
          </w:tcPr>
          <w:p w14:paraId="6B7904B7" w14:textId="77777777" w:rsidR="00550B4F" w:rsidRPr="00FD2EA4" w:rsidRDefault="00550B4F" w:rsidP="00EF7404">
            <w:pPr>
              <w:rPr>
                <w:rFonts w:ascii="Arial" w:eastAsia="Calibri" w:hAnsi="Arial" w:cs="Arial"/>
                <w:sz w:val="16"/>
                <w:szCs w:val="16"/>
              </w:rPr>
            </w:pPr>
            <w:r w:rsidRPr="00FD2EA4">
              <w:rPr>
                <w:rFonts w:ascii="Arial" w:eastAsia="Calibri" w:hAnsi="Arial" w:cs="Arial"/>
                <w:sz w:val="16"/>
                <w:szCs w:val="16"/>
              </w:rPr>
              <w:t>Conduct problems</w:t>
            </w:r>
          </w:p>
        </w:tc>
        <w:tc>
          <w:tcPr>
            <w:tcW w:w="1389" w:type="dxa"/>
            <w:tcBorders>
              <w:top w:val="single" w:sz="4" w:space="0" w:color="auto"/>
              <w:bottom w:val="nil"/>
            </w:tcBorders>
            <w:shd w:val="clear" w:color="auto" w:fill="auto"/>
            <w:vAlign w:val="center"/>
          </w:tcPr>
          <w:p w14:paraId="1CB6E3E8" w14:textId="77777777" w:rsidR="00550B4F" w:rsidRPr="00FD2EA4" w:rsidRDefault="00550B4F" w:rsidP="00EF7404">
            <w:pPr>
              <w:jc w:val="center"/>
              <w:rPr>
                <w:rFonts w:ascii="Arial" w:eastAsia="Calibri" w:hAnsi="Arial" w:cs="Arial"/>
                <w:sz w:val="16"/>
                <w:szCs w:val="16"/>
              </w:rPr>
            </w:pPr>
            <w:r>
              <w:rPr>
                <w:rFonts w:ascii="Arial" w:eastAsia="Calibri" w:hAnsi="Arial" w:cs="Arial"/>
                <w:sz w:val="16"/>
                <w:szCs w:val="16"/>
              </w:rPr>
              <w:t>4.27</w:t>
            </w:r>
          </w:p>
        </w:tc>
        <w:tc>
          <w:tcPr>
            <w:tcW w:w="1231" w:type="dxa"/>
            <w:tcBorders>
              <w:top w:val="single" w:sz="4" w:space="0" w:color="auto"/>
              <w:bottom w:val="nil"/>
            </w:tcBorders>
            <w:shd w:val="clear" w:color="auto" w:fill="auto"/>
            <w:vAlign w:val="center"/>
          </w:tcPr>
          <w:p w14:paraId="2F5205B0" w14:textId="77777777" w:rsidR="00550B4F" w:rsidRPr="00FD2EA4" w:rsidRDefault="00550B4F" w:rsidP="00EF7404">
            <w:pPr>
              <w:jc w:val="center"/>
              <w:rPr>
                <w:rFonts w:ascii="Arial" w:eastAsia="Calibri" w:hAnsi="Arial" w:cs="Arial"/>
                <w:sz w:val="16"/>
                <w:szCs w:val="16"/>
              </w:rPr>
            </w:pPr>
            <w:r>
              <w:rPr>
                <w:rFonts w:ascii="Arial" w:eastAsia="Calibri" w:hAnsi="Arial" w:cs="Arial"/>
                <w:sz w:val="16"/>
                <w:szCs w:val="16"/>
              </w:rPr>
              <w:t>.093</w:t>
            </w:r>
          </w:p>
        </w:tc>
        <w:tc>
          <w:tcPr>
            <w:tcW w:w="1761" w:type="dxa"/>
            <w:tcBorders>
              <w:top w:val="single" w:sz="4" w:space="0" w:color="auto"/>
              <w:bottom w:val="nil"/>
            </w:tcBorders>
            <w:shd w:val="clear" w:color="auto" w:fill="auto"/>
            <w:vAlign w:val="center"/>
          </w:tcPr>
          <w:p w14:paraId="78B0F292" w14:textId="77777777" w:rsidR="00550B4F" w:rsidRPr="00FD2EA4" w:rsidRDefault="00550B4F" w:rsidP="00EF7404">
            <w:pPr>
              <w:jc w:val="center"/>
              <w:rPr>
                <w:rFonts w:ascii="Arial" w:eastAsia="Calibri" w:hAnsi="Arial" w:cs="Arial"/>
                <w:sz w:val="16"/>
                <w:szCs w:val="16"/>
              </w:rPr>
            </w:pPr>
            <w:r>
              <w:rPr>
                <w:rFonts w:ascii="Arial" w:eastAsia="Calibri" w:hAnsi="Arial" w:cs="Arial"/>
                <w:sz w:val="16"/>
                <w:szCs w:val="16"/>
              </w:rPr>
              <w:t>.042</w:t>
            </w:r>
          </w:p>
        </w:tc>
      </w:tr>
      <w:tr w:rsidR="00550B4F" w:rsidRPr="00FD2EA4" w14:paraId="36B42B29" w14:textId="77777777" w:rsidTr="00EF7404">
        <w:trPr>
          <w:trHeight w:val="618"/>
        </w:trPr>
        <w:tc>
          <w:tcPr>
            <w:tcW w:w="2860" w:type="dxa"/>
            <w:tcBorders>
              <w:top w:val="nil"/>
              <w:bottom w:val="nil"/>
            </w:tcBorders>
            <w:shd w:val="clear" w:color="auto" w:fill="auto"/>
            <w:vAlign w:val="center"/>
          </w:tcPr>
          <w:p w14:paraId="186C5383" w14:textId="77777777" w:rsidR="00550B4F" w:rsidRPr="00FD2EA4" w:rsidRDefault="00550B4F" w:rsidP="00EF7404">
            <w:pPr>
              <w:rPr>
                <w:rFonts w:ascii="Arial" w:eastAsia="Calibri" w:hAnsi="Arial" w:cs="Arial"/>
                <w:sz w:val="16"/>
                <w:szCs w:val="16"/>
              </w:rPr>
            </w:pPr>
            <w:r>
              <w:rPr>
                <w:rFonts w:ascii="Arial" w:eastAsia="Calibri" w:hAnsi="Arial" w:cs="Arial"/>
                <w:sz w:val="16"/>
                <w:szCs w:val="16"/>
              </w:rPr>
              <w:t>ADHD</w:t>
            </w:r>
          </w:p>
        </w:tc>
        <w:tc>
          <w:tcPr>
            <w:tcW w:w="1389" w:type="dxa"/>
            <w:tcBorders>
              <w:top w:val="nil"/>
              <w:bottom w:val="nil"/>
            </w:tcBorders>
            <w:shd w:val="clear" w:color="auto" w:fill="auto"/>
            <w:vAlign w:val="center"/>
          </w:tcPr>
          <w:p w14:paraId="0ECC97DE" w14:textId="77777777" w:rsidR="00550B4F" w:rsidRPr="00FD2EA4" w:rsidRDefault="00550B4F" w:rsidP="00EF7404">
            <w:pPr>
              <w:jc w:val="center"/>
              <w:rPr>
                <w:rFonts w:ascii="Arial" w:eastAsia="Calibri" w:hAnsi="Arial" w:cs="Arial"/>
                <w:sz w:val="16"/>
                <w:szCs w:val="16"/>
              </w:rPr>
            </w:pPr>
            <w:r>
              <w:rPr>
                <w:rFonts w:ascii="Arial" w:eastAsia="Calibri" w:hAnsi="Arial" w:cs="Arial"/>
                <w:sz w:val="16"/>
                <w:szCs w:val="16"/>
              </w:rPr>
              <w:t>8.46</w:t>
            </w:r>
          </w:p>
        </w:tc>
        <w:tc>
          <w:tcPr>
            <w:tcW w:w="1231" w:type="dxa"/>
            <w:tcBorders>
              <w:top w:val="nil"/>
              <w:bottom w:val="nil"/>
            </w:tcBorders>
            <w:shd w:val="clear" w:color="auto" w:fill="auto"/>
            <w:vAlign w:val="center"/>
          </w:tcPr>
          <w:p w14:paraId="59EAD9DE" w14:textId="77777777" w:rsidR="00550B4F" w:rsidRPr="00FD2EA4" w:rsidRDefault="00550B4F" w:rsidP="00EF7404">
            <w:pPr>
              <w:jc w:val="center"/>
              <w:rPr>
                <w:rFonts w:ascii="Arial" w:eastAsia="Calibri" w:hAnsi="Arial" w:cs="Arial"/>
                <w:sz w:val="16"/>
                <w:szCs w:val="16"/>
              </w:rPr>
            </w:pPr>
            <w:r>
              <w:rPr>
                <w:rFonts w:ascii="Arial" w:eastAsia="Calibri" w:hAnsi="Arial" w:cs="Arial"/>
                <w:sz w:val="16"/>
                <w:szCs w:val="16"/>
              </w:rPr>
              <w:t>.148</w:t>
            </w:r>
          </w:p>
        </w:tc>
        <w:tc>
          <w:tcPr>
            <w:tcW w:w="1761" w:type="dxa"/>
            <w:tcBorders>
              <w:top w:val="nil"/>
              <w:bottom w:val="nil"/>
            </w:tcBorders>
            <w:shd w:val="clear" w:color="auto" w:fill="auto"/>
            <w:vAlign w:val="center"/>
          </w:tcPr>
          <w:p w14:paraId="21B4F8A9" w14:textId="77777777" w:rsidR="00550B4F" w:rsidRPr="00FD2EA4" w:rsidRDefault="00550B4F" w:rsidP="00EF7404">
            <w:pPr>
              <w:jc w:val="center"/>
              <w:rPr>
                <w:rFonts w:ascii="Arial" w:eastAsia="Calibri" w:hAnsi="Arial" w:cs="Arial"/>
                <w:sz w:val="16"/>
                <w:szCs w:val="16"/>
              </w:rPr>
            </w:pPr>
            <w:r>
              <w:rPr>
                <w:rFonts w:ascii="Arial" w:eastAsia="Calibri" w:hAnsi="Arial" w:cs="Arial"/>
                <w:sz w:val="16"/>
                <w:szCs w:val="16"/>
              </w:rPr>
              <w:t>.001</w:t>
            </w:r>
          </w:p>
        </w:tc>
      </w:tr>
      <w:tr w:rsidR="00550B4F" w:rsidRPr="00FD2EA4" w14:paraId="44DD2A1C" w14:textId="77777777" w:rsidTr="00EF7404">
        <w:trPr>
          <w:trHeight w:val="618"/>
        </w:trPr>
        <w:tc>
          <w:tcPr>
            <w:tcW w:w="2860" w:type="dxa"/>
            <w:tcBorders>
              <w:top w:val="nil"/>
            </w:tcBorders>
            <w:shd w:val="clear" w:color="auto" w:fill="auto"/>
            <w:vAlign w:val="center"/>
          </w:tcPr>
          <w:p w14:paraId="38E88D7A" w14:textId="77777777" w:rsidR="00550B4F" w:rsidRPr="0061403E" w:rsidRDefault="00550B4F" w:rsidP="00EF7404">
            <w:pPr>
              <w:rPr>
                <w:rFonts w:ascii="Arial" w:eastAsia="Calibri" w:hAnsi="Arial" w:cs="Arial"/>
                <w:i/>
                <w:iCs/>
                <w:sz w:val="16"/>
                <w:szCs w:val="16"/>
              </w:rPr>
            </w:pPr>
            <w:r>
              <w:rPr>
                <w:rFonts w:ascii="Arial" w:eastAsia="Calibri" w:hAnsi="Arial" w:cs="Arial"/>
                <w:i/>
                <w:iCs/>
                <w:sz w:val="16"/>
                <w:szCs w:val="16"/>
              </w:rPr>
              <w:t>R</w:t>
            </w:r>
            <w:r w:rsidRPr="0061403E">
              <w:rPr>
                <w:rFonts w:ascii="Arial" w:eastAsia="Calibri" w:hAnsi="Arial" w:cs="Arial"/>
                <w:i/>
                <w:iCs/>
                <w:sz w:val="16"/>
                <w:szCs w:val="16"/>
                <w:vertAlign w:val="superscript"/>
              </w:rPr>
              <w:t>2</w:t>
            </w:r>
          </w:p>
        </w:tc>
        <w:tc>
          <w:tcPr>
            <w:tcW w:w="1389" w:type="dxa"/>
            <w:tcBorders>
              <w:top w:val="nil"/>
            </w:tcBorders>
            <w:shd w:val="clear" w:color="auto" w:fill="auto"/>
            <w:vAlign w:val="center"/>
          </w:tcPr>
          <w:p w14:paraId="4C884308" w14:textId="77777777" w:rsidR="00550B4F" w:rsidRPr="00FD2EA4" w:rsidRDefault="00550B4F" w:rsidP="00EF7404">
            <w:pPr>
              <w:jc w:val="center"/>
              <w:rPr>
                <w:rFonts w:ascii="Arial" w:eastAsia="Calibri" w:hAnsi="Arial" w:cs="Arial"/>
                <w:sz w:val="16"/>
                <w:szCs w:val="16"/>
              </w:rPr>
            </w:pPr>
          </w:p>
        </w:tc>
        <w:tc>
          <w:tcPr>
            <w:tcW w:w="1231" w:type="dxa"/>
            <w:tcBorders>
              <w:top w:val="nil"/>
            </w:tcBorders>
            <w:shd w:val="clear" w:color="auto" w:fill="auto"/>
            <w:vAlign w:val="center"/>
          </w:tcPr>
          <w:p w14:paraId="22806F36" w14:textId="77777777" w:rsidR="00550B4F" w:rsidRPr="00FD2EA4" w:rsidRDefault="00550B4F" w:rsidP="00EF7404">
            <w:pPr>
              <w:jc w:val="center"/>
              <w:rPr>
                <w:rFonts w:ascii="Arial" w:eastAsia="Calibri" w:hAnsi="Arial" w:cs="Arial"/>
                <w:sz w:val="16"/>
                <w:szCs w:val="16"/>
              </w:rPr>
            </w:pPr>
          </w:p>
        </w:tc>
        <w:tc>
          <w:tcPr>
            <w:tcW w:w="1761" w:type="dxa"/>
            <w:tcBorders>
              <w:top w:val="nil"/>
            </w:tcBorders>
            <w:shd w:val="clear" w:color="auto" w:fill="auto"/>
            <w:vAlign w:val="center"/>
          </w:tcPr>
          <w:p w14:paraId="34373446" w14:textId="77777777" w:rsidR="00550B4F" w:rsidRPr="00FD2EA4" w:rsidRDefault="00550B4F" w:rsidP="00EF7404">
            <w:pPr>
              <w:jc w:val="center"/>
              <w:rPr>
                <w:rFonts w:ascii="Arial" w:eastAsia="Calibri" w:hAnsi="Arial" w:cs="Arial"/>
                <w:sz w:val="16"/>
                <w:szCs w:val="16"/>
              </w:rPr>
            </w:pPr>
            <w:r>
              <w:rPr>
                <w:rFonts w:ascii="Arial" w:eastAsia="Calibri" w:hAnsi="Arial" w:cs="Arial"/>
                <w:sz w:val="16"/>
                <w:szCs w:val="16"/>
              </w:rPr>
              <w:t>.041**</w:t>
            </w:r>
          </w:p>
        </w:tc>
      </w:tr>
    </w:tbl>
    <w:p w14:paraId="73A5555A" w14:textId="77777777" w:rsidR="00550B4F" w:rsidRDefault="00550B4F" w:rsidP="00550B4F">
      <w:pPr>
        <w:rPr>
          <w:rFonts w:ascii="Arial" w:hAnsi="Arial" w:cs="Arial"/>
          <w:i/>
          <w:iCs/>
          <w:sz w:val="16"/>
          <w:szCs w:val="16"/>
        </w:rPr>
      </w:pPr>
    </w:p>
    <w:p w14:paraId="28C84E17" w14:textId="77777777" w:rsidR="00550B4F" w:rsidRDefault="00550B4F" w:rsidP="00550B4F">
      <w:pPr>
        <w:rPr>
          <w:rFonts w:ascii="Arial" w:hAnsi="Arial" w:cs="Arial"/>
          <w:sz w:val="16"/>
          <w:szCs w:val="16"/>
        </w:rPr>
      </w:pPr>
      <w:r w:rsidRPr="00FD2EA4">
        <w:rPr>
          <w:rFonts w:ascii="Arial" w:hAnsi="Arial" w:cs="Arial"/>
          <w:i/>
          <w:iCs/>
          <w:sz w:val="16"/>
          <w:szCs w:val="16"/>
        </w:rPr>
        <w:t>Note</w:t>
      </w:r>
      <w:r>
        <w:rPr>
          <w:rFonts w:ascii="Arial" w:hAnsi="Arial" w:cs="Arial"/>
          <w:sz w:val="16"/>
          <w:szCs w:val="16"/>
        </w:rPr>
        <w:t xml:space="preserve">. </w:t>
      </w:r>
      <w:r w:rsidRPr="00DB01A5">
        <w:rPr>
          <w:rFonts w:ascii="Arial" w:hAnsi="Arial" w:cs="Arial"/>
          <w:i/>
          <w:iCs/>
          <w:sz w:val="16"/>
          <w:szCs w:val="16"/>
        </w:rPr>
        <w:t>B</w:t>
      </w:r>
      <w:r w:rsidRPr="00DB01A5">
        <w:rPr>
          <w:rFonts w:ascii="Arial" w:hAnsi="Arial" w:cs="Arial"/>
          <w:sz w:val="16"/>
          <w:szCs w:val="16"/>
        </w:rPr>
        <w:t xml:space="preserve"> indicates unstandardized coefficients. β indicates standardized (beta) coefficients. *p &lt; .05. **p &lt; .01.</w:t>
      </w:r>
    </w:p>
    <w:p w14:paraId="27688D84" w14:textId="77777777" w:rsidR="00550B4F" w:rsidRDefault="00550B4F" w:rsidP="00550B4F">
      <w:pPr>
        <w:rPr>
          <w:rFonts w:ascii="Arial" w:hAnsi="Arial" w:cs="Arial"/>
          <w:sz w:val="16"/>
          <w:szCs w:val="16"/>
        </w:rPr>
      </w:pPr>
    </w:p>
    <w:p w14:paraId="7109CD87" w14:textId="77777777" w:rsidR="00550B4F" w:rsidRDefault="00550B4F" w:rsidP="00550B4F">
      <w:pPr>
        <w:spacing w:line="480" w:lineRule="auto"/>
        <w:jc w:val="both"/>
        <w:rPr>
          <w:rFonts w:ascii="Arial" w:hAnsi="Arial" w:cs="Arial"/>
          <w:b/>
          <w:bCs/>
          <w:sz w:val="16"/>
          <w:szCs w:val="16"/>
        </w:rPr>
      </w:pPr>
    </w:p>
    <w:p w14:paraId="52DEFEB0" w14:textId="39A9CEDB" w:rsidR="00550B4F" w:rsidRPr="009720FC" w:rsidRDefault="00550B4F" w:rsidP="00550B4F">
      <w:pPr>
        <w:spacing w:line="480" w:lineRule="auto"/>
        <w:jc w:val="both"/>
        <w:rPr>
          <w:rFonts w:ascii="Arial" w:hAnsi="Arial" w:cs="Arial"/>
          <w:b/>
          <w:bCs/>
          <w:sz w:val="16"/>
          <w:szCs w:val="16"/>
        </w:rPr>
      </w:pPr>
      <w:r w:rsidRPr="00FD2EA4">
        <w:rPr>
          <w:rFonts w:ascii="Arial" w:hAnsi="Arial" w:cs="Arial"/>
          <w:b/>
          <w:bCs/>
          <w:sz w:val="16"/>
          <w:szCs w:val="16"/>
        </w:rPr>
        <w:t xml:space="preserve">Table </w:t>
      </w:r>
      <w:r>
        <w:rPr>
          <w:rFonts w:ascii="Arial" w:hAnsi="Arial" w:cs="Arial"/>
          <w:b/>
          <w:bCs/>
          <w:sz w:val="16"/>
          <w:szCs w:val="16"/>
        </w:rPr>
        <w:t>3S</w:t>
      </w:r>
    </w:p>
    <w:p w14:paraId="4FDD858C" w14:textId="7F493966" w:rsidR="00550B4F" w:rsidRPr="00FD2EA4" w:rsidRDefault="00550B4F" w:rsidP="00550B4F">
      <w:pPr>
        <w:spacing w:line="480" w:lineRule="auto"/>
        <w:jc w:val="both"/>
        <w:rPr>
          <w:rFonts w:ascii="Arial" w:hAnsi="Arial" w:cs="Arial"/>
          <w:sz w:val="16"/>
          <w:szCs w:val="16"/>
        </w:rPr>
      </w:pPr>
      <w:r>
        <w:rPr>
          <w:rFonts w:ascii="Arial" w:hAnsi="Arial" w:cs="Arial"/>
          <w:i/>
          <w:iCs/>
          <w:sz w:val="16"/>
          <w:szCs w:val="16"/>
        </w:rPr>
        <w:t>Regression results predicting psychiatric service use with ADHD</w:t>
      </w:r>
    </w:p>
    <w:tbl>
      <w:tblPr>
        <w:tblW w:w="7241" w:type="dxa"/>
        <w:tblBorders>
          <w:top w:val="single" w:sz="4" w:space="0" w:color="auto"/>
          <w:bottom w:val="single" w:sz="4" w:space="0" w:color="auto"/>
        </w:tblBorders>
        <w:tblLook w:val="04A0" w:firstRow="1" w:lastRow="0" w:firstColumn="1" w:lastColumn="0" w:noHBand="0" w:noVBand="1"/>
      </w:tblPr>
      <w:tblGrid>
        <w:gridCol w:w="2860"/>
        <w:gridCol w:w="1389"/>
        <w:gridCol w:w="1231"/>
        <w:gridCol w:w="1761"/>
      </w:tblGrid>
      <w:tr w:rsidR="00550B4F" w:rsidRPr="00FD2EA4" w14:paraId="206A8B55" w14:textId="77777777" w:rsidTr="00EF7404">
        <w:trPr>
          <w:trHeight w:val="787"/>
        </w:trPr>
        <w:tc>
          <w:tcPr>
            <w:tcW w:w="2860" w:type="dxa"/>
            <w:tcBorders>
              <w:bottom w:val="single" w:sz="4" w:space="0" w:color="auto"/>
            </w:tcBorders>
            <w:shd w:val="clear" w:color="auto" w:fill="auto"/>
            <w:vAlign w:val="center"/>
          </w:tcPr>
          <w:p w14:paraId="00591D03" w14:textId="77777777" w:rsidR="00550B4F" w:rsidRPr="00FD2EA4" w:rsidRDefault="00550B4F" w:rsidP="00EF7404">
            <w:pPr>
              <w:rPr>
                <w:rFonts w:ascii="Arial" w:eastAsia="Calibri" w:hAnsi="Arial" w:cs="Arial"/>
                <w:sz w:val="16"/>
                <w:szCs w:val="16"/>
              </w:rPr>
            </w:pPr>
          </w:p>
        </w:tc>
        <w:tc>
          <w:tcPr>
            <w:tcW w:w="1389" w:type="dxa"/>
            <w:tcBorders>
              <w:bottom w:val="single" w:sz="4" w:space="0" w:color="auto"/>
            </w:tcBorders>
            <w:shd w:val="clear" w:color="auto" w:fill="auto"/>
            <w:vAlign w:val="center"/>
          </w:tcPr>
          <w:p w14:paraId="75BAA4B3" w14:textId="77777777" w:rsidR="00550B4F" w:rsidRPr="00FD2EA4" w:rsidRDefault="00550B4F" w:rsidP="00EF7404">
            <w:pPr>
              <w:jc w:val="center"/>
              <w:rPr>
                <w:rFonts w:ascii="Arial" w:eastAsia="Calibri" w:hAnsi="Arial" w:cs="Arial"/>
                <w:sz w:val="16"/>
                <w:szCs w:val="16"/>
              </w:rPr>
            </w:pPr>
            <w:r w:rsidRPr="00DB01A5">
              <w:rPr>
                <w:rFonts w:ascii="Arial" w:hAnsi="Arial" w:cs="Arial"/>
                <w:i/>
                <w:iCs/>
                <w:sz w:val="16"/>
                <w:szCs w:val="16"/>
              </w:rPr>
              <w:t>B</w:t>
            </w:r>
          </w:p>
        </w:tc>
        <w:tc>
          <w:tcPr>
            <w:tcW w:w="1231" w:type="dxa"/>
            <w:tcBorders>
              <w:bottom w:val="single" w:sz="4" w:space="0" w:color="auto"/>
            </w:tcBorders>
            <w:shd w:val="clear" w:color="auto" w:fill="auto"/>
            <w:vAlign w:val="center"/>
          </w:tcPr>
          <w:p w14:paraId="144D521B" w14:textId="77777777" w:rsidR="00550B4F" w:rsidRPr="00FD2EA4" w:rsidRDefault="00550B4F" w:rsidP="00EF7404">
            <w:pPr>
              <w:jc w:val="center"/>
              <w:rPr>
                <w:rFonts w:ascii="Arial" w:eastAsia="Calibri" w:hAnsi="Arial" w:cs="Arial"/>
                <w:sz w:val="16"/>
                <w:szCs w:val="16"/>
              </w:rPr>
            </w:pPr>
            <w:r w:rsidRPr="00DB01A5">
              <w:rPr>
                <w:rFonts w:ascii="Arial" w:hAnsi="Arial" w:cs="Arial"/>
                <w:sz w:val="16"/>
                <w:szCs w:val="16"/>
              </w:rPr>
              <w:t>β</w:t>
            </w:r>
          </w:p>
        </w:tc>
        <w:tc>
          <w:tcPr>
            <w:tcW w:w="1761" w:type="dxa"/>
            <w:tcBorders>
              <w:bottom w:val="single" w:sz="4" w:space="0" w:color="auto"/>
            </w:tcBorders>
            <w:shd w:val="clear" w:color="auto" w:fill="auto"/>
            <w:vAlign w:val="center"/>
          </w:tcPr>
          <w:p w14:paraId="755386E2" w14:textId="77777777" w:rsidR="00550B4F" w:rsidRPr="00314AC5" w:rsidRDefault="00550B4F" w:rsidP="00EF7404">
            <w:pPr>
              <w:jc w:val="center"/>
              <w:rPr>
                <w:rFonts w:ascii="Arial" w:eastAsia="Calibri" w:hAnsi="Arial" w:cs="Arial"/>
                <w:i/>
                <w:iCs/>
                <w:sz w:val="16"/>
                <w:szCs w:val="16"/>
              </w:rPr>
            </w:pPr>
            <w:r w:rsidRPr="00314AC5">
              <w:rPr>
                <w:rFonts w:ascii="Arial" w:eastAsia="Calibri" w:hAnsi="Arial" w:cs="Arial"/>
                <w:i/>
                <w:iCs/>
                <w:sz w:val="16"/>
                <w:szCs w:val="16"/>
              </w:rPr>
              <w:t>p</w:t>
            </w:r>
          </w:p>
        </w:tc>
      </w:tr>
      <w:tr w:rsidR="00550B4F" w:rsidRPr="00FD2EA4" w14:paraId="1CDBBB6F" w14:textId="77777777" w:rsidTr="00EF7404">
        <w:trPr>
          <w:trHeight w:val="623"/>
        </w:trPr>
        <w:tc>
          <w:tcPr>
            <w:tcW w:w="2860" w:type="dxa"/>
            <w:tcBorders>
              <w:top w:val="single" w:sz="4" w:space="0" w:color="auto"/>
              <w:bottom w:val="nil"/>
            </w:tcBorders>
            <w:shd w:val="clear" w:color="auto" w:fill="auto"/>
            <w:vAlign w:val="center"/>
          </w:tcPr>
          <w:p w14:paraId="326FFFB1" w14:textId="77777777" w:rsidR="00550B4F" w:rsidRPr="00FD2EA4" w:rsidRDefault="00550B4F" w:rsidP="00EF7404">
            <w:pPr>
              <w:rPr>
                <w:rFonts w:ascii="Arial" w:eastAsia="Calibri" w:hAnsi="Arial" w:cs="Arial"/>
                <w:sz w:val="16"/>
                <w:szCs w:val="16"/>
              </w:rPr>
            </w:pPr>
            <w:r w:rsidRPr="00FD2EA4">
              <w:rPr>
                <w:rFonts w:ascii="Arial" w:eastAsia="Calibri" w:hAnsi="Arial" w:cs="Arial"/>
                <w:sz w:val="16"/>
                <w:szCs w:val="16"/>
              </w:rPr>
              <w:t>Conduct problems</w:t>
            </w:r>
          </w:p>
        </w:tc>
        <w:tc>
          <w:tcPr>
            <w:tcW w:w="1389" w:type="dxa"/>
            <w:tcBorders>
              <w:top w:val="single" w:sz="4" w:space="0" w:color="auto"/>
              <w:bottom w:val="nil"/>
            </w:tcBorders>
            <w:shd w:val="clear" w:color="auto" w:fill="auto"/>
            <w:vAlign w:val="center"/>
          </w:tcPr>
          <w:p w14:paraId="0DB0EB8A" w14:textId="77777777" w:rsidR="00550B4F" w:rsidRPr="00FD2EA4" w:rsidRDefault="00550B4F" w:rsidP="00EF7404">
            <w:pPr>
              <w:jc w:val="center"/>
              <w:rPr>
                <w:rFonts w:ascii="Arial" w:eastAsia="Calibri" w:hAnsi="Arial" w:cs="Arial"/>
                <w:sz w:val="16"/>
                <w:szCs w:val="16"/>
              </w:rPr>
            </w:pPr>
            <w:r>
              <w:rPr>
                <w:rFonts w:ascii="Arial" w:eastAsia="Calibri" w:hAnsi="Arial" w:cs="Arial"/>
                <w:sz w:val="16"/>
                <w:szCs w:val="16"/>
              </w:rPr>
              <w:t>1.81</w:t>
            </w:r>
          </w:p>
        </w:tc>
        <w:tc>
          <w:tcPr>
            <w:tcW w:w="1231" w:type="dxa"/>
            <w:tcBorders>
              <w:top w:val="single" w:sz="4" w:space="0" w:color="auto"/>
              <w:bottom w:val="nil"/>
            </w:tcBorders>
            <w:shd w:val="clear" w:color="auto" w:fill="auto"/>
            <w:vAlign w:val="center"/>
          </w:tcPr>
          <w:p w14:paraId="5748D67D" w14:textId="77777777" w:rsidR="00550B4F" w:rsidRPr="00FD2EA4" w:rsidRDefault="00550B4F" w:rsidP="00EF7404">
            <w:pPr>
              <w:jc w:val="center"/>
              <w:rPr>
                <w:rFonts w:ascii="Arial" w:eastAsia="Calibri" w:hAnsi="Arial" w:cs="Arial"/>
                <w:sz w:val="16"/>
                <w:szCs w:val="16"/>
              </w:rPr>
            </w:pPr>
            <w:r>
              <w:rPr>
                <w:rFonts w:ascii="Arial" w:eastAsia="Calibri" w:hAnsi="Arial" w:cs="Arial"/>
                <w:sz w:val="16"/>
                <w:szCs w:val="16"/>
              </w:rPr>
              <w:t>.201</w:t>
            </w:r>
          </w:p>
        </w:tc>
        <w:tc>
          <w:tcPr>
            <w:tcW w:w="1761" w:type="dxa"/>
            <w:tcBorders>
              <w:top w:val="single" w:sz="4" w:space="0" w:color="auto"/>
              <w:bottom w:val="nil"/>
            </w:tcBorders>
            <w:shd w:val="clear" w:color="auto" w:fill="auto"/>
            <w:vAlign w:val="center"/>
          </w:tcPr>
          <w:p w14:paraId="20594C95" w14:textId="77777777" w:rsidR="00550B4F" w:rsidRPr="00FD2EA4" w:rsidRDefault="00550B4F" w:rsidP="00EF7404">
            <w:pPr>
              <w:jc w:val="center"/>
              <w:rPr>
                <w:rFonts w:ascii="Arial" w:eastAsia="Calibri" w:hAnsi="Arial" w:cs="Arial"/>
                <w:sz w:val="16"/>
                <w:szCs w:val="16"/>
              </w:rPr>
            </w:pPr>
            <w:r>
              <w:rPr>
                <w:rFonts w:ascii="Arial" w:eastAsia="Calibri" w:hAnsi="Arial" w:cs="Arial"/>
                <w:sz w:val="16"/>
                <w:szCs w:val="16"/>
              </w:rPr>
              <w:t>&lt; .001</w:t>
            </w:r>
          </w:p>
        </w:tc>
      </w:tr>
      <w:tr w:rsidR="00550B4F" w:rsidRPr="00FD2EA4" w14:paraId="5E395BBF" w14:textId="77777777" w:rsidTr="00EF7404">
        <w:trPr>
          <w:trHeight w:val="618"/>
        </w:trPr>
        <w:tc>
          <w:tcPr>
            <w:tcW w:w="2860" w:type="dxa"/>
            <w:tcBorders>
              <w:top w:val="nil"/>
              <w:bottom w:val="nil"/>
            </w:tcBorders>
            <w:shd w:val="clear" w:color="auto" w:fill="auto"/>
            <w:vAlign w:val="center"/>
          </w:tcPr>
          <w:p w14:paraId="34B259DB" w14:textId="77777777" w:rsidR="00550B4F" w:rsidRPr="00FD2EA4" w:rsidRDefault="00550B4F" w:rsidP="00EF7404">
            <w:pPr>
              <w:rPr>
                <w:rFonts w:ascii="Arial" w:eastAsia="Calibri" w:hAnsi="Arial" w:cs="Arial"/>
                <w:sz w:val="16"/>
                <w:szCs w:val="16"/>
              </w:rPr>
            </w:pPr>
            <w:r>
              <w:rPr>
                <w:rFonts w:ascii="Arial" w:eastAsia="Calibri" w:hAnsi="Arial" w:cs="Arial"/>
                <w:sz w:val="16"/>
                <w:szCs w:val="16"/>
              </w:rPr>
              <w:t>ADHD</w:t>
            </w:r>
          </w:p>
        </w:tc>
        <w:tc>
          <w:tcPr>
            <w:tcW w:w="1389" w:type="dxa"/>
            <w:tcBorders>
              <w:top w:val="nil"/>
              <w:bottom w:val="nil"/>
            </w:tcBorders>
            <w:shd w:val="clear" w:color="auto" w:fill="auto"/>
            <w:vAlign w:val="center"/>
          </w:tcPr>
          <w:p w14:paraId="392DF9CE" w14:textId="77777777" w:rsidR="00550B4F" w:rsidRPr="00FD2EA4" w:rsidRDefault="00550B4F" w:rsidP="00EF7404">
            <w:pPr>
              <w:jc w:val="center"/>
              <w:rPr>
                <w:rFonts w:ascii="Arial" w:eastAsia="Calibri" w:hAnsi="Arial" w:cs="Arial"/>
                <w:sz w:val="16"/>
                <w:szCs w:val="16"/>
              </w:rPr>
            </w:pPr>
            <w:r>
              <w:rPr>
                <w:rFonts w:ascii="Arial" w:eastAsia="Calibri" w:hAnsi="Arial" w:cs="Arial"/>
                <w:sz w:val="16"/>
                <w:szCs w:val="16"/>
              </w:rPr>
              <w:t>1.10</w:t>
            </w:r>
          </w:p>
        </w:tc>
        <w:tc>
          <w:tcPr>
            <w:tcW w:w="1231" w:type="dxa"/>
            <w:tcBorders>
              <w:top w:val="nil"/>
              <w:bottom w:val="nil"/>
            </w:tcBorders>
            <w:shd w:val="clear" w:color="auto" w:fill="auto"/>
            <w:vAlign w:val="center"/>
          </w:tcPr>
          <w:p w14:paraId="33D5261C" w14:textId="77777777" w:rsidR="00550B4F" w:rsidRPr="00FD2EA4" w:rsidRDefault="00550B4F" w:rsidP="00EF7404">
            <w:pPr>
              <w:jc w:val="center"/>
              <w:rPr>
                <w:rFonts w:ascii="Arial" w:eastAsia="Calibri" w:hAnsi="Arial" w:cs="Arial"/>
                <w:sz w:val="16"/>
                <w:szCs w:val="16"/>
              </w:rPr>
            </w:pPr>
            <w:r>
              <w:rPr>
                <w:rFonts w:ascii="Arial" w:eastAsia="Calibri" w:hAnsi="Arial" w:cs="Arial"/>
                <w:sz w:val="16"/>
                <w:szCs w:val="16"/>
              </w:rPr>
              <w:t>.099</w:t>
            </w:r>
          </w:p>
        </w:tc>
        <w:tc>
          <w:tcPr>
            <w:tcW w:w="1761" w:type="dxa"/>
            <w:tcBorders>
              <w:top w:val="nil"/>
              <w:bottom w:val="nil"/>
            </w:tcBorders>
            <w:shd w:val="clear" w:color="auto" w:fill="auto"/>
            <w:vAlign w:val="center"/>
          </w:tcPr>
          <w:p w14:paraId="1323C496" w14:textId="77777777" w:rsidR="00550B4F" w:rsidRPr="00FD2EA4" w:rsidRDefault="00550B4F" w:rsidP="00EF7404">
            <w:pPr>
              <w:jc w:val="center"/>
              <w:rPr>
                <w:rFonts w:ascii="Arial" w:eastAsia="Calibri" w:hAnsi="Arial" w:cs="Arial"/>
                <w:sz w:val="16"/>
                <w:szCs w:val="16"/>
              </w:rPr>
            </w:pPr>
            <w:r>
              <w:rPr>
                <w:rFonts w:ascii="Arial" w:eastAsia="Calibri" w:hAnsi="Arial" w:cs="Arial"/>
                <w:sz w:val="16"/>
                <w:szCs w:val="16"/>
              </w:rPr>
              <w:t>.029</w:t>
            </w:r>
          </w:p>
        </w:tc>
      </w:tr>
      <w:tr w:rsidR="00550B4F" w:rsidRPr="00FD2EA4" w14:paraId="51D6165D" w14:textId="77777777" w:rsidTr="00EF7404">
        <w:trPr>
          <w:trHeight w:val="618"/>
        </w:trPr>
        <w:tc>
          <w:tcPr>
            <w:tcW w:w="2860" w:type="dxa"/>
            <w:tcBorders>
              <w:top w:val="nil"/>
            </w:tcBorders>
            <w:shd w:val="clear" w:color="auto" w:fill="auto"/>
            <w:vAlign w:val="center"/>
          </w:tcPr>
          <w:p w14:paraId="5981A380" w14:textId="77777777" w:rsidR="00550B4F" w:rsidRPr="0061403E" w:rsidRDefault="00550B4F" w:rsidP="00EF7404">
            <w:pPr>
              <w:rPr>
                <w:rFonts w:ascii="Arial" w:eastAsia="Calibri" w:hAnsi="Arial" w:cs="Arial"/>
                <w:i/>
                <w:iCs/>
                <w:sz w:val="16"/>
                <w:szCs w:val="16"/>
              </w:rPr>
            </w:pPr>
            <w:r>
              <w:rPr>
                <w:rFonts w:ascii="Arial" w:eastAsia="Calibri" w:hAnsi="Arial" w:cs="Arial"/>
                <w:i/>
                <w:iCs/>
                <w:sz w:val="16"/>
                <w:szCs w:val="16"/>
              </w:rPr>
              <w:t>R</w:t>
            </w:r>
            <w:r w:rsidRPr="0061403E">
              <w:rPr>
                <w:rFonts w:ascii="Arial" w:eastAsia="Calibri" w:hAnsi="Arial" w:cs="Arial"/>
                <w:i/>
                <w:iCs/>
                <w:sz w:val="16"/>
                <w:szCs w:val="16"/>
                <w:vertAlign w:val="superscript"/>
              </w:rPr>
              <w:t>2</w:t>
            </w:r>
          </w:p>
        </w:tc>
        <w:tc>
          <w:tcPr>
            <w:tcW w:w="1389" w:type="dxa"/>
            <w:tcBorders>
              <w:top w:val="nil"/>
            </w:tcBorders>
            <w:shd w:val="clear" w:color="auto" w:fill="auto"/>
            <w:vAlign w:val="center"/>
          </w:tcPr>
          <w:p w14:paraId="5D6A3BAB" w14:textId="77777777" w:rsidR="00550B4F" w:rsidRPr="00FD2EA4" w:rsidRDefault="00550B4F" w:rsidP="00EF7404">
            <w:pPr>
              <w:jc w:val="center"/>
              <w:rPr>
                <w:rFonts w:ascii="Arial" w:eastAsia="Calibri" w:hAnsi="Arial" w:cs="Arial"/>
                <w:sz w:val="16"/>
                <w:szCs w:val="16"/>
              </w:rPr>
            </w:pPr>
          </w:p>
        </w:tc>
        <w:tc>
          <w:tcPr>
            <w:tcW w:w="1231" w:type="dxa"/>
            <w:tcBorders>
              <w:top w:val="nil"/>
            </w:tcBorders>
            <w:shd w:val="clear" w:color="auto" w:fill="auto"/>
            <w:vAlign w:val="center"/>
          </w:tcPr>
          <w:p w14:paraId="4F7FE49D" w14:textId="77777777" w:rsidR="00550B4F" w:rsidRPr="00FD2EA4" w:rsidRDefault="00550B4F" w:rsidP="00EF7404">
            <w:pPr>
              <w:jc w:val="center"/>
              <w:rPr>
                <w:rFonts w:ascii="Arial" w:eastAsia="Calibri" w:hAnsi="Arial" w:cs="Arial"/>
                <w:sz w:val="16"/>
                <w:szCs w:val="16"/>
              </w:rPr>
            </w:pPr>
          </w:p>
        </w:tc>
        <w:tc>
          <w:tcPr>
            <w:tcW w:w="1761" w:type="dxa"/>
            <w:tcBorders>
              <w:top w:val="nil"/>
            </w:tcBorders>
            <w:shd w:val="clear" w:color="auto" w:fill="auto"/>
            <w:vAlign w:val="center"/>
          </w:tcPr>
          <w:p w14:paraId="78723E89" w14:textId="77777777" w:rsidR="00550B4F" w:rsidRPr="00FD2EA4" w:rsidRDefault="00550B4F" w:rsidP="00EF7404">
            <w:pPr>
              <w:jc w:val="center"/>
              <w:rPr>
                <w:rFonts w:ascii="Arial" w:eastAsia="Calibri" w:hAnsi="Arial" w:cs="Arial"/>
                <w:sz w:val="16"/>
                <w:szCs w:val="16"/>
              </w:rPr>
            </w:pPr>
            <w:r>
              <w:rPr>
                <w:rFonts w:ascii="Arial" w:eastAsia="Calibri" w:hAnsi="Arial" w:cs="Arial"/>
                <w:sz w:val="16"/>
                <w:szCs w:val="16"/>
              </w:rPr>
              <w:t>.065**</w:t>
            </w:r>
          </w:p>
        </w:tc>
      </w:tr>
    </w:tbl>
    <w:p w14:paraId="1D24CCB9" w14:textId="77777777" w:rsidR="00550B4F" w:rsidRDefault="00550B4F" w:rsidP="00550B4F">
      <w:pPr>
        <w:rPr>
          <w:rFonts w:ascii="Arial" w:hAnsi="Arial" w:cs="Arial"/>
          <w:i/>
          <w:iCs/>
          <w:sz w:val="16"/>
          <w:szCs w:val="16"/>
        </w:rPr>
      </w:pPr>
    </w:p>
    <w:p w14:paraId="76552DC1" w14:textId="4B9145B4" w:rsidR="00717BBB" w:rsidRDefault="00550B4F" w:rsidP="00550B4F">
      <w:pPr>
        <w:rPr>
          <w:rFonts w:ascii="Arial" w:hAnsi="Arial" w:cs="Arial"/>
          <w:sz w:val="16"/>
          <w:szCs w:val="16"/>
        </w:rPr>
      </w:pPr>
      <w:r w:rsidRPr="00FD2EA4">
        <w:rPr>
          <w:rFonts w:ascii="Arial" w:hAnsi="Arial" w:cs="Arial"/>
          <w:i/>
          <w:iCs/>
          <w:sz w:val="16"/>
          <w:szCs w:val="16"/>
        </w:rPr>
        <w:t>Note</w:t>
      </w:r>
      <w:r w:rsidRPr="00FD2EA4">
        <w:rPr>
          <w:rFonts w:ascii="Arial" w:hAnsi="Arial" w:cs="Arial"/>
          <w:sz w:val="16"/>
          <w:szCs w:val="16"/>
        </w:rPr>
        <w:t xml:space="preserve">. </w:t>
      </w:r>
      <w:r w:rsidRPr="00DB01A5">
        <w:rPr>
          <w:rFonts w:ascii="Arial" w:hAnsi="Arial" w:cs="Arial"/>
          <w:i/>
          <w:iCs/>
          <w:sz w:val="16"/>
          <w:szCs w:val="16"/>
        </w:rPr>
        <w:t>B</w:t>
      </w:r>
      <w:r w:rsidRPr="00DB01A5">
        <w:rPr>
          <w:rFonts w:ascii="Arial" w:hAnsi="Arial" w:cs="Arial"/>
          <w:sz w:val="16"/>
          <w:szCs w:val="16"/>
        </w:rPr>
        <w:t xml:space="preserve"> indicates unstandardized coefficients. β indicates standardized (beta) coefficients. *p &lt; .05. **p &lt; .01.</w:t>
      </w:r>
    </w:p>
    <w:p w14:paraId="1F2BED60" w14:textId="77777777" w:rsidR="00717BBB" w:rsidRDefault="00717BBB">
      <w:pPr>
        <w:rPr>
          <w:rFonts w:ascii="Arial" w:hAnsi="Arial" w:cs="Arial"/>
          <w:sz w:val="16"/>
          <w:szCs w:val="16"/>
        </w:rPr>
      </w:pPr>
      <w:r>
        <w:rPr>
          <w:rFonts w:ascii="Arial" w:hAnsi="Arial" w:cs="Arial"/>
          <w:sz w:val="16"/>
          <w:szCs w:val="16"/>
        </w:rPr>
        <w:br w:type="page"/>
      </w:r>
    </w:p>
    <w:p w14:paraId="6EEE6B24" w14:textId="6BB5606A" w:rsidR="005905BD" w:rsidRPr="00BC45B6" w:rsidRDefault="00867EB4" w:rsidP="00550B4F">
      <w:pPr>
        <w:rPr>
          <w:rFonts w:ascii="Arial" w:hAnsi="Arial" w:cs="Arial"/>
          <w:b/>
          <w:bCs/>
          <w:sz w:val="16"/>
          <w:szCs w:val="16"/>
        </w:rPr>
      </w:pPr>
      <w:r w:rsidRPr="00BC45B6">
        <w:rPr>
          <w:rFonts w:ascii="Arial" w:hAnsi="Arial" w:cs="Arial"/>
          <w:b/>
          <w:bCs/>
          <w:sz w:val="16"/>
          <w:szCs w:val="16"/>
        </w:rPr>
        <w:lastRenderedPageBreak/>
        <w:t>Supplementary material 5</w:t>
      </w:r>
    </w:p>
    <w:p w14:paraId="54E28FAA" w14:textId="77777777" w:rsidR="00867EB4" w:rsidRDefault="00867EB4" w:rsidP="00550B4F">
      <w:pPr>
        <w:rPr>
          <w:rFonts w:ascii="Arial" w:hAnsi="Arial" w:cs="Arial"/>
          <w:sz w:val="16"/>
          <w:szCs w:val="16"/>
        </w:rPr>
      </w:pPr>
    </w:p>
    <w:p w14:paraId="41B4DA51" w14:textId="69108E4D" w:rsidR="00867EB4" w:rsidRDefault="00943485" w:rsidP="00867EB4">
      <w:pPr>
        <w:spacing w:line="480" w:lineRule="auto"/>
        <w:ind w:firstLine="720"/>
        <w:rPr>
          <w:rFonts w:ascii="Arial" w:hAnsi="Arial" w:cs="Arial"/>
          <w:sz w:val="16"/>
          <w:szCs w:val="16"/>
        </w:rPr>
      </w:pPr>
      <w:r>
        <w:rPr>
          <w:rFonts w:ascii="Arial" w:hAnsi="Arial" w:cs="Arial"/>
          <w:sz w:val="16"/>
          <w:szCs w:val="16"/>
        </w:rPr>
        <w:t>S</w:t>
      </w:r>
      <w:r w:rsidR="00867EB4" w:rsidRPr="00867EB4">
        <w:rPr>
          <w:rFonts w:ascii="Arial" w:hAnsi="Arial" w:cs="Arial"/>
          <w:sz w:val="16"/>
          <w:szCs w:val="16"/>
        </w:rPr>
        <w:t xml:space="preserve">upplementary analyses were conducted by adding adolescent </w:t>
      </w:r>
      <w:r w:rsidR="00363E04">
        <w:rPr>
          <w:rFonts w:ascii="Arial" w:hAnsi="Arial" w:cs="Arial"/>
          <w:sz w:val="16"/>
          <w:szCs w:val="16"/>
        </w:rPr>
        <w:t>conduct problems</w:t>
      </w:r>
      <w:r w:rsidR="00867EB4" w:rsidRPr="00867EB4">
        <w:rPr>
          <w:rFonts w:ascii="Arial" w:hAnsi="Arial" w:cs="Arial"/>
          <w:sz w:val="16"/>
          <w:szCs w:val="16"/>
        </w:rPr>
        <w:t xml:space="preserve"> (CP at age 12; YSR,</w:t>
      </w:r>
      <w:r w:rsidR="00171F21">
        <w:rPr>
          <w:rFonts w:ascii="Arial" w:hAnsi="Arial" w:cs="Arial"/>
          <w:sz w:val="16"/>
          <w:szCs w:val="16"/>
        </w:rPr>
        <w:t xml:space="preserve"> </w:t>
      </w:r>
      <w:r w:rsidR="00171F21">
        <w:rPr>
          <w:rFonts w:ascii="Arial" w:hAnsi="Arial" w:cs="Arial"/>
          <w:sz w:val="16"/>
          <w:szCs w:val="16"/>
        </w:rPr>
        <w:fldChar w:fldCharType="begin"/>
      </w:r>
      <w:r w:rsidR="00780C85">
        <w:rPr>
          <w:rFonts w:ascii="Arial" w:hAnsi="Arial" w:cs="Arial"/>
          <w:sz w:val="16"/>
          <w:szCs w:val="16"/>
        </w:rPr>
        <w:instrText xml:space="preserve"> ADDIN ZOTERO_ITEM CSL_CITATION {"citationID":"AsfYBqqI","properties":{"formattedCitation":"(Achenbach &amp; Rescorla, 2001)","plainCitation":"(Achenbach &amp; Rescorla, 2001)","noteIndex":0},"citationItems":[{"id":71,"uris":["http://zotero.org/users/11600887/items/BB2LPX6A"],"itemData":{"id":71,"type":"book","event-place":"Research Center for Children, Youth, &amp; Families","publisher":"University of Vermont","publisher-place":"Research Center for Children, Youth, &amp; Families","title":"Manual for the ASEBA school</w:instrText>
      </w:r>
      <w:r w:rsidR="00780C85">
        <w:rPr>
          <w:rFonts w:ascii="Cambria Math" w:hAnsi="Cambria Math" w:cs="Cambria Math"/>
          <w:sz w:val="16"/>
          <w:szCs w:val="16"/>
        </w:rPr>
        <w:instrText>‐</w:instrText>
      </w:r>
      <w:r w:rsidR="00780C85">
        <w:rPr>
          <w:rFonts w:ascii="Arial" w:hAnsi="Arial" w:cs="Arial"/>
          <w:sz w:val="16"/>
          <w:szCs w:val="16"/>
        </w:rPr>
        <w:instrText xml:space="preserve">age forms &amp; profiles","author":[{"family":"Achenbach","given":"T. M."},{"family":"Rescorla","given":"L. A."}],"issued":{"date-parts":[["2001"]]}}}],"schema":"https://github.com/citation-style-language/schema/raw/master/csl-citation.json"} </w:instrText>
      </w:r>
      <w:r w:rsidR="00171F21">
        <w:rPr>
          <w:rFonts w:ascii="Arial" w:hAnsi="Arial" w:cs="Arial"/>
          <w:sz w:val="16"/>
          <w:szCs w:val="16"/>
        </w:rPr>
        <w:fldChar w:fldCharType="separate"/>
      </w:r>
      <w:r w:rsidR="00780C85">
        <w:rPr>
          <w:rFonts w:ascii="Arial" w:hAnsi="Arial" w:cs="Arial"/>
          <w:noProof/>
          <w:sz w:val="16"/>
          <w:szCs w:val="16"/>
        </w:rPr>
        <w:t>(Achenbach &amp; Rescorla, 2001)</w:t>
      </w:r>
      <w:r w:rsidR="00171F21">
        <w:rPr>
          <w:rFonts w:ascii="Arial" w:hAnsi="Arial" w:cs="Arial"/>
          <w:sz w:val="16"/>
          <w:szCs w:val="16"/>
        </w:rPr>
        <w:fldChar w:fldCharType="end"/>
      </w:r>
      <w:r w:rsidR="00867EB4" w:rsidRPr="00867EB4">
        <w:rPr>
          <w:rFonts w:ascii="Arial" w:hAnsi="Arial" w:cs="Arial"/>
          <w:sz w:val="16"/>
          <w:szCs w:val="16"/>
        </w:rPr>
        <w:t>) to the mediation models at the same step as internalizing problems for both service use outcomes. Results indicated that adolescent CP was not directly related to either service use outcome, nor was the indirect effect of either model with adolescent CP included significant once the effect of childhood CP was accounted for. However, in both cases, the indirect effect of the models without adolescent CP remained significant. These models are presented in</w:t>
      </w:r>
      <w:r w:rsidR="00CF0077">
        <w:rPr>
          <w:rFonts w:ascii="Arial" w:hAnsi="Arial" w:cs="Arial"/>
          <w:sz w:val="16"/>
          <w:szCs w:val="16"/>
        </w:rPr>
        <w:t xml:space="preserve"> Figure 1S and Figure 2S below.</w:t>
      </w:r>
    </w:p>
    <w:p w14:paraId="3743E8A5" w14:textId="77777777" w:rsidR="00C03582" w:rsidRDefault="00C03582" w:rsidP="00CD41F0">
      <w:pPr>
        <w:tabs>
          <w:tab w:val="left" w:pos="1019"/>
        </w:tabs>
        <w:spacing w:line="480" w:lineRule="auto"/>
        <w:rPr>
          <w:rFonts w:ascii="Arial" w:hAnsi="Arial" w:cs="Arial"/>
          <w:b/>
          <w:bCs/>
          <w:sz w:val="16"/>
          <w:szCs w:val="16"/>
        </w:rPr>
      </w:pPr>
    </w:p>
    <w:p w14:paraId="2D01F5C1" w14:textId="00D1B29D" w:rsidR="00CD41F0" w:rsidRPr="00293A1D" w:rsidRDefault="00CD41F0" w:rsidP="00CD41F0">
      <w:pPr>
        <w:tabs>
          <w:tab w:val="left" w:pos="1019"/>
        </w:tabs>
        <w:spacing w:line="480" w:lineRule="auto"/>
        <w:rPr>
          <w:rFonts w:ascii="Arial" w:hAnsi="Arial" w:cs="Arial"/>
          <w:sz w:val="16"/>
          <w:szCs w:val="16"/>
        </w:rPr>
      </w:pPr>
      <w:r w:rsidRPr="00293A1D">
        <w:rPr>
          <w:rFonts w:ascii="Arial" w:hAnsi="Arial" w:cs="Arial"/>
          <w:b/>
          <w:bCs/>
          <w:sz w:val="16"/>
          <w:szCs w:val="16"/>
        </w:rPr>
        <w:t xml:space="preserve">Figure </w:t>
      </w:r>
      <w:r w:rsidR="00CF0077">
        <w:rPr>
          <w:rFonts w:ascii="Arial" w:hAnsi="Arial" w:cs="Arial"/>
          <w:b/>
          <w:bCs/>
          <w:sz w:val="16"/>
          <w:szCs w:val="16"/>
        </w:rPr>
        <w:t>2S</w:t>
      </w:r>
    </w:p>
    <w:p w14:paraId="3F3DA742" w14:textId="77777777" w:rsidR="00CD41F0" w:rsidRPr="00293A1D" w:rsidRDefault="00CD41F0" w:rsidP="00CD41F0">
      <w:pPr>
        <w:tabs>
          <w:tab w:val="left" w:pos="1019"/>
        </w:tabs>
        <w:spacing w:line="480" w:lineRule="auto"/>
        <w:rPr>
          <w:rFonts w:ascii="Arial" w:hAnsi="Arial" w:cs="Arial"/>
          <w:sz w:val="16"/>
          <w:szCs w:val="16"/>
        </w:rPr>
      </w:pPr>
      <w:r w:rsidRPr="00293A1D">
        <w:rPr>
          <w:rFonts w:ascii="Arial" w:hAnsi="Arial" w:cs="Arial"/>
          <w:i/>
          <w:iCs/>
          <w:sz w:val="16"/>
          <w:szCs w:val="16"/>
        </w:rPr>
        <w:t>Serial mediational model for total service use</w:t>
      </w:r>
      <w:r>
        <w:rPr>
          <w:rFonts w:ascii="Arial" w:hAnsi="Arial" w:cs="Arial"/>
          <w:i/>
          <w:iCs/>
          <w:sz w:val="16"/>
          <w:szCs w:val="16"/>
        </w:rPr>
        <w:t xml:space="preserve"> with adolescent CP added</w:t>
      </w:r>
    </w:p>
    <w:p w14:paraId="3B466705" w14:textId="77777777" w:rsidR="00CD41F0" w:rsidRDefault="00CD41F0" w:rsidP="00CD41F0"/>
    <w:p w14:paraId="16EAEEB4" w14:textId="77777777" w:rsidR="00CD41F0" w:rsidRDefault="00CD41F0" w:rsidP="00CD41F0">
      <w:r w:rsidRPr="00541B3B">
        <w:rPr>
          <w:noProof/>
          <w:lang w:eastAsia="en-CA"/>
        </w:rPr>
        <w:drawing>
          <wp:inline distT="0" distB="0" distL="0" distR="0" wp14:anchorId="5487C778" wp14:editId="77FC34BC">
            <wp:extent cx="5943600" cy="2067560"/>
            <wp:effectExtent l="0" t="0" r="0" b="2540"/>
            <wp:docPr id="778183895" name="Picture 1" descr="A diagram of a complex proble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83895" name="Picture 1" descr="A diagram of a complex problem&#10;&#10;Description automatically generated with medium confidence"/>
                    <pic:cNvPicPr/>
                  </pic:nvPicPr>
                  <pic:blipFill>
                    <a:blip r:embed="rId5"/>
                    <a:stretch>
                      <a:fillRect/>
                    </a:stretch>
                  </pic:blipFill>
                  <pic:spPr>
                    <a:xfrm>
                      <a:off x="0" y="0"/>
                      <a:ext cx="5943600" cy="2067560"/>
                    </a:xfrm>
                    <a:prstGeom prst="rect">
                      <a:avLst/>
                    </a:prstGeom>
                  </pic:spPr>
                </pic:pic>
              </a:graphicData>
            </a:graphic>
          </wp:inline>
        </w:drawing>
      </w:r>
    </w:p>
    <w:p w14:paraId="4DD43898" w14:textId="77777777" w:rsidR="00CD41F0" w:rsidRDefault="00CD41F0" w:rsidP="00CD41F0"/>
    <w:p w14:paraId="618C0AD0" w14:textId="77777777" w:rsidR="00CD41F0" w:rsidRPr="00293A1D" w:rsidRDefault="00CD41F0" w:rsidP="00CD41F0">
      <w:pPr>
        <w:tabs>
          <w:tab w:val="left" w:pos="1019"/>
        </w:tabs>
        <w:spacing w:line="480" w:lineRule="auto"/>
        <w:rPr>
          <w:rFonts w:ascii="Arial" w:hAnsi="Arial" w:cs="Arial"/>
          <w:sz w:val="16"/>
          <w:szCs w:val="16"/>
        </w:rPr>
      </w:pPr>
      <w:r w:rsidRPr="00293A1D">
        <w:rPr>
          <w:rFonts w:ascii="Arial" w:hAnsi="Arial" w:cs="Arial"/>
          <w:i/>
          <w:iCs/>
          <w:sz w:val="16"/>
          <w:szCs w:val="16"/>
        </w:rPr>
        <w:t>Note.</w:t>
      </w:r>
      <w:r w:rsidRPr="00293A1D">
        <w:rPr>
          <w:rFonts w:ascii="Arial" w:hAnsi="Arial" w:cs="Arial"/>
          <w:sz w:val="16"/>
          <w:szCs w:val="16"/>
        </w:rPr>
        <w:t xml:space="preserve"> *</w:t>
      </w:r>
      <w:r w:rsidRPr="00293A1D">
        <w:rPr>
          <w:rFonts w:ascii="Arial" w:hAnsi="Arial" w:cs="Arial"/>
          <w:i/>
          <w:iCs/>
          <w:sz w:val="16"/>
          <w:szCs w:val="16"/>
        </w:rPr>
        <w:t>p</w:t>
      </w:r>
      <w:r w:rsidRPr="00293A1D">
        <w:rPr>
          <w:rFonts w:ascii="Arial" w:hAnsi="Arial" w:cs="Arial"/>
          <w:sz w:val="16"/>
          <w:szCs w:val="16"/>
        </w:rPr>
        <w:t xml:space="preserve"> &lt; .05, **</w:t>
      </w:r>
      <w:r w:rsidRPr="00293A1D">
        <w:rPr>
          <w:rFonts w:ascii="Arial" w:hAnsi="Arial" w:cs="Arial"/>
          <w:i/>
          <w:iCs/>
          <w:sz w:val="16"/>
          <w:szCs w:val="16"/>
        </w:rPr>
        <w:t>p</w:t>
      </w:r>
      <w:r w:rsidRPr="00293A1D">
        <w:rPr>
          <w:rFonts w:ascii="Arial" w:hAnsi="Arial" w:cs="Arial"/>
          <w:sz w:val="16"/>
          <w:szCs w:val="16"/>
        </w:rPr>
        <w:t xml:space="preserve"> &lt; .01, ***</w:t>
      </w:r>
      <w:r w:rsidRPr="00293A1D">
        <w:rPr>
          <w:rFonts w:ascii="Arial" w:hAnsi="Arial" w:cs="Arial"/>
          <w:i/>
          <w:iCs/>
          <w:sz w:val="16"/>
          <w:szCs w:val="16"/>
        </w:rPr>
        <w:t>p</w:t>
      </w:r>
      <w:r w:rsidRPr="00293A1D">
        <w:rPr>
          <w:rFonts w:ascii="Arial" w:hAnsi="Arial" w:cs="Arial"/>
          <w:sz w:val="16"/>
          <w:szCs w:val="16"/>
        </w:rPr>
        <w:t xml:space="preserve"> &lt; .001. </w:t>
      </w:r>
    </w:p>
    <w:p w14:paraId="12D34552" w14:textId="77777777" w:rsidR="00C03582" w:rsidRDefault="00C03582" w:rsidP="00C20B84">
      <w:pPr>
        <w:tabs>
          <w:tab w:val="left" w:pos="1019"/>
        </w:tabs>
        <w:spacing w:line="480" w:lineRule="auto"/>
        <w:rPr>
          <w:rFonts w:ascii="Arial" w:hAnsi="Arial" w:cs="Arial"/>
          <w:b/>
          <w:bCs/>
          <w:sz w:val="16"/>
          <w:szCs w:val="16"/>
        </w:rPr>
      </w:pPr>
    </w:p>
    <w:p w14:paraId="2523ECD1" w14:textId="3C246D2A" w:rsidR="00C20B84" w:rsidRPr="00293A1D" w:rsidRDefault="00C20B84" w:rsidP="00C20B84">
      <w:pPr>
        <w:tabs>
          <w:tab w:val="left" w:pos="1019"/>
        </w:tabs>
        <w:spacing w:line="480" w:lineRule="auto"/>
        <w:rPr>
          <w:rFonts w:ascii="Arial" w:hAnsi="Arial" w:cs="Arial"/>
          <w:sz w:val="16"/>
          <w:szCs w:val="16"/>
        </w:rPr>
      </w:pPr>
      <w:r w:rsidRPr="00293A1D">
        <w:rPr>
          <w:rFonts w:ascii="Arial" w:hAnsi="Arial" w:cs="Arial"/>
          <w:b/>
          <w:bCs/>
          <w:sz w:val="16"/>
          <w:szCs w:val="16"/>
        </w:rPr>
        <w:t xml:space="preserve">Figure </w:t>
      </w:r>
      <w:r w:rsidR="00CF0077">
        <w:rPr>
          <w:rFonts w:ascii="Arial" w:hAnsi="Arial" w:cs="Arial"/>
          <w:b/>
          <w:bCs/>
          <w:sz w:val="16"/>
          <w:szCs w:val="16"/>
        </w:rPr>
        <w:t>3S</w:t>
      </w:r>
    </w:p>
    <w:p w14:paraId="6E40C72B" w14:textId="77777777" w:rsidR="00C20B84" w:rsidRPr="00293A1D" w:rsidRDefault="00C20B84" w:rsidP="00C20B84">
      <w:pPr>
        <w:tabs>
          <w:tab w:val="left" w:pos="1019"/>
        </w:tabs>
        <w:spacing w:line="480" w:lineRule="auto"/>
        <w:rPr>
          <w:rFonts w:ascii="Arial" w:hAnsi="Arial" w:cs="Arial"/>
          <w:sz w:val="16"/>
          <w:szCs w:val="16"/>
        </w:rPr>
      </w:pPr>
      <w:r w:rsidRPr="00293A1D">
        <w:rPr>
          <w:rFonts w:ascii="Arial" w:hAnsi="Arial" w:cs="Arial"/>
          <w:i/>
          <w:iCs/>
          <w:sz w:val="16"/>
          <w:szCs w:val="16"/>
        </w:rPr>
        <w:t xml:space="preserve">Serial mediational model for </w:t>
      </w:r>
      <w:r>
        <w:rPr>
          <w:rFonts w:ascii="Arial" w:hAnsi="Arial" w:cs="Arial"/>
          <w:i/>
          <w:iCs/>
          <w:sz w:val="16"/>
          <w:szCs w:val="16"/>
        </w:rPr>
        <w:t>psychiatric</w:t>
      </w:r>
      <w:r w:rsidRPr="00293A1D">
        <w:rPr>
          <w:rFonts w:ascii="Arial" w:hAnsi="Arial" w:cs="Arial"/>
          <w:i/>
          <w:iCs/>
          <w:sz w:val="16"/>
          <w:szCs w:val="16"/>
        </w:rPr>
        <w:t xml:space="preserve"> service use</w:t>
      </w:r>
      <w:r>
        <w:rPr>
          <w:rFonts w:ascii="Arial" w:hAnsi="Arial" w:cs="Arial"/>
          <w:i/>
          <w:iCs/>
          <w:sz w:val="16"/>
          <w:szCs w:val="16"/>
        </w:rPr>
        <w:t xml:space="preserve"> with adolescent CP added</w:t>
      </w:r>
    </w:p>
    <w:p w14:paraId="4625B422" w14:textId="77777777" w:rsidR="00C20B84" w:rsidRDefault="00C20B84" w:rsidP="00C20B84"/>
    <w:p w14:paraId="2F7C4B67" w14:textId="77777777" w:rsidR="00C20B84" w:rsidRDefault="00C20B84" w:rsidP="00C20B84">
      <w:r w:rsidRPr="00C51825">
        <w:rPr>
          <w:noProof/>
          <w:lang w:eastAsia="en-CA"/>
        </w:rPr>
        <w:drawing>
          <wp:inline distT="0" distB="0" distL="0" distR="0" wp14:anchorId="6267155B" wp14:editId="27AB3E91">
            <wp:extent cx="5943600" cy="2042160"/>
            <wp:effectExtent l="0" t="0" r="0" b="2540"/>
            <wp:docPr id="1716267194" name="Picture 1" descr="A diagram of a mathematical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267194" name="Picture 1" descr="A diagram of a mathematical model&#10;&#10;Description automatically generated"/>
                    <pic:cNvPicPr/>
                  </pic:nvPicPr>
                  <pic:blipFill>
                    <a:blip r:embed="rId6"/>
                    <a:stretch>
                      <a:fillRect/>
                    </a:stretch>
                  </pic:blipFill>
                  <pic:spPr>
                    <a:xfrm>
                      <a:off x="0" y="0"/>
                      <a:ext cx="5943600" cy="2042160"/>
                    </a:xfrm>
                    <a:prstGeom prst="rect">
                      <a:avLst/>
                    </a:prstGeom>
                  </pic:spPr>
                </pic:pic>
              </a:graphicData>
            </a:graphic>
          </wp:inline>
        </w:drawing>
      </w:r>
    </w:p>
    <w:p w14:paraId="4E657A18" w14:textId="77777777" w:rsidR="00C20B84" w:rsidRDefault="00C20B84" w:rsidP="00C20B84"/>
    <w:p w14:paraId="198983AE" w14:textId="43F9FE54" w:rsidR="003C7D5F" w:rsidRDefault="00C20B84" w:rsidP="009E63B6">
      <w:pPr>
        <w:tabs>
          <w:tab w:val="left" w:pos="1019"/>
        </w:tabs>
        <w:spacing w:line="480" w:lineRule="auto"/>
        <w:rPr>
          <w:rFonts w:ascii="Arial" w:hAnsi="Arial" w:cs="Arial"/>
          <w:sz w:val="16"/>
          <w:szCs w:val="16"/>
        </w:rPr>
      </w:pPr>
      <w:r w:rsidRPr="00293A1D">
        <w:rPr>
          <w:rFonts w:ascii="Arial" w:hAnsi="Arial" w:cs="Arial"/>
          <w:i/>
          <w:iCs/>
          <w:sz w:val="16"/>
          <w:szCs w:val="16"/>
        </w:rPr>
        <w:t>Note.</w:t>
      </w:r>
      <w:r w:rsidRPr="00293A1D">
        <w:rPr>
          <w:rFonts w:ascii="Arial" w:hAnsi="Arial" w:cs="Arial"/>
          <w:sz w:val="16"/>
          <w:szCs w:val="16"/>
        </w:rPr>
        <w:t xml:space="preserve"> *</w:t>
      </w:r>
      <w:r w:rsidRPr="00293A1D">
        <w:rPr>
          <w:rFonts w:ascii="Arial" w:hAnsi="Arial" w:cs="Arial"/>
          <w:i/>
          <w:iCs/>
          <w:sz w:val="16"/>
          <w:szCs w:val="16"/>
        </w:rPr>
        <w:t>p</w:t>
      </w:r>
      <w:r w:rsidRPr="00293A1D">
        <w:rPr>
          <w:rFonts w:ascii="Arial" w:hAnsi="Arial" w:cs="Arial"/>
          <w:sz w:val="16"/>
          <w:szCs w:val="16"/>
        </w:rPr>
        <w:t xml:space="preserve"> &lt; .05, **</w:t>
      </w:r>
      <w:r w:rsidRPr="00293A1D">
        <w:rPr>
          <w:rFonts w:ascii="Arial" w:hAnsi="Arial" w:cs="Arial"/>
          <w:i/>
          <w:iCs/>
          <w:sz w:val="16"/>
          <w:szCs w:val="16"/>
        </w:rPr>
        <w:t>p</w:t>
      </w:r>
      <w:r w:rsidRPr="00293A1D">
        <w:rPr>
          <w:rFonts w:ascii="Arial" w:hAnsi="Arial" w:cs="Arial"/>
          <w:sz w:val="16"/>
          <w:szCs w:val="16"/>
        </w:rPr>
        <w:t xml:space="preserve"> &lt; .01, ***</w:t>
      </w:r>
      <w:r w:rsidRPr="00293A1D">
        <w:rPr>
          <w:rFonts w:ascii="Arial" w:hAnsi="Arial" w:cs="Arial"/>
          <w:i/>
          <w:iCs/>
          <w:sz w:val="16"/>
          <w:szCs w:val="16"/>
        </w:rPr>
        <w:t>p</w:t>
      </w:r>
      <w:r w:rsidRPr="00293A1D">
        <w:rPr>
          <w:rFonts w:ascii="Arial" w:hAnsi="Arial" w:cs="Arial"/>
          <w:sz w:val="16"/>
          <w:szCs w:val="16"/>
        </w:rPr>
        <w:t xml:space="preserve"> &lt; .001.</w:t>
      </w:r>
    </w:p>
    <w:p w14:paraId="689EA6EB" w14:textId="77777777" w:rsidR="003C7D5F" w:rsidRDefault="003C7D5F">
      <w:pPr>
        <w:rPr>
          <w:rFonts w:ascii="Arial" w:hAnsi="Arial" w:cs="Arial"/>
          <w:sz w:val="16"/>
          <w:szCs w:val="16"/>
        </w:rPr>
      </w:pPr>
      <w:r>
        <w:rPr>
          <w:rFonts w:ascii="Arial" w:hAnsi="Arial" w:cs="Arial"/>
          <w:sz w:val="16"/>
          <w:szCs w:val="16"/>
        </w:rPr>
        <w:br w:type="page"/>
      </w:r>
    </w:p>
    <w:p w14:paraId="296C8A15" w14:textId="65AF5944" w:rsidR="00E06473" w:rsidRDefault="008D243E" w:rsidP="009E63B6">
      <w:pPr>
        <w:tabs>
          <w:tab w:val="left" w:pos="1019"/>
        </w:tabs>
        <w:spacing w:line="480" w:lineRule="auto"/>
        <w:rPr>
          <w:rFonts w:ascii="Arial" w:hAnsi="Arial" w:cs="Arial"/>
          <w:b/>
          <w:bCs/>
          <w:sz w:val="16"/>
          <w:szCs w:val="16"/>
        </w:rPr>
      </w:pPr>
      <w:r w:rsidRPr="008D243E">
        <w:rPr>
          <w:rFonts w:ascii="Arial" w:hAnsi="Arial" w:cs="Arial"/>
          <w:b/>
          <w:bCs/>
          <w:sz w:val="16"/>
          <w:szCs w:val="16"/>
        </w:rPr>
        <w:lastRenderedPageBreak/>
        <w:t xml:space="preserve">Supplementary material </w:t>
      </w:r>
      <w:r>
        <w:rPr>
          <w:rFonts w:ascii="Arial" w:hAnsi="Arial" w:cs="Arial"/>
          <w:b/>
          <w:bCs/>
          <w:sz w:val="16"/>
          <w:szCs w:val="16"/>
        </w:rPr>
        <w:t>–</w:t>
      </w:r>
      <w:r w:rsidRPr="008D243E">
        <w:rPr>
          <w:rFonts w:ascii="Arial" w:hAnsi="Arial" w:cs="Arial"/>
          <w:b/>
          <w:bCs/>
          <w:sz w:val="16"/>
          <w:szCs w:val="16"/>
        </w:rPr>
        <w:t xml:space="preserve"> References</w:t>
      </w:r>
    </w:p>
    <w:p w14:paraId="1C735ECB" w14:textId="77777777" w:rsidR="001E4257" w:rsidRPr="001E4257" w:rsidRDefault="001E4257" w:rsidP="001E4257">
      <w:pPr>
        <w:pStyle w:val="Bibliography"/>
        <w:rPr>
          <w:rFonts w:ascii="Arial" w:hAnsi="Arial" w:cs="Arial"/>
          <w:sz w:val="16"/>
          <w:lang w:val="en-US"/>
        </w:rPr>
      </w:pPr>
      <w:r>
        <w:rPr>
          <w:rFonts w:ascii="Arial" w:hAnsi="Arial" w:cs="Arial"/>
          <w:b/>
          <w:bCs/>
          <w:sz w:val="16"/>
          <w:szCs w:val="16"/>
        </w:rPr>
        <w:fldChar w:fldCharType="begin"/>
      </w:r>
      <w:r>
        <w:rPr>
          <w:rFonts w:ascii="Arial" w:hAnsi="Arial" w:cs="Arial"/>
          <w:b/>
          <w:bCs/>
          <w:sz w:val="16"/>
          <w:szCs w:val="16"/>
        </w:rPr>
        <w:instrText xml:space="preserve"> ADDIN ZOTERO_BIBL {"uncited":[],"omitted":[],"custom":[]} CSL_BIBLIOGRAPHY </w:instrText>
      </w:r>
      <w:r>
        <w:rPr>
          <w:rFonts w:ascii="Arial" w:hAnsi="Arial" w:cs="Arial"/>
          <w:b/>
          <w:bCs/>
          <w:sz w:val="16"/>
          <w:szCs w:val="16"/>
        </w:rPr>
        <w:fldChar w:fldCharType="separate"/>
      </w:r>
      <w:r w:rsidRPr="001E4257">
        <w:rPr>
          <w:rFonts w:ascii="Arial" w:hAnsi="Arial" w:cs="Arial"/>
          <w:sz w:val="16"/>
          <w:lang w:val="en-US"/>
        </w:rPr>
        <w:t xml:space="preserve">Achenbach, T. M., &amp; Rescorla, L. A. (2001). </w:t>
      </w:r>
      <w:r w:rsidRPr="001E4257">
        <w:rPr>
          <w:rFonts w:ascii="Arial" w:hAnsi="Arial" w:cs="Arial"/>
          <w:i/>
          <w:iCs/>
          <w:sz w:val="16"/>
          <w:lang w:val="en-US"/>
        </w:rPr>
        <w:t>Manual for the ASEBA school‐age forms &amp; profiles</w:t>
      </w:r>
      <w:r w:rsidRPr="001E4257">
        <w:rPr>
          <w:rFonts w:ascii="Arial" w:hAnsi="Arial" w:cs="Arial"/>
          <w:sz w:val="16"/>
          <w:lang w:val="en-US"/>
        </w:rPr>
        <w:t>. Research Center for Children, Youth, &amp; Families: University of Vermont.</w:t>
      </w:r>
    </w:p>
    <w:p w14:paraId="1108435A" w14:textId="77777777" w:rsidR="001E4257" w:rsidRPr="001E4257" w:rsidRDefault="001E4257" w:rsidP="001E4257">
      <w:pPr>
        <w:pStyle w:val="Bibliography"/>
        <w:rPr>
          <w:rFonts w:ascii="Arial" w:hAnsi="Arial" w:cs="Arial"/>
          <w:sz w:val="16"/>
          <w:lang w:val="en-US"/>
        </w:rPr>
      </w:pPr>
      <w:r w:rsidRPr="001E4257">
        <w:rPr>
          <w:rFonts w:ascii="Arial" w:hAnsi="Arial" w:cs="Arial"/>
          <w:sz w:val="16"/>
          <w:lang w:val="en-US"/>
        </w:rPr>
        <w:t xml:space="preserve">Conners, C. K., Sitarenios, G., Parker, J. D. A., &amp; Epstein, J. N. (1998a). Revision and Restandardization of the Conners Teacher Rating Scale (CTRS-R): Factor Structure, Reliability, and Criterion Validity. </w:t>
      </w:r>
      <w:r w:rsidRPr="001E4257">
        <w:rPr>
          <w:rFonts w:ascii="Arial" w:hAnsi="Arial" w:cs="Arial"/>
          <w:i/>
          <w:iCs/>
          <w:sz w:val="16"/>
          <w:lang w:val="en-US"/>
        </w:rPr>
        <w:t>Journal of Abnormal Child Psychology</w:t>
      </w:r>
      <w:r w:rsidRPr="001E4257">
        <w:rPr>
          <w:rFonts w:ascii="Arial" w:hAnsi="Arial" w:cs="Arial"/>
          <w:sz w:val="16"/>
          <w:lang w:val="en-US"/>
        </w:rPr>
        <w:t xml:space="preserve">, </w:t>
      </w:r>
      <w:r w:rsidRPr="001E4257">
        <w:rPr>
          <w:rFonts w:ascii="Arial" w:hAnsi="Arial" w:cs="Arial"/>
          <w:i/>
          <w:iCs/>
          <w:sz w:val="16"/>
          <w:lang w:val="en-US"/>
        </w:rPr>
        <w:t>26</w:t>
      </w:r>
      <w:r w:rsidRPr="001E4257">
        <w:rPr>
          <w:rFonts w:ascii="Arial" w:hAnsi="Arial" w:cs="Arial"/>
          <w:sz w:val="16"/>
          <w:lang w:val="en-US"/>
        </w:rPr>
        <w:t>(4), 279–291. https://doi.org/10.1023/A:1022606501530</w:t>
      </w:r>
    </w:p>
    <w:p w14:paraId="050C909E" w14:textId="77777777" w:rsidR="001E4257" w:rsidRPr="001E4257" w:rsidRDefault="001E4257" w:rsidP="001E4257">
      <w:pPr>
        <w:pStyle w:val="Bibliography"/>
        <w:rPr>
          <w:rFonts w:ascii="Arial" w:hAnsi="Arial" w:cs="Arial"/>
          <w:sz w:val="16"/>
          <w:lang w:val="en-US"/>
        </w:rPr>
      </w:pPr>
      <w:r w:rsidRPr="001E4257">
        <w:rPr>
          <w:rFonts w:ascii="Arial" w:hAnsi="Arial" w:cs="Arial"/>
          <w:sz w:val="16"/>
          <w:lang w:val="en-US"/>
        </w:rPr>
        <w:t xml:space="preserve">Conners, C. K., Sitarenios, G., Parker, J. D. A., &amp; Epstein, J. N. (1998b). The Revised Conners’ Parent Rating Scale (CPRS-R): Factor Structure, Reliability, and Criterion Validity. </w:t>
      </w:r>
      <w:r w:rsidRPr="001E4257">
        <w:rPr>
          <w:rFonts w:ascii="Arial" w:hAnsi="Arial" w:cs="Arial"/>
          <w:i/>
          <w:iCs/>
          <w:sz w:val="16"/>
          <w:lang w:val="en-US"/>
        </w:rPr>
        <w:t>Journal of Abnormal Child Psychology</w:t>
      </w:r>
      <w:r w:rsidRPr="001E4257">
        <w:rPr>
          <w:rFonts w:ascii="Arial" w:hAnsi="Arial" w:cs="Arial"/>
          <w:sz w:val="16"/>
          <w:lang w:val="en-US"/>
        </w:rPr>
        <w:t xml:space="preserve">, </w:t>
      </w:r>
      <w:r w:rsidRPr="001E4257">
        <w:rPr>
          <w:rFonts w:ascii="Arial" w:hAnsi="Arial" w:cs="Arial"/>
          <w:i/>
          <w:iCs/>
          <w:sz w:val="16"/>
          <w:lang w:val="en-US"/>
        </w:rPr>
        <w:t>26</w:t>
      </w:r>
      <w:r w:rsidRPr="001E4257">
        <w:rPr>
          <w:rFonts w:ascii="Arial" w:hAnsi="Arial" w:cs="Arial"/>
          <w:sz w:val="16"/>
          <w:lang w:val="en-US"/>
        </w:rPr>
        <w:t>(4), 257–268. https://doi.org/10.1023/A:1022602400621</w:t>
      </w:r>
    </w:p>
    <w:p w14:paraId="4E14A45C" w14:textId="77777777" w:rsidR="001E4257" w:rsidRPr="001E4257" w:rsidRDefault="001E4257" w:rsidP="001E4257">
      <w:pPr>
        <w:pStyle w:val="Bibliography"/>
        <w:rPr>
          <w:rFonts w:ascii="Arial" w:hAnsi="Arial" w:cs="Arial"/>
          <w:sz w:val="16"/>
          <w:lang w:val="en-US"/>
        </w:rPr>
      </w:pPr>
      <w:r w:rsidRPr="001E4257">
        <w:rPr>
          <w:rFonts w:ascii="Arial" w:hAnsi="Arial" w:cs="Arial"/>
          <w:sz w:val="16"/>
          <w:lang w:val="en-US"/>
        </w:rPr>
        <w:t xml:space="preserve">Du Rietz, E., Jangmo, A., Kuja-Halkola, R., Chang, Z., D’Onofrio, B. M., Ahnemark, E., … Larsson, H. (2020). Trajectories of healthcare utilization and costs of psychiatric and somatic multimorbidity in adults with childhood ADHD: A prospective register-based study. </w:t>
      </w:r>
      <w:r w:rsidRPr="001E4257">
        <w:rPr>
          <w:rFonts w:ascii="Arial" w:hAnsi="Arial" w:cs="Arial"/>
          <w:i/>
          <w:iCs/>
          <w:sz w:val="16"/>
          <w:lang w:val="en-US"/>
        </w:rPr>
        <w:t>Journal of Child Psychology and Psychiatry</w:t>
      </w:r>
      <w:r w:rsidRPr="001E4257">
        <w:rPr>
          <w:rFonts w:ascii="Arial" w:hAnsi="Arial" w:cs="Arial"/>
          <w:sz w:val="16"/>
          <w:lang w:val="en-US"/>
        </w:rPr>
        <w:t xml:space="preserve">, </w:t>
      </w:r>
      <w:r w:rsidRPr="001E4257">
        <w:rPr>
          <w:rFonts w:ascii="Arial" w:hAnsi="Arial" w:cs="Arial"/>
          <w:i/>
          <w:iCs/>
          <w:sz w:val="16"/>
          <w:lang w:val="en-US"/>
        </w:rPr>
        <w:t>61</w:t>
      </w:r>
      <w:r w:rsidRPr="001E4257">
        <w:rPr>
          <w:rFonts w:ascii="Arial" w:hAnsi="Arial" w:cs="Arial"/>
          <w:sz w:val="16"/>
          <w:lang w:val="en-US"/>
        </w:rPr>
        <w:t>(9), 959–968. https://doi.org/10.1111/jcpp.13206</w:t>
      </w:r>
    </w:p>
    <w:p w14:paraId="08F248A6" w14:textId="77777777" w:rsidR="001E4257" w:rsidRPr="001E4257" w:rsidRDefault="001E4257" w:rsidP="001E4257">
      <w:pPr>
        <w:pStyle w:val="Bibliography"/>
        <w:rPr>
          <w:rFonts w:ascii="Arial" w:hAnsi="Arial" w:cs="Arial"/>
          <w:sz w:val="16"/>
          <w:lang w:val="en-US"/>
        </w:rPr>
      </w:pPr>
      <w:r w:rsidRPr="001E4257">
        <w:rPr>
          <w:rFonts w:ascii="Arial" w:hAnsi="Arial" w:cs="Arial"/>
          <w:sz w:val="16"/>
          <w:lang w:val="en-US"/>
        </w:rPr>
        <w:t xml:space="preserve">Mohammadi, M.-R., Zarafshan, H., Khaleghi, A., Ahmadi, N., Hooshyari, Z., Mostafavi, S.-A., … Salmanian, M. (2021). Prevalence of ADHD and Its Comorbidities in a Population-Based Sample. </w:t>
      </w:r>
      <w:r w:rsidRPr="001E4257">
        <w:rPr>
          <w:rFonts w:ascii="Arial" w:hAnsi="Arial" w:cs="Arial"/>
          <w:i/>
          <w:iCs/>
          <w:sz w:val="16"/>
          <w:lang w:val="en-US"/>
        </w:rPr>
        <w:t>Journal of Attention Disorders</w:t>
      </w:r>
      <w:r w:rsidRPr="001E4257">
        <w:rPr>
          <w:rFonts w:ascii="Arial" w:hAnsi="Arial" w:cs="Arial"/>
          <w:sz w:val="16"/>
          <w:lang w:val="en-US"/>
        </w:rPr>
        <w:t xml:space="preserve">, </w:t>
      </w:r>
      <w:r w:rsidRPr="001E4257">
        <w:rPr>
          <w:rFonts w:ascii="Arial" w:hAnsi="Arial" w:cs="Arial"/>
          <w:i/>
          <w:iCs/>
          <w:sz w:val="16"/>
          <w:lang w:val="en-US"/>
        </w:rPr>
        <w:t>25</w:t>
      </w:r>
      <w:r w:rsidRPr="001E4257">
        <w:rPr>
          <w:rFonts w:ascii="Arial" w:hAnsi="Arial" w:cs="Arial"/>
          <w:sz w:val="16"/>
          <w:lang w:val="en-US"/>
        </w:rPr>
        <w:t>(8), 1058–1067. https://doi.org/10.1177/1087054719886372</w:t>
      </w:r>
    </w:p>
    <w:p w14:paraId="15071380" w14:textId="289B5E1D" w:rsidR="008D243E" w:rsidRPr="008D243E" w:rsidRDefault="001E4257" w:rsidP="009E63B6">
      <w:pPr>
        <w:tabs>
          <w:tab w:val="left" w:pos="1019"/>
        </w:tabs>
        <w:spacing w:line="480" w:lineRule="auto"/>
        <w:rPr>
          <w:rFonts w:ascii="Arial" w:hAnsi="Arial" w:cs="Arial"/>
          <w:b/>
          <w:bCs/>
          <w:sz w:val="16"/>
          <w:szCs w:val="16"/>
        </w:rPr>
      </w:pPr>
      <w:r>
        <w:rPr>
          <w:rFonts w:ascii="Arial" w:hAnsi="Arial" w:cs="Arial"/>
          <w:b/>
          <w:bCs/>
          <w:sz w:val="16"/>
          <w:szCs w:val="16"/>
        </w:rPr>
        <w:fldChar w:fldCharType="end"/>
      </w:r>
    </w:p>
    <w:sectPr w:rsidR="008D243E" w:rsidRPr="008D24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FBF"/>
    <w:rsid w:val="000006FA"/>
    <w:rsid w:val="0000117D"/>
    <w:rsid w:val="00001B3A"/>
    <w:rsid w:val="00001BC7"/>
    <w:rsid w:val="00002470"/>
    <w:rsid w:val="00002859"/>
    <w:rsid w:val="0000410A"/>
    <w:rsid w:val="00004F83"/>
    <w:rsid w:val="00005332"/>
    <w:rsid w:val="00006F90"/>
    <w:rsid w:val="00007F42"/>
    <w:rsid w:val="00010C9A"/>
    <w:rsid w:val="0001196C"/>
    <w:rsid w:val="000127BB"/>
    <w:rsid w:val="00013A1C"/>
    <w:rsid w:val="00015122"/>
    <w:rsid w:val="00015901"/>
    <w:rsid w:val="000168AE"/>
    <w:rsid w:val="0002072D"/>
    <w:rsid w:val="00021F00"/>
    <w:rsid w:val="00023E49"/>
    <w:rsid w:val="000252A4"/>
    <w:rsid w:val="000253D5"/>
    <w:rsid w:val="000265EE"/>
    <w:rsid w:val="00027889"/>
    <w:rsid w:val="00030F40"/>
    <w:rsid w:val="00031871"/>
    <w:rsid w:val="000329BF"/>
    <w:rsid w:val="000348B6"/>
    <w:rsid w:val="00035F62"/>
    <w:rsid w:val="00037A42"/>
    <w:rsid w:val="000406C2"/>
    <w:rsid w:val="00040A48"/>
    <w:rsid w:val="00041836"/>
    <w:rsid w:val="00043555"/>
    <w:rsid w:val="00043AE8"/>
    <w:rsid w:val="00051484"/>
    <w:rsid w:val="000515AF"/>
    <w:rsid w:val="000547BA"/>
    <w:rsid w:val="000553FC"/>
    <w:rsid w:val="00057347"/>
    <w:rsid w:val="00060698"/>
    <w:rsid w:val="00062A58"/>
    <w:rsid w:val="00063023"/>
    <w:rsid w:val="00064A63"/>
    <w:rsid w:val="00065F79"/>
    <w:rsid w:val="0006661F"/>
    <w:rsid w:val="00067446"/>
    <w:rsid w:val="00071464"/>
    <w:rsid w:val="00071D70"/>
    <w:rsid w:val="000725AA"/>
    <w:rsid w:val="00076A01"/>
    <w:rsid w:val="00081020"/>
    <w:rsid w:val="0008309C"/>
    <w:rsid w:val="000857B1"/>
    <w:rsid w:val="0008589B"/>
    <w:rsid w:val="00085AB8"/>
    <w:rsid w:val="00086663"/>
    <w:rsid w:val="00090DC9"/>
    <w:rsid w:val="00092D3D"/>
    <w:rsid w:val="00093520"/>
    <w:rsid w:val="00093E90"/>
    <w:rsid w:val="00095CDA"/>
    <w:rsid w:val="00095D9E"/>
    <w:rsid w:val="00095E0C"/>
    <w:rsid w:val="00095E7C"/>
    <w:rsid w:val="000960C9"/>
    <w:rsid w:val="00096322"/>
    <w:rsid w:val="000A2AB2"/>
    <w:rsid w:val="000A4259"/>
    <w:rsid w:val="000A5734"/>
    <w:rsid w:val="000A5A3B"/>
    <w:rsid w:val="000A649B"/>
    <w:rsid w:val="000B0503"/>
    <w:rsid w:val="000B3928"/>
    <w:rsid w:val="000B441F"/>
    <w:rsid w:val="000C16F7"/>
    <w:rsid w:val="000C2CFE"/>
    <w:rsid w:val="000C3726"/>
    <w:rsid w:val="000C54C9"/>
    <w:rsid w:val="000C559C"/>
    <w:rsid w:val="000C7576"/>
    <w:rsid w:val="000D27BD"/>
    <w:rsid w:val="000D3CD2"/>
    <w:rsid w:val="000D4CEB"/>
    <w:rsid w:val="000D7D8B"/>
    <w:rsid w:val="000D7E6B"/>
    <w:rsid w:val="000D7E84"/>
    <w:rsid w:val="000E09D6"/>
    <w:rsid w:val="000E2F61"/>
    <w:rsid w:val="000E3273"/>
    <w:rsid w:val="000E3748"/>
    <w:rsid w:val="000E388F"/>
    <w:rsid w:val="000E6DE9"/>
    <w:rsid w:val="000F35E1"/>
    <w:rsid w:val="000F3777"/>
    <w:rsid w:val="000F4648"/>
    <w:rsid w:val="000F5BFF"/>
    <w:rsid w:val="001007E1"/>
    <w:rsid w:val="00101E04"/>
    <w:rsid w:val="001054C9"/>
    <w:rsid w:val="00106F6C"/>
    <w:rsid w:val="0011356B"/>
    <w:rsid w:val="00114CAA"/>
    <w:rsid w:val="00120199"/>
    <w:rsid w:val="001204A9"/>
    <w:rsid w:val="00124A1D"/>
    <w:rsid w:val="00124E6B"/>
    <w:rsid w:val="001259DC"/>
    <w:rsid w:val="00125C99"/>
    <w:rsid w:val="00126F83"/>
    <w:rsid w:val="00132DA6"/>
    <w:rsid w:val="00135371"/>
    <w:rsid w:val="001375D4"/>
    <w:rsid w:val="001377CE"/>
    <w:rsid w:val="0014022A"/>
    <w:rsid w:val="001504FB"/>
    <w:rsid w:val="001533DC"/>
    <w:rsid w:val="00155212"/>
    <w:rsid w:val="0016028A"/>
    <w:rsid w:val="0016104E"/>
    <w:rsid w:val="001621CB"/>
    <w:rsid w:val="00163462"/>
    <w:rsid w:val="00163B88"/>
    <w:rsid w:val="0016439A"/>
    <w:rsid w:val="00164441"/>
    <w:rsid w:val="0017132F"/>
    <w:rsid w:val="00171C41"/>
    <w:rsid w:val="00171F21"/>
    <w:rsid w:val="00175D8E"/>
    <w:rsid w:val="001768DE"/>
    <w:rsid w:val="0018439B"/>
    <w:rsid w:val="00185317"/>
    <w:rsid w:val="00186717"/>
    <w:rsid w:val="001922A1"/>
    <w:rsid w:val="00195FF0"/>
    <w:rsid w:val="001A14BE"/>
    <w:rsid w:val="001A2949"/>
    <w:rsid w:val="001A507D"/>
    <w:rsid w:val="001B0895"/>
    <w:rsid w:val="001B13E4"/>
    <w:rsid w:val="001B21F7"/>
    <w:rsid w:val="001B25A3"/>
    <w:rsid w:val="001B3D3C"/>
    <w:rsid w:val="001B45F4"/>
    <w:rsid w:val="001B4729"/>
    <w:rsid w:val="001C2015"/>
    <w:rsid w:val="001C2809"/>
    <w:rsid w:val="001C2A88"/>
    <w:rsid w:val="001C49D7"/>
    <w:rsid w:val="001C6AB6"/>
    <w:rsid w:val="001D39DE"/>
    <w:rsid w:val="001D487E"/>
    <w:rsid w:val="001D4F18"/>
    <w:rsid w:val="001D6C34"/>
    <w:rsid w:val="001D771C"/>
    <w:rsid w:val="001E0C96"/>
    <w:rsid w:val="001E4257"/>
    <w:rsid w:val="001F03FF"/>
    <w:rsid w:val="001F0FCE"/>
    <w:rsid w:val="001F152E"/>
    <w:rsid w:val="001F4C90"/>
    <w:rsid w:val="001F63FF"/>
    <w:rsid w:val="001F6539"/>
    <w:rsid w:val="001F7C95"/>
    <w:rsid w:val="00200955"/>
    <w:rsid w:val="00201060"/>
    <w:rsid w:val="00201479"/>
    <w:rsid w:val="00201942"/>
    <w:rsid w:val="002021E7"/>
    <w:rsid w:val="00205CDF"/>
    <w:rsid w:val="00205FF9"/>
    <w:rsid w:val="002108FD"/>
    <w:rsid w:val="0021270B"/>
    <w:rsid w:val="0021305C"/>
    <w:rsid w:val="00214BBA"/>
    <w:rsid w:val="00217B33"/>
    <w:rsid w:val="00221C36"/>
    <w:rsid w:val="002224C4"/>
    <w:rsid w:val="00222FB8"/>
    <w:rsid w:val="00225194"/>
    <w:rsid w:val="00227951"/>
    <w:rsid w:val="002316C5"/>
    <w:rsid w:val="002325E6"/>
    <w:rsid w:val="002334F9"/>
    <w:rsid w:val="0023547A"/>
    <w:rsid w:val="00240ACC"/>
    <w:rsid w:val="00243735"/>
    <w:rsid w:val="00245ABA"/>
    <w:rsid w:val="0024688D"/>
    <w:rsid w:val="00246BC8"/>
    <w:rsid w:val="00247172"/>
    <w:rsid w:val="0024732E"/>
    <w:rsid w:val="00250436"/>
    <w:rsid w:val="00250479"/>
    <w:rsid w:val="0025160B"/>
    <w:rsid w:val="00255B51"/>
    <w:rsid w:val="00255DFE"/>
    <w:rsid w:val="00256C08"/>
    <w:rsid w:val="0025718C"/>
    <w:rsid w:val="00262821"/>
    <w:rsid w:val="0026310B"/>
    <w:rsid w:val="0026507F"/>
    <w:rsid w:val="00267427"/>
    <w:rsid w:val="00270C93"/>
    <w:rsid w:val="00277FAD"/>
    <w:rsid w:val="00281BD3"/>
    <w:rsid w:val="002853D0"/>
    <w:rsid w:val="00285EB0"/>
    <w:rsid w:val="00286158"/>
    <w:rsid w:val="0028646D"/>
    <w:rsid w:val="00287FE5"/>
    <w:rsid w:val="002933B2"/>
    <w:rsid w:val="00293C15"/>
    <w:rsid w:val="00294693"/>
    <w:rsid w:val="00294E7B"/>
    <w:rsid w:val="00296A47"/>
    <w:rsid w:val="002A18EF"/>
    <w:rsid w:val="002A21A9"/>
    <w:rsid w:val="002A5E6F"/>
    <w:rsid w:val="002A7F5D"/>
    <w:rsid w:val="002B0FB6"/>
    <w:rsid w:val="002B4DF5"/>
    <w:rsid w:val="002B699F"/>
    <w:rsid w:val="002C061E"/>
    <w:rsid w:val="002C276C"/>
    <w:rsid w:val="002C36BA"/>
    <w:rsid w:val="002C5303"/>
    <w:rsid w:val="002C5DD4"/>
    <w:rsid w:val="002C7D5F"/>
    <w:rsid w:val="002D15A6"/>
    <w:rsid w:val="002D3AF1"/>
    <w:rsid w:val="002D53A2"/>
    <w:rsid w:val="002D5FC1"/>
    <w:rsid w:val="002E1A88"/>
    <w:rsid w:val="002E3F4C"/>
    <w:rsid w:val="002E69C4"/>
    <w:rsid w:val="002F03E4"/>
    <w:rsid w:val="002F0B53"/>
    <w:rsid w:val="002F0BA3"/>
    <w:rsid w:val="002F382C"/>
    <w:rsid w:val="002F6D90"/>
    <w:rsid w:val="002F79B8"/>
    <w:rsid w:val="002F7DE6"/>
    <w:rsid w:val="00311AD9"/>
    <w:rsid w:val="0031314E"/>
    <w:rsid w:val="00313EC1"/>
    <w:rsid w:val="00315DA2"/>
    <w:rsid w:val="0032137B"/>
    <w:rsid w:val="00321652"/>
    <w:rsid w:val="0032487A"/>
    <w:rsid w:val="00324EA5"/>
    <w:rsid w:val="00326CA6"/>
    <w:rsid w:val="00327B34"/>
    <w:rsid w:val="00332BF0"/>
    <w:rsid w:val="003368FE"/>
    <w:rsid w:val="003374C0"/>
    <w:rsid w:val="00344AF0"/>
    <w:rsid w:val="00344DB3"/>
    <w:rsid w:val="003456FF"/>
    <w:rsid w:val="00346599"/>
    <w:rsid w:val="00350410"/>
    <w:rsid w:val="00354441"/>
    <w:rsid w:val="0035659A"/>
    <w:rsid w:val="003570AA"/>
    <w:rsid w:val="0036000A"/>
    <w:rsid w:val="00360846"/>
    <w:rsid w:val="003612CA"/>
    <w:rsid w:val="00361618"/>
    <w:rsid w:val="00362AE3"/>
    <w:rsid w:val="00363D68"/>
    <w:rsid w:val="00363E04"/>
    <w:rsid w:val="00364505"/>
    <w:rsid w:val="0037440D"/>
    <w:rsid w:val="00374F31"/>
    <w:rsid w:val="003807F9"/>
    <w:rsid w:val="00380B6A"/>
    <w:rsid w:val="00386607"/>
    <w:rsid w:val="003878F2"/>
    <w:rsid w:val="00391BF2"/>
    <w:rsid w:val="003924BD"/>
    <w:rsid w:val="00392B69"/>
    <w:rsid w:val="00393885"/>
    <w:rsid w:val="0039581D"/>
    <w:rsid w:val="00395861"/>
    <w:rsid w:val="00397311"/>
    <w:rsid w:val="003A053E"/>
    <w:rsid w:val="003A0E1A"/>
    <w:rsid w:val="003A13F6"/>
    <w:rsid w:val="003A18B2"/>
    <w:rsid w:val="003A7472"/>
    <w:rsid w:val="003B168C"/>
    <w:rsid w:val="003B6657"/>
    <w:rsid w:val="003B6937"/>
    <w:rsid w:val="003B7C4D"/>
    <w:rsid w:val="003C1074"/>
    <w:rsid w:val="003C11C5"/>
    <w:rsid w:val="003C3B42"/>
    <w:rsid w:val="003C41B0"/>
    <w:rsid w:val="003C5A32"/>
    <w:rsid w:val="003C5BF6"/>
    <w:rsid w:val="003C7D5F"/>
    <w:rsid w:val="003D14C4"/>
    <w:rsid w:val="003D14EF"/>
    <w:rsid w:val="003D1A15"/>
    <w:rsid w:val="003D1ADA"/>
    <w:rsid w:val="003D1BD8"/>
    <w:rsid w:val="003E17DD"/>
    <w:rsid w:val="003E1AB0"/>
    <w:rsid w:val="003E3A7B"/>
    <w:rsid w:val="003E4752"/>
    <w:rsid w:val="003F0E03"/>
    <w:rsid w:val="003F1309"/>
    <w:rsid w:val="003F261F"/>
    <w:rsid w:val="003F4753"/>
    <w:rsid w:val="003F543E"/>
    <w:rsid w:val="003F5758"/>
    <w:rsid w:val="003F582C"/>
    <w:rsid w:val="003F6CFD"/>
    <w:rsid w:val="003F6D92"/>
    <w:rsid w:val="003F7094"/>
    <w:rsid w:val="004026E2"/>
    <w:rsid w:val="004042DA"/>
    <w:rsid w:val="00405F62"/>
    <w:rsid w:val="00406328"/>
    <w:rsid w:val="004069BB"/>
    <w:rsid w:val="00407F3C"/>
    <w:rsid w:val="00412ABA"/>
    <w:rsid w:val="00412F9D"/>
    <w:rsid w:val="00413F18"/>
    <w:rsid w:val="00416D3D"/>
    <w:rsid w:val="00416D92"/>
    <w:rsid w:val="00421A18"/>
    <w:rsid w:val="00421EAA"/>
    <w:rsid w:val="00422643"/>
    <w:rsid w:val="00427FC1"/>
    <w:rsid w:val="00430C1D"/>
    <w:rsid w:val="004315A1"/>
    <w:rsid w:val="00431A9B"/>
    <w:rsid w:val="00432C50"/>
    <w:rsid w:val="004335C3"/>
    <w:rsid w:val="00433920"/>
    <w:rsid w:val="0044062B"/>
    <w:rsid w:val="00441BEC"/>
    <w:rsid w:val="00444671"/>
    <w:rsid w:val="0044498E"/>
    <w:rsid w:val="00446706"/>
    <w:rsid w:val="00446F8E"/>
    <w:rsid w:val="00452AF9"/>
    <w:rsid w:val="00454B2E"/>
    <w:rsid w:val="004552EA"/>
    <w:rsid w:val="00456F07"/>
    <w:rsid w:val="00461417"/>
    <w:rsid w:val="00463025"/>
    <w:rsid w:val="00463C27"/>
    <w:rsid w:val="00464564"/>
    <w:rsid w:val="00465557"/>
    <w:rsid w:val="00471FBF"/>
    <w:rsid w:val="004728DF"/>
    <w:rsid w:val="00475749"/>
    <w:rsid w:val="004763DC"/>
    <w:rsid w:val="00476587"/>
    <w:rsid w:val="00476CA6"/>
    <w:rsid w:val="00482069"/>
    <w:rsid w:val="00483DF4"/>
    <w:rsid w:val="0048427F"/>
    <w:rsid w:val="0048597B"/>
    <w:rsid w:val="0048610E"/>
    <w:rsid w:val="00493428"/>
    <w:rsid w:val="00497B6C"/>
    <w:rsid w:val="004A016A"/>
    <w:rsid w:val="004A1205"/>
    <w:rsid w:val="004A12D6"/>
    <w:rsid w:val="004A28DE"/>
    <w:rsid w:val="004A31D2"/>
    <w:rsid w:val="004B5692"/>
    <w:rsid w:val="004B56B5"/>
    <w:rsid w:val="004C2605"/>
    <w:rsid w:val="004C270F"/>
    <w:rsid w:val="004C56E5"/>
    <w:rsid w:val="004C699D"/>
    <w:rsid w:val="004D0651"/>
    <w:rsid w:val="004D25F6"/>
    <w:rsid w:val="004D346A"/>
    <w:rsid w:val="004D3AFF"/>
    <w:rsid w:val="004D6607"/>
    <w:rsid w:val="004E3346"/>
    <w:rsid w:val="004E440B"/>
    <w:rsid w:val="004F4832"/>
    <w:rsid w:val="004F6121"/>
    <w:rsid w:val="0050296D"/>
    <w:rsid w:val="0050389A"/>
    <w:rsid w:val="005057C8"/>
    <w:rsid w:val="00511D4A"/>
    <w:rsid w:val="00511E22"/>
    <w:rsid w:val="00514B69"/>
    <w:rsid w:val="0051539B"/>
    <w:rsid w:val="005162B0"/>
    <w:rsid w:val="00520AF3"/>
    <w:rsid w:val="00522CCA"/>
    <w:rsid w:val="00523368"/>
    <w:rsid w:val="00523B58"/>
    <w:rsid w:val="00523E61"/>
    <w:rsid w:val="00524E73"/>
    <w:rsid w:val="005257B2"/>
    <w:rsid w:val="0052780E"/>
    <w:rsid w:val="00532E40"/>
    <w:rsid w:val="005342F5"/>
    <w:rsid w:val="005343DE"/>
    <w:rsid w:val="00534AC3"/>
    <w:rsid w:val="00535C27"/>
    <w:rsid w:val="00541ACB"/>
    <w:rsid w:val="00545251"/>
    <w:rsid w:val="00545FA8"/>
    <w:rsid w:val="00547E90"/>
    <w:rsid w:val="00547F73"/>
    <w:rsid w:val="0055002B"/>
    <w:rsid w:val="00550921"/>
    <w:rsid w:val="00550B4F"/>
    <w:rsid w:val="00553493"/>
    <w:rsid w:val="005536F9"/>
    <w:rsid w:val="00553EE2"/>
    <w:rsid w:val="00557311"/>
    <w:rsid w:val="0056166A"/>
    <w:rsid w:val="00562191"/>
    <w:rsid w:val="005632D7"/>
    <w:rsid w:val="00563C7F"/>
    <w:rsid w:val="00564A60"/>
    <w:rsid w:val="00566FA7"/>
    <w:rsid w:val="00570F35"/>
    <w:rsid w:val="005717A6"/>
    <w:rsid w:val="00573BD2"/>
    <w:rsid w:val="00574B31"/>
    <w:rsid w:val="00580233"/>
    <w:rsid w:val="00581AE2"/>
    <w:rsid w:val="0058314D"/>
    <w:rsid w:val="005905BD"/>
    <w:rsid w:val="005909A6"/>
    <w:rsid w:val="00591E0B"/>
    <w:rsid w:val="00592123"/>
    <w:rsid w:val="00597B50"/>
    <w:rsid w:val="005A0A0E"/>
    <w:rsid w:val="005A0BA9"/>
    <w:rsid w:val="005A19A6"/>
    <w:rsid w:val="005A37CE"/>
    <w:rsid w:val="005A3EDC"/>
    <w:rsid w:val="005A49AF"/>
    <w:rsid w:val="005A5C07"/>
    <w:rsid w:val="005A6F88"/>
    <w:rsid w:val="005B1864"/>
    <w:rsid w:val="005B597A"/>
    <w:rsid w:val="005B7D89"/>
    <w:rsid w:val="005C05FA"/>
    <w:rsid w:val="005C20A7"/>
    <w:rsid w:val="005C5B00"/>
    <w:rsid w:val="005D0738"/>
    <w:rsid w:val="005D08D1"/>
    <w:rsid w:val="005D0F82"/>
    <w:rsid w:val="005D3C97"/>
    <w:rsid w:val="005D5E9F"/>
    <w:rsid w:val="005E1104"/>
    <w:rsid w:val="005E15BC"/>
    <w:rsid w:val="005E430D"/>
    <w:rsid w:val="005E44B3"/>
    <w:rsid w:val="005E46E6"/>
    <w:rsid w:val="005E47A3"/>
    <w:rsid w:val="005E74E2"/>
    <w:rsid w:val="005F0A1D"/>
    <w:rsid w:val="005F0BBF"/>
    <w:rsid w:val="005F1F71"/>
    <w:rsid w:val="005F33C9"/>
    <w:rsid w:val="0060156C"/>
    <w:rsid w:val="00601E12"/>
    <w:rsid w:val="00604A0D"/>
    <w:rsid w:val="00605089"/>
    <w:rsid w:val="00606ADB"/>
    <w:rsid w:val="006100FC"/>
    <w:rsid w:val="00611C43"/>
    <w:rsid w:val="00611FF0"/>
    <w:rsid w:val="0061283D"/>
    <w:rsid w:val="00614838"/>
    <w:rsid w:val="00615655"/>
    <w:rsid w:val="00615914"/>
    <w:rsid w:val="0061613A"/>
    <w:rsid w:val="00617599"/>
    <w:rsid w:val="00617FA3"/>
    <w:rsid w:val="0062345B"/>
    <w:rsid w:val="00627313"/>
    <w:rsid w:val="00631860"/>
    <w:rsid w:val="00632189"/>
    <w:rsid w:val="0063509F"/>
    <w:rsid w:val="00642F1B"/>
    <w:rsid w:val="00643955"/>
    <w:rsid w:val="00645F58"/>
    <w:rsid w:val="00647915"/>
    <w:rsid w:val="006570A4"/>
    <w:rsid w:val="00660854"/>
    <w:rsid w:val="00665770"/>
    <w:rsid w:val="006670B6"/>
    <w:rsid w:val="006674C4"/>
    <w:rsid w:val="006700C3"/>
    <w:rsid w:val="00670459"/>
    <w:rsid w:val="00672BF4"/>
    <w:rsid w:val="0067642A"/>
    <w:rsid w:val="0068140B"/>
    <w:rsid w:val="00682302"/>
    <w:rsid w:val="0068293C"/>
    <w:rsid w:val="00683590"/>
    <w:rsid w:val="00683D22"/>
    <w:rsid w:val="00684D39"/>
    <w:rsid w:val="0068726A"/>
    <w:rsid w:val="00687C7A"/>
    <w:rsid w:val="00690768"/>
    <w:rsid w:val="006926A6"/>
    <w:rsid w:val="00694B76"/>
    <w:rsid w:val="00695971"/>
    <w:rsid w:val="0069615C"/>
    <w:rsid w:val="006968E7"/>
    <w:rsid w:val="00696B35"/>
    <w:rsid w:val="006977BD"/>
    <w:rsid w:val="006A57E5"/>
    <w:rsid w:val="006A63A0"/>
    <w:rsid w:val="006A6863"/>
    <w:rsid w:val="006A6AEF"/>
    <w:rsid w:val="006A6BF7"/>
    <w:rsid w:val="006A7A03"/>
    <w:rsid w:val="006A7F1E"/>
    <w:rsid w:val="006B0404"/>
    <w:rsid w:val="006B4377"/>
    <w:rsid w:val="006C206F"/>
    <w:rsid w:val="006C2AD2"/>
    <w:rsid w:val="006C713A"/>
    <w:rsid w:val="006C7820"/>
    <w:rsid w:val="006D0208"/>
    <w:rsid w:val="006D112D"/>
    <w:rsid w:val="006D3A27"/>
    <w:rsid w:val="006D5B74"/>
    <w:rsid w:val="006E04D3"/>
    <w:rsid w:val="006E3894"/>
    <w:rsid w:val="006E41F5"/>
    <w:rsid w:val="006E4758"/>
    <w:rsid w:val="006F1B11"/>
    <w:rsid w:val="006F1DDB"/>
    <w:rsid w:val="006F244A"/>
    <w:rsid w:val="006F427D"/>
    <w:rsid w:val="006F503E"/>
    <w:rsid w:val="006F56AD"/>
    <w:rsid w:val="006F74F8"/>
    <w:rsid w:val="006F7B9D"/>
    <w:rsid w:val="00702505"/>
    <w:rsid w:val="00702F0B"/>
    <w:rsid w:val="00703FFD"/>
    <w:rsid w:val="0070498B"/>
    <w:rsid w:val="0070545D"/>
    <w:rsid w:val="00706640"/>
    <w:rsid w:val="0070764A"/>
    <w:rsid w:val="00710BB9"/>
    <w:rsid w:val="00713278"/>
    <w:rsid w:val="0071334D"/>
    <w:rsid w:val="00714100"/>
    <w:rsid w:val="00714486"/>
    <w:rsid w:val="007156A0"/>
    <w:rsid w:val="007157A6"/>
    <w:rsid w:val="00715AF4"/>
    <w:rsid w:val="00717BBB"/>
    <w:rsid w:val="00722EB6"/>
    <w:rsid w:val="0072449D"/>
    <w:rsid w:val="00730094"/>
    <w:rsid w:val="00731F1A"/>
    <w:rsid w:val="0073371A"/>
    <w:rsid w:val="00736ABF"/>
    <w:rsid w:val="007371FB"/>
    <w:rsid w:val="00737913"/>
    <w:rsid w:val="00743BE5"/>
    <w:rsid w:val="00744FA3"/>
    <w:rsid w:val="007470DE"/>
    <w:rsid w:val="00747581"/>
    <w:rsid w:val="00753C93"/>
    <w:rsid w:val="00755DB9"/>
    <w:rsid w:val="0076303E"/>
    <w:rsid w:val="007638F2"/>
    <w:rsid w:val="007654F8"/>
    <w:rsid w:val="0076627C"/>
    <w:rsid w:val="00767EF3"/>
    <w:rsid w:val="00770DD1"/>
    <w:rsid w:val="00775AC1"/>
    <w:rsid w:val="00777029"/>
    <w:rsid w:val="00777E27"/>
    <w:rsid w:val="00780C85"/>
    <w:rsid w:val="0078125F"/>
    <w:rsid w:val="007843A0"/>
    <w:rsid w:val="00784D8B"/>
    <w:rsid w:val="007865E3"/>
    <w:rsid w:val="00786605"/>
    <w:rsid w:val="00787A08"/>
    <w:rsid w:val="007923D1"/>
    <w:rsid w:val="007A042F"/>
    <w:rsid w:val="007A1F5E"/>
    <w:rsid w:val="007A2594"/>
    <w:rsid w:val="007A308D"/>
    <w:rsid w:val="007A4D3D"/>
    <w:rsid w:val="007A5D1E"/>
    <w:rsid w:val="007A6DCF"/>
    <w:rsid w:val="007A7B85"/>
    <w:rsid w:val="007B0322"/>
    <w:rsid w:val="007B09F4"/>
    <w:rsid w:val="007B0BF9"/>
    <w:rsid w:val="007B1F6A"/>
    <w:rsid w:val="007B3E54"/>
    <w:rsid w:val="007B44B6"/>
    <w:rsid w:val="007B47E2"/>
    <w:rsid w:val="007B6F80"/>
    <w:rsid w:val="007C5912"/>
    <w:rsid w:val="007C7E2C"/>
    <w:rsid w:val="007D3250"/>
    <w:rsid w:val="007E28E1"/>
    <w:rsid w:val="007E6CD6"/>
    <w:rsid w:val="007F0C67"/>
    <w:rsid w:val="007F4E3D"/>
    <w:rsid w:val="007F4F89"/>
    <w:rsid w:val="0080185D"/>
    <w:rsid w:val="008033D7"/>
    <w:rsid w:val="00803890"/>
    <w:rsid w:val="00803B24"/>
    <w:rsid w:val="00804AA2"/>
    <w:rsid w:val="00813EF9"/>
    <w:rsid w:val="00816B1A"/>
    <w:rsid w:val="00817DB1"/>
    <w:rsid w:val="00821DC3"/>
    <w:rsid w:val="00823EFB"/>
    <w:rsid w:val="00827A9B"/>
    <w:rsid w:val="008318AA"/>
    <w:rsid w:val="0083209F"/>
    <w:rsid w:val="008330AA"/>
    <w:rsid w:val="008332D0"/>
    <w:rsid w:val="00834215"/>
    <w:rsid w:val="00835603"/>
    <w:rsid w:val="00836C0F"/>
    <w:rsid w:val="00837431"/>
    <w:rsid w:val="00837C39"/>
    <w:rsid w:val="008400A9"/>
    <w:rsid w:val="008422D5"/>
    <w:rsid w:val="008430F2"/>
    <w:rsid w:val="0084424D"/>
    <w:rsid w:val="00852044"/>
    <w:rsid w:val="0085756D"/>
    <w:rsid w:val="00860F84"/>
    <w:rsid w:val="008634EB"/>
    <w:rsid w:val="008636E0"/>
    <w:rsid w:val="00864330"/>
    <w:rsid w:val="0086567A"/>
    <w:rsid w:val="0086622D"/>
    <w:rsid w:val="00866DAB"/>
    <w:rsid w:val="00867EB4"/>
    <w:rsid w:val="008705BC"/>
    <w:rsid w:val="0087082A"/>
    <w:rsid w:val="008717F9"/>
    <w:rsid w:val="00871AC6"/>
    <w:rsid w:val="00873FBF"/>
    <w:rsid w:val="00876F50"/>
    <w:rsid w:val="00883B37"/>
    <w:rsid w:val="00885C72"/>
    <w:rsid w:val="008865A0"/>
    <w:rsid w:val="00894111"/>
    <w:rsid w:val="00894459"/>
    <w:rsid w:val="00896EC4"/>
    <w:rsid w:val="00897459"/>
    <w:rsid w:val="008A00B7"/>
    <w:rsid w:val="008A5687"/>
    <w:rsid w:val="008A5ED3"/>
    <w:rsid w:val="008A6301"/>
    <w:rsid w:val="008B1BE2"/>
    <w:rsid w:val="008B28F2"/>
    <w:rsid w:val="008B345A"/>
    <w:rsid w:val="008C005A"/>
    <w:rsid w:val="008C3F69"/>
    <w:rsid w:val="008C5774"/>
    <w:rsid w:val="008C5C6B"/>
    <w:rsid w:val="008C5CF3"/>
    <w:rsid w:val="008C66C1"/>
    <w:rsid w:val="008D12A7"/>
    <w:rsid w:val="008D243E"/>
    <w:rsid w:val="008D3178"/>
    <w:rsid w:val="008D4091"/>
    <w:rsid w:val="008E30EC"/>
    <w:rsid w:val="008E36DA"/>
    <w:rsid w:val="008F0F88"/>
    <w:rsid w:val="008F1B55"/>
    <w:rsid w:val="008F3BE5"/>
    <w:rsid w:val="008F6E9D"/>
    <w:rsid w:val="008F7B01"/>
    <w:rsid w:val="00904567"/>
    <w:rsid w:val="009045B0"/>
    <w:rsid w:val="00912C08"/>
    <w:rsid w:val="0092058A"/>
    <w:rsid w:val="00923DD0"/>
    <w:rsid w:val="00924F13"/>
    <w:rsid w:val="00927DC0"/>
    <w:rsid w:val="00927DD3"/>
    <w:rsid w:val="00927F1D"/>
    <w:rsid w:val="00934B10"/>
    <w:rsid w:val="00935589"/>
    <w:rsid w:val="009401BD"/>
    <w:rsid w:val="00941EA9"/>
    <w:rsid w:val="00943485"/>
    <w:rsid w:val="009517A6"/>
    <w:rsid w:val="00952B7D"/>
    <w:rsid w:val="00952D8E"/>
    <w:rsid w:val="009563CC"/>
    <w:rsid w:val="00960D83"/>
    <w:rsid w:val="0096146D"/>
    <w:rsid w:val="00962782"/>
    <w:rsid w:val="00967E65"/>
    <w:rsid w:val="0097047D"/>
    <w:rsid w:val="00970BF0"/>
    <w:rsid w:val="00975626"/>
    <w:rsid w:val="009757E9"/>
    <w:rsid w:val="00975971"/>
    <w:rsid w:val="00976D6C"/>
    <w:rsid w:val="009821BA"/>
    <w:rsid w:val="0098404B"/>
    <w:rsid w:val="009861D3"/>
    <w:rsid w:val="009864B2"/>
    <w:rsid w:val="0099022D"/>
    <w:rsid w:val="00991410"/>
    <w:rsid w:val="00991600"/>
    <w:rsid w:val="009935D9"/>
    <w:rsid w:val="00997C82"/>
    <w:rsid w:val="009A0121"/>
    <w:rsid w:val="009A2291"/>
    <w:rsid w:val="009A4938"/>
    <w:rsid w:val="009A5E4F"/>
    <w:rsid w:val="009B0962"/>
    <w:rsid w:val="009B187E"/>
    <w:rsid w:val="009B2521"/>
    <w:rsid w:val="009B543D"/>
    <w:rsid w:val="009C019E"/>
    <w:rsid w:val="009C2F25"/>
    <w:rsid w:val="009C3FC9"/>
    <w:rsid w:val="009C57DF"/>
    <w:rsid w:val="009D2CF9"/>
    <w:rsid w:val="009D3EC5"/>
    <w:rsid w:val="009D4710"/>
    <w:rsid w:val="009D62C3"/>
    <w:rsid w:val="009E07EF"/>
    <w:rsid w:val="009E204C"/>
    <w:rsid w:val="009E23E5"/>
    <w:rsid w:val="009E333E"/>
    <w:rsid w:val="009E3FF2"/>
    <w:rsid w:val="009E49D5"/>
    <w:rsid w:val="009E63B6"/>
    <w:rsid w:val="009E6C86"/>
    <w:rsid w:val="009F17C7"/>
    <w:rsid w:val="009F1BD5"/>
    <w:rsid w:val="009F1F9C"/>
    <w:rsid w:val="009F249F"/>
    <w:rsid w:val="009F26B2"/>
    <w:rsid w:val="009F5D54"/>
    <w:rsid w:val="00A00040"/>
    <w:rsid w:val="00A01A48"/>
    <w:rsid w:val="00A04B9E"/>
    <w:rsid w:val="00A06F22"/>
    <w:rsid w:val="00A10D68"/>
    <w:rsid w:val="00A112E1"/>
    <w:rsid w:val="00A12FD2"/>
    <w:rsid w:val="00A15DBF"/>
    <w:rsid w:val="00A217A8"/>
    <w:rsid w:val="00A245EA"/>
    <w:rsid w:val="00A277D2"/>
    <w:rsid w:val="00A27808"/>
    <w:rsid w:val="00A306B8"/>
    <w:rsid w:val="00A321FB"/>
    <w:rsid w:val="00A33646"/>
    <w:rsid w:val="00A34E8A"/>
    <w:rsid w:val="00A36234"/>
    <w:rsid w:val="00A36389"/>
    <w:rsid w:val="00A36A01"/>
    <w:rsid w:val="00A40A22"/>
    <w:rsid w:val="00A44155"/>
    <w:rsid w:val="00A452EB"/>
    <w:rsid w:val="00A45A76"/>
    <w:rsid w:val="00A52070"/>
    <w:rsid w:val="00A53B91"/>
    <w:rsid w:val="00A57DF5"/>
    <w:rsid w:val="00A60C91"/>
    <w:rsid w:val="00A61323"/>
    <w:rsid w:val="00A616C3"/>
    <w:rsid w:val="00A65E7B"/>
    <w:rsid w:val="00A66C70"/>
    <w:rsid w:val="00A7119C"/>
    <w:rsid w:val="00A71630"/>
    <w:rsid w:val="00A7564F"/>
    <w:rsid w:val="00A7602E"/>
    <w:rsid w:val="00A81EEE"/>
    <w:rsid w:val="00A82CC9"/>
    <w:rsid w:val="00A87270"/>
    <w:rsid w:val="00A90662"/>
    <w:rsid w:val="00A90D24"/>
    <w:rsid w:val="00A965E2"/>
    <w:rsid w:val="00AA0F8E"/>
    <w:rsid w:val="00AA1621"/>
    <w:rsid w:val="00AA45A2"/>
    <w:rsid w:val="00AA47A8"/>
    <w:rsid w:val="00AA6340"/>
    <w:rsid w:val="00AB1550"/>
    <w:rsid w:val="00AB32AD"/>
    <w:rsid w:val="00AB3367"/>
    <w:rsid w:val="00AB53F6"/>
    <w:rsid w:val="00AB5A8A"/>
    <w:rsid w:val="00AB5D41"/>
    <w:rsid w:val="00AB66AD"/>
    <w:rsid w:val="00AC0E4C"/>
    <w:rsid w:val="00AC5913"/>
    <w:rsid w:val="00AC6D60"/>
    <w:rsid w:val="00AC7274"/>
    <w:rsid w:val="00AC7A79"/>
    <w:rsid w:val="00AC7D9B"/>
    <w:rsid w:val="00AD26BB"/>
    <w:rsid w:val="00AD2F6E"/>
    <w:rsid w:val="00AD3A06"/>
    <w:rsid w:val="00AD4465"/>
    <w:rsid w:val="00AD6038"/>
    <w:rsid w:val="00AE46D4"/>
    <w:rsid w:val="00AF1638"/>
    <w:rsid w:val="00AF22F7"/>
    <w:rsid w:val="00AF25F7"/>
    <w:rsid w:val="00AF2D1B"/>
    <w:rsid w:val="00AF48EA"/>
    <w:rsid w:val="00AF5A64"/>
    <w:rsid w:val="00AF5C17"/>
    <w:rsid w:val="00AF6814"/>
    <w:rsid w:val="00B03528"/>
    <w:rsid w:val="00B0385F"/>
    <w:rsid w:val="00B05E47"/>
    <w:rsid w:val="00B07B29"/>
    <w:rsid w:val="00B10B81"/>
    <w:rsid w:val="00B12253"/>
    <w:rsid w:val="00B1371A"/>
    <w:rsid w:val="00B218BF"/>
    <w:rsid w:val="00B2632D"/>
    <w:rsid w:val="00B30C4C"/>
    <w:rsid w:val="00B34085"/>
    <w:rsid w:val="00B40F6D"/>
    <w:rsid w:val="00B42667"/>
    <w:rsid w:val="00B45178"/>
    <w:rsid w:val="00B45C70"/>
    <w:rsid w:val="00B46D3C"/>
    <w:rsid w:val="00B51747"/>
    <w:rsid w:val="00B53E73"/>
    <w:rsid w:val="00B56760"/>
    <w:rsid w:val="00B6493B"/>
    <w:rsid w:val="00B64FA5"/>
    <w:rsid w:val="00B64FD0"/>
    <w:rsid w:val="00B66DB6"/>
    <w:rsid w:val="00B70125"/>
    <w:rsid w:val="00B7018D"/>
    <w:rsid w:val="00B73EA1"/>
    <w:rsid w:val="00B810C5"/>
    <w:rsid w:val="00B826B5"/>
    <w:rsid w:val="00B85403"/>
    <w:rsid w:val="00B86246"/>
    <w:rsid w:val="00B86CCA"/>
    <w:rsid w:val="00B90B78"/>
    <w:rsid w:val="00B91AA3"/>
    <w:rsid w:val="00B91B31"/>
    <w:rsid w:val="00B94747"/>
    <w:rsid w:val="00B94E16"/>
    <w:rsid w:val="00B960DE"/>
    <w:rsid w:val="00B968DE"/>
    <w:rsid w:val="00B97673"/>
    <w:rsid w:val="00B97F47"/>
    <w:rsid w:val="00BA1025"/>
    <w:rsid w:val="00BA114D"/>
    <w:rsid w:val="00BA17BE"/>
    <w:rsid w:val="00BA1E0D"/>
    <w:rsid w:val="00BA4F4F"/>
    <w:rsid w:val="00BA5BF5"/>
    <w:rsid w:val="00BA6175"/>
    <w:rsid w:val="00BA6B1E"/>
    <w:rsid w:val="00BB385D"/>
    <w:rsid w:val="00BB4559"/>
    <w:rsid w:val="00BB7DB2"/>
    <w:rsid w:val="00BC3F9A"/>
    <w:rsid w:val="00BC44D1"/>
    <w:rsid w:val="00BC45B6"/>
    <w:rsid w:val="00BC5460"/>
    <w:rsid w:val="00BC6B8B"/>
    <w:rsid w:val="00BC7089"/>
    <w:rsid w:val="00BC72FD"/>
    <w:rsid w:val="00BC7772"/>
    <w:rsid w:val="00BE41DE"/>
    <w:rsid w:val="00BF0F2C"/>
    <w:rsid w:val="00BF1657"/>
    <w:rsid w:val="00BF2F96"/>
    <w:rsid w:val="00BF4AB7"/>
    <w:rsid w:val="00BF500F"/>
    <w:rsid w:val="00BF54D9"/>
    <w:rsid w:val="00BF5AB1"/>
    <w:rsid w:val="00C014EA"/>
    <w:rsid w:val="00C03582"/>
    <w:rsid w:val="00C06327"/>
    <w:rsid w:val="00C0710B"/>
    <w:rsid w:val="00C1058A"/>
    <w:rsid w:val="00C10E3B"/>
    <w:rsid w:val="00C1468A"/>
    <w:rsid w:val="00C15547"/>
    <w:rsid w:val="00C16265"/>
    <w:rsid w:val="00C17693"/>
    <w:rsid w:val="00C20559"/>
    <w:rsid w:val="00C20B84"/>
    <w:rsid w:val="00C20C76"/>
    <w:rsid w:val="00C21154"/>
    <w:rsid w:val="00C24410"/>
    <w:rsid w:val="00C254A3"/>
    <w:rsid w:val="00C266BD"/>
    <w:rsid w:val="00C27FDA"/>
    <w:rsid w:val="00C32258"/>
    <w:rsid w:val="00C32885"/>
    <w:rsid w:val="00C3695A"/>
    <w:rsid w:val="00C36BB6"/>
    <w:rsid w:val="00C36D35"/>
    <w:rsid w:val="00C43FE1"/>
    <w:rsid w:val="00C5270D"/>
    <w:rsid w:val="00C63D71"/>
    <w:rsid w:val="00C64437"/>
    <w:rsid w:val="00C70012"/>
    <w:rsid w:val="00C73CD5"/>
    <w:rsid w:val="00C74553"/>
    <w:rsid w:val="00C75D7E"/>
    <w:rsid w:val="00C817E4"/>
    <w:rsid w:val="00C843BF"/>
    <w:rsid w:val="00C84E6B"/>
    <w:rsid w:val="00C85C3F"/>
    <w:rsid w:val="00C85DCA"/>
    <w:rsid w:val="00C86CCD"/>
    <w:rsid w:val="00C87333"/>
    <w:rsid w:val="00C87546"/>
    <w:rsid w:val="00C87CCE"/>
    <w:rsid w:val="00C929C6"/>
    <w:rsid w:val="00C939EC"/>
    <w:rsid w:val="00C94AF0"/>
    <w:rsid w:val="00C962CB"/>
    <w:rsid w:val="00C97B19"/>
    <w:rsid w:val="00CA1BE6"/>
    <w:rsid w:val="00CA427A"/>
    <w:rsid w:val="00CA4D01"/>
    <w:rsid w:val="00CA58F6"/>
    <w:rsid w:val="00CB2488"/>
    <w:rsid w:val="00CB2BF3"/>
    <w:rsid w:val="00CB6159"/>
    <w:rsid w:val="00CC075E"/>
    <w:rsid w:val="00CC4659"/>
    <w:rsid w:val="00CC5F78"/>
    <w:rsid w:val="00CC60A3"/>
    <w:rsid w:val="00CD2100"/>
    <w:rsid w:val="00CD3063"/>
    <w:rsid w:val="00CD40B7"/>
    <w:rsid w:val="00CD41F0"/>
    <w:rsid w:val="00CD5388"/>
    <w:rsid w:val="00CE0DDA"/>
    <w:rsid w:val="00CE29A1"/>
    <w:rsid w:val="00CE6730"/>
    <w:rsid w:val="00CF0077"/>
    <w:rsid w:val="00CF0B91"/>
    <w:rsid w:val="00CF16D7"/>
    <w:rsid w:val="00CF2558"/>
    <w:rsid w:val="00CF6025"/>
    <w:rsid w:val="00CF670A"/>
    <w:rsid w:val="00CF7C98"/>
    <w:rsid w:val="00D044ED"/>
    <w:rsid w:val="00D06113"/>
    <w:rsid w:val="00D07496"/>
    <w:rsid w:val="00D1281F"/>
    <w:rsid w:val="00D131A8"/>
    <w:rsid w:val="00D14AC3"/>
    <w:rsid w:val="00D207E1"/>
    <w:rsid w:val="00D21468"/>
    <w:rsid w:val="00D240F1"/>
    <w:rsid w:val="00D25D0E"/>
    <w:rsid w:val="00D2630E"/>
    <w:rsid w:val="00D30600"/>
    <w:rsid w:val="00D31A8D"/>
    <w:rsid w:val="00D31B2D"/>
    <w:rsid w:val="00D3456D"/>
    <w:rsid w:val="00D347A1"/>
    <w:rsid w:val="00D36DB9"/>
    <w:rsid w:val="00D406B7"/>
    <w:rsid w:val="00D42123"/>
    <w:rsid w:val="00D437FF"/>
    <w:rsid w:val="00D44273"/>
    <w:rsid w:val="00D449B0"/>
    <w:rsid w:val="00D4631C"/>
    <w:rsid w:val="00D46AF0"/>
    <w:rsid w:val="00D4732C"/>
    <w:rsid w:val="00D530EE"/>
    <w:rsid w:val="00D60737"/>
    <w:rsid w:val="00D6146F"/>
    <w:rsid w:val="00D61977"/>
    <w:rsid w:val="00D63B5F"/>
    <w:rsid w:val="00D662B7"/>
    <w:rsid w:val="00D67727"/>
    <w:rsid w:val="00D67A45"/>
    <w:rsid w:val="00D825B3"/>
    <w:rsid w:val="00D846B7"/>
    <w:rsid w:val="00D852AD"/>
    <w:rsid w:val="00D867B7"/>
    <w:rsid w:val="00D90CF1"/>
    <w:rsid w:val="00D91405"/>
    <w:rsid w:val="00D92988"/>
    <w:rsid w:val="00D96E4D"/>
    <w:rsid w:val="00D974D4"/>
    <w:rsid w:val="00DA453C"/>
    <w:rsid w:val="00DA49AE"/>
    <w:rsid w:val="00DA6565"/>
    <w:rsid w:val="00DB0C09"/>
    <w:rsid w:val="00DC4771"/>
    <w:rsid w:val="00DC6709"/>
    <w:rsid w:val="00DC70B4"/>
    <w:rsid w:val="00DC7FEE"/>
    <w:rsid w:val="00DD4BAC"/>
    <w:rsid w:val="00DD719E"/>
    <w:rsid w:val="00DE1583"/>
    <w:rsid w:val="00DE1CFB"/>
    <w:rsid w:val="00DE3462"/>
    <w:rsid w:val="00DE58A4"/>
    <w:rsid w:val="00DE62B6"/>
    <w:rsid w:val="00DE775C"/>
    <w:rsid w:val="00DE7BF1"/>
    <w:rsid w:val="00DF115B"/>
    <w:rsid w:val="00DF4B7D"/>
    <w:rsid w:val="00DF50A2"/>
    <w:rsid w:val="00DF5CE8"/>
    <w:rsid w:val="00DF794E"/>
    <w:rsid w:val="00E00DD0"/>
    <w:rsid w:val="00E010FF"/>
    <w:rsid w:val="00E0287C"/>
    <w:rsid w:val="00E02A80"/>
    <w:rsid w:val="00E05CD5"/>
    <w:rsid w:val="00E06473"/>
    <w:rsid w:val="00E06606"/>
    <w:rsid w:val="00E10E59"/>
    <w:rsid w:val="00E142B2"/>
    <w:rsid w:val="00E14A5D"/>
    <w:rsid w:val="00E14FEA"/>
    <w:rsid w:val="00E168E6"/>
    <w:rsid w:val="00E16D30"/>
    <w:rsid w:val="00E17A23"/>
    <w:rsid w:val="00E206F7"/>
    <w:rsid w:val="00E20BCC"/>
    <w:rsid w:val="00E20CCD"/>
    <w:rsid w:val="00E2211C"/>
    <w:rsid w:val="00E22F97"/>
    <w:rsid w:val="00E24E68"/>
    <w:rsid w:val="00E27B93"/>
    <w:rsid w:val="00E310CF"/>
    <w:rsid w:val="00E3157E"/>
    <w:rsid w:val="00E31B25"/>
    <w:rsid w:val="00E31C85"/>
    <w:rsid w:val="00E34D9B"/>
    <w:rsid w:val="00E357A1"/>
    <w:rsid w:val="00E40B22"/>
    <w:rsid w:val="00E43079"/>
    <w:rsid w:val="00E43AB6"/>
    <w:rsid w:val="00E449EF"/>
    <w:rsid w:val="00E451B3"/>
    <w:rsid w:val="00E47BA8"/>
    <w:rsid w:val="00E47EA6"/>
    <w:rsid w:val="00E5022C"/>
    <w:rsid w:val="00E51BA4"/>
    <w:rsid w:val="00E51CF6"/>
    <w:rsid w:val="00E54CB9"/>
    <w:rsid w:val="00E55FE2"/>
    <w:rsid w:val="00E579B7"/>
    <w:rsid w:val="00E61315"/>
    <w:rsid w:val="00E61F7B"/>
    <w:rsid w:val="00E63F7D"/>
    <w:rsid w:val="00E64442"/>
    <w:rsid w:val="00E64701"/>
    <w:rsid w:val="00E66177"/>
    <w:rsid w:val="00E67133"/>
    <w:rsid w:val="00E7174E"/>
    <w:rsid w:val="00E725A7"/>
    <w:rsid w:val="00E73072"/>
    <w:rsid w:val="00E73C2B"/>
    <w:rsid w:val="00E74FE8"/>
    <w:rsid w:val="00E75AEC"/>
    <w:rsid w:val="00E762C4"/>
    <w:rsid w:val="00E82CEE"/>
    <w:rsid w:val="00E82DA8"/>
    <w:rsid w:val="00E8329D"/>
    <w:rsid w:val="00E85AC7"/>
    <w:rsid w:val="00E86678"/>
    <w:rsid w:val="00E963EA"/>
    <w:rsid w:val="00E96CC1"/>
    <w:rsid w:val="00EA1529"/>
    <w:rsid w:val="00EA199B"/>
    <w:rsid w:val="00EA37EA"/>
    <w:rsid w:val="00EA758A"/>
    <w:rsid w:val="00EB1DB4"/>
    <w:rsid w:val="00EB2946"/>
    <w:rsid w:val="00EB398E"/>
    <w:rsid w:val="00EB7876"/>
    <w:rsid w:val="00EC0F64"/>
    <w:rsid w:val="00EC16DA"/>
    <w:rsid w:val="00EC17E1"/>
    <w:rsid w:val="00EC19EF"/>
    <w:rsid w:val="00EC43ED"/>
    <w:rsid w:val="00EC539F"/>
    <w:rsid w:val="00EC65F6"/>
    <w:rsid w:val="00EC7783"/>
    <w:rsid w:val="00ED0CDA"/>
    <w:rsid w:val="00ED1135"/>
    <w:rsid w:val="00ED3409"/>
    <w:rsid w:val="00ED3D9C"/>
    <w:rsid w:val="00ED735F"/>
    <w:rsid w:val="00ED7E37"/>
    <w:rsid w:val="00EE04C7"/>
    <w:rsid w:val="00EE1E61"/>
    <w:rsid w:val="00EE2C41"/>
    <w:rsid w:val="00EE54D1"/>
    <w:rsid w:val="00EE5EBD"/>
    <w:rsid w:val="00EF1A1E"/>
    <w:rsid w:val="00EF344B"/>
    <w:rsid w:val="00EF664C"/>
    <w:rsid w:val="00F120F5"/>
    <w:rsid w:val="00F14F11"/>
    <w:rsid w:val="00F177D0"/>
    <w:rsid w:val="00F17834"/>
    <w:rsid w:val="00F20ADC"/>
    <w:rsid w:val="00F214AC"/>
    <w:rsid w:val="00F21D31"/>
    <w:rsid w:val="00F2202B"/>
    <w:rsid w:val="00F22BE6"/>
    <w:rsid w:val="00F24EC6"/>
    <w:rsid w:val="00F26D5C"/>
    <w:rsid w:val="00F311FA"/>
    <w:rsid w:val="00F35786"/>
    <w:rsid w:val="00F35E32"/>
    <w:rsid w:val="00F4103C"/>
    <w:rsid w:val="00F42533"/>
    <w:rsid w:val="00F428D0"/>
    <w:rsid w:val="00F4403D"/>
    <w:rsid w:val="00F44369"/>
    <w:rsid w:val="00F4506A"/>
    <w:rsid w:val="00F460AE"/>
    <w:rsid w:val="00F47BB5"/>
    <w:rsid w:val="00F51000"/>
    <w:rsid w:val="00F52D92"/>
    <w:rsid w:val="00F53DBC"/>
    <w:rsid w:val="00F547D2"/>
    <w:rsid w:val="00F571F6"/>
    <w:rsid w:val="00F57287"/>
    <w:rsid w:val="00F5769D"/>
    <w:rsid w:val="00F606E8"/>
    <w:rsid w:val="00F60B9A"/>
    <w:rsid w:val="00F60EB0"/>
    <w:rsid w:val="00F652B4"/>
    <w:rsid w:val="00F66DC2"/>
    <w:rsid w:val="00F7311F"/>
    <w:rsid w:val="00F73F95"/>
    <w:rsid w:val="00F753A9"/>
    <w:rsid w:val="00F76ACD"/>
    <w:rsid w:val="00F772E1"/>
    <w:rsid w:val="00F8178C"/>
    <w:rsid w:val="00F8271D"/>
    <w:rsid w:val="00F857A7"/>
    <w:rsid w:val="00F8580A"/>
    <w:rsid w:val="00F864D9"/>
    <w:rsid w:val="00F86751"/>
    <w:rsid w:val="00F8768D"/>
    <w:rsid w:val="00F92B3C"/>
    <w:rsid w:val="00F9577C"/>
    <w:rsid w:val="00F96120"/>
    <w:rsid w:val="00F96CFB"/>
    <w:rsid w:val="00FA6275"/>
    <w:rsid w:val="00FA6672"/>
    <w:rsid w:val="00FB323A"/>
    <w:rsid w:val="00FB38C7"/>
    <w:rsid w:val="00FB3A4E"/>
    <w:rsid w:val="00FB486D"/>
    <w:rsid w:val="00FB6574"/>
    <w:rsid w:val="00FB6CB5"/>
    <w:rsid w:val="00FC22EB"/>
    <w:rsid w:val="00FC33A5"/>
    <w:rsid w:val="00FC470C"/>
    <w:rsid w:val="00FD2001"/>
    <w:rsid w:val="00FD2932"/>
    <w:rsid w:val="00FD57F0"/>
    <w:rsid w:val="00FE2EFE"/>
    <w:rsid w:val="00FE399F"/>
    <w:rsid w:val="00FE6B4C"/>
    <w:rsid w:val="00FF1A7F"/>
    <w:rsid w:val="00FF410F"/>
    <w:rsid w:val="00FF48A5"/>
    <w:rsid w:val="00FF4C28"/>
    <w:rsid w:val="00FF55EF"/>
    <w:rsid w:val="00FF5647"/>
    <w:rsid w:val="00FF5F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24655"/>
  <w15:chartTrackingRefBased/>
  <w15:docId w15:val="{BB23A673-3FEB-6C41-9B50-FA24AA37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Body CS)"/>
        <w:kern w:val="2"/>
        <w:sz w:val="24"/>
        <w:szCs w:val="24"/>
        <w:lang w:val="en-CA"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1E4257"/>
    <w:pPr>
      <w:spacing w:line="480" w:lineRule="auto"/>
      <w:ind w:left="720" w:hanging="720"/>
    </w:pPr>
  </w:style>
  <w:style w:type="paragraph" w:styleId="Revision">
    <w:name w:val="Revision"/>
    <w:hidden/>
    <w:uiPriority w:val="99"/>
    <w:semiHidden/>
    <w:rsid w:val="00DC6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2510</Words>
  <Characters>14308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Caroline E. Temcheff, Dr.</cp:lastModifiedBy>
  <cp:revision>2</cp:revision>
  <dcterms:created xsi:type="dcterms:W3CDTF">2024-08-21T13:40:00Z</dcterms:created>
  <dcterms:modified xsi:type="dcterms:W3CDTF">2024-08-21T13:40:00Z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id="8o6yybRb"/&gt;&lt;style id="http://www.zotero.org/styles/apa-6th-edition" locale="en-CA" hasBibliography="1" bibliographyStyleHasBeenSet="1"/&gt;&lt;prefs&gt;&lt;pref name="fieldType" value="Field"/&gt;&lt;pref name="au</vt:lpwstr>
  </property>
  <property fmtid="{D5CDD505-2E9C-101B-9397-08002B2CF9AE}" pid="3" name="ZOTERO_PREF_2">
    <vt:lpwstr>tomaticJournalAbbreviations" value="true"/&gt;&lt;/prefs&gt;&lt;/data&gt;</vt:lpwstr>
  </property>
</Properties>
</file>