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48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color w:val="21212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4"/>
          <w:szCs w:val="24"/>
          <w:highlight w:val="white"/>
          <w:rtl w:val="0"/>
        </w:rPr>
        <w:t xml:space="preserve">Supplementary Methods</w:t>
      </w:r>
    </w:p>
    <w:p w:rsidR="00000000" w:rsidDel="00000000" w:rsidP="00000000" w:rsidRDefault="00000000" w:rsidRPr="00000000" w14:paraId="00000002">
      <w:pPr>
        <w:widowControl w:val="0"/>
        <w:spacing w:line="480" w:lineRule="auto"/>
        <w:ind w:left="720" w:firstLine="0"/>
        <w:rPr>
          <w:b w:val="1"/>
          <w:color w:val="444746"/>
          <w:sz w:val="16"/>
          <w:szCs w:val="16"/>
          <w:highlight w:val="white"/>
        </w:rPr>
      </w:pPr>
      <w:r w:rsidDel="00000000" w:rsidR="00000000" w:rsidRPr="00000000">
        <w:rPr>
          <w:b w:val="1"/>
          <w:color w:val="212121"/>
          <w:sz w:val="16"/>
          <w:szCs w:val="16"/>
          <w:highlight w:val="white"/>
          <w:rtl w:val="0"/>
        </w:rPr>
        <w:t xml:space="preserve">Tab</w:t>
      </w:r>
      <w:r w:rsidDel="00000000" w:rsidR="00000000" w:rsidRPr="00000000">
        <w:rPr>
          <w:b w:val="1"/>
          <w:color w:val="212121"/>
          <w:sz w:val="16"/>
          <w:szCs w:val="16"/>
          <w:highlight w:val="white"/>
          <w:rtl w:val="0"/>
        </w:rPr>
        <w:t xml:space="preserve">le</w:t>
      </w:r>
      <w:r w:rsidDel="00000000" w:rsidR="00000000" w:rsidRPr="00000000">
        <w:rPr>
          <w:b w:val="1"/>
          <w:color w:val="212121"/>
          <w:sz w:val="16"/>
          <w:szCs w:val="16"/>
          <w:highlight w:val="white"/>
          <w:rtl w:val="0"/>
        </w:rPr>
        <w:t xml:space="preserve"> 1.</w:t>
      </w:r>
      <w:r w:rsidDel="00000000" w:rsidR="00000000" w:rsidRPr="00000000">
        <w:rPr>
          <w:color w:val="212121"/>
          <w:sz w:val="16"/>
          <w:szCs w:val="16"/>
          <w:highlight w:val="white"/>
          <w:rtl w:val="0"/>
        </w:rPr>
        <w:t xml:space="preserve"> Demographic details of the sample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480" w:lineRule="auto"/>
        <w:ind w:left="0" w:firstLine="0"/>
        <w:jc w:val="left"/>
        <w:rPr>
          <w:rFonts w:ascii="Roboto" w:cs="Roboto" w:eastAsia="Roboto" w:hAnsi="Roboto"/>
          <w:b w:val="1"/>
          <w:color w:val="444746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444746"/>
          <w:sz w:val="21"/>
          <w:szCs w:val="21"/>
          <w:highlight w:val="white"/>
        </w:rPr>
        <w:drawing>
          <wp:inline distB="114300" distT="114300" distL="114300" distR="114300">
            <wp:extent cx="4884375" cy="548709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4375" cy="54870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48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color w:val="444746"/>
          <w:sz w:val="24"/>
          <w:szCs w:val="24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480" w:lineRule="auto"/>
        <w:ind w:left="0" w:firstLine="0"/>
        <w:jc w:val="center"/>
        <w:rPr>
          <w:rFonts w:ascii="Roboto" w:cs="Roboto" w:eastAsia="Roboto" w:hAnsi="Roboto"/>
          <w:b w:val="1"/>
          <w:color w:val="444746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4746"/>
          <w:sz w:val="24"/>
          <w:szCs w:val="24"/>
          <w:highlight w:val="white"/>
          <w:rtl w:val="0"/>
        </w:rPr>
        <w:t xml:space="preserve">Supplementary Results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rPr>
          <w:b w:val="1"/>
          <w:color w:val="444746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480" w:lineRule="auto"/>
        <w:ind w:left="720"/>
        <w:rPr>
          <w:b w:val="1"/>
          <w:color w:val="444746"/>
          <w:sz w:val="16"/>
          <w:szCs w:val="16"/>
          <w:highlight w:val="white"/>
        </w:rPr>
      </w:pPr>
      <w:r w:rsidDel="00000000" w:rsidR="00000000" w:rsidRPr="00000000">
        <w:rPr>
          <w:b w:val="1"/>
          <w:color w:val="212121"/>
          <w:sz w:val="16"/>
          <w:szCs w:val="16"/>
          <w:highlight w:val="white"/>
          <w:rtl w:val="0"/>
        </w:rPr>
        <w:t xml:space="preserve">T</w:t>
      </w:r>
      <w:r w:rsidDel="00000000" w:rsidR="00000000" w:rsidRPr="00000000">
        <w:rPr>
          <w:b w:val="1"/>
          <w:color w:val="212121"/>
          <w:sz w:val="16"/>
          <w:szCs w:val="16"/>
          <w:highlight w:val="white"/>
          <w:rtl w:val="0"/>
        </w:rPr>
        <w:t xml:space="preserve">able 2. </w:t>
      </w:r>
      <w:r w:rsidDel="00000000" w:rsidR="00000000" w:rsidRPr="00000000">
        <w:rPr>
          <w:color w:val="212121"/>
          <w:sz w:val="16"/>
          <w:szCs w:val="16"/>
          <w:highlight w:val="white"/>
          <w:rtl w:val="0"/>
        </w:rPr>
        <w:t xml:space="preserve">Bivariate associations between baseline predictor measures established by Michelini et al. (2021) and DD at 3-year follow-up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943600" cy="34671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7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  <w:font w:name="Cambr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