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0CE3" w14:textId="618CEF2F" w:rsidR="00A565E5" w:rsidRPr="00A565E5" w:rsidRDefault="00A565E5" w:rsidP="00F10F39">
      <w:pPr>
        <w:spacing w:line="360" w:lineRule="auto"/>
        <w:rPr>
          <w:rFonts w:ascii="Arial" w:hAnsi="Arial" w:cs="Arial"/>
          <w:sz w:val="22"/>
          <w:szCs w:val="22"/>
        </w:rPr>
      </w:pPr>
      <w:r>
        <w:rPr>
          <w:rFonts w:ascii="Arial" w:hAnsi="Arial" w:cs="Arial"/>
          <w:b/>
          <w:bCs/>
          <w:sz w:val="22"/>
          <w:szCs w:val="22"/>
        </w:rPr>
        <w:t xml:space="preserve">Supplementary Table 1. </w:t>
      </w:r>
      <w:r w:rsidRPr="00A565E5">
        <w:rPr>
          <w:rFonts w:ascii="Arial" w:hAnsi="Arial" w:cs="Arial"/>
          <w:sz w:val="22"/>
          <w:szCs w:val="22"/>
        </w:rPr>
        <w:t xml:space="preserve">Independent samples </w:t>
      </w:r>
      <w:r w:rsidRPr="00A565E5">
        <w:rPr>
          <w:rFonts w:ascii="Arial" w:hAnsi="Arial" w:cs="Arial"/>
          <w:i/>
          <w:iCs/>
          <w:sz w:val="22"/>
          <w:szCs w:val="22"/>
        </w:rPr>
        <w:t>t-</w:t>
      </w:r>
      <w:r w:rsidRPr="00A565E5">
        <w:rPr>
          <w:rFonts w:ascii="Arial" w:hAnsi="Arial" w:cs="Arial"/>
          <w:sz w:val="22"/>
          <w:szCs w:val="22"/>
        </w:rPr>
        <w:t>tests of</w:t>
      </w:r>
      <w:r w:rsidRPr="00A565E5">
        <w:rPr>
          <w:rFonts w:ascii="Arial" w:hAnsi="Arial" w:cs="Arial"/>
          <w:i/>
          <w:iCs/>
          <w:sz w:val="22"/>
          <w:szCs w:val="22"/>
        </w:rPr>
        <w:t xml:space="preserve"> </w:t>
      </w:r>
      <w:r w:rsidRPr="00A565E5">
        <w:rPr>
          <w:rFonts w:ascii="Arial" w:hAnsi="Arial" w:cs="Arial"/>
          <w:sz w:val="22"/>
          <w:szCs w:val="22"/>
        </w:rPr>
        <w:t xml:space="preserve">differences </w:t>
      </w:r>
      <w:r>
        <w:rPr>
          <w:rFonts w:ascii="Arial" w:hAnsi="Arial" w:cs="Arial"/>
          <w:sz w:val="22"/>
          <w:szCs w:val="22"/>
        </w:rPr>
        <w:t>in</w:t>
      </w:r>
      <w:r w:rsidRPr="00A565E5">
        <w:rPr>
          <w:rFonts w:ascii="Arial" w:hAnsi="Arial" w:cs="Arial"/>
          <w:sz w:val="22"/>
          <w:szCs w:val="22"/>
        </w:rPr>
        <w:t xml:space="preserve"> </w:t>
      </w:r>
      <w:r>
        <w:rPr>
          <w:rFonts w:ascii="Arial" w:hAnsi="Arial" w:cs="Arial"/>
          <w:sz w:val="22"/>
          <w:szCs w:val="22"/>
        </w:rPr>
        <w:t>symptom severity between ESM takers and non-takers</w:t>
      </w:r>
    </w:p>
    <w:tbl>
      <w:tblPr>
        <w:tblStyle w:val="TableGrid"/>
        <w:tblpPr w:leftFromText="180" w:rightFromText="180" w:vertAnchor="text" w:horzAnchor="margin" w:tblpXSpec="center" w:tblpY="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1699"/>
        <w:gridCol w:w="1699"/>
      </w:tblGrid>
      <w:tr w:rsidR="00A565E5" w:rsidRPr="00A565E5" w14:paraId="464A8C0E" w14:textId="77777777" w:rsidTr="00A565E5">
        <w:trPr>
          <w:trHeight w:val="328"/>
        </w:trPr>
        <w:tc>
          <w:tcPr>
            <w:tcW w:w="2304" w:type="dxa"/>
            <w:tcBorders>
              <w:top w:val="single" w:sz="4" w:space="0" w:color="auto"/>
              <w:bottom w:val="single" w:sz="4" w:space="0" w:color="auto"/>
            </w:tcBorders>
          </w:tcPr>
          <w:p w14:paraId="2B7CA0BC"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Variable</w:t>
            </w:r>
          </w:p>
        </w:tc>
        <w:tc>
          <w:tcPr>
            <w:tcW w:w="1699" w:type="dxa"/>
            <w:tcBorders>
              <w:top w:val="single" w:sz="4" w:space="0" w:color="auto"/>
              <w:bottom w:val="single" w:sz="4" w:space="0" w:color="auto"/>
            </w:tcBorders>
          </w:tcPr>
          <w:p w14:paraId="672F22E9" w14:textId="77777777" w:rsidR="00A565E5" w:rsidRPr="00A565E5" w:rsidRDefault="00A565E5" w:rsidP="00A565E5">
            <w:pPr>
              <w:jc w:val="center"/>
              <w:rPr>
                <w:rFonts w:ascii="Arial" w:hAnsi="Arial" w:cs="Arial"/>
                <w:sz w:val="22"/>
                <w:szCs w:val="22"/>
              </w:rPr>
            </w:pPr>
            <w:r w:rsidRPr="00A565E5">
              <w:rPr>
                <w:rFonts w:ascii="Arial" w:hAnsi="Arial" w:cs="Arial"/>
                <w:i/>
                <w:iCs/>
                <w:sz w:val="22"/>
                <w:szCs w:val="22"/>
              </w:rPr>
              <w:t>t</w:t>
            </w:r>
            <w:r w:rsidRPr="00A565E5">
              <w:rPr>
                <w:rFonts w:ascii="Arial" w:hAnsi="Arial" w:cs="Arial"/>
                <w:sz w:val="22"/>
                <w:szCs w:val="22"/>
                <w:lang w:val="el-GR"/>
              </w:rPr>
              <w:t>(</w:t>
            </w:r>
            <w:r w:rsidRPr="00A565E5">
              <w:rPr>
                <w:rFonts w:ascii="Arial" w:hAnsi="Arial" w:cs="Arial"/>
                <w:sz w:val="22"/>
                <w:szCs w:val="22"/>
              </w:rPr>
              <w:t>df)</w:t>
            </w:r>
          </w:p>
        </w:tc>
        <w:tc>
          <w:tcPr>
            <w:tcW w:w="1699" w:type="dxa"/>
            <w:tcBorders>
              <w:top w:val="single" w:sz="4" w:space="0" w:color="auto"/>
              <w:bottom w:val="single" w:sz="4" w:space="0" w:color="auto"/>
            </w:tcBorders>
          </w:tcPr>
          <w:p w14:paraId="165B43F3" w14:textId="77777777" w:rsidR="00A565E5" w:rsidRPr="00A565E5" w:rsidRDefault="00A565E5" w:rsidP="00A565E5">
            <w:pPr>
              <w:jc w:val="center"/>
              <w:rPr>
                <w:rFonts w:ascii="Arial" w:hAnsi="Arial" w:cs="Arial"/>
                <w:i/>
                <w:iCs/>
                <w:sz w:val="22"/>
                <w:szCs w:val="22"/>
              </w:rPr>
            </w:pPr>
            <w:r w:rsidRPr="00A565E5">
              <w:rPr>
                <w:rFonts w:ascii="Arial" w:hAnsi="Arial" w:cs="Arial"/>
                <w:i/>
                <w:iCs/>
                <w:sz w:val="22"/>
                <w:szCs w:val="22"/>
              </w:rPr>
              <w:t>p</w:t>
            </w:r>
          </w:p>
        </w:tc>
      </w:tr>
      <w:tr w:rsidR="00A565E5" w:rsidRPr="00A565E5" w14:paraId="161CEB06" w14:textId="77777777" w:rsidTr="00A565E5">
        <w:trPr>
          <w:trHeight w:val="328"/>
        </w:trPr>
        <w:tc>
          <w:tcPr>
            <w:tcW w:w="2304" w:type="dxa"/>
            <w:tcBorders>
              <w:top w:val="single" w:sz="4" w:space="0" w:color="auto"/>
            </w:tcBorders>
          </w:tcPr>
          <w:p w14:paraId="34EBD991" w14:textId="77777777" w:rsidR="00A565E5" w:rsidRPr="00A565E5" w:rsidRDefault="00A565E5" w:rsidP="00A565E5">
            <w:pPr>
              <w:rPr>
                <w:rFonts w:ascii="Arial" w:hAnsi="Arial" w:cs="Arial"/>
                <w:sz w:val="22"/>
                <w:szCs w:val="22"/>
              </w:rPr>
            </w:pPr>
            <w:r w:rsidRPr="00A565E5">
              <w:rPr>
                <w:rFonts w:ascii="Arial" w:hAnsi="Arial" w:cs="Arial"/>
                <w:sz w:val="22"/>
                <w:szCs w:val="22"/>
              </w:rPr>
              <w:t xml:space="preserve">ITQ-PTSD </w:t>
            </w:r>
          </w:p>
        </w:tc>
        <w:tc>
          <w:tcPr>
            <w:tcW w:w="1699" w:type="dxa"/>
            <w:tcBorders>
              <w:top w:val="single" w:sz="4" w:space="0" w:color="auto"/>
            </w:tcBorders>
          </w:tcPr>
          <w:p w14:paraId="57065967"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-1.184(299)</w:t>
            </w:r>
          </w:p>
        </w:tc>
        <w:tc>
          <w:tcPr>
            <w:tcW w:w="1699" w:type="dxa"/>
            <w:tcBorders>
              <w:top w:val="single" w:sz="4" w:space="0" w:color="auto"/>
            </w:tcBorders>
          </w:tcPr>
          <w:p w14:paraId="29A0BA6F"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.238</w:t>
            </w:r>
          </w:p>
        </w:tc>
      </w:tr>
      <w:tr w:rsidR="00A565E5" w:rsidRPr="00A565E5" w14:paraId="045534EF" w14:textId="77777777" w:rsidTr="00A565E5">
        <w:trPr>
          <w:trHeight w:val="349"/>
        </w:trPr>
        <w:tc>
          <w:tcPr>
            <w:tcW w:w="2304" w:type="dxa"/>
          </w:tcPr>
          <w:p w14:paraId="6E710F95" w14:textId="77777777" w:rsidR="00A565E5" w:rsidRPr="00A565E5" w:rsidRDefault="00A565E5" w:rsidP="00A565E5">
            <w:pPr>
              <w:rPr>
                <w:rFonts w:ascii="Arial" w:hAnsi="Arial" w:cs="Arial"/>
                <w:sz w:val="22"/>
                <w:szCs w:val="22"/>
              </w:rPr>
            </w:pPr>
            <w:r w:rsidRPr="00A565E5">
              <w:rPr>
                <w:rFonts w:ascii="Arial" w:hAnsi="Arial" w:cs="Arial"/>
                <w:sz w:val="22"/>
                <w:szCs w:val="22"/>
              </w:rPr>
              <w:t xml:space="preserve">ITQ-DSO </w:t>
            </w:r>
          </w:p>
        </w:tc>
        <w:tc>
          <w:tcPr>
            <w:tcW w:w="1699" w:type="dxa"/>
          </w:tcPr>
          <w:p w14:paraId="026FAF22"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-.938(299)</w:t>
            </w:r>
          </w:p>
        </w:tc>
        <w:tc>
          <w:tcPr>
            <w:tcW w:w="1699" w:type="dxa"/>
          </w:tcPr>
          <w:p w14:paraId="119E6353"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.349</w:t>
            </w:r>
          </w:p>
        </w:tc>
      </w:tr>
      <w:tr w:rsidR="00A565E5" w:rsidRPr="00A565E5" w14:paraId="2F314BE8" w14:textId="77777777" w:rsidTr="00A565E5">
        <w:trPr>
          <w:trHeight w:val="279"/>
        </w:trPr>
        <w:tc>
          <w:tcPr>
            <w:tcW w:w="2304" w:type="dxa"/>
          </w:tcPr>
          <w:p w14:paraId="53DC6DC5" w14:textId="77777777" w:rsidR="00A565E5" w:rsidRPr="00A565E5" w:rsidRDefault="00A565E5" w:rsidP="00A565E5">
            <w:pPr>
              <w:rPr>
                <w:rFonts w:ascii="Arial" w:hAnsi="Arial" w:cs="Arial"/>
                <w:sz w:val="22"/>
                <w:szCs w:val="22"/>
              </w:rPr>
            </w:pPr>
            <w:r w:rsidRPr="00A565E5">
              <w:rPr>
                <w:rFonts w:ascii="Arial" w:hAnsi="Arial" w:cs="Arial"/>
                <w:sz w:val="22"/>
                <w:szCs w:val="22"/>
              </w:rPr>
              <w:t xml:space="preserve">GPTS-Persecution </w:t>
            </w:r>
          </w:p>
        </w:tc>
        <w:tc>
          <w:tcPr>
            <w:tcW w:w="1699" w:type="dxa"/>
          </w:tcPr>
          <w:p w14:paraId="4A6BFA34"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.131(280)</w:t>
            </w:r>
          </w:p>
        </w:tc>
        <w:tc>
          <w:tcPr>
            <w:tcW w:w="1699" w:type="dxa"/>
          </w:tcPr>
          <w:p w14:paraId="2B6A7C5A"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.896</w:t>
            </w:r>
          </w:p>
        </w:tc>
      </w:tr>
      <w:tr w:rsidR="00A565E5" w:rsidRPr="00A565E5" w14:paraId="222CCE1C" w14:textId="77777777" w:rsidTr="00A565E5">
        <w:trPr>
          <w:trHeight w:val="334"/>
        </w:trPr>
        <w:tc>
          <w:tcPr>
            <w:tcW w:w="2304" w:type="dxa"/>
            <w:tcBorders>
              <w:bottom w:val="nil"/>
            </w:tcBorders>
          </w:tcPr>
          <w:p w14:paraId="1139DA80" w14:textId="77777777" w:rsidR="00A565E5" w:rsidRPr="00A565E5" w:rsidRDefault="00A565E5" w:rsidP="00A565E5">
            <w:pPr>
              <w:rPr>
                <w:rFonts w:ascii="Arial" w:hAnsi="Arial" w:cs="Arial"/>
                <w:sz w:val="22"/>
                <w:szCs w:val="22"/>
              </w:rPr>
            </w:pPr>
            <w:r w:rsidRPr="00A565E5">
              <w:rPr>
                <w:rFonts w:ascii="Arial" w:hAnsi="Arial" w:cs="Arial"/>
                <w:sz w:val="22"/>
                <w:szCs w:val="22"/>
              </w:rPr>
              <w:t>PSYRATS-Visions</w:t>
            </w:r>
          </w:p>
        </w:tc>
        <w:tc>
          <w:tcPr>
            <w:tcW w:w="1699" w:type="dxa"/>
            <w:tcBorders>
              <w:bottom w:val="nil"/>
            </w:tcBorders>
          </w:tcPr>
          <w:p w14:paraId="73802475"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-.534(116)</w:t>
            </w:r>
          </w:p>
        </w:tc>
        <w:tc>
          <w:tcPr>
            <w:tcW w:w="1699" w:type="dxa"/>
            <w:tcBorders>
              <w:bottom w:val="nil"/>
            </w:tcBorders>
          </w:tcPr>
          <w:p w14:paraId="1603930B"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.594</w:t>
            </w:r>
          </w:p>
        </w:tc>
      </w:tr>
      <w:tr w:rsidR="00A565E5" w:rsidRPr="00A565E5" w14:paraId="62473DA3" w14:textId="77777777" w:rsidTr="00A565E5">
        <w:trPr>
          <w:trHeight w:val="443"/>
        </w:trPr>
        <w:tc>
          <w:tcPr>
            <w:tcW w:w="2304" w:type="dxa"/>
            <w:tcBorders>
              <w:top w:val="nil"/>
              <w:bottom w:val="single" w:sz="4" w:space="0" w:color="auto"/>
            </w:tcBorders>
          </w:tcPr>
          <w:p w14:paraId="2BEBDC18" w14:textId="77777777" w:rsidR="00A565E5" w:rsidRPr="00A565E5" w:rsidRDefault="00A565E5" w:rsidP="00A565E5">
            <w:pPr>
              <w:rPr>
                <w:rFonts w:ascii="Arial" w:hAnsi="Arial" w:cs="Arial"/>
                <w:sz w:val="22"/>
                <w:szCs w:val="22"/>
              </w:rPr>
            </w:pPr>
            <w:r w:rsidRPr="00A565E5">
              <w:rPr>
                <w:rFonts w:ascii="Arial" w:hAnsi="Arial" w:cs="Arial"/>
                <w:sz w:val="22"/>
                <w:szCs w:val="22"/>
              </w:rPr>
              <w:t>PSYRATS-Voices</w:t>
            </w:r>
            <w:r w:rsidRPr="00A565E5">
              <w:rPr>
                <w:rFonts w:ascii="Arial" w:hAnsi="Arial" w:cs="Arial"/>
                <w:sz w:val="22"/>
                <w:szCs w:val="22"/>
                <w:vertAlign w:val="superscript"/>
              </w:rPr>
              <w:t>a</w:t>
            </w:r>
          </w:p>
        </w:tc>
        <w:tc>
          <w:tcPr>
            <w:tcW w:w="1699" w:type="dxa"/>
            <w:tcBorders>
              <w:top w:val="nil"/>
              <w:bottom w:val="single" w:sz="4" w:space="0" w:color="auto"/>
            </w:tcBorders>
          </w:tcPr>
          <w:p w14:paraId="126748FB"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1.636(238)</w:t>
            </w:r>
          </w:p>
        </w:tc>
        <w:tc>
          <w:tcPr>
            <w:tcW w:w="1699" w:type="dxa"/>
            <w:tcBorders>
              <w:top w:val="nil"/>
              <w:bottom w:val="single" w:sz="4" w:space="0" w:color="auto"/>
            </w:tcBorders>
          </w:tcPr>
          <w:p w14:paraId="1F678ADF" w14:textId="77777777" w:rsidR="00A565E5" w:rsidRPr="00A565E5" w:rsidRDefault="00A565E5" w:rsidP="00A565E5">
            <w:pPr>
              <w:jc w:val="center"/>
              <w:rPr>
                <w:rFonts w:ascii="Arial" w:hAnsi="Arial" w:cs="Arial"/>
                <w:sz w:val="22"/>
                <w:szCs w:val="22"/>
              </w:rPr>
            </w:pPr>
            <w:r w:rsidRPr="00A565E5">
              <w:rPr>
                <w:rFonts w:ascii="Arial" w:hAnsi="Arial" w:cs="Arial"/>
                <w:sz w:val="22"/>
                <w:szCs w:val="22"/>
              </w:rPr>
              <w:t>.103</w:t>
            </w:r>
          </w:p>
        </w:tc>
      </w:tr>
    </w:tbl>
    <w:p w14:paraId="25A97E02" w14:textId="77777777" w:rsidR="00A565E5" w:rsidRDefault="00A565E5" w:rsidP="00F10F39">
      <w:pPr>
        <w:spacing w:line="360" w:lineRule="auto"/>
        <w:rPr>
          <w:rFonts w:ascii="Arial" w:hAnsi="Arial" w:cs="Arial"/>
          <w:i/>
          <w:iCs/>
          <w:sz w:val="22"/>
          <w:szCs w:val="22"/>
          <w:vertAlign w:val="superscript"/>
        </w:rPr>
      </w:pPr>
    </w:p>
    <w:p w14:paraId="4A31C02C" w14:textId="77777777" w:rsidR="00A565E5" w:rsidRDefault="00A565E5" w:rsidP="00F10F39">
      <w:pPr>
        <w:spacing w:line="360" w:lineRule="auto"/>
        <w:rPr>
          <w:rFonts w:ascii="Arial" w:hAnsi="Arial" w:cs="Arial"/>
          <w:i/>
          <w:iCs/>
          <w:sz w:val="22"/>
          <w:szCs w:val="22"/>
          <w:vertAlign w:val="superscript"/>
        </w:rPr>
      </w:pPr>
    </w:p>
    <w:p w14:paraId="11B247BB" w14:textId="77777777" w:rsidR="00A565E5" w:rsidRDefault="00A565E5" w:rsidP="00F10F39">
      <w:pPr>
        <w:spacing w:line="360" w:lineRule="auto"/>
        <w:rPr>
          <w:rFonts w:ascii="Arial" w:hAnsi="Arial" w:cs="Arial"/>
          <w:i/>
          <w:iCs/>
          <w:sz w:val="22"/>
          <w:szCs w:val="22"/>
          <w:vertAlign w:val="superscript"/>
        </w:rPr>
      </w:pPr>
    </w:p>
    <w:p w14:paraId="010D3E75" w14:textId="77777777" w:rsidR="00A565E5" w:rsidRDefault="00A565E5" w:rsidP="00F10F39">
      <w:pPr>
        <w:spacing w:line="360" w:lineRule="auto"/>
        <w:rPr>
          <w:rFonts w:ascii="Arial" w:hAnsi="Arial" w:cs="Arial"/>
          <w:i/>
          <w:iCs/>
          <w:sz w:val="22"/>
          <w:szCs w:val="22"/>
          <w:vertAlign w:val="superscript"/>
        </w:rPr>
      </w:pPr>
    </w:p>
    <w:p w14:paraId="4F3AFEEC" w14:textId="77777777" w:rsidR="00A565E5" w:rsidRDefault="00A565E5" w:rsidP="00F10F39">
      <w:pPr>
        <w:spacing w:line="360" w:lineRule="auto"/>
        <w:rPr>
          <w:rFonts w:ascii="Arial" w:hAnsi="Arial" w:cs="Arial"/>
          <w:i/>
          <w:iCs/>
          <w:sz w:val="22"/>
          <w:szCs w:val="22"/>
          <w:vertAlign w:val="superscript"/>
        </w:rPr>
      </w:pPr>
    </w:p>
    <w:p w14:paraId="02854053" w14:textId="77777777" w:rsidR="00A565E5" w:rsidRDefault="00A565E5" w:rsidP="00F10F39">
      <w:pPr>
        <w:spacing w:line="360" w:lineRule="auto"/>
        <w:rPr>
          <w:rFonts w:ascii="Arial" w:hAnsi="Arial" w:cs="Arial"/>
          <w:i/>
          <w:iCs/>
          <w:sz w:val="22"/>
          <w:szCs w:val="22"/>
          <w:vertAlign w:val="superscript"/>
        </w:rPr>
      </w:pPr>
    </w:p>
    <w:p w14:paraId="4B39E925" w14:textId="36FF7DAE" w:rsidR="00F10F39" w:rsidRDefault="00F10F39" w:rsidP="00F10F39">
      <w:pPr>
        <w:spacing w:line="360" w:lineRule="auto"/>
        <w:rPr>
          <w:rFonts w:ascii="Arial" w:hAnsi="Arial" w:cs="Arial"/>
          <w:i/>
          <w:iCs/>
          <w:sz w:val="22"/>
          <w:szCs w:val="22"/>
        </w:rPr>
      </w:pPr>
      <w:r w:rsidRPr="00390648">
        <w:rPr>
          <w:rFonts w:ascii="Arial" w:hAnsi="Arial" w:cs="Arial"/>
          <w:i/>
          <w:iCs/>
          <w:sz w:val="22"/>
          <w:szCs w:val="22"/>
          <w:vertAlign w:val="superscript"/>
        </w:rPr>
        <w:t>a</w:t>
      </w:r>
      <w:r w:rsidRPr="00390648">
        <w:rPr>
          <w:rFonts w:ascii="Arial" w:hAnsi="Arial" w:cs="Arial"/>
          <w:i/>
          <w:iCs/>
          <w:sz w:val="22"/>
          <w:szCs w:val="22"/>
        </w:rPr>
        <w:t xml:space="preserve">Equal variance not assumed </w:t>
      </w:r>
    </w:p>
    <w:p w14:paraId="1EFB5048" w14:textId="420163CE" w:rsidR="00A565E5" w:rsidRPr="007C0429" w:rsidRDefault="00A565E5" w:rsidP="007C0429">
      <w:pPr>
        <w:rPr>
          <w:rFonts w:ascii="Arial" w:hAnsi="Arial" w:cs="Arial"/>
          <w:b/>
          <w:bCs/>
          <w:sz w:val="22"/>
          <w:szCs w:val="22"/>
          <w:vertAlign w:val="superscript"/>
        </w:rPr>
      </w:pPr>
      <w:r w:rsidRPr="00011AB2">
        <w:rPr>
          <w:rFonts w:ascii="Arial" w:hAnsi="Arial" w:cs="Arial"/>
          <w:i/>
          <w:iCs/>
          <w:sz w:val="22"/>
          <w:szCs w:val="22"/>
          <w:vertAlign w:val="superscript"/>
        </w:rPr>
        <w:t xml:space="preserve">Note; </w:t>
      </w:r>
      <w:r>
        <w:rPr>
          <w:rFonts w:ascii="Arial" w:hAnsi="Arial" w:cs="Arial"/>
          <w:i/>
          <w:iCs/>
          <w:sz w:val="22"/>
          <w:szCs w:val="22"/>
          <w:vertAlign w:val="superscript"/>
        </w:rPr>
        <w:t xml:space="preserve">t = </w:t>
      </w:r>
      <w:r>
        <w:rPr>
          <w:rFonts w:ascii="Arial" w:hAnsi="Arial" w:cs="Arial"/>
          <w:sz w:val="22"/>
          <w:szCs w:val="22"/>
          <w:vertAlign w:val="superscript"/>
        </w:rPr>
        <w:t xml:space="preserve">test statistic; </w:t>
      </w:r>
      <w:r>
        <w:rPr>
          <w:rFonts w:ascii="Arial" w:hAnsi="Arial" w:cs="Arial"/>
          <w:i/>
          <w:iCs/>
          <w:sz w:val="22"/>
          <w:szCs w:val="22"/>
          <w:vertAlign w:val="superscript"/>
        </w:rPr>
        <w:t xml:space="preserve">df = </w:t>
      </w:r>
      <w:r>
        <w:rPr>
          <w:rFonts w:ascii="Arial" w:hAnsi="Arial" w:cs="Arial"/>
          <w:sz w:val="22"/>
          <w:szCs w:val="22"/>
          <w:vertAlign w:val="superscript"/>
        </w:rPr>
        <w:t xml:space="preserve">degrees of freedom; </w:t>
      </w:r>
      <w:r w:rsidRPr="00011AB2">
        <w:rPr>
          <w:rFonts w:ascii="Arial" w:hAnsi="Arial" w:cs="Arial"/>
          <w:i/>
          <w:iCs/>
          <w:sz w:val="22"/>
          <w:szCs w:val="22"/>
          <w:vertAlign w:val="superscript"/>
        </w:rPr>
        <w:t>PTSD = Post-traumatic Stress Disorder; DSO = Disturbances of Self-Organisatio</w:t>
      </w:r>
      <w:r>
        <w:rPr>
          <w:rFonts w:ascii="Arial" w:hAnsi="Arial" w:cs="Arial"/>
          <w:i/>
          <w:iCs/>
          <w:sz w:val="22"/>
          <w:szCs w:val="22"/>
          <w:vertAlign w:val="superscript"/>
        </w:rPr>
        <w:t>n</w:t>
      </w:r>
      <w:r w:rsidRPr="00011AB2">
        <w:rPr>
          <w:rFonts w:ascii="Arial" w:hAnsi="Arial" w:cs="Arial"/>
          <w:i/>
          <w:iCs/>
          <w:sz w:val="22"/>
          <w:szCs w:val="22"/>
          <w:vertAlign w:val="superscript"/>
        </w:rPr>
        <w:t>;</w:t>
      </w:r>
      <w:r>
        <w:rPr>
          <w:rFonts w:ascii="Arial" w:hAnsi="Arial" w:cs="Arial"/>
          <w:i/>
          <w:iCs/>
          <w:sz w:val="22"/>
          <w:szCs w:val="22"/>
          <w:vertAlign w:val="superscript"/>
        </w:rPr>
        <w:t xml:space="preserve"> </w:t>
      </w:r>
      <w:r w:rsidRPr="00011AB2">
        <w:rPr>
          <w:rFonts w:ascii="Arial" w:hAnsi="Arial" w:cs="Arial"/>
          <w:i/>
          <w:iCs/>
          <w:sz w:val="22"/>
          <w:szCs w:val="22"/>
          <w:vertAlign w:val="superscript"/>
        </w:rPr>
        <w:t xml:space="preserve">ITQ = International Trauma Questionnaire </w:t>
      </w:r>
      <w:r w:rsidRPr="00011AB2">
        <w:rPr>
          <w:rFonts w:ascii="Arial" w:hAnsi="Arial" w:cs="Arial"/>
          <w:i/>
          <w:iCs/>
          <w:sz w:val="22"/>
          <w:szCs w:val="22"/>
          <w:vertAlign w:val="superscript"/>
        </w:rPr>
        <w:fldChar w:fldCharType="begin" w:fldLock="1"/>
      </w:r>
      <w:r w:rsidRPr="00011AB2">
        <w:rPr>
          <w:rFonts w:ascii="Arial" w:hAnsi="Arial" w:cs="Arial"/>
          <w:i/>
          <w:iCs/>
          <w:sz w:val="22"/>
          <w:szCs w:val="22"/>
          <w:vertAlign w:val="superscript"/>
        </w:rPr>
        <w:instrText>ADDIN CSL_CITATION {"citationItems":[{"id":"ITEM-1","itemData":{"DOI":"10.1111/acps.12956","ISSN":"16000447","PMID":"30178492","abstract":"Objective: The purpose of this study was to finalize the development of the International Trauma Questionnaire (ITQ), a self-report diagnostic measure of post-traumatic stress disorder (PTSD) and complex PTSD (CPTSD), as defined in the 11th version of the International Classification of Diseases (ICD-11). Method: The optimal symptom indicators of PTSD and CPTSD were identified by applying item response theory (IRT) analysis to data from a trauma-exposed community sample (n = 1051) and a trauma-exposed clinical sample (n = 247) from the United Kingdom. The validity of the optimized 12-item ITQ was assessed with confirmatory factor analyses. Diagnostic rates were estimated and compared to previous validation studies. Results: The latent structure of the 12-item, optimized ITQ was consistent with prior findings, and diagnostic rates of PTSD and CPTSD were in line with previous estimates. Conclusion: The ITQ is a brief, simply worded measure of the core features of PTSD and CPTSD. It is consistent with the organizing principles of the ICD-11 to maximize clinical utility and international applicability through a focus on a limited but central set of symptoms. The measure is freely available and can be found in the body of this paper.","author":[{"dropping-particle":"","family":"Cloitre","given":"M.","non-dropping-particle":"","parse-names":false,"suffix":""},{"dropping-particle":"","family":"Shevlin","given":"M.","non-dropping-particle":"","parse-names":false,"suffix":""},{"dropping-particle":"","family":"Brewin","given":"C. R.","non-dropping-particle":"","parse-names":false,"suffix":""},{"dropping-particle":"","family":"Bisson","given":"J. I.","non-dropping-particle":"","parse-names":false,"suffix":""},{"dropping-particle":"","family":"Roberts","given":"N. P.","non-dropping-particle":"","parse-names":false,"suffix":""},{"dropping-particle":"","family":"Maercker","given":"A.","non-dropping-particle":"","parse-names":false,"suffix":""},{"dropping-particle":"","family":"Karatzias","given":"T.","non-dropping-particle":"","parse-names":false,"suffix":""},{"dropping-particle":"","family":"Hyland","given":"P.","non-dropping-particle":"","parse-names":false,"suffix":""}],"container-title":"Acta Psychiatrica Scandinavica","id":"ITEM-1","issue":"6","issued":{"date-parts":[["2018"]]},"page":"536-546","title":"The International Trauma Questionnaire: development of a self-report measure of ICD-11 PTSD and complex PTSD","type":"article-journal","volume":"138"},"uris":["http://www.mendeley.com/documents/?uuid=162121a5-8254-303d-aab9-9243375a97d0"]}],"mendeley":{"formattedCitation":"(Cloitre et al., 2018)","plainTextFormattedCitation":"(Cloitre et al., 2018)","previouslyFormattedCitation":"(Cloitre et al., 2018)"},"properties":{"noteIndex":0},"schema":"https://github.com/citation-style-language/schema/raw/master/csl-citation.json"}</w:instrText>
      </w:r>
      <w:r w:rsidRPr="00011AB2">
        <w:rPr>
          <w:rFonts w:ascii="Arial" w:hAnsi="Arial" w:cs="Arial"/>
          <w:i/>
          <w:iCs/>
          <w:sz w:val="22"/>
          <w:szCs w:val="22"/>
          <w:vertAlign w:val="superscript"/>
        </w:rPr>
        <w:fldChar w:fldCharType="separate"/>
      </w:r>
      <w:r w:rsidRPr="00011AB2">
        <w:rPr>
          <w:rFonts w:ascii="Arial" w:hAnsi="Arial" w:cs="Arial"/>
          <w:noProof/>
          <w:sz w:val="22"/>
          <w:szCs w:val="22"/>
          <w:vertAlign w:val="superscript"/>
        </w:rPr>
        <w:t>(Cloitre et al., 2018)</w:t>
      </w:r>
      <w:r w:rsidRPr="00011AB2">
        <w:rPr>
          <w:rFonts w:ascii="Arial" w:hAnsi="Arial" w:cs="Arial"/>
          <w:i/>
          <w:iCs/>
          <w:sz w:val="22"/>
          <w:szCs w:val="22"/>
          <w:vertAlign w:val="superscript"/>
        </w:rPr>
        <w:fldChar w:fldCharType="end"/>
      </w:r>
      <w:r w:rsidRPr="00011AB2">
        <w:rPr>
          <w:rFonts w:ascii="Arial" w:hAnsi="Arial" w:cs="Arial"/>
          <w:i/>
          <w:iCs/>
          <w:sz w:val="22"/>
          <w:szCs w:val="22"/>
          <w:vertAlign w:val="superscript"/>
        </w:rPr>
        <w:t xml:space="preserve">; GPTS = Green et al Paranoid Thoughts Scale </w:t>
      </w:r>
      <w:r w:rsidRPr="00011AB2">
        <w:rPr>
          <w:rFonts w:ascii="Arial" w:hAnsi="Arial" w:cs="Arial"/>
          <w:i/>
          <w:iCs/>
          <w:sz w:val="22"/>
          <w:szCs w:val="22"/>
          <w:vertAlign w:val="superscript"/>
        </w:rPr>
        <w:fldChar w:fldCharType="begin" w:fldLock="1"/>
      </w:r>
      <w:r w:rsidRPr="00011AB2">
        <w:rPr>
          <w:rFonts w:ascii="Arial" w:hAnsi="Arial" w:cs="Arial"/>
          <w:i/>
          <w:iCs/>
          <w:sz w:val="22"/>
          <w:szCs w:val="22"/>
          <w:vertAlign w:val="superscript"/>
        </w:rPr>
        <w:instrText>ADDIN CSL_CITATION {"citationItems":[{"id":"ITEM-1","itemData":{"DOI":"10.1017/S0033291719003155","ISSN":"0033-2917","PMID":"31744588","abstract":"BackgroundThe Green et al., Paranoid Thoughts Scale (GPTS) – comprising two 16-item scales assessing ideas of reference (Part A) and ideas of persecution (Part B) – was developed over a decade ago. Our aim was to conduct the first large-scale psychometric evaluation.MethodsIn total, 10 551 individuals provided GPTS data. Four hundred and twenty-two patients with psychosis and 805 non-clinical individuals completed GPTS Parts A and B. An additional 1743 patients with psychosis and 7581 non-clinical individuals completed GPTS Part B. Factor analysis, item response theory, and receiver operating characteristic analyses were conducted.ResultsThe original two-factor structure of the GPTS had an inadequate model fit: Part A did not form a unidimensional scale and multiple items were locally dependant. A Revised-GPTS (R-GPTS) was formed, comprising eight-item ideas of reference and 10-item ideas of persecution subscales, which had an excellent model fit. All items in the new Reference (a = 2.09–3.67) and Persecution (a = 2.37–4.38) scales were strongly discriminative of shifts in paranoia and had high reliability across the spectrum of severity (a &amp;gt; 0.90). The R-GPTS score ranges are: average (Reference: 0–9; Persecution: 0–4); elevated (Reference: 10–15; Persecution: 5–10); moderately severe (Reference: 16–20; Persecution:11–17); severe (Reference: 21–24; Persecution: 18–27); and very severe (Reference: 25+; Persecution: 28+). Recommended cut-offs on the persecution scale are 11 to discriminate clinical levels of persecutory ideation and 18 for a likely persecutory delusion.ConclusionsThe psychometric evaluation indicated a need to improve the GPTS. The R-GPTS is a more precise measure, has excellent psychometric properties, and is recommended for future studies of paranoia.","author":[{"dropping-particle":"","family":"Freeman","given":"Daniel","non-dropping-particle":"","parse-names":false,"suffix":""},{"dropping-particle":"","family":"Loe","given":"Bao S.","non-dropping-particle":"","parse-names":false,"suffix":""},{"dropping-particle":"","family":"Kingdon","given":"David","non-dropping-particle":"","parse-names":false,"suffix":""},{"dropping-particle":"","family":"Startup","given":"Helen","non-dropping-particle":"","parse-names":false,"suffix":""},{"dropping-particle":"","family":"Molodynski","given":"Andrew","non-dropping-particle":"","parse-names":false,"suffix":""},{"dropping-particle":"","family":"Rosebrock","given":"Laina","non-dropping-particle":"","parse-names":false,"suffix":""},{"dropping-particle":"","family":"Brown","given":"Poppy","non-dropping-particle":"","parse-names":false,"suffix":""},{"dropping-particle":"","family":"Sheaves","given":"Bryony","non-dropping-particle":"","parse-names":false,"suffix":""},{"dropping-particle":"","family":"Waite","given":"Felicity","non-dropping-particle":"","parse-names":false,"suffix":""},{"dropping-particle":"","family":"Bird","given":"Jessica C.","non-dropping-particle":"","parse-names":false,"suffix":""}],"container-title":"Psychological Medicine","id":"ITEM-1","issue":"2","issued":{"date-parts":[["2021","1","1"]]},"page":"244-253","publisher":"Cambridge University Press","title":"The revised Green et al., Paranoid Thoughts Scale (R-GPTS): psychometric properties, severity ranges, and clinical cut-offs","type":"article-journal","volume":"51"},"uris":["http://www.mendeley.com/documents/?uuid=2317c34b-3c62-370f-b989-307cce0f82a3"]}],"mendeley":{"formattedCitation":"(Freeman et al., 2021)","plainTextFormattedCitation":"(Freeman et al., 2021)","previouslyFormattedCitation":"(Freeman et al., 2021)"},"properties":{"noteIndex":0},"schema":"https://github.com/citation-style-language/schema/raw/master/csl-citation.json"}</w:instrText>
      </w:r>
      <w:r w:rsidRPr="00011AB2">
        <w:rPr>
          <w:rFonts w:ascii="Arial" w:hAnsi="Arial" w:cs="Arial"/>
          <w:i/>
          <w:iCs/>
          <w:sz w:val="22"/>
          <w:szCs w:val="22"/>
          <w:vertAlign w:val="superscript"/>
        </w:rPr>
        <w:fldChar w:fldCharType="separate"/>
      </w:r>
      <w:r w:rsidRPr="00011AB2">
        <w:rPr>
          <w:rFonts w:ascii="Arial" w:hAnsi="Arial" w:cs="Arial"/>
          <w:noProof/>
          <w:sz w:val="22"/>
          <w:szCs w:val="22"/>
          <w:vertAlign w:val="superscript"/>
        </w:rPr>
        <w:t>(Freeman et al., 2021)</w:t>
      </w:r>
      <w:r w:rsidRPr="00011AB2">
        <w:rPr>
          <w:rFonts w:ascii="Arial" w:hAnsi="Arial" w:cs="Arial"/>
          <w:i/>
          <w:iCs/>
          <w:sz w:val="22"/>
          <w:szCs w:val="22"/>
          <w:vertAlign w:val="superscript"/>
        </w:rPr>
        <w:fldChar w:fldCharType="end"/>
      </w:r>
      <w:r w:rsidRPr="00011AB2">
        <w:rPr>
          <w:rFonts w:ascii="Arial" w:hAnsi="Arial" w:cs="Arial"/>
          <w:i/>
          <w:iCs/>
          <w:sz w:val="22"/>
          <w:szCs w:val="22"/>
          <w:vertAlign w:val="superscript"/>
        </w:rPr>
        <w:t xml:space="preserve"> ; PSYRATS = Psychotic Symptom Rating Scales </w:t>
      </w:r>
      <w:r w:rsidRPr="00011AB2">
        <w:rPr>
          <w:rFonts w:ascii="Arial" w:hAnsi="Arial" w:cs="Arial"/>
          <w:i/>
          <w:iCs/>
          <w:sz w:val="22"/>
          <w:szCs w:val="22"/>
          <w:vertAlign w:val="superscript"/>
        </w:rPr>
        <w:fldChar w:fldCharType="begin" w:fldLock="1"/>
      </w:r>
      <w:r w:rsidRPr="00011AB2">
        <w:rPr>
          <w:rFonts w:ascii="Arial" w:hAnsi="Arial" w:cs="Arial"/>
          <w:i/>
          <w:iCs/>
          <w:sz w:val="22"/>
          <w:szCs w:val="22"/>
          <w:vertAlign w:val="superscript"/>
        </w:rPr>
        <w:instrText>ADDIN CSL_CITATION {"citationItems":[{"id":"ITEM-1","itemData":{"DOI":"10.1017/S0033291799008661","ISSN":"00332917","PMID":"10473315","abstract":"Background. Scales to measure the severity of different dimensions of auditory hallucinations and delusions are few. Biochemical and psychological treatments target dimensions of symptoms and valid and reliable measures are necessary to measure these. Method. The inter-rater reliability and validity of the Psychotic Symptom Rating Scales (PSYRATS:auditory hallucination subscale and delusions subscale), which measure several dimensions of auditory hallucinations and delusions were examined in this study. Results. The two scales were found to have excellent inter-rater reliability. Their validity as compared with the KGV scale was explored. Conclusions. It is concluded that the PSYRATS are useful assessment instruments and can complement existing measures.","author":[{"dropping-particle":"","family":"Haddock","given":"Gillian","non-dropping-particle":"","parse-names":false,"suffix":""},{"dropping-particle":"","family":"McCarron","given":"J.","non-dropping-particle":"","parse-names":false,"suffix":""},{"dropping-particle":"","family":"Tarrier","given":"N.","non-dropping-particle":"","parse-names":false,"suffix":""},{"dropping-particle":"","family":"Faragher","given":"E. B.","non-dropping-particle":"","parse-names":false,"suffix":""}],"container-title":"Psychological Medicine","id":"ITEM-1","issue":"4","issued":{"date-parts":[["1999"]]},"page":"879-889","publisher":"Psychol Med","title":"Scales to measure dimensions of hallucinations and delusions: The psychotic symptom rating scales (PSYRATS)","type":"article-journal","volume":"29"},"uris":["http://www.mendeley.com/documents/?uuid=da6bb5d8-a3db-3b44-95f9-9772f526eeac"]}],"mendeley":{"formattedCitation":"(Haddock et al., 1999)","plainTextFormattedCitation":"(Haddock et al., 1999)","previouslyFormattedCitation":"(Haddock et al., 1999)"},"properties":{"noteIndex":0},"schema":"https://github.com/citation-style-language/schema/raw/master/csl-citation.json"}</w:instrText>
      </w:r>
      <w:r w:rsidRPr="00011AB2">
        <w:rPr>
          <w:rFonts w:ascii="Arial" w:hAnsi="Arial" w:cs="Arial"/>
          <w:i/>
          <w:iCs/>
          <w:sz w:val="22"/>
          <w:szCs w:val="22"/>
          <w:vertAlign w:val="superscript"/>
        </w:rPr>
        <w:fldChar w:fldCharType="separate"/>
      </w:r>
      <w:r w:rsidRPr="00011AB2">
        <w:rPr>
          <w:rFonts w:ascii="Arial" w:hAnsi="Arial" w:cs="Arial"/>
          <w:noProof/>
          <w:sz w:val="22"/>
          <w:szCs w:val="22"/>
          <w:vertAlign w:val="superscript"/>
        </w:rPr>
        <w:t>(Haddock et al., 1999)</w:t>
      </w:r>
      <w:r w:rsidRPr="00011AB2">
        <w:rPr>
          <w:rFonts w:ascii="Arial" w:hAnsi="Arial" w:cs="Arial"/>
          <w:i/>
          <w:iCs/>
          <w:sz w:val="22"/>
          <w:szCs w:val="22"/>
          <w:vertAlign w:val="superscript"/>
        </w:rPr>
        <w:fldChar w:fldCharType="end"/>
      </w:r>
    </w:p>
    <w:p w14:paraId="233AFB91" w14:textId="77777777" w:rsidR="000A6A4A" w:rsidRDefault="000A6A4A"/>
    <w:sectPr w:rsidR="000A6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5D"/>
    <w:rsid w:val="0001174E"/>
    <w:rsid w:val="000466E6"/>
    <w:rsid w:val="00053555"/>
    <w:rsid w:val="00061B1D"/>
    <w:rsid w:val="00070483"/>
    <w:rsid w:val="0008581D"/>
    <w:rsid w:val="00092262"/>
    <w:rsid w:val="000A6A4A"/>
    <w:rsid w:val="000D1A04"/>
    <w:rsid w:val="000E3EF2"/>
    <w:rsid w:val="001561DD"/>
    <w:rsid w:val="001B2572"/>
    <w:rsid w:val="001C6D0A"/>
    <w:rsid w:val="002131E7"/>
    <w:rsid w:val="002B2DB7"/>
    <w:rsid w:val="002B5B33"/>
    <w:rsid w:val="002E3E00"/>
    <w:rsid w:val="002F6CD0"/>
    <w:rsid w:val="003509E8"/>
    <w:rsid w:val="003651BB"/>
    <w:rsid w:val="00390648"/>
    <w:rsid w:val="00397DC5"/>
    <w:rsid w:val="003D1A80"/>
    <w:rsid w:val="003F4F61"/>
    <w:rsid w:val="004123EC"/>
    <w:rsid w:val="00450850"/>
    <w:rsid w:val="00455AB4"/>
    <w:rsid w:val="00455C95"/>
    <w:rsid w:val="00473B34"/>
    <w:rsid w:val="004C1D95"/>
    <w:rsid w:val="005153D4"/>
    <w:rsid w:val="00522FF1"/>
    <w:rsid w:val="00537185"/>
    <w:rsid w:val="005D4442"/>
    <w:rsid w:val="006042FA"/>
    <w:rsid w:val="00604F57"/>
    <w:rsid w:val="00627AC7"/>
    <w:rsid w:val="006558E3"/>
    <w:rsid w:val="00701D32"/>
    <w:rsid w:val="00732380"/>
    <w:rsid w:val="007345F1"/>
    <w:rsid w:val="00780694"/>
    <w:rsid w:val="007B6199"/>
    <w:rsid w:val="007C0429"/>
    <w:rsid w:val="007C68A6"/>
    <w:rsid w:val="00801BAF"/>
    <w:rsid w:val="00847776"/>
    <w:rsid w:val="008642FE"/>
    <w:rsid w:val="008845CF"/>
    <w:rsid w:val="008C6B95"/>
    <w:rsid w:val="008E5EA8"/>
    <w:rsid w:val="008E7A10"/>
    <w:rsid w:val="0091337F"/>
    <w:rsid w:val="00922B3A"/>
    <w:rsid w:val="00926E8C"/>
    <w:rsid w:val="00950293"/>
    <w:rsid w:val="0095213E"/>
    <w:rsid w:val="009951D8"/>
    <w:rsid w:val="009A245C"/>
    <w:rsid w:val="009A2FAE"/>
    <w:rsid w:val="009A31AE"/>
    <w:rsid w:val="00A3481C"/>
    <w:rsid w:val="00A4336F"/>
    <w:rsid w:val="00A55586"/>
    <w:rsid w:val="00A565E5"/>
    <w:rsid w:val="00A670AF"/>
    <w:rsid w:val="00AA05C8"/>
    <w:rsid w:val="00AA1D64"/>
    <w:rsid w:val="00AA2049"/>
    <w:rsid w:val="00AC5486"/>
    <w:rsid w:val="00AD3459"/>
    <w:rsid w:val="00AE7F43"/>
    <w:rsid w:val="00B20C81"/>
    <w:rsid w:val="00B72EC2"/>
    <w:rsid w:val="00B9495D"/>
    <w:rsid w:val="00BB10DB"/>
    <w:rsid w:val="00BB75F5"/>
    <w:rsid w:val="00BC2775"/>
    <w:rsid w:val="00BC3D29"/>
    <w:rsid w:val="00BD03C1"/>
    <w:rsid w:val="00C40B18"/>
    <w:rsid w:val="00C868D0"/>
    <w:rsid w:val="00CF62AA"/>
    <w:rsid w:val="00D05FF0"/>
    <w:rsid w:val="00D128C3"/>
    <w:rsid w:val="00D52150"/>
    <w:rsid w:val="00D52617"/>
    <w:rsid w:val="00D57D4E"/>
    <w:rsid w:val="00D71A19"/>
    <w:rsid w:val="00DA206C"/>
    <w:rsid w:val="00DB2638"/>
    <w:rsid w:val="00DC1606"/>
    <w:rsid w:val="00DC313C"/>
    <w:rsid w:val="00DF0993"/>
    <w:rsid w:val="00E30A1C"/>
    <w:rsid w:val="00E44155"/>
    <w:rsid w:val="00E618A6"/>
    <w:rsid w:val="00F02D81"/>
    <w:rsid w:val="00F10A1E"/>
    <w:rsid w:val="00F10F39"/>
    <w:rsid w:val="00F127FC"/>
    <w:rsid w:val="00F42BFA"/>
    <w:rsid w:val="00F44BF1"/>
    <w:rsid w:val="00F537CE"/>
    <w:rsid w:val="00F7436D"/>
    <w:rsid w:val="00FE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B4B0C6"/>
  <w15:chartTrackingRefBased/>
  <w15:docId w15:val="{E09C6D92-7E2D-EA47-AB5D-C5CD3B06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Panayi</dc:creator>
  <cp:keywords/>
  <dc:description/>
  <cp:lastModifiedBy>Peter Panayi</cp:lastModifiedBy>
  <cp:revision>4</cp:revision>
  <dcterms:created xsi:type="dcterms:W3CDTF">2023-12-02T13:19:00Z</dcterms:created>
  <dcterms:modified xsi:type="dcterms:W3CDTF">2023-12-02T15:21:00Z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Unique User Id_1">
    <vt:lpwstr>d2a122c8-d4fd-3a98-bab8-1739bf58309f</vt:lpwstr>
  </property>
  <property fmtid="{D5CDD505-2E9C-101B-9397-08002B2CF9AE}" pid="3" name="Mendeley Citation Style_1">
    <vt:lpwstr>http://www.zotero.org/styles/american-medical-association</vt:lpwstr>
  </property>
</Properties>
</file>