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352B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36"/>
          <w:sz w:val="48"/>
          <w:szCs w:val="48"/>
          <w:lang w:eastAsia="en-GB"/>
          <w14:ligatures w14:val="none"/>
        </w:rPr>
        <w:t>1</w:t>
      </w:r>
      <w:r w:rsidRPr="00E7788A">
        <w:rPr>
          <w:rFonts w:ascii="Times New Roman" w:eastAsia="Times New Roman" w:hAnsi="Times New Roman" w:cs="Times New Roman"/>
          <w:kern w:val="36"/>
          <w:sz w:val="48"/>
          <w:szCs w:val="48"/>
          <w:lang w:eastAsia="en-GB"/>
          <w14:ligatures w14:val="none"/>
        </w:rPr>
        <w:t> </w:t>
      </w:r>
      <w:r w:rsidRPr="00E778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Supplementary Methods</w:t>
      </w:r>
    </w:p>
    <w:p w14:paraId="3CB46293" w14:textId="77777777" w:rsidR="00E7788A" w:rsidRPr="00E7788A" w:rsidRDefault="00E7788A" w:rsidP="00E7788A">
      <w:pPr>
        <w:pBdr>
          <w:bottom w:val="single" w:sz="6" w:space="0" w:color="DEE2E6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36"/>
          <w:szCs w:val="36"/>
          <w:lang w:eastAsia="en-GB"/>
          <w14:ligatures w14:val="none"/>
        </w:rPr>
        <w:t>1.1</w:t>
      </w:r>
      <w:r w:rsidRPr="00E7788A"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  <w:t> Details of predictor variables</w:t>
      </w:r>
    </w:p>
    <w:p w14:paraId="6F3684D4" w14:textId="77777777" w:rsidR="00E7788A" w:rsidRPr="00E7788A" w:rsidRDefault="00E7788A" w:rsidP="00E7788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28 variables used in the prediction modelling are indicated with a *</w:t>
      </w:r>
    </w:p>
    <w:p w14:paraId="1992BAA5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1.1.1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Socio-demographic</w:t>
      </w:r>
    </w:p>
    <w:p w14:paraId="2D0F08B6" w14:textId="77777777" w:rsidR="00E7788A" w:rsidRPr="00E7788A" w:rsidRDefault="00E7788A" w:rsidP="00E77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Age (in years)</w:t>
      </w:r>
    </w:p>
    <w:p w14:paraId="34CDED82" w14:textId="77777777" w:rsidR="00E7788A" w:rsidRPr="00E7788A" w:rsidRDefault="00E7788A" w:rsidP="00E77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Sex at birth (all participants disclosing as Male or Female)</w:t>
      </w:r>
    </w:p>
    <w:p w14:paraId="5B1D6154" w14:textId="77777777" w:rsidR="00E7788A" w:rsidRPr="00E7788A" w:rsidRDefault="00E7788A" w:rsidP="00E77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Ethnicity (White, Asian, Black, Mixed or Other)</w:t>
      </w:r>
    </w:p>
    <w:p w14:paraId="112BA9D6" w14:textId="77777777" w:rsidR="00E7788A" w:rsidRPr="00E7788A" w:rsidRDefault="00E7788A" w:rsidP="00E77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Education (No qualifications, GCSE, A Levels, University or Higher)</w:t>
      </w:r>
    </w:p>
    <w:p w14:paraId="531F33CF" w14:textId="77777777" w:rsidR="00E7788A" w:rsidRPr="00E7788A" w:rsidRDefault="00E7788A" w:rsidP="00E77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Employment status (Employed, Student, Unemployed,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Long term</w:t>
      </w:r>
      <w:proofErr w:type="gram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sick)</w:t>
      </w:r>
    </w:p>
    <w:p w14:paraId="6F136776" w14:textId="77777777" w:rsidR="00E7788A" w:rsidRPr="00E7788A" w:rsidRDefault="00E7788A" w:rsidP="00E77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Income (£0-£5,475, £5,476-£12,097, £12,098-£20,753, £20,754-£31,494, £31,495 or more)</w:t>
      </w:r>
    </w:p>
    <w:p w14:paraId="5674FCD9" w14:textId="77777777" w:rsidR="00E7788A" w:rsidRPr="00E7788A" w:rsidRDefault="00E7788A" w:rsidP="00E77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Relationship status (Single or Divorced,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</w:t>
      </w:r>
      <w:proofErr w:type="gram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relationship, Married, Other)</w:t>
      </w:r>
    </w:p>
    <w:p w14:paraId="6114E8B9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1.1.2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Clinical status</w:t>
      </w:r>
    </w:p>
    <w:p w14:paraId="7A30DD84" w14:textId="77777777" w:rsidR="00E7788A" w:rsidRPr="00E7788A" w:rsidRDefault="00E7788A" w:rsidP="00E77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Age of patient of the first onset of psychiatric symptoms (in years, date of current episode onset - date of birth)</w:t>
      </w:r>
    </w:p>
    <w:p w14:paraId="3FAF08C4" w14:textId="77777777" w:rsidR="00E7788A" w:rsidRPr="00E7788A" w:rsidRDefault="00E7788A" w:rsidP="00E77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Duration of the current episode (in months)</w:t>
      </w:r>
    </w:p>
    <w:p w14:paraId="38F00BC3" w14:textId="77777777" w:rsidR="00E7788A" w:rsidRPr="00E7788A" w:rsidRDefault="00E7788A" w:rsidP="00E77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Current anti-depressant use (Yes or No)</w:t>
      </w:r>
    </w:p>
    <w:p w14:paraId="6C001965" w14:textId="77777777" w:rsidR="00E7788A" w:rsidRPr="00E7788A" w:rsidRDefault="00E7788A" w:rsidP="00E77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Depression Severity (Patient Health Questionnaire, PHQ 9)</w:t>
      </w:r>
    </w:p>
    <w:p w14:paraId="5ADB2490" w14:textId="77777777" w:rsidR="00E7788A" w:rsidRPr="00E7788A" w:rsidRDefault="00E7788A" w:rsidP="00E77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Anxiety Disorder (Generalized Anxiety Disorder, GAD 7)</w:t>
      </w:r>
    </w:p>
    <w:p w14:paraId="24167F4E" w14:textId="77777777" w:rsidR="00E7788A" w:rsidRPr="00E7788A" w:rsidRDefault="00E7788A" w:rsidP="00E77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Diagnoses selected from the MINI diagnostic interview (Sheehan et al., 1998) not covered by PHQ-9 or GAD-7:</w:t>
      </w:r>
    </w:p>
    <w:p w14:paraId="0E1EA8C2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Bipolar Status (Unipolar or Bipolar)</w:t>
      </w:r>
    </w:p>
    <w:p w14:paraId="493CD0A6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Social phobia (Yes or No)</w:t>
      </w:r>
    </w:p>
    <w:p w14:paraId="3D1D56A8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Panic Disorder (Yes or No) </w:t>
      </w:r>
    </w:p>
    <w:p w14:paraId="29924984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Agoraphobia (Yes or No)</w:t>
      </w:r>
    </w:p>
    <w:p w14:paraId="6C1B28AA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Obsessive Compulsive Disorder, OCD (Yes or No)</w:t>
      </w:r>
    </w:p>
    <w:p w14:paraId="68F3E82F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Post-traumatic stress disorder, PTSD (Yes or No)</w:t>
      </w:r>
    </w:p>
    <w:p w14:paraId="701F3899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Alcohol abuse (Yes or No)</w:t>
      </w:r>
    </w:p>
    <w:p w14:paraId="78CB4A80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Substance Abuse or Dependence (Yes or No)</w:t>
      </w:r>
    </w:p>
    <w:p w14:paraId="29F619B2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Anorexia (Yes or No)</w:t>
      </w:r>
    </w:p>
    <w:p w14:paraId="61448B9E" w14:textId="77777777" w:rsidR="00E7788A" w:rsidRPr="00E7788A" w:rsidRDefault="00E7788A" w:rsidP="00E7788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Bulimia (Yes or No)</w:t>
      </w:r>
    </w:p>
    <w:p w14:paraId="1DAD10F4" w14:textId="77777777" w:rsidR="00E7788A" w:rsidRPr="00E7788A" w:rsidRDefault="00E7788A" w:rsidP="00E77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Personality disorder traits (Standardised Assessment of Personality – Abbreviated Scale, SAPAS, Moran et al., 2003)</w:t>
      </w:r>
    </w:p>
    <w:p w14:paraId="13703157" w14:textId="77777777" w:rsidR="00E7788A" w:rsidRPr="00E7788A" w:rsidRDefault="00E7788A" w:rsidP="00E77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Physical health using the Cumulative Illness Rating Scale (Linn et al., 1968, CIRS)</w:t>
      </w:r>
    </w:p>
    <w:p w14:paraId="5221A222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1.1.3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Psycho-social status and history</w:t>
      </w:r>
    </w:p>
    <w:p w14:paraId="6F55CFC9" w14:textId="577C2E51" w:rsidR="00E7788A" w:rsidRPr="00E7788A" w:rsidRDefault="00E7788A" w:rsidP="00E77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Current beliefs about mental illness by the total score of the Brief Illness Perceptions questionnaire, (</w:t>
      </w:r>
      <w:r w:rsidRPr="00E7788A">
        <w:rPr>
          <w:rFonts w:ascii="Tahoma" w:eastAsia="Times New Roman" w:hAnsi="Tahoma" w:cs="Tahoma"/>
          <w:kern w:val="0"/>
          <w:sz w:val="24"/>
          <w:szCs w:val="24"/>
          <w:lang w:eastAsia="en-GB"/>
          <w14:ligatures w14:val="none"/>
        </w:rPr>
        <w:t>α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B-IPQ, (Broadbent et al., 2006)</w:t>
      </w:r>
    </w:p>
    <w:p w14:paraId="4A113F44" w14:textId="77777777" w:rsidR="00E7788A" w:rsidRPr="00E7788A" w:rsidRDefault="00E7788A" w:rsidP="00E77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Self-criticism, Forms of Self Reassurance and Self Criticism scale (Gilbert et al., 2004, FSRC)</w:t>
      </w:r>
    </w:p>
    <w:p w14:paraId="12B4E740" w14:textId="77777777" w:rsidR="00E7788A" w:rsidRPr="00E7788A" w:rsidRDefault="00E7788A" w:rsidP="00E77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FSRC has 3 subscales, but a confirmatory factor analysis (CFA) showed that self-inadequacy and self-hatred could be combined into one ‘negative cognitions’ measure. The self-reassurance dimension was the other subscale. Items were summed by these two dimensions.</w:t>
      </w:r>
    </w:p>
    <w:p w14:paraId="41184A08" w14:textId="77777777" w:rsidR="00E7788A" w:rsidRPr="00E7788A" w:rsidRDefault="00E7788A" w:rsidP="00E77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Self-efficacy by the sum score of the general self-efficacy scale (Schwarzer &amp; Jerusalem, 1995)</w:t>
      </w:r>
    </w:p>
    <w:p w14:paraId="5BDCEF32" w14:textId="77777777" w:rsidR="00E7788A" w:rsidRPr="00E7788A" w:rsidRDefault="00E7788A" w:rsidP="00E77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Quality of life was assessed using the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EuroQol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questionnaire (Herdman et al., 2011, EQ5D)</w:t>
      </w:r>
    </w:p>
    <w:p w14:paraId="45D12648" w14:textId="77777777" w:rsidR="00E7788A" w:rsidRPr="00E7788A" w:rsidRDefault="00E7788A" w:rsidP="00E77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5 domains (usual activities, anxiety and depression, mobility ratings) were converted into a single utility index using an algorithm weighted by country, ranging from – 0.285 (worse than being 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dead) to 1 (Devlin et al., 2018). For this analysis we excluded the additional visual analogue scale for conceptual and statistical overlap with the utility index (r = 0.58, 95% CI: 0.48, 0.64)</w:t>
      </w:r>
    </w:p>
    <w:p w14:paraId="03B67F30" w14:textId="77777777" w:rsidR="00E7788A" w:rsidRPr="00E7788A" w:rsidRDefault="00E7788A" w:rsidP="00E77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Strength of social support was measured with the Oslo Social Support scale, OSS (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Dalgard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et al., 2006)</w:t>
      </w:r>
    </w:p>
    <w:p w14:paraId="0B39FE8D" w14:textId="77777777" w:rsidR="00E7788A" w:rsidRPr="00E7788A" w:rsidRDefault="00E7788A" w:rsidP="00E77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List of Threatening Events Questionnaire, LTE (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Brugha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et al., 1985)</w:t>
      </w:r>
    </w:p>
    <w:p w14:paraId="4AE71DD8" w14:textId="77777777" w:rsidR="00E7788A" w:rsidRPr="00E7788A" w:rsidRDefault="00E7788A" w:rsidP="00E77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count of 12 stressful events over lifetime such as death and unemployment, used as a total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score</w:t>
      </w:r>
      <w:proofErr w:type="gramEnd"/>
    </w:p>
    <w:p w14:paraId="1F70D145" w14:textId="77777777" w:rsidR="00E7788A" w:rsidRPr="00E7788A" w:rsidRDefault="00E7788A" w:rsidP="00E77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Childhood Trauma Questionnaire, CTQ (Bernstein et al., 2003)</w:t>
      </w:r>
    </w:p>
    <w:p w14:paraId="461909D3" w14:textId="77777777" w:rsidR="00E7788A" w:rsidRPr="00E7788A" w:rsidRDefault="00E7788A" w:rsidP="00E7788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scale assesses five types of maltreatment: sexual abuse, physical abuse, emotional neglect, physical neglect, and emotional abuse. Here we used the total score. </w:t>
      </w:r>
    </w:p>
    <w:p w14:paraId="499AC19D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1.1.4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Pre-processing of predictor variables</w:t>
      </w:r>
    </w:p>
    <w:p w14:paraId="51027555" w14:textId="77777777" w:rsidR="00E7788A" w:rsidRPr="00E7788A" w:rsidRDefault="00E7788A" w:rsidP="00E7788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details of the pre-processing of predictor variables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</w:t>
      </w:r>
      <w:proofErr w:type="gram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as follows. Several demographic variables had the number of categories reduced. The number of ethnicity categories was reduced to 2 (BME or white). The mainly white sample (78%) meant there were few participants in individual non-white categories by outcome condition. Similarly, education was re-categorised according to level of qualification (none, school, and university) and employment was reduced to 3 categories: employed (including students and homemakers), unemployed and long-term sick, the latter identified as a particularly vulnerable category. All variables were standardised to mean 0 and 1 to allow evaluation of relevance and facilitate model computation (Gelman et al., 2020). All continuous variables were checked for non-linear relationships with outcome variables via spike histograms (binary) and loess smooths (continuous), none of which showed significant deviation from linearity.</w:t>
      </w:r>
    </w:p>
    <w:p w14:paraId="5D8D3711" w14:textId="77777777" w:rsidR="00E7788A" w:rsidRDefault="00E7788A">
      <w:pPr>
        <w:rPr>
          <w:rFonts w:ascii="Times New Roman" w:eastAsia="Times New Roman" w:hAnsi="Times New Roman" w:cs="Times New Roman"/>
          <w:color w:val="5A6570"/>
          <w:kern w:val="36"/>
          <w:sz w:val="48"/>
          <w:szCs w:val="4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5A6570"/>
          <w:kern w:val="36"/>
          <w:sz w:val="48"/>
          <w:szCs w:val="48"/>
          <w:lang w:eastAsia="en-GB"/>
          <w14:ligatures w14:val="none"/>
        </w:rPr>
        <w:br w:type="page"/>
      </w:r>
    </w:p>
    <w:p w14:paraId="665C1ACA" w14:textId="5209D069" w:rsidR="00E7788A" w:rsidRPr="00E7788A" w:rsidRDefault="00E7788A" w:rsidP="00E778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36"/>
          <w:sz w:val="48"/>
          <w:szCs w:val="48"/>
          <w:lang w:eastAsia="en-GB"/>
          <w14:ligatures w14:val="none"/>
        </w:rPr>
        <w:lastRenderedPageBreak/>
        <w:t>2</w:t>
      </w:r>
      <w:r w:rsidRPr="00E7788A">
        <w:rPr>
          <w:rFonts w:ascii="Times New Roman" w:eastAsia="Times New Roman" w:hAnsi="Times New Roman" w:cs="Times New Roman"/>
          <w:kern w:val="36"/>
          <w:sz w:val="48"/>
          <w:szCs w:val="48"/>
          <w:lang w:eastAsia="en-GB"/>
          <w14:ligatures w14:val="none"/>
        </w:rPr>
        <w:t> Supplementary Results</w:t>
      </w:r>
    </w:p>
    <w:p w14:paraId="767C9A36" w14:textId="77777777" w:rsidR="00E7788A" w:rsidRPr="00E7788A" w:rsidRDefault="00E7788A" w:rsidP="00E7788A">
      <w:pPr>
        <w:pBdr>
          <w:bottom w:val="single" w:sz="6" w:space="0" w:color="DEE2E6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36"/>
          <w:szCs w:val="36"/>
          <w:lang w:eastAsia="en-GB"/>
          <w14:ligatures w14:val="none"/>
        </w:rPr>
        <w:t>2.1</w:t>
      </w:r>
      <w:r w:rsidRPr="00E7788A"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  <w:t> Missing data</w:t>
      </w:r>
    </w:p>
    <w:p w14:paraId="2534F9DD" w14:textId="181F4395" w:rsidR="00E7788A" w:rsidRPr="00E7788A" w:rsidRDefault="00E7788A" w:rsidP="00E77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D927029" wp14:editId="7C1DA3BB">
            <wp:extent cx="6400800" cy="4572000"/>
            <wp:effectExtent l="0" t="0" r="0" b="0"/>
            <wp:docPr id="1131986965" name="Picture 5" descr="A graph with a number of mis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86965" name="Picture 5" descr="A graph with a number of mis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4AA7" w14:textId="77777777" w:rsidR="00E7788A" w:rsidRPr="00E7788A" w:rsidRDefault="00E7788A" w:rsidP="00E778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Figure 1: Percentage missing data by variable and recovery outcome</w:t>
      </w:r>
    </w:p>
    <w:p w14:paraId="61D6F1C9" w14:textId="77777777" w:rsidR="00E7788A" w:rsidRPr="00E7788A" w:rsidRDefault="00E7788A" w:rsidP="00E7788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Overall, rates of missingness were relatively high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 &gt;</w:t>
      </w:r>
      <w:proofErr w:type="gram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20%) for 4 variables, duration of current illness episode, age of illness onset, ethnicity and physical health (CIRS).</w:t>
      </w:r>
    </w:p>
    <w:p w14:paraId="0E069572" w14:textId="77777777" w:rsidR="00E7788A" w:rsidRPr="00E7788A" w:rsidRDefault="00E7788A" w:rsidP="00E7788A">
      <w:pPr>
        <w:pBdr>
          <w:bottom w:val="single" w:sz="6" w:space="0" w:color="DEE2E6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36"/>
          <w:szCs w:val="36"/>
          <w:lang w:eastAsia="en-GB"/>
          <w14:ligatures w14:val="none"/>
        </w:rPr>
        <w:t>2.2</w:t>
      </w:r>
      <w:r w:rsidRPr="00E7788A"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  <w:t> Reference models and variable selection</w:t>
      </w:r>
    </w:p>
    <w:p w14:paraId="2D9FFFB2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2.2.1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IAPT Recovery</w:t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1162"/>
        <w:gridCol w:w="1153"/>
        <w:gridCol w:w="1153"/>
        <w:gridCol w:w="1227"/>
        <w:gridCol w:w="1297"/>
        <w:gridCol w:w="1369"/>
      </w:tblGrid>
      <w:tr w:rsidR="00E7788A" w:rsidRPr="00E7788A" w14:paraId="0736E314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E211BDD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Table 1: Model coefficients for reference model including median odds ratio, 95 CI, </w:t>
            </w:r>
            <w:proofErr w:type="spellStart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 and effective sample size (ESS) of posterior distribution.</w:t>
            </w:r>
          </w:p>
        </w:tc>
      </w:tr>
      <w:tr w:rsidR="00E7788A" w:rsidRPr="00E7788A" w14:paraId="48FBD224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FB2180F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Parameter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E51CE37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360FAD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A848C76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CI_low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A0D49B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CI_high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AD273F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6B85759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ESS</w:t>
            </w:r>
          </w:p>
        </w:tc>
      </w:tr>
      <w:tr w:rsidR="00E7788A" w:rsidRPr="00E7788A" w14:paraId="28AAAC1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B97CA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(Intercept)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EF06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CFB6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97DE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467E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1.60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7C0E5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3DEC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10853</w:t>
            </w:r>
          </w:p>
        </w:tc>
      </w:tr>
      <w:tr w:rsidR="00E7788A" w:rsidRPr="00E7788A" w14:paraId="67E1516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9971D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B0D3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9D1E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AB7F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4C88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2DB77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E492D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6038</w:t>
            </w:r>
          </w:p>
        </w:tc>
      </w:tr>
      <w:tr w:rsidR="00E7788A" w:rsidRPr="00E7788A" w14:paraId="5316301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FD222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14196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2003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297EE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F51B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3D816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99531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8004</w:t>
            </w:r>
          </w:p>
        </w:tc>
      </w:tr>
      <w:tr w:rsidR="00E7788A" w:rsidRPr="00E7788A" w14:paraId="4CF51F0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3FB0C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6EAF7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4F5A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5959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D5316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D62D8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9CF1C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7162</w:t>
            </w:r>
          </w:p>
        </w:tc>
      </w:tr>
      <w:tr w:rsidR="00E7788A" w:rsidRPr="00E7788A" w14:paraId="270278D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B3924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FE8B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2C176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8B917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58F0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03D08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63E2D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8101</w:t>
            </w:r>
          </w:p>
        </w:tc>
      </w:tr>
      <w:tr w:rsidR="00E7788A" w:rsidRPr="00E7788A" w14:paraId="04EF943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E1EFE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unemployed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BD1BB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DC97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A7B5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F882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A211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8081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7279</w:t>
            </w:r>
          </w:p>
        </w:tc>
      </w:tr>
      <w:tr w:rsidR="00E7788A" w:rsidRPr="00E7788A" w14:paraId="6A1AFFB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14F99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B8BF6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936AE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79A2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58D6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17F8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94E4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5638</w:t>
            </w:r>
          </w:p>
        </w:tc>
      </w:tr>
      <w:tr w:rsidR="00E7788A" w:rsidRPr="00E7788A" w14:paraId="0632B94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CFF40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D0A7E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C50A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26225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006AB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1.51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0A41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91CB5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5066</w:t>
            </w:r>
          </w:p>
        </w:tc>
      </w:tr>
      <w:tr w:rsidR="00E7788A" w:rsidRPr="00E7788A" w14:paraId="5B42E67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FB79A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766B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F505A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E7635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D9C70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B474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E5B44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7706</w:t>
            </w:r>
          </w:p>
        </w:tc>
      </w:tr>
      <w:tr w:rsidR="00E7788A" w:rsidRPr="00E7788A" w14:paraId="2DA37B7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8FF35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ln_curr_ep_dur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772C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F1C5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36356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AC954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E88AC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21E6E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8797</w:t>
            </w:r>
          </w:p>
        </w:tc>
      </w:tr>
      <w:tr w:rsidR="00E7788A" w:rsidRPr="00E7788A" w14:paraId="269DE80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C363E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DBBA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7C92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FFECC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2BB6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FFAB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503F6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8492</w:t>
            </w:r>
          </w:p>
        </w:tc>
      </w:tr>
      <w:tr w:rsidR="00E7788A" w:rsidRPr="00E7788A" w14:paraId="3FD07A0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DB2D9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6F98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41C5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3041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4B19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19D1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888E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8734</w:t>
            </w:r>
          </w:p>
        </w:tc>
      </w:tr>
      <w:tr w:rsidR="00E7788A" w:rsidRPr="00E7788A" w14:paraId="5A6DA85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6461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1BE1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AADDD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0C3A9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31B93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9BF3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DD86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4963</w:t>
            </w:r>
          </w:p>
        </w:tc>
      </w:tr>
      <w:tr w:rsidR="00E7788A" w:rsidRPr="00E7788A" w14:paraId="02A4A6D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12F2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DA176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C07B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3D50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50BED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B5B1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6250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7587</w:t>
            </w:r>
          </w:p>
        </w:tc>
      </w:tr>
      <w:tr w:rsidR="00E7788A" w:rsidRPr="00E7788A" w14:paraId="331A130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A0289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4311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13FB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97AF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3AB6B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807FE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B73FD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6503</w:t>
            </w:r>
          </w:p>
        </w:tc>
      </w:tr>
      <w:tr w:rsidR="00E7788A" w:rsidRPr="00E7788A" w14:paraId="638A66F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588BD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F8CB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A13A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4DAD1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F660D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EDD9E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CCEC1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4102</w:t>
            </w:r>
          </w:p>
        </w:tc>
      </w:tr>
      <w:tr w:rsidR="00E7788A" w:rsidRPr="00E7788A" w14:paraId="37780C0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9D743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8125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94C51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59574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76DF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79F8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42A31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6333</w:t>
            </w:r>
          </w:p>
        </w:tc>
      </w:tr>
      <w:tr w:rsidR="00E7788A" w:rsidRPr="00E7788A" w14:paraId="17E791B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71BAB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13C57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8BEDD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2FB84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BE5D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1412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09CC1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3092</w:t>
            </w:r>
          </w:p>
        </w:tc>
      </w:tr>
      <w:tr w:rsidR="00E7788A" w:rsidRPr="00E7788A" w14:paraId="3A35181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CD903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216D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74E4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7E8FF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64ED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F98A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45C8C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5682</w:t>
            </w:r>
          </w:p>
        </w:tc>
      </w:tr>
      <w:tr w:rsidR="00E7788A" w:rsidRPr="00E7788A" w14:paraId="714A579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E93BD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A95D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7AB2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1EA26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4840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F173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DDC7E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7902</w:t>
            </w:r>
          </w:p>
        </w:tc>
      </w:tr>
      <w:tr w:rsidR="00E7788A" w:rsidRPr="00E7788A" w14:paraId="5EE94D8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0FD71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BB318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6897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8653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3AFE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3E505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9C154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6336</w:t>
            </w:r>
          </w:p>
        </w:tc>
      </w:tr>
      <w:tr w:rsidR="00E7788A" w:rsidRPr="00E7788A" w14:paraId="27FE859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506D9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8823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CB83B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8823F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D7E4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6286C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D888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4806</w:t>
            </w:r>
          </w:p>
        </w:tc>
      </w:tr>
      <w:tr w:rsidR="00E7788A" w:rsidRPr="00E7788A" w14:paraId="6CBD1D6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58E54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neg_cogs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6097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9A56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FEA02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52A5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A6D51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49A14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8434</w:t>
            </w:r>
          </w:p>
        </w:tc>
      </w:tr>
      <w:tr w:rsidR="00E7788A" w:rsidRPr="00E7788A" w14:paraId="233916D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1DAE8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BCDD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89CE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C749F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6CD9F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F318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FEACD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9102</w:t>
            </w:r>
          </w:p>
        </w:tc>
      </w:tr>
      <w:tr w:rsidR="00E7788A" w:rsidRPr="00E7788A" w14:paraId="4637A3F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2CDC4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0BDB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F458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003AC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DB60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05523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2F3C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8103</w:t>
            </w:r>
          </w:p>
        </w:tc>
      </w:tr>
      <w:tr w:rsidR="00E7788A" w:rsidRPr="00E7788A" w14:paraId="5FA84FD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9B3DB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9C4CC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3B70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4B330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F28F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1.51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7B05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8ACB5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5043</w:t>
            </w:r>
          </w:p>
        </w:tc>
      </w:tr>
      <w:tr w:rsidR="00E7788A" w:rsidRPr="00E7788A" w14:paraId="06DF467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0B55D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E8696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1F6D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A687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ADD60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F96A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82BED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8861</w:t>
            </w:r>
          </w:p>
        </w:tc>
      </w:tr>
      <w:tr w:rsidR="00E7788A" w:rsidRPr="00E7788A" w14:paraId="5FB230E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9E5A2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F67D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3CCC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79FD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0119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414F0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812D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8345</w:t>
            </w:r>
          </w:p>
        </w:tc>
      </w:tr>
      <w:tr w:rsidR="00E7788A" w:rsidRPr="00E7788A" w14:paraId="0DED5BC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0A74A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2A95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C1662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781B0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B13B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37F5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C6AD2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7814</w:t>
            </w:r>
          </w:p>
        </w:tc>
      </w:tr>
      <w:tr w:rsidR="00E7788A" w:rsidRPr="00E7788A" w14:paraId="3ACD5C3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E7AED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2C945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4322E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9E96D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0E76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F05A2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BEA5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7952</w:t>
            </w:r>
          </w:p>
        </w:tc>
      </w:tr>
      <w:tr w:rsidR="00E7788A" w:rsidRPr="00E7788A" w14:paraId="2A1E705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56F0E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63FE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29F33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6560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4512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E1031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40703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8666</w:t>
            </w:r>
          </w:p>
        </w:tc>
      </w:tr>
    </w:tbl>
    <w:p w14:paraId="63FFE1FE" w14:textId="77777777" w:rsidR="00E7788A" w:rsidRDefault="00E7788A">
      <w:r>
        <w:br w:type="page"/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677"/>
        <w:gridCol w:w="1313"/>
        <w:gridCol w:w="996"/>
        <w:gridCol w:w="1222"/>
        <w:gridCol w:w="1222"/>
        <w:gridCol w:w="1894"/>
      </w:tblGrid>
      <w:tr w:rsidR="00E7788A" w:rsidRPr="00E7788A" w14:paraId="5C02BEDB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C8521B" w14:textId="0F87B38D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Table 2: Projection model variable selection path and variable stability</w:t>
            </w:r>
          </w:p>
        </w:tc>
      </w:tr>
      <w:tr w:rsidR="00E7788A" w:rsidRPr="00E7788A" w14:paraId="2181CE55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060CAD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C53BBC1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solution_terms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356C6E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31AA74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0900A36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0E4951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C38FE5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prop_included</w:t>
            </w:r>
            <w:proofErr w:type="spellEnd"/>
          </w:p>
        </w:tc>
      </w:tr>
      <w:tr w:rsidR="00E7788A" w:rsidRPr="00E7788A" w14:paraId="2DCA4EE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D569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37465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92244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-182.6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86021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0A3D5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DEF8B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F81F0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64A2F09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415F6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F53BA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FE0B4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-146.8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0255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9F218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D6F0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D21C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3A53A2A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F49F3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8D742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ACB35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69B2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E090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16B71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7B7C1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0.996</w:t>
            </w:r>
          </w:p>
        </w:tc>
      </w:tr>
      <w:tr w:rsidR="00E7788A" w:rsidRPr="00E7788A" w14:paraId="6E40431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93613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04790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A4E9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-142.3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95FE8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51F0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91F8C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0177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3034B44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5B04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B83F9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6D6DC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-142.9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1891C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9C70B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9C903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5489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0.981</w:t>
            </w:r>
          </w:p>
        </w:tc>
      </w:tr>
      <w:tr w:rsidR="00E7788A" w:rsidRPr="00E7788A" w14:paraId="470D24C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F516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7F797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62D16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0703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2C84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E285C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32CDC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0.890</w:t>
            </w:r>
          </w:p>
        </w:tc>
      </w:tr>
      <w:tr w:rsidR="00E7788A" w:rsidRPr="00E7788A" w14:paraId="41A551D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47FBA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8EBD1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F9F4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-145.7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1C189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E8FE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8987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2B56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0.875</w:t>
            </w:r>
          </w:p>
        </w:tc>
      </w:tr>
      <w:tr w:rsidR="00E7788A" w:rsidRPr="00E7788A" w14:paraId="199EAE4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40A7E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760EC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20C0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8CA06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F1D3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47DD5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04863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0.894</w:t>
            </w:r>
          </w:p>
        </w:tc>
      </w:tr>
      <w:tr w:rsidR="00E7788A" w:rsidRPr="00E7788A" w14:paraId="61DC816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8F89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A6019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97FDC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EED7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D3723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D268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0C38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0.901</w:t>
            </w:r>
          </w:p>
        </w:tc>
      </w:tr>
      <w:tr w:rsidR="00E7788A" w:rsidRPr="00E7788A" w14:paraId="3D945ED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5D89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75182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2CCB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8FF7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20A3D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3B66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C6B18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0.913</w:t>
            </w:r>
          </w:p>
        </w:tc>
      </w:tr>
      <w:tr w:rsidR="00E7788A" w:rsidRPr="00E7788A" w14:paraId="5103F59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07CBD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24514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4FA8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EEE1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43342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33A97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F8D4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0.665</w:t>
            </w:r>
          </w:p>
        </w:tc>
      </w:tr>
      <w:tr w:rsidR="00E7788A" w:rsidRPr="00E7788A" w14:paraId="6390174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F2A9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5DA46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79353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-145.1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FBA6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3B9B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C2EB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E22A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0.525</w:t>
            </w:r>
          </w:p>
        </w:tc>
      </w:tr>
      <w:tr w:rsidR="00E7788A" w:rsidRPr="00E7788A" w14:paraId="238CC68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D979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04B58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B571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D344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E5DE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86FE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D90B2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0.966</w:t>
            </w:r>
          </w:p>
        </w:tc>
      </w:tr>
      <w:tr w:rsidR="00E7788A" w:rsidRPr="00E7788A" w14:paraId="5C23CD0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AA20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A27D4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ADC9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29DE2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3C34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B0D40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C31C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0.422</w:t>
            </w:r>
          </w:p>
        </w:tc>
      </w:tr>
      <w:tr w:rsidR="00E7788A" w:rsidRPr="00E7788A" w14:paraId="6BA5170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7CE9E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25CF0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536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7F6A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2879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BB6D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6206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0.772</w:t>
            </w:r>
          </w:p>
        </w:tc>
      </w:tr>
      <w:tr w:rsidR="00E7788A" w:rsidRPr="00E7788A" w14:paraId="0E2FFE4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70EE1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69AE2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4B26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081A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FE02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B6248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A37E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0.852</w:t>
            </w:r>
          </w:p>
        </w:tc>
      </w:tr>
      <w:tr w:rsidR="00E7788A" w:rsidRPr="00E7788A" w14:paraId="14C0C48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39A74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D33A5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7102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66AC4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EB86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9834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1138E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0.878</w:t>
            </w:r>
          </w:p>
        </w:tc>
      </w:tr>
      <w:tr w:rsidR="00E7788A" w:rsidRPr="00E7788A" w14:paraId="1C9C77C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3FEA8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15DA9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6FDB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56C8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5F8F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0.429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165B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AEC3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0.730</w:t>
            </w:r>
          </w:p>
        </w:tc>
      </w:tr>
      <w:tr w:rsidR="00E7788A" w:rsidRPr="00E7788A" w14:paraId="33AF0E0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AB271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07807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D8FA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-144.8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1A57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A438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16E2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EB0F1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0.654</w:t>
            </w:r>
          </w:p>
        </w:tc>
      </w:tr>
      <w:tr w:rsidR="00E7788A" w:rsidRPr="00E7788A" w14:paraId="4F75332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B9AA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DC99F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0C06C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-145.2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6CDC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63773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E2398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C5A5C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0.673</w:t>
            </w:r>
          </w:p>
        </w:tc>
      </w:tr>
    </w:tbl>
    <w:p w14:paraId="5E3969E3" w14:textId="29956133" w:rsidR="00E7788A" w:rsidRPr="00E7788A" w:rsidRDefault="00E7788A" w:rsidP="00E77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lastRenderedPageBreak/>
        <w:drawing>
          <wp:inline distT="0" distB="0" distL="0" distR="0" wp14:anchorId="35E5AB36" wp14:editId="5F06F943">
            <wp:extent cx="6400800" cy="4572000"/>
            <wp:effectExtent l="0" t="0" r="0" b="0"/>
            <wp:docPr id="482255818" name="Picture 4" descr="A graph with a line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55818" name="Picture 4" descr="A graph with a line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0252C" w14:textId="77777777" w:rsidR="00E7788A" w:rsidRPr="00E7788A" w:rsidRDefault="00E7788A" w:rsidP="00E778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Figure 2: Calibration plot for projection model for IAPT recovery</w:t>
      </w:r>
    </w:p>
    <w:p w14:paraId="7A425BD4" w14:textId="77777777" w:rsid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</w:pPr>
    </w:p>
    <w:p w14:paraId="29BEDE8E" w14:textId="3B63AF21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2.2.2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IAPT Recovery (cases only)</w:t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1179"/>
        <w:gridCol w:w="1170"/>
        <w:gridCol w:w="1170"/>
        <w:gridCol w:w="1244"/>
        <w:gridCol w:w="1316"/>
        <w:gridCol w:w="1243"/>
      </w:tblGrid>
      <w:tr w:rsidR="00E7788A" w:rsidRPr="00E7788A" w14:paraId="56E9D7C6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A6CB1B3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Table 3: Model coefficients for reference model including median odds ratio, 95 CI, </w:t>
            </w:r>
            <w:proofErr w:type="spellStart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 and effective sample size (ESS) of posterior distribution.</w:t>
            </w:r>
          </w:p>
        </w:tc>
      </w:tr>
      <w:tr w:rsidR="00E7788A" w:rsidRPr="00E7788A" w14:paraId="635C34EB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407A629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Parameter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47E6DEE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14C00AD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BC2D60B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CI_low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C9A6519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CI_high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A2548B9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363B67A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ESS</w:t>
            </w:r>
          </w:p>
        </w:tc>
      </w:tr>
      <w:tr w:rsidR="00E7788A" w:rsidRPr="00E7788A" w14:paraId="22CEA8A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6709F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(Intercept)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F626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2E85F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D6FD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D45A0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8D7D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12A19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8600</w:t>
            </w:r>
          </w:p>
        </w:tc>
      </w:tr>
      <w:tr w:rsidR="00E7788A" w:rsidRPr="00E7788A" w14:paraId="5D9B141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29C7D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E5736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8821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6A228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BB97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B27F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D410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4503</w:t>
            </w:r>
          </w:p>
        </w:tc>
      </w:tr>
      <w:tr w:rsidR="00E7788A" w:rsidRPr="00E7788A" w14:paraId="5066F20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5FAB9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45F6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170C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4BFB8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FCC2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CF05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0CD5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7598</w:t>
            </w:r>
          </w:p>
        </w:tc>
      </w:tr>
      <w:tr w:rsidR="00E7788A" w:rsidRPr="00E7788A" w14:paraId="667F5DF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60CE2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D1FB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A07F8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47FC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A64B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AB0B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F24C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6021</w:t>
            </w:r>
          </w:p>
        </w:tc>
      </w:tr>
      <w:tr w:rsidR="00E7788A" w:rsidRPr="00E7788A" w14:paraId="5F03F38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45D74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6192B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4760D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5AB51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E28B9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124E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60A0C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8391</w:t>
            </w:r>
          </w:p>
        </w:tc>
      </w:tr>
      <w:tr w:rsidR="00E7788A" w:rsidRPr="00E7788A" w14:paraId="3106BC4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A1DBE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unemployed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7E1B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F80E1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407C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FC55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7A990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4D998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5778</w:t>
            </w:r>
          </w:p>
        </w:tc>
      </w:tr>
      <w:tr w:rsidR="00E7788A" w:rsidRPr="00E7788A" w14:paraId="505C247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720ED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B126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0CAA0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E437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2372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FC159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D5C7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3621</w:t>
            </w:r>
          </w:p>
        </w:tc>
      </w:tr>
      <w:tr w:rsidR="00E7788A" w:rsidRPr="00E7788A" w14:paraId="4D22E09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F04A7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6591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8C70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C5193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656C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EF58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31C36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4785</w:t>
            </w:r>
          </w:p>
        </w:tc>
      </w:tr>
      <w:tr w:rsidR="00E7788A" w:rsidRPr="00E7788A" w14:paraId="3C2F010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0F29A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BE68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A9A5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3AC6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E92E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BA9B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E0266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6150</w:t>
            </w:r>
          </w:p>
        </w:tc>
      </w:tr>
      <w:tr w:rsidR="00E7788A" w:rsidRPr="00E7788A" w14:paraId="7330011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477D2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ln_curr_ep_dur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99149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B6B89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D488B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8DCB1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B51F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91CB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8159</w:t>
            </w:r>
          </w:p>
        </w:tc>
      </w:tr>
      <w:tr w:rsidR="00E7788A" w:rsidRPr="00E7788A" w14:paraId="1930412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A5AB5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AAEB1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08C9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24948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61989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26B0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5371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6777</w:t>
            </w:r>
          </w:p>
        </w:tc>
      </w:tr>
      <w:tr w:rsidR="00E7788A" w:rsidRPr="00E7788A" w14:paraId="68B892C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4002C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B874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6A64B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A6984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2D70F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5316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87D9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7971</w:t>
            </w:r>
          </w:p>
        </w:tc>
      </w:tr>
      <w:tr w:rsidR="00E7788A" w:rsidRPr="00E7788A" w14:paraId="40D1FCB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E2DC5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2ADF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DF376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5D9CD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5610C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CEC97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1370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4794</w:t>
            </w:r>
          </w:p>
        </w:tc>
      </w:tr>
      <w:tr w:rsidR="00E7788A" w:rsidRPr="00E7788A" w14:paraId="100AAD4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D9899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80692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4DF9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75B7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03AA1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A091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0C7C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5962</w:t>
            </w:r>
          </w:p>
        </w:tc>
      </w:tr>
      <w:tr w:rsidR="00E7788A" w:rsidRPr="00E7788A" w14:paraId="4328EBA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A68C4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6079E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3255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11CD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1693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1841F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A88CA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6941</w:t>
            </w:r>
          </w:p>
        </w:tc>
      </w:tr>
      <w:tr w:rsidR="00E7788A" w:rsidRPr="00E7788A" w14:paraId="2D2F60C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E4A78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FCB6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E589A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DFADE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20558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7D321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F7A2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4161</w:t>
            </w:r>
          </w:p>
        </w:tc>
      </w:tr>
      <w:tr w:rsidR="00E7788A" w:rsidRPr="00E7788A" w14:paraId="26E76A0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9FCB1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4013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2C27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E97D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913D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0169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3BA9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5055</w:t>
            </w:r>
          </w:p>
        </w:tc>
      </w:tr>
      <w:tr w:rsidR="00E7788A" w:rsidRPr="00E7788A" w14:paraId="0A14F55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DBF8B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E0903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08853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EC3C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C845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1AED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17834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2323</w:t>
            </w:r>
          </w:p>
        </w:tc>
      </w:tr>
      <w:tr w:rsidR="00E7788A" w:rsidRPr="00E7788A" w14:paraId="056EAB3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14F8D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9A97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C296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19F9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7462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E0AAF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0C71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5414</w:t>
            </w:r>
          </w:p>
        </w:tc>
      </w:tr>
      <w:tr w:rsidR="00E7788A" w:rsidRPr="00E7788A" w14:paraId="2FE1BAB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AB0C1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C71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A1DC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84E12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BD7E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9BF1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8058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7972</w:t>
            </w:r>
          </w:p>
        </w:tc>
      </w:tr>
      <w:tr w:rsidR="00E7788A" w:rsidRPr="00E7788A" w14:paraId="544699C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C6020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47F1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0E4E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F451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F2CC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ADC8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F9FC0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4791</w:t>
            </w:r>
          </w:p>
        </w:tc>
      </w:tr>
      <w:tr w:rsidR="00E7788A" w:rsidRPr="00E7788A" w14:paraId="0FCD993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86E74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6248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7CD2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97A2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4D4A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30A51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391B0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6387</w:t>
            </w:r>
          </w:p>
        </w:tc>
      </w:tr>
      <w:tr w:rsidR="00E7788A" w:rsidRPr="00E7788A" w14:paraId="7A6202F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7BBCB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neg_cogs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049A7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A72D9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8BAE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C09E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96B0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0E15A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8317</w:t>
            </w:r>
          </w:p>
        </w:tc>
      </w:tr>
      <w:tr w:rsidR="00E7788A" w:rsidRPr="00E7788A" w14:paraId="01159AE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194A6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48F9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8B714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84E9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FA50D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FBE6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D471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7432</w:t>
            </w:r>
          </w:p>
        </w:tc>
      </w:tr>
      <w:tr w:rsidR="00E7788A" w:rsidRPr="00E7788A" w14:paraId="0C7B0D1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E5220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566B2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58FC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E87B1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C77AD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C1A27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8286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8258</w:t>
            </w:r>
          </w:p>
        </w:tc>
      </w:tr>
      <w:tr w:rsidR="00E7788A" w:rsidRPr="00E7788A" w14:paraId="7F08661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B20D4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B492D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7337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1E3B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DC865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1BB6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2C1A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5888</w:t>
            </w:r>
          </w:p>
        </w:tc>
      </w:tr>
      <w:tr w:rsidR="00E7788A" w:rsidRPr="00E7788A" w14:paraId="6BC46B7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417B3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21A8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55B1E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97466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73F8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0DDA0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72A2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8022</w:t>
            </w:r>
          </w:p>
        </w:tc>
      </w:tr>
      <w:tr w:rsidR="00E7788A" w:rsidRPr="00E7788A" w14:paraId="2D1AB7E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5AB8D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714A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3E0E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ADDAC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AE8D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74BB4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42935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8141</w:t>
            </w:r>
          </w:p>
        </w:tc>
      </w:tr>
      <w:tr w:rsidR="00E7788A" w:rsidRPr="00E7788A" w14:paraId="3F558C7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0D461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47F8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065D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3475F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9E0ED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AC625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447BF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7454</w:t>
            </w:r>
          </w:p>
        </w:tc>
      </w:tr>
      <w:tr w:rsidR="00E7788A" w:rsidRPr="00E7788A" w14:paraId="24D1D3D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F9F51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3B46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FDEEE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C2CD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3FD5A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F4B1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5C87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7197</w:t>
            </w:r>
          </w:p>
        </w:tc>
      </w:tr>
      <w:tr w:rsidR="00E7788A" w:rsidRPr="00E7788A" w14:paraId="44416D6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B8537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67DC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8A5C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1BB5C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1990A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CF05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1B66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8151</w:t>
            </w:r>
          </w:p>
        </w:tc>
      </w:tr>
    </w:tbl>
    <w:p w14:paraId="5792F23B" w14:textId="77777777" w:rsidR="00E7788A" w:rsidRDefault="00E7788A">
      <w:r>
        <w:br w:type="page"/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2677"/>
        <w:gridCol w:w="1313"/>
        <w:gridCol w:w="996"/>
        <w:gridCol w:w="1222"/>
        <w:gridCol w:w="1222"/>
        <w:gridCol w:w="1894"/>
      </w:tblGrid>
      <w:tr w:rsidR="00E7788A" w:rsidRPr="00E7788A" w14:paraId="377ED723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0DDA5D" w14:textId="6A8DA8D5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Table 4: Projection model variable selection path and variable stability</w:t>
            </w:r>
          </w:p>
        </w:tc>
      </w:tr>
      <w:tr w:rsidR="00E7788A" w:rsidRPr="00E7788A" w14:paraId="7B229C3F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81019C8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CB9CCBF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solution_terms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EF092FA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E4367A0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AEB20B1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9520FA6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C2F3C21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prop_included</w:t>
            </w:r>
            <w:proofErr w:type="spellEnd"/>
          </w:p>
        </w:tc>
      </w:tr>
      <w:tr w:rsidR="00E7788A" w:rsidRPr="00E7788A" w14:paraId="6484D9A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D10A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7BADF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CD2E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-145.1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837B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1E59D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0.497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698C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4502B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7C7A559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9DB81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AC834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351FB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-130.7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0EC96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5092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FF508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C0AB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3BAB249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33518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CBC50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5218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-128.1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94DF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4474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0.457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3961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4C2EC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30260B2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A88E3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641B5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797F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-129.9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2868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4114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AF68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4E76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0.953</w:t>
            </w:r>
          </w:p>
        </w:tc>
      </w:tr>
      <w:tr w:rsidR="00E7788A" w:rsidRPr="00E7788A" w14:paraId="2A1177B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86EFF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AFFEC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CD759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-129.6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256A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854D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0.459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F2D54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EC73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0.929</w:t>
            </w:r>
          </w:p>
        </w:tc>
      </w:tr>
      <w:tr w:rsidR="00E7788A" w:rsidRPr="00E7788A" w14:paraId="6CED70F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2AA0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61826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D486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-130.3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3AC6F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EF88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6324D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8809D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0.844</w:t>
            </w:r>
          </w:p>
        </w:tc>
      </w:tr>
      <w:tr w:rsidR="00E7788A" w:rsidRPr="00E7788A" w14:paraId="31802E3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14807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92088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5D5FF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-131.9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380A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FACD4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A1B37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6FEA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0.720</w:t>
            </w:r>
          </w:p>
        </w:tc>
      </w:tr>
      <w:tr w:rsidR="00E7788A" w:rsidRPr="00E7788A" w14:paraId="0A5F7F6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78A6D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A4E01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36B53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-132.0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D2E2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44B1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56C5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EDA1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0.654</w:t>
            </w:r>
          </w:p>
        </w:tc>
      </w:tr>
      <w:tr w:rsidR="00E7788A" w:rsidRPr="00E7788A" w14:paraId="7A376C8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A65B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11C86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41A4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-129.1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5786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DBF7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0.459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B052A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6008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0.991</w:t>
            </w:r>
          </w:p>
        </w:tc>
      </w:tr>
      <w:tr w:rsidR="00E7788A" w:rsidRPr="00E7788A" w14:paraId="2911616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4BCD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1708D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BB883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-127.5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6634F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0BF4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0.455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A61E6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E854F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218F91C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D1763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B0193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C4C7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-128.9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2DDA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2F838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0.458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D4929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08F4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0.635</w:t>
            </w:r>
          </w:p>
        </w:tc>
      </w:tr>
      <w:tr w:rsidR="00E7788A" w:rsidRPr="00E7788A" w14:paraId="07B6CC6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D80D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9A40D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B758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-128.6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C4FD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451AF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0.458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290B6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A7C1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0.891</w:t>
            </w:r>
          </w:p>
        </w:tc>
      </w:tr>
      <w:tr w:rsidR="00E7788A" w:rsidRPr="00E7788A" w14:paraId="5D3C261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CC45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9E1CF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CA0D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-129.5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7930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4F309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0.459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0866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4D4A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0.673</w:t>
            </w:r>
          </w:p>
        </w:tc>
      </w:tr>
      <w:tr w:rsidR="00E7788A" w:rsidRPr="00E7788A" w14:paraId="3621605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8F1FD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C57E3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8872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-130.2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96D2B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1E73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51FC7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4FA2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0.654</w:t>
            </w:r>
          </w:p>
        </w:tc>
      </w:tr>
      <w:tr w:rsidR="00E7788A" w:rsidRPr="00E7788A" w14:paraId="1D9481F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7A46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FABB6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F345B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-130.6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C6504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0282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59C4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D58D2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0.441</w:t>
            </w:r>
          </w:p>
        </w:tc>
      </w:tr>
      <w:tr w:rsidR="00E7788A" w:rsidRPr="00E7788A" w14:paraId="6229183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4A72C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22809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AC904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26CE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C44A4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61EFD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3ADC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0.654</w:t>
            </w:r>
          </w:p>
        </w:tc>
      </w:tr>
      <w:tr w:rsidR="00E7788A" w:rsidRPr="00E7788A" w14:paraId="2B06A3E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923B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FA3D4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0DEF7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A868D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CA09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E691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7921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0.265</w:t>
            </w:r>
          </w:p>
        </w:tc>
      </w:tr>
      <w:tr w:rsidR="00E7788A" w:rsidRPr="00E7788A" w14:paraId="6829FB1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CBD47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A31F3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F0709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1C504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41BF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5921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7066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0.787</w:t>
            </w:r>
          </w:p>
        </w:tc>
      </w:tr>
      <w:tr w:rsidR="00E7788A" w:rsidRPr="00E7788A" w14:paraId="6D30E7D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93D0D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C0B11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575E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-130.3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D3503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B8432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F47F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D270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0.303</w:t>
            </w:r>
          </w:p>
        </w:tc>
      </w:tr>
      <w:tr w:rsidR="00E7788A" w:rsidRPr="00E7788A" w14:paraId="791EB8F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3BB4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9A640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FC94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-130.3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CF18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E670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75669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EC7A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0.839</w:t>
            </w:r>
          </w:p>
        </w:tc>
      </w:tr>
    </w:tbl>
    <w:p w14:paraId="2AA9E51F" w14:textId="5A6E19DD" w:rsidR="00E7788A" w:rsidRPr="00E7788A" w:rsidRDefault="00E7788A" w:rsidP="00E77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lastRenderedPageBreak/>
        <w:drawing>
          <wp:inline distT="0" distB="0" distL="0" distR="0" wp14:anchorId="46E61A0C" wp14:editId="4EE8F78F">
            <wp:extent cx="6400800" cy="4572000"/>
            <wp:effectExtent l="0" t="0" r="0" b="0"/>
            <wp:docPr id="1810966734" name="Picture 3" descr="A graph with a line and a blue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66734" name="Picture 3" descr="A graph with a line and a blue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9B92" w14:textId="77777777" w:rsidR="00E7788A" w:rsidRPr="00E7788A" w:rsidRDefault="00E7788A" w:rsidP="00E778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Figure 3: Calibration plot for projection model for IAPT recovery (Cases only)</w:t>
      </w:r>
    </w:p>
    <w:p w14:paraId="7D1EF9D9" w14:textId="77777777" w:rsid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</w:pPr>
    </w:p>
    <w:p w14:paraId="4EA80A8D" w14:textId="5EC9C1DC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2.2.3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IAPT Reliable improvement</w:t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1162"/>
        <w:gridCol w:w="1153"/>
        <w:gridCol w:w="1153"/>
        <w:gridCol w:w="1227"/>
        <w:gridCol w:w="1297"/>
        <w:gridCol w:w="1369"/>
      </w:tblGrid>
      <w:tr w:rsidR="00E7788A" w:rsidRPr="00E7788A" w14:paraId="4B68248D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FA9AD40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Table 5: Model coefficients for reference model including median odds ratio, 95 CI, </w:t>
            </w:r>
            <w:proofErr w:type="spellStart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 and effective sample size (ESS) of posterior distribution.</w:t>
            </w:r>
          </w:p>
        </w:tc>
      </w:tr>
      <w:tr w:rsidR="00E7788A" w:rsidRPr="00E7788A" w14:paraId="404333C0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54F06D1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Parameter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3C578B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9B4B076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3E290A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CI_low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5D5601E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CI_high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5D530D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EC0A9E8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ESS</w:t>
            </w:r>
          </w:p>
        </w:tc>
      </w:tr>
      <w:tr w:rsidR="00E7788A" w:rsidRPr="00E7788A" w14:paraId="0DE7FB8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251A0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(Intercept)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6356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F0D6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73123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8F0EC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1.57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364A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E511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10980</w:t>
            </w:r>
          </w:p>
        </w:tc>
      </w:tr>
      <w:tr w:rsidR="00E7788A" w:rsidRPr="00E7788A" w14:paraId="1571081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A923A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C9FE6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30D6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9B67D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EAE7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C1637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1186E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7175</w:t>
            </w:r>
          </w:p>
        </w:tc>
      </w:tr>
      <w:tr w:rsidR="00E7788A" w:rsidRPr="00E7788A" w14:paraId="50CDBB7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50085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5D9F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BC781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5809F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82E2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3E1B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9FA6C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7476</w:t>
            </w:r>
          </w:p>
        </w:tc>
      </w:tr>
      <w:tr w:rsidR="00E7788A" w:rsidRPr="00E7788A" w14:paraId="577B97B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9EA82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A53EF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6DC4D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24C1D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2D6A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5EE4A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7653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7372</w:t>
            </w:r>
          </w:p>
        </w:tc>
      </w:tr>
      <w:tr w:rsidR="00E7788A" w:rsidRPr="00E7788A" w14:paraId="67C34AF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78A9F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1E2C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A0B8D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DF64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0E01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63BB4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1402F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5646</w:t>
            </w:r>
          </w:p>
        </w:tc>
      </w:tr>
      <w:tr w:rsidR="00E7788A" w:rsidRPr="00E7788A" w14:paraId="3AD6A90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1F181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unemployed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EC96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6046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8BD4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5B2D3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E175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6B4F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7410</w:t>
            </w:r>
          </w:p>
        </w:tc>
      </w:tr>
      <w:tr w:rsidR="00E7788A" w:rsidRPr="00E7788A" w14:paraId="4DD554D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1EB00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54EC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FC9F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7ED0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054BC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38ED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0304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5725</w:t>
            </w:r>
          </w:p>
        </w:tc>
      </w:tr>
      <w:tr w:rsidR="00E7788A" w:rsidRPr="00E7788A" w14:paraId="222ED3F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250A2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038E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6B7E4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D923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3FEC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63D9E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AC7C7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6809</w:t>
            </w:r>
          </w:p>
        </w:tc>
      </w:tr>
      <w:tr w:rsidR="00E7788A" w:rsidRPr="00E7788A" w14:paraId="22B4EF0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87820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95113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C1C1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30A04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81C31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2660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619C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8260</w:t>
            </w:r>
          </w:p>
        </w:tc>
      </w:tr>
      <w:tr w:rsidR="00E7788A" w:rsidRPr="00E7788A" w14:paraId="48A6AD6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4322A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ln_curr_ep_dur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95609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A69D3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E9976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62172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1EC0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C35B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9229</w:t>
            </w:r>
          </w:p>
        </w:tc>
      </w:tr>
      <w:tr w:rsidR="00E7788A" w:rsidRPr="00E7788A" w14:paraId="29E04FF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57488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857D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2FE5F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9531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9726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A7242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230E1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5678</w:t>
            </w:r>
          </w:p>
        </w:tc>
      </w:tr>
      <w:tr w:rsidR="00E7788A" w:rsidRPr="00E7788A" w14:paraId="2ED76C5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69694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F80C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0C15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9A28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20F2E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1343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10D5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7690</w:t>
            </w:r>
          </w:p>
        </w:tc>
      </w:tr>
      <w:tr w:rsidR="00E7788A" w:rsidRPr="00E7788A" w14:paraId="6E8BF2C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65227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E84B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9257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2FF5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F52B6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8E491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9790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3919</w:t>
            </w:r>
          </w:p>
        </w:tc>
      </w:tr>
      <w:tr w:rsidR="00E7788A" w:rsidRPr="00E7788A" w14:paraId="37D1477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EE501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83E7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460C1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49BB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A7F0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C26F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4193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6775</w:t>
            </w:r>
          </w:p>
        </w:tc>
      </w:tr>
      <w:tr w:rsidR="00E7788A" w:rsidRPr="00E7788A" w14:paraId="207CAC5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B082F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9C2D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78E2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990A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3B70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59CC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F51D9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8504</w:t>
            </w:r>
          </w:p>
        </w:tc>
      </w:tr>
      <w:tr w:rsidR="00E7788A" w:rsidRPr="00E7788A" w14:paraId="1FA0E86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EBEC2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CE91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A211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8C00C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065B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FFDC0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A798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5988</w:t>
            </w:r>
          </w:p>
        </w:tc>
      </w:tr>
      <w:tr w:rsidR="00E7788A" w:rsidRPr="00E7788A" w14:paraId="206FF9D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FF6F4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5D172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4D8ED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6D31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04AD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8936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0CD5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5081</w:t>
            </w:r>
          </w:p>
        </w:tc>
      </w:tr>
      <w:tr w:rsidR="00E7788A" w:rsidRPr="00E7788A" w14:paraId="5D5CC4A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CF981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09DFE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DE7F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CC3EE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964C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F665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AA17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3681</w:t>
            </w:r>
          </w:p>
        </w:tc>
      </w:tr>
      <w:tr w:rsidR="00E7788A" w:rsidRPr="00E7788A" w14:paraId="3C33199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F25B6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A9FC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4E51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A916C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DCE1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CDB2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388AD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7802</w:t>
            </w:r>
          </w:p>
        </w:tc>
      </w:tr>
      <w:tr w:rsidR="00E7788A" w:rsidRPr="00E7788A" w14:paraId="5B78A6C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68CA1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1E66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4A07F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1FF36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C8C4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39848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9D59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8901</w:t>
            </w:r>
          </w:p>
        </w:tc>
      </w:tr>
      <w:tr w:rsidR="00E7788A" w:rsidRPr="00E7788A" w14:paraId="29186D2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A33A7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07EC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195B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DDCC7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F8DC6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2CFF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43DA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8064</w:t>
            </w:r>
          </w:p>
        </w:tc>
      </w:tr>
      <w:tr w:rsidR="00E7788A" w:rsidRPr="00E7788A" w14:paraId="06DD6F7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1FD82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B3C3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65D10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11FB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F5A8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5436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B34E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7563</w:t>
            </w:r>
          </w:p>
        </w:tc>
      </w:tr>
      <w:tr w:rsidR="00E7788A" w:rsidRPr="00E7788A" w14:paraId="4600254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0988A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neg_cogs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CD8F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0F60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ED8D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4F2F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DA53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C790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8820</w:t>
            </w:r>
          </w:p>
        </w:tc>
      </w:tr>
      <w:tr w:rsidR="00E7788A" w:rsidRPr="00E7788A" w14:paraId="6DE4CC3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A2919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B76F2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2FC7D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1358E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476E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6D3F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1DB63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9195</w:t>
            </w:r>
          </w:p>
        </w:tc>
      </w:tr>
      <w:tr w:rsidR="00E7788A" w:rsidRPr="00E7788A" w14:paraId="15E3BEA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7AA78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7AC32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9CD36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661CE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6EF27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590D2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59B0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5081</w:t>
            </w:r>
          </w:p>
        </w:tc>
      </w:tr>
      <w:tr w:rsidR="00E7788A" w:rsidRPr="00E7788A" w14:paraId="1DEE21A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15930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B6AAF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C9B8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C14A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4A9BC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46AD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80DE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3904</w:t>
            </w:r>
          </w:p>
        </w:tc>
      </w:tr>
      <w:tr w:rsidR="00E7788A" w:rsidRPr="00E7788A" w14:paraId="17EEF14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8CC19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EC1F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912E3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A70E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F1D2B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2D39D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1140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8720</w:t>
            </w:r>
          </w:p>
        </w:tc>
      </w:tr>
      <w:tr w:rsidR="00E7788A" w:rsidRPr="00E7788A" w14:paraId="5965E5D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ABFD1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1998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EA06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FED0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A191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45823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A1A5E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5788</w:t>
            </w:r>
          </w:p>
        </w:tc>
      </w:tr>
      <w:tr w:rsidR="00E7788A" w:rsidRPr="00E7788A" w14:paraId="375425A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2FEE1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CD68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2385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B8297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1AD3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1F955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B192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6124</w:t>
            </w:r>
          </w:p>
        </w:tc>
      </w:tr>
      <w:tr w:rsidR="00E7788A" w:rsidRPr="00E7788A" w14:paraId="7298067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3448D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DC0E2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175C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3E203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67AB9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2D80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9E791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6726</w:t>
            </w:r>
          </w:p>
        </w:tc>
      </w:tr>
      <w:tr w:rsidR="00E7788A" w:rsidRPr="00E7788A" w14:paraId="5C20F0A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3C524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2E3C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2.46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DF3C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1BCF5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ED494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3.73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2187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4BCD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5424</w:t>
            </w:r>
          </w:p>
        </w:tc>
      </w:tr>
    </w:tbl>
    <w:p w14:paraId="1C9632F3" w14:textId="77777777" w:rsidR="00E7788A" w:rsidRDefault="00E7788A">
      <w:r>
        <w:br w:type="page"/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2436"/>
        <w:gridCol w:w="1355"/>
        <w:gridCol w:w="1028"/>
        <w:gridCol w:w="1261"/>
        <w:gridCol w:w="1261"/>
        <w:gridCol w:w="1954"/>
      </w:tblGrid>
      <w:tr w:rsidR="00E7788A" w:rsidRPr="00E7788A" w14:paraId="4E06DEB5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6BD0F74" w14:textId="2863ED60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Table 6: Projection model variable selection path and variable stability</w:t>
            </w:r>
          </w:p>
        </w:tc>
      </w:tr>
      <w:tr w:rsidR="00E7788A" w:rsidRPr="00E7788A" w14:paraId="0E19EB63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89AB279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1BDBB4C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solution_terms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6C74FD1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74DCC68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EA79690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E47D18D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43EF3C0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prop_included</w:t>
            </w:r>
            <w:proofErr w:type="spellEnd"/>
          </w:p>
        </w:tc>
      </w:tr>
      <w:tr w:rsidR="00E7788A" w:rsidRPr="00E7788A" w14:paraId="0E29786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67F8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AB8D7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5DC1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-182.5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D628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E00CD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5847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A9AB9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6AA24C6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FC12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70F6A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B466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-170.2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D4B3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FDB4B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0B75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AE3E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9FD89E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594F6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47E94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CE028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-171.6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43701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30498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8156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DB594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0.951</w:t>
            </w:r>
          </w:p>
        </w:tc>
      </w:tr>
      <w:tr w:rsidR="00E7788A" w:rsidRPr="00E7788A" w14:paraId="37B191C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A0663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7D48A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5838B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-168.5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853B8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49322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1533D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73AC9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0.989</w:t>
            </w:r>
          </w:p>
        </w:tc>
      </w:tr>
      <w:tr w:rsidR="00E7788A" w:rsidRPr="00E7788A" w14:paraId="6A85105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3310B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14C22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6A0A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-165.1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291A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DBC77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7F0C0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FD11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8AF09C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D1D9C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9BF21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A35D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-165.4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56694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123E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E8660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9F98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0.977</w:t>
            </w:r>
          </w:p>
        </w:tc>
      </w:tr>
      <w:tr w:rsidR="00E7788A" w:rsidRPr="00E7788A" w14:paraId="7592AAA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1778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694DF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E1598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-168.7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350E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7FD86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9D1E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B6CAE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0.798</w:t>
            </w:r>
          </w:p>
        </w:tc>
      </w:tr>
      <w:tr w:rsidR="00E7788A" w:rsidRPr="00E7788A" w14:paraId="2E89C27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A8AA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A752C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1FB08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-165.5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C3034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61A0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53283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3ACAF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0.977</w:t>
            </w:r>
          </w:p>
        </w:tc>
      </w:tr>
      <w:tr w:rsidR="00E7788A" w:rsidRPr="00E7788A" w14:paraId="77FB89F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F653C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F8DF8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A2DBA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-164.3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D2AC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319C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562B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CC62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0.992</w:t>
            </w:r>
          </w:p>
        </w:tc>
      </w:tr>
      <w:tr w:rsidR="00E7788A" w:rsidRPr="00E7788A" w14:paraId="5092E03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E7C1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0210C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49F3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-166.5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0B02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5A3B1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9A763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B5FC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0.768</w:t>
            </w:r>
          </w:p>
        </w:tc>
      </w:tr>
      <w:tr w:rsidR="00E7788A" w:rsidRPr="00E7788A" w14:paraId="3A83DA3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B0EDA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9B198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2F50C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-167.4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3A71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2CB65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5B0A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A26E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0.840</w:t>
            </w:r>
          </w:p>
        </w:tc>
      </w:tr>
      <w:tr w:rsidR="00E7788A" w:rsidRPr="00E7788A" w14:paraId="1B346D2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5675B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EE1D1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DE8C5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-166.2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BBAE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23CD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0.469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8BF0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989F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0.871</w:t>
            </w:r>
          </w:p>
        </w:tc>
      </w:tr>
      <w:tr w:rsidR="00E7788A" w:rsidRPr="00E7788A" w14:paraId="607F7BB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4B343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1E5E9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20C84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-166.9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B0802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30ED4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0C5EF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A4FCB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0.829</w:t>
            </w:r>
          </w:p>
        </w:tc>
      </w:tr>
      <w:tr w:rsidR="00E7788A" w:rsidRPr="00E7788A" w14:paraId="4BFCF85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B97B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B1EF8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3EA6B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8DCB4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BC9A7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7DC2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9FA15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0.544</w:t>
            </w:r>
          </w:p>
        </w:tc>
      </w:tr>
      <w:tr w:rsidR="00E7788A" w:rsidRPr="00E7788A" w14:paraId="2DFF7E2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D11AB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FAE64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6004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-168.2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8D5E5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67D15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D7E6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BB56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0.677</w:t>
            </w:r>
          </w:p>
        </w:tc>
      </w:tr>
      <w:tr w:rsidR="00E7788A" w:rsidRPr="00E7788A" w14:paraId="40D62B2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9858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933DE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BB64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-167.6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0D12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80D3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3E913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55E2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0.738</w:t>
            </w:r>
          </w:p>
        </w:tc>
      </w:tr>
      <w:tr w:rsidR="00E7788A" w:rsidRPr="00E7788A" w14:paraId="28AB38C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41AE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DE234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B863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-167.5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58299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4088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C57A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01F1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0.563</w:t>
            </w:r>
          </w:p>
        </w:tc>
      </w:tr>
      <w:tr w:rsidR="00E7788A" w:rsidRPr="00E7788A" w14:paraId="602E949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AE64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51F7B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98D4F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-167.0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2EC51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4C20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9823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A710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0.894</w:t>
            </w:r>
          </w:p>
        </w:tc>
      </w:tr>
      <w:tr w:rsidR="00E7788A" w:rsidRPr="00E7788A" w14:paraId="4072A16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085C0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BF17D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03506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-166.6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3148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C88D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D953A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6B965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0.924</w:t>
            </w:r>
          </w:p>
        </w:tc>
      </w:tr>
      <w:tr w:rsidR="00E7788A" w:rsidRPr="00E7788A" w14:paraId="09E8BF8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A6CF8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75139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7E3B2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-166.8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AF84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6921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30D8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FA14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0.764</w:t>
            </w:r>
          </w:p>
        </w:tc>
      </w:tr>
    </w:tbl>
    <w:p w14:paraId="4108B938" w14:textId="64EE9C78" w:rsidR="00E7788A" w:rsidRPr="00E7788A" w:rsidRDefault="00E7788A" w:rsidP="00E77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lastRenderedPageBreak/>
        <w:drawing>
          <wp:inline distT="0" distB="0" distL="0" distR="0" wp14:anchorId="048219A0" wp14:editId="56B47B64">
            <wp:extent cx="6400800" cy="4572000"/>
            <wp:effectExtent l="0" t="0" r="0" b="0"/>
            <wp:docPr id="595078775" name="Picture 2" descr="A graph with a line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78775" name="Picture 2" descr="A graph with a line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7A01" w14:textId="77777777" w:rsidR="00E7788A" w:rsidRPr="00E7788A" w:rsidRDefault="00E7788A" w:rsidP="00E778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Figure 4: Calibration plot for projection model for IAPT reliable improvement</w:t>
      </w:r>
    </w:p>
    <w:p w14:paraId="6C0F074A" w14:textId="77777777" w:rsid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</w:pPr>
    </w:p>
    <w:p w14:paraId="217337FB" w14:textId="492D5B29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2.2.4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PHQ 9</w:t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1233"/>
        <w:gridCol w:w="1150"/>
        <w:gridCol w:w="1232"/>
        <w:gridCol w:w="1243"/>
        <w:gridCol w:w="1293"/>
        <w:gridCol w:w="1222"/>
      </w:tblGrid>
      <w:tr w:rsidR="00E7788A" w:rsidRPr="00E7788A" w14:paraId="5197B5F8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C3753D3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Table 7: Model coefficients for reference model including median, 95 CI, </w:t>
            </w:r>
            <w:proofErr w:type="spellStart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 and effective sample size (ESS) of posterior distribution.</w:t>
            </w:r>
          </w:p>
        </w:tc>
      </w:tr>
      <w:tr w:rsidR="00E7788A" w:rsidRPr="00E7788A" w14:paraId="706139F8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42CCFA6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Parameter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626E402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D05C5E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185994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CI_low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D558C9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CI_high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5FF29E3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8F6D54A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ESS</w:t>
            </w:r>
          </w:p>
        </w:tc>
      </w:tr>
      <w:tr w:rsidR="00E7788A" w:rsidRPr="00E7788A" w14:paraId="1701707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F9C0E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(Intercept)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692C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EAEBD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652F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8.30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E1F02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9.72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C650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1393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9939</w:t>
            </w:r>
          </w:p>
        </w:tc>
      </w:tr>
      <w:tr w:rsidR="00E7788A" w:rsidRPr="00E7788A" w14:paraId="6822169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43BCA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A81F9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D0B9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57EF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86426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AE93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5DA22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6554</w:t>
            </w:r>
          </w:p>
        </w:tc>
      </w:tr>
      <w:tr w:rsidR="00E7788A" w:rsidRPr="00E7788A" w14:paraId="6CC2814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C9A50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CDC9C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C29A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9CDE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1E544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92C2C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487BC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5009</w:t>
            </w:r>
          </w:p>
        </w:tc>
      </w:tr>
      <w:tr w:rsidR="00E7788A" w:rsidRPr="00E7788A" w14:paraId="62D908F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E73D5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2A03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CBD9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56E01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DFEF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F8D78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70CF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6757</w:t>
            </w:r>
          </w:p>
        </w:tc>
      </w:tr>
      <w:tr w:rsidR="00E7788A" w:rsidRPr="00E7788A" w14:paraId="45BD872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3979D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0326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E7470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9D6A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-0.54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09CED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50DAC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E517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8233</w:t>
            </w:r>
          </w:p>
        </w:tc>
      </w:tr>
      <w:tr w:rsidR="00E7788A" w:rsidRPr="00E7788A" w14:paraId="57A1A0C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F5AFA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unemployed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5FF85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C668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A433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-0.51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65BF8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71AAF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B9529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7138</w:t>
            </w:r>
          </w:p>
        </w:tc>
      </w:tr>
      <w:tr w:rsidR="00E7788A" w:rsidRPr="00E7788A" w14:paraId="61A0C78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A0CD4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F0DDD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7C278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0426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46D8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E85BF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1C817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6142</w:t>
            </w:r>
          </w:p>
        </w:tc>
      </w:tr>
      <w:tr w:rsidR="00E7788A" w:rsidRPr="00E7788A" w14:paraId="449DD18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12FFD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ED189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D467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93071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82FD2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36A3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1EBF4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4846</w:t>
            </w:r>
          </w:p>
        </w:tc>
      </w:tr>
      <w:tr w:rsidR="00E7788A" w:rsidRPr="00E7788A" w14:paraId="1F38AA5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7BF8B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025C8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A56A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F99C4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ED233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6BC8A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FD44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8939</w:t>
            </w:r>
          </w:p>
        </w:tc>
      </w:tr>
      <w:tr w:rsidR="00E7788A" w:rsidRPr="00E7788A" w14:paraId="4473EC7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EB203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ln_curr_ep_dur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3FFE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012B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F97E5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6F70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4327E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5E3D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9636</w:t>
            </w:r>
          </w:p>
        </w:tc>
      </w:tr>
      <w:tr w:rsidR="00E7788A" w:rsidRPr="00E7788A" w14:paraId="40083B9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43FC9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3DA81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652F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E2CC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D4C87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1AA53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40123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9409</w:t>
            </w:r>
          </w:p>
        </w:tc>
      </w:tr>
      <w:tr w:rsidR="00E7788A" w:rsidRPr="00E7788A" w14:paraId="71CDAD5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E23D9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616C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8854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293A5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-0.57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AF56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A29A0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FB82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7585</w:t>
            </w:r>
          </w:p>
        </w:tc>
      </w:tr>
      <w:tr w:rsidR="00E7788A" w:rsidRPr="00E7788A" w14:paraId="6597E31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802F0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984D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DC1F4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A8DF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9BC2D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8F0E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3392E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5052</w:t>
            </w:r>
          </w:p>
        </w:tc>
      </w:tr>
      <w:tr w:rsidR="00E7788A" w:rsidRPr="00E7788A" w14:paraId="5682309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EFB92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9EF8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A34B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9F20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AB0D3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271C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82D7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7689</w:t>
            </w:r>
          </w:p>
        </w:tc>
      </w:tr>
      <w:tr w:rsidR="00E7788A" w:rsidRPr="00E7788A" w14:paraId="71984F9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8E391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31F2D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3DEB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8A60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A88F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90F5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23F5C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8409</w:t>
            </w:r>
          </w:p>
        </w:tc>
      </w:tr>
      <w:tr w:rsidR="00E7788A" w:rsidRPr="00E7788A" w14:paraId="00498D9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33646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A05F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6FF0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581C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50F4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BD38A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328C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5081</w:t>
            </w:r>
          </w:p>
        </w:tc>
      </w:tr>
      <w:tr w:rsidR="00E7788A" w:rsidRPr="00E7788A" w14:paraId="7CE1BF5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C903C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A234F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D7E4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6F192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24B59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5887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4F50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5479</w:t>
            </w:r>
          </w:p>
        </w:tc>
      </w:tr>
      <w:tr w:rsidR="00E7788A" w:rsidRPr="00E7788A" w14:paraId="61BC057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763B8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D5A80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9C82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3F37F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53AD1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233BF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BF736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3282</w:t>
            </w:r>
          </w:p>
        </w:tc>
      </w:tr>
      <w:tr w:rsidR="00E7788A" w:rsidRPr="00E7788A" w14:paraId="61B0859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2BBE5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32DE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9B848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38A96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C6C2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2A62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030A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7667</w:t>
            </w:r>
          </w:p>
        </w:tc>
      </w:tr>
      <w:tr w:rsidR="00E7788A" w:rsidRPr="00E7788A" w14:paraId="74E2D81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01F7E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9031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B5F1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F01D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-0.53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B0ABC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BBCBC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84CE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7650</w:t>
            </w:r>
          </w:p>
        </w:tc>
      </w:tr>
      <w:tr w:rsidR="00E7788A" w:rsidRPr="00E7788A" w14:paraId="63506FF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88C9B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B03A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BAFDE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ABB9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-0.40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F72B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3A7DB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F69F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8440</w:t>
            </w:r>
          </w:p>
        </w:tc>
      </w:tr>
      <w:tr w:rsidR="00E7788A" w:rsidRPr="00E7788A" w14:paraId="3B0A3C5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E471E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2B1F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A12A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DB6F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-0.45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484DA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D80A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1AED3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8560</w:t>
            </w:r>
          </w:p>
        </w:tc>
      </w:tr>
      <w:tr w:rsidR="00E7788A" w:rsidRPr="00E7788A" w14:paraId="7A15119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B93FF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neg_cogs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D751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5F725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B387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63C1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147B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C120D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8672</w:t>
            </w:r>
          </w:p>
        </w:tc>
      </w:tr>
      <w:tr w:rsidR="00E7788A" w:rsidRPr="00E7788A" w14:paraId="7C8E669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50F75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2DC0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2C132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E76D6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5CBEA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0B6D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6472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8053</w:t>
            </w:r>
          </w:p>
        </w:tc>
      </w:tr>
      <w:tr w:rsidR="00E7788A" w:rsidRPr="00E7788A" w14:paraId="070257F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01F84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9FBF8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8437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4E203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36C7D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9DE95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0E4F3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9161</w:t>
            </w:r>
          </w:p>
        </w:tc>
      </w:tr>
      <w:tr w:rsidR="00E7788A" w:rsidRPr="00E7788A" w14:paraId="71D5E05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F6386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DDFF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A4E9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A86D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-1.94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7500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997D1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5FA8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4621</w:t>
            </w:r>
          </w:p>
        </w:tc>
      </w:tr>
      <w:tr w:rsidR="00E7788A" w:rsidRPr="00E7788A" w14:paraId="4697F03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0C432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78BE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37E3B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26C5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-0.83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832F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C1E94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1F80A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6040</w:t>
            </w:r>
          </w:p>
        </w:tc>
      </w:tr>
      <w:tr w:rsidR="00E7788A" w:rsidRPr="00E7788A" w14:paraId="5FE2B65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E774D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7AA73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6E93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0BFC9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E50B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06BD3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94C8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9451</w:t>
            </w:r>
          </w:p>
        </w:tc>
      </w:tr>
      <w:tr w:rsidR="00E7788A" w:rsidRPr="00E7788A" w14:paraId="4FF7AA7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7AE5C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CCDA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D5323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F4EC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27C01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015B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1EE3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8544</w:t>
            </w:r>
          </w:p>
        </w:tc>
      </w:tr>
      <w:tr w:rsidR="00E7788A" w:rsidRPr="00E7788A" w14:paraId="22F0DCC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52FF1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1175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3.24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E57A6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94DC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2.43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D8AE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99A6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88DF7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7738</w:t>
            </w:r>
          </w:p>
        </w:tc>
      </w:tr>
      <w:tr w:rsidR="00E7788A" w:rsidRPr="00E7788A" w14:paraId="7B6D575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517E6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6B084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29D4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D0C9D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-0.70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DCF50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B1144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633EC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7661</w:t>
            </w:r>
          </w:p>
        </w:tc>
      </w:tr>
    </w:tbl>
    <w:p w14:paraId="2A668EE3" w14:textId="77777777" w:rsidR="00E7788A" w:rsidRDefault="00E7788A">
      <w:r>
        <w:br w:type="page"/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414"/>
        <w:gridCol w:w="1343"/>
        <w:gridCol w:w="1111"/>
        <w:gridCol w:w="1250"/>
        <w:gridCol w:w="1250"/>
        <w:gridCol w:w="1937"/>
      </w:tblGrid>
      <w:tr w:rsidR="00E7788A" w:rsidRPr="00E7788A" w14:paraId="427191CF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CBBF9F9" w14:textId="17978218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Table 8: Projection model variable selection path and variable stability</w:t>
            </w:r>
          </w:p>
        </w:tc>
      </w:tr>
      <w:tr w:rsidR="00E7788A" w:rsidRPr="00E7788A" w14:paraId="0D548F8F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9F38F90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FD7473A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solution_terms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0D4539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C978154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B493347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2411AB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6AB868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prop_included</w:t>
            </w:r>
            <w:proofErr w:type="spellEnd"/>
          </w:p>
        </w:tc>
      </w:tr>
      <w:tr w:rsidR="00E7788A" w:rsidRPr="00E7788A" w14:paraId="79203E3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1422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77133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28FF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-883.7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D01D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F879C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6.949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64CE9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0.260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5738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60E172A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FF1C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EF328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719D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-830.3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B66C3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6237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5.666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0081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7349C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027C6F5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F8CB4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9B009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736C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-824.1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076F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5308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5.542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741E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BEB6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D1C4BA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C88D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EF6E8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71063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0760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FE27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5.478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3D33F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001B1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0F6D767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8FEB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3D706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0D86C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-821.9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F7F0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C8F2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5.496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1BB3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CDB3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0.985</w:t>
            </w:r>
          </w:p>
        </w:tc>
      </w:tr>
      <w:tr w:rsidR="00E7788A" w:rsidRPr="00E7788A" w14:paraId="0462C52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66C26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3D612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C41C5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-826.8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7EDD1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F3A1E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5.598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9698C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6FBA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0.745</w:t>
            </w:r>
          </w:p>
        </w:tc>
      </w:tr>
      <w:tr w:rsidR="00E7788A" w:rsidRPr="00E7788A" w14:paraId="4DF19BC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3245B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A8F0B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2887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-824.4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E361F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311A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D6DE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2239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0.932</w:t>
            </w:r>
          </w:p>
        </w:tc>
      </w:tr>
      <w:tr w:rsidR="00E7788A" w:rsidRPr="00E7788A" w14:paraId="6C014CA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F2E9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F0FDC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4430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-824.0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13F80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204CD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5.541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3185F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ED19B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0.890</w:t>
            </w:r>
          </w:p>
        </w:tc>
      </w:tr>
      <w:tr w:rsidR="00E7788A" w:rsidRPr="00E7788A" w14:paraId="58C255E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E6E9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A81C2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4D11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-824.0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990C1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70D9C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5.539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5F1C2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C6F56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0.905</w:t>
            </w:r>
          </w:p>
        </w:tc>
      </w:tr>
      <w:tr w:rsidR="00E7788A" w:rsidRPr="00E7788A" w14:paraId="71F761B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6649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26162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2C53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-820.4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7F8E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8FB9E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5.466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DC10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7433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0.992</w:t>
            </w:r>
          </w:p>
        </w:tc>
      </w:tr>
      <w:tr w:rsidR="00E7788A" w:rsidRPr="00E7788A" w14:paraId="66F7B47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6C393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DBD28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27DC2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-820.6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34D77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3A1B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5.469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2EF43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5AA8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0.992</w:t>
            </w:r>
          </w:p>
        </w:tc>
      </w:tr>
      <w:tr w:rsidR="00E7788A" w:rsidRPr="00E7788A" w14:paraId="6DEBCA2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D41E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ADFD2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D4BB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-820.6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240F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7107D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5.469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45A56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E66C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0.992</w:t>
            </w:r>
          </w:p>
        </w:tc>
      </w:tr>
      <w:tr w:rsidR="00E7788A" w:rsidRPr="00E7788A" w14:paraId="0BDAF40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B63E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84331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A976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-822.2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26FD8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D9F1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0EB47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2E0D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0.487</w:t>
            </w:r>
          </w:p>
        </w:tc>
      </w:tr>
      <w:tr w:rsidR="00E7788A" w:rsidRPr="00E7788A" w14:paraId="04D4042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CFAF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8A5D2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24E94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-823.2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170F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A87A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705D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B0E8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0.795</w:t>
            </w:r>
          </w:p>
        </w:tc>
      </w:tr>
      <w:tr w:rsidR="00E7788A" w:rsidRPr="00E7788A" w14:paraId="5379F25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AF8E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06316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A1271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-823.6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65508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CF4D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5.532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E27D6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F260D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0.844</w:t>
            </w:r>
          </w:p>
        </w:tc>
      </w:tr>
      <w:tr w:rsidR="00E7788A" w:rsidRPr="00E7788A" w14:paraId="36D2A61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5201F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213F5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87965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-823.7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9F68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69F8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7209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E914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0.555</w:t>
            </w:r>
          </w:p>
        </w:tc>
      </w:tr>
      <w:tr w:rsidR="00E7788A" w:rsidRPr="00E7788A" w14:paraId="26872AE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39F26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16436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2466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-824.3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8DD8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BAAC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7521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98873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0.635</w:t>
            </w:r>
          </w:p>
        </w:tc>
      </w:tr>
      <w:tr w:rsidR="00E7788A" w:rsidRPr="00E7788A" w14:paraId="3D64E35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84F0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F9F54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441E8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-824.3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540A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2546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17D5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652C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0.639</w:t>
            </w:r>
          </w:p>
        </w:tc>
      </w:tr>
      <w:tr w:rsidR="00E7788A" w:rsidRPr="00E7788A" w14:paraId="2CD3C92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71CF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39089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0BACD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-823.8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F3D84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BDF46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5.536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5561D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965F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0.863</w:t>
            </w:r>
          </w:p>
        </w:tc>
      </w:tr>
      <w:tr w:rsidR="00E7788A" w:rsidRPr="00E7788A" w14:paraId="0001387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D964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F2EDE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9CB23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-823.6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6DF44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3FEF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5.532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E425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72ED2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0.825</w:t>
            </w:r>
          </w:p>
        </w:tc>
      </w:tr>
    </w:tbl>
    <w:p w14:paraId="629CCF72" w14:textId="77777777" w:rsid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</w:pPr>
    </w:p>
    <w:p w14:paraId="49E08074" w14:textId="3B846ED6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2.2.5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GAD 7</w:t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1236"/>
        <w:gridCol w:w="1152"/>
        <w:gridCol w:w="1234"/>
        <w:gridCol w:w="1225"/>
        <w:gridCol w:w="1296"/>
        <w:gridCol w:w="1224"/>
      </w:tblGrid>
      <w:tr w:rsidR="00E7788A" w:rsidRPr="00E7788A" w14:paraId="31F688BE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ACBDB4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Table 9: Model coefficients for reference model including median, 95 CI, </w:t>
            </w:r>
            <w:proofErr w:type="spellStart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 and effective sample size (ESS) of posterior distribution.</w:t>
            </w:r>
          </w:p>
        </w:tc>
      </w:tr>
      <w:tr w:rsidR="00E7788A" w:rsidRPr="00E7788A" w14:paraId="0CFD95C5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9E8BF82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Parameter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107B9F0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075129E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657F67E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CI_low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797F100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CI_high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B0573CE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B386168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ESS</w:t>
            </w:r>
          </w:p>
        </w:tc>
      </w:tr>
      <w:tr w:rsidR="00E7788A" w:rsidRPr="00E7788A" w14:paraId="60D3B41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6768E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(Intercept)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2F500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7.66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1F44D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A19D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7.03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35D1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8.27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BC24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D761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8763</w:t>
            </w:r>
          </w:p>
        </w:tc>
      </w:tr>
      <w:tr w:rsidR="00E7788A" w:rsidRPr="00E7788A" w14:paraId="7481E59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B0695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C4FA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BE81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7D5CD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-0.70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5F4A5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B2F7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D51B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6615</w:t>
            </w:r>
          </w:p>
        </w:tc>
      </w:tr>
      <w:tr w:rsidR="00E7788A" w:rsidRPr="00E7788A" w14:paraId="3BD62EF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52DA1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8613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A5143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0582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65D67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E24A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531E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5366</w:t>
            </w:r>
          </w:p>
        </w:tc>
      </w:tr>
      <w:tr w:rsidR="00E7788A" w:rsidRPr="00E7788A" w14:paraId="61F2A6F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D4441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4442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C8568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ABC65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E3EC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F07F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55AD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5468</w:t>
            </w:r>
          </w:p>
        </w:tc>
      </w:tr>
      <w:tr w:rsidR="00E7788A" w:rsidRPr="00E7788A" w14:paraId="2903DE0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FC5BC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589E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C7843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2797D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-0.62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F8913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E86FF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1BD69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7612</w:t>
            </w:r>
          </w:p>
        </w:tc>
      </w:tr>
      <w:tr w:rsidR="00E7788A" w:rsidRPr="00E7788A" w14:paraId="69A0C53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69B2D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unemployed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FDFAE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9051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9C418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-0.41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8AED1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B5D6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F6D6F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6650</w:t>
            </w:r>
          </w:p>
        </w:tc>
      </w:tr>
      <w:tr w:rsidR="00E7788A" w:rsidRPr="00E7788A" w14:paraId="357E9FB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BA13B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93135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5901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95243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9A77D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F45F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04716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7320</w:t>
            </w:r>
          </w:p>
        </w:tc>
      </w:tr>
      <w:tr w:rsidR="00E7788A" w:rsidRPr="00E7788A" w14:paraId="2ADF086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C2AEA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B463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484CF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BCE9B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-0.97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5EA00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2D9C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D7262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5406</w:t>
            </w:r>
          </w:p>
        </w:tc>
      </w:tr>
      <w:tr w:rsidR="00E7788A" w:rsidRPr="00E7788A" w14:paraId="0D7B675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52ECE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563ED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B4B1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1A3D9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-0.42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BAA7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BA74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23DA5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9152</w:t>
            </w:r>
          </w:p>
        </w:tc>
      </w:tr>
      <w:tr w:rsidR="00E7788A" w:rsidRPr="00E7788A" w14:paraId="0F0522E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3734A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ln_curr_ep_dur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EB437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889F9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5F893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2024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3759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740C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8612</w:t>
            </w:r>
          </w:p>
        </w:tc>
      </w:tr>
      <w:tr w:rsidR="00E7788A" w:rsidRPr="00E7788A" w14:paraId="644A55D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189CA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3DCCD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E833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14C4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C823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0550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FEF6A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5801</w:t>
            </w:r>
          </w:p>
        </w:tc>
      </w:tr>
      <w:tr w:rsidR="00E7788A" w:rsidRPr="00E7788A" w14:paraId="0EDD327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CBF0C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E0A3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E6F8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C6F47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9C9E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7C02C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829D6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9096</w:t>
            </w:r>
          </w:p>
        </w:tc>
      </w:tr>
      <w:tr w:rsidR="00E7788A" w:rsidRPr="00E7788A" w14:paraId="334B4FE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E6B67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F37B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C490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F8502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26C3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344F2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CD2D3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5696</w:t>
            </w:r>
          </w:p>
        </w:tc>
      </w:tr>
      <w:tr w:rsidR="00E7788A" w:rsidRPr="00E7788A" w14:paraId="2871D6F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44ECA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3731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6D71E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B7C9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AD421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CCA9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8A6C8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7731</w:t>
            </w:r>
          </w:p>
        </w:tc>
      </w:tr>
      <w:tr w:rsidR="00E7788A" w:rsidRPr="00E7788A" w14:paraId="785D993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50F23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67EC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DDA6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3A7FD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47957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3D53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A68C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4821</w:t>
            </w:r>
          </w:p>
        </w:tc>
      </w:tr>
      <w:tr w:rsidR="00E7788A" w:rsidRPr="00E7788A" w14:paraId="053AA9F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CC4D5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BEF10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31296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0F27E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7B3C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D5D46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4196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3513</w:t>
            </w:r>
          </w:p>
        </w:tc>
      </w:tr>
      <w:tr w:rsidR="00E7788A" w:rsidRPr="00E7788A" w14:paraId="787605D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967E4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767F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07E1F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74C5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BE3B2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EF0F4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2A93D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5238</w:t>
            </w:r>
          </w:p>
        </w:tc>
      </w:tr>
      <w:tr w:rsidR="00E7788A" w:rsidRPr="00E7788A" w14:paraId="5040841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CB743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36D4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9530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77074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5ED53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27193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0044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3869</w:t>
            </w:r>
          </w:p>
        </w:tc>
      </w:tr>
      <w:tr w:rsidR="00E7788A" w:rsidRPr="00E7788A" w14:paraId="458992A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19260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D3A33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287C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486A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290E3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13AD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EE06D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6086</w:t>
            </w:r>
          </w:p>
        </w:tc>
      </w:tr>
      <w:tr w:rsidR="00E7788A" w:rsidRPr="00E7788A" w14:paraId="11112C6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CC69C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0413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606B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FCA8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-0.35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DE68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65916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87D55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8882</w:t>
            </w:r>
          </w:p>
        </w:tc>
      </w:tr>
      <w:tr w:rsidR="00E7788A" w:rsidRPr="00E7788A" w14:paraId="20231E3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E20AB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C111E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D7959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92AC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E430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3435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F842B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8675</w:t>
            </w:r>
          </w:p>
        </w:tc>
      </w:tr>
      <w:tr w:rsidR="00E7788A" w:rsidRPr="00E7788A" w14:paraId="50F0F9C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4A503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F3FE9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7B7C2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573AC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762D1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ABEA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4C23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7993</w:t>
            </w:r>
          </w:p>
        </w:tc>
      </w:tr>
      <w:tr w:rsidR="00E7788A" w:rsidRPr="00E7788A" w14:paraId="29D75DE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AB5BF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neg_cogs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F3618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F05EB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6F60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-0.45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D3723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D0A2F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0967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7987</w:t>
            </w:r>
          </w:p>
        </w:tc>
      </w:tr>
      <w:tr w:rsidR="00E7788A" w:rsidRPr="00E7788A" w14:paraId="3C84B37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3B19A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54CDC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6618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CD0A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14C0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22FEE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99BA1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5471</w:t>
            </w:r>
          </w:p>
        </w:tc>
      </w:tr>
      <w:tr w:rsidR="00E7788A" w:rsidRPr="00E7788A" w14:paraId="72AECD0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E67FA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BB065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EE78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A09B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763FF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81C5F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958F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8742</w:t>
            </w:r>
          </w:p>
        </w:tc>
      </w:tr>
      <w:tr w:rsidR="00E7788A" w:rsidRPr="00E7788A" w14:paraId="4C247F1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FC9A3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B47EC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-0.56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6F7EF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6797A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-1.41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3304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3B64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83321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4224</w:t>
            </w:r>
          </w:p>
        </w:tc>
      </w:tr>
      <w:tr w:rsidR="00E7788A" w:rsidRPr="00E7788A" w14:paraId="35EDD8A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2C185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AF18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545DD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A15C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-0.56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6927D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2AB5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8A91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6911</w:t>
            </w:r>
          </w:p>
        </w:tc>
      </w:tr>
      <w:tr w:rsidR="00E7788A" w:rsidRPr="00E7788A" w14:paraId="3E47091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9C833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61951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A1663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DBA0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A3F77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58C8F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216C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8925</w:t>
            </w:r>
          </w:p>
        </w:tc>
      </w:tr>
      <w:tr w:rsidR="00E7788A" w:rsidRPr="00E7788A" w14:paraId="3AC598E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33D6D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C61E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8BC1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79F94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-0.26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5DAFD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2F1B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5115F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8814</w:t>
            </w:r>
          </w:p>
        </w:tc>
      </w:tr>
      <w:tr w:rsidR="00E7788A" w:rsidRPr="00E7788A" w14:paraId="7481E47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87916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E24B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1.36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78407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4E58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9D21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2.49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204A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D6D3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3750</w:t>
            </w:r>
          </w:p>
        </w:tc>
      </w:tr>
      <w:tr w:rsidR="00E7788A" w:rsidRPr="00E7788A" w14:paraId="1E73942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26715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D5DA0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1977A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106ED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788C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2.36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A316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9DB69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3621</w:t>
            </w:r>
          </w:p>
        </w:tc>
      </w:tr>
    </w:tbl>
    <w:p w14:paraId="0E279253" w14:textId="77777777" w:rsidR="00E7788A" w:rsidRDefault="00E7788A">
      <w:r>
        <w:br w:type="page"/>
      </w:r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414"/>
        <w:gridCol w:w="1343"/>
        <w:gridCol w:w="1111"/>
        <w:gridCol w:w="1250"/>
        <w:gridCol w:w="1250"/>
        <w:gridCol w:w="1937"/>
      </w:tblGrid>
      <w:tr w:rsidR="00E7788A" w:rsidRPr="00E7788A" w14:paraId="626C03B2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3078451" w14:textId="34CF4219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Table 10: Projection model variable selection path and variable stability</w:t>
            </w:r>
          </w:p>
        </w:tc>
      </w:tr>
      <w:tr w:rsidR="00E7788A" w:rsidRPr="00E7788A" w14:paraId="6D67B274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4D6AF8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B19F05F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solution_terms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D2723C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19597F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2F48BF2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AA97DE2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34F1F11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prop_included</w:t>
            </w:r>
            <w:proofErr w:type="spellEnd"/>
          </w:p>
        </w:tc>
      </w:tr>
      <w:tr w:rsidR="00E7788A" w:rsidRPr="00E7788A" w14:paraId="6EF48A7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35FF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A4533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1A223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9FE7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7F4BE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905D1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5063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2387400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70DF8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3C384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46D2E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-824.5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15D8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0F9A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AB2B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B4F0D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0.894</w:t>
            </w:r>
          </w:p>
        </w:tc>
      </w:tr>
      <w:tr w:rsidR="00E7788A" w:rsidRPr="00E7788A" w14:paraId="6878B97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B0AF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52423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C33B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-820.8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CACF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7B26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5.431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70853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B442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0.859</w:t>
            </w:r>
          </w:p>
        </w:tc>
      </w:tr>
      <w:tr w:rsidR="00E7788A" w:rsidRPr="00E7788A" w14:paraId="02AE0A5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70FB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6C55F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2A5B5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-800.3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FFE3F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D8504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5.053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8C37F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4CDC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0.859</w:t>
            </w:r>
          </w:p>
        </w:tc>
      </w:tr>
      <w:tr w:rsidR="00E7788A" w:rsidRPr="00E7788A" w14:paraId="3F297E4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CF74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B2B57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E7AF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-789.3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39411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8322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CD121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3C738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2A32F17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DD468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E7646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02FE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-787.2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E6D0D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E5D77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88B0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D5B95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507217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65BC3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F36CD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A357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-792.3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61FE1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5E3B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4.904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2755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FB4EB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0.871</w:t>
            </w:r>
          </w:p>
        </w:tc>
      </w:tr>
      <w:tr w:rsidR="00E7788A" w:rsidRPr="00E7788A" w14:paraId="471B1F8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9A9B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4E769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278C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-789.5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4C367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D3465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4.851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3EEEF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61843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0.962</w:t>
            </w:r>
          </w:p>
        </w:tc>
      </w:tr>
      <w:tr w:rsidR="00E7788A" w:rsidRPr="00E7788A" w14:paraId="2CA776B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966D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E20C6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0270F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-791.5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B440E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2B50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4.889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A9585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AFA7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0.875</w:t>
            </w:r>
          </w:p>
        </w:tc>
      </w:tr>
      <w:tr w:rsidR="00E7788A" w:rsidRPr="00E7788A" w14:paraId="7146A33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81DC5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EDCBB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AE1A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-790.5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34EE5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A87A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4.870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6183B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0649B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0.814</w:t>
            </w:r>
          </w:p>
        </w:tc>
      </w:tr>
      <w:tr w:rsidR="00E7788A" w:rsidRPr="00E7788A" w14:paraId="1593352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F0FF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8C6ED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8487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-788.6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529E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88E5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4.834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CCC7F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210A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0.951</w:t>
            </w:r>
          </w:p>
        </w:tc>
      </w:tr>
      <w:tr w:rsidR="00E7788A" w:rsidRPr="00E7788A" w14:paraId="50C09BE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6C10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B5B93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8E1F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-788.5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53EE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EC6F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4.833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871BC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412F4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0.916</w:t>
            </w:r>
          </w:p>
        </w:tc>
      </w:tr>
      <w:tr w:rsidR="00E7788A" w:rsidRPr="00E7788A" w14:paraId="3545532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29BB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00261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C122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-788.7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436E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E612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4.837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572F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B379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0.970</w:t>
            </w:r>
          </w:p>
        </w:tc>
      </w:tr>
      <w:tr w:rsidR="00E7788A" w:rsidRPr="00E7788A" w14:paraId="11E7C4F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9437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24903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BC6B7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-790.0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73688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7DFB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4.860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18E7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76F02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0.802</w:t>
            </w:r>
          </w:p>
        </w:tc>
      </w:tr>
      <w:tr w:rsidR="00E7788A" w:rsidRPr="00E7788A" w14:paraId="74CD64E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7AEAA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88DCB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8910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-789.6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5885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0118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4.852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16C1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09DF6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0.859</w:t>
            </w:r>
          </w:p>
        </w:tc>
      </w:tr>
      <w:tr w:rsidR="00E7788A" w:rsidRPr="00E7788A" w14:paraId="65DC417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A62D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23811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1B2A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-790.0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2F4CE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A735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4.861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B0F7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1BE9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0.882</w:t>
            </w:r>
          </w:p>
        </w:tc>
      </w:tr>
      <w:tr w:rsidR="00E7788A" w:rsidRPr="00E7788A" w14:paraId="5F7056E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C800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D801E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CEB0A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-790.7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5C8C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89D84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4.873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3B768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3E3B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0.627</w:t>
            </w:r>
          </w:p>
        </w:tc>
      </w:tr>
      <w:tr w:rsidR="00E7788A" w:rsidRPr="00E7788A" w14:paraId="3AA576B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C1DE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7E58D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22B26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23F1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FCC57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4.885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2FFA6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A57C7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0.582</w:t>
            </w:r>
          </w:p>
        </w:tc>
      </w:tr>
      <w:tr w:rsidR="00E7788A" w:rsidRPr="00E7788A" w14:paraId="2D41835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C72F7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74561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17D8B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-792.3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1EA4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E675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4.903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38531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D7EA3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0.373</w:t>
            </w:r>
          </w:p>
        </w:tc>
      </w:tr>
      <w:tr w:rsidR="00E7788A" w:rsidRPr="00E7788A" w14:paraId="38B714D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57A8D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F642C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6DEA3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-791.7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BE68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C310B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4.892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64073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762D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0.274</w:t>
            </w:r>
          </w:p>
        </w:tc>
      </w:tr>
    </w:tbl>
    <w:p w14:paraId="723FD50B" w14:textId="77777777" w:rsid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</w:pPr>
    </w:p>
    <w:p w14:paraId="62A73D97" w14:textId="1F253A71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2.2.6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IAPT reliable recovery</w:t>
      </w:r>
    </w:p>
    <w:p w14:paraId="44F2C09E" w14:textId="77777777" w:rsidR="00E7788A" w:rsidRPr="00E7788A" w:rsidRDefault="00E7788A" w:rsidP="00E778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Note that this outcome was not included in the main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analysis</w:t>
      </w:r>
      <w:proofErr w:type="gramEnd"/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1162"/>
        <w:gridCol w:w="1153"/>
        <w:gridCol w:w="1153"/>
        <w:gridCol w:w="1227"/>
        <w:gridCol w:w="1298"/>
        <w:gridCol w:w="1369"/>
      </w:tblGrid>
      <w:tr w:rsidR="00E7788A" w:rsidRPr="00E7788A" w14:paraId="7D2B276D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D4436B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Table 11: Model coefficients for reference model including median, 95 CI, </w:t>
            </w:r>
            <w:proofErr w:type="spellStart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 and effective sample size (ESS) of posterior distribution.</w:t>
            </w:r>
          </w:p>
        </w:tc>
      </w:tr>
      <w:tr w:rsidR="00E7788A" w:rsidRPr="00E7788A" w14:paraId="274BA5B4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B946C57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Parameter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80D4D9B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Median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166DA80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1D913E6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CI_low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FDD4F9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CI_high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8446FB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Rhat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47F6B7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ESS</w:t>
            </w:r>
          </w:p>
        </w:tc>
      </w:tr>
      <w:tr w:rsidR="00E7788A" w:rsidRPr="00E7788A" w14:paraId="4855533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20B79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(Intercept)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2F12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F746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5F367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BA12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764C87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6A47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10043</w:t>
            </w:r>
          </w:p>
        </w:tc>
      </w:tr>
      <w:tr w:rsidR="00E7788A" w:rsidRPr="00E7788A" w14:paraId="7F44EBF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6741B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50312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7A05F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44F2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0EBA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034F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0120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5730</w:t>
            </w:r>
          </w:p>
        </w:tc>
      </w:tr>
      <w:tr w:rsidR="00E7788A" w:rsidRPr="00E7788A" w14:paraId="26EAF6E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1CD5F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4A4F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E860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DB68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5027F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19D7A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728F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5849</w:t>
            </w:r>
          </w:p>
        </w:tc>
      </w:tr>
      <w:tr w:rsidR="00E7788A" w:rsidRPr="00E7788A" w14:paraId="7172A58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0EE20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02AFF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24724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4059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BBD89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712E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0B81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7255</w:t>
            </w:r>
          </w:p>
        </w:tc>
      </w:tr>
      <w:tr w:rsidR="00E7788A" w:rsidRPr="00E7788A" w14:paraId="1F139F4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45B43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2073F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0E4CA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A9EC4A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EA56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FC39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2D68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7460</w:t>
            </w:r>
          </w:p>
        </w:tc>
      </w:tr>
      <w:tr w:rsidR="00E7788A" w:rsidRPr="00E7788A" w14:paraId="5A1B121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D19EB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unemployed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C28FF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1B085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1C08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823CA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5CDA0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2554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7039</w:t>
            </w:r>
          </w:p>
        </w:tc>
      </w:tr>
      <w:tr w:rsidR="00E7788A" w:rsidRPr="00E7788A" w14:paraId="3C92CFF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91209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9B475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0BFD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FC0F1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DB051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5E74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981C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3952</w:t>
            </w:r>
          </w:p>
        </w:tc>
      </w:tr>
      <w:tr w:rsidR="00E7788A" w:rsidRPr="00E7788A" w14:paraId="3A6EF77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41A3C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35E4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8F24A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7E3CE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F2B3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EF135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C541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4857</w:t>
            </w:r>
          </w:p>
        </w:tc>
      </w:tr>
      <w:tr w:rsidR="00E7788A" w:rsidRPr="00E7788A" w14:paraId="5B18FA8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183E8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23F1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EECC8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29582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275C0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0187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A5EA4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8805</w:t>
            </w:r>
          </w:p>
        </w:tc>
      </w:tr>
      <w:tr w:rsidR="00E7788A" w:rsidRPr="00E7788A" w14:paraId="38E8D09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51213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ln_curr_ep_dur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73BF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7CE1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9909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5DEC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3BEC9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F166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7891</w:t>
            </w:r>
          </w:p>
        </w:tc>
      </w:tr>
      <w:tr w:rsidR="00E7788A" w:rsidRPr="00E7788A" w14:paraId="215756D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9621D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9C324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41C87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B3CA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7AF12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34A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D0D3B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5656</w:t>
            </w:r>
          </w:p>
        </w:tc>
      </w:tr>
      <w:tr w:rsidR="00E7788A" w:rsidRPr="00E7788A" w14:paraId="7774C55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AA7E7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C1B2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DD75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F4E4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EAB5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43F1A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99C70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8374</w:t>
            </w:r>
          </w:p>
        </w:tc>
      </w:tr>
      <w:tr w:rsidR="00E7788A" w:rsidRPr="00E7788A" w14:paraId="41816AC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C348C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CB367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F5FE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22EB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B5C5B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6EFB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C4D73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4336</w:t>
            </w:r>
          </w:p>
        </w:tc>
      </w:tr>
      <w:tr w:rsidR="00E7788A" w:rsidRPr="00E7788A" w14:paraId="59E263D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EAB35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EF7A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2B51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D5BAD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6E54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A8BC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420C6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7369</w:t>
            </w:r>
          </w:p>
        </w:tc>
      </w:tr>
      <w:tr w:rsidR="00E7788A" w:rsidRPr="00E7788A" w14:paraId="0E2ABD6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1D378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E8ED2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DE84E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9C567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AD41C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C184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1267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7149</w:t>
            </w:r>
          </w:p>
        </w:tc>
      </w:tr>
      <w:tr w:rsidR="00E7788A" w:rsidRPr="00E7788A" w14:paraId="120560E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B1EAD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8C328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7BEDE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6307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2CE6C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9E49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7921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5458</w:t>
            </w:r>
          </w:p>
        </w:tc>
      </w:tr>
      <w:tr w:rsidR="00E7788A" w:rsidRPr="00E7788A" w14:paraId="29E15A5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63E1E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DF10A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8F6C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4AF80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1A2A4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D53B7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5805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5047</w:t>
            </w:r>
          </w:p>
        </w:tc>
      </w:tr>
      <w:tr w:rsidR="00E7788A" w:rsidRPr="00E7788A" w14:paraId="3BA9BB4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53691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F354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032E1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0CBE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00245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7E4E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A6E4F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1854</w:t>
            </w:r>
          </w:p>
        </w:tc>
      </w:tr>
      <w:tr w:rsidR="00E7788A" w:rsidRPr="00E7788A" w14:paraId="23FB95A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8288C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C723E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B8F91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3976C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8D537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C864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B92C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5050</w:t>
            </w:r>
          </w:p>
        </w:tc>
      </w:tr>
      <w:tr w:rsidR="00E7788A" w:rsidRPr="00E7788A" w14:paraId="3A58A0A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A9AA7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FDA64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E075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044C6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F2F0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112C6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E06A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8739</w:t>
            </w:r>
          </w:p>
        </w:tc>
      </w:tr>
      <w:tr w:rsidR="00E7788A" w:rsidRPr="00E7788A" w14:paraId="1250E73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18994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BD653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E0541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67B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BAD21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1B1B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0607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5083</w:t>
            </w:r>
          </w:p>
        </w:tc>
      </w:tr>
      <w:tr w:rsidR="00E7788A" w:rsidRPr="00E7788A" w14:paraId="276D455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C1D41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F30E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7DB77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F4A6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A54F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E3EB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CA7E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7529</w:t>
            </w:r>
          </w:p>
        </w:tc>
      </w:tr>
      <w:tr w:rsidR="00E7788A" w:rsidRPr="00E7788A" w14:paraId="3606F33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0B1B2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neg_cogs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1CEE7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F478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BA3F4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1B84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A4E1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6EA6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8420</w:t>
            </w:r>
          </w:p>
        </w:tc>
      </w:tr>
      <w:tr w:rsidR="00E7788A" w:rsidRPr="00E7788A" w14:paraId="62924C3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AC8CD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A51A5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F008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744D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CFEE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F2A5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C6C5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7812</w:t>
            </w:r>
          </w:p>
        </w:tc>
      </w:tr>
      <w:tr w:rsidR="00E7788A" w:rsidRPr="00E7788A" w14:paraId="7AD87DF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83DF3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165C4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DEE4D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FDC5C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9A1E1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804EC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5B625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6391</w:t>
            </w:r>
          </w:p>
        </w:tc>
      </w:tr>
      <w:tr w:rsidR="00E7788A" w:rsidRPr="00E7788A" w14:paraId="6A4AE1D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656F2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671AB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77D0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77E43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7BF41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5000D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3CA32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4082</w:t>
            </w:r>
          </w:p>
        </w:tc>
      </w:tr>
      <w:tr w:rsidR="00E7788A" w:rsidRPr="00E7788A" w14:paraId="59A374B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C7899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F649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6C10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C2BF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3644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EC4AF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059EA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8250</w:t>
            </w:r>
          </w:p>
        </w:tc>
      </w:tr>
      <w:tr w:rsidR="00E7788A" w:rsidRPr="00E7788A" w14:paraId="6FE6B35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C1250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B5B51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F0F47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DF738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5F6A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7AA2F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CA8F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7616</w:t>
            </w:r>
          </w:p>
        </w:tc>
      </w:tr>
      <w:tr w:rsidR="00E7788A" w:rsidRPr="00E7788A" w14:paraId="3267203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7BCF3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C8BE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379E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CB666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23418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94900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6771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8463</w:t>
            </w:r>
          </w:p>
        </w:tc>
      </w:tr>
      <w:tr w:rsidR="00E7788A" w:rsidRPr="00E7788A" w14:paraId="14D0ACD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4C74B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265EE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14B1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DBB1E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43C07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3B198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4E2AE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1306</w:t>
            </w:r>
          </w:p>
        </w:tc>
      </w:tr>
      <w:tr w:rsidR="00E7788A" w:rsidRPr="00E7788A" w14:paraId="329FB5F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84AF6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gad7_t0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497B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00898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A850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2971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2.02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FBB1C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DFD9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1194</w:t>
            </w:r>
          </w:p>
        </w:tc>
      </w:tr>
    </w:tbl>
    <w:p w14:paraId="3415771D" w14:textId="77777777" w:rsidR="00E7788A" w:rsidRPr="00E7788A" w:rsidRDefault="00E7788A" w:rsidP="00E778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OCD was the only non 0 (OR = 1) coefficient</w:t>
      </w:r>
    </w:p>
    <w:p w14:paraId="59397A6B" w14:textId="77777777" w:rsidR="00E7788A" w:rsidRDefault="00E7788A" w:rsidP="00E7788A">
      <w:pPr>
        <w:pBdr>
          <w:bottom w:val="single" w:sz="6" w:space="0" w:color="DEE2E6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5A6570"/>
          <w:kern w:val="0"/>
          <w:sz w:val="36"/>
          <w:szCs w:val="36"/>
          <w:lang w:eastAsia="en-GB"/>
          <w14:ligatures w14:val="none"/>
        </w:rPr>
      </w:pPr>
    </w:p>
    <w:p w14:paraId="368762F6" w14:textId="15DCF897" w:rsidR="00E7788A" w:rsidRPr="00E7788A" w:rsidRDefault="00E7788A" w:rsidP="00E7788A">
      <w:pPr>
        <w:pBdr>
          <w:bottom w:val="single" w:sz="6" w:space="0" w:color="DEE2E6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36"/>
          <w:szCs w:val="36"/>
          <w:lang w:eastAsia="en-GB"/>
          <w14:ligatures w14:val="none"/>
        </w:rPr>
        <w:lastRenderedPageBreak/>
        <w:t>2.3</w:t>
      </w:r>
      <w:r w:rsidRPr="00E7788A"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  <w:t> Sensitivity analyses</w:t>
      </w:r>
    </w:p>
    <w:p w14:paraId="02EC3F87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2.3.1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 Equivalent subsets (PHQ 9)</w:t>
      </w:r>
    </w:p>
    <w:p w14:paraId="3C4DCE72" w14:textId="77777777" w:rsidR="00E7788A" w:rsidRPr="00E7788A" w:rsidRDefault="00E7788A" w:rsidP="00E7788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Projection paths for PHQ-9 outcome model including 3 other predictors (income, agoraphobia and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ocd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diagnoses) as alternative to Quality of Life as a predictor, able to match reference model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performance</w:t>
      </w:r>
      <w:proofErr w:type="gramEnd"/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2123"/>
        <w:gridCol w:w="1380"/>
        <w:gridCol w:w="1180"/>
        <w:gridCol w:w="1327"/>
        <w:gridCol w:w="1327"/>
        <w:gridCol w:w="2057"/>
      </w:tblGrid>
      <w:tr w:rsidR="00E7788A" w:rsidRPr="00E7788A" w14:paraId="649160C9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FF5D24C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Table 12: Projection paths for PHQ-9 outcome model including 3 other predictors (income, agoraphobia and </w:t>
            </w:r>
            <w:proofErr w:type="spellStart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 xml:space="preserve"> diagnoses) as alternative to Quality of Life as a predictor, able to match reference model performance</w:t>
            </w:r>
          </w:p>
        </w:tc>
      </w:tr>
      <w:tr w:rsidR="00E7788A" w:rsidRPr="00E7788A" w14:paraId="6095CC11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83ADB2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4F75D96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solution_terms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0CE1038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C510E2E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C99F2BF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90262C7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B943A84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prop_included</w:t>
            </w:r>
            <w:proofErr w:type="spellEnd"/>
          </w:p>
        </w:tc>
      </w:tr>
      <w:tr w:rsidR="00E7788A" w:rsidRPr="00E7788A" w14:paraId="329795A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C29A8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AE9AD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76D8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-883.6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5637D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A9938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6.948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8D095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0.260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AB52E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38EAD63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563A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02EE3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79CFC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-870.5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24112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B2F0B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6.608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C882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0.257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51BD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3774BE0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298C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F9EFE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7616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-865.8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46A6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73BC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6.490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00C88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19022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0.992</w:t>
            </w:r>
          </w:p>
        </w:tc>
      </w:tr>
      <w:tr w:rsidR="00E7788A" w:rsidRPr="00E7788A" w14:paraId="18D825F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ABEC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2A7CE3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9DC1E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-861.1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23C8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D588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6.373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DFD5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0.250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FC4B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7872FC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3437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436A5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phq9_t0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52A6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-823.1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D121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F93FC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0FA29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0.239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DD15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0.000</w:t>
            </w:r>
          </w:p>
        </w:tc>
      </w:tr>
    </w:tbl>
    <w:p w14:paraId="383F8722" w14:textId="30491730" w:rsidR="00E7788A" w:rsidRPr="00E7788A" w:rsidRDefault="00E7788A" w:rsidP="00E77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E1DCBBF" wp14:editId="49BE9AE5">
            <wp:extent cx="6400800" cy="3657600"/>
            <wp:effectExtent l="0" t="0" r="0" b="0"/>
            <wp:docPr id="1805239027" name="Picture 1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39027" name="Picture 1" descr="A graph with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FE789" w14:textId="77777777" w:rsidR="00E7788A" w:rsidRPr="00E7788A" w:rsidRDefault="00E7788A" w:rsidP="00E7788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Figure 5: Projection path for PHQ-9 outcome model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ewith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income,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agoraphobia</w:t>
      </w:r>
      <w:proofErr w:type="gram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OCD diagnosis</w:t>
      </w:r>
    </w:p>
    <w:p w14:paraId="4106200F" w14:textId="77777777" w:rsid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</w:pPr>
    </w:p>
    <w:p w14:paraId="60D257D9" w14:textId="0D1A323E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2.3.2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 xml:space="preserve"> PHQ 9 Projection model no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Baseline</w:t>
      </w:r>
      <w:proofErr w:type="gramEnd"/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654"/>
        <w:gridCol w:w="1301"/>
        <w:gridCol w:w="1077"/>
        <w:gridCol w:w="1211"/>
        <w:gridCol w:w="1211"/>
        <w:gridCol w:w="1877"/>
      </w:tblGrid>
      <w:tr w:rsidR="00E7788A" w:rsidRPr="00E7788A" w14:paraId="6F2ACAD3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080FB06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t>Table 13: Projection path excluding baseline for PHQ 9 scores</w:t>
            </w:r>
          </w:p>
        </w:tc>
      </w:tr>
      <w:tr w:rsidR="00E7788A" w:rsidRPr="00E7788A" w14:paraId="53C1F607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7B402F4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FE22B39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solution_terms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2A108B8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6D83A9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04D3C40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E0D4B53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F0F9488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prop_included</w:t>
            </w:r>
            <w:proofErr w:type="spellEnd"/>
          </w:p>
        </w:tc>
      </w:tr>
      <w:tr w:rsidR="00E7788A" w:rsidRPr="00E7788A" w14:paraId="6832382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08557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C397C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A2E6E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-883.6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808FB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1777D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6.948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5D4A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0.260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0775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4B50861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A1665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DF211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047BB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-859.7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0BF78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239E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6.342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90177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E1B10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21C625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34538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76417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B9FB7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-863.2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F02B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BC7E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6.423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53ADC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0.263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3E6E5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0.943</w:t>
            </w:r>
          </w:p>
        </w:tc>
      </w:tr>
      <w:tr w:rsidR="00E7788A" w:rsidRPr="00E7788A" w14:paraId="1A16D20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F56FC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CF27A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2FED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-851.3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AEB9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1F799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6.144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893E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3263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0.996</w:t>
            </w:r>
          </w:p>
        </w:tc>
      </w:tr>
      <w:tr w:rsidR="00E7788A" w:rsidRPr="00E7788A" w14:paraId="1710CC5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8495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5B235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673A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-848.2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48FE1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492E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6.070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784CD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0.250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289C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401C9BA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7BA7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C3A2B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neg_cogs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45308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-847.2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64596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C5B50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BDCE3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9DE31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70A2643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8D24E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CD585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C37BD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-846.2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73C13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C79B4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9D56F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0.251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1D85C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0.992</w:t>
            </w:r>
          </w:p>
        </w:tc>
      </w:tr>
      <w:tr w:rsidR="00E7788A" w:rsidRPr="00E7788A" w14:paraId="4D158DE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EC212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C0701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981E0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-844.3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C4FB4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E90C6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5.980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8D2F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5A52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2B2A69F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F1968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28C16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90C97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-844.7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8D986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1D37E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F7976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79151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0.989</w:t>
            </w:r>
          </w:p>
        </w:tc>
      </w:tr>
      <w:tr w:rsidR="00E7788A" w:rsidRPr="00E7788A" w14:paraId="153BA24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312B4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566C9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905A8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-846.3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EDFB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D2A3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6.027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C88F2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28185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0.939</w:t>
            </w:r>
          </w:p>
        </w:tc>
      </w:tr>
      <w:tr w:rsidR="00E7788A" w:rsidRPr="00E7788A" w14:paraId="6CADA9E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CDF06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8CCBD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745C2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4FF4F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8E69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5.998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6BF43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84B2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0.985</w:t>
            </w:r>
          </w:p>
        </w:tc>
      </w:tr>
      <w:tr w:rsidR="00E7788A" w:rsidRPr="00E7788A" w14:paraId="5BA8983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5BDF1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89EC4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unemployed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3AAD8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-846.1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20A57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784B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6.023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05957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E4301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0.882</w:t>
            </w:r>
          </w:p>
        </w:tc>
      </w:tr>
      <w:tr w:rsidR="00E7788A" w:rsidRPr="00E7788A" w14:paraId="32BFF79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E5780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39DDB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FC5C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-846.9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7A2C1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FAFAA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6.042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6F83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1F6D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0.715</w:t>
            </w:r>
          </w:p>
        </w:tc>
      </w:tr>
      <w:tr w:rsidR="00E7788A" w:rsidRPr="00E7788A" w14:paraId="5382D1A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894E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940E6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FAA50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9A866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236E2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6.000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4643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0.251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94DA2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0.973</w:t>
            </w:r>
          </w:p>
        </w:tc>
      </w:tr>
      <w:tr w:rsidR="00E7788A" w:rsidRPr="00E7788A" w14:paraId="37EDDD5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B2D84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1EF97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566CB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-847.8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9520F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1F5D7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6.062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5119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0.250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43DFC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0.681</w:t>
            </w:r>
          </w:p>
        </w:tc>
      </w:tr>
      <w:tr w:rsidR="00E7788A" w:rsidRPr="00E7788A" w14:paraId="1DFBCF7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5053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9E599E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E0B9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-848.0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26DE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3719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CCF17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59401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0.734</w:t>
            </w:r>
          </w:p>
        </w:tc>
      </w:tr>
      <w:tr w:rsidR="00E7788A" w:rsidRPr="00E7788A" w14:paraId="7171F32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52519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11978D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EFD9C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-847.3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83AF0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DE1DF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6.050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30940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AC92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0.829</w:t>
            </w:r>
          </w:p>
        </w:tc>
      </w:tr>
      <w:tr w:rsidR="00E7788A" w:rsidRPr="00E7788A" w14:paraId="745EBD9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89778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BB72F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35A6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A37B42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06F9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AE2CE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FD317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0.981</w:t>
            </w:r>
          </w:p>
        </w:tc>
      </w:tr>
      <w:tr w:rsidR="00E7788A" w:rsidRPr="00E7788A" w14:paraId="4B43D67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9C98F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A4CAF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0A54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-843.7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5C2B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F5176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5.968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8F0DA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0B8D9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0.996</w:t>
            </w:r>
          </w:p>
        </w:tc>
      </w:tr>
      <w:tr w:rsidR="00E7788A" w:rsidRPr="00E7788A" w14:paraId="5D8F267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8749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17DAC5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3096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-844.1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5F94C6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F624C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5.978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ECBF3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70057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0.966</w:t>
            </w:r>
          </w:p>
        </w:tc>
      </w:tr>
      <w:tr w:rsidR="00E7788A" w:rsidRPr="00E7788A" w14:paraId="5161292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7C444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97142C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ED9E4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-844.9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DE99E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C434E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5.996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2D58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97F3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0.924</w:t>
            </w:r>
          </w:p>
        </w:tc>
      </w:tr>
      <w:tr w:rsidR="00E7788A" w:rsidRPr="00E7788A" w14:paraId="1FBD041F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74B79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B4612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FF85E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C006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D35AD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50EA2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33EA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0.829</w:t>
            </w:r>
          </w:p>
        </w:tc>
      </w:tr>
      <w:tr w:rsidR="00E7788A" w:rsidRPr="00E7788A" w14:paraId="23BDB03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53E6B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C7B37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3C5E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FB99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426D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5DFC8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AD0C4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0.970</w:t>
            </w:r>
          </w:p>
        </w:tc>
      </w:tr>
      <w:tr w:rsidR="00E7788A" w:rsidRPr="00E7788A" w14:paraId="1959807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F1E7B2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F66ADE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ln_curr_ep_dur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2B507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BB9AC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2CEC1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5.999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B6A834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03C03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0.920</w:t>
            </w:r>
          </w:p>
        </w:tc>
      </w:tr>
      <w:tr w:rsidR="00E7788A" w:rsidRPr="00E7788A" w14:paraId="05977DE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A331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4B7672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FCD9C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3B83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2EE30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6.009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C7DD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67D078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0.905</w:t>
            </w:r>
          </w:p>
        </w:tc>
      </w:tr>
      <w:tr w:rsidR="00E7788A" w:rsidRPr="00E7788A" w14:paraId="7E1693E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C5939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BB895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9133D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7D7E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6F34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4CB8D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5CCC4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0.582</w:t>
            </w:r>
          </w:p>
        </w:tc>
      </w:tr>
      <w:tr w:rsidR="00E7788A" w:rsidRPr="00E7788A" w14:paraId="500F089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347D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C2520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D1F0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D0DA22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13B3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6.003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1EC3B8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B5D09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0.962</w:t>
            </w:r>
          </w:p>
        </w:tc>
      </w:tr>
      <w:tr w:rsidR="00E7788A" w:rsidRPr="00E7788A" w14:paraId="63D5288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C87E0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97230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280A7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26CDF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B8B9A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B605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30722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0.821</w:t>
            </w:r>
          </w:p>
        </w:tc>
      </w:tr>
      <w:tr w:rsidR="00E7788A" w:rsidRPr="00E7788A" w14:paraId="03701A4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7FE7B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E8D47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B2C68B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-845.5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B951B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81171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6.011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60F63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0.248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ED1D8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</w:tbl>
    <w:p w14:paraId="7EAD4A24" w14:textId="77777777" w:rsidR="00E7788A" w:rsidRPr="00E7788A" w:rsidRDefault="00E7788A" w:rsidP="00E7788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 or 4 variables provide a solution within the SE of near maximum performance. For this projection model Bayesian R2 (95% CI) = 0.24 (0.14, 0.32)</w:t>
      </w:r>
    </w:p>
    <w:p w14:paraId="59024F4C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0"/>
          <w:sz w:val="27"/>
          <w:szCs w:val="27"/>
          <w:lang w:eastAsia="en-GB"/>
          <w14:ligatures w14:val="none"/>
        </w:rPr>
        <w:t>2.3.3</w:t>
      </w:r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 xml:space="preserve"> GAD 7 Projection model no </w:t>
      </w:r>
      <w:proofErr w:type="gramStart"/>
      <w:r w:rsidRPr="00E7788A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t>Baseline</w:t>
      </w:r>
      <w:proofErr w:type="gramEnd"/>
    </w:p>
    <w:tbl>
      <w:tblPr>
        <w:tblW w:w="10206" w:type="dxa"/>
        <w:tblBorders>
          <w:top w:val="single" w:sz="24" w:space="0" w:color="auto"/>
          <w:bottom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654"/>
        <w:gridCol w:w="1301"/>
        <w:gridCol w:w="1077"/>
        <w:gridCol w:w="1211"/>
        <w:gridCol w:w="1211"/>
        <w:gridCol w:w="1877"/>
      </w:tblGrid>
      <w:tr w:rsidR="00E7788A" w:rsidRPr="00E7788A" w14:paraId="156AAE73" w14:textId="77777777" w:rsidTr="00E7788A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A8F924" w14:textId="77777777" w:rsidR="00E7788A" w:rsidRPr="00E7788A" w:rsidRDefault="00E7788A" w:rsidP="00E7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color w:val="212529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Table 14: Projection path excluding baseline for GAD 7 scores</w:t>
            </w:r>
          </w:p>
        </w:tc>
      </w:tr>
      <w:tr w:rsidR="00E7788A" w:rsidRPr="00E7788A" w14:paraId="03C24C63" w14:textId="77777777" w:rsidTr="00E7788A">
        <w:trPr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38B3397C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size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4EB11D5E" w14:textId="77777777" w:rsidR="00E7788A" w:rsidRPr="00E7788A" w:rsidRDefault="00E7788A" w:rsidP="00E7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solution_terms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BC07862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1D7549E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elpd.se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CD6058B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99F7EAA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rmse.se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16CAF915" w14:textId="77777777" w:rsidR="00E7788A" w:rsidRPr="00E7788A" w:rsidRDefault="00E7788A" w:rsidP="00E77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prop_included</w:t>
            </w:r>
            <w:proofErr w:type="spellEnd"/>
          </w:p>
        </w:tc>
      </w:tr>
      <w:tr w:rsidR="00E7788A" w:rsidRPr="00E7788A" w14:paraId="7934C5D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F9167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1DF4B9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intercept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63A5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-841.4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CF96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C4152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5.918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6C555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12618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615F0F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97D49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C3003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eq5d_wd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EC1E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-832.0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F63192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C8389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5.705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2EFF6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08B50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0.962</w:t>
            </w:r>
          </w:p>
        </w:tc>
      </w:tr>
      <w:tr w:rsidR="00E7788A" w:rsidRPr="00E7788A" w14:paraId="2790E54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C9ED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A0837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agoraphobia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DFB7A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-825.8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9488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3A489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5.570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FFEC4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1819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0.954</w:t>
            </w:r>
          </w:p>
        </w:tc>
      </w:tr>
      <w:tr w:rsidR="00E7788A" w:rsidRPr="00E7788A" w14:paraId="3AF9AAC8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B8203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B7E45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ipq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C0F1F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-827.2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1083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85306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5.590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9E14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73A7D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0.772</w:t>
            </w:r>
          </w:p>
        </w:tc>
      </w:tr>
      <w:tr w:rsidR="00E7788A" w:rsidRPr="00E7788A" w14:paraId="5B814A7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199A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5412F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ocd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67A6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-805.3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367AB1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1C4E6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5.152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7F7A6B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C3C59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335AFE2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11974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E4A062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E9AE8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-803.1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D99CE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6624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8620A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A02FE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695AF8F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4D4BEF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AFB8D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51F9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E339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1B5E8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5.066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06230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0.208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7BAAF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0.996</w:t>
            </w:r>
          </w:p>
        </w:tc>
      </w:tr>
      <w:tr w:rsidR="00E7788A" w:rsidRPr="00E7788A" w14:paraId="5759340E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20DBB6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3DC181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neg_cogs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942B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-800.5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4FFA1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3AB28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5.057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E0B5C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AA2B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DAFB6C5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2ED22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401C0B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ln_cirs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80CCF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43894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6F5499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5.069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1440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F78B8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0.992</w:t>
            </w:r>
          </w:p>
        </w:tc>
      </w:tr>
      <w:tr w:rsidR="00E7788A" w:rsidRPr="00E7788A" w14:paraId="186005F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03746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95DFF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BE28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-803.7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30160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CA681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5.122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08B1E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9E639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0.882</w:t>
            </w:r>
          </w:p>
        </w:tc>
      </w:tr>
      <w:tr w:rsidR="00E7788A" w:rsidRPr="00E7788A" w14:paraId="3B9E87C1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D22B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D7D14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social_phobia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83855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-802.2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9FA6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10.8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BA26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5.092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C6EF40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795099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0.970</w:t>
            </w:r>
          </w:p>
        </w:tc>
      </w:tr>
      <w:tr w:rsidR="00E7788A" w:rsidRPr="00E7788A" w14:paraId="55118BC6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CAC80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D68E1B4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unemployed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A787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-804.0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04A83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EB6F51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5.128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E45CE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2CCC79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0.935</w:t>
            </w:r>
          </w:p>
        </w:tc>
      </w:tr>
      <w:tr w:rsidR="00E7788A" w:rsidRPr="00E7788A" w14:paraId="13ACD18B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2C13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EED722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ptsd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640FB5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-805.8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F702C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32AC1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5.163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01BF4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5150D5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0.863</w:t>
            </w:r>
          </w:p>
        </w:tc>
      </w:tr>
      <w:tr w:rsidR="00E7788A" w:rsidRPr="00E7788A" w14:paraId="452D9A9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EF714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DA6C77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substance_use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17FF4B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-807.3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DCB2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B9C3E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5.192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9D4D1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A3FD0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0.483</w:t>
            </w:r>
          </w:p>
        </w:tc>
      </w:tr>
      <w:tr w:rsidR="00E7788A" w:rsidRPr="00E7788A" w14:paraId="3089CF5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90E93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50236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self_reassure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06AC4E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-806.4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1127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C281D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5.176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FE2A8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B1DD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0.920</w:t>
            </w:r>
          </w:p>
        </w:tc>
      </w:tr>
      <w:tr w:rsidR="00E7788A" w:rsidRPr="00E7788A" w14:paraId="2B9F422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E4527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3C5D80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long_term_sick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9DBA8C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-804.2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AE7AE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5145E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5.132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73CC9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7D151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0.924</w:t>
            </w:r>
          </w:p>
        </w:tc>
      </w:tr>
      <w:tr w:rsidR="00E7788A" w:rsidRPr="00E7788A" w14:paraId="1E5A266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BA16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8F4A30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soc_support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C1E9D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-804.1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89672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477B9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5.130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5C444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B3AF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0.821</w:t>
            </w:r>
          </w:p>
        </w:tc>
      </w:tr>
      <w:tr w:rsidR="00E7788A" w:rsidRPr="00E7788A" w14:paraId="30F2C20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380CF3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F99F32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12034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-805.4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1461A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EF4347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5.156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8D946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783A8E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0.570</w:t>
            </w:r>
          </w:p>
        </w:tc>
      </w:tr>
      <w:tr w:rsidR="00E7788A" w:rsidRPr="00E7788A" w14:paraId="6BA4EF7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0ACE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A4C30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efficacy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DB090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-805.3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F767B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3533E4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5.153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B88553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8395CA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0.867</w:t>
            </w:r>
          </w:p>
        </w:tc>
      </w:tr>
      <w:tr w:rsidR="00E7788A" w:rsidRPr="00E7788A" w14:paraId="13C404D2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83EF9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8C4136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sapas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AE93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-805.4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C4B484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F21032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5.155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82682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E16A9D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0.852</w:t>
            </w:r>
          </w:p>
        </w:tc>
      </w:tr>
      <w:tr w:rsidR="00E7788A" w:rsidRPr="00E7788A" w14:paraId="3FEC15CA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F9A27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0DA6F38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E995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-805.9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25C1B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85E30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5.165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62361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EC1E7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0.802</w:t>
            </w:r>
          </w:p>
        </w:tc>
      </w:tr>
      <w:tr w:rsidR="00E7788A" w:rsidRPr="00E7788A" w14:paraId="45689ED4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F0CCF4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978E26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age_onset_lifetime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D91B2A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-806.0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7F7D7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FD457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5.167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5F2DD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6E66C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0.825</w:t>
            </w:r>
          </w:p>
        </w:tc>
      </w:tr>
      <w:tr w:rsidR="00E7788A" w:rsidRPr="00E7788A" w14:paraId="389FEC1C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9A2050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A6D6F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ch_trauma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91DF9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-805.0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53C0C4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11.1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B0113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5.147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C91CDA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8AD1D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0.711</w:t>
            </w:r>
          </w:p>
        </w:tc>
      </w:tr>
      <w:tr w:rsidR="00E7788A" w:rsidRPr="00E7788A" w14:paraId="42C90863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31B5F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1E2BEF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panic_disorder2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0881E9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-803.3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09FAC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E70E4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1C373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A7E853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0.977</w:t>
            </w:r>
          </w:p>
        </w:tc>
      </w:tr>
      <w:tr w:rsidR="00E7788A" w:rsidRPr="00E7788A" w14:paraId="43219AB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553986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30A8A79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bipolar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66F22B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-804.2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094A44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6DDA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5.132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70DDF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003C9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0.445</w:t>
            </w:r>
          </w:p>
        </w:tc>
      </w:tr>
      <w:tr w:rsidR="00E7788A" w:rsidRPr="00E7788A" w14:paraId="1B17338D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383B5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4A281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curr_AD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EFE08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-804.0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7857868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668EDB3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5.127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2739D2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861CD8C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0.806</w:t>
            </w:r>
          </w:p>
        </w:tc>
      </w:tr>
      <w:tr w:rsidR="00E7788A" w:rsidRPr="00E7788A" w14:paraId="4E2FA040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216AD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10C5993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1D541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-803.3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D38272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42013F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5.113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3699C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B6B44B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  <w:tr w:rsidR="00E7788A" w:rsidRPr="00E7788A" w14:paraId="1D74A5E9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4238C9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D578CA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life_events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287A17E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-803.5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4B3CE2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6B895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5.118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807CEA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0.215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544DA39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0.825</w:t>
            </w:r>
          </w:p>
        </w:tc>
      </w:tr>
      <w:tr w:rsidR="00E7788A" w:rsidRPr="00E7788A" w14:paraId="20739707" w14:textId="77777777" w:rsidTr="00E7788A"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F0D9006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5AE861" w14:textId="77777777" w:rsidR="00E7788A" w:rsidRPr="00E7788A" w:rsidRDefault="00E7788A" w:rsidP="00E7788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ln_curr_ep_dur</w:t>
            </w:r>
            <w:proofErr w:type="spellEnd"/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891C5E7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-803.6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B6201A4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9E5B870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5.120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E15B95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0.216</w:t>
            </w:r>
          </w:p>
        </w:tc>
        <w:tc>
          <w:tcPr>
            <w:tcW w:w="0" w:type="auto"/>
            <w:tcBorders>
              <w:top w:val="single" w:sz="2" w:space="0" w:color="D3D3D3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833421" w14:textId="77777777" w:rsidR="00E7788A" w:rsidRPr="00E7788A" w:rsidRDefault="00E7788A" w:rsidP="00E7788A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778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1.000</w:t>
            </w:r>
          </w:p>
        </w:tc>
      </w:tr>
    </w:tbl>
    <w:p w14:paraId="0D75B47F" w14:textId="77777777" w:rsidR="00E7788A" w:rsidRPr="00E7788A" w:rsidRDefault="00E7788A" w:rsidP="00E7788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4 variables provide a solution within the SE of near maximum performance. For this projection model Bayesian R2 (95% CI) = 0.24 (0.16, 0.32)</w:t>
      </w:r>
    </w:p>
    <w:p w14:paraId="779A3484" w14:textId="77777777" w:rsidR="00E7788A" w:rsidRPr="00E7788A" w:rsidRDefault="00E7788A" w:rsidP="00E778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color w:val="5A6570"/>
          <w:kern w:val="36"/>
          <w:sz w:val="48"/>
          <w:szCs w:val="48"/>
          <w:lang w:eastAsia="en-GB"/>
          <w14:ligatures w14:val="none"/>
        </w:rPr>
        <w:lastRenderedPageBreak/>
        <w:t>3</w:t>
      </w:r>
      <w:r w:rsidRPr="00E7788A">
        <w:rPr>
          <w:rFonts w:ascii="Times New Roman" w:eastAsia="Times New Roman" w:hAnsi="Times New Roman" w:cs="Times New Roman"/>
          <w:kern w:val="36"/>
          <w:sz w:val="48"/>
          <w:szCs w:val="48"/>
          <w:lang w:eastAsia="en-GB"/>
          <w14:ligatures w14:val="none"/>
        </w:rPr>
        <w:t> References</w:t>
      </w:r>
    </w:p>
    <w:p w14:paraId="71DD979F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Bernstein, David P., Judith A. Stein, Michael D. Newcomb, Edward Walker, David Pogge, Taruna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Ahluvalia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John Stokes, et al. 2003. “Development and Validation of a Brief Screening Version of the Childhood Trauma Questionnaire.”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Child Abuse and Neglect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27 (2): 169–90. </w:t>
      </w:r>
      <w:hyperlink r:id="rId10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https://doi.org/10.1016/S0145-2134(02)00541-0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D0EAFB6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Broadbent, Elizabeth, Keith J. Petrie, Jodie Main, and John Weinman. 2006. “The Brief Illness Perception Questionnaire.”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Psychosomatic Research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60 (6): 631–37. </w:t>
      </w:r>
      <w:hyperlink r:id="rId11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https://doi.org/10.1016/j.jpsychores.2005.10.020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777CA30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Brugha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Traolach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Paul Bebbington, Christopher Tennant, and Jane Hurry. 1985. “The List of Threatening Experiences: A Subset of 12 Life Event Categories with Considerable Long-Term Contextual Threat.”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Psychological Medicine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15 (1): 189–94. </w:t>
      </w:r>
      <w:hyperlink r:id="rId12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https://doi.org/10.1017/S003329170002105X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9944A95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Dalgard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Odd Steffen, Christopher Dowrick, Ville Lehtinen, Jose Luis Vazquez-Barquero, Patricia Casey, Greg Wilkinson, Jose Luis Ayuso-Mateos, Helen Page, and Graham Dunn. 2006. “Negative Life Events, Social Support and Gender Difference in Depression.”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Social Psychiatry and Psychiatric Epidemiology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41 (6): 444–51. </w:t>
      </w:r>
      <w:hyperlink r:id="rId13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https://doi.org/10.1007/s00127-006-0051-5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8FE2A57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Devlin, Nancy J.,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Koonal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K. Shah, Yan Feng, Brendan Mulhern, and Ben van Hout. 2018. “Valuing Health-Related Quality of Life: An EQ-5D-5L Value Set for England.”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Health Economics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27 (1): 7–22. </w:t>
      </w:r>
      <w:hyperlink r:id="rId14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https://doi.org/10.1002/hec.3564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9AB413E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Gelman, Andrew, Jennifer Hill, and Aki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Vehtari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2020.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Regression and Other Stories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Cambridge University Press.</w:t>
      </w:r>
    </w:p>
    <w:p w14:paraId="49F2C841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Gilbert, P., M. Clarke, S. Hempel,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J.n.v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Miles, and C. Irons. 2004. “Criticizing and Reassuring Oneself: An Exploration of Forms, Styles and Reasons in Female Students.”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British Journal of Clinical Psychology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43 (1): 31–50. </w:t>
      </w:r>
      <w:hyperlink r:id="rId15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https://doi.org/10.1348/014466504772812959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1F95290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Herdman, M., C. Gudex, A. Lloyd, MF. Janssen, P. Kind, D. Parkin, G.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Bonsel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and X. Badia. 2011. “Development and Preliminary Testing of the New Five-Level Version of EQ-5D (EQ-5D-5L).”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Quality of Life Research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20 (10): 1727–36. </w:t>
      </w:r>
      <w:hyperlink r:id="rId16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https://doi.org/10.1007/s11136-011-9903-x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4E115D5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Kroenke, Kurt, Robert L. Spitzer, and Janet B. W. Williams. 2001. “The PHQ-9.”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General Internal Medicine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16 (9): 606–13. </w:t>
      </w:r>
      <w:hyperlink r:id="rId17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https://doi.org/10.1046/j.1525-1497.2001.016009606.x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A0F7D12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Linn, Bernard S., Margaret W. Linn, and Lee Gurel. 1968. “Cumulative Illness Rating Scale.”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the American Geriatrics Society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16 (5): 622–26. </w:t>
      </w:r>
      <w:hyperlink r:id="rId18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https://doi.org/10.1111/j.1532-5415.1968.tb02103.x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F3E1394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Moran, Paul, Morven Leese, Tennyson Lee, Paul Walters, Graham Thornicroft, and Anthony Mann. 2003. “Standardised Assessment of Personality - Abbreviated Scale (SAPAS): Preliminary Validation of a Brief Screen for Personality Disorder.”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British Journal of Psychiatry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183 (SEPT.): 228–32. </w:t>
      </w:r>
      <w:hyperlink r:id="rId19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https://doi.org/10.1192/bjp.183.3.228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B81C7CB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Schwarzer, R., and M. Jerusalem. 1995. “Generalized Self-Efficacy Scale.” In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Measures in Health Psychology: A User’s Portfolio. Causal and Control Beliefs.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edited by J. Weimann, S. Wright, and M. Johnson, 35–37. Windsor, UK: NFER-NELSON.</w:t>
      </w:r>
    </w:p>
    <w:p w14:paraId="2CDA84F9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Sheehan, David V., Yves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Lecrubier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K. Harnett Sheehan, Patricia Amorim, Juris Janavs, Emmanuelle Weiller, Thierry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Hergueta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Roxy Baker, and Geoffrey C. Dunbar. 1998. “</w:t>
      </w:r>
      <w:hyperlink r:id="rId20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The Mini-International Neuropsychiatric Interview (M.I.N.I.): The Development and Validation of a Structured Diagnostic Psychiatric Interview for DSM-IV and ICD-10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Clinical Psychiatry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59 (SUPPL. 20): 22–33.</w:t>
      </w:r>
    </w:p>
    <w:p w14:paraId="562C1035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Spitzer, Robert L., Kurt Kroenke, Janet B. W. Williams, and Bernd Löwe. 2006. “A Brief Measure for Assessing Generalized Anxiety Disorder: The GAD-7.”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Archives of Internal Medicine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166 (10): 1092–97. </w:t>
      </w:r>
      <w:hyperlink r:id="rId21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https://doi.org/10.1001/archinte.166.10.1092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376B397" w14:textId="77777777" w:rsidR="00E7788A" w:rsidRPr="00E7788A" w:rsidRDefault="00E7788A" w:rsidP="00E7788A">
      <w:pPr>
        <w:spacing w:after="0" w:line="240" w:lineRule="auto"/>
        <w:ind w:hanging="24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Stochl, Jan, Eiko I. Fried, Jessica Fritz, Tim J. </w:t>
      </w:r>
      <w:proofErr w:type="spellStart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Croudace</w:t>
      </w:r>
      <w:proofErr w:type="spellEnd"/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Debra A. Russo, Clare Knight, Peter B. Jones, and Jesus Perez. 2020. “On Dimensionality, Measurement Invariance, and Suitability of Sum Scores for the PHQ-9 and the GAD-7.” </w:t>
      </w:r>
      <w:r w:rsidRPr="00E778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Assessment</w:t>
      </w:r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December, 107319112097686. </w:t>
      </w:r>
      <w:hyperlink r:id="rId22" w:history="1">
        <w:r w:rsidRPr="00E7788A">
          <w:rPr>
            <w:rFonts w:ascii="Times New Roman" w:eastAsia="Times New Roman" w:hAnsi="Times New Roman" w:cs="Times New Roman"/>
            <w:color w:val="0D6EFD"/>
            <w:kern w:val="0"/>
            <w:sz w:val="24"/>
            <w:szCs w:val="24"/>
            <w:u w:val="single"/>
            <w:lang w:eastAsia="en-GB"/>
            <w14:ligatures w14:val="none"/>
          </w:rPr>
          <w:t>https://doi.org/10.1177/1073191120976863</w:t>
        </w:r>
      </w:hyperlink>
      <w:r w:rsidRPr="00E7788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0A7BCE3" w14:textId="77777777" w:rsidR="00034428" w:rsidRDefault="00034428"/>
    <w:sectPr w:rsidR="00034428" w:rsidSect="00E77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63A0"/>
    <w:multiLevelType w:val="multilevel"/>
    <w:tmpl w:val="69C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02FAB"/>
    <w:multiLevelType w:val="multilevel"/>
    <w:tmpl w:val="01E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266EA"/>
    <w:multiLevelType w:val="multilevel"/>
    <w:tmpl w:val="F718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46CB7"/>
    <w:multiLevelType w:val="multilevel"/>
    <w:tmpl w:val="C9DC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2643A"/>
    <w:multiLevelType w:val="multilevel"/>
    <w:tmpl w:val="914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9381D"/>
    <w:multiLevelType w:val="multilevel"/>
    <w:tmpl w:val="BC1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047088">
    <w:abstractNumId w:val="1"/>
  </w:num>
  <w:num w:numId="2" w16cid:durableId="658193400">
    <w:abstractNumId w:val="0"/>
  </w:num>
  <w:num w:numId="3" w16cid:durableId="1311784329">
    <w:abstractNumId w:val="3"/>
  </w:num>
  <w:num w:numId="4" w16cid:durableId="114179071">
    <w:abstractNumId w:val="2"/>
  </w:num>
  <w:num w:numId="5" w16cid:durableId="1263800376">
    <w:abstractNumId w:val="5"/>
  </w:num>
  <w:num w:numId="6" w16cid:durableId="61834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8A"/>
    <w:rsid w:val="00034428"/>
    <w:rsid w:val="00D536A2"/>
    <w:rsid w:val="00E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D7EA"/>
  <w15:chartTrackingRefBased/>
  <w15:docId w15:val="{F85331DA-57B6-4605-8A7F-54D1124E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7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E77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77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8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7788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7788A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msonormal0">
    <w:name w:val="msonormal"/>
    <w:basedOn w:val="Normal"/>
    <w:rsid w:val="00E7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778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788A"/>
    <w:rPr>
      <w:color w:val="800080"/>
      <w:u w:val="single"/>
    </w:rPr>
  </w:style>
  <w:style w:type="character" w:customStyle="1" w:styleId="toc-section-number">
    <w:name w:val="toc-section-number"/>
    <w:basedOn w:val="DefaultParagraphFont"/>
    <w:rsid w:val="00E7788A"/>
  </w:style>
  <w:style w:type="character" w:styleId="Strong">
    <w:name w:val="Strong"/>
    <w:basedOn w:val="DefaultParagraphFont"/>
    <w:uiPriority w:val="22"/>
    <w:qFormat/>
    <w:rsid w:val="00E778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er-section-number">
    <w:name w:val="header-section-number"/>
    <w:basedOn w:val="DefaultParagraphFont"/>
    <w:rsid w:val="00E7788A"/>
  </w:style>
  <w:style w:type="character" w:customStyle="1" w:styleId="math">
    <w:name w:val="math"/>
    <w:basedOn w:val="DefaultParagraphFont"/>
    <w:rsid w:val="00E7788A"/>
  </w:style>
  <w:style w:type="character" w:styleId="Emphasis">
    <w:name w:val="Emphasis"/>
    <w:basedOn w:val="DefaultParagraphFont"/>
    <w:uiPriority w:val="20"/>
    <w:qFormat/>
    <w:rsid w:val="00E778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7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08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4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1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6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214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7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576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oi.org/10.1007/s00127-006-0051-5" TargetMode="External"/><Relationship Id="rId18" Type="http://schemas.openxmlformats.org/officeDocument/2006/relationships/hyperlink" Target="https://doi.org/10.1111/j.1532-5415.1968.tb02103.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1/archinte.166.10.1092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doi.org/10.1017/S003329170002105X" TargetMode="External"/><Relationship Id="rId17" Type="http://schemas.openxmlformats.org/officeDocument/2006/relationships/hyperlink" Target="https://doi.org/10.1046/j.1525-1497.2001.016009606.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11136-011-9903-x" TargetMode="External"/><Relationship Id="rId20" Type="http://schemas.openxmlformats.org/officeDocument/2006/relationships/hyperlink" Target="https://www.ncbi.nlm.nih.gov/pubmed/988153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1016/j.jpsychores.2005.10.02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doi.org/10.1348/0144665047728129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16/S0145-2134(02)00541-0" TargetMode="External"/><Relationship Id="rId19" Type="http://schemas.openxmlformats.org/officeDocument/2006/relationships/hyperlink" Target="https://doi.org/10.1192/bjp.183.3.2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oi.org/10.1002/hec.3564" TargetMode="External"/><Relationship Id="rId22" Type="http://schemas.openxmlformats.org/officeDocument/2006/relationships/hyperlink" Target="https://doi.org/10.1177/1073191120976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4100</Words>
  <Characters>23376</Characters>
  <Application>Microsoft Office Word</Application>
  <DocSecurity>0</DocSecurity>
  <Lines>194</Lines>
  <Paragraphs>54</Paragraphs>
  <ScaleCrop>false</ScaleCrop>
  <Company/>
  <LinksUpToDate>false</LinksUpToDate>
  <CharactersWithSpaces>27422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Becci Strawbridge</dc:creator>
  <cp:keywords/>
  <dc:description/>
  <cp:lastModifiedBy>Becci Strawbridge</cp:lastModifiedBy>
  <cp:revision>1</cp:revision>
  <dcterms:created xsi:type="dcterms:W3CDTF">2024-02-20T11:43:00Z</dcterms:created>
  <dcterms:modified xsi:type="dcterms:W3CDTF">2024-02-20T11:50:00Z</dcterms:modified>
</cp:coreProperties>
</file>