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CE0D3" w14:textId="0DDB5E4F" w:rsidR="00D167A2" w:rsidRPr="007543B7" w:rsidRDefault="00AB027E" w:rsidP="00725443">
      <w:pPr>
        <w:pStyle w:val="NoSpacing"/>
        <w:spacing w:after="240" w:line="480" w:lineRule="auto"/>
        <w:jc w:val="center"/>
        <w:rPr>
          <w:rFonts w:asciiTheme="majorBidi" w:hAnsiTheme="majorBidi" w:cstheme="majorBidi"/>
          <w:b/>
          <w:bCs/>
          <w:sz w:val="24"/>
          <w:szCs w:val="24"/>
        </w:rPr>
      </w:pPr>
      <w:r w:rsidRPr="007543B7">
        <w:rPr>
          <w:rFonts w:asciiTheme="majorBidi" w:hAnsiTheme="majorBidi" w:cstheme="majorBidi"/>
          <w:b/>
          <w:bCs/>
          <w:sz w:val="24"/>
          <w:szCs w:val="24"/>
        </w:rPr>
        <w:t>Neural Activation Changes following Attention Bias Modification Treatment or a Selective Serotonin Reuptake Inhibitor for Social Anxiety Disorder</w:t>
      </w:r>
    </w:p>
    <w:p w14:paraId="07B58093" w14:textId="702D43AD" w:rsidR="00725443" w:rsidRPr="003F6D50" w:rsidRDefault="00D167A2" w:rsidP="003F6D50">
      <w:pPr>
        <w:pStyle w:val="NoSpacing"/>
        <w:spacing w:after="240" w:line="480" w:lineRule="auto"/>
        <w:jc w:val="center"/>
        <w:rPr>
          <w:rFonts w:asciiTheme="majorBidi" w:hAnsiTheme="majorBidi" w:cstheme="majorBidi"/>
          <w:i/>
          <w:iCs/>
          <w:sz w:val="24"/>
          <w:szCs w:val="24"/>
        </w:rPr>
      </w:pPr>
      <w:r w:rsidRPr="00D167A2">
        <w:rPr>
          <w:rFonts w:asciiTheme="majorBidi" w:hAnsiTheme="majorBidi" w:cstheme="majorBidi"/>
          <w:b/>
          <w:bCs/>
          <w:i/>
          <w:iCs/>
          <w:sz w:val="24"/>
          <w:szCs w:val="24"/>
        </w:rPr>
        <w:t>Supplementa</w:t>
      </w:r>
      <w:r w:rsidR="00150DB9">
        <w:rPr>
          <w:rFonts w:asciiTheme="majorBidi" w:hAnsiTheme="majorBidi" w:cstheme="majorBidi"/>
          <w:b/>
          <w:bCs/>
          <w:i/>
          <w:iCs/>
          <w:sz w:val="24"/>
          <w:szCs w:val="24"/>
        </w:rPr>
        <w:t xml:space="preserve">ry </w:t>
      </w:r>
      <w:r w:rsidR="009E6B86">
        <w:rPr>
          <w:rFonts w:asciiTheme="majorBidi" w:hAnsiTheme="majorBidi" w:cstheme="majorBidi"/>
          <w:b/>
          <w:bCs/>
          <w:i/>
          <w:iCs/>
          <w:sz w:val="24"/>
          <w:szCs w:val="24"/>
        </w:rPr>
        <w:t>Material</w:t>
      </w:r>
    </w:p>
    <w:p w14:paraId="38DD0A19" w14:textId="77777777" w:rsidR="002D7959" w:rsidRDefault="002D7959" w:rsidP="002D7959">
      <w:pPr>
        <w:spacing w:after="240" w:line="480" w:lineRule="auto"/>
        <w:rPr>
          <w:rFonts w:asciiTheme="majorBidi" w:hAnsiTheme="majorBidi" w:cstheme="majorBidi"/>
          <w:sz w:val="24"/>
          <w:szCs w:val="24"/>
        </w:rPr>
      </w:pPr>
      <w:r w:rsidRPr="00B708B5">
        <w:rPr>
          <w:rFonts w:asciiTheme="majorBidi" w:hAnsiTheme="majorBidi" w:cstheme="majorBidi"/>
          <w:sz w:val="24"/>
          <w:szCs w:val="24"/>
        </w:rPr>
        <w:t>Pre-</w:t>
      </w:r>
      <w:r>
        <w:rPr>
          <w:rFonts w:asciiTheme="majorBidi" w:hAnsiTheme="majorBidi" w:cstheme="majorBidi"/>
          <w:sz w:val="24"/>
          <w:szCs w:val="24"/>
        </w:rPr>
        <w:t>T</w:t>
      </w:r>
      <w:r w:rsidRPr="00B708B5">
        <w:rPr>
          <w:rFonts w:asciiTheme="majorBidi" w:hAnsiTheme="majorBidi" w:cstheme="majorBidi"/>
          <w:sz w:val="24"/>
          <w:szCs w:val="24"/>
        </w:rPr>
        <w:t xml:space="preserve">reatment </w:t>
      </w:r>
      <w:r>
        <w:rPr>
          <w:rFonts w:asciiTheme="majorBidi" w:hAnsiTheme="majorBidi" w:cstheme="majorBidi"/>
          <w:sz w:val="24"/>
          <w:szCs w:val="24"/>
        </w:rPr>
        <w:t>N</w:t>
      </w:r>
      <w:r w:rsidRPr="00B708B5">
        <w:rPr>
          <w:rFonts w:asciiTheme="majorBidi" w:hAnsiTheme="majorBidi" w:cstheme="majorBidi"/>
          <w:sz w:val="24"/>
          <w:szCs w:val="24"/>
        </w:rPr>
        <w:t xml:space="preserve">eural </w:t>
      </w:r>
      <w:r>
        <w:rPr>
          <w:rFonts w:asciiTheme="majorBidi" w:hAnsiTheme="majorBidi" w:cstheme="majorBidi"/>
          <w:sz w:val="24"/>
          <w:szCs w:val="24"/>
        </w:rPr>
        <w:t>R</w:t>
      </w:r>
      <w:r w:rsidRPr="00B708B5">
        <w:rPr>
          <w:rFonts w:asciiTheme="majorBidi" w:hAnsiTheme="majorBidi" w:cstheme="majorBidi"/>
          <w:sz w:val="24"/>
          <w:szCs w:val="24"/>
        </w:rPr>
        <w:t>esponse</w:t>
      </w:r>
      <w:r>
        <w:rPr>
          <w:rFonts w:asciiTheme="majorBidi" w:hAnsiTheme="majorBidi" w:cstheme="majorBidi"/>
          <w:sz w:val="24"/>
          <w:szCs w:val="24"/>
        </w:rPr>
        <w:t xml:space="preserve"> (Manipulation Check): Page 3</w:t>
      </w:r>
    </w:p>
    <w:p w14:paraId="12D93AD9" w14:textId="77777777" w:rsidR="002D7959" w:rsidRPr="00D167A2" w:rsidRDefault="002D7959" w:rsidP="002D7959">
      <w:pPr>
        <w:pStyle w:val="NoSpacing"/>
        <w:spacing w:after="240" w:line="480" w:lineRule="auto"/>
        <w:rPr>
          <w:rFonts w:asciiTheme="majorBidi" w:hAnsiTheme="majorBidi" w:cstheme="majorBidi"/>
          <w:sz w:val="24"/>
          <w:szCs w:val="24"/>
        </w:rPr>
      </w:pPr>
      <w:r>
        <w:rPr>
          <w:rFonts w:asciiTheme="majorBidi" w:hAnsiTheme="majorBidi" w:cstheme="majorBidi"/>
          <w:sz w:val="24"/>
          <w:szCs w:val="24"/>
        </w:rPr>
        <w:t xml:space="preserve">Supplementary </w:t>
      </w:r>
      <w:r w:rsidRPr="00D167A2">
        <w:rPr>
          <w:rFonts w:asciiTheme="majorBidi" w:hAnsiTheme="majorBidi" w:cstheme="majorBidi"/>
          <w:sz w:val="24"/>
          <w:szCs w:val="24"/>
        </w:rPr>
        <w:t>Table S</w:t>
      </w:r>
      <w:r>
        <w:rPr>
          <w:rFonts w:asciiTheme="majorBidi" w:hAnsiTheme="majorBidi" w:cstheme="majorBidi"/>
          <w:sz w:val="24"/>
          <w:szCs w:val="24"/>
        </w:rPr>
        <w:t>1: Page 5</w:t>
      </w:r>
    </w:p>
    <w:p w14:paraId="32B36189" w14:textId="77777777" w:rsidR="002D7959" w:rsidRDefault="002D7959" w:rsidP="002D7959">
      <w:pPr>
        <w:pStyle w:val="NoSpacing"/>
        <w:spacing w:after="240" w:line="480" w:lineRule="auto"/>
        <w:rPr>
          <w:rFonts w:asciiTheme="majorBidi" w:hAnsiTheme="majorBidi" w:cstheme="majorBidi"/>
          <w:sz w:val="24"/>
          <w:szCs w:val="24"/>
        </w:rPr>
      </w:pPr>
      <w:r>
        <w:rPr>
          <w:rFonts w:asciiTheme="majorBidi" w:hAnsiTheme="majorBidi" w:cstheme="majorBidi"/>
          <w:sz w:val="24"/>
          <w:szCs w:val="24"/>
        </w:rPr>
        <w:t>Supplementary</w:t>
      </w:r>
      <w:r w:rsidRPr="00D167A2">
        <w:rPr>
          <w:rFonts w:asciiTheme="majorBidi" w:hAnsiTheme="majorBidi" w:cstheme="majorBidi"/>
          <w:sz w:val="24"/>
          <w:szCs w:val="24"/>
        </w:rPr>
        <w:t xml:space="preserve"> Figure S</w:t>
      </w:r>
      <w:r>
        <w:rPr>
          <w:rFonts w:asciiTheme="majorBidi" w:hAnsiTheme="majorBidi" w:cstheme="majorBidi"/>
          <w:sz w:val="24"/>
          <w:szCs w:val="24"/>
        </w:rPr>
        <w:t>1: Page 7</w:t>
      </w:r>
    </w:p>
    <w:p w14:paraId="26B1A248" w14:textId="77777777" w:rsidR="002D7959" w:rsidRDefault="002D7959" w:rsidP="002D7959">
      <w:pPr>
        <w:pStyle w:val="NoSpacing"/>
        <w:spacing w:after="240" w:line="480" w:lineRule="auto"/>
        <w:rPr>
          <w:rFonts w:asciiTheme="majorBidi" w:hAnsiTheme="majorBidi" w:cstheme="majorBidi"/>
          <w:sz w:val="24"/>
          <w:szCs w:val="24"/>
        </w:rPr>
      </w:pPr>
      <w:r>
        <w:rPr>
          <w:rFonts w:asciiTheme="majorBidi" w:hAnsiTheme="majorBidi" w:cstheme="majorBidi"/>
          <w:sz w:val="24"/>
          <w:szCs w:val="24"/>
        </w:rPr>
        <w:t>Supplementary</w:t>
      </w:r>
      <w:r w:rsidRPr="00D167A2">
        <w:rPr>
          <w:rFonts w:asciiTheme="majorBidi" w:hAnsiTheme="majorBidi" w:cstheme="majorBidi"/>
          <w:sz w:val="24"/>
          <w:szCs w:val="24"/>
        </w:rPr>
        <w:t xml:space="preserve"> Figure S</w:t>
      </w:r>
      <w:r>
        <w:rPr>
          <w:rFonts w:asciiTheme="majorBidi" w:hAnsiTheme="majorBidi" w:cstheme="majorBidi"/>
          <w:sz w:val="24"/>
          <w:szCs w:val="24"/>
        </w:rPr>
        <w:t>2: Page 8</w:t>
      </w:r>
    </w:p>
    <w:p w14:paraId="07AB7203" w14:textId="77777777" w:rsidR="002D7959" w:rsidRDefault="002D7959" w:rsidP="002D7959">
      <w:pPr>
        <w:pStyle w:val="NoSpacing"/>
        <w:spacing w:after="240" w:line="480" w:lineRule="auto"/>
        <w:rPr>
          <w:rFonts w:asciiTheme="majorBidi" w:hAnsiTheme="majorBidi" w:cstheme="majorBidi"/>
          <w:sz w:val="24"/>
          <w:szCs w:val="24"/>
        </w:rPr>
      </w:pPr>
      <w:r>
        <w:rPr>
          <w:rFonts w:asciiTheme="majorBidi" w:hAnsiTheme="majorBidi" w:cstheme="majorBidi"/>
          <w:sz w:val="24"/>
          <w:szCs w:val="24"/>
        </w:rPr>
        <w:t>Supplementary</w:t>
      </w:r>
      <w:r w:rsidRPr="00D167A2">
        <w:rPr>
          <w:rFonts w:asciiTheme="majorBidi" w:hAnsiTheme="majorBidi" w:cstheme="majorBidi"/>
          <w:sz w:val="24"/>
          <w:szCs w:val="24"/>
        </w:rPr>
        <w:t xml:space="preserve"> Figure S</w:t>
      </w:r>
      <w:r>
        <w:rPr>
          <w:rFonts w:asciiTheme="majorBidi" w:hAnsiTheme="majorBidi" w:cstheme="majorBidi"/>
          <w:sz w:val="24"/>
          <w:szCs w:val="24"/>
        </w:rPr>
        <w:t>3: Page 9</w:t>
      </w:r>
    </w:p>
    <w:p w14:paraId="57418600" w14:textId="77777777" w:rsidR="002D7959" w:rsidRDefault="002D7959" w:rsidP="002D7959">
      <w:pPr>
        <w:spacing w:after="240" w:line="480" w:lineRule="auto"/>
        <w:rPr>
          <w:rFonts w:asciiTheme="majorBidi" w:hAnsiTheme="majorBidi" w:cstheme="majorBidi"/>
          <w:sz w:val="24"/>
          <w:szCs w:val="24"/>
        </w:rPr>
      </w:pPr>
      <w:r>
        <w:rPr>
          <w:rFonts w:asciiTheme="majorBidi" w:hAnsiTheme="majorBidi" w:cstheme="majorBidi"/>
          <w:sz w:val="24"/>
          <w:szCs w:val="24"/>
        </w:rPr>
        <w:t>Attention Task Test-Retest Reliability: Page 10</w:t>
      </w:r>
    </w:p>
    <w:p w14:paraId="07BE8E96" w14:textId="77777777" w:rsidR="002D7959" w:rsidRDefault="002D7959" w:rsidP="002D7959">
      <w:pPr>
        <w:spacing w:after="240" w:line="480" w:lineRule="auto"/>
        <w:rPr>
          <w:rFonts w:asciiTheme="majorBidi" w:hAnsiTheme="majorBidi" w:cstheme="majorBidi"/>
          <w:sz w:val="24"/>
          <w:szCs w:val="24"/>
        </w:rPr>
      </w:pPr>
      <w:r>
        <w:rPr>
          <w:rFonts w:asciiTheme="majorBidi" w:hAnsiTheme="majorBidi" w:cstheme="majorBidi"/>
          <w:sz w:val="24"/>
          <w:szCs w:val="24"/>
        </w:rPr>
        <w:t>Framewise Displacement (Head Motion) Analysis: Page 11</w:t>
      </w:r>
    </w:p>
    <w:p w14:paraId="3470C924" w14:textId="740B25D5" w:rsidR="002D7959" w:rsidRDefault="002D7959" w:rsidP="002D7959">
      <w:pPr>
        <w:spacing w:after="240" w:line="480" w:lineRule="auto"/>
        <w:rPr>
          <w:rFonts w:asciiTheme="majorBidi" w:hAnsiTheme="majorBidi" w:cstheme="majorBidi"/>
          <w:sz w:val="24"/>
          <w:szCs w:val="24"/>
        </w:rPr>
      </w:pPr>
      <w:bookmarkStart w:id="0" w:name="_Hlk156214008"/>
      <w:r>
        <w:rPr>
          <w:rFonts w:asciiTheme="majorBidi" w:hAnsiTheme="majorBidi" w:cstheme="majorBidi"/>
          <w:sz w:val="24"/>
          <w:szCs w:val="24"/>
        </w:rPr>
        <w:t>Attention Task Performance – Separate Analyses for Four Task Conditions</w:t>
      </w:r>
      <w:bookmarkEnd w:id="0"/>
      <w:r>
        <w:rPr>
          <w:rFonts w:asciiTheme="majorBidi" w:hAnsiTheme="majorBidi" w:cstheme="majorBidi"/>
          <w:sz w:val="24"/>
          <w:szCs w:val="24"/>
        </w:rPr>
        <w:t>: Page 12</w:t>
      </w:r>
    </w:p>
    <w:p w14:paraId="30DF03DF" w14:textId="3A04AF89" w:rsidR="00A715EF" w:rsidRPr="00B708B5" w:rsidRDefault="00A715EF" w:rsidP="002D7959">
      <w:pPr>
        <w:spacing w:after="240" w:line="480" w:lineRule="auto"/>
        <w:rPr>
          <w:rFonts w:asciiTheme="majorBidi" w:hAnsiTheme="majorBidi" w:cstheme="majorBidi"/>
          <w:sz w:val="24"/>
          <w:szCs w:val="24"/>
        </w:rPr>
      </w:pPr>
      <w:r>
        <w:rPr>
          <w:rFonts w:asciiTheme="majorBidi" w:hAnsiTheme="majorBidi" w:cstheme="majorBidi"/>
          <w:sz w:val="24"/>
          <w:szCs w:val="24"/>
        </w:rPr>
        <w:t>Supplementary Table S2: Page 13</w:t>
      </w:r>
    </w:p>
    <w:p w14:paraId="65E129D7" w14:textId="6AB751A4" w:rsidR="002D7959" w:rsidRDefault="002D7959" w:rsidP="002D7959">
      <w:pPr>
        <w:spacing w:after="240" w:line="480" w:lineRule="auto"/>
        <w:rPr>
          <w:rFonts w:asciiTheme="majorBidi" w:hAnsiTheme="majorBidi" w:cstheme="majorBidi"/>
          <w:sz w:val="24"/>
          <w:szCs w:val="24"/>
        </w:rPr>
      </w:pPr>
      <w:r w:rsidRPr="00054037">
        <w:rPr>
          <w:rFonts w:asciiTheme="majorBidi" w:hAnsiTheme="majorBidi" w:cstheme="majorBidi"/>
          <w:sz w:val="24"/>
          <w:szCs w:val="24"/>
        </w:rPr>
        <w:t xml:space="preserve">Baseline Group Differences </w:t>
      </w:r>
      <w:r>
        <w:rPr>
          <w:rFonts w:asciiTheme="majorBidi" w:hAnsiTheme="majorBidi" w:cstheme="majorBidi"/>
          <w:sz w:val="24"/>
          <w:szCs w:val="24"/>
        </w:rPr>
        <w:t xml:space="preserve">in Significant Clusters </w:t>
      </w:r>
      <w:r w:rsidRPr="00054037">
        <w:rPr>
          <w:rFonts w:asciiTheme="majorBidi" w:hAnsiTheme="majorBidi" w:cstheme="majorBidi"/>
          <w:sz w:val="24"/>
          <w:szCs w:val="24"/>
        </w:rPr>
        <w:t>and Covariate Analyses</w:t>
      </w:r>
      <w:r>
        <w:rPr>
          <w:rFonts w:asciiTheme="majorBidi" w:hAnsiTheme="majorBidi" w:cstheme="majorBidi"/>
          <w:sz w:val="24"/>
          <w:szCs w:val="24"/>
        </w:rPr>
        <w:t xml:space="preserve">: Page </w:t>
      </w:r>
      <w:r w:rsidR="00A715EF">
        <w:rPr>
          <w:rFonts w:asciiTheme="majorBidi" w:hAnsiTheme="majorBidi" w:cstheme="majorBidi"/>
          <w:sz w:val="24"/>
          <w:szCs w:val="24"/>
        </w:rPr>
        <w:t>14</w:t>
      </w:r>
    </w:p>
    <w:p w14:paraId="0A0F0D0D" w14:textId="15C3E4C3" w:rsidR="002D7959" w:rsidRDefault="002D7959" w:rsidP="002D7959">
      <w:pPr>
        <w:spacing w:after="240" w:line="480" w:lineRule="auto"/>
        <w:rPr>
          <w:rFonts w:asciiTheme="majorBidi" w:hAnsiTheme="majorBidi" w:cstheme="majorBidi"/>
          <w:sz w:val="24"/>
          <w:szCs w:val="24"/>
        </w:rPr>
      </w:pPr>
      <w:r>
        <w:rPr>
          <w:rFonts w:asciiTheme="majorBidi" w:hAnsiTheme="majorBidi" w:cstheme="majorBidi"/>
          <w:sz w:val="24"/>
          <w:szCs w:val="24"/>
        </w:rPr>
        <w:t xml:space="preserve">Supplementary Table S3: Page </w:t>
      </w:r>
      <w:r w:rsidR="00A715EF">
        <w:rPr>
          <w:rFonts w:asciiTheme="majorBidi" w:hAnsiTheme="majorBidi" w:cstheme="majorBidi"/>
          <w:sz w:val="24"/>
          <w:szCs w:val="24"/>
        </w:rPr>
        <w:t>15</w:t>
      </w:r>
    </w:p>
    <w:p w14:paraId="7E746D6E" w14:textId="172BBAB3" w:rsidR="002D7959" w:rsidRDefault="002D7959" w:rsidP="002D7959">
      <w:pPr>
        <w:pStyle w:val="NoSpacing"/>
        <w:spacing w:after="240" w:line="480" w:lineRule="auto"/>
        <w:rPr>
          <w:rFonts w:asciiTheme="majorBidi" w:hAnsiTheme="majorBidi" w:cstheme="majorBidi"/>
          <w:sz w:val="24"/>
          <w:szCs w:val="24"/>
        </w:rPr>
      </w:pPr>
      <w:r>
        <w:rPr>
          <w:rFonts w:asciiTheme="majorBidi" w:hAnsiTheme="majorBidi" w:cstheme="majorBidi"/>
          <w:sz w:val="24"/>
          <w:szCs w:val="24"/>
        </w:rPr>
        <w:t>Supplementary</w:t>
      </w:r>
      <w:r w:rsidRPr="00D167A2">
        <w:rPr>
          <w:rFonts w:asciiTheme="majorBidi" w:hAnsiTheme="majorBidi" w:cstheme="majorBidi"/>
          <w:sz w:val="24"/>
          <w:szCs w:val="24"/>
        </w:rPr>
        <w:t xml:space="preserve"> Figure S</w:t>
      </w:r>
      <w:r>
        <w:rPr>
          <w:rFonts w:asciiTheme="majorBidi" w:hAnsiTheme="majorBidi" w:cstheme="majorBidi"/>
          <w:sz w:val="24"/>
          <w:szCs w:val="24"/>
        </w:rPr>
        <w:t xml:space="preserve">4: Page </w:t>
      </w:r>
      <w:r w:rsidR="00A715EF">
        <w:rPr>
          <w:rFonts w:asciiTheme="majorBidi" w:hAnsiTheme="majorBidi" w:cstheme="majorBidi"/>
          <w:sz w:val="24"/>
          <w:szCs w:val="24"/>
        </w:rPr>
        <w:t>16</w:t>
      </w:r>
    </w:p>
    <w:p w14:paraId="539720A0" w14:textId="03A61ECD" w:rsidR="002D7959" w:rsidRDefault="002D7959" w:rsidP="002D7959">
      <w:pPr>
        <w:spacing w:after="240" w:line="480" w:lineRule="auto"/>
        <w:rPr>
          <w:rFonts w:asciiTheme="majorBidi" w:hAnsiTheme="majorBidi" w:cstheme="majorBidi"/>
          <w:sz w:val="24"/>
          <w:szCs w:val="24"/>
        </w:rPr>
      </w:pPr>
      <w:r>
        <w:rPr>
          <w:rFonts w:asciiTheme="majorBidi" w:hAnsiTheme="majorBidi" w:cstheme="majorBidi"/>
          <w:sz w:val="24"/>
          <w:szCs w:val="24"/>
        </w:rPr>
        <w:t xml:space="preserve">Supplementary Table S4: Page </w:t>
      </w:r>
      <w:r w:rsidR="00A715EF">
        <w:rPr>
          <w:rFonts w:asciiTheme="majorBidi" w:hAnsiTheme="majorBidi" w:cstheme="majorBidi"/>
          <w:sz w:val="24"/>
          <w:szCs w:val="24"/>
        </w:rPr>
        <w:t>17</w:t>
      </w:r>
    </w:p>
    <w:p w14:paraId="67CB8A24" w14:textId="16F853AD" w:rsidR="002D7959" w:rsidRDefault="002D7959" w:rsidP="002D7959">
      <w:pPr>
        <w:pStyle w:val="NoSpacing"/>
        <w:spacing w:after="240" w:line="480" w:lineRule="auto"/>
        <w:rPr>
          <w:rFonts w:asciiTheme="majorBidi" w:hAnsiTheme="majorBidi" w:cstheme="majorBidi"/>
          <w:sz w:val="24"/>
          <w:szCs w:val="24"/>
        </w:rPr>
      </w:pPr>
      <w:r>
        <w:rPr>
          <w:rFonts w:asciiTheme="majorBidi" w:hAnsiTheme="majorBidi" w:cstheme="majorBidi"/>
          <w:sz w:val="24"/>
          <w:szCs w:val="24"/>
        </w:rPr>
        <w:t>Supplementary</w:t>
      </w:r>
      <w:r w:rsidRPr="00D167A2">
        <w:rPr>
          <w:rFonts w:asciiTheme="majorBidi" w:hAnsiTheme="majorBidi" w:cstheme="majorBidi"/>
          <w:sz w:val="24"/>
          <w:szCs w:val="24"/>
        </w:rPr>
        <w:t xml:space="preserve"> Figure S</w:t>
      </w:r>
      <w:r>
        <w:rPr>
          <w:rFonts w:asciiTheme="majorBidi" w:hAnsiTheme="majorBidi" w:cstheme="majorBidi"/>
          <w:sz w:val="24"/>
          <w:szCs w:val="24"/>
        </w:rPr>
        <w:t xml:space="preserve">5: Page </w:t>
      </w:r>
      <w:r w:rsidR="00A715EF">
        <w:rPr>
          <w:rFonts w:asciiTheme="majorBidi" w:hAnsiTheme="majorBidi" w:cstheme="majorBidi"/>
          <w:sz w:val="24"/>
          <w:szCs w:val="24"/>
        </w:rPr>
        <w:t>18</w:t>
      </w:r>
    </w:p>
    <w:p w14:paraId="067F7620" w14:textId="4FAEC5F9" w:rsidR="002D7959" w:rsidRDefault="002D7959" w:rsidP="002D7959">
      <w:pPr>
        <w:pStyle w:val="NoSpacing"/>
        <w:spacing w:after="240" w:line="480" w:lineRule="auto"/>
        <w:rPr>
          <w:rFonts w:asciiTheme="majorBidi" w:hAnsiTheme="majorBidi" w:cstheme="majorBidi"/>
          <w:sz w:val="24"/>
          <w:szCs w:val="24"/>
        </w:rPr>
      </w:pPr>
      <w:r>
        <w:rPr>
          <w:rFonts w:asciiTheme="majorBidi" w:hAnsiTheme="majorBidi" w:cstheme="majorBidi"/>
          <w:sz w:val="24"/>
          <w:szCs w:val="24"/>
        </w:rPr>
        <w:lastRenderedPageBreak/>
        <w:t xml:space="preserve">Significant Clusters Localization: Page </w:t>
      </w:r>
      <w:r w:rsidR="00A715EF">
        <w:rPr>
          <w:rFonts w:asciiTheme="majorBidi" w:hAnsiTheme="majorBidi" w:cstheme="majorBidi"/>
          <w:sz w:val="24"/>
          <w:szCs w:val="24"/>
        </w:rPr>
        <w:t>19</w:t>
      </w:r>
    </w:p>
    <w:p w14:paraId="62E36471" w14:textId="7EEDCF26" w:rsidR="002D7959" w:rsidRDefault="002D7959" w:rsidP="002D7959">
      <w:pPr>
        <w:pStyle w:val="NoSpacing"/>
        <w:spacing w:after="240" w:line="480" w:lineRule="auto"/>
      </w:pPr>
      <w:r>
        <w:rPr>
          <w:rFonts w:asciiTheme="majorBidi" w:hAnsiTheme="majorBidi" w:cstheme="majorBidi"/>
          <w:sz w:val="24"/>
          <w:szCs w:val="24"/>
        </w:rPr>
        <w:t xml:space="preserve">References: Page </w:t>
      </w:r>
      <w:r w:rsidR="00A715EF">
        <w:rPr>
          <w:rFonts w:asciiTheme="majorBidi" w:hAnsiTheme="majorBidi" w:cstheme="majorBidi"/>
          <w:sz w:val="24"/>
          <w:szCs w:val="24"/>
        </w:rPr>
        <w:t>20</w:t>
      </w:r>
      <w:r>
        <w:br w:type="page"/>
      </w:r>
    </w:p>
    <w:p w14:paraId="5FA52B6A" w14:textId="77777777" w:rsidR="00260E0E" w:rsidRPr="00D233B5" w:rsidRDefault="00260E0E" w:rsidP="00260E0E">
      <w:pPr>
        <w:pStyle w:val="NoSpacing"/>
        <w:spacing w:before="240" w:after="240" w:line="480" w:lineRule="auto"/>
        <w:jc w:val="both"/>
        <w:rPr>
          <w:rFonts w:asciiTheme="majorBidi" w:hAnsiTheme="majorBidi" w:cstheme="majorBidi"/>
          <w:b/>
          <w:bCs/>
          <w:sz w:val="24"/>
          <w:szCs w:val="24"/>
        </w:rPr>
      </w:pPr>
      <w:r w:rsidRPr="00D233B5">
        <w:rPr>
          <w:rFonts w:asciiTheme="majorBidi" w:hAnsiTheme="majorBidi" w:cstheme="majorBidi"/>
          <w:b/>
          <w:bCs/>
          <w:sz w:val="24"/>
          <w:szCs w:val="24"/>
        </w:rPr>
        <w:lastRenderedPageBreak/>
        <w:t xml:space="preserve">Pre-Treatment Neural Response </w:t>
      </w:r>
      <w:r w:rsidRPr="007F32FE">
        <w:rPr>
          <w:rFonts w:asciiTheme="majorBidi" w:hAnsiTheme="majorBidi" w:cstheme="majorBidi"/>
          <w:b/>
          <w:bCs/>
          <w:sz w:val="24"/>
          <w:szCs w:val="24"/>
        </w:rPr>
        <w:t>(Manipulation Check)</w:t>
      </w:r>
    </w:p>
    <w:p w14:paraId="5E7F586C" w14:textId="4CA738C7" w:rsidR="00260E0E" w:rsidRDefault="00260E0E" w:rsidP="00260E0E">
      <w:pPr>
        <w:pStyle w:val="NoSpacing"/>
        <w:spacing w:before="240" w:after="24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 repeated-measures </w:t>
      </w:r>
      <w:r w:rsidRPr="00DF7D50">
        <w:rPr>
          <w:rFonts w:asciiTheme="majorBidi" w:hAnsiTheme="majorBidi" w:cstheme="majorBidi"/>
          <w:sz w:val="24"/>
          <w:szCs w:val="24"/>
        </w:rPr>
        <w:t xml:space="preserve">analysis of variance (ANOVA) with </w:t>
      </w:r>
      <w:r>
        <w:rPr>
          <w:rFonts w:asciiTheme="majorBidi" w:hAnsiTheme="majorBidi" w:cstheme="majorBidi"/>
          <w:sz w:val="24"/>
          <w:szCs w:val="24"/>
        </w:rPr>
        <w:t>attention</w:t>
      </w:r>
      <w:r w:rsidRPr="00DF7D50">
        <w:rPr>
          <w:rFonts w:asciiTheme="majorBidi" w:hAnsiTheme="majorBidi" w:cstheme="majorBidi"/>
          <w:sz w:val="24"/>
          <w:szCs w:val="24"/>
        </w:rPr>
        <w:t xml:space="preserve"> </w:t>
      </w:r>
      <w:r>
        <w:rPr>
          <w:rFonts w:asciiTheme="majorBidi" w:hAnsiTheme="majorBidi" w:cstheme="majorBidi"/>
          <w:sz w:val="24"/>
          <w:szCs w:val="24"/>
        </w:rPr>
        <w:t>(toward face, away from face) and valence (threat, neutral) as between-subject</w:t>
      </w:r>
      <w:r w:rsidR="002D7959">
        <w:rPr>
          <w:rFonts w:asciiTheme="majorBidi" w:hAnsiTheme="majorBidi" w:cstheme="majorBidi"/>
          <w:sz w:val="24"/>
          <w:szCs w:val="24"/>
        </w:rPr>
        <w:t>s</w:t>
      </w:r>
      <w:r w:rsidRPr="00DF7D50">
        <w:rPr>
          <w:rFonts w:asciiTheme="majorBidi" w:hAnsiTheme="majorBidi" w:cstheme="majorBidi"/>
          <w:sz w:val="24"/>
          <w:szCs w:val="24"/>
        </w:rPr>
        <w:t xml:space="preserve"> factor</w:t>
      </w:r>
      <w:r>
        <w:rPr>
          <w:rFonts w:asciiTheme="majorBidi" w:hAnsiTheme="majorBidi" w:cstheme="majorBidi"/>
          <w:sz w:val="24"/>
          <w:szCs w:val="24"/>
        </w:rPr>
        <w:t>s</w:t>
      </w:r>
      <w:r w:rsidRPr="00DF7D50">
        <w:rPr>
          <w:rFonts w:asciiTheme="majorBidi" w:hAnsiTheme="majorBidi" w:cstheme="majorBidi"/>
          <w:sz w:val="24"/>
          <w:szCs w:val="24"/>
        </w:rPr>
        <w:t xml:space="preserve"> </w:t>
      </w:r>
      <w:r>
        <w:rPr>
          <w:rFonts w:asciiTheme="majorBidi" w:hAnsiTheme="majorBidi" w:cstheme="majorBidi"/>
          <w:sz w:val="24"/>
          <w:szCs w:val="24"/>
        </w:rPr>
        <w:t xml:space="preserve">was performed on 97 baseline scans, corrected for multiple comparisons using </w:t>
      </w:r>
      <w:r w:rsidRPr="00B705C9">
        <w:rPr>
          <w:rFonts w:asciiTheme="majorBidi" w:hAnsiTheme="majorBidi" w:cstheme="majorBidi"/>
          <w:sz w:val="24"/>
          <w:szCs w:val="24"/>
        </w:rPr>
        <w:t>cluster forming threshold of z=2.3 and familywise error correction (FWE) at a level of p&lt;.05</w:t>
      </w:r>
      <w:r>
        <w:rPr>
          <w:rFonts w:asciiTheme="majorBidi" w:hAnsiTheme="majorBidi" w:cstheme="majorBidi"/>
          <w:sz w:val="24"/>
          <w:szCs w:val="24"/>
        </w:rPr>
        <w:t>.</w:t>
      </w:r>
    </w:p>
    <w:p w14:paraId="56701C0C" w14:textId="0600DCFD" w:rsidR="00260E0E" w:rsidRDefault="00260E0E" w:rsidP="00260E0E">
      <w:pPr>
        <w:pStyle w:val="NoSpacing"/>
        <w:spacing w:before="240" w:after="24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This analysis indicated a significant main effect for attention in a neural network consisting of eight clusters (Table S1). Activation reflecting toward face &gt; away from face was found in the fusiform face area (FFA) and prefrontal cortex (PFC), whereas activation reflecting away from face &gt; toward face was found in several regions comprising the dorsal attention network (DAN)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{"citationItems":[{"id":"ITEM-1","itemData":{"DOI":"10.1152/jn.00338.2011","ISSN":"00223077","PMID":"21653723","abstract":"Information processing in the cerebral cortex involves interactions among distributed areas. Anatomical connectivity suggests that certain areas form local hierarchical relations such as within the visual system. Other connectivity patterns, particularly among association areas, suggest the presence of large-scale circuits without clear hierarchical relations. In this study the organization of networks in the human cerebrum was explored using resting-state functional connectivity MRI. Data from 1,000 subjects were registered using surfacebased alignment. A clustering approach was employed to identify and replicate networks of functionally coupled regions across the cerebral cortex. The results revealed local networks confined to sensory and motor cortices as well as distributed networks of association regions. Within the sensory and motor cortices, functional connectivity followed topographic representations across adjacent areas. In association cortex, the connectivity patterns often showed abrupt transitions between network boundaries. Focused analyses were performed to better understand properties of network connectivity. A canonical sensory-motor pathway involving primary visual area, putative middle temporal area complex (MT+), lateral intraparietal area, and frontal eye field was analyzed to explore how interactions might arise within and between networks. Results showed that adjacent regions of the MT+ complex demonstrate differential connectivity consistent with a hierarchical pathway that spans networks. The functional connectivity of parietal and prefrontal association cortices was next explored. Distinct connectivity profiles of neighboring regions suggest they participate in distributed networks that, while showing evidence for interactions, are embedded within largely parallel, interdigitated circuits. We conclude by discussing the organization of these large-scale cerebral networks in relation to monkey anatomy and their potential evolutionary expansion in humans to support cognition. © 2011 the American Physiological Society.","author":[{"dropping-particle":"","family":"Yeo","given":"BT.","non-dropping-particle":"","parse-names":false,"suffix":""},{"dropping-particle":"","family":"Krienen","given":"Fenna M.","non-dropping-particle":"","parse-names":false,"suffix":""},{"dropping-particle":"","family":"Sepulcre","given":"Jorge","non-dropping-particle":"","parse-names":false,"suffix":""},{"dropping-particle":"","family":"Sabuncu","given":"Mert R.","non-dropping-particle":"","parse-names":false,"suffix":""},{"dropping-particle":"","family":"Lashkari","given":"Danial","non-dropping-particle":"","parse-names":false,"suffix":""},{"dropping-particle":"","family":"Hollinshead","given":"Marisa","non-dropping-particle":"","parse-names":false,"suffix":""},{"dropping-particle":"","family":"Roffman","given":"Joshua L.","non-dropping-particle":"","parse-names":false,"suffix":""},{"dropping-particle":"","family":"Smoller","given":"Jordan W.","non-dropping-particle":"","parse-names":false,"suffix":""},{"dropping-particle":"","family":"Zöllei","given":"Lilla","non-dropping-particle":"","parse-names":false,"suffix":""},{"dropping-particle":"","family":"Polimeni","given":"Jonathan R.","non-dropping-particle":"","parse-names":false,"suffix":""},{"dropping-particle":"","family":"Fisch","given":"Bruce","non-dropping-particle":"","parse-names":false,"suffix":""},{"dropping-particle":"","family":"Liu","given":"Hesheng","non-dropping-particle":"","parse-names":false,"suffix":""},{"dropping-particle":"","family":"Buckner","given":"Randy L.","non-dropping-particle":"","parse-names":false,"suffix":""}],"container-title":"Journal of Neurophysiology","id":"ITEM-1","issue":"3","issued":{"date-parts":[["2011","9"]]},"page":"1125-1165","publisher":"American Physiological Society Bethesda, MD","title":"The organization of the human cerebral cortex estimated by intrinsic functional connectivity","type":"article-journal","volume":"106"},"uris":["http://www.mendeley.com/documents/?uuid=e257d506-0123-3c2e-ac0b-719442fc0c9c"]}],"mendeley":{"formattedCitation":"(Yeo et al., 2011)","plainTextFormattedCitation":"(Yeo et al., 2011)","previouslyFormattedCitation":"(Yeo et al., 2011)"},"properties":{"noteIndex":0},"schema":"https://github.com/citation-style-language/schema/raw/master/csl-citation.json"}</w:instrText>
      </w:r>
      <w:r>
        <w:rPr>
          <w:rFonts w:asciiTheme="majorBidi" w:hAnsiTheme="majorBidi" w:cstheme="majorBidi"/>
          <w:sz w:val="24"/>
          <w:szCs w:val="24"/>
        </w:rPr>
        <w:fldChar w:fldCharType="separate"/>
      </w:r>
      <w:r w:rsidRPr="002C2D81">
        <w:rPr>
          <w:rFonts w:asciiTheme="majorBidi" w:hAnsiTheme="majorBidi" w:cstheme="majorBidi"/>
          <w:noProof/>
          <w:sz w:val="24"/>
          <w:szCs w:val="24"/>
        </w:rPr>
        <w:t>(Yeo et al., 2011)</w:t>
      </w:r>
      <w:r>
        <w:rPr>
          <w:rFonts w:asciiTheme="majorBidi" w:hAnsiTheme="majorBidi" w:cstheme="majorBidi"/>
          <w:sz w:val="24"/>
          <w:szCs w:val="24"/>
        </w:rPr>
        <w:fldChar w:fldCharType="end"/>
      </w:r>
      <w:r>
        <w:rPr>
          <w:rFonts w:asciiTheme="majorBidi" w:hAnsiTheme="majorBidi" w:cstheme="majorBidi"/>
          <w:sz w:val="24"/>
          <w:szCs w:val="24"/>
        </w:rPr>
        <w:t xml:space="preserve"> (Figures S1 and S3). The FFA and PFC activations found here converge with previous evidence on brain regions activated during face processing </w:t>
      </w:r>
      <w:r>
        <w:rPr>
          <w:rFonts w:asciiTheme="majorBidi" w:hAnsiTheme="majorBidi" w:cstheme="majorBidi"/>
          <w:sz w:val="24"/>
          <w:szCs w:val="24"/>
        </w:rPr>
        <w:fldChar w:fldCharType="begin" w:fldLock="1"/>
      </w:r>
      <w:r w:rsidR="000564FF">
        <w:rPr>
          <w:rFonts w:asciiTheme="majorBidi" w:hAnsiTheme="majorBidi" w:cstheme="majorBidi"/>
          <w:sz w:val="24"/>
          <w:szCs w:val="24"/>
        </w:rPr>
        <w:instrText>ADDIN CSL_CITATION {"citationItems":[{"id":"ITEM-1","itemData":{"DOI":"10.1098/RSTB.2006.1934","ISSN":"09628436","PMID":"17118927","abstract":"Faces are among the most important visual stimuli we perceive, informing us not only about a person's identity, but also about their mood, sex, age and direction of gaze. The ability to extract thi...","author":[{"dropping-particle":"","family":"Kanwisher","given":"Nancy","non-dropping-particle":"","parse-names":false,"suffix":""},{"dropping-particle":"","family":"Yovel","given":"Galit","non-dropping-particle":"","parse-names":false,"suffix":""}],"container-title":"Philosophical Transactions of the Royal Society B: Biological Sciences","id":"ITEM-1","issue":"1476","issued":{"date-parts":[["2006","12","29"]]},"page":"2109-2128","publisher":"The Royal SocietyLondon","title":"The fusiform face area: a cortical region specialized for the perception of faces","type":"article-journal","volume":"361"},"uris":["http://www.mendeley.com/documents/?uuid=5facd311-181f-3226-a881-ea25ccacdacb"]},{"id":"ITEM-2","itemData":{"DOI":"10.1080/026432900380562","ISSN":"02643294","abstract":"The patient described in the companion paper by Vignal, Chauvel, and Halgren (this issue) was studied with event related potentials (ERPs) recorded directly within the brain substance, as well as with neuropsychological tests before and after therapeutic cortectomy. Large ERPs were evoked in the prefrontal cortex to faces, as compared to sensory controls and words. The largest such ERPs were highly localised to the same right anterior inferior prefrontal site where direct electrical stimulation resulted in face hallucinations. Face-selective ERPs were also evoked in the right prefrontal sites that had shown projected activity during face hallucinations, and near the right anterior superior temporal sulcus. Selective responses began about 150msec after face onset. Words, but not faces or sensory controls, evoked large ERPs in distinct locations, mainly in the left hemisphere. A successful surgical therapy was performed by removing the cortex surrounding the right prefrontal site where face-selective responses were recorded and where face hallucinations were evoked by stimulation. This cortectomy resulted in a severe deficit in the recognition of emotional facial expressions, especially fear. No change was noted, however, in the recall of emotional words, or other tasks. The current results provide strong support for the early, specific, and sustained involvement of a multi-focal network in the right inferior fronto-temporal cortex in face-processing.","author":[{"dropping-particle":"","family":"Marinkovic","given":"K.","non-dropping-particle":"","parse-names":false,"suffix":""},{"dropping-particle":"","family":"Trebon","given":"P.","non-dropping-particle":"","parse-names":false,"suffix":""},{"dropping-particle":"","family":"Chauvel","given":"P.","non-dropping-particle":"","parse-names":false,"suffix":""},{"dropping-particle":"","family":"Halgren","given":"E.","non-dropping-particle":"","parse-names":false,"suffix":""}],"container-title":"Cognitive Neuropsychology","id":"ITEM-2","issue":"1-3","issued":{"date-parts":[["2000"]]},"page":"187-199","publisher":"Taylor &amp; Francis Group","title":"Localised face processing by the human prefrontal cortex: Face-selective intracerebral potentials and post-lesion deficits","type":"article-journal","volume":"17"},"uris":["http://www.mendeley.com/documents/?uuid=c152de55-074c-3279-b648-c57bcb0b42af"]}],"mendeley":{"formattedCitation":"(Kanwisher &amp; Yovel, 2006; Marinkovic, Trebon, Chauvel, &amp; Halgren, 2000)","plainTextFormattedCitation":"(Kanwisher &amp; Yovel, 2006; Marinkovic, Trebon, Chauvel, &amp; Halgren, 2000)","previouslyFormattedCitation":"(Kanwisher &amp; Yovel, 2006; Marinkovic, Trebon, Chauvel, &amp; Halgren, 2000)"},"properties":{"noteIndex":0},"schema":"https://github.com/citation-style-language/schema/raw/master/csl-citation.json"}</w:instrText>
      </w:r>
      <w:r>
        <w:rPr>
          <w:rFonts w:asciiTheme="majorBidi" w:hAnsiTheme="majorBidi" w:cstheme="majorBidi"/>
          <w:sz w:val="24"/>
          <w:szCs w:val="24"/>
        </w:rPr>
        <w:fldChar w:fldCharType="separate"/>
      </w:r>
      <w:r w:rsidR="002D7959" w:rsidRPr="002D7959">
        <w:rPr>
          <w:rFonts w:asciiTheme="majorBidi" w:hAnsiTheme="majorBidi" w:cstheme="majorBidi"/>
          <w:noProof/>
          <w:sz w:val="24"/>
          <w:szCs w:val="24"/>
        </w:rPr>
        <w:t>(Kanwisher &amp; Yovel, 2006; Marinkovic, Trebon, Chauvel, &amp; Halgren, 2000)</w:t>
      </w:r>
      <w:r>
        <w:rPr>
          <w:rFonts w:asciiTheme="majorBidi" w:hAnsiTheme="majorBidi" w:cstheme="majorBidi"/>
          <w:sz w:val="24"/>
          <w:szCs w:val="24"/>
        </w:rPr>
        <w:fldChar w:fldCharType="end"/>
      </w:r>
      <w:r>
        <w:rPr>
          <w:rFonts w:asciiTheme="majorBidi" w:hAnsiTheme="majorBidi" w:cstheme="majorBidi"/>
          <w:sz w:val="24"/>
          <w:szCs w:val="24"/>
        </w:rPr>
        <w:t xml:space="preserve">. The DAN activation presented during trials in which attention was oriented away from a previous fixation location and a potentially distracting face, is in line with existing evidence on the role of the DAN in voluntary orienting of visuo-spatial attention </w:t>
      </w:r>
      <w:r>
        <w:rPr>
          <w:rFonts w:asciiTheme="majorBidi" w:hAnsiTheme="majorBidi" w:cstheme="majorBidi"/>
          <w:sz w:val="24"/>
          <w:szCs w:val="24"/>
        </w:rPr>
        <w:fldChar w:fldCharType="begin" w:fldLock="1"/>
      </w:r>
      <w:r w:rsidR="000564FF">
        <w:rPr>
          <w:rFonts w:asciiTheme="majorBidi" w:hAnsiTheme="majorBidi" w:cstheme="majorBidi"/>
          <w:sz w:val="24"/>
          <w:szCs w:val="24"/>
        </w:rPr>
        <w:instrText>ADDIN CSL_CITATION {"citationItems":[{"id":"ITEM-1","itemData":{"DOI":"10.1523/JNEUROSCI.0236-05.2005","ISSN":"02706474","PMID":"15872107","abstract":"Attention can be voluntarily directed to a location or automatically summoned to a location by a salient stimulus. We compared the effects of voluntary and stimulus-driven shifts of spatial attention on the blood oxygenation level-dependent signal in humans, using a method that separated preparatory activity related to the initial shift of attention from the subsequent activity caused by target presentation. Voluntary shifts produced greater preparatory activity than stimulus-driven shifts in the frontal eye field (FEF) and intraparietal sulcus, core regions of the dorsal frontoparietal attention network, demonstrating their special role in the voluntary control of attention. Stimulus-driven attentional shifts to salient color singletons recruited occipitotemporal regions, sensitive to color information and part of the dorsal network, including the FEF, suggesting a partly overlapping circuit for endogenous and exogenous orienting. The right temporoparietal junction (TPJ), a core region of the ventral frontoparietal attention network, was strongly modulated by stimulus-driven attentional shifts to behaviorally relevant stimuli, such as targets at unattended locations. However, the TPJ did not respond to salient, task-irrelevant color singletons, indicating that behavioral relevance is critical for TPJ modulation during stimulus-driven orienting. Finally, both ventral and dorsal regions were modulated during reorienting but significantly only by reorienting after voluntary shifts, suggesting the importance of a mismatch between expectation and sensory input. Copyright © 2005 Society for Neuroscience.","author":[{"dropping-particle":"","family":"Kincade","given":"J Michelle","non-dropping-particle":"","parse-names":false,"suffix":""},{"dropping-particle":"","family":"Abrams","given":"Richard A","non-dropping-particle":"","parse-names":false,"suffix":""},{"dropping-particle":"V","family":"Astafiev","given":"Serguei","non-dropping-particle":"","parse-names":false,"suffix":""},{"dropping-particle":"","family":"Shulman","given":"Gordon L","non-dropping-particle":"","parse-names":false,"suffix":""},{"dropping-particle":"","family":"Corbetta","given":"Maurizio","non-dropping-particle":"","parse-names":false,"suffix":""}],"container-title":"Journal of Neuroscience","id":"ITEM-1","issue":"18","issued":{"date-parts":[["2005"]]},"page":"4593-4604","title":"An event-related functional magnetic resonance imaging study of voluntary and stimulus-driven orienting of attention","type":"article-journal","volume":"25"},"uris":["http://www.mendeley.com/documents/?uuid=40f3ddc4-670c-33b0-9fed-4bdf249a49d8"]},{"id":"ITEM-2","itemData":{"DOI":"10.1080/17588928.2019.1683525","ISSN":"17588936","PMID":"31674886","abstract":"Selective attention allows us to prioritize the processing of relevant information and filter out irrelevant information. Human functional neuroimaging and lesion-based studies have highlighted the fronto-parietal dorsal attention network (DAN) as an important network in this process. In this study, we investigated the role of the DAN in distracter suppression by dynamically modifying the priority of visual information (target &gt; high priority distracter &gt; low priority distracter) based on features only. To this end, we collected fMRI data in 24 healthy subjects, who performed a feature-based variant of the sustained attention to response task. Participants had to select one or attend two stream(s) of overlapping digits that differed in color and respond to each digit in the task-relevant stream(s) except to a single non-target digit. Results showed higher DAN activity when a target was co-presented with a high versus low priority distracter. Furthermore, higher DAN activity was observed when selectively attending one (target + high/low priority distracter) versus simultaneously attending two (target + target) stream(s) of digits. In conclusion, our study highlights the contribution of the DAN in the feature-based suppression of task-irrelevant information.","author":[{"dropping-particle":"","family":"Lanssens","given":"Armien","non-dropping-particle":"","parse-names":false,"suffix":""},{"dropping-particle":"","family":"Pizzamiglio","given":"Gloria","non-dropping-particle":"","parse-names":false,"suffix":""},{"dropping-particle":"","family":"Mantini","given":"Dante","non-dropping-particle":"","parse-names":false,"suffix":""},{"dropping-particle":"","family":"Gillebert","given":"Celine R.","non-dropping-particle":"","parse-names":false,"suffix":""}],"container-title":"Cognitive Neuroscience","id":"ITEM-2","issue":"1-2","issued":{"date-parts":[["2020","4","2"]]},"page":"37-46","publisher":"Routledge","title":"Role of the dorsal attention network in distracter suppression based on features","type":"article-journal","volume":"11"},"uris":["http://www.mendeley.com/documents/?uuid=7b1706db-12ab-32be-86b1-122740b37e44"]}],"mendeley":{"formattedCitation":"(Kincade, Abrams, Astafiev, Shulman, &amp; Corbetta, 2005; Lanssens, Pizzamiglio, Mantini, &amp; Gillebert, 2020)","plainTextFormattedCitation":"(Kincade, Abrams, Astafiev, Shulman, &amp; Corbetta, 2005; Lanssens, Pizzamiglio, Mantini, &amp; Gillebert, 2020)","previouslyFormattedCitation":"(Kincade, Abrams, Astafiev, Shulman, &amp; Corbetta, 2005; Lanssens, Pizzamiglio, Mantini, &amp; Gillebert, 2020)"},"properties":{"noteIndex":0},"schema":"https://github.com/citation-style-language/schema/raw/master/csl-citation.json"}</w:instrText>
      </w:r>
      <w:r>
        <w:rPr>
          <w:rFonts w:asciiTheme="majorBidi" w:hAnsiTheme="majorBidi" w:cstheme="majorBidi"/>
          <w:sz w:val="24"/>
          <w:szCs w:val="24"/>
        </w:rPr>
        <w:fldChar w:fldCharType="separate"/>
      </w:r>
      <w:r w:rsidR="002D7959" w:rsidRPr="002D7959">
        <w:rPr>
          <w:rFonts w:asciiTheme="majorBidi" w:hAnsiTheme="majorBidi" w:cstheme="majorBidi"/>
          <w:noProof/>
          <w:sz w:val="24"/>
          <w:szCs w:val="24"/>
        </w:rPr>
        <w:t>(Kincade, Abrams, Astafiev, Shulman, &amp; Corbetta, 2005; Lanssens, Pizzamiglio, Mantini, &amp; Gillebert, 2020)</w:t>
      </w:r>
      <w:r>
        <w:rPr>
          <w:rFonts w:asciiTheme="majorBidi" w:hAnsiTheme="majorBidi" w:cstheme="majorBidi"/>
          <w:sz w:val="24"/>
          <w:szCs w:val="24"/>
        </w:rPr>
        <w:fldChar w:fldCharType="end"/>
      </w:r>
      <w:r>
        <w:rPr>
          <w:rFonts w:asciiTheme="majorBidi" w:hAnsiTheme="majorBidi" w:cstheme="majorBidi"/>
          <w:sz w:val="24"/>
          <w:szCs w:val="24"/>
        </w:rPr>
        <w:t xml:space="preserve">. </w:t>
      </w:r>
    </w:p>
    <w:p w14:paraId="25F0D905" w14:textId="2FD3AA3F" w:rsidR="00260E0E" w:rsidRDefault="00260E0E" w:rsidP="00260E0E">
      <w:pPr>
        <w:pStyle w:val="NoSpacing"/>
        <w:spacing w:before="240" w:after="24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 significant main effect for valence was found in a neural network comprised of five clusters (Table S1). Activation reflecting threat &gt; neutral was found in the FFA, whereas activation reflecting neutral &gt; threat was found in regions comprising the visual network (VN) and the somatomotor network (SMN)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{"citationItems":[{"id":"ITEM-1","itemData":{"DOI":"10.1152/jn.00338.2011","ISSN":"00223077","PMID":"21653723","abstract":"Information processing in the cerebral cortex involves interactions among distributed areas. Anatomical connectivity suggests that certain areas form local hierarchical relations such as within the visual system. Other connectivity patterns, particularly among association areas, suggest the presence of large-scale circuits without clear hierarchical relations. In this study the organization of networks in the human cerebrum was explored using resting-state functional connectivity MRI. Data from 1,000 subjects were registered using surfacebased alignment. A clustering approach was employed to identify and replicate networks of functionally coupled regions across the cerebral cortex. The results revealed local networks confined to sensory and motor cortices as well as distributed networks of association regions. Within the sensory and motor cortices, functional connectivity followed topographic representations across adjacent areas. In association cortex, the connectivity patterns often showed abrupt transitions between network boundaries. Focused analyses were performed to better understand properties of network connectivity. A canonical sensory-motor pathway involving primary visual area, putative middle temporal area complex (MT+), lateral intraparietal area, and frontal eye field was analyzed to explore how interactions might arise within and between networks. Results showed that adjacent regions of the MT+ complex demonstrate differential connectivity consistent with a hierarchical pathway that spans networks. The functional connectivity of parietal and prefrontal association cortices was next explored. Distinct connectivity profiles of neighboring regions suggest they participate in distributed networks that, while showing evidence for interactions, are embedded within largely parallel, interdigitated circuits. We conclude by discussing the organization of these large-scale cerebral networks in relation to monkey anatomy and their potential evolutionary expansion in humans to support cognition. © 2011 the American Physiological Society.","author":[{"dropping-particle":"","family":"Yeo","given":"BT.","non-dropping-particle":"","parse-names":false,"suffix":""},{"dropping-particle":"","family":"Krienen","given":"Fenna M.","non-dropping-particle":"","parse-names":false,"suffix":""},{"dropping-particle":"","family":"Sepulcre","given":"Jorge","non-dropping-particle":"","parse-names":false,"suffix":""},{"dropping-particle":"","family":"Sabuncu","given":"Mert R.","non-dropping-particle":"","parse-names":false,"suffix":""},{"dropping-particle":"","family":"Lashkari","given":"Danial","non-dropping-particle":"","parse-names":false,"suffix":""},{"dropping-particle":"","family":"Hollinshead","given":"Marisa","non-dropping-particle":"","parse-names":false,"suffix":""},{"dropping-particle":"","family":"Roffman","given":"Joshua L.","non-dropping-particle":"","parse-names":false,"suffix":""},{"dropping-particle":"","family":"Smoller","given":"Jordan W.","non-dropping-particle":"","parse-names":false,"suffix":""},{"dropping-particle":"","family":"Zöllei","given":"Lilla","non-dropping-particle":"","parse-names":false,"suffix":""},{"dropping-particle":"","family":"Polimeni","given":"Jonathan R.","non-dropping-particle":"","parse-names":false,"suffix":""},{"dropping-particle":"","family":"Fisch","given":"Bruce","non-dropping-particle":"","parse-names":false,"suffix":""},{"dropping-particle":"","family":"Liu","given":"Hesheng","non-dropping-particle":"","parse-names":false,"suffix":""},{"dropping-particle":"","family":"Buckner","given":"Randy L.","non-dropping-particle":"","parse-names":false,"suffix":""}],"container-title":"Journal of Neurophysiology","id":"ITEM-1","issue":"3","issued":{"date-parts":[["2011","9"]]},"page":"1125-1165","publisher":"American Physiological Society Bethesda, MD","title":"The organization of the human cerebral cortex estimated by intrinsic functional connectivity","type":"article-journal","volume":"106"},"uris":["http://www.mendeley.com/documents/?uuid=e257d506-0123-3c2e-ac0b-719442fc0c9c"]}],"mendeley":{"formattedCitation":"(Yeo et al., 2011)","plainTextFormattedCitation":"(Yeo et al., 2011)","previouslyFormattedCitation":"(Yeo et al., 2011)"},"properties":{"noteIndex":0},"schema":"https://github.com/citation-style-language/schema/raw/master/csl-citation.json"}</w:instrText>
      </w:r>
      <w:r>
        <w:rPr>
          <w:rFonts w:asciiTheme="majorBidi" w:hAnsiTheme="majorBidi" w:cstheme="majorBidi"/>
          <w:sz w:val="24"/>
          <w:szCs w:val="24"/>
        </w:rPr>
        <w:fldChar w:fldCharType="separate"/>
      </w:r>
      <w:r w:rsidRPr="002C2D81">
        <w:rPr>
          <w:rFonts w:asciiTheme="majorBidi" w:hAnsiTheme="majorBidi" w:cstheme="majorBidi"/>
          <w:noProof/>
          <w:sz w:val="24"/>
          <w:szCs w:val="24"/>
        </w:rPr>
        <w:t>(Yeo et al., 2011)</w:t>
      </w:r>
      <w:r>
        <w:rPr>
          <w:rFonts w:asciiTheme="majorBidi" w:hAnsiTheme="majorBidi" w:cstheme="majorBidi"/>
          <w:sz w:val="24"/>
          <w:szCs w:val="24"/>
        </w:rPr>
        <w:fldChar w:fldCharType="end"/>
      </w:r>
      <w:r>
        <w:rPr>
          <w:rFonts w:asciiTheme="majorBidi" w:hAnsiTheme="majorBidi" w:cstheme="majorBidi"/>
          <w:sz w:val="24"/>
          <w:szCs w:val="24"/>
        </w:rPr>
        <w:t xml:space="preserve"> (Figures S2 and S3). Previous reports suggest that threat affects FFA activation </w:t>
      </w:r>
      <w:r>
        <w:rPr>
          <w:rFonts w:asciiTheme="majorBidi" w:hAnsiTheme="majorBidi" w:cstheme="majorBidi"/>
          <w:sz w:val="24"/>
          <w:szCs w:val="24"/>
        </w:rPr>
        <w:fldChar w:fldCharType="begin" w:fldLock="1"/>
      </w:r>
      <w:r w:rsidR="000564FF">
        <w:rPr>
          <w:rFonts w:asciiTheme="majorBidi" w:hAnsiTheme="majorBidi" w:cstheme="majorBidi"/>
          <w:sz w:val="24"/>
          <w:szCs w:val="24"/>
        </w:rPr>
        <w:instrText>ADDIN CSL_CITATION {"citationItems":[{"id":"ITEM-1","itemData":{"DOI":"10.1001/archgenpsychiatry.2008.525","ISSN":"0003990X","PMID":"19188539","abstract":"Context: Social anxiety disorder is thought to involve emotional hyperreactivity, cognitive distortions, and ineffective emotion regulation. While the neural bases of emotional reactivity to social stimuli have been described, the neural bases of emotional reactivity and cognitive regulation during social and physical threat, and their relationship to social anxiety symptom severity, have yet to be investigated. Objective: To investigate behavioral and neural correlates of emotional reactivity and cognitive regulation in patients and controls during processing of social and physical threat stimuli. Design: Participants were trained to implement cognitive- linguistic regulation of emotional reactivity induced by social (harsh facial expressions) and physical (violent scenes) threat while undergoing functional magnetic resonance imaging and providing behavioral ratings of negative emotion experience. Setting: Academic psychology department. Participants: Fifteen adults with social anxiety disorder and 17 demographically matched healthy controls. Main Outcome Measures: Blood oxygen level-dependent signal and negative emotion ratings. Results: Behaviorally, patients reported greater negative emotion than controls during social and physical threat but showed equivalent reduction in negative emotion following cognitive regulation. Neurally, viewing social threat resulted in greater emotion-related neural responses in patients than controls, with social anxiety symptom severity related to activity in a network of emotion-and attention-processing regions in patients only. Viewing physical threat produced no between-group differences. Regulation during social threat resulted in greater cognitive and attention regulation-related brain activation in controls compared with patients. Regulation during physical threat produced greater cognitive control-related response (ie, right dorsolateral prefrontal cortex) in patients compared with controls. Conclusions: Compared with controls, patients demonstrated exaggerated negative emotion reactivity and reduced cognitive regulation-related neural activation, specifically for social threat stimuli. These findings help to elucidate potential neural mechanisms of emotion regulation that might serve as biomarkers for interventions for social anxiety disorder. © 2009 American Medical Association. All rights reserved.","author":[{"dropping-particle":"","family":"Goldin","given":"Philippe R.","non-dropping-particle":"","parse-names":false,"suffix":""},{"dropping-particle":"","family":"Manber","given":"Tali","non-dropping-particle":"","parse-names":false,"suffix":""},{"dropping-particle":"","family":"Hakimi","given":"Shabnam","non-dropping-particle":"","parse-names":false,"suffix":""},{"dropping-particle":"","family":"Canli","given":"Turhan","non-dropping-particle":"","parse-names":false,"suffix":""},{"dropping-particle":"","family":"Gross","given":"James J.","non-dropping-particle":"","parse-names":false,"suffix":""}],"container-title":"Archives of General Psychiatry","id":"ITEM-1","issue":"2","issued":{"date-parts":[["2009","2","1"]]},"page":"170-180","publisher":"American Medical Association","title":"Neural bases of social anxiety disorder: Emotional reactivity and cognitive regulation during social and physical threat","type":"article-journal","volume":"66"},"uris":["http://www.mendeley.com/documents/?uuid=60da1f8f-99a0-3b27-9090-6a6072f856f4"]},{"id":"ITEM-2","itemData":{"DOI":"10.1016/J.NEUROIMAGE.2010.08.012","ISSN":"1053-8119","abstract":"Neuroscientific research on the perception of emotional signals has mainly focused on how the brain processes threat signals from photographs of facial expressions. Much less is known about body postures or about the processing of dynamic images. We undertook a systematic comparison of the neurofunctional network dedicated to processing facial and bodily expressions. Two functional magnetic resonance imaging (fMRI) experiments investigated whether areas involved in processing social signals are activated differently by threatening signals (fear and anger) from facial or bodily expressions. The amygdala (AMG) was more active for facial than for bodily expressions. Body stimuli triggered higher activation than face stimuli in a number of areas. These were the cuneus, fusiform gyrus (FG), extrastriate body area (EBA), temporoparietal junction (TPJ), superior parietal lobule (SPL), primary somatosensory cortex (SI), as well as the thalamus. Emotion-specific effects were found in TPJ and FG for bodies and faces alike. EBA and superior temporal sulcus (STS) were more activated by threatening bodies. © 2010 Elsevier Inc.","author":[{"dropping-particle":"","family":"Kret","given":"M. E.","non-dropping-particle":"","parse-names":false,"suffix":""},{"dropping-particle":"","family":"Pichon","given":"S.","non-dropping-particle":"","parse-names":false,"suffix":""},{"dropping-particle":"","family":"Grèzes","given":"J.","non-dropping-particle":"","parse-names":false,"suffix":""},{"dropping-particle":"","family":"Gelder","given":"B.","non-dropping-particle":"De","parse-names":false,"suffix":""}],"container-title":"NeuroImage","id":"ITEM-2","issue":"2","issued":{"date-parts":[["2011","1","15"]]},"page":"1755-1762","publisher":"Academic Press","title":"Similarities and differences in perceiving threat from dynamic faces and bodies. An fMRI study","type":"article-journal","volume":"54"},"uris":["http://www.mendeley.com/documents/?uuid=e220b713-10ea-3e47-b322-9d670af8e506"]},{"id":"ITEM-3","itemData":{"DOI":"10.1080/17470910902801021","ISSN":"17470919","PMID":"19322727","abstract":"Successful human social interaction depends on the ability to make rapid decisions about complex socio-emotional signals conveyed via facial expression. A number of studies have shown that there ar...","author":[{"dropping-particle":"","family":"Beaton","given":"Elliott A.","non-dropping-particle":"","parse-names":false,"suffix":""},{"dropping-particle":"","family":"Schmidt","given":"Louis A.","non-dropping-particle":"","parse-names":false,"suffix":""},{"dropping-particle":"","family":"Schulkin","given":"Jay","non-dropping-particle":"","parse-names":false,"suffix":""},{"dropping-particle":"","family":"Antony","given":"Martin M.","non-dropping-particle":"","parse-names":false,"suffix":""},{"dropping-particle":"","family":"Swinson","given":"Richard P.","non-dropping-particle":"","parse-names":false,"suffix":""},{"dropping-particle":"","family":"Hall","given":"Geoffrey B.","non-dropping-particle":"","parse-names":false,"suffix":""}],"container-title":"SOCIAL NEUROSCIENCE","id":"ITEM-3","issue":"4","issued":{"date-parts":[["2009"]]},"page":"308-316","publisher":"\n            Taylor &amp; Francis Group\n         ","title":"Different fusiform activity to stranger and personally familiar faces in shy and social adults","type":"article-journal","volume":"4"},"uris":["http://www.mendeley.com/documents/?uuid=4a524981-dd99-3800-b85c-c0704a13fe91"]},{"id":"ITEM-4","itemData":{"DOI":"10.1002/HBM.21406","ISSN":"1097-0193","PMID":"21932258","abstract":"Regions of the fusiform gyrus (FG) respond preferentially to faces over other classes of visual stimuli. It remains unclear whether emotional face information modulates FG activity. In the present study, whole-head magnetoencephalography (MEG) was obtained from fifteen healthy adults who viewed emotionally expressive faces and made button responses based upon emotion (explicit condition) or age (implicit condition). Dipole source modeling produced source waveforms for left and right primary visual and left and right fusiform areas. Stronger left FG activity (M170) to fearful than happy or neutral faces was observed only in the explicit task, suggesting that directed attention to the emotional content of faces facilitates observation of M170 valence modulation. A strong association between M170 FG activity and reaction times in the explicit task provided additional evidence for a role of the fusiform gyrus in processing emotional information. © 2011 Wiley Periodicals, Inc.","author":[{"dropping-particle":"","family":"Monroe","given":"Justin F.","non-dropping-particle":"","parse-names":false,"suffix":""},{"dropping-particle":"","family":"Griffin","given":"Mark","non-dropping-particle":"","parse-names":false,"suffix":""},{"dropping-particle":"","family":"Pinkham","given":"Amy","non-dropping-particle":"","parse-names":false,"suffix":""},{"dropping-particle":"","family":"Loughead","given":"James","non-dropping-particle":"","parse-names":false,"suffix":""},{"dropping-particle":"","family":"Gur","given":"Ruben C.","non-dropping-particle":"","parse-names":false,"suffix":""},{"dropping-particle":"","family":"Roberts","given":"Timothy P.L.","non-dropping-particle":"","parse-names":false,"suffix":""},{"dropping-particle":"","family":"Christopher Edgar","given":"J.","non-dropping-particle":"","parse-names":false,"suffix":""}],"container-title":"Human Brain Mapping","id":"ITEM-4","issue":"1","issued":{"date-parts":[["2013","1","1"]]},"page":"1-11","publisher":"John Wiley &amp; Sons, Ltd","title":"The fusiform response to faces: Explicit versus implicit processing of emotion","type":"article-journal","volume":"34"},"uris":["http://www.mendeley.com/documents/?uuid=083adbf9-cdd5-3670-a6b1-310a7a8c607c"]}],"mendeley":{"formattedCitation":"(Beaton et al., 2009; Goldin, Manber, Hakimi, Canli, &amp; Gross, 2009; Kret, Pichon, Grèzes, &amp; De Gelder, 2011; Monroe et al., 2013)","plainTextFormattedCitation":"(Beaton et al., 2009; Goldin, Manber, Hakimi, Canli, &amp; Gross, 2009; Kret, Pichon, Grèzes, &amp; De Gelder, 2011; Monroe et al., 2013)","previouslyFormattedCitation":"(Beaton et al., 2009; Goldin, Manber, Hakimi, Canli, &amp; Gross, 2009; Kret, Pichon, Grèzes, &amp; De Gelder, 2011; Monroe et al., 2013)"},"properties":{"noteIndex":0},"schema":"https://github.com/citation-style-language/schema/raw/master/csl-citation.json"}</w:instrText>
      </w:r>
      <w:r>
        <w:rPr>
          <w:rFonts w:asciiTheme="majorBidi" w:hAnsiTheme="majorBidi" w:cstheme="majorBidi"/>
          <w:sz w:val="24"/>
          <w:szCs w:val="24"/>
        </w:rPr>
        <w:fldChar w:fldCharType="separate"/>
      </w:r>
      <w:r w:rsidR="002D7959" w:rsidRPr="002D7959">
        <w:rPr>
          <w:rFonts w:asciiTheme="majorBidi" w:hAnsiTheme="majorBidi" w:cstheme="majorBidi"/>
          <w:noProof/>
          <w:sz w:val="24"/>
          <w:szCs w:val="24"/>
          <w:lang w:val="da-DK"/>
        </w:rPr>
        <w:t>(Beaton et al., 2009; Goldin, Manber, Hakimi, Canli, &amp; Gross, 2009; Kret, Pichon, Grèzes, &amp; De Gelder, 2011; Monroe et al., 2013)</w:t>
      </w:r>
      <w:r>
        <w:rPr>
          <w:rFonts w:asciiTheme="majorBidi" w:hAnsiTheme="majorBidi" w:cstheme="majorBidi"/>
          <w:sz w:val="24"/>
          <w:szCs w:val="24"/>
        </w:rPr>
        <w:fldChar w:fldCharType="end"/>
      </w:r>
      <w:r w:rsidRPr="00217BD0">
        <w:rPr>
          <w:rFonts w:asciiTheme="majorBidi" w:hAnsiTheme="majorBidi" w:cstheme="majorBidi"/>
          <w:sz w:val="24"/>
          <w:szCs w:val="24"/>
          <w:lang w:val="da-DK"/>
        </w:rPr>
        <w:t xml:space="preserve">. </w:t>
      </w:r>
      <w:r>
        <w:rPr>
          <w:rFonts w:asciiTheme="majorBidi" w:hAnsiTheme="majorBidi" w:cstheme="majorBidi"/>
          <w:sz w:val="24"/>
          <w:szCs w:val="24"/>
        </w:rPr>
        <w:t xml:space="preserve">The greater activation of the VN </w:t>
      </w:r>
      <w:r>
        <w:rPr>
          <w:rFonts w:asciiTheme="majorBidi" w:hAnsiTheme="majorBidi" w:cstheme="majorBidi"/>
          <w:sz w:val="24"/>
          <w:szCs w:val="24"/>
        </w:rPr>
        <w:lastRenderedPageBreak/>
        <w:t xml:space="preserve">and SMN may be related to patients’ reduced avoidance in the </w:t>
      </w:r>
      <w:r w:rsidR="00053985">
        <w:rPr>
          <w:rFonts w:asciiTheme="majorBidi" w:hAnsiTheme="majorBidi" w:cstheme="majorBidi"/>
          <w:sz w:val="24"/>
          <w:szCs w:val="24"/>
        </w:rPr>
        <w:t>presence</w:t>
      </w:r>
      <w:r>
        <w:rPr>
          <w:rFonts w:asciiTheme="majorBidi" w:hAnsiTheme="majorBidi" w:cstheme="majorBidi"/>
          <w:sz w:val="24"/>
          <w:szCs w:val="24"/>
        </w:rPr>
        <w:t xml:space="preserve"> of neutral compared to threat faces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{"citationItems":[{"id":"ITEM-1","itemData":{"DOI":"10.1016/j.cpr.2010.05.001","ISBN":"1873-7811 (Electronic)\\n0272-7358 (Linking)","ISSN":"02727358","PMID":"20554362","abstract":"A threatening facial expression is a potent social sign of hostility or dominance. During the past 20. years, photographs of threatening faces have been increasingly included as stimuli in studies with socially anxious participants, based on the hypothesis that a threatening face is especially salient to people with fears of social interaction or negative evaluation. The purpose of this literature review is to systematically evaluate the accumulated research and suggest possible avenues for further research. The main conclusion is that photographs of threatening faces engage a broad range of perceptual processes in socially anxious participants, particularly when exposure times are very short. © 2010 Elsevier Ltd.","author":[{"dropping-particle":"","family":"Staugaard","given":"Søren Risløv","non-dropping-particle":"","parse-names":false,"suffix":""}],"container-title":"Clinical Psychology Review","id":"ITEM-1","issue":"6","issued":{"date-parts":[["2010"]]},"page":"669-690","title":"Threatening faces and social anxiety: A literature review","type":"article","volume":"30"},"uris":["http://www.mendeley.com/documents/?uuid=d3de249d-7d39-3dc7-a9fb-bc7ee104672b"]}],"mendeley":{"formattedCitation":"(Staugaard, 2010)","plainTextFormattedCitation":"(Staugaard, 2010)","previouslyFormattedCitation":"(Staugaard, 2010)"},"properties":{"noteIndex":0},"schema":"https://github.com/citation-style-language/schema/raw/master/csl-citation.json"}</w:instrText>
      </w:r>
      <w:r>
        <w:rPr>
          <w:rFonts w:asciiTheme="majorBidi" w:hAnsiTheme="majorBidi" w:cstheme="majorBidi"/>
          <w:sz w:val="24"/>
          <w:szCs w:val="24"/>
        </w:rPr>
        <w:fldChar w:fldCharType="separate"/>
      </w:r>
      <w:r w:rsidRPr="00A011A7">
        <w:rPr>
          <w:rFonts w:asciiTheme="majorBidi" w:hAnsiTheme="majorBidi" w:cstheme="majorBidi"/>
          <w:noProof/>
          <w:sz w:val="24"/>
          <w:szCs w:val="24"/>
        </w:rPr>
        <w:t>(Staugaard, 2010)</w:t>
      </w:r>
      <w:r>
        <w:rPr>
          <w:rFonts w:asciiTheme="majorBidi" w:hAnsiTheme="majorBidi" w:cstheme="majorBidi"/>
          <w:sz w:val="24"/>
          <w:szCs w:val="24"/>
        </w:rPr>
        <w:fldChar w:fldCharType="end"/>
      </w:r>
      <w:r>
        <w:rPr>
          <w:rFonts w:asciiTheme="majorBidi" w:hAnsiTheme="majorBidi" w:cstheme="majorBidi"/>
          <w:sz w:val="24"/>
          <w:szCs w:val="24"/>
        </w:rPr>
        <w:t xml:space="preserve">, resulting in greater visual and motor processing required for task performance. </w:t>
      </w:r>
    </w:p>
    <w:p w14:paraId="73EB9016" w14:textId="23C2546F" w:rsidR="00217BD0" w:rsidRDefault="00260E0E" w:rsidP="00260E0E">
      <w:pPr>
        <w:pStyle w:val="NoSpacing"/>
        <w:spacing w:before="240" w:after="240" w:line="480" w:lineRule="auto"/>
        <w:ind w:firstLine="720"/>
        <w:jc w:val="both"/>
        <w:rPr>
          <w:rFonts w:asciiTheme="majorBidi" w:hAnsiTheme="majorBidi" w:cstheme="majorBidi"/>
          <w:sz w:val="24"/>
          <w:szCs w:val="24"/>
        </w:rPr>
      </w:pPr>
      <w:r>
        <w:rPr>
          <w:rFonts w:asciiTheme="majorBidi" w:hAnsiTheme="majorBidi" w:cstheme="majorBidi"/>
          <w:sz w:val="24"/>
          <w:szCs w:val="24"/>
        </w:rPr>
        <w:t>No significant clusters were found for the attention-by-valence interaction effect, and n</w:t>
      </w:r>
      <w:r w:rsidRPr="00552C87">
        <w:rPr>
          <w:rFonts w:asciiTheme="majorBidi" w:hAnsiTheme="majorBidi" w:cstheme="majorBidi"/>
          <w:sz w:val="24"/>
          <w:szCs w:val="24"/>
        </w:rPr>
        <w:t xml:space="preserve">o </w:t>
      </w:r>
      <w:r>
        <w:rPr>
          <w:rFonts w:asciiTheme="majorBidi" w:hAnsiTheme="majorBidi" w:cstheme="majorBidi"/>
          <w:sz w:val="24"/>
          <w:szCs w:val="24"/>
        </w:rPr>
        <w:t xml:space="preserve">significant </w:t>
      </w:r>
      <w:r w:rsidRPr="00552C87">
        <w:rPr>
          <w:rFonts w:asciiTheme="majorBidi" w:hAnsiTheme="majorBidi" w:cstheme="majorBidi"/>
          <w:sz w:val="24"/>
          <w:szCs w:val="24"/>
        </w:rPr>
        <w:t xml:space="preserve">differences were found between treatment completers and non-completers </w:t>
      </w:r>
      <w:r>
        <w:rPr>
          <w:rFonts w:asciiTheme="majorBidi" w:hAnsiTheme="majorBidi" w:cstheme="majorBidi"/>
          <w:sz w:val="24"/>
          <w:szCs w:val="24"/>
        </w:rPr>
        <w:t>for</w:t>
      </w:r>
      <w:r w:rsidRPr="00552C87">
        <w:rPr>
          <w:rFonts w:asciiTheme="majorBidi" w:hAnsiTheme="majorBidi" w:cstheme="majorBidi"/>
          <w:sz w:val="24"/>
          <w:szCs w:val="24"/>
        </w:rPr>
        <w:t xml:space="preserve"> these </w:t>
      </w:r>
      <w:r>
        <w:rPr>
          <w:rFonts w:asciiTheme="majorBidi" w:hAnsiTheme="majorBidi" w:cstheme="majorBidi"/>
          <w:sz w:val="24"/>
          <w:szCs w:val="24"/>
        </w:rPr>
        <w:t>pre-treatment</w:t>
      </w:r>
      <w:r w:rsidRPr="00552C87">
        <w:rPr>
          <w:rFonts w:asciiTheme="majorBidi" w:hAnsiTheme="majorBidi" w:cstheme="majorBidi"/>
          <w:sz w:val="24"/>
          <w:szCs w:val="24"/>
        </w:rPr>
        <w:t xml:space="preserve"> neural responses.</w:t>
      </w:r>
      <w:r w:rsidR="00217BD0">
        <w:rPr>
          <w:rFonts w:asciiTheme="majorBidi" w:hAnsiTheme="majorBidi" w:cstheme="majorBidi"/>
          <w:sz w:val="24"/>
          <w:szCs w:val="24"/>
        </w:rPr>
        <w:t xml:space="preserve"> </w:t>
      </w:r>
    </w:p>
    <w:p w14:paraId="29203534" w14:textId="2CFAE73C" w:rsidR="0060305C" w:rsidRDefault="0060305C">
      <w:pPr>
        <w:pStyle w:val="NoSpacing"/>
        <w:spacing w:before="240" w:after="240" w:line="480" w:lineRule="auto"/>
        <w:ind w:firstLine="720"/>
        <w:jc w:val="both"/>
        <w:rPr>
          <w:rFonts w:asciiTheme="majorBidi" w:hAnsiTheme="majorBidi" w:cstheme="majorBidi"/>
          <w:sz w:val="24"/>
          <w:szCs w:val="24"/>
        </w:rPr>
      </w:pPr>
    </w:p>
    <w:p w14:paraId="44C49BBC" w14:textId="53ADC765" w:rsidR="009B589E" w:rsidRDefault="003152D7" w:rsidP="00F020D7">
      <w:pPr>
        <w:rPr>
          <w:rFonts w:asciiTheme="majorBidi" w:hAnsiTheme="majorBidi" w:cstheme="majorBidi"/>
          <w:b/>
          <w:bCs/>
          <w:sz w:val="24"/>
          <w:szCs w:val="24"/>
        </w:rPr>
      </w:pPr>
      <w:r>
        <w:rPr>
          <w:rFonts w:asciiTheme="majorBidi" w:hAnsiTheme="majorBidi" w:cstheme="majorBidi"/>
          <w:b/>
          <w:bCs/>
          <w:sz w:val="24"/>
          <w:szCs w:val="24"/>
        </w:rPr>
        <w:br w:type="page"/>
      </w:r>
    </w:p>
    <w:p w14:paraId="493E1458" w14:textId="77777777" w:rsidR="00260E0E" w:rsidRPr="007761D1" w:rsidRDefault="00260E0E" w:rsidP="00260E0E">
      <w:pPr>
        <w:pStyle w:val="NoSpacing"/>
        <w:spacing w:before="240" w:after="240" w:line="480" w:lineRule="auto"/>
        <w:jc w:val="both"/>
        <w:rPr>
          <w:rFonts w:asciiTheme="majorBidi" w:hAnsiTheme="majorBidi" w:cstheme="majorBidi"/>
          <w:sz w:val="24"/>
          <w:szCs w:val="24"/>
        </w:rPr>
      </w:pPr>
      <w:r w:rsidRPr="006B10B0">
        <w:rPr>
          <w:rFonts w:asciiTheme="majorBidi" w:hAnsiTheme="majorBidi" w:cstheme="majorBidi"/>
          <w:b/>
          <w:bCs/>
          <w:sz w:val="24"/>
          <w:szCs w:val="24"/>
        </w:rPr>
        <w:lastRenderedPageBreak/>
        <w:t xml:space="preserve">Table </w:t>
      </w:r>
      <w:r>
        <w:rPr>
          <w:rFonts w:asciiTheme="majorBidi" w:hAnsiTheme="majorBidi" w:cstheme="majorBidi"/>
          <w:b/>
          <w:bCs/>
          <w:sz w:val="24"/>
          <w:szCs w:val="24"/>
        </w:rPr>
        <w:t>S</w:t>
      </w:r>
      <w:r w:rsidRPr="006B10B0">
        <w:rPr>
          <w:rFonts w:asciiTheme="majorBidi" w:hAnsiTheme="majorBidi" w:cstheme="majorBidi"/>
          <w:b/>
          <w:bCs/>
          <w:sz w:val="24"/>
          <w:szCs w:val="24"/>
        </w:rPr>
        <w:t xml:space="preserve">1. </w:t>
      </w:r>
      <w:r>
        <w:rPr>
          <w:rFonts w:asciiTheme="majorBidi" w:hAnsiTheme="majorBidi" w:cstheme="majorBidi"/>
          <w:sz w:val="24"/>
          <w:szCs w:val="24"/>
        </w:rPr>
        <w:t>Significant clusters emerged for ANOVA main effect of attention (toward face, away from face) and valence (threat, neutral)</w:t>
      </w:r>
      <w:bookmarkStart w:id="1" w:name="_Hlk120983026"/>
      <w:r>
        <w:rPr>
          <w:rFonts w:asciiTheme="majorBidi" w:hAnsiTheme="majorBidi" w:cstheme="majorBidi"/>
          <w:sz w:val="24"/>
          <w:szCs w:val="24"/>
        </w:rPr>
        <w:t xml:space="preserve"> at pre-treatment.</w:t>
      </w:r>
      <w:r w:rsidRPr="007761D1">
        <w:rPr>
          <w:rFonts w:asciiTheme="majorBidi" w:hAnsiTheme="majorBidi" w:cstheme="majorBidi"/>
          <w:sz w:val="24"/>
          <w:szCs w:val="24"/>
        </w:rPr>
        <w:t xml:space="preserve"> </w:t>
      </w:r>
      <w:r>
        <w:rPr>
          <w:rFonts w:asciiTheme="majorBidi" w:hAnsiTheme="majorBidi" w:cstheme="majorBidi"/>
          <w:sz w:val="24"/>
          <w:szCs w:val="24"/>
        </w:rPr>
        <w:t xml:space="preserve">DAN, dorsal attention network; PFC, prefrontal cortex; FFA, fusiform face area; VN, visual network; SMN, </w:t>
      </w:r>
      <w:r w:rsidRPr="002A2F18">
        <w:rPr>
          <w:rFonts w:asciiTheme="majorBidi" w:hAnsiTheme="majorBidi" w:cstheme="majorBidi"/>
          <w:sz w:val="24"/>
          <w:szCs w:val="24"/>
        </w:rPr>
        <w:t>somatomotor network</w:t>
      </w:r>
      <w:r>
        <w:rPr>
          <w:rFonts w:asciiTheme="majorBidi" w:hAnsiTheme="majorBidi" w:cstheme="majorBidi"/>
          <w:sz w:val="24"/>
          <w:szCs w:val="24"/>
        </w:rPr>
        <w:t>; MNI, M</w:t>
      </w:r>
      <w:r w:rsidRPr="002C01DB">
        <w:rPr>
          <w:rFonts w:asciiTheme="majorBidi" w:hAnsiTheme="majorBidi" w:cstheme="majorBidi"/>
          <w:sz w:val="24"/>
          <w:szCs w:val="24"/>
        </w:rPr>
        <w:t xml:space="preserve">ontreal </w:t>
      </w:r>
      <w:r>
        <w:rPr>
          <w:rFonts w:asciiTheme="majorBidi" w:hAnsiTheme="majorBidi" w:cstheme="majorBidi"/>
          <w:sz w:val="24"/>
          <w:szCs w:val="24"/>
        </w:rPr>
        <w:t>n</w:t>
      </w:r>
      <w:r w:rsidRPr="002C01DB">
        <w:rPr>
          <w:rFonts w:asciiTheme="majorBidi" w:hAnsiTheme="majorBidi" w:cstheme="majorBidi"/>
          <w:sz w:val="24"/>
          <w:szCs w:val="24"/>
        </w:rPr>
        <w:t xml:space="preserve">eurological </w:t>
      </w:r>
      <w:r>
        <w:rPr>
          <w:rFonts w:asciiTheme="majorBidi" w:hAnsiTheme="majorBidi" w:cstheme="majorBidi"/>
          <w:sz w:val="24"/>
          <w:szCs w:val="24"/>
        </w:rPr>
        <w:t>i</w:t>
      </w:r>
      <w:r w:rsidRPr="002C01DB">
        <w:rPr>
          <w:rFonts w:asciiTheme="majorBidi" w:hAnsiTheme="majorBidi" w:cstheme="majorBidi"/>
          <w:sz w:val="24"/>
          <w:szCs w:val="24"/>
        </w:rPr>
        <w:t>nstitute</w:t>
      </w:r>
      <w:bookmarkEnd w:id="1"/>
      <w:r>
        <w:rPr>
          <w:rFonts w:asciiTheme="majorBidi" w:hAnsiTheme="majorBidi" w:cstheme="majorBidi"/>
          <w:sz w:val="24"/>
          <w:szCs w:val="24"/>
        </w:rPr>
        <w:t>.</w:t>
      </w:r>
    </w:p>
    <w:p w14:paraId="6D9F4FE7" w14:textId="77777777" w:rsidR="00260E0E" w:rsidRDefault="00260E0E" w:rsidP="00260E0E">
      <w:pPr>
        <w:pStyle w:val="NoSpacing"/>
        <w:spacing w:before="240" w:after="240" w:line="480" w:lineRule="auto"/>
        <w:jc w:val="both"/>
        <w:rPr>
          <w:rFonts w:asciiTheme="majorBidi" w:hAnsiTheme="majorBidi" w:cstheme="majorBidi"/>
          <w:sz w:val="24"/>
          <w:szCs w:val="24"/>
        </w:rPr>
      </w:pPr>
    </w:p>
    <w:tbl>
      <w:tblPr>
        <w:tblStyle w:val="TableGrid"/>
        <w:tblW w:w="9450" w:type="dxa"/>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1980"/>
        <w:gridCol w:w="2070"/>
        <w:gridCol w:w="2250"/>
        <w:gridCol w:w="1350"/>
        <w:gridCol w:w="1800"/>
      </w:tblGrid>
      <w:tr w:rsidR="00260E0E" w:rsidRPr="00C64DF1" w14:paraId="33AB8486" w14:textId="77777777" w:rsidTr="00907337">
        <w:tc>
          <w:tcPr>
            <w:tcW w:w="1980" w:type="dxa"/>
            <w:vAlign w:val="center"/>
          </w:tcPr>
          <w:p w14:paraId="13C94C41" w14:textId="77777777" w:rsidR="00260E0E" w:rsidRPr="00C64DF1" w:rsidRDefault="00260E0E" w:rsidP="00907337">
            <w:pPr>
              <w:pStyle w:val="NoSpacing"/>
              <w:spacing w:before="240" w:after="240"/>
              <w:rPr>
                <w:rFonts w:asciiTheme="majorBidi" w:hAnsiTheme="majorBidi" w:cstheme="majorBidi"/>
                <w:b/>
                <w:bCs/>
                <w:sz w:val="24"/>
                <w:szCs w:val="24"/>
              </w:rPr>
            </w:pPr>
            <w:r>
              <w:rPr>
                <w:rFonts w:asciiTheme="majorBidi" w:hAnsiTheme="majorBidi" w:cstheme="majorBidi"/>
                <w:b/>
                <w:bCs/>
                <w:sz w:val="24"/>
                <w:szCs w:val="24"/>
              </w:rPr>
              <w:t xml:space="preserve">Effect </w:t>
            </w:r>
          </w:p>
        </w:tc>
        <w:tc>
          <w:tcPr>
            <w:tcW w:w="2070" w:type="dxa"/>
            <w:vAlign w:val="center"/>
          </w:tcPr>
          <w:p w14:paraId="2C7F0C7E" w14:textId="77777777" w:rsidR="00260E0E" w:rsidRPr="00C64DF1" w:rsidRDefault="00260E0E" w:rsidP="00907337">
            <w:pPr>
              <w:pStyle w:val="NoSpacing"/>
              <w:spacing w:before="240" w:after="240"/>
              <w:rPr>
                <w:rFonts w:asciiTheme="majorBidi" w:hAnsiTheme="majorBidi" w:cstheme="majorBidi"/>
                <w:b/>
                <w:bCs/>
                <w:sz w:val="24"/>
                <w:szCs w:val="24"/>
              </w:rPr>
            </w:pPr>
            <w:r w:rsidRPr="00322237">
              <w:rPr>
                <w:rFonts w:asciiTheme="majorBidi" w:hAnsiTheme="majorBidi" w:cstheme="majorBidi"/>
                <w:b/>
                <w:bCs/>
                <w:sz w:val="24"/>
                <w:szCs w:val="24"/>
              </w:rPr>
              <w:t>Region</w:t>
            </w:r>
          </w:p>
        </w:tc>
        <w:tc>
          <w:tcPr>
            <w:tcW w:w="2250" w:type="dxa"/>
            <w:vAlign w:val="center"/>
          </w:tcPr>
          <w:p w14:paraId="210EFE10" w14:textId="77777777" w:rsidR="00260E0E" w:rsidRPr="00C64DF1" w:rsidRDefault="00260E0E" w:rsidP="00907337">
            <w:pPr>
              <w:pStyle w:val="NoSpacing"/>
              <w:spacing w:before="240" w:after="240"/>
              <w:rPr>
                <w:rFonts w:asciiTheme="majorBidi" w:hAnsiTheme="majorBidi" w:cstheme="majorBidi"/>
                <w:b/>
                <w:bCs/>
                <w:sz w:val="24"/>
                <w:szCs w:val="24"/>
                <w:rtl/>
              </w:rPr>
            </w:pPr>
            <w:r w:rsidRPr="00C64DF1">
              <w:rPr>
                <w:rFonts w:asciiTheme="majorBidi" w:hAnsiTheme="majorBidi" w:cstheme="majorBidi"/>
                <w:b/>
                <w:bCs/>
                <w:sz w:val="24"/>
                <w:szCs w:val="24"/>
              </w:rPr>
              <w:t>MNI coordinates</w:t>
            </w:r>
          </w:p>
        </w:tc>
        <w:tc>
          <w:tcPr>
            <w:tcW w:w="1350" w:type="dxa"/>
            <w:vAlign w:val="center"/>
          </w:tcPr>
          <w:p w14:paraId="57357FCE" w14:textId="77777777" w:rsidR="00260E0E" w:rsidRPr="00C64DF1" w:rsidRDefault="00260E0E" w:rsidP="00907337">
            <w:pPr>
              <w:pStyle w:val="NoSpacing"/>
              <w:spacing w:before="240" w:after="240"/>
              <w:rPr>
                <w:rFonts w:asciiTheme="majorBidi" w:hAnsiTheme="majorBidi" w:cstheme="majorBidi"/>
                <w:b/>
                <w:bCs/>
                <w:sz w:val="24"/>
                <w:szCs w:val="24"/>
              </w:rPr>
            </w:pPr>
            <w:r w:rsidRPr="00C64DF1">
              <w:rPr>
                <w:rFonts w:asciiTheme="majorBidi" w:hAnsiTheme="majorBidi" w:cstheme="majorBidi"/>
                <w:b/>
                <w:bCs/>
                <w:sz w:val="24"/>
                <w:szCs w:val="24"/>
              </w:rPr>
              <w:t>Voxels</w:t>
            </w:r>
          </w:p>
        </w:tc>
        <w:tc>
          <w:tcPr>
            <w:tcW w:w="1800" w:type="dxa"/>
            <w:vAlign w:val="center"/>
          </w:tcPr>
          <w:p w14:paraId="3A74F36E" w14:textId="77777777" w:rsidR="00260E0E" w:rsidRPr="00C64DF1" w:rsidRDefault="00260E0E" w:rsidP="00907337">
            <w:pPr>
              <w:pStyle w:val="NoSpacing"/>
              <w:spacing w:before="240" w:after="240"/>
              <w:rPr>
                <w:rFonts w:asciiTheme="majorBidi" w:hAnsiTheme="majorBidi" w:cstheme="majorBidi"/>
                <w:b/>
                <w:bCs/>
                <w:sz w:val="24"/>
                <w:szCs w:val="24"/>
              </w:rPr>
            </w:pPr>
            <w:r w:rsidRPr="00C64DF1">
              <w:rPr>
                <w:rFonts w:asciiTheme="majorBidi" w:hAnsiTheme="majorBidi" w:cstheme="majorBidi"/>
                <w:b/>
                <w:bCs/>
                <w:sz w:val="24"/>
                <w:szCs w:val="24"/>
              </w:rPr>
              <w:t>Z-score (peak)</w:t>
            </w:r>
          </w:p>
        </w:tc>
      </w:tr>
      <w:tr w:rsidR="00260E0E" w:rsidRPr="00C64DF1" w14:paraId="3339B639" w14:textId="77777777" w:rsidTr="00907337">
        <w:tc>
          <w:tcPr>
            <w:tcW w:w="1980" w:type="dxa"/>
            <w:vAlign w:val="center"/>
          </w:tcPr>
          <w:p w14:paraId="5607E00C" w14:textId="77777777" w:rsidR="00260E0E" w:rsidRPr="00477690"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Attention</w:t>
            </w:r>
          </w:p>
        </w:tc>
        <w:tc>
          <w:tcPr>
            <w:tcW w:w="2070" w:type="dxa"/>
            <w:vAlign w:val="center"/>
          </w:tcPr>
          <w:p w14:paraId="072AFE43" w14:textId="77777777" w:rsidR="00260E0E" w:rsidRPr="00477690"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DAN</w:t>
            </w:r>
          </w:p>
        </w:tc>
        <w:tc>
          <w:tcPr>
            <w:tcW w:w="2250" w:type="dxa"/>
            <w:vAlign w:val="center"/>
          </w:tcPr>
          <w:p w14:paraId="1768F1E9" w14:textId="77777777" w:rsidR="00260E0E" w:rsidRPr="00477690" w:rsidRDefault="00260E0E" w:rsidP="00907337">
            <w:pPr>
              <w:pStyle w:val="NoSpacing"/>
              <w:spacing w:before="240" w:after="240"/>
              <w:rPr>
                <w:rFonts w:asciiTheme="majorBidi" w:hAnsiTheme="majorBidi" w:cstheme="majorBidi"/>
                <w:sz w:val="24"/>
                <w:szCs w:val="24"/>
              </w:rPr>
            </w:pPr>
            <w:r w:rsidRPr="00477690">
              <w:rPr>
                <w:rFonts w:asciiTheme="majorBidi" w:hAnsiTheme="majorBidi" w:cstheme="majorBidi"/>
                <w:sz w:val="24"/>
                <w:szCs w:val="24"/>
              </w:rPr>
              <w:t>-54 -62 -6</w:t>
            </w:r>
          </w:p>
        </w:tc>
        <w:tc>
          <w:tcPr>
            <w:tcW w:w="1350" w:type="dxa"/>
            <w:vAlign w:val="center"/>
          </w:tcPr>
          <w:p w14:paraId="30153982" w14:textId="77777777" w:rsidR="00260E0E" w:rsidRPr="00477690" w:rsidRDefault="00260E0E" w:rsidP="00907337">
            <w:pPr>
              <w:pStyle w:val="NoSpacing"/>
              <w:spacing w:before="240" w:after="240"/>
              <w:rPr>
                <w:rFonts w:asciiTheme="majorBidi" w:hAnsiTheme="majorBidi" w:cstheme="majorBidi"/>
                <w:sz w:val="24"/>
                <w:szCs w:val="24"/>
              </w:rPr>
            </w:pPr>
            <w:r w:rsidRPr="00477690">
              <w:rPr>
                <w:rFonts w:asciiTheme="majorBidi" w:hAnsiTheme="majorBidi" w:cstheme="majorBidi"/>
                <w:sz w:val="24"/>
                <w:szCs w:val="24"/>
              </w:rPr>
              <w:t>20684</w:t>
            </w:r>
          </w:p>
        </w:tc>
        <w:tc>
          <w:tcPr>
            <w:tcW w:w="1800" w:type="dxa"/>
            <w:vAlign w:val="center"/>
          </w:tcPr>
          <w:p w14:paraId="394BFD1B" w14:textId="77777777" w:rsidR="00260E0E" w:rsidRPr="00477690" w:rsidRDefault="00260E0E" w:rsidP="00907337">
            <w:pPr>
              <w:pStyle w:val="NoSpacing"/>
              <w:spacing w:before="240" w:after="240"/>
              <w:rPr>
                <w:rFonts w:asciiTheme="majorBidi" w:hAnsiTheme="majorBidi" w:cstheme="majorBidi"/>
                <w:sz w:val="24"/>
                <w:szCs w:val="24"/>
              </w:rPr>
            </w:pPr>
            <w:r w:rsidRPr="00477690">
              <w:rPr>
                <w:rFonts w:asciiTheme="majorBidi" w:hAnsiTheme="majorBidi" w:cstheme="majorBidi"/>
                <w:sz w:val="24"/>
                <w:szCs w:val="24"/>
              </w:rPr>
              <w:t>7.91</w:t>
            </w:r>
          </w:p>
        </w:tc>
      </w:tr>
      <w:tr w:rsidR="00260E0E" w:rsidRPr="00C64DF1" w14:paraId="0C30641B" w14:textId="77777777" w:rsidTr="00907337">
        <w:tc>
          <w:tcPr>
            <w:tcW w:w="1980" w:type="dxa"/>
            <w:vAlign w:val="center"/>
          </w:tcPr>
          <w:p w14:paraId="48107223" w14:textId="77777777" w:rsidR="00260E0E" w:rsidRDefault="00260E0E" w:rsidP="00907337">
            <w:pPr>
              <w:pStyle w:val="NoSpacing"/>
              <w:spacing w:before="240" w:after="240"/>
              <w:rPr>
                <w:rFonts w:asciiTheme="majorBidi" w:hAnsiTheme="majorBidi" w:cstheme="majorBidi"/>
                <w:sz w:val="24"/>
                <w:szCs w:val="24"/>
              </w:rPr>
            </w:pPr>
          </w:p>
        </w:tc>
        <w:tc>
          <w:tcPr>
            <w:tcW w:w="2070" w:type="dxa"/>
            <w:vAlign w:val="center"/>
          </w:tcPr>
          <w:p w14:paraId="39F782DB" w14:textId="77777777" w:rsidR="00260E0E"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DAN</w:t>
            </w:r>
          </w:p>
        </w:tc>
        <w:tc>
          <w:tcPr>
            <w:tcW w:w="2250" w:type="dxa"/>
            <w:vAlign w:val="center"/>
          </w:tcPr>
          <w:p w14:paraId="6763D2BD"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-28 -10 50</w:t>
            </w:r>
          </w:p>
        </w:tc>
        <w:tc>
          <w:tcPr>
            <w:tcW w:w="1350" w:type="dxa"/>
            <w:vAlign w:val="center"/>
          </w:tcPr>
          <w:p w14:paraId="7B988BED"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987</w:t>
            </w:r>
          </w:p>
        </w:tc>
        <w:tc>
          <w:tcPr>
            <w:tcW w:w="1800" w:type="dxa"/>
            <w:vAlign w:val="center"/>
          </w:tcPr>
          <w:p w14:paraId="263CF930"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4.93</w:t>
            </w:r>
          </w:p>
        </w:tc>
      </w:tr>
      <w:tr w:rsidR="00260E0E" w:rsidRPr="00C64DF1" w14:paraId="3732051B" w14:textId="77777777" w:rsidTr="00907337">
        <w:tc>
          <w:tcPr>
            <w:tcW w:w="1980" w:type="dxa"/>
            <w:vAlign w:val="center"/>
          </w:tcPr>
          <w:p w14:paraId="377D2618" w14:textId="77777777" w:rsidR="00260E0E" w:rsidRDefault="00260E0E" w:rsidP="00907337">
            <w:pPr>
              <w:pStyle w:val="NoSpacing"/>
              <w:spacing w:before="240" w:after="240"/>
              <w:rPr>
                <w:rFonts w:asciiTheme="majorBidi" w:hAnsiTheme="majorBidi" w:cstheme="majorBidi"/>
                <w:sz w:val="24"/>
                <w:szCs w:val="24"/>
              </w:rPr>
            </w:pPr>
          </w:p>
        </w:tc>
        <w:tc>
          <w:tcPr>
            <w:tcW w:w="2070" w:type="dxa"/>
            <w:vAlign w:val="center"/>
          </w:tcPr>
          <w:p w14:paraId="572B28BB" w14:textId="77777777" w:rsidR="00260E0E"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DAN</w:t>
            </w:r>
          </w:p>
        </w:tc>
        <w:tc>
          <w:tcPr>
            <w:tcW w:w="2250" w:type="dxa"/>
            <w:vAlign w:val="center"/>
          </w:tcPr>
          <w:p w14:paraId="2DC668C0"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28 -4 50</w:t>
            </w:r>
          </w:p>
        </w:tc>
        <w:tc>
          <w:tcPr>
            <w:tcW w:w="1350" w:type="dxa"/>
            <w:vAlign w:val="center"/>
          </w:tcPr>
          <w:p w14:paraId="2FAD46EC"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960</w:t>
            </w:r>
          </w:p>
        </w:tc>
        <w:tc>
          <w:tcPr>
            <w:tcW w:w="1800" w:type="dxa"/>
            <w:vAlign w:val="center"/>
          </w:tcPr>
          <w:p w14:paraId="258695EA"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5.47</w:t>
            </w:r>
          </w:p>
        </w:tc>
      </w:tr>
      <w:tr w:rsidR="00260E0E" w:rsidRPr="00C64DF1" w14:paraId="6454C651" w14:textId="77777777" w:rsidTr="00907337">
        <w:tc>
          <w:tcPr>
            <w:tcW w:w="1980" w:type="dxa"/>
            <w:vAlign w:val="center"/>
          </w:tcPr>
          <w:p w14:paraId="14FAA125" w14:textId="77777777" w:rsidR="00260E0E" w:rsidRDefault="00260E0E" w:rsidP="00907337">
            <w:pPr>
              <w:pStyle w:val="NoSpacing"/>
              <w:spacing w:before="240" w:after="240"/>
              <w:rPr>
                <w:rFonts w:asciiTheme="majorBidi" w:hAnsiTheme="majorBidi" w:cstheme="majorBidi"/>
                <w:sz w:val="24"/>
                <w:szCs w:val="24"/>
              </w:rPr>
            </w:pPr>
          </w:p>
        </w:tc>
        <w:tc>
          <w:tcPr>
            <w:tcW w:w="2070" w:type="dxa"/>
            <w:vAlign w:val="center"/>
          </w:tcPr>
          <w:p w14:paraId="6E04D517" w14:textId="77777777" w:rsidR="00260E0E"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DAN</w:t>
            </w:r>
          </w:p>
        </w:tc>
        <w:tc>
          <w:tcPr>
            <w:tcW w:w="2250" w:type="dxa"/>
            <w:vAlign w:val="center"/>
          </w:tcPr>
          <w:p w14:paraId="4A6FCC97"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-50 6 34</w:t>
            </w:r>
          </w:p>
        </w:tc>
        <w:tc>
          <w:tcPr>
            <w:tcW w:w="1350" w:type="dxa"/>
            <w:vAlign w:val="center"/>
          </w:tcPr>
          <w:p w14:paraId="3E0892CC"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725</w:t>
            </w:r>
          </w:p>
        </w:tc>
        <w:tc>
          <w:tcPr>
            <w:tcW w:w="1800" w:type="dxa"/>
            <w:vAlign w:val="center"/>
          </w:tcPr>
          <w:p w14:paraId="69F4830F"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6.59</w:t>
            </w:r>
          </w:p>
        </w:tc>
      </w:tr>
      <w:tr w:rsidR="00260E0E" w:rsidRPr="00C64DF1" w14:paraId="2F9B0CE2" w14:textId="77777777" w:rsidTr="00907337">
        <w:tc>
          <w:tcPr>
            <w:tcW w:w="1980" w:type="dxa"/>
            <w:vAlign w:val="center"/>
          </w:tcPr>
          <w:p w14:paraId="2348F289" w14:textId="77777777" w:rsidR="00260E0E" w:rsidRDefault="00260E0E" w:rsidP="00907337">
            <w:pPr>
              <w:pStyle w:val="NoSpacing"/>
              <w:spacing w:before="240" w:after="240"/>
              <w:rPr>
                <w:rFonts w:asciiTheme="majorBidi" w:hAnsiTheme="majorBidi" w:cstheme="majorBidi"/>
                <w:sz w:val="24"/>
                <w:szCs w:val="24"/>
              </w:rPr>
            </w:pPr>
          </w:p>
        </w:tc>
        <w:tc>
          <w:tcPr>
            <w:tcW w:w="2070" w:type="dxa"/>
            <w:vAlign w:val="center"/>
          </w:tcPr>
          <w:p w14:paraId="408D34D5" w14:textId="77777777" w:rsidR="00260E0E"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DAN</w:t>
            </w:r>
          </w:p>
        </w:tc>
        <w:tc>
          <w:tcPr>
            <w:tcW w:w="2250" w:type="dxa"/>
            <w:vAlign w:val="center"/>
          </w:tcPr>
          <w:p w14:paraId="043098AA"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52 6 26</w:t>
            </w:r>
          </w:p>
        </w:tc>
        <w:tc>
          <w:tcPr>
            <w:tcW w:w="1350" w:type="dxa"/>
            <w:vAlign w:val="center"/>
          </w:tcPr>
          <w:p w14:paraId="575D5798"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565</w:t>
            </w:r>
          </w:p>
        </w:tc>
        <w:tc>
          <w:tcPr>
            <w:tcW w:w="1800" w:type="dxa"/>
            <w:vAlign w:val="center"/>
          </w:tcPr>
          <w:p w14:paraId="32F65802"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9.06</w:t>
            </w:r>
          </w:p>
        </w:tc>
      </w:tr>
      <w:tr w:rsidR="00260E0E" w:rsidRPr="00C64DF1" w14:paraId="5102B01A" w14:textId="77777777" w:rsidTr="00907337">
        <w:tc>
          <w:tcPr>
            <w:tcW w:w="1980" w:type="dxa"/>
            <w:vAlign w:val="center"/>
          </w:tcPr>
          <w:p w14:paraId="6A4A10DE" w14:textId="77777777" w:rsidR="00260E0E" w:rsidRDefault="00260E0E" w:rsidP="00907337">
            <w:pPr>
              <w:pStyle w:val="NoSpacing"/>
              <w:spacing w:before="240" w:after="240"/>
              <w:rPr>
                <w:rFonts w:asciiTheme="majorBidi" w:hAnsiTheme="majorBidi" w:cstheme="majorBidi"/>
                <w:sz w:val="24"/>
                <w:szCs w:val="24"/>
              </w:rPr>
            </w:pPr>
          </w:p>
        </w:tc>
        <w:tc>
          <w:tcPr>
            <w:tcW w:w="2070" w:type="dxa"/>
            <w:vAlign w:val="center"/>
          </w:tcPr>
          <w:p w14:paraId="3675FB87" w14:textId="77777777" w:rsidR="00260E0E"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 xml:space="preserve">PFC </w:t>
            </w:r>
          </w:p>
        </w:tc>
        <w:tc>
          <w:tcPr>
            <w:tcW w:w="2250" w:type="dxa"/>
            <w:vAlign w:val="center"/>
          </w:tcPr>
          <w:p w14:paraId="673F2C94"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-6 58 28</w:t>
            </w:r>
          </w:p>
        </w:tc>
        <w:tc>
          <w:tcPr>
            <w:tcW w:w="1350" w:type="dxa"/>
            <w:vAlign w:val="center"/>
          </w:tcPr>
          <w:p w14:paraId="7D9E0EFE"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536</w:t>
            </w:r>
          </w:p>
        </w:tc>
        <w:tc>
          <w:tcPr>
            <w:tcW w:w="1800" w:type="dxa"/>
            <w:vAlign w:val="center"/>
          </w:tcPr>
          <w:p w14:paraId="33B20F53"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4.24</w:t>
            </w:r>
          </w:p>
        </w:tc>
      </w:tr>
      <w:tr w:rsidR="00260E0E" w:rsidRPr="00C64DF1" w14:paraId="37F712B0" w14:textId="77777777" w:rsidTr="00907337">
        <w:tc>
          <w:tcPr>
            <w:tcW w:w="1980" w:type="dxa"/>
            <w:vAlign w:val="center"/>
          </w:tcPr>
          <w:p w14:paraId="6F2AC430" w14:textId="77777777" w:rsidR="00260E0E" w:rsidRDefault="00260E0E" w:rsidP="00907337">
            <w:pPr>
              <w:pStyle w:val="NoSpacing"/>
              <w:spacing w:before="240" w:after="240"/>
              <w:rPr>
                <w:rFonts w:asciiTheme="majorBidi" w:hAnsiTheme="majorBidi" w:cstheme="majorBidi"/>
                <w:sz w:val="24"/>
                <w:szCs w:val="24"/>
              </w:rPr>
            </w:pPr>
          </w:p>
        </w:tc>
        <w:tc>
          <w:tcPr>
            <w:tcW w:w="2070" w:type="dxa"/>
            <w:vAlign w:val="center"/>
          </w:tcPr>
          <w:p w14:paraId="56B5511C" w14:textId="77777777" w:rsidR="00260E0E"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FFA</w:t>
            </w:r>
          </w:p>
        </w:tc>
        <w:tc>
          <w:tcPr>
            <w:tcW w:w="2250" w:type="dxa"/>
            <w:vAlign w:val="center"/>
          </w:tcPr>
          <w:p w14:paraId="04F579C4"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38 -48 -20</w:t>
            </w:r>
          </w:p>
        </w:tc>
        <w:tc>
          <w:tcPr>
            <w:tcW w:w="1350" w:type="dxa"/>
            <w:vAlign w:val="center"/>
          </w:tcPr>
          <w:p w14:paraId="584CF878"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416</w:t>
            </w:r>
          </w:p>
        </w:tc>
        <w:tc>
          <w:tcPr>
            <w:tcW w:w="1800" w:type="dxa"/>
            <w:vAlign w:val="center"/>
          </w:tcPr>
          <w:p w14:paraId="1BE4EA23"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5.19</w:t>
            </w:r>
          </w:p>
        </w:tc>
      </w:tr>
      <w:tr w:rsidR="00260E0E" w:rsidRPr="00C64DF1" w14:paraId="60CB2FF8" w14:textId="77777777" w:rsidTr="00907337">
        <w:tc>
          <w:tcPr>
            <w:tcW w:w="1980" w:type="dxa"/>
            <w:vAlign w:val="center"/>
          </w:tcPr>
          <w:p w14:paraId="1C94B8D7" w14:textId="77777777" w:rsidR="00260E0E" w:rsidRDefault="00260E0E" w:rsidP="00907337">
            <w:pPr>
              <w:pStyle w:val="NoSpacing"/>
              <w:spacing w:before="240" w:after="240"/>
              <w:rPr>
                <w:rFonts w:asciiTheme="majorBidi" w:hAnsiTheme="majorBidi" w:cstheme="majorBidi"/>
                <w:sz w:val="24"/>
                <w:szCs w:val="24"/>
              </w:rPr>
            </w:pPr>
          </w:p>
        </w:tc>
        <w:tc>
          <w:tcPr>
            <w:tcW w:w="2070" w:type="dxa"/>
            <w:vAlign w:val="center"/>
          </w:tcPr>
          <w:p w14:paraId="1083CDD9" w14:textId="77777777" w:rsidR="00260E0E"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PFC</w:t>
            </w:r>
          </w:p>
        </w:tc>
        <w:tc>
          <w:tcPr>
            <w:tcW w:w="2250" w:type="dxa"/>
            <w:vAlign w:val="center"/>
          </w:tcPr>
          <w:p w14:paraId="2B7CCB16"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36 62 10</w:t>
            </w:r>
          </w:p>
        </w:tc>
        <w:tc>
          <w:tcPr>
            <w:tcW w:w="1350" w:type="dxa"/>
            <w:vAlign w:val="center"/>
          </w:tcPr>
          <w:p w14:paraId="6D87C8E1"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248</w:t>
            </w:r>
          </w:p>
        </w:tc>
        <w:tc>
          <w:tcPr>
            <w:tcW w:w="1800" w:type="dxa"/>
            <w:vAlign w:val="center"/>
          </w:tcPr>
          <w:p w14:paraId="0D32614B"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4.23</w:t>
            </w:r>
          </w:p>
        </w:tc>
      </w:tr>
      <w:tr w:rsidR="00260E0E" w:rsidRPr="00C64DF1" w14:paraId="3FEF0E0A" w14:textId="77777777" w:rsidTr="00907337">
        <w:tc>
          <w:tcPr>
            <w:tcW w:w="1980" w:type="dxa"/>
            <w:vAlign w:val="center"/>
          </w:tcPr>
          <w:p w14:paraId="6DFC1FFF" w14:textId="77777777" w:rsidR="00260E0E"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Valence</w:t>
            </w:r>
          </w:p>
        </w:tc>
        <w:tc>
          <w:tcPr>
            <w:tcW w:w="2070" w:type="dxa"/>
            <w:vAlign w:val="center"/>
          </w:tcPr>
          <w:p w14:paraId="7C6470D8" w14:textId="77777777" w:rsidR="00260E0E" w:rsidRPr="00477690" w:rsidRDefault="00260E0E" w:rsidP="00907337">
            <w:pPr>
              <w:pStyle w:val="NoSpacing"/>
              <w:spacing w:before="240" w:after="240"/>
              <w:rPr>
                <w:rFonts w:asciiTheme="majorBidi" w:hAnsiTheme="majorBidi" w:cstheme="majorBidi"/>
                <w:sz w:val="24"/>
                <w:szCs w:val="24"/>
              </w:rPr>
            </w:pPr>
            <w:r w:rsidRPr="00477690">
              <w:rPr>
                <w:rFonts w:asciiTheme="majorBidi" w:hAnsiTheme="majorBidi" w:cstheme="majorBidi"/>
                <w:sz w:val="24"/>
                <w:szCs w:val="24"/>
              </w:rPr>
              <w:t>VN</w:t>
            </w:r>
          </w:p>
        </w:tc>
        <w:tc>
          <w:tcPr>
            <w:tcW w:w="2250" w:type="dxa"/>
            <w:vAlign w:val="center"/>
          </w:tcPr>
          <w:p w14:paraId="344A0E5F" w14:textId="77777777" w:rsidR="00260E0E" w:rsidRPr="00477690"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24 -86 -10</w:t>
            </w:r>
          </w:p>
        </w:tc>
        <w:tc>
          <w:tcPr>
            <w:tcW w:w="1350" w:type="dxa"/>
            <w:vAlign w:val="center"/>
          </w:tcPr>
          <w:p w14:paraId="18162EC0" w14:textId="77777777" w:rsidR="00260E0E" w:rsidRPr="00477690"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15133</w:t>
            </w:r>
          </w:p>
        </w:tc>
        <w:tc>
          <w:tcPr>
            <w:tcW w:w="1800" w:type="dxa"/>
            <w:vAlign w:val="center"/>
          </w:tcPr>
          <w:p w14:paraId="260C463B" w14:textId="77777777" w:rsidR="00260E0E" w:rsidRPr="00477690"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6.71</w:t>
            </w:r>
          </w:p>
        </w:tc>
      </w:tr>
      <w:tr w:rsidR="00260E0E" w:rsidRPr="00C64DF1" w14:paraId="2652326E" w14:textId="77777777" w:rsidTr="00907337">
        <w:tc>
          <w:tcPr>
            <w:tcW w:w="1980" w:type="dxa"/>
            <w:vAlign w:val="center"/>
          </w:tcPr>
          <w:p w14:paraId="50FA6FD9" w14:textId="77777777" w:rsidR="00260E0E" w:rsidRDefault="00260E0E" w:rsidP="00907337">
            <w:pPr>
              <w:pStyle w:val="NoSpacing"/>
              <w:spacing w:before="240" w:after="240"/>
              <w:rPr>
                <w:rFonts w:asciiTheme="majorBidi" w:hAnsiTheme="majorBidi" w:cstheme="majorBidi"/>
                <w:sz w:val="24"/>
                <w:szCs w:val="24"/>
              </w:rPr>
            </w:pPr>
          </w:p>
        </w:tc>
        <w:tc>
          <w:tcPr>
            <w:tcW w:w="2070" w:type="dxa"/>
            <w:vAlign w:val="center"/>
          </w:tcPr>
          <w:p w14:paraId="32A1A5FC" w14:textId="77777777" w:rsidR="00260E0E" w:rsidRPr="00477690"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SMN</w:t>
            </w:r>
          </w:p>
        </w:tc>
        <w:tc>
          <w:tcPr>
            <w:tcW w:w="2250" w:type="dxa"/>
            <w:vAlign w:val="center"/>
          </w:tcPr>
          <w:p w14:paraId="7E697954"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36 -26 68</w:t>
            </w:r>
          </w:p>
        </w:tc>
        <w:tc>
          <w:tcPr>
            <w:tcW w:w="1350" w:type="dxa"/>
            <w:vAlign w:val="center"/>
          </w:tcPr>
          <w:p w14:paraId="2F6081FB"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5308</w:t>
            </w:r>
          </w:p>
        </w:tc>
        <w:tc>
          <w:tcPr>
            <w:tcW w:w="1800" w:type="dxa"/>
            <w:vAlign w:val="center"/>
          </w:tcPr>
          <w:p w14:paraId="24673468"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5.33</w:t>
            </w:r>
          </w:p>
        </w:tc>
      </w:tr>
      <w:tr w:rsidR="00260E0E" w:rsidRPr="00C64DF1" w14:paraId="7680DE58" w14:textId="77777777" w:rsidTr="00907337">
        <w:tc>
          <w:tcPr>
            <w:tcW w:w="1980" w:type="dxa"/>
            <w:vAlign w:val="center"/>
          </w:tcPr>
          <w:p w14:paraId="3A6565BA" w14:textId="77777777" w:rsidR="00260E0E" w:rsidRDefault="00260E0E" w:rsidP="00907337">
            <w:pPr>
              <w:pStyle w:val="NoSpacing"/>
              <w:spacing w:before="240" w:after="240"/>
              <w:rPr>
                <w:rFonts w:asciiTheme="majorBidi" w:hAnsiTheme="majorBidi" w:cstheme="majorBidi"/>
                <w:sz w:val="24"/>
                <w:szCs w:val="24"/>
              </w:rPr>
            </w:pPr>
          </w:p>
        </w:tc>
        <w:tc>
          <w:tcPr>
            <w:tcW w:w="2070" w:type="dxa"/>
            <w:vAlign w:val="center"/>
          </w:tcPr>
          <w:p w14:paraId="5EFC5A26" w14:textId="77777777" w:rsidR="00260E0E" w:rsidRPr="00C64DF1" w:rsidRDefault="00260E0E" w:rsidP="00907337">
            <w:pPr>
              <w:pStyle w:val="NoSpacing"/>
              <w:spacing w:before="240" w:after="240"/>
              <w:rPr>
                <w:rFonts w:asciiTheme="majorBidi" w:hAnsiTheme="majorBidi" w:cstheme="majorBidi"/>
                <w:b/>
                <w:bCs/>
                <w:sz w:val="24"/>
                <w:szCs w:val="24"/>
              </w:rPr>
            </w:pPr>
            <w:r>
              <w:rPr>
                <w:rFonts w:asciiTheme="majorBidi" w:hAnsiTheme="majorBidi" w:cstheme="majorBidi"/>
                <w:sz w:val="24"/>
                <w:szCs w:val="24"/>
              </w:rPr>
              <w:t>SMN</w:t>
            </w:r>
          </w:p>
        </w:tc>
        <w:tc>
          <w:tcPr>
            <w:tcW w:w="2250" w:type="dxa"/>
            <w:vAlign w:val="center"/>
          </w:tcPr>
          <w:p w14:paraId="121B4BE2"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-66 -16 6</w:t>
            </w:r>
          </w:p>
        </w:tc>
        <w:tc>
          <w:tcPr>
            <w:tcW w:w="1350" w:type="dxa"/>
            <w:vAlign w:val="center"/>
          </w:tcPr>
          <w:p w14:paraId="3C3ADC0B"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2344</w:t>
            </w:r>
          </w:p>
        </w:tc>
        <w:tc>
          <w:tcPr>
            <w:tcW w:w="1800" w:type="dxa"/>
            <w:vAlign w:val="center"/>
          </w:tcPr>
          <w:p w14:paraId="39185BA7"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5.51</w:t>
            </w:r>
          </w:p>
        </w:tc>
      </w:tr>
      <w:tr w:rsidR="00260E0E" w:rsidRPr="00C64DF1" w14:paraId="74A1DFCF" w14:textId="77777777" w:rsidTr="00907337">
        <w:tc>
          <w:tcPr>
            <w:tcW w:w="1980" w:type="dxa"/>
            <w:vAlign w:val="center"/>
          </w:tcPr>
          <w:p w14:paraId="48DEDD84" w14:textId="77777777" w:rsidR="00260E0E" w:rsidRDefault="00260E0E" w:rsidP="00907337">
            <w:pPr>
              <w:pStyle w:val="NoSpacing"/>
              <w:spacing w:before="240" w:after="240"/>
              <w:rPr>
                <w:rFonts w:asciiTheme="majorBidi" w:hAnsiTheme="majorBidi" w:cstheme="majorBidi"/>
                <w:sz w:val="24"/>
                <w:szCs w:val="24"/>
              </w:rPr>
            </w:pPr>
          </w:p>
        </w:tc>
        <w:tc>
          <w:tcPr>
            <w:tcW w:w="2070" w:type="dxa"/>
            <w:vAlign w:val="center"/>
          </w:tcPr>
          <w:p w14:paraId="28E4DB0F" w14:textId="77777777" w:rsidR="00260E0E" w:rsidRPr="00C64DF1" w:rsidRDefault="00260E0E" w:rsidP="00907337">
            <w:pPr>
              <w:pStyle w:val="NoSpacing"/>
              <w:spacing w:before="240" w:after="240"/>
              <w:rPr>
                <w:rFonts w:asciiTheme="majorBidi" w:hAnsiTheme="majorBidi" w:cstheme="majorBidi"/>
                <w:b/>
                <w:bCs/>
                <w:sz w:val="24"/>
                <w:szCs w:val="24"/>
              </w:rPr>
            </w:pPr>
            <w:r>
              <w:rPr>
                <w:rFonts w:asciiTheme="majorBidi" w:hAnsiTheme="majorBidi" w:cstheme="majorBidi"/>
                <w:sz w:val="24"/>
                <w:szCs w:val="24"/>
              </w:rPr>
              <w:t>SMN</w:t>
            </w:r>
          </w:p>
        </w:tc>
        <w:tc>
          <w:tcPr>
            <w:tcW w:w="2250" w:type="dxa"/>
            <w:vAlign w:val="center"/>
          </w:tcPr>
          <w:p w14:paraId="6EB49A93"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64 -22 12</w:t>
            </w:r>
          </w:p>
        </w:tc>
        <w:tc>
          <w:tcPr>
            <w:tcW w:w="1350" w:type="dxa"/>
            <w:vAlign w:val="center"/>
          </w:tcPr>
          <w:p w14:paraId="219AE839"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1562</w:t>
            </w:r>
          </w:p>
        </w:tc>
        <w:tc>
          <w:tcPr>
            <w:tcW w:w="1800" w:type="dxa"/>
            <w:vAlign w:val="center"/>
          </w:tcPr>
          <w:p w14:paraId="4ECB9F0F"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5.6</w:t>
            </w:r>
          </w:p>
        </w:tc>
      </w:tr>
      <w:tr w:rsidR="00260E0E" w:rsidRPr="00C64DF1" w14:paraId="72DB7D43" w14:textId="77777777" w:rsidTr="00907337">
        <w:tc>
          <w:tcPr>
            <w:tcW w:w="1980" w:type="dxa"/>
            <w:vAlign w:val="center"/>
          </w:tcPr>
          <w:p w14:paraId="0113EE7B" w14:textId="77777777" w:rsidR="00260E0E" w:rsidRDefault="00260E0E" w:rsidP="00907337">
            <w:pPr>
              <w:pStyle w:val="NoSpacing"/>
              <w:spacing w:before="240" w:after="240"/>
              <w:rPr>
                <w:rFonts w:asciiTheme="majorBidi" w:hAnsiTheme="majorBidi" w:cstheme="majorBidi"/>
                <w:sz w:val="24"/>
                <w:szCs w:val="24"/>
              </w:rPr>
            </w:pPr>
          </w:p>
        </w:tc>
        <w:tc>
          <w:tcPr>
            <w:tcW w:w="2070" w:type="dxa"/>
            <w:vAlign w:val="center"/>
          </w:tcPr>
          <w:p w14:paraId="74B095E9" w14:textId="77777777" w:rsidR="00260E0E" w:rsidRPr="00477690"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FFA</w:t>
            </w:r>
          </w:p>
        </w:tc>
        <w:tc>
          <w:tcPr>
            <w:tcW w:w="2250" w:type="dxa"/>
            <w:vAlign w:val="center"/>
          </w:tcPr>
          <w:p w14:paraId="3573F273"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46 -40 -20</w:t>
            </w:r>
          </w:p>
        </w:tc>
        <w:tc>
          <w:tcPr>
            <w:tcW w:w="1350" w:type="dxa"/>
            <w:vAlign w:val="center"/>
          </w:tcPr>
          <w:p w14:paraId="3C28ECE3"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260</w:t>
            </w:r>
          </w:p>
        </w:tc>
        <w:tc>
          <w:tcPr>
            <w:tcW w:w="1800" w:type="dxa"/>
            <w:vAlign w:val="center"/>
          </w:tcPr>
          <w:p w14:paraId="09148268" w14:textId="77777777" w:rsidR="00260E0E" w:rsidRPr="00C06B3A" w:rsidRDefault="00260E0E" w:rsidP="00907337">
            <w:pPr>
              <w:pStyle w:val="NoSpacing"/>
              <w:spacing w:before="240" w:after="240"/>
              <w:rPr>
                <w:rFonts w:asciiTheme="majorBidi" w:hAnsiTheme="majorBidi" w:cstheme="majorBidi"/>
                <w:sz w:val="24"/>
                <w:szCs w:val="24"/>
              </w:rPr>
            </w:pPr>
            <w:r>
              <w:rPr>
                <w:rFonts w:asciiTheme="majorBidi" w:hAnsiTheme="majorBidi" w:cstheme="majorBidi"/>
                <w:sz w:val="24"/>
                <w:szCs w:val="24"/>
              </w:rPr>
              <w:t>4.65</w:t>
            </w:r>
          </w:p>
        </w:tc>
      </w:tr>
    </w:tbl>
    <w:p w14:paraId="696156FE" w14:textId="77777777" w:rsidR="00260E0E" w:rsidRDefault="00260E0E" w:rsidP="00260E0E">
      <w:pPr>
        <w:pStyle w:val="NoSpacing"/>
        <w:spacing w:before="240" w:after="240" w:line="480" w:lineRule="auto"/>
        <w:jc w:val="both"/>
        <w:rPr>
          <w:rFonts w:asciiTheme="majorBidi" w:hAnsiTheme="majorBidi" w:cstheme="majorBidi"/>
          <w:sz w:val="24"/>
          <w:szCs w:val="24"/>
        </w:rPr>
      </w:pPr>
    </w:p>
    <w:p w14:paraId="2CE4AFC3" w14:textId="77777777" w:rsidR="00B27324" w:rsidRDefault="00B27324">
      <w:pPr>
        <w:rPr>
          <w:rFonts w:asciiTheme="majorBidi" w:hAnsiTheme="majorBidi" w:cstheme="majorBidi"/>
          <w:sz w:val="24"/>
          <w:szCs w:val="24"/>
        </w:rPr>
      </w:pPr>
      <w:r>
        <w:rPr>
          <w:rFonts w:asciiTheme="majorBidi" w:hAnsiTheme="majorBidi" w:cstheme="majorBidi"/>
          <w:sz w:val="24"/>
          <w:szCs w:val="24"/>
        </w:rPr>
        <w:br w:type="page"/>
      </w:r>
    </w:p>
    <w:p w14:paraId="1565AF7D" w14:textId="0E78778F" w:rsidR="00260E0E" w:rsidRDefault="00260E0E" w:rsidP="00260E0E">
      <w:pPr>
        <w:pStyle w:val="NoSpacing"/>
        <w:spacing w:before="240" w:after="240" w:line="480" w:lineRule="auto"/>
        <w:jc w:val="both"/>
        <w:rPr>
          <w:rFonts w:asciiTheme="majorBidi" w:hAnsiTheme="majorBidi" w:cstheme="majorBidi"/>
          <w:sz w:val="24"/>
          <w:szCs w:val="24"/>
          <w:lang w:val="en-GB"/>
        </w:rPr>
      </w:pPr>
      <w:r w:rsidRPr="00357679">
        <w:rPr>
          <w:rFonts w:asciiTheme="majorBidi" w:hAnsiTheme="majorBidi" w:cstheme="majorBidi"/>
          <w:b/>
          <w:bCs/>
          <w:sz w:val="24"/>
          <w:szCs w:val="24"/>
        </w:rPr>
        <w:lastRenderedPageBreak/>
        <w:t>Figure S1</w:t>
      </w:r>
      <w:r w:rsidRPr="00357679">
        <w:rPr>
          <w:rFonts w:asciiTheme="majorBidi" w:hAnsiTheme="majorBidi" w:cstheme="majorBidi"/>
          <w:b/>
          <w:bCs/>
          <w:sz w:val="24"/>
          <w:szCs w:val="24"/>
          <w:lang w:val="en-GB"/>
        </w:rPr>
        <w:t>.</w:t>
      </w:r>
      <w:r>
        <w:rPr>
          <w:rFonts w:asciiTheme="majorBidi" w:hAnsiTheme="majorBidi" w:cstheme="majorBidi"/>
          <w:sz w:val="24"/>
          <w:szCs w:val="24"/>
          <w:lang w:val="en-GB"/>
        </w:rPr>
        <w:t xml:space="preserve"> Brain regions in which there was a main effect for attention at baseline. Warm colours represent regions where </w:t>
      </w:r>
      <w:r>
        <w:rPr>
          <w:rFonts w:asciiTheme="majorBidi" w:hAnsiTheme="majorBidi" w:cstheme="majorBidi"/>
          <w:sz w:val="24"/>
          <w:szCs w:val="24"/>
        </w:rPr>
        <w:t xml:space="preserve">away face &gt; toward face, and cold </w:t>
      </w:r>
      <w:r>
        <w:rPr>
          <w:rFonts w:asciiTheme="majorBidi" w:hAnsiTheme="majorBidi" w:cstheme="majorBidi"/>
          <w:sz w:val="24"/>
          <w:szCs w:val="24"/>
          <w:lang w:val="en-GB"/>
        </w:rPr>
        <w:t xml:space="preserve">colours represent regions where </w:t>
      </w:r>
      <w:r>
        <w:rPr>
          <w:rFonts w:asciiTheme="majorBidi" w:hAnsiTheme="majorBidi" w:cstheme="majorBidi"/>
          <w:sz w:val="24"/>
          <w:szCs w:val="24"/>
        </w:rPr>
        <w:t>toward face &gt; away face.</w:t>
      </w:r>
    </w:p>
    <w:p w14:paraId="3085A2F1" w14:textId="77777777" w:rsidR="0060305C" w:rsidRPr="00357679" w:rsidRDefault="0060305C" w:rsidP="00357679">
      <w:pPr>
        <w:pStyle w:val="NoSpacing"/>
        <w:spacing w:before="240" w:after="240" w:line="480" w:lineRule="auto"/>
        <w:jc w:val="both"/>
        <w:rPr>
          <w:rFonts w:asciiTheme="majorBidi" w:hAnsiTheme="majorBidi" w:cstheme="majorBidi"/>
          <w:sz w:val="24"/>
          <w:szCs w:val="24"/>
          <w:lang w:val="en-GB"/>
        </w:rPr>
      </w:pPr>
    </w:p>
    <w:p w14:paraId="2EBCEFED" w14:textId="77777777" w:rsidR="00B27324" w:rsidRDefault="00B27324">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65354A4" wp14:editId="2614C6E3">
            <wp:extent cx="4235872" cy="32155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4026" cy="3229319"/>
                    </a:xfrm>
                    <a:prstGeom prst="rect">
                      <a:avLst/>
                    </a:prstGeom>
                    <a:noFill/>
                  </pic:spPr>
                </pic:pic>
              </a:graphicData>
            </a:graphic>
          </wp:inline>
        </w:drawing>
      </w:r>
    </w:p>
    <w:p w14:paraId="2CC12D69" w14:textId="77777777" w:rsidR="00B27324" w:rsidRDefault="00B27324">
      <w:pPr>
        <w:rPr>
          <w:rFonts w:asciiTheme="majorBidi" w:hAnsiTheme="majorBidi" w:cstheme="majorBidi"/>
          <w:sz w:val="24"/>
          <w:szCs w:val="24"/>
        </w:rPr>
      </w:pPr>
    </w:p>
    <w:p w14:paraId="05688C49" w14:textId="77777777" w:rsidR="00B27324" w:rsidRDefault="00B27324">
      <w:pPr>
        <w:rPr>
          <w:rFonts w:asciiTheme="majorBidi" w:hAnsiTheme="majorBidi" w:cstheme="majorBidi"/>
          <w:sz w:val="24"/>
          <w:szCs w:val="24"/>
        </w:rPr>
      </w:pPr>
    </w:p>
    <w:p w14:paraId="3F84BDF2" w14:textId="77777777" w:rsidR="00B27324" w:rsidRDefault="00B27324">
      <w:pPr>
        <w:rPr>
          <w:rFonts w:asciiTheme="majorBidi" w:hAnsiTheme="majorBidi" w:cstheme="majorBidi"/>
          <w:sz w:val="24"/>
          <w:szCs w:val="24"/>
        </w:rPr>
      </w:pPr>
      <w:r>
        <w:rPr>
          <w:rFonts w:asciiTheme="majorBidi" w:hAnsiTheme="majorBidi" w:cstheme="majorBidi"/>
          <w:sz w:val="24"/>
          <w:szCs w:val="24"/>
        </w:rPr>
        <w:br w:type="page"/>
      </w:r>
    </w:p>
    <w:p w14:paraId="241A17A6" w14:textId="079FC106" w:rsidR="00235A03" w:rsidRDefault="00235A03" w:rsidP="00235A03">
      <w:pPr>
        <w:pStyle w:val="NoSpacing"/>
        <w:spacing w:before="240" w:after="240" w:line="480" w:lineRule="auto"/>
        <w:jc w:val="both"/>
        <w:rPr>
          <w:rFonts w:asciiTheme="majorBidi" w:hAnsiTheme="majorBidi" w:cstheme="majorBidi"/>
          <w:sz w:val="24"/>
          <w:szCs w:val="24"/>
        </w:rPr>
      </w:pPr>
      <w:r w:rsidRPr="00357679">
        <w:rPr>
          <w:rFonts w:asciiTheme="majorBidi" w:hAnsiTheme="majorBidi" w:cstheme="majorBidi"/>
          <w:b/>
          <w:bCs/>
          <w:sz w:val="24"/>
          <w:szCs w:val="24"/>
        </w:rPr>
        <w:lastRenderedPageBreak/>
        <w:t>Figure S2</w:t>
      </w:r>
      <w:r w:rsidRPr="00357679">
        <w:rPr>
          <w:rFonts w:asciiTheme="majorBidi" w:hAnsiTheme="majorBidi" w:cstheme="majorBidi"/>
          <w:b/>
          <w:bCs/>
          <w:sz w:val="24"/>
          <w:szCs w:val="24"/>
          <w:lang w:val="en-GB"/>
        </w:rPr>
        <w:t>.</w:t>
      </w:r>
      <w:r>
        <w:rPr>
          <w:rFonts w:asciiTheme="majorBidi" w:hAnsiTheme="majorBidi" w:cstheme="majorBidi"/>
          <w:sz w:val="24"/>
          <w:szCs w:val="24"/>
          <w:lang w:val="en-GB"/>
        </w:rPr>
        <w:t xml:space="preserve"> </w:t>
      </w:r>
      <w:r w:rsidRPr="00D30801">
        <w:rPr>
          <w:rFonts w:asciiTheme="majorBidi" w:hAnsiTheme="majorBidi" w:cstheme="majorBidi"/>
          <w:sz w:val="24"/>
          <w:szCs w:val="24"/>
        </w:rPr>
        <w:t>Brain regions in which there was a main effect for face valence at baseline. Warm colors represent regions where neutral &gt; threat, and cold colors represent regions where threat &gt; neutral</w:t>
      </w:r>
      <w:r>
        <w:rPr>
          <w:rFonts w:asciiTheme="majorBidi" w:hAnsiTheme="majorBidi" w:cstheme="majorBidi"/>
          <w:sz w:val="24"/>
          <w:szCs w:val="24"/>
        </w:rPr>
        <w:t>.</w:t>
      </w:r>
    </w:p>
    <w:p w14:paraId="1BE02694" w14:textId="77777777" w:rsidR="00B27324" w:rsidRDefault="00B27324">
      <w:pPr>
        <w:pStyle w:val="NoSpacing"/>
        <w:spacing w:before="240" w:after="240" w:line="480" w:lineRule="auto"/>
        <w:jc w:val="both"/>
        <w:rPr>
          <w:rFonts w:asciiTheme="majorBidi" w:hAnsiTheme="majorBidi" w:cstheme="majorBidi"/>
          <w:sz w:val="24"/>
          <w:szCs w:val="24"/>
        </w:rPr>
      </w:pPr>
    </w:p>
    <w:p w14:paraId="6B951D12" w14:textId="5BA36D92" w:rsidR="00B27324" w:rsidRDefault="00B27324">
      <w:pPr>
        <w:pStyle w:val="NoSpacing"/>
        <w:spacing w:before="240" w:after="240" w:line="480" w:lineRule="auto"/>
        <w:jc w:val="both"/>
        <w:rPr>
          <w:rFonts w:asciiTheme="majorBidi" w:hAnsiTheme="majorBidi" w:cstheme="majorBidi"/>
          <w:sz w:val="24"/>
          <w:szCs w:val="24"/>
          <w:lang w:val="en-GB"/>
        </w:rPr>
      </w:pPr>
      <w:r>
        <w:rPr>
          <w:rFonts w:asciiTheme="majorBidi" w:hAnsiTheme="majorBidi" w:cstheme="majorBidi"/>
          <w:noProof/>
          <w:sz w:val="24"/>
          <w:szCs w:val="24"/>
        </w:rPr>
        <w:drawing>
          <wp:inline distT="0" distB="0" distL="0" distR="0" wp14:anchorId="68EDE7BC" wp14:editId="566A7F38">
            <wp:extent cx="4176979" cy="3232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2158" cy="3266984"/>
                    </a:xfrm>
                    <a:prstGeom prst="rect">
                      <a:avLst/>
                    </a:prstGeom>
                    <a:noFill/>
                  </pic:spPr>
                </pic:pic>
              </a:graphicData>
            </a:graphic>
          </wp:inline>
        </w:drawing>
      </w:r>
    </w:p>
    <w:p w14:paraId="6174B37F" w14:textId="77777777" w:rsidR="002A2F18" w:rsidRDefault="002A2F18">
      <w:pPr>
        <w:rPr>
          <w:rFonts w:asciiTheme="majorBidi" w:hAnsiTheme="majorBidi" w:cstheme="majorBidi"/>
          <w:sz w:val="24"/>
          <w:szCs w:val="24"/>
        </w:rPr>
      </w:pPr>
    </w:p>
    <w:p w14:paraId="3A934D8A" w14:textId="77777777" w:rsidR="00A06D97" w:rsidRDefault="00A06D97">
      <w:pPr>
        <w:rPr>
          <w:rFonts w:asciiTheme="majorBidi" w:hAnsiTheme="majorBidi" w:cstheme="majorBidi"/>
          <w:b/>
          <w:bCs/>
          <w:sz w:val="24"/>
          <w:szCs w:val="24"/>
        </w:rPr>
      </w:pPr>
      <w:r>
        <w:rPr>
          <w:rFonts w:asciiTheme="majorBidi" w:hAnsiTheme="majorBidi" w:cstheme="majorBidi"/>
          <w:b/>
          <w:bCs/>
          <w:sz w:val="24"/>
          <w:szCs w:val="24"/>
        </w:rPr>
        <w:br w:type="page"/>
      </w:r>
    </w:p>
    <w:p w14:paraId="0B6569B2" w14:textId="77777777" w:rsidR="00235A03" w:rsidRDefault="00235A03" w:rsidP="00235A03">
      <w:pPr>
        <w:spacing w:line="480" w:lineRule="auto"/>
        <w:jc w:val="both"/>
        <w:rPr>
          <w:rFonts w:asciiTheme="majorBidi" w:hAnsiTheme="majorBidi" w:cstheme="majorBidi"/>
          <w:sz w:val="24"/>
          <w:szCs w:val="24"/>
        </w:rPr>
      </w:pPr>
      <w:r>
        <w:rPr>
          <w:rFonts w:asciiTheme="majorBidi" w:hAnsiTheme="majorBidi" w:cstheme="majorBidi"/>
          <w:b/>
          <w:bCs/>
          <w:sz w:val="24"/>
          <w:szCs w:val="24"/>
        </w:rPr>
        <w:lastRenderedPageBreak/>
        <w:t xml:space="preserve">Figure S3. </w:t>
      </w:r>
      <w:r>
        <w:rPr>
          <w:rFonts w:asciiTheme="majorBidi" w:hAnsiTheme="majorBidi" w:cstheme="majorBidi"/>
          <w:sz w:val="24"/>
          <w:szCs w:val="24"/>
        </w:rPr>
        <w:t xml:space="preserve">Overlap between brain regions with a significant main effect for attention and the DAN (A); and overlap between brain regions with a significant main effect for face valence and the VN / SMN (B). </w:t>
      </w:r>
      <w:r w:rsidRPr="00A06D97">
        <w:rPr>
          <w:rFonts w:asciiTheme="majorBidi" w:hAnsiTheme="majorBidi" w:cstheme="majorBidi"/>
          <w:sz w:val="24"/>
          <w:szCs w:val="24"/>
        </w:rPr>
        <w:t xml:space="preserve">DAN, dorsal attention network; PFC, prefrontal cortex; FFA, fusiform face area; VN, visual network; SMN, somatomotor network. </w:t>
      </w:r>
    </w:p>
    <w:p w14:paraId="025873CC" w14:textId="77777777" w:rsidR="00357679" w:rsidRDefault="00357679" w:rsidP="00357679">
      <w:pPr>
        <w:spacing w:line="480" w:lineRule="auto"/>
        <w:rPr>
          <w:rFonts w:asciiTheme="majorBidi" w:hAnsiTheme="majorBidi" w:cstheme="majorBidi"/>
          <w:sz w:val="24"/>
          <w:szCs w:val="24"/>
        </w:rPr>
      </w:pPr>
    </w:p>
    <w:p w14:paraId="165F1C2C" w14:textId="77777777" w:rsidR="00357679" w:rsidRDefault="00357679" w:rsidP="00357679">
      <w:pPr>
        <w:spacing w:line="48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DE04CE8" wp14:editId="20F34D01">
            <wp:extent cx="5968632" cy="1280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8632" cy="1280160"/>
                    </a:xfrm>
                    <a:prstGeom prst="rect">
                      <a:avLst/>
                    </a:prstGeom>
                    <a:noFill/>
                  </pic:spPr>
                </pic:pic>
              </a:graphicData>
            </a:graphic>
          </wp:inline>
        </w:drawing>
      </w:r>
    </w:p>
    <w:p w14:paraId="59C88D44" w14:textId="77777777" w:rsidR="00357679" w:rsidRDefault="00357679" w:rsidP="00357679">
      <w:pPr>
        <w:spacing w:line="480" w:lineRule="auto"/>
        <w:rPr>
          <w:rFonts w:asciiTheme="majorBidi" w:hAnsiTheme="majorBidi" w:cstheme="majorBidi"/>
          <w:b/>
          <w:bCs/>
          <w:sz w:val="24"/>
          <w:szCs w:val="24"/>
          <w:lang w:val="en-GB"/>
        </w:rPr>
      </w:pPr>
      <w:r>
        <w:rPr>
          <w:rFonts w:asciiTheme="majorBidi" w:hAnsiTheme="majorBidi" w:cstheme="majorBidi"/>
          <w:noProof/>
          <w:sz w:val="24"/>
          <w:szCs w:val="24"/>
        </w:rPr>
        <w:drawing>
          <wp:inline distT="0" distB="0" distL="0" distR="0" wp14:anchorId="30DDE86B" wp14:editId="4C2A2E88">
            <wp:extent cx="5918715" cy="12544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6650" cy="1262500"/>
                    </a:xfrm>
                    <a:prstGeom prst="rect">
                      <a:avLst/>
                    </a:prstGeom>
                    <a:noFill/>
                  </pic:spPr>
                </pic:pic>
              </a:graphicData>
            </a:graphic>
          </wp:inline>
        </w:drawing>
      </w:r>
      <w:r>
        <w:rPr>
          <w:rFonts w:asciiTheme="majorBidi" w:hAnsiTheme="majorBidi" w:cstheme="majorBidi"/>
          <w:b/>
          <w:bCs/>
          <w:sz w:val="24"/>
          <w:szCs w:val="24"/>
          <w:lang w:val="en-GB"/>
        </w:rPr>
        <w:br w:type="page"/>
      </w:r>
    </w:p>
    <w:p w14:paraId="1FE846A4" w14:textId="77777777" w:rsidR="00235A03" w:rsidRDefault="00235A03" w:rsidP="00235A03">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Attention Task Test-Retest Reliability</w:t>
      </w:r>
    </w:p>
    <w:p w14:paraId="2CEAB548" w14:textId="77777777" w:rsidR="00235A03" w:rsidRDefault="00235A03" w:rsidP="00235A03">
      <w:pPr>
        <w:spacing w:line="480" w:lineRule="auto"/>
        <w:ind w:firstLine="720"/>
        <w:jc w:val="both"/>
        <w:rPr>
          <w:rFonts w:asciiTheme="majorBidi" w:hAnsiTheme="majorBidi" w:cstheme="majorBidi"/>
          <w:b/>
          <w:bCs/>
          <w:sz w:val="24"/>
          <w:szCs w:val="24"/>
        </w:rPr>
      </w:pPr>
      <w:r w:rsidRPr="00357679">
        <w:rPr>
          <w:rFonts w:asciiTheme="majorBidi" w:hAnsiTheme="majorBidi" w:cstheme="majorBidi"/>
          <w:b/>
          <w:bCs/>
          <w:sz w:val="24"/>
          <w:szCs w:val="24"/>
        </w:rPr>
        <w:t>Behavioral data</w:t>
      </w:r>
      <w:r>
        <w:rPr>
          <w:rFonts w:asciiTheme="majorBidi" w:hAnsiTheme="majorBidi" w:cstheme="majorBidi"/>
          <w:b/>
          <w:bCs/>
          <w:sz w:val="24"/>
          <w:szCs w:val="24"/>
        </w:rPr>
        <w:t>.</w:t>
      </w:r>
    </w:p>
    <w:p w14:paraId="43394B5F" w14:textId="77777777" w:rsidR="00235A03" w:rsidRDefault="00235A03" w:rsidP="00235A03">
      <w:pPr>
        <w:pStyle w:val="NoSpacing"/>
        <w:spacing w:before="240" w:after="240" w:line="480" w:lineRule="auto"/>
        <w:jc w:val="both"/>
        <w:rPr>
          <w:rFonts w:asciiTheme="majorBidi" w:hAnsiTheme="majorBidi" w:cstheme="majorBidi"/>
          <w:sz w:val="24"/>
          <w:szCs w:val="24"/>
        </w:rPr>
      </w:pPr>
      <w:r>
        <w:rPr>
          <w:rFonts w:asciiTheme="majorBidi" w:hAnsiTheme="majorBidi" w:cstheme="majorBidi"/>
          <w:sz w:val="24"/>
          <w:szCs w:val="24"/>
        </w:rPr>
        <w:t xml:space="preserve">Pearson correlation coefficients were calculated between pre-treatment and post-treatment scan, and for accuracy and reaction-time (RT) measures. Since the purpose of this analysis was to assess test-retest reliability, only WL control patients (n=30) were included. Results indicated good test-retest reliability for these measures, with </w:t>
      </w:r>
      <w:r>
        <w:rPr>
          <w:rFonts w:asciiTheme="majorBidi" w:hAnsiTheme="majorBidi" w:cstheme="majorBidi"/>
          <w:i/>
          <w:iCs/>
          <w:sz w:val="24"/>
          <w:szCs w:val="24"/>
        </w:rPr>
        <w:t>r=</w:t>
      </w:r>
      <w:r w:rsidRPr="00647EE6">
        <w:rPr>
          <w:rFonts w:asciiTheme="majorBidi" w:hAnsiTheme="majorBidi" w:cstheme="majorBidi"/>
          <w:sz w:val="24"/>
          <w:szCs w:val="24"/>
        </w:rPr>
        <w:t>.</w:t>
      </w:r>
      <w:r>
        <w:rPr>
          <w:rFonts w:asciiTheme="majorBidi" w:hAnsiTheme="majorBidi" w:cstheme="majorBidi" w:hint="cs"/>
          <w:sz w:val="24"/>
          <w:szCs w:val="24"/>
          <w:rtl/>
        </w:rPr>
        <w:t>7</w:t>
      </w:r>
      <w:r>
        <w:rPr>
          <w:rFonts w:asciiTheme="majorBidi" w:hAnsiTheme="majorBidi" w:cstheme="majorBidi"/>
          <w:sz w:val="24"/>
          <w:szCs w:val="24"/>
        </w:rPr>
        <w:t>3</w:t>
      </w:r>
      <w:r>
        <w:rPr>
          <w:rFonts w:asciiTheme="majorBidi" w:hAnsiTheme="majorBidi" w:cstheme="majorBidi"/>
          <w:sz w:val="24"/>
          <w:szCs w:val="24"/>
          <w:lang w:val="en-GB"/>
        </w:rPr>
        <w:t xml:space="preserve"> (</w:t>
      </w:r>
      <w:r>
        <w:rPr>
          <w:rFonts w:asciiTheme="majorBidi" w:hAnsiTheme="majorBidi" w:cstheme="majorBidi"/>
          <w:i/>
          <w:iCs/>
          <w:sz w:val="24"/>
          <w:szCs w:val="24"/>
        </w:rPr>
        <w:t>p</w:t>
      </w:r>
      <w:r>
        <w:rPr>
          <w:rFonts w:asciiTheme="majorBidi" w:hAnsiTheme="majorBidi" w:cstheme="majorBidi"/>
          <w:sz w:val="24"/>
          <w:szCs w:val="24"/>
        </w:rPr>
        <w:t xml:space="preserve">&lt;.001) for accuracy and </w:t>
      </w:r>
      <w:r>
        <w:rPr>
          <w:rFonts w:asciiTheme="majorBidi" w:hAnsiTheme="majorBidi" w:cstheme="majorBidi"/>
          <w:i/>
          <w:iCs/>
          <w:sz w:val="24"/>
          <w:szCs w:val="24"/>
        </w:rPr>
        <w:t>r=</w:t>
      </w:r>
      <w:r w:rsidRPr="00647EE6">
        <w:rPr>
          <w:rFonts w:asciiTheme="majorBidi" w:hAnsiTheme="majorBidi" w:cstheme="majorBidi"/>
          <w:sz w:val="24"/>
          <w:szCs w:val="24"/>
        </w:rPr>
        <w:t>.7</w:t>
      </w:r>
      <w:r>
        <w:rPr>
          <w:rFonts w:asciiTheme="majorBidi" w:hAnsiTheme="majorBidi" w:cstheme="majorBidi"/>
          <w:sz w:val="24"/>
          <w:szCs w:val="24"/>
        </w:rPr>
        <w:t>5</w:t>
      </w:r>
      <w:r>
        <w:rPr>
          <w:rFonts w:asciiTheme="majorBidi" w:hAnsiTheme="majorBidi" w:cstheme="majorBidi"/>
          <w:sz w:val="24"/>
          <w:szCs w:val="24"/>
          <w:lang w:val="en-GB"/>
        </w:rPr>
        <w:t xml:space="preserve"> (</w:t>
      </w:r>
      <w:r>
        <w:rPr>
          <w:rFonts w:asciiTheme="majorBidi" w:hAnsiTheme="majorBidi" w:cstheme="majorBidi"/>
          <w:i/>
          <w:iCs/>
          <w:sz w:val="24"/>
          <w:szCs w:val="24"/>
        </w:rPr>
        <w:t>p</w:t>
      </w:r>
      <w:r>
        <w:rPr>
          <w:rFonts w:asciiTheme="majorBidi" w:hAnsiTheme="majorBidi" w:cstheme="majorBidi"/>
          <w:sz w:val="24"/>
          <w:szCs w:val="24"/>
        </w:rPr>
        <w:t>&lt;.001) for RT.</w:t>
      </w:r>
    </w:p>
    <w:p w14:paraId="2206E051" w14:textId="77777777" w:rsidR="00235A03" w:rsidRDefault="00235A03" w:rsidP="00235A03">
      <w:pPr>
        <w:pStyle w:val="NoSpacing"/>
        <w:spacing w:before="240" w:after="240" w:line="480" w:lineRule="auto"/>
        <w:ind w:firstLine="720"/>
        <w:jc w:val="both"/>
        <w:rPr>
          <w:rFonts w:asciiTheme="majorBidi" w:hAnsiTheme="majorBidi" w:cstheme="majorBidi"/>
          <w:b/>
          <w:bCs/>
          <w:sz w:val="24"/>
          <w:szCs w:val="24"/>
        </w:rPr>
      </w:pPr>
      <w:r>
        <w:rPr>
          <w:rFonts w:asciiTheme="majorBidi" w:hAnsiTheme="majorBidi" w:cstheme="majorBidi"/>
          <w:b/>
          <w:bCs/>
          <w:sz w:val="24"/>
          <w:szCs w:val="24"/>
        </w:rPr>
        <w:t>Imaging data.</w:t>
      </w:r>
    </w:p>
    <w:p w14:paraId="7CD83B9E" w14:textId="62747709" w:rsidR="00235A03" w:rsidRDefault="00235A03" w:rsidP="00235A03">
      <w:pPr>
        <w:pStyle w:val="NoSpacing"/>
        <w:spacing w:before="240" w:after="24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Intraclass correlation coefficients (ICC (C,k)) were calculated between </w:t>
      </w:r>
      <w:r w:rsidR="002B1CF1">
        <w:rPr>
          <w:rFonts w:asciiTheme="majorBidi" w:hAnsiTheme="majorBidi" w:cstheme="majorBidi"/>
          <w:sz w:val="24"/>
          <w:szCs w:val="24"/>
        </w:rPr>
        <w:t xml:space="preserve">the </w:t>
      </w:r>
      <w:r>
        <w:rPr>
          <w:rFonts w:asciiTheme="majorBidi" w:hAnsiTheme="majorBidi" w:cstheme="majorBidi"/>
          <w:sz w:val="24"/>
          <w:szCs w:val="24"/>
        </w:rPr>
        <w:t>pre-treatment and post-treatment scan</w:t>
      </w:r>
      <w:r w:rsidR="002B1CF1">
        <w:rPr>
          <w:rFonts w:asciiTheme="majorBidi" w:hAnsiTheme="majorBidi" w:cstheme="majorBidi"/>
          <w:sz w:val="24"/>
          <w:szCs w:val="24"/>
        </w:rPr>
        <w:t>s</w:t>
      </w:r>
      <w:r>
        <w:rPr>
          <w:rFonts w:asciiTheme="majorBidi" w:hAnsiTheme="majorBidi" w:cstheme="majorBidi"/>
          <w:sz w:val="24"/>
          <w:szCs w:val="24"/>
        </w:rPr>
        <w:t xml:space="preserve"> of WL patients, using BOLD signal change of the significant effects</w:t>
      </w:r>
      <w:r w:rsidR="002B1CF1">
        <w:rPr>
          <w:rFonts w:asciiTheme="majorBidi" w:hAnsiTheme="majorBidi" w:cstheme="majorBidi"/>
          <w:sz w:val="24"/>
          <w:szCs w:val="24"/>
        </w:rPr>
        <w:t xml:space="preserve"> that</w:t>
      </w:r>
      <w:r>
        <w:rPr>
          <w:rFonts w:asciiTheme="majorBidi" w:hAnsiTheme="majorBidi" w:cstheme="majorBidi"/>
          <w:sz w:val="24"/>
          <w:szCs w:val="24"/>
        </w:rPr>
        <w:t xml:space="preserve"> emerged from the baseline manipulation check (See Table S1 and Figures S1 and S2). For each of these effects, a mask based on the relevant cluster was used. These analyses indicated </w:t>
      </w:r>
      <w:r w:rsidR="006A531D">
        <w:rPr>
          <w:rFonts w:asciiTheme="majorBidi" w:hAnsiTheme="majorBidi" w:cstheme="majorBidi"/>
          <w:sz w:val="24"/>
          <w:szCs w:val="24"/>
        </w:rPr>
        <w:t>low</w:t>
      </w:r>
      <w:r>
        <w:rPr>
          <w:rFonts w:asciiTheme="majorBidi" w:hAnsiTheme="majorBidi" w:cstheme="majorBidi"/>
          <w:sz w:val="24"/>
          <w:szCs w:val="24"/>
        </w:rPr>
        <w:t xml:space="preserve"> test-retest reliability for the Attention effect (ICC=.20) and the Valence effect (ICC=.05). </w:t>
      </w:r>
    </w:p>
    <w:p w14:paraId="4CF91828" w14:textId="2E6CA409" w:rsidR="00DB1B08" w:rsidRDefault="00DB1B08">
      <w:pPr>
        <w:rPr>
          <w:rFonts w:asciiTheme="majorBidi" w:hAnsiTheme="majorBidi" w:cstheme="majorBidi"/>
          <w:sz w:val="24"/>
          <w:szCs w:val="24"/>
        </w:rPr>
      </w:pPr>
      <w:r>
        <w:rPr>
          <w:rFonts w:asciiTheme="majorBidi" w:hAnsiTheme="majorBidi" w:cstheme="majorBidi"/>
          <w:sz w:val="24"/>
          <w:szCs w:val="24"/>
        </w:rPr>
        <w:br w:type="page"/>
      </w:r>
    </w:p>
    <w:p w14:paraId="5E4BB3EF" w14:textId="1EE1B2CE" w:rsidR="002D7959" w:rsidRDefault="002D7959" w:rsidP="002D7959">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Framewise</w:t>
      </w:r>
      <w:r w:rsidRPr="00DB1B08">
        <w:rPr>
          <w:rFonts w:asciiTheme="majorBidi" w:hAnsiTheme="majorBidi" w:cstheme="majorBidi"/>
          <w:b/>
          <w:bCs/>
          <w:sz w:val="24"/>
          <w:szCs w:val="24"/>
        </w:rPr>
        <w:t xml:space="preserve"> Displacement (Head Motion) Analysis</w:t>
      </w:r>
    </w:p>
    <w:p w14:paraId="42D92647" w14:textId="1942CE70" w:rsidR="00F020D7" w:rsidRDefault="002D7959" w:rsidP="002D7959">
      <w:pPr>
        <w:spacing w:line="480" w:lineRule="auto"/>
        <w:ind w:firstLine="720"/>
        <w:jc w:val="both"/>
        <w:rPr>
          <w:rFonts w:asciiTheme="majorBidi" w:hAnsiTheme="majorBidi" w:cstheme="majorBidi"/>
          <w:b/>
          <w:bCs/>
          <w:sz w:val="24"/>
          <w:szCs w:val="24"/>
        </w:rPr>
      </w:pPr>
      <w:r>
        <w:rPr>
          <w:rFonts w:asciiTheme="majorBidi" w:hAnsiTheme="majorBidi" w:cstheme="majorBidi"/>
          <w:sz w:val="24"/>
          <w:szCs w:val="24"/>
        </w:rPr>
        <w:t xml:space="preserve">Framewise displacement (FD), computed with FSL motion outliers tool </w:t>
      </w:r>
      <w:r w:rsidRPr="00571DD6">
        <w:rPr>
          <w:rFonts w:asciiTheme="majorBidi" w:hAnsiTheme="majorBidi" w:cstheme="majorBidi"/>
          <w:sz w:val="24"/>
          <w:szCs w:val="24"/>
        </w:rPr>
        <w:t xml:space="preserve">(Oxford University, Oxford, United Kingdom, </w:t>
      </w:r>
      <w:hyperlink r:id="rId11" w:history="1">
        <w:r w:rsidRPr="00571DD6">
          <w:rPr>
            <w:rStyle w:val="Hyperlink"/>
            <w:rFonts w:asciiTheme="majorBidi" w:hAnsiTheme="majorBidi" w:cstheme="majorBidi"/>
            <w:sz w:val="24"/>
            <w:szCs w:val="24"/>
          </w:rPr>
          <w:t>http://www.fmrib.ox.ac.uk/fsl</w:t>
        </w:r>
      </w:hyperlink>
      <w:r w:rsidRPr="00571DD6">
        <w:rPr>
          <w:rFonts w:asciiTheme="majorBidi" w:hAnsiTheme="majorBidi" w:cstheme="majorBidi"/>
          <w:sz w:val="24"/>
          <w:szCs w:val="24"/>
        </w:rPr>
        <w:t xml:space="preserve">) </w:t>
      </w:r>
      <w:r w:rsidRPr="00571DD6">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10.1016/J.NEUROIMAGE.2011.09.015","ISSN":"1053-8119","author":[{"dropping-particle":"","family":"Jenkinson","given":"Mark","non-dropping-particle":"","parse-names":false,"suffix":""},{"dropping-particle":"","family":"Beckmann","given":"Christian F.","non-dropping-particle":"","parse-names":false,"suffix":""},{"dropping-particle":"","family":"Behrens","given":"Timothy E.J.","non-dropping-particle":"","parse-names":false,"suffix":""},{"dropping-particle":"","family":"Woolrich","given":"Mark W.","non-dropping-particle":"","parse-names":false,"suffix":""},{"dropping-particle":"","family":"Smith","given":"Stephen M.","non-dropping-particle":"","parse-names":false,"suffix":""}],"container-title":"NeuroImage","id":"ITEM-1","issue":"2","issued":{"date-parts":[["2012","8","15"]]},"page":"782-790","publisher":"Academic Press","title":"FSL","type":"article-journal","volume":"62"},"uris":["http://www.mendeley.com/documents/?uuid=02493173-6e71-3805-9c9d-a279ae1f5538"]}],"mendeley":{"formattedCitation":"(Jenkinson, Beckmann, Behrens, Woolrich, &amp; Smith, 2012)","plainTextFormattedCitation":"(Jenkinson, Beckmann, Behrens, Woolrich, &amp; Smith, 2012)","previouslyFormattedCitation":"(Jenkinson, Beckmann, Behrens, Woolrich, &amp; Smith, 2012)"},"properties":{"noteIndex":0},"schema":"https://github.com/citation-style-language/schema/raw/master/csl-citation.json"}</w:instrText>
      </w:r>
      <w:r w:rsidRPr="00571DD6">
        <w:rPr>
          <w:rFonts w:asciiTheme="majorBidi" w:hAnsiTheme="majorBidi" w:cstheme="majorBidi"/>
          <w:sz w:val="24"/>
          <w:szCs w:val="24"/>
        </w:rPr>
        <w:fldChar w:fldCharType="separate"/>
      </w:r>
      <w:r w:rsidRPr="004B642D">
        <w:rPr>
          <w:rFonts w:asciiTheme="majorBidi" w:hAnsiTheme="majorBidi" w:cstheme="majorBidi"/>
          <w:noProof/>
          <w:sz w:val="24"/>
          <w:szCs w:val="24"/>
        </w:rPr>
        <w:t>(Jenkinson, Beckmann, Behrens, Woolrich, &amp; Smith, 2012)</w:t>
      </w:r>
      <w:r w:rsidRPr="00571DD6">
        <w:rPr>
          <w:rFonts w:asciiTheme="majorBidi" w:hAnsiTheme="majorBidi" w:cstheme="majorBidi"/>
          <w:sz w:val="24"/>
          <w:szCs w:val="24"/>
        </w:rPr>
        <w:fldChar w:fldCharType="end"/>
      </w:r>
      <w:r>
        <w:rPr>
          <w:rFonts w:asciiTheme="majorBidi" w:hAnsiTheme="majorBidi" w:cstheme="majorBidi"/>
          <w:sz w:val="24"/>
          <w:szCs w:val="24"/>
        </w:rPr>
        <w:t xml:space="preserve">, was used to test for between-group and between-time differences in head motion. For each participant, FD was averaged across all four runs. Using this measure as a dependent variable, we conducted an ANOVA </w:t>
      </w:r>
      <w:r w:rsidRPr="003F6D50">
        <w:rPr>
          <w:rFonts w:asciiTheme="majorBidi" w:hAnsiTheme="majorBidi" w:cstheme="majorBidi"/>
          <w:sz w:val="24"/>
          <w:szCs w:val="24"/>
          <w:lang w:val="en-GB"/>
        </w:rPr>
        <w:t xml:space="preserve">with group (GC-MRT, SSRI, WL control) as a between-subjects factor and time (baseline, post-treatment) as </w:t>
      </w:r>
      <w:r>
        <w:rPr>
          <w:rFonts w:asciiTheme="majorBidi" w:hAnsiTheme="majorBidi" w:cstheme="majorBidi"/>
          <w:sz w:val="24"/>
          <w:szCs w:val="24"/>
          <w:lang w:val="en-GB"/>
        </w:rPr>
        <w:t xml:space="preserve">a </w:t>
      </w:r>
      <w:r w:rsidRPr="003F6D50">
        <w:rPr>
          <w:rFonts w:asciiTheme="majorBidi" w:hAnsiTheme="majorBidi" w:cstheme="majorBidi"/>
          <w:sz w:val="24"/>
          <w:szCs w:val="24"/>
          <w:lang w:val="en-GB"/>
        </w:rPr>
        <w:t>within-subject factor</w:t>
      </w:r>
      <w:r>
        <w:rPr>
          <w:rFonts w:asciiTheme="majorBidi" w:hAnsiTheme="majorBidi" w:cstheme="majorBidi"/>
          <w:sz w:val="24"/>
          <w:szCs w:val="24"/>
          <w:lang w:val="en-GB"/>
        </w:rPr>
        <w:t>. Results indicated no significant effects of group, time, or group-by-time interaction, on FD (</w:t>
      </w:r>
      <w:r>
        <w:rPr>
          <w:rFonts w:asciiTheme="majorBidi" w:hAnsiTheme="majorBidi" w:cstheme="majorBidi"/>
          <w:i/>
          <w:iCs/>
          <w:sz w:val="24"/>
          <w:szCs w:val="24"/>
          <w:lang w:val="en-GB"/>
        </w:rPr>
        <w:t>p</w:t>
      </w:r>
      <w:r>
        <w:rPr>
          <w:rFonts w:asciiTheme="majorBidi" w:hAnsiTheme="majorBidi" w:cstheme="majorBidi"/>
          <w:sz w:val="24"/>
          <w:szCs w:val="24"/>
          <w:lang w:val="en-GB"/>
        </w:rPr>
        <w:t>s&gt;.225).</w:t>
      </w:r>
      <w:r w:rsidR="00F020D7">
        <w:rPr>
          <w:rFonts w:asciiTheme="majorBidi" w:hAnsiTheme="majorBidi" w:cstheme="majorBidi"/>
          <w:b/>
          <w:bCs/>
          <w:sz w:val="24"/>
          <w:szCs w:val="24"/>
        </w:rPr>
        <w:br w:type="page"/>
      </w:r>
    </w:p>
    <w:p w14:paraId="45605626" w14:textId="6C7B8975" w:rsidR="003F6D50" w:rsidRDefault="003F6D50" w:rsidP="003F6D50">
      <w:pPr>
        <w:spacing w:line="480" w:lineRule="auto"/>
        <w:jc w:val="both"/>
        <w:rPr>
          <w:rFonts w:asciiTheme="majorBidi" w:hAnsiTheme="majorBidi" w:cstheme="majorBidi"/>
          <w:b/>
          <w:bCs/>
          <w:sz w:val="24"/>
          <w:szCs w:val="24"/>
          <w:lang w:val="en-GB"/>
        </w:rPr>
      </w:pPr>
      <w:r w:rsidRPr="003F6D50">
        <w:rPr>
          <w:rFonts w:asciiTheme="majorBidi" w:hAnsiTheme="majorBidi" w:cstheme="majorBidi"/>
          <w:b/>
          <w:bCs/>
          <w:sz w:val="24"/>
          <w:szCs w:val="24"/>
        </w:rPr>
        <w:lastRenderedPageBreak/>
        <w:t xml:space="preserve">Attention Task Performance – Separate Analyses for </w:t>
      </w:r>
      <w:r w:rsidR="005171CC">
        <w:rPr>
          <w:rFonts w:asciiTheme="majorBidi" w:hAnsiTheme="majorBidi" w:cstheme="majorBidi"/>
          <w:b/>
          <w:bCs/>
          <w:sz w:val="24"/>
          <w:szCs w:val="24"/>
        </w:rPr>
        <w:t>Four</w:t>
      </w:r>
      <w:r w:rsidRPr="003F6D50">
        <w:rPr>
          <w:rFonts w:asciiTheme="majorBidi" w:hAnsiTheme="majorBidi" w:cstheme="majorBidi"/>
          <w:b/>
          <w:bCs/>
          <w:sz w:val="24"/>
          <w:szCs w:val="24"/>
        </w:rPr>
        <w:t xml:space="preserve"> Task Conditions</w:t>
      </w:r>
      <w:r w:rsidRPr="003F6D50">
        <w:rPr>
          <w:rFonts w:asciiTheme="majorBidi" w:hAnsiTheme="majorBidi" w:cstheme="majorBidi"/>
          <w:b/>
          <w:bCs/>
          <w:sz w:val="24"/>
          <w:szCs w:val="24"/>
          <w:lang w:val="en-GB"/>
        </w:rPr>
        <w:t xml:space="preserve"> </w:t>
      </w:r>
    </w:p>
    <w:p w14:paraId="257D2ADA" w14:textId="1EA6BFD7" w:rsidR="00195C95" w:rsidRDefault="00195C95" w:rsidP="00C1071B">
      <w:pPr>
        <w:spacing w:line="480" w:lineRule="auto"/>
        <w:ind w:firstLine="720"/>
        <w:jc w:val="both"/>
        <w:rPr>
          <w:rFonts w:asciiTheme="majorBidi" w:hAnsiTheme="majorBidi" w:cstheme="majorBidi"/>
          <w:sz w:val="24"/>
          <w:szCs w:val="24"/>
          <w:lang w:val="en-GB"/>
        </w:rPr>
      </w:pPr>
      <w:r>
        <w:rPr>
          <w:rFonts w:asciiTheme="majorBidi" w:hAnsiTheme="majorBidi" w:cstheme="majorBidi"/>
          <w:sz w:val="24"/>
          <w:szCs w:val="24"/>
          <w:lang w:val="en-GB"/>
        </w:rPr>
        <w:t xml:space="preserve">In addition to the main analysis conducted for the behavioral data, </w:t>
      </w:r>
      <w:r w:rsidR="00144B41">
        <w:rPr>
          <w:rFonts w:asciiTheme="majorBidi" w:hAnsiTheme="majorBidi" w:cstheme="majorBidi"/>
          <w:sz w:val="24"/>
          <w:szCs w:val="24"/>
          <w:lang w:val="en-GB"/>
        </w:rPr>
        <w:t>four separate analyses for each of the task conditions were performed</w:t>
      </w:r>
      <w:r>
        <w:rPr>
          <w:rFonts w:asciiTheme="majorBidi" w:hAnsiTheme="majorBidi" w:cstheme="majorBidi"/>
          <w:sz w:val="24"/>
          <w:szCs w:val="24"/>
          <w:lang w:val="en-GB"/>
        </w:rPr>
        <w:t>. For each condition, t</w:t>
      </w:r>
      <w:r w:rsidR="003F6D50" w:rsidRPr="003F6D50">
        <w:rPr>
          <w:rFonts w:asciiTheme="majorBidi" w:hAnsiTheme="majorBidi" w:cstheme="majorBidi"/>
          <w:sz w:val="24"/>
          <w:szCs w:val="24"/>
          <w:lang w:val="en-GB"/>
        </w:rPr>
        <w:t xml:space="preserve">he effects of group, time, and group-by-time interaction on task accuracy and reaction-time (RT), were tested using repeated-measures ANOVAs with group (GC-MRT, SSRI, WL control) as a between-subjects factor and time (baseline, post-treatment) as </w:t>
      </w:r>
      <w:r>
        <w:rPr>
          <w:rFonts w:asciiTheme="majorBidi" w:hAnsiTheme="majorBidi" w:cstheme="majorBidi"/>
          <w:sz w:val="24"/>
          <w:szCs w:val="24"/>
          <w:lang w:val="en-GB"/>
        </w:rPr>
        <w:t xml:space="preserve">a </w:t>
      </w:r>
      <w:r w:rsidR="003F6D50" w:rsidRPr="003F6D50">
        <w:rPr>
          <w:rFonts w:asciiTheme="majorBidi" w:hAnsiTheme="majorBidi" w:cstheme="majorBidi"/>
          <w:sz w:val="24"/>
          <w:szCs w:val="24"/>
          <w:lang w:val="en-GB"/>
        </w:rPr>
        <w:t xml:space="preserve">within-subject factor. </w:t>
      </w:r>
    </w:p>
    <w:p w14:paraId="4ABAE6CC" w14:textId="436D562E" w:rsidR="00195C95" w:rsidRDefault="00195C95" w:rsidP="007234D8">
      <w:pPr>
        <w:spacing w:line="480" w:lineRule="auto"/>
        <w:ind w:firstLine="720"/>
        <w:jc w:val="both"/>
        <w:rPr>
          <w:rFonts w:asciiTheme="majorBidi" w:hAnsiTheme="majorBidi" w:cstheme="majorBidi"/>
          <w:sz w:val="24"/>
          <w:szCs w:val="24"/>
          <w:lang w:val="en-GB"/>
        </w:rPr>
      </w:pPr>
      <w:r w:rsidRPr="00195C95">
        <w:rPr>
          <w:rFonts w:asciiTheme="majorBidi" w:hAnsiTheme="majorBidi" w:cstheme="majorBidi"/>
          <w:sz w:val="24"/>
          <w:szCs w:val="24"/>
          <w:lang w:val="en-GB"/>
        </w:rPr>
        <w:t>The results of these analyses are presented in Table S2.</w:t>
      </w:r>
      <w:r w:rsidR="00A80F7F">
        <w:rPr>
          <w:rFonts w:asciiTheme="majorBidi" w:hAnsiTheme="majorBidi" w:cstheme="majorBidi"/>
          <w:sz w:val="24"/>
          <w:szCs w:val="24"/>
          <w:lang w:val="en-GB"/>
        </w:rPr>
        <w:t xml:space="preserve"> </w:t>
      </w:r>
      <w:r w:rsidR="00A80F7F">
        <w:rPr>
          <w:rFonts w:asciiTheme="majorBidi" w:hAnsiTheme="majorBidi" w:cstheme="majorBidi"/>
          <w:sz w:val="24"/>
          <w:szCs w:val="24"/>
        </w:rPr>
        <w:t xml:space="preserve">In all four conditions, there was a significant main effect of time on RT, with </w:t>
      </w:r>
      <w:r w:rsidR="009E38E5">
        <w:rPr>
          <w:rFonts w:asciiTheme="majorBidi" w:hAnsiTheme="majorBidi" w:cstheme="majorBidi"/>
          <w:sz w:val="24"/>
          <w:szCs w:val="24"/>
        </w:rPr>
        <w:t>faster</w:t>
      </w:r>
      <w:r w:rsidR="00A80F7F">
        <w:rPr>
          <w:rFonts w:asciiTheme="majorBidi" w:hAnsiTheme="majorBidi" w:cstheme="majorBidi"/>
          <w:sz w:val="24"/>
          <w:szCs w:val="24"/>
        </w:rPr>
        <w:t xml:space="preserve"> RTs at post-treatment scans compared to baseline scans. </w:t>
      </w:r>
      <w:r w:rsidR="00C23CB7">
        <w:rPr>
          <w:rFonts w:asciiTheme="majorBidi" w:hAnsiTheme="majorBidi" w:cstheme="majorBidi"/>
          <w:sz w:val="24"/>
          <w:szCs w:val="24"/>
        </w:rPr>
        <w:t xml:space="preserve">A main effect of time on accuracy was found only </w:t>
      </w:r>
      <w:r w:rsidR="00A80F7F">
        <w:rPr>
          <w:rFonts w:asciiTheme="majorBidi" w:hAnsiTheme="majorBidi" w:cstheme="majorBidi"/>
          <w:sz w:val="24"/>
          <w:szCs w:val="24"/>
        </w:rPr>
        <w:t>in the away from threat and away from neutral conditions</w:t>
      </w:r>
      <w:r w:rsidR="00E344A3">
        <w:rPr>
          <w:rFonts w:asciiTheme="majorBidi" w:hAnsiTheme="majorBidi" w:cstheme="majorBidi"/>
          <w:sz w:val="24"/>
          <w:szCs w:val="24"/>
        </w:rPr>
        <w:t>. I</w:t>
      </w:r>
      <w:r w:rsidR="00C23CB7">
        <w:rPr>
          <w:rFonts w:asciiTheme="majorBidi" w:hAnsiTheme="majorBidi" w:cstheme="majorBidi"/>
          <w:sz w:val="24"/>
          <w:szCs w:val="24"/>
        </w:rPr>
        <w:t>n these two conditions, accuracy increased from pre- to post-treatment.</w:t>
      </w:r>
      <w:r w:rsidR="006F1FC4">
        <w:rPr>
          <w:rFonts w:asciiTheme="majorBidi" w:hAnsiTheme="majorBidi" w:cstheme="majorBidi"/>
          <w:sz w:val="24"/>
          <w:szCs w:val="24"/>
        </w:rPr>
        <w:t xml:space="preserve"> </w:t>
      </w:r>
      <w:bookmarkStart w:id="2" w:name="_Hlk160458486"/>
      <w:r w:rsidR="007234D8" w:rsidRPr="007234D8">
        <w:rPr>
          <w:rFonts w:asciiTheme="majorBidi" w:eastAsia="Times New Roman" w:hAnsiTheme="majorBidi" w:cstheme="majorBidi"/>
          <w:color w:val="222222"/>
          <w:sz w:val="24"/>
          <w:szCs w:val="24"/>
          <w:lang w:val="en-GB"/>
        </w:rPr>
        <w:t>Interestingly, as reported in the main text, a significant effect of time on RT was evident also in the incongruent condition (a combination of toward threat and away from neutral conditions) and the congruent condition (a combination of toward neutral and away from threat conditions), whereas no effect of time on accuracy was found in these two combined conditions. While RT and accuracy do not necessarily reflect the same processes and could offer distinct patterns in relation to task categories, further research could examine why such an improvement in accuracy occurred specifically when responding to bars rather than faces was required.</w:t>
      </w:r>
      <w:bookmarkEnd w:id="2"/>
    </w:p>
    <w:p w14:paraId="5675FE1F" w14:textId="77777777" w:rsidR="007A2F33" w:rsidRPr="00195C95" w:rsidRDefault="007A2F33" w:rsidP="00C1071B">
      <w:pPr>
        <w:spacing w:line="480" w:lineRule="auto"/>
        <w:jc w:val="both"/>
        <w:rPr>
          <w:rFonts w:asciiTheme="majorBidi" w:hAnsiTheme="majorBidi" w:cstheme="majorBidi"/>
          <w:sz w:val="24"/>
          <w:szCs w:val="24"/>
          <w:lang w:val="en-GB"/>
        </w:rPr>
      </w:pPr>
    </w:p>
    <w:p w14:paraId="763050DC" w14:textId="77777777" w:rsidR="00A715EF" w:rsidRDefault="00A715EF">
      <w:pPr>
        <w:rPr>
          <w:rFonts w:asciiTheme="majorBidi" w:hAnsiTheme="majorBidi" w:cstheme="majorBidi"/>
          <w:b/>
          <w:bCs/>
          <w:sz w:val="24"/>
          <w:szCs w:val="24"/>
          <w:lang w:val="en-GB"/>
        </w:rPr>
      </w:pPr>
      <w:bookmarkStart w:id="3" w:name="_Hlk156242188"/>
      <w:r>
        <w:rPr>
          <w:rFonts w:asciiTheme="majorBidi" w:hAnsiTheme="majorBidi" w:cstheme="majorBidi"/>
          <w:b/>
          <w:bCs/>
          <w:sz w:val="24"/>
          <w:szCs w:val="24"/>
          <w:lang w:val="en-GB"/>
        </w:rPr>
        <w:br w:type="page"/>
      </w:r>
    </w:p>
    <w:p w14:paraId="0A34BA38" w14:textId="0F2E16E0" w:rsidR="007A2F33" w:rsidRPr="00195C95" w:rsidRDefault="007A2F33" w:rsidP="007A2F33">
      <w:pPr>
        <w:spacing w:line="480" w:lineRule="auto"/>
        <w:rPr>
          <w:rFonts w:asciiTheme="majorBidi" w:hAnsiTheme="majorBidi" w:cstheme="majorBidi"/>
          <w:sz w:val="24"/>
          <w:szCs w:val="24"/>
          <w:lang w:val="en-GB"/>
        </w:rPr>
      </w:pPr>
      <w:r w:rsidRPr="007A2F33">
        <w:rPr>
          <w:rFonts w:asciiTheme="majorBidi" w:hAnsiTheme="majorBidi" w:cstheme="majorBidi"/>
          <w:b/>
          <w:bCs/>
          <w:sz w:val="24"/>
          <w:szCs w:val="24"/>
          <w:lang w:val="en-GB"/>
        </w:rPr>
        <w:lastRenderedPageBreak/>
        <w:t>Table S2.</w:t>
      </w:r>
      <w:r>
        <w:rPr>
          <w:rFonts w:asciiTheme="majorBidi" w:hAnsiTheme="majorBidi" w:cstheme="majorBidi"/>
          <w:sz w:val="24"/>
          <w:szCs w:val="24"/>
          <w:lang w:val="en-GB"/>
        </w:rPr>
        <w:t xml:space="preserve"> </w:t>
      </w:r>
      <w:r w:rsidR="00144B41">
        <w:rPr>
          <w:rFonts w:asciiTheme="majorBidi" w:hAnsiTheme="majorBidi" w:cstheme="majorBidi"/>
          <w:sz w:val="24"/>
          <w:szCs w:val="24"/>
          <w:lang w:val="en-GB"/>
        </w:rPr>
        <w:t>Results of ANOVAs performed on accuracy and RT measures</w:t>
      </w:r>
      <w:r>
        <w:rPr>
          <w:rFonts w:asciiTheme="majorBidi" w:hAnsiTheme="majorBidi" w:cstheme="majorBidi"/>
          <w:sz w:val="24"/>
          <w:szCs w:val="24"/>
          <w:lang w:val="en-GB"/>
        </w:rPr>
        <w:t xml:space="preserve"> separately </w:t>
      </w:r>
      <w:r w:rsidR="003C69FB">
        <w:rPr>
          <w:rFonts w:asciiTheme="majorBidi" w:hAnsiTheme="majorBidi" w:cstheme="majorBidi"/>
          <w:sz w:val="24"/>
          <w:szCs w:val="24"/>
          <w:lang w:val="en-GB"/>
        </w:rPr>
        <w:t>for</w:t>
      </w:r>
      <w:r>
        <w:rPr>
          <w:rFonts w:asciiTheme="majorBidi" w:hAnsiTheme="majorBidi" w:cstheme="majorBidi"/>
          <w:sz w:val="24"/>
          <w:szCs w:val="24"/>
          <w:lang w:val="en-GB"/>
        </w:rPr>
        <w:t xml:space="preserve"> each of the </w:t>
      </w:r>
      <w:r w:rsidR="00144B41">
        <w:rPr>
          <w:rFonts w:asciiTheme="majorBidi" w:hAnsiTheme="majorBidi" w:cstheme="majorBidi"/>
          <w:sz w:val="24"/>
          <w:szCs w:val="24"/>
          <w:lang w:val="en-GB"/>
        </w:rPr>
        <w:t xml:space="preserve">attention </w:t>
      </w:r>
      <w:r>
        <w:rPr>
          <w:rFonts w:asciiTheme="majorBidi" w:hAnsiTheme="majorBidi" w:cstheme="majorBidi"/>
          <w:sz w:val="24"/>
          <w:szCs w:val="24"/>
          <w:lang w:val="en-GB"/>
        </w:rPr>
        <w:t>task</w:t>
      </w:r>
      <w:r w:rsidR="00144B41">
        <w:rPr>
          <w:rFonts w:asciiTheme="majorBidi" w:hAnsiTheme="majorBidi" w:cstheme="majorBidi"/>
          <w:sz w:val="24"/>
          <w:szCs w:val="24"/>
          <w:lang w:val="en-GB"/>
        </w:rPr>
        <w:t>’s</w:t>
      </w:r>
      <w:r>
        <w:rPr>
          <w:rFonts w:asciiTheme="majorBidi" w:hAnsiTheme="majorBidi" w:cstheme="majorBidi"/>
          <w:sz w:val="24"/>
          <w:szCs w:val="24"/>
          <w:lang w:val="en-GB"/>
        </w:rPr>
        <w:t xml:space="preserve"> four conditions. </w:t>
      </w:r>
    </w:p>
    <w:tbl>
      <w:tblPr>
        <w:tblStyle w:val="TableGrid"/>
        <w:tblW w:w="0" w:type="auto"/>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1195"/>
        <w:gridCol w:w="1409"/>
        <w:gridCol w:w="1675"/>
        <w:gridCol w:w="1675"/>
        <w:gridCol w:w="1721"/>
        <w:gridCol w:w="1675"/>
      </w:tblGrid>
      <w:tr w:rsidR="007A2F33" w:rsidRPr="00195C95" w14:paraId="1B5CEF28" w14:textId="77777777" w:rsidTr="007A2F33">
        <w:tc>
          <w:tcPr>
            <w:tcW w:w="1195" w:type="dxa"/>
          </w:tcPr>
          <w:bookmarkEnd w:id="3"/>
          <w:p w14:paraId="23D8A2B4" w14:textId="77777777" w:rsidR="007A2F33" w:rsidRPr="007A2F33" w:rsidRDefault="007A2F33" w:rsidP="003C69FB">
            <w:pPr>
              <w:spacing w:line="360" w:lineRule="auto"/>
              <w:rPr>
                <w:rFonts w:asciiTheme="majorBidi" w:hAnsiTheme="majorBidi" w:cstheme="majorBidi"/>
                <w:b/>
                <w:bCs/>
                <w:sz w:val="24"/>
                <w:szCs w:val="24"/>
                <w:lang w:val="en-GB"/>
              </w:rPr>
            </w:pPr>
            <w:r w:rsidRPr="007A2F33">
              <w:rPr>
                <w:rFonts w:asciiTheme="majorBidi" w:hAnsiTheme="majorBidi" w:cstheme="majorBidi"/>
                <w:b/>
                <w:bCs/>
                <w:sz w:val="24"/>
                <w:szCs w:val="24"/>
                <w:lang w:val="en-GB"/>
              </w:rPr>
              <w:t>Measure</w:t>
            </w:r>
          </w:p>
        </w:tc>
        <w:tc>
          <w:tcPr>
            <w:tcW w:w="1409" w:type="dxa"/>
          </w:tcPr>
          <w:p w14:paraId="48E69B3F" w14:textId="77777777" w:rsidR="007A2F33" w:rsidRPr="007A2F33" w:rsidRDefault="007A2F33" w:rsidP="003C69FB">
            <w:pPr>
              <w:spacing w:line="360" w:lineRule="auto"/>
              <w:rPr>
                <w:rFonts w:asciiTheme="majorBidi" w:hAnsiTheme="majorBidi" w:cstheme="majorBidi"/>
                <w:b/>
                <w:bCs/>
                <w:sz w:val="24"/>
                <w:szCs w:val="24"/>
                <w:lang w:val="en-GB"/>
              </w:rPr>
            </w:pPr>
            <w:r w:rsidRPr="007A2F33">
              <w:rPr>
                <w:rFonts w:asciiTheme="majorBidi" w:hAnsiTheme="majorBidi" w:cstheme="majorBidi"/>
                <w:b/>
                <w:bCs/>
                <w:sz w:val="24"/>
                <w:szCs w:val="24"/>
                <w:lang w:val="en-GB"/>
              </w:rPr>
              <w:t>Effect</w:t>
            </w:r>
          </w:p>
        </w:tc>
        <w:tc>
          <w:tcPr>
            <w:tcW w:w="1675" w:type="dxa"/>
          </w:tcPr>
          <w:p w14:paraId="51DEA125" w14:textId="77777777" w:rsidR="007A2F33" w:rsidRPr="007A2F33" w:rsidRDefault="007A2F33" w:rsidP="003C69FB">
            <w:pPr>
              <w:spacing w:line="360" w:lineRule="auto"/>
              <w:rPr>
                <w:rFonts w:asciiTheme="majorBidi" w:hAnsiTheme="majorBidi" w:cstheme="majorBidi"/>
                <w:b/>
                <w:bCs/>
                <w:sz w:val="24"/>
                <w:szCs w:val="24"/>
                <w:lang w:val="en-GB"/>
              </w:rPr>
            </w:pPr>
            <w:r w:rsidRPr="007A2F33">
              <w:rPr>
                <w:rFonts w:asciiTheme="majorBidi" w:hAnsiTheme="majorBidi" w:cstheme="majorBidi"/>
                <w:b/>
                <w:bCs/>
                <w:sz w:val="24"/>
                <w:szCs w:val="24"/>
                <w:lang w:val="en-GB"/>
              </w:rPr>
              <w:t>Toward threat</w:t>
            </w:r>
          </w:p>
        </w:tc>
        <w:tc>
          <w:tcPr>
            <w:tcW w:w="1675" w:type="dxa"/>
          </w:tcPr>
          <w:p w14:paraId="64D8D970" w14:textId="77777777" w:rsidR="007A2F33" w:rsidRPr="007A2F33" w:rsidRDefault="007A2F33" w:rsidP="003C69FB">
            <w:pPr>
              <w:spacing w:line="360" w:lineRule="auto"/>
              <w:rPr>
                <w:rFonts w:asciiTheme="majorBidi" w:hAnsiTheme="majorBidi" w:cstheme="majorBidi"/>
                <w:b/>
                <w:bCs/>
                <w:sz w:val="24"/>
                <w:szCs w:val="24"/>
                <w:lang w:val="en-GB"/>
              </w:rPr>
            </w:pPr>
            <w:r w:rsidRPr="007A2F33">
              <w:rPr>
                <w:rFonts w:asciiTheme="majorBidi" w:hAnsiTheme="majorBidi" w:cstheme="majorBidi"/>
                <w:b/>
                <w:bCs/>
                <w:sz w:val="24"/>
                <w:szCs w:val="24"/>
                <w:lang w:val="en-GB"/>
              </w:rPr>
              <w:t>Toward neutral</w:t>
            </w:r>
          </w:p>
        </w:tc>
        <w:tc>
          <w:tcPr>
            <w:tcW w:w="1721" w:type="dxa"/>
          </w:tcPr>
          <w:p w14:paraId="6E1A8516" w14:textId="77777777" w:rsidR="007A2F33" w:rsidRPr="007A2F33" w:rsidRDefault="007A2F33" w:rsidP="003C69FB">
            <w:pPr>
              <w:spacing w:line="360" w:lineRule="auto"/>
              <w:rPr>
                <w:rFonts w:asciiTheme="majorBidi" w:hAnsiTheme="majorBidi" w:cstheme="majorBidi"/>
                <w:b/>
                <w:bCs/>
                <w:sz w:val="24"/>
                <w:szCs w:val="24"/>
                <w:lang w:val="en-GB"/>
              </w:rPr>
            </w:pPr>
            <w:r w:rsidRPr="007A2F33">
              <w:rPr>
                <w:rFonts w:asciiTheme="majorBidi" w:hAnsiTheme="majorBidi" w:cstheme="majorBidi"/>
                <w:b/>
                <w:bCs/>
                <w:sz w:val="24"/>
                <w:szCs w:val="24"/>
                <w:lang w:val="en-GB"/>
              </w:rPr>
              <w:t>Away from threat</w:t>
            </w:r>
          </w:p>
        </w:tc>
        <w:tc>
          <w:tcPr>
            <w:tcW w:w="1675" w:type="dxa"/>
          </w:tcPr>
          <w:p w14:paraId="0A70904F" w14:textId="77777777" w:rsidR="007A2F33" w:rsidRPr="007A2F33" w:rsidRDefault="007A2F33" w:rsidP="003C69FB">
            <w:pPr>
              <w:spacing w:line="360" w:lineRule="auto"/>
              <w:rPr>
                <w:rFonts w:asciiTheme="majorBidi" w:hAnsiTheme="majorBidi" w:cstheme="majorBidi"/>
                <w:b/>
                <w:bCs/>
                <w:sz w:val="24"/>
                <w:szCs w:val="24"/>
                <w:lang w:val="en-GB"/>
              </w:rPr>
            </w:pPr>
            <w:r w:rsidRPr="007A2F33">
              <w:rPr>
                <w:rFonts w:asciiTheme="majorBidi" w:hAnsiTheme="majorBidi" w:cstheme="majorBidi"/>
                <w:b/>
                <w:bCs/>
                <w:sz w:val="24"/>
                <w:szCs w:val="24"/>
                <w:lang w:val="en-GB"/>
              </w:rPr>
              <w:t>Away from neutral</w:t>
            </w:r>
          </w:p>
        </w:tc>
      </w:tr>
      <w:tr w:rsidR="007A2F33" w:rsidRPr="00195C95" w14:paraId="12CD8276" w14:textId="77777777" w:rsidTr="007A2F33">
        <w:tc>
          <w:tcPr>
            <w:tcW w:w="1195" w:type="dxa"/>
            <w:vMerge w:val="restart"/>
            <w:vAlign w:val="center"/>
          </w:tcPr>
          <w:p w14:paraId="574F9DCF"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Accuracy</w:t>
            </w:r>
          </w:p>
        </w:tc>
        <w:tc>
          <w:tcPr>
            <w:tcW w:w="1409" w:type="dxa"/>
          </w:tcPr>
          <w:p w14:paraId="2465E498" w14:textId="77777777" w:rsidR="007A2F33" w:rsidRPr="00195C95" w:rsidRDefault="007A2F33" w:rsidP="003C69FB">
            <w:pPr>
              <w:spacing w:line="360" w:lineRule="auto"/>
              <w:rPr>
                <w:rFonts w:asciiTheme="majorBidi" w:hAnsiTheme="majorBidi" w:cstheme="majorBidi"/>
                <w:sz w:val="24"/>
                <w:szCs w:val="24"/>
                <w:lang w:val="en-GB"/>
              </w:rPr>
            </w:pPr>
            <w:r>
              <w:rPr>
                <w:rFonts w:asciiTheme="majorBidi" w:hAnsiTheme="majorBidi" w:cstheme="majorBidi"/>
                <w:sz w:val="24"/>
                <w:szCs w:val="24"/>
                <w:lang w:val="en-GB"/>
              </w:rPr>
              <w:t>T</w:t>
            </w:r>
            <w:r w:rsidRPr="00195C95">
              <w:rPr>
                <w:rFonts w:asciiTheme="majorBidi" w:hAnsiTheme="majorBidi" w:cstheme="majorBidi"/>
                <w:sz w:val="24"/>
                <w:szCs w:val="24"/>
                <w:lang w:val="en-GB"/>
              </w:rPr>
              <w:t>ime</w:t>
            </w:r>
          </w:p>
        </w:tc>
        <w:tc>
          <w:tcPr>
            <w:tcW w:w="1675" w:type="dxa"/>
          </w:tcPr>
          <w:p w14:paraId="73FF5F40"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 xml:space="preserve">F(1,78)=0.42, </w:t>
            </w:r>
            <w:r w:rsidRPr="00195C95">
              <w:rPr>
                <w:rFonts w:asciiTheme="majorBidi" w:hAnsiTheme="majorBidi" w:cstheme="majorBidi"/>
                <w:i/>
                <w:iCs/>
                <w:sz w:val="24"/>
                <w:szCs w:val="24"/>
                <w:lang w:val="en-GB"/>
              </w:rPr>
              <w:t>p</w:t>
            </w:r>
            <w:r w:rsidRPr="00195C95">
              <w:rPr>
                <w:rFonts w:asciiTheme="majorBidi" w:hAnsiTheme="majorBidi" w:cstheme="majorBidi"/>
                <w:sz w:val="24"/>
                <w:szCs w:val="24"/>
                <w:lang w:val="en-GB"/>
              </w:rPr>
              <w:t>=.520</w:t>
            </w:r>
          </w:p>
        </w:tc>
        <w:tc>
          <w:tcPr>
            <w:tcW w:w="1675" w:type="dxa"/>
          </w:tcPr>
          <w:p w14:paraId="26F617C2"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 xml:space="preserve">F(1,78)=0.74, </w:t>
            </w:r>
            <w:r w:rsidRPr="00195C95">
              <w:rPr>
                <w:rFonts w:asciiTheme="majorBidi" w:hAnsiTheme="majorBidi" w:cstheme="majorBidi"/>
                <w:i/>
                <w:iCs/>
                <w:sz w:val="24"/>
                <w:szCs w:val="24"/>
                <w:lang w:val="en-GB"/>
              </w:rPr>
              <w:t>p</w:t>
            </w:r>
            <w:r w:rsidRPr="00195C95">
              <w:rPr>
                <w:rFonts w:asciiTheme="majorBidi" w:hAnsiTheme="majorBidi" w:cstheme="majorBidi"/>
                <w:sz w:val="24"/>
                <w:szCs w:val="24"/>
                <w:lang w:val="en-GB"/>
              </w:rPr>
              <w:t>=.391</w:t>
            </w:r>
          </w:p>
        </w:tc>
        <w:tc>
          <w:tcPr>
            <w:tcW w:w="1721" w:type="dxa"/>
          </w:tcPr>
          <w:p w14:paraId="49FA2A8B"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 xml:space="preserve">F(1,78)=16.03, </w:t>
            </w:r>
            <w:r w:rsidRPr="00195C95">
              <w:rPr>
                <w:rFonts w:asciiTheme="majorBidi" w:hAnsiTheme="majorBidi" w:cstheme="majorBidi"/>
                <w:i/>
                <w:iCs/>
                <w:sz w:val="24"/>
                <w:szCs w:val="24"/>
                <w:lang w:val="en-GB"/>
              </w:rPr>
              <w:t>p</w:t>
            </w:r>
            <w:r w:rsidRPr="00195C95">
              <w:rPr>
                <w:rFonts w:asciiTheme="majorBidi" w:hAnsiTheme="majorBidi" w:cstheme="majorBidi"/>
                <w:sz w:val="24"/>
                <w:szCs w:val="24"/>
                <w:lang w:val="en-GB"/>
              </w:rPr>
              <w:t>&lt;.001</w:t>
            </w:r>
          </w:p>
        </w:tc>
        <w:tc>
          <w:tcPr>
            <w:tcW w:w="1675" w:type="dxa"/>
          </w:tcPr>
          <w:p w14:paraId="1D3EF1C3"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 xml:space="preserve">F(1,78)=5.45, </w:t>
            </w:r>
            <w:r w:rsidRPr="00195C95">
              <w:rPr>
                <w:rFonts w:asciiTheme="majorBidi" w:hAnsiTheme="majorBidi" w:cstheme="majorBidi"/>
                <w:i/>
                <w:iCs/>
                <w:sz w:val="24"/>
                <w:szCs w:val="24"/>
                <w:lang w:val="en-GB"/>
              </w:rPr>
              <w:t>p</w:t>
            </w:r>
            <w:r w:rsidRPr="00195C95">
              <w:rPr>
                <w:rFonts w:asciiTheme="majorBidi" w:hAnsiTheme="majorBidi" w:cstheme="majorBidi"/>
                <w:sz w:val="24"/>
                <w:szCs w:val="24"/>
                <w:lang w:val="en-GB"/>
              </w:rPr>
              <w:t>=.022</w:t>
            </w:r>
          </w:p>
        </w:tc>
      </w:tr>
      <w:tr w:rsidR="007A2F33" w:rsidRPr="00195C95" w14:paraId="3E20B03E" w14:textId="77777777" w:rsidTr="007A2F33">
        <w:tc>
          <w:tcPr>
            <w:tcW w:w="1195" w:type="dxa"/>
            <w:vMerge/>
            <w:vAlign w:val="center"/>
          </w:tcPr>
          <w:p w14:paraId="71129A51" w14:textId="77777777" w:rsidR="007A2F33" w:rsidRPr="00195C95" w:rsidRDefault="007A2F33" w:rsidP="003C69FB">
            <w:pPr>
              <w:spacing w:line="360" w:lineRule="auto"/>
              <w:rPr>
                <w:rFonts w:asciiTheme="majorBidi" w:hAnsiTheme="majorBidi" w:cstheme="majorBidi"/>
                <w:sz w:val="24"/>
                <w:szCs w:val="24"/>
                <w:lang w:val="en-GB"/>
              </w:rPr>
            </w:pPr>
          </w:p>
        </w:tc>
        <w:tc>
          <w:tcPr>
            <w:tcW w:w="1409" w:type="dxa"/>
          </w:tcPr>
          <w:p w14:paraId="71B71121" w14:textId="77777777" w:rsidR="007A2F33" w:rsidRPr="00195C95" w:rsidRDefault="007A2F33" w:rsidP="003C69FB">
            <w:pPr>
              <w:spacing w:line="360" w:lineRule="auto"/>
              <w:rPr>
                <w:rFonts w:asciiTheme="majorBidi" w:hAnsiTheme="majorBidi" w:cstheme="majorBidi"/>
                <w:sz w:val="24"/>
                <w:szCs w:val="24"/>
                <w:lang w:val="en-GB"/>
              </w:rPr>
            </w:pPr>
            <w:r>
              <w:rPr>
                <w:rFonts w:asciiTheme="majorBidi" w:hAnsiTheme="majorBidi" w:cstheme="majorBidi"/>
                <w:sz w:val="24"/>
                <w:szCs w:val="24"/>
                <w:lang w:val="en-GB"/>
              </w:rPr>
              <w:t>Group</w:t>
            </w:r>
          </w:p>
        </w:tc>
        <w:tc>
          <w:tcPr>
            <w:tcW w:w="1675" w:type="dxa"/>
          </w:tcPr>
          <w:p w14:paraId="17191AFF"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 xml:space="preserve">F(2,78)=1.02, </w:t>
            </w:r>
            <w:r w:rsidRPr="00195C95">
              <w:rPr>
                <w:rFonts w:asciiTheme="majorBidi" w:hAnsiTheme="majorBidi" w:cstheme="majorBidi"/>
                <w:i/>
                <w:iCs/>
                <w:sz w:val="24"/>
                <w:szCs w:val="24"/>
                <w:lang w:val="en-GB"/>
              </w:rPr>
              <w:t>p</w:t>
            </w:r>
            <w:r w:rsidRPr="00195C95">
              <w:rPr>
                <w:rFonts w:asciiTheme="majorBidi" w:hAnsiTheme="majorBidi" w:cstheme="majorBidi"/>
                <w:sz w:val="24"/>
                <w:szCs w:val="24"/>
                <w:lang w:val="en-GB"/>
              </w:rPr>
              <w:t>=.363</w:t>
            </w:r>
          </w:p>
        </w:tc>
        <w:tc>
          <w:tcPr>
            <w:tcW w:w="1675" w:type="dxa"/>
          </w:tcPr>
          <w:p w14:paraId="392D73CA"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 xml:space="preserve">F(2,78)=0.10, </w:t>
            </w:r>
            <w:r w:rsidRPr="00195C95">
              <w:rPr>
                <w:rFonts w:asciiTheme="majorBidi" w:hAnsiTheme="majorBidi" w:cstheme="majorBidi"/>
                <w:i/>
                <w:iCs/>
                <w:sz w:val="24"/>
                <w:szCs w:val="24"/>
                <w:lang w:val="en-GB"/>
              </w:rPr>
              <w:t>p</w:t>
            </w:r>
            <w:r w:rsidRPr="00195C95">
              <w:rPr>
                <w:rFonts w:asciiTheme="majorBidi" w:hAnsiTheme="majorBidi" w:cstheme="majorBidi"/>
                <w:sz w:val="24"/>
                <w:szCs w:val="24"/>
                <w:lang w:val="en-GB"/>
              </w:rPr>
              <w:t>=.902</w:t>
            </w:r>
          </w:p>
        </w:tc>
        <w:tc>
          <w:tcPr>
            <w:tcW w:w="1721" w:type="dxa"/>
          </w:tcPr>
          <w:p w14:paraId="1FBFED58"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 xml:space="preserve">F(2,78)=0.31, </w:t>
            </w:r>
            <w:r w:rsidRPr="00195C95">
              <w:rPr>
                <w:rFonts w:asciiTheme="majorBidi" w:hAnsiTheme="majorBidi" w:cstheme="majorBidi"/>
                <w:i/>
                <w:iCs/>
                <w:sz w:val="24"/>
                <w:szCs w:val="24"/>
                <w:lang w:val="en-GB"/>
              </w:rPr>
              <w:t>p</w:t>
            </w:r>
            <w:r w:rsidRPr="00195C95">
              <w:rPr>
                <w:rFonts w:asciiTheme="majorBidi" w:hAnsiTheme="majorBidi" w:cstheme="majorBidi"/>
                <w:sz w:val="24"/>
                <w:szCs w:val="24"/>
                <w:lang w:val="en-GB"/>
              </w:rPr>
              <w:t>=.733</w:t>
            </w:r>
          </w:p>
        </w:tc>
        <w:tc>
          <w:tcPr>
            <w:tcW w:w="1675" w:type="dxa"/>
          </w:tcPr>
          <w:p w14:paraId="2100FE18"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 xml:space="preserve">F(2,78)=0.67, </w:t>
            </w:r>
            <w:r w:rsidRPr="00195C95">
              <w:rPr>
                <w:rFonts w:asciiTheme="majorBidi" w:hAnsiTheme="majorBidi" w:cstheme="majorBidi"/>
                <w:i/>
                <w:iCs/>
                <w:sz w:val="24"/>
                <w:szCs w:val="24"/>
                <w:lang w:val="en-GB"/>
              </w:rPr>
              <w:t>p</w:t>
            </w:r>
            <w:r w:rsidRPr="00195C95">
              <w:rPr>
                <w:rFonts w:asciiTheme="majorBidi" w:hAnsiTheme="majorBidi" w:cstheme="majorBidi"/>
                <w:sz w:val="24"/>
                <w:szCs w:val="24"/>
                <w:lang w:val="en-GB"/>
              </w:rPr>
              <w:t>=.516</w:t>
            </w:r>
          </w:p>
        </w:tc>
      </w:tr>
      <w:tr w:rsidR="007A2F33" w:rsidRPr="00195C95" w14:paraId="334B9417" w14:textId="77777777" w:rsidTr="007A2F33">
        <w:tc>
          <w:tcPr>
            <w:tcW w:w="1195" w:type="dxa"/>
            <w:vMerge/>
            <w:vAlign w:val="center"/>
          </w:tcPr>
          <w:p w14:paraId="071605FB" w14:textId="77777777" w:rsidR="007A2F33" w:rsidRPr="00195C95" w:rsidRDefault="007A2F33" w:rsidP="003C69FB">
            <w:pPr>
              <w:spacing w:line="360" w:lineRule="auto"/>
              <w:rPr>
                <w:rFonts w:asciiTheme="majorBidi" w:hAnsiTheme="majorBidi" w:cstheme="majorBidi"/>
                <w:sz w:val="24"/>
                <w:szCs w:val="24"/>
                <w:lang w:val="en-GB"/>
              </w:rPr>
            </w:pPr>
          </w:p>
        </w:tc>
        <w:tc>
          <w:tcPr>
            <w:tcW w:w="1409" w:type="dxa"/>
          </w:tcPr>
          <w:p w14:paraId="72F01E49"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Time-by-group</w:t>
            </w:r>
          </w:p>
        </w:tc>
        <w:tc>
          <w:tcPr>
            <w:tcW w:w="1675" w:type="dxa"/>
          </w:tcPr>
          <w:p w14:paraId="00C6C7E4"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 xml:space="preserve">F(2,78)=0.84, </w:t>
            </w:r>
            <w:r w:rsidRPr="00195C95">
              <w:rPr>
                <w:rFonts w:asciiTheme="majorBidi" w:hAnsiTheme="majorBidi" w:cstheme="majorBidi"/>
                <w:i/>
                <w:iCs/>
                <w:sz w:val="24"/>
                <w:szCs w:val="24"/>
                <w:lang w:val="en-GB"/>
              </w:rPr>
              <w:t>p</w:t>
            </w:r>
            <w:r w:rsidRPr="00195C95">
              <w:rPr>
                <w:rFonts w:asciiTheme="majorBidi" w:hAnsiTheme="majorBidi" w:cstheme="majorBidi"/>
                <w:sz w:val="24"/>
                <w:szCs w:val="24"/>
                <w:lang w:val="en-GB"/>
              </w:rPr>
              <w:t>=.437</w:t>
            </w:r>
          </w:p>
        </w:tc>
        <w:tc>
          <w:tcPr>
            <w:tcW w:w="1675" w:type="dxa"/>
          </w:tcPr>
          <w:p w14:paraId="64EF228F"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 xml:space="preserve">F(2,78)=0.41, </w:t>
            </w:r>
            <w:r w:rsidRPr="00195C95">
              <w:rPr>
                <w:rFonts w:asciiTheme="majorBidi" w:hAnsiTheme="majorBidi" w:cstheme="majorBidi"/>
                <w:i/>
                <w:iCs/>
                <w:sz w:val="24"/>
                <w:szCs w:val="24"/>
                <w:lang w:val="en-GB"/>
              </w:rPr>
              <w:t>p</w:t>
            </w:r>
            <w:r w:rsidRPr="00195C95">
              <w:rPr>
                <w:rFonts w:asciiTheme="majorBidi" w:hAnsiTheme="majorBidi" w:cstheme="majorBidi"/>
                <w:sz w:val="24"/>
                <w:szCs w:val="24"/>
                <w:lang w:val="en-GB"/>
              </w:rPr>
              <w:t>=.664</w:t>
            </w:r>
          </w:p>
        </w:tc>
        <w:tc>
          <w:tcPr>
            <w:tcW w:w="1721" w:type="dxa"/>
          </w:tcPr>
          <w:p w14:paraId="450DB2A6"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 xml:space="preserve">F(2,78)=0.77, </w:t>
            </w:r>
            <w:r w:rsidRPr="00195C95">
              <w:rPr>
                <w:rFonts w:asciiTheme="majorBidi" w:hAnsiTheme="majorBidi" w:cstheme="majorBidi"/>
                <w:i/>
                <w:iCs/>
                <w:sz w:val="24"/>
                <w:szCs w:val="24"/>
                <w:lang w:val="en-GB"/>
              </w:rPr>
              <w:t>p</w:t>
            </w:r>
            <w:r w:rsidRPr="00195C95">
              <w:rPr>
                <w:rFonts w:asciiTheme="majorBidi" w:hAnsiTheme="majorBidi" w:cstheme="majorBidi"/>
                <w:sz w:val="24"/>
                <w:szCs w:val="24"/>
                <w:lang w:val="en-GB"/>
              </w:rPr>
              <w:t>=.467</w:t>
            </w:r>
          </w:p>
        </w:tc>
        <w:tc>
          <w:tcPr>
            <w:tcW w:w="1675" w:type="dxa"/>
          </w:tcPr>
          <w:p w14:paraId="398B626C"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 xml:space="preserve">F(2,78)=1.13, </w:t>
            </w:r>
            <w:r w:rsidRPr="00195C95">
              <w:rPr>
                <w:rFonts w:asciiTheme="majorBidi" w:hAnsiTheme="majorBidi" w:cstheme="majorBidi"/>
                <w:i/>
                <w:iCs/>
                <w:sz w:val="24"/>
                <w:szCs w:val="24"/>
                <w:lang w:val="en-GB"/>
              </w:rPr>
              <w:t>p</w:t>
            </w:r>
            <w:r w:rsidRPr="00195C95">
              <w:rPr>
                <w:rFonts w:asciiTheme="majorBidi" w:hAnsiTheme="majorBidi" w:cstheme="majorBidi"/>
                <w:sz w:val="24"/>
                <w:szCs w:val="24"/>
                <w:lang w:val="en-GB"/>
              </w:rPr>
              <w:t>=.327</w:t>
            </w:r>
          </w:p>
        </w:tc>
      </w:tr>
      <w:tr w:rsidR="007A2F33" w:rsidRPr="00195C95" w14:paraId="5D5C09A8" w14:textId="77777777" w:rsidTr="007A2F33">
        <w:tc>
          <w:tcPr>
            <w:tcW w:w="1195" w:type="dxa"/>
            <w:vMerge w:val="restart"/>
            <w:vAlign w:val="center"/>
          </w:tcPr>
          <w:p w14:paraId="757CFB70"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Reaction Time (RT)</w:t>
            </w:r>
          </w:p>
        </w:tc>
        <w:tc>
          <w:tcPr>
            <w:tcW w:w="1409" w:type="dxa"/>
          </w:tcPr>
          <w:p w14:paraId="56C6E3A8" w14:textId="77777777" w:rsidR="007A2F33" w:rsidRPr="00195C95" w:rsidRDefault="007A2F33" w:rsidP="003C69FB">
            <w:pPr>
              <w:spacing w:line="360" w:lineRule="auto"/>
              <w:rPr>
                <w:rFonts w:asciiTheme="majorBidi" w:hAnsiTheme="majorBidi" w:cstheme="majorBidi"/>
                <w:sz w:val="24"/>
                <w:szCs w:val="24"/>
                <w:lang w:val="en-GB"/>
              </w:rPr>
            </w:pPr>
            <w:r>
              <w:rPr>
                <w:rFonts w:asciiTheme="majorBidi" w:hAnsiTheme="majorBidi" w:cstheme="majorBidi"/>
                <w:sz w:val="24"/>
                <w:szCs w:val="24"/>
                <w:lang w:val="en-GB"/>
              </w:rPr>
              <w:t>T</w:t>
            </w:r>
            <w:r w:rsidRPr="00195C95">
              <w:rPr>
                <w:rFonts w:asciiTheme="majorBidi" w:hAnsiTheme="majorBidi" w:cstheme="majorBidi"/>
                <w:sz w:val="24"/>
                <w:szCs w:val="24"/>
                <w:lang w:val="en-GB"/>
              </w:rPr>
              <w:t>ime</w:t>
            </w:r>
          </w:p>
        </w:tc>
        <w:tc>
          <w:tcPr>
            <w:tcW w:w="1675" w:type="dxa"/>
          </w:tcPr>
          <w:p w14:paraId="27189A7F"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 xml:space="preserve">F(1,78)=7.90, </w:t>
            </w:r>
            <w:r w:rsidRPr="00195C95">
              <w:rPr>
                <w:rFonts w:asciiTheme="majorBidi" w:hAnsiTheme="majorBidi" w:cstheme="majorBidi"/>
                <w:i/>
                <w:iCs/>
                <w:sz w:val="24"/>
                <w:szCs w:val="24"/>
                <w:lang w:val="en-GB"/>
              </w:rPr>
              <w:t>p</w:t>
            </w:r>
            <w:r w:rsidRPr="00195C95">
              <w:rPr>
                <w:rFonts w:asciiTheme="majorBidi" w:hAnsiTheme="majorBidi" w:cstheme="majorBidi"/>
                <w:sz w:val="24"/>
                <w:szCs w:val="24"/>
                <w:lang w:val="en-GB"/>
              </w:rPr>
              <w:t>=.006</w:t>
            </w:r>
          </w:p>
        </w:tc>
        <w:tc>
          <w:tcPr>
            <w:tcW w:w="1675" w:type="dxa"/>
          </w:tcPr>
          <w:p w14:paraId="75EBB447"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 xml:space="preserve">F(1,78)=8.03, </w:t>
            </w:r>
            <w:r w:rsidRPr="00195C95">
              <w:rPr>
                <w:rFonts w:asciiTheme="majorBidi" w:hAnsiTheme="majorBidi" w:cstheme="majorBidi"/>
                <w:i/>
                <w:iCs/>
                <w:sz w:val="24"/>
                <w:szCs w:val="24"/>
                <w:lang w:val="en-GB"/>
              </w:rPr>
              <w:t>p</w:t>
            </w:r>
            <w:r w:rsidRPr="00195C95">
              <w:rPr>
                <w:rFonts w:asciiTheme="majorBidi" w:hAnsiTheme="majorBidi" w:cstheme="majorBidi"/>
                <w:sz w:val="24"/>
                <w:szCs w:val="24"/>
                <w:lang w:val="en-GB"/>
              </w:rPr>
              <w:t>=.006</w:t>
            </w:r>
          </w:p>
        </w:tc>
        <w:tc>
          <w:tcPr>
            <w:tcW w:w="1721" w:type="dxa"/>
          </w:tcPr>
          <w:p w14:paraId="6E700632"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 xml:space="preserve">F(1,78)=23.40, </w:t>
            </w:r>
            <w:r w:rsidRPr="00195C95">
              <w:rPr>
                <w:rFonts w:asciiTheme="majorBidi" w:hAnsiTheme="majorBidi" w:cstheme="majorBidi"/>
                <w:i/>
                <w:iCs/>
                <w:sz w:val="24"/>
                <w:szCs w:val="24"/>
                <w:lang w:val="en-GB"/>
              </w:rPr>
              <w:t>p</w:t>
            </w:r>
            <w:r w:rsidRPr="00195C95">
              <w:rPr>
                <w:rFonts w:asciiTheme="majorBidi" w:hAnsiTheme="majorBidi" w:cstheme="majorBidi"/>
                <w:sz w:val="24"/>
                <w:szCs w:val="24"/>
                <w:lang w:val="en-GB"/>
              </w:rPr>
              <w:t>&lt;.001</w:t>
            </w:r>
          </w:p>
        </w:tc>
        <w:tc>
          <w:tcPr>
            <w:tcW w:w="1675" w:type="dxa"/>
          </w:tcPr>
          <w:p w14:paraId="5AAA967C"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 xml:space="preserve">F(1,78)=15.65, </w:t>
            </w:r>
            <w:r w:rsidRPr="00195C95">
              <w:rPr>
                <w:rFonts w:asciiTheme="majorBidi" w:hAnsiTheme="majorBidi" w:cstheme="majorBidi"/>
                <w:i/>
                <w:iCs/>
                <w:sz w:val="24"/>
                <w:szCs w:val="24"/>
                <w:lang w:val="en-GB"/>
              </w:rPr>
              <w:t>p</w:t>
            </w:r>
            <w:r w:rsidRPr="00195C95">
              <w:rPr>
                <w:rFonts w:asciiTheme="majorBidi" w:hAnsiTheme="majorBidi" w:cstheme="majorBidi"/>
                <w:sz w:val="24"/>
                <w:szCs w:val="24"/>
                <w:lang w:val="en-GB"/>
              </w:rPr>
              <w:t>&lt;.001</w:t>
            </w:r>
          </w:p>
        </w:tc>
      </w:tr>
      <w:tr w:rsidR="007A2F33" w:rsidRPr="00195C95" w14:paraId="44980B80" w14:textId="77777777" w:rsidTr="007A2F33">
        <w:tc>
          <w:tcPr>
            <w:tcW w:w="1195" w:type="dxa"/>
            <w:vMerge/>
          </w:tcPr>
          <w:p w14:paraId="2EEB607A" w14:textId="77777777" w:rsidR="007A2F33" w:rsidRPr="00195C95" w:rsidRDefault="007A2F33" w:rsidP="003C69FB">
            <w:pPr>
              <w:spacing w:line="360" w:lineRule="auto"/>
              <w:rPr>
                <w:rFonts w:asciiTheme="majorBidi" w:hAnsiTheme="majorBidi" w:cstheme="majorBidi"/>
                <w:sz w:val="24"/>
                <w:szCs w:val="24"/>
                <w:lang w:val="en-GB"/>
              </w:rPr>
            </w:pPr>
          </w:p>
        </w:tc>
        <w:tc>
          <w:tcPr>
            <w:tcW w:w="1409" w:type="dxa"/>
          </w:tcPr>
          <w:p w14:paraId="16E0F81F" w14:textId="77777777" w:rsidR="007A2F33" w:rsidRPr="00195C95" w:rsidRDefault="007A2F33" w:rsidP="003C69FB">
            <w:pPr>
              <w:spacing w:line="360" w:lineRule="auto"/>
              <w:rPr>
                <w:rFonts w:asciiTheme="majorBidi" w:hAnsiTheme="majorBidi" w:cstheme="majorBidi"/>
                <w:sz w:val="24"/>
                <w:szCs w:val="24"/>
                <w:lang w:val="en-GB"/>
              </w:rPr>
            </w:pPr>
            <w:r>
              <w:rPr>
                <w:rFonts w:asciiTheme="majorBidi" w:hAnsiTheme="majorBidi" w:cstheme="majorBidi"/>
                <w:sz w:val="24"/>
                <w:szCs w:val="24"/>
                <w:lang w:val="en-GB"/>
              </w:rPr>
              <w:t>Group</w:t>
            </w:r>
          </w:p>
        </w:tc>
        <w:tc>
          <w:tcPr>
            <w:tcW w:w="1675" w:type="dxa"/>
          </w:tcPr>
          <w:p w14:paraId="4F9B81E5"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 xml:space="preserve">F(2,78)=0.135, </w:t>
            </w:r>
            <w:r w:rsidRPr="00195C95">
              <w:rPr>
                <w:rFonts w:asciiTheme="majorBidi" w:hAnsiTheme="majorBidi" w:cstheme="majorBidi"/>
                <w:i/>
                <w:iCs/>
                <w:sz w:val="24"/>
                <w:szCs w:val="24"/>
                <w:lang w:val="en-GB"/>
              </w:rPr>
              <w:t>p</w:t>
            </w:r>
            <w:r w:rsidRPr="00195C95">
              <w:rPr>
                <w:rFonts w:asciiTheme="majorBidi" w:hAnsiTheme="majorBidi" w:cstheme="majorBidi"/>
                <w:sz w:val="24"/>
                <w:szCs w:val="24"/>
                <w:lang w:val="en-GB"/>
              </w:rPr>
              <w:t>=.874</w:t>
            </w:r>
          </w:p>
        </w:tc>
        <w:tc>
          <w:tcPr>
            <w:tcW w:w="1675" w:type="dxa"/>
          </w:tcPr>
          <w:p w14:paraId="1BD316B8"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 xml:space="preserve">F(2,78)=0.82, </w:t>
            </w:r>
            <w:r w:rsidRPr="00195C95">
              <w:rPr>
                <w:rFonts w:asciiTheme="majorBidi" w:hAnsiTheme="majorBidi" w:cstheme="majorBidi"/>
                <w:i/>
                <w:iCs/>
                <w:sz w:val="24"/>
                <w:szCs w:val="24"/>
                <w:lang w:val="en-GB"/>
              </w:rPr>
              <w:t>p</w:t>
            </w:r>
            <w:r w:rsidRPr="00195C95">
              <w:rPr>
                <w:rFonts w:asciiTheme="majorBidi" w:hAnsiTheme="majorBidi" w:cstheme="majorBidi"/>
                <w:sz w:val="24"/>
                <w:szCs w:val="24"/>
                <w:lang w:val="en-GB"/>
              </w:rPr>
              <w:t>=.921</w:t>
            </w:r>
          </w:p>
        </w:tc>
        <w:tc>
          <w:tcPr>
            <w:tcW w:w="1721" w:type="dxa"/>
          </w:tcPr>
          <w:p w14:paraId="0C1B533C"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 xml:space="preserve">F(2,78)=0.84, </w:t>
            </w:r>
            <w:r w:rsidRPr="00195C95">
              <w:rPr>
                <w:rFonts w:asciiTheme="majorBidi" w:hAnsiTheme="majorBidi" w:cstheme="majorBidi"/>
                <w:i/>
                <w:iCs/>
                <w:sz w:val="24"/>
                <w:szCs w:val="24"/>
                <w:lang w:val="en-GB"/>
              </w:rPr>
              <w:t>p</w:t>
            </w:r>
            <w:r w:rsidRPr="00195C95">
              <w:rPr>
                <w:rFonts w:asciiTheme="majorBidi" w:hAnsiTheme="majorBidi" w:cstheme="majorBidi"/>
                <w:sz w:val="24"/>
                <w:szCs w:val="24"/>
                <w:lang w:val="en-GB"/>
              </w:rPr>
              <w:t>=.436</w:t>
            </w:r>
          </w:p>
        </w:tc>
        <w:tc>
          <w:tcPr>
            <w:tcW w:w="1675" w:type="dxa"/>
          </w:tcPr>
          <w:p w14:paraId="0F54D5BA"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 xml:space="preserve">F(2,78)=0.76, </w:t>
            </w:r>
            <w:r w:rsidRPr="00195C95">
              <w:rPr>
                <w:rFonts w:asciiTheme="majorBidi" w:hAnsiTheme="majorBidi" w:cstheme="majorBidi"/>
                <w:i/>
                <w:iCs/>
                <w:sz w:val="24"/>
                <w:szCs w:val="24"/>
                <w:lang w:val="en-GB"/>
              </w:rPr>
              <w:t>p</w:t>
            </w:r>
            <w:r w:rsidRPr="00195C95">
              <w:rPr>
                <w:rFonts w:asciiTheme="majorBidi" w:hAnsiTheme="majorBidi" w:cstheme="majorBidi"/>
                <w:sz w:val="24"/>
                <w:szCs w:val="24"/>
                <w:lang w:val="en-GB"/>
              </w:rPr>
              <w:t>=.470</w:t>
            </w:r>
          </w:p>
        </w:tc>
      </w:tr>
      <w:tr w:rsidR="007A2F33" w:rsidRPr="00195C95" w14:paraId="16E15353" w14:textId="77777777" w:rsidTr="007A2F33">
        <w:tc>
          <w:tcPr>
            <w:tcW w:w="1195" w:type="dxa"/>
            <w:vMerge/>
          </w:tcPr>
          <w:p w14:paraId="17FDF98E" w14:textId="77777777" w:rsidR="007A2F33" w:rsidRPr="00195C95" w:rsidRDefault="007A2F33" w:rsidP="003C69FB">
            <w:pPr>
              <w:spacing w:line="360" w:lineRule="auto"/>
              <w:rPr>
                <w:rFonts w:asciiTheme="majorBidi" w:hAnsiTheme="majorBidi" w:cstheme="majorBidi"/>
                <w:sz w:val="24"/>
                <w:szCs w:val="24"/>
                <w:lang w:val="en-GB"/>
              </w:rPr>
            </w:pPr>
          </w:p>
        </w:tc>
        <w:tc>
          <w:tcPr>
            <w:tcW w:w="1409" w:type="dxa"/>
          </w:tcPr>
          <w:p w14:paraId="055B7E14"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Time-by-group</w:t>
            </w:r>
          </w:p>
        </w:tc>
        <w:tc>
          <w:tcPr>
            <w:tcW w:w="1675" w:type="dxa"/>
          </w:tcPr>
          <w:p w14:paraId="22006F4D"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 xml:space="preserve">F(2,78)=0.10, </w:t>
            </w:r>
            <w:r w:rsidRPr="00195C95">
              <w:rPr>
                <w:rFonts w:asciiTheme="majorBidi" w:hAnsiTheme="majorBidi" w:cstheme="majorBidi"/>
                <w:i/>
                <w:iCs/>
                <w:sz w:val="24"/>
                <w:szCs w:val="24"/>
                <w:lang w:val="en-GB"/>
              </w:rPr>
              <w:t>p</w:t>
            </w:r>
            <w:r w:rsidRPr="00195C95">
              <w:rPr>
                <w:rFonts w:asciiTheme="majorBidi" w:hAnsiTheme="majorBidi" w:cstheme="majorBidi"/>
                <w:sz w:val="24"/>
                <w:szCs w:val="24"/>
                <w:lang w:val="en-GB"/>
              </w:rPr>
              <w:t>=.900</w:t>
            </w:r>
          </w:p>
        </w:tc>
        <w:tc>
          <w:tcPr>
            <w:tcW w:w="1675" w:type="dxa"/>
          </w:tcPr>
          <w:p w14:paraId="05BAB2FF"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 xml:space="preserve">F(2,78)=0.74, </w:t>
            </w:r>
            <w:r w:rsidRPr="00195C95">
              <w:rPr>
                <w:rFonts w:asciiTheme="majorBidi" w:hAnsiTheme="majorBidi" w:cstheme="majorBidi"/>
                <w:i/>
                <w:iCs/>
                <w:sz w:val="24"/>
                <w:szCs w:val="24"/>
                <w:lang w:val="en-GB"/>
              </w:rPr>
              <w:t>p</w:t>
            </w:r>
            <w:r w:rsidRPr="00195C95">
              <w:rPr>
                <w:rFonts w:asciiTheme="majorBidi" w:hAnsiTheme="majorBidi" w:cstheme="majorBidi"/>
                <w:sz w:val="24"/>
                <w:szCs w:val="24"/>
                <w:lang w:val="en-GB"/>
              </w:rPr>
              <w:t>=.480</w:t>
            </w:r>
          </w:p>
        </w:tc>
        <w:tc>
          <w:tcPr>
            <w:tcW w:w="1721" w:type="dxa"/>
          </w:tcPr>
          <w:p w14:paraId="667181D4"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 xml:space="preserve">F(2,78)=1.87, </w:t>
            </w:r>
            <w:r w:rsidRPr="00195C95">
              <w:rPr>
                <w:rFonts w:asciiTheme="majorBidi" w:hAnsiTheme="majorBidi" w:cstheme="majorBidi"/>
                <w:i/>
                <w:iCs/>
                <w:sz w:val="24"/>
                <w:szCs w:val="24"/>
                <w:lang w:val="en-GB"/>
              </w:rPr>
              <w:t>p</w:t>
            </w:r>
            <w:r w:rsidRPr="00195C95">
              <w:rPr>
                <w:rFonts w:asciiTheme="majorBidi" w:hAnsiTheme="majorBidi" w:cstheme="majorBidi"/>
                <w:sz w:val="24"/>
                <w:szCs w:val="24"/>
                <w:lang w:val="en-GB"/>
              </w:rPr>
              <w:t>=.161</w:t>
            </w:r>
          </w:p>
        </w:tc>
        <w:tc>
          <w:tcPr>
            <w:tcW w:w="1675" w:type="dxa"/>
          </w:tcPr>
          <w:p w14:paraId="2B8E8DC4" w14:textId="77777777" w:rsidR="007A2F33" w:rsidRPr="00195C95" w:rsidRDefault="007A2F33" w:rsidP="003C69FB">
            <w:pPr>
              <w:spacing w:line="360" w:lineRule="auto"/>
              <w:rPr>
                <w:rFonts w:asciiTheme="majorBidi" w:hAnsiTheme="majorBidi" w:cstheme="majorBidi"/>
                <w:sz w:val="24"/>
                <w:szCs w:val="24"/>
                <w:lang w:val="en-GB"/>
              </w:rPr>
            </w:pPr>
            <w:r w:rsidRPr="00195C95">
              <w:rPr>
                <w:rFonts w:asciiTheme="majorBidi" w:hAnsiTheme="majorBidi" w:cstheme="majorBidi"/>
                <w:sz w:val="24"/>
                <w:szCs w:val="24"/>
                <w:lang w:val="en-GB"/>
              </w:rPr>
              <w:t xml:space="preserve">F(2,78)=1.15, </w:t>
            </w:r>
            <w:r w:rsidRPr="00195C95">
              <w:rPr>
                <w:rFonts w:asciiTheme="majorBidi" w:hAnsiTheme="majorBidi" w:cstheme="majorBidi"/>
                <w:i/>
                <w:iCs/>
                <w:sz w:val="24"/>
                <w:szCs w:val="24"/>
                <w:lang w:val="en-GB"/>
              </w:rPr>
              <w:t>p</w:t>
            </w:r>
            <w:r w:rsidRPr="00195C95">
              <w:rPr>
                <w:rFonts w:asciiTheme="majorBidi" w:hAnsiTheme="majorBidi" w:cstheme="majorBidi"/>
                <w:sz w:val="24"/>
                <w:szCs w:val="24"/>
                <w:lang w:val="en-GB"/>
              </w:rPr>
              <w:t>=.322</w:t>
            </w:r>
          </w:p>
        </w:tc>
      </w:tr>
    </w:tbl>
    <w:p w14:paraId="5D4656B1" w14:textId="77777777" w:rsidR="007A2F33" w:rsidRDefault="007A2F33" w:rsidP="007A2F33">
      <w:pPr>
        <w:spacing w:line="240" w:lineRule="auto"/>
        <w:rPr>
          <w:lang w:val="en-GB"/>
        </w:rPr>
      </w:pPr>
    </w:p>
    <w:p w14:paraId="22758C58" w14:textId="3CB32A67" w:rsidR="003F6D50" w:rsidRDefault="003F6D50" w:rsidP="003F6D50">
      <w:pPr>
        <w:spacing w:line="480" w:lineRule="auto"/>
        <w:rPr>
          <w:rFonts w:asciiTheme="majorBidi" w:hAnsiTheme="majorBidi" w:cstheme="majorBidi"/>
          <w:b/>
          <w:bCs/>
          <w:sz w:val="24"/>
          <w:szCs w:val="24"/>
          <w:lang w:val="en-GB"/>
        </w:rPr>
      </w:pPr>
      <w:r>
        <w:rPr>
          <w:rFonts w:asciiTheme="majorBidi" w:hAnsiTheme="majorBidi" w:cstheme="majorBidi"/>
          <w:b/>
          <w:bCs/>
          <w:sz w:val="24"/>
          <w:szCs w:val="24"/>
          <w:lang w:val="en-GB"/>
        </w:rPr>
        <w:br w:type="page"/>
      </w:r>
    </w:p>
    <w:p w14:paraId="4E1556BA" w14:textId="5E0C8C77" w:rsidR="001909F1" w:rsidRPr="007543B7" w:rsidRDefault="001909F1" w:rsidP="00357679">
      <w:pPr>
        <w:spacing w:after="240" w:line="480" w:lineRule="auto"/>
        <w:rPr>
          <w:rFonts w:asciiTheme="majorBidi" w:hAnsiTheme="majorBidi" w:cstheme="majorBidi"/>
          <w:sz w:val="24"/>
          <w:szCs w:val="24"/>
        </w:rPr>
      </w:pPr>
      <w:r w:rsidRPr="007543B7">
        <w:rPr>
          <w:rFonts w:asciiTheme="majorBidi" w:hAnsiTheme="majorBidi" w:cstheme="majorBidi"/>
          <w:b/>
          <w:bCs/>
          <w:sz w:val="24"/>
          <w:szCs w:val="24"/>
          <w:lang w:val="en-GB"/>
        </w:rPr>
        <w:lastRenderedPageBreak/>
        <w:t xml:space="preserve">Baseline Group Differences </w:t>
      </w:r>
      <w:r w:rsidR="00C51955">
        <w:rPr>
          <w:rFonts w:asciiTheme="majorBidi" w:hAnsiTheme="majorBidi" w:cstheme="majorBidi"/>
          <w:b/>
          <w:bCs/>
          <w:sz w:val="24"/>
          <w:szCs w:val="24"/>
          <w:lang w:val="en-GB"/>
        </w:rPr>
        <w:t xml:space="preserve">in Significant Clusters </w:t>
      </w:r>
      <w:r w:rsidRPr="007543B7">
        <w:rPr>
          <w:rFonts w:asciiTheme="majorBidi" w:hAnsiTheme="majorBidi" w:cstheme="majorBidi"/>
          <w:b/>
          <w:bCs/>
          <w:sz w:val="24"/>
          <w:szCs w:val="24"/>
          <w:lang w:val="en-GB"/>
        </w:rPr>
        <w:t>and Covariate Analyses</w:t>
      </w:r>
    </w:p>
    <w:p w14:paraId="17C2C6CE" w14:textId="77777777" w:rsidR="007543B7" w:rsidRDefault="001909F1" w:rsidP="007543B7">
      <w:pPr>
        <w:spacing w:after="240" w:line="480" w:lineRule="auto"/>
        <w:ind w:firstLine="720"/>
        <w:jc w:val="both"/>
        <w:rPr>
          <w:rFonts w:asciiTheme="majorBidi" w:hAnsiTheme="majorBidi" w:cstheme="majorBidi"/>
          <w:sz w:val="24"/>
          <w:szCs w:val="24"/>
        </w:rPr>
      </w:pPr>
      <w:r w:rsidRPr="001909F1">
        <w:rPr>
          <w:rFonts w:asciiTheme="majorBidi" w:hAnsiTheme="majorBidi" w:cstheme="majorBidi"/>
          <w:sz w:val="24"/>
          <w:szCs w:val="24"/>
        </w:rPr>
        <w:t>Where between group differences in the mean BOLD signal change within a cluster were found at baseline, we conducted a follow up analysis controlling for baseline BOLD signal change as a covariate. To this end, we performed a univariate analysis of variance (ANOVA) with Group (treated and non-treated patients, or GC-MRT and SSRI) as an independent variable, pre to post increase in the mean % signal change as a</w:t>
      </w:r>
      <w:r w:rsidR="003843CB">
        <w:rPr>
          <w:rFonts w:asciiTheme="majorBidi" w:hAnsiTheme="majorBidi" w:cstheme="majorBidi"/>
          <w:sz w:val="24"/>
          <w:szCs w:val="24"/>
        </w:rPr>
        <w:t xml:space="preserve"> </w:t>
      </w:r>
      <w:r w:rsidRPr="001909F1">
        <w:rPr>
          <w:rFonts w:asciiTheme="majorBidi" w:hAnsiTheme="majorBidi" w:cstheme="majorBidi"/>
          <w:sz w:val="24"/>
          <w:szCs w:val="24"/>
        </w:rPr>
        <w:t xml:space="preserve">dependent variable, and the baseline mean % signal change as a covariate. </w:t>
      </w:r>
    </w:p>
    <w:p w14:paraId="4E76DD20" w14:textId="0C9DAB56" w:rsidR="001909F1" w:rsidRPr="001909F1" w:rsidRDefault="001909F1" w:rsidP="007543B7">
      <w:pPr>
        <w:spacing w:after="240" w:line="480" w:lineRule="auto"/>
        <w:ind w:firstLine="720"/>
        <w:jc w:val="both"/>
        <w:rPr>
          <w:rFonts w:asciiTheme="majorBidi" w:hAnsiTheme="majorBidi" w:cstheme="majorBidi"/>
          <w:sz w:val="24"/>
          <w:szCs w:val="24"/>
        </w:rPr>
      </w:pPr>
      <w:r w:rsidRPr="001909F1">
        <w:rPr>
          <w:rFonts w:asciiTheme="majorBidi" w:hAnsiTheme="majorBidi" w:cstheme="majorBidi"/>
          <w:sz w:val="24"/>
          <w:szCs w:val="24"/>
        </w:rPr>
        <w:t>Below we describe where baseline group differences were found, and the subsequent covariate analyses performed.</w:t>
      </w:r>
    </w:p>
    <w:p w14:paraId="13CAB75B" w14:textId="77777777" w:rsidR="001909F1" w:rsidRPr="007543B7" w:rsidRDefault="001909F1" w:rsidP="0022281C">
      <w:pPr>
        <w:spacing w:after="240" w:line="480" w:lineRule="auto"/>
        <w:jc w:val="both"/>
        <w:rPr>
          <w:rFonts w:asciiTheme="majorBidi" w:hAnsiTheme="majorBidi" w:cstheme="majorBidi"/>
          <w:b/>
          <w:bCs/>
          <w:sz w:val="24"/>
          <w:szCs w:val="24"/>
        </w:rPr>
      </w:pPr>
      <w:r w:rsidRPr="007543B7">
        <w:rPr>
          <w:rFonts w:asciiTheme="majorBidi" w:hAnsiTheme="majorBidi" w:cstheme="majorBidi"/>
          <w:b/>
          <w:bCs/>
          <w:sz w:val="24"/>
          <w:szCs w:val="24"/>
        </w:rPr>
        <w:t>Treatment vs. Waitlist control</w:t>
      </w:r>
    </w:p>
    <w:p w14:paraId="268CCB3E" w14:textId="7462F977" w:rsidR="001909F1" w:rsidRPr="001909F1" w:rsidRDefault="001909F1" w:rsidP="007543B7">
      <w:pPr>
        <w:spacing w:after="240" w:line="480" w:lineRule="auto"/>
        <w:ind w:firstLine="720"/>
        <w:jc w:val="both"/>
        <w:rPr>
          <w:rFonts w:asciiTheme="majorBidi" w:hAnsiTheme="majorBidi" w:cstheme="majorBidi"/>
          <w:sz w:val="24"/>
          <w:szCs w:val="24"/>
        </w:rPr>
      </w:pPr>
      <w:r w:rsidRPr="001909F1">
        <w:rPr>
          <w:rFonts w:asciiTheme="majorBidi" w:hAnsiTheme="majorBidi" w:cstheme="majorBidi"/>
          <w:sz w:val="24"/>
          <w:szCs w:val="24"/>
        </w:rPr>
        <w:t>Between group difference in baseline signal change was noted for the ACC</w:t>
      </w:r>
      <w:r w:rsidRPr="001909F1">
        <w:rPr>
          <w:rFonts w:asciiTheme="majorBidi" w:hAnsiTheme="majorBidi" w:cstheme="majorBidi"/>
          <w:sz w:val="24"/>
          <w:szCs w:val="24"/>
          <w:vertAlign w:val="subscript"/>
        </w:rPr>
        <w:t>1</w:t>
      </w:r>
      <w:r w:rsidRPr="001909F1">
        <w:rPr>
          <w:rFonts w:asciiTheme="majorBidi" w:hAnsiTheme="majorBidi" w:cstheme="majorBidi"/>
          <w:sz w:val="24"/>
          <w:szCs w:val="24"/>
        </w:rPr>
        <w:t xml:space="preserve"> cluster (</w:t>
      </w:r>
      <w:r w:rsidRPr="001909F1">
        <w:rPr>
          <w:rFonts w:asciiTheme="majorBidi" w:hAnsiTheme="majorBidi" w:cstheme="majorBidi"/>
          <w:i/>
          <w:iCs/>
          <w:sz w:val="24"/>
          <w:szCs w:val="24"/>
        </w:rPr>
        <w:t>t</w:t>
      </w:r>
      <w:r w:rsidRPr="001909F1">
        <w:rPr>
          <w:rFonts w:asciiTheme="majorBidi" w:hAnsiTheme="majorBidi" w:cstheme="majorBidi"/>
          <w:sz w:val="24"/>
          <w:szCs w:val="24"/>
        </w:rPr>
        <w:t xml:space="preserve">(79)=-2.14, </w:t>
      </w:r>
      <w:r w:rsidRPr="001909F1">
        <w:rPr>
          <w:rFonts w:asciiTheme="majorBidi" w:hAnsiTheme="majorBidi" w:cstheme="majorBidi"/>
          <w:i/>
          <w:iCs/>
          <w:sz w:val="24"/>
          <w:szCs w:val="24"/>
        </w:rPr>
        <w:t>p</w:t>
      </w:r>
      <w:r w:rsidRPr="001909F1">
        <w:rPr>
          <w:rFonts w:asciiTheme="majorBidi" w:hAnsiTheme="majorBidi" w:cstheme="majorBidi"/>
          <w:sz w:val="24"/>
          <w:szCs w:val="24"/>
        </w:rPr>
        <w:t xml:space="preserve">=.03, </w:t>
      </w:r>
      <w:r w:rsidRPr="001909F1">
        <w:rPr>
          <w:rFonts w:asciiTheme="majorBidi" w:hAnsiTheme="majorBidi" w:cstheme="majorBidi"/>
          <w:i/>
          <w:iCs/>
          <w:sz w:val="24"/>
          <w:szCs w:val="24"/>
        </w:rPr>
        <w:t>d</w:t>
      </w:r>
      <w:r w:rsidRPr="001909F1">
        <w:rPr>
          <w:rFonts w:asciiTheme="majorBidi" w:hAnsiTheme="majorBidi" w:cstheme="majorBidi"/>
          <w:sz w:val="24"/>
          <w:szCs w:val="24"/>
        </w:rPr>
        <w:t>=-.49 [95%CI -0.95 to -0.03]), and controlling for baseline signal change the above-reported between group effects remained significant (</w:t>
      </w:r>
      <w:r w:rsidRPr="001909F1">
        <w:rPr>
          <w:rFonts w:asciiTheme="majorBidi" w:hAnsiTheme="majorBidi" w:cstheme="majorBidi"/>
          <w:i/>
          <w:iCs/>
          <w:sz w:val="24"/>
          <w:szCs w:val="24"/>
        </w:rPr>
        <w:t>F</w:t>
      </w:r>
      <w:r w:rsidRPr="001909F1">
        <w:rPr>
          <w:rFonts w:asciiTheme="majorBidi" w:hAnsiTheme="majorBidi" w:cstheme="majorBidi"/>
          <w:sz w:val="24"/>
          <w:szCs w:val="24"/>
        </w:rPr>
        <w:t xml:space="preserve">(1, 78)=26.29 , </w:t>
      </w:r>
      <w:r w:rsidRPr="001909F1">
        <w:rPr>
          <w:rFonts w:asciiTheme="majorBidi" w:hAnsiTheme="majorBidi" w:cstheme="majorBidi"/>
          <w:i/>
          <w:iCs/>
          <w:sz w:val="24"/>
          <w:szCs w:val="24"/>
        </w:rPr>
        <w:t>p</w:t>
      </w:r>
      <w:r w:rsidRPr="001909F1">
        <w:rPr>
          <w:rFonts w:asciiTheme="majorBidi" w:hAnsiTheme="majorBidi" w:cstheme="majorBidi"/>
          <w:sz w:val="24"/>
          <w:szCs w:val="24"/>
        </w:rPr>
        <w:t xml:space="preserve">&lt;.001, </w:t>
      </w:r>
      <w:r w:rsidRPr="001909F1">
        <w:rPr>
          <w:rFonts w:asciiTheme="majorBidi" w:hAnsiTheme="majorBidi" w:cstheme="majorBidi"/>
          <w:sz w:val="24"/>
          <w:szCs w:val="24"/>
        </w:rPr>
        <w:object w:dxaOrig="285" w:dyaOrig="405" w14:anchorId="78583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pt;height:21.5pt" o:ole="">
            <v:imagedata r:id="rId12" o:title=""/>
          </v:shape>
          <o:OLEObject Type="Embed" ProgID="Equation.3" ShapeID="_x0000_i1025" DrawAspect="Content" ObjectID="_1771102709" r:id="rId13"/>
        </w:object>
      </w:r>
      <w:r w:rsidRPr="001909F1">
        <w:rPr>
          <w:rFonts w:asciiTheme="majorBidi" w:hAnsiTheme="majorBidi" w:cstheme="majorBidi"/>
          <w:sz w:val="24"/>
          <w:szCs w:val="24"/>
        </w:rPr>
        <w:t>=.25 [90%CI 0.12 to 0.37]).</w:t>
      </w:r>
    </w:p>
    <w:p w14:paraId="19705E4C" w14:textId="77777777" w:rsidR="001909F1" w:rsidRPr="00725443" w:rsidRDefault="001909F1" w:rsidP="0022281C">
      <w:pPr>
        <w:spacing w:after="240" w:line="480" w:lineRule="auto"/>
        <w:jc w:val="both"/>
        <w:rPr>
          <w:rFonts w:asciiTheme="majorBidi" w:hAnsiTheme="majorBidi" w:cstheme="majorBidi"/>
          <w:b/>
          <w:bCs/>
          <w:sz w:val="24"/>
          <w:szCs w:val="24"/>
        </w:rPr>
      </w:pPr>
      <w:r w:rsidRPr="00725443">
        <w:rPr>
          <w:rFonts w:asciiTheme="majorBidi" w:hAnsiTheme="majorBidi" w:cstheme="majorBidi"/>
          <w:b/>
          <w:bCs/>
          <w:sz w:val="24"/>
          <w:szCs w:val="24"/>
        </w:rPr>
        <w:t>GC-MRT vs. SSRI</w:t>
      </w:r>
    </w:p>
    <w:p w14:paraId="4FD9F785" w14:textId="36F31541" w:rsidR="001909F1" w:rsidRPr="001909F1" w:rsidRDefault="001909F1" w:rsidP="007543B7">
      <w:pPr>
        <w:spacing w:after="240" w:line="480" w:lineRule="auto"/>
        <w:ind w:firstLine="720"/>
        <w:jc w:val="both"/>
        <w:rPr>
          <w:rFonts w:asciiTheme="majorBidi" w:hAnsiTheme="majorBidi" w:cstheme="majorBidi"/>
          <w:sz w:val="24"/>
          <w:szCs w:val="24"/>
        </w:rPr>
      </w:pPr>
      <w:r w:rsidRPr="001909F1">
        <w:rPr>
          <w:rFonts w:asciiTheme="majorBidi" w:hAnsiTheme="majorBidi" w:cstheme="majorBidi"/>
          <w:sz w:val="24"/>
          <w:szCs w:val="24"/>
        </w:rPr>
        <w:t>Between group difference in baseline signal change was noted for the ACC</w:t>
      </w:r>
      <w:r w:rsidRPr="001909F1">
        <w:rPr>
          <w:rFonts w:asciiTheme="majorBidi" w:hAnsiTheme="majorBidi" w:cstheme="majorBidi"/>
          <w:sz w:val="24"/>
          <w:szCs w:val="24"/>
          <w:vertAlign w:val="subscript"/>
        </w:rPr>
        <w:t>2</w:t>
      </w:r>
      <w:r w:rsidRPr="001909F1">
        <w:rPr>
          <w:rFonts w:asciiTheme="majorBidi" w:hAnsiTheme="majorBidi" w:cstheme="majorBidi"/>
          <w:sz w:val="24"/>
          <w:szCs w:val="24"/>
        </w:rPr>
        <w:t xml:space="preserve"> cluster (</w:t>
      </w:r>
      <w:r w:rsidRPr="001909F1">
        <w:rPr>
          <w:rFonts w:asciiTheme="majorBidi" w:hAnsiTheme="majorBidi" w:cstheme="majorBidi"/>
          <w:i/>
          <w:iCs/>
          <w:sz w:val="24"/>
          <w:szCs w:val="24"/>
        </w:rPr>
        <w:t>t</w:t>
      </w:r>
      <w:r w:rsidRPr="001909F1">
        <w:rPr>
          <w:rFonts w:asciiTheme="majorBidi" w:hAnsiTheme="majorBidi" w:cstheme="majorBidi"/>
          <w:sz w:val="24"/>
          <w:szCs w:val="24"/>
        </w:rPr>
        <w:t xml:space="preserve">(49)=-4.06, </w:t>
      </w:r>
      <w:r w:rsidRPr="001909F1">
        <w:rPr>
          <w:rFonts w:asciiTheme="majorBidi" w:hAnsiTheme="majorBidi" w:cstheme="majorBidi"/>
          <w:i/>
          <w:iCs/>
          <w:sz w:val="24"/>
          <w:szCs w:val="24"/>
        </w:rPr>
        <w:t>p</w:t>
      </w:r>
      <w:r w:rsidRPr="001909F1">
        <w:rPr>
          <w:rFonts w:asciiTheme="majorBidi" w:hAnsiTheme="majorBidi" w:cstheme="majorBidi"/>
          <w:sz w:val="24"/>
          <w:szCs w:val="24"/>
        </w:rPr>
        <w:t xml:space="preserve">&lt;.001, </w:t>
      </w:r>
      <w:r w:rsidRPr="001909F1">
        <w:rPr>
          <w:rFonts w:asciiTheme="majorBidi" w:hAnsiTheme="majorBidi" w:cstheme="majorBidi"/>
          <w:i/>
          <w:iCs/>
          <w:sz w:val="24"/>
          <w:szCs w:val="24"/>
        </w:rPr>
        <w:t>d</w:t>
      </w:r>
      <w:r w:rsidRPr="001909F1">
        <w:rPr>
          <w:rFonts w:asciiTheme="majorBidi" w:hAnsiTheme="majorBidi" w:cstheme="majorBidi"/>
          <w:sz w:val="24"/>
          <w:szCs w:val="24"/>
        </w:rPr>
        <w:t>=-1.15 [95%CI -1.74 to -0.54]). Here too, when controlling for baseline BOLD signal change as a covariate, between group effects remained significant for this cluster (</w:t>
      </w:r>
      <w:r w:rsidRPr="001909F1">
        <w:rPr>
          <w:rFonts w:asciiTheme="majorBidi" w:hAnsiTheme="majorBidi" w:cstheme="majorBidi"/>
          <w:i/>
          <w:iCs/>
          <w:sz w:val="24"/>
          <w:szCs w:val="24"/>
        </w:rPr>
        <w:t>F</w:t>
      </w:r>
      <w:r w:rsidRPr="001909F1">
        <w:rPr>
          <w:rFonts w:asciiTheme="majorBidi" w:hAnsiTheme="majorBidi" w:cstheme="majorBidi"/>
          <w:sz w:val="24"/>
          <w:szCs w:val="24"/>
        </w:rPr>
        <w:t xml:space="preserve">(1, 48)=10.64, </w:t>
      </w:r>
      <w:r w:rsidRPr="001909F1">
        <w:rPr>
          <w:rFonts w:asciiTheme="majorBidi" w:hAnsiTheme="majorBidi" w:cstheme="majorBidi"/>
          <w:i/>
          <w:iCs/>
          <w:sz w:val="24"/>
          <w:szCs w:val="24"/>
        </w:rPr>
        <w:t>p</w:t>
      </w:r>
      <w:r w:rsidRPr="001909F1">
        <w:rPr>
          <w:rFonts w:asciiTheme="majorBidi" w:hAnsiTheme="majorBidi" w:cstheme="majorBidi"/>
          <w:sz w:val="24"/>
          <w:szCs w:val="24"/>
        </w:rPr>
        <w:t xml:space="preserve">=.002, </w:t>
      </w:r>
      <w:r w:rsidRPr="001909F1">
        <w:rPr>
          <w:rFonts w:asciiTheme="majorBidi" w:hAnsiTheme="majorBidi" w:cstheme="majorBidi"/>
          <w:sz w:val="24"/>
          <w:szCs w:val="24"/>
        </w:rPr>
        <w:object w:dxaOrig="285" w:dyaOrig="405" w14:anchorId="6B0F895B">
          <v:shape id="_x0000_i1026" type="#_x0000_t75" style="width:14.5pt;height:21.5pt" o:ole="">
            <v:imagedata r:id="rId12" o:title=""/>
          </v:shape>
          <o:OLEObject Type="Embed" ProgID="Equation.3" ShapeID="_x0000_i1026" DrawAspect="Content" ObjectID="_1771102710" r:id="rId14"/>
        </w:object>
      </w:r>
      <w:r w:rsidRPr="001909F1">
        <w:rPr>
          <w:rFonts w:asciiTheme="majorBidi" w:hAnsiTheme="majorBidi" w:cstheme="majorBidi"/>
          <w:sz w:val="24"/>
          <w:szCs w:val="24"/>
        </w:rPr>
        <w:t xml:space="preserve">=.18 [90%CI 0.04 to 0.33]). </w:t>
      </w:r>
      <w:r w:rsidRPr="001909F1">
        <w:rPr>
          <w:rFonts w:asciiTheme="majorBidi" w:hAnsiTheme="majorBidi" w:cstheme="majorBidi"/>
          <w:sz w:val="24"/>
          <w:szCs w:val="24"/>
        </w:rPr>
        <w:br w:type="page"/>
      </w:r>
    </w:p>
    <w:p w14:paraId="3A51F77B" w14:textId="57B92770" w:rsidR="00725443" w:rsidRPr="007543B7" w:rsidRDefault="00725443" w:rsidP="00357679">
      <w:pPr>
        <w:spacing w:after="240" w:line="480" w:lineRule="auto"/>
        <w:jc w:val="both"/>
        <w:rPr>
          <w:rFonts w:asciiTheme="majorBidi" w:hAnsiTheme="majorBidi" w:cstheme="majorBidi"/>
          <w:sz w:val="24"/>
          <w:szCs w:val="24"/>
        </w:rPr>
      </w:pPr>
      <w:r w:rsidRPr="007543B7">
        <w:rPr>
          <w:rFonts w:asciiTheme="majorBidi" w:hAnsiTheme="majorBidi" w:cstheme="majorBidi"/>
          <w:b/>
          <w:bCs/>
          <w:sz w:val="24"/>
          <w:szCs w:val="24"/>
        </w:rPr>
        <w:lastRenderedPageBreak/>
        <w:t xml:space="preserve">Table </w:t>
      </w:r>
      <w:r w:rsidR="005171CC" w:rsidRPr="007543B7">
        <w:rPr>
          <w:rFonts w:asciiTheme="majorBidi" w:hAnsiTheme="majorBidi" w:cstheme="majorBidi"/>
          <w:b/>
          <w:bCs/>
          <w:sz w:val="24"/>
          <w:szCs w:val="24"/>
        </w:rPr>
        <w:t>S</w:t>
      </w:r>
      <w:r w:rsidR="005171CC">
        <w:rPr>
          <w:rFonts w:asciiTheme="majorBidi" w:hAnsiTheme="majorBidi" w:cstheme="majorBidi"/>
          <w:b/>
          <w:bCs/>
          <w:sz w:val="24"/>
          <w:szCs w:val="24"/>
        </w:rPr>
        <w:t>3</w:t>
      </w:r>
      <w:r w:rsidRPr="007543B7">
        <w:rPr>
          <w:rFonts w:asciiTheme="majorBidi" w:hAnsiTheme="majorBidi" w:cstheme="majorBidi"/>
          <w:b/>
          <w:bCs/>
          <w:sz w:val="24"/>
          <w:szCs w:val="24"/>
        </w:rPr>
        <w:t xml:space="preserve">. </w:t>
      </w:r>
      <w:r w:rsidRPr="007543B7">
        <w:rPr>
          <w:rFonts w:asciiTheme="majorBidi" w:hAnsiTheme="majorBidi" w:cstheme="majorBidi"/>
          <w:sz w:val="24"/>
          <w:szCs w:val="24"/>
        </w:rPr>
        <w:t>Baseline demographic characteristics of analyzed participants, for each group.</w:t>
      </w:r>
      <w:r w:rsidR="007543B7">
        <w:rPr>
          <w:rFonts w:asciiTheme="majorBidi" w:hAnsiTheme="majorBidi" w:cstheme="majorBidi"/>
          <w:sz w:val="24"/>
          <w:szCs w:val="24"/>
        </w:rPr>
        <w:t xml:space="preserve"> </w:t>
      </w:r>
      <w:r w:rsidR="007543B7" w:rsidRPr="007543B7">
        <w:rPr>
          <w:rFonts w:asciiTheme="majorBidi" w:hAnsiTheme="majorBidi" w:cstheme="majorBidi"/>
          <w:sz w:val="24"/>
          <w:szCs w:val="24"/>
        </w:rPr>
        <w:t>GC-MRT, Gaze Contingent Music Reward Therapy; SSRI, Selective Serotonin Reuptake Inhibitors; GAD, Generalized Anxiety Disorder</w:t>
      </w:r>
      <w:r w:rsidR="007543B7">
        <w:rPr>
          <w:rFonts w:asciiTheme="majorBidi" w:hAnsiTheme="majorBidi" w:cstheme="majorBidi"/>
          <w:sz w:val="24"/>
          <w:szCs w:val="24"/>
        </w:rPr>
        <w:t>.</w:t>
      </w:r>
    </w:p>
    <w:p w14:paraId="758FF7FB" w14:textId="77777777" w:rsidR="00725443" w:rsidRPr="001909F1" w:rsidRDefault="00725443" w:rsidP="00725443">
      <w:pPr>
        <w:spacing w:after="240"/>
        <w:rPr>
          <w:rFonts w:asciiTheme="majorBidi" w:hAnsiTheme="majorBidi" w:cstheme="majorBidi"/>
          <w:sz w:val="20"/>
          <w:szCs w:val="20"/>
        </w:rPr>
      </w:pPr>
    </w:p>
    <w:tbl>
      <w:tblPr>
        <w:tblStyle w:val="TableGrid"/>
        <w:tblW w:w="0" w:type="auto"/>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2875"/>
        <w:gridCol w:w="2340"/>
        <w:gridCol w:w="2160"/>
        <w:gridCol w:w="1975"/>
      </w:tblGrid>
      <w:tr w:rsidR="00725443" w:rsidRPr="00725443" w14:paraId="53D56077" w14:textId="77777777" w:rsidTr="00725443">
        <w:tc>
          <w:tcPr>
            <w:tcW w:w="2875" w:type="dxa"/>
          </w:tcPr>
          <w:p w14:paraId="2F295145" w14:textId="77777777" w:rsidR="00725443" w:rsidRPr="00725443" w:rsidRDefault="00725443" w:rsidP="00725443">
            <w:pPr>
              <w:spacing w:after="240"/>
              <w:rPr>
                <w:rFonts w:asciiTheme="majorBidi" w:hAnsiTheme="majorBidi" w:cstheme="majorBidi"/>
                <w:b/>
                <w:bCs/>
                <w:sz w:val="24"/>
                <w:szCs w:val="24"/>
              </w:rPr>
            </w:pPr>
          </w:p>
        </w:tc>
        <w:tc>
          <w:tcPr>
            <w:tcW w:w="2340" w:type="dxa"/>
            <w:hideMark/>
          </w:tcPr>
          <w:p w14:paraId="5F1F8BEC" w14:textId="77777777" w:rsidR="00725443" w:rsidRPr="00725443" w:rsidRDefault="00725443" w:rsidP="00725443">
            <w:pPr>
              <w:spacing w:after="240"/>
              <w:rPr>
                <w:rFonts w:asciiTheme="majorBidi" w:hAnsiTheme="majorBidi" w:cstheme="majorBidi"/>
                <w:b/>
                <w:bCs/>
                <w:sz w:val="24"/>
                <w:szCs w:val="24"/>
              </w:rPr>
            </w:pPr>
            <w:r w:rsidRPr="00725443">
              <w:rPr>
                <w:rFonts w:asciiTheme="majorBidi" w:hAnsiTheme="majorBidi" w:cstheme="majorBidi"/>
                <w:b/>
                <w:bCs/>
                <w:sz w:val="24"/>
                <w:szCs w:val="24"/>
              </w:rPr>
              <w:t>GC-MRT (n=29)</w:t>
            </w:r>
          </w:p>
        </w:tc>
        <w:tc>
          <w:tcPr>
            <w:tcW w:w="2160" w:type="dxa"/>
            <w:hideMark/>
          </w:tcPr>
          <w:p w14:paraId="5847BDFD" w14:textId="77777777" w:rsidR="00725443" w:rsidRPr="00725443" w:rsidRDefault="00725443" w:rsidP="00725443">
            <w:pPr>
              <w:spacing w:after="240"/>
              <w:rPr>
                <w:rFonts w:asciiTheme="majorBidi" w:hAnsiTheme="majorBidi" w:cstheme="majorBidi"/>
                <w:b/>
                <w:bCs/>
                <w:sz w:val="24"/>
                <w:szCs w:val="24"/>
              </w:rPr>
            </w:pPr>
            <w:r w:rsidRPr="00725443">
              <w:rPr>
                <w:rFonts w:asciiTheme="majorBidi" w:hAnsiTheme="majorBidi" w:cstheme="majorBidi"/>
                <w:b/>
                <w:bCs/>
                <w:sz w:val="24"/>
                <w:szCs w:val="24"/>
              </w:rPr>
              <w:t>SSRI (n=22)</w:t>
            </w:r>
          </w:p>
        </w:tc>
        <w:tc>
          <w:tcPr>
            <w:tcW w:w="1975" w:type="dxa"/>
            <w:hideMark/>
          </w:tcPr>
          <w:p w14:paraId="53508A45" w14:textId="77777777" w:rsidR="00725443" w:rsidRPr="00725443" w:rsidRDefault="00725443" w:rsidP="00725443">
            <w:pPr>
              <w:spacing w:after="240"/>
              <w:rPr>
                <w:rFonts w:asciiTheme="majorBidi" w:hAnsiTheme="majorBidi" w:cstheme="majorBidi"/>
                <w:b/>
                <w:bCs/>
                <w:sz w:val="24"/>
                <w:szCs w:val="24"/>
              </w:rPr>
            </w:pPr>
            <w:r w:rsidRPr="00725443">
              <w:rPr>
                <w:rFonts w:asciiTheme="majorBidi" w:hAnsiTheme="majorBidi" w:cstheme="majorBidi"/>
                <w:b/>
                <w:bCs/>
                <w:sz w:val="24"/>
                <w:szCs w:val="24"/>
              </w:rPr>
              <w:t>Control (n=30)</w:t>
            </w:r>
          </w:p>
        </w:tc>
      </w:tr>
      <w:tr w:rsidR="00725443" w:rsidRPr="00725443" w14:paraId="14B96F5B" w14:textId="77777777" w:rsidTr="00725443">
        <w:tc>
          <w:tcPr>
            <w:tcW w:w="2875" w:type="dxa"/>
            <w:hideMark/>
          </w:tcPr>
          <w:p w14:paraId="3BE2A88C" w14:textId="77777777" w:rsidR="00725443" w:rsidRPr="00725443" w:rsidRDefault="00725443" w:rsidP="00725443">
            <w:pPr>
              <w:spacing w:after="240"/>
              <w:rPr>
                <w:rFonts w:asciiTheme="majorBidi" w:hAnsiTheme="majorBidi" w:cstheme="majorBidi"/>
                <w:sz w:val="24"/>
                <w:szCs w:val="24"/>
              </w:rPr>
            </w:pPr>
            <w:r w:rsidRPr="00725443">
              <w:rPr>
                <w:rFonts w:asciiTheme="majorBidi" w:hAnsiTheme="majorBidi" w:cstheme="majorBidi"/>
                <w:sz w:val="24"/>
                <w:szCs w:val="24"/>
              </w:rPr>
              <w:t>Males, no. (%)</w:t>
            </w:r>
          </w:p>
        </w:tc>
        <w:tc>
          <w:tcPr>
            <w:tcW w:w="2340" w:type="dxa"/>
            <w:hideMark/>
          </w:tcPr>
          <w:p w14:paraId="0168CB3F" w14:textId="77777777" w:rsidR="00725443" w:rsidRPr="00725443" w:rsidRDefault="00725443" w:rsidP="00725443">
            <w:pPr>
              <w:spacing w:after="240"/>
              <w:rPr>
                <w:rFonts w:asciiTheme="majorBidi" w:hAnsiTheme="majorBidi" w:cstheme="majorBidi"/>
                <w:sz w:val="24"/>
                <w:szCs w:val="24"/>
              </w:rPr>
            </w:pPr>
            <w:r w:rsidRPr="00725443">
              <w:rPr>
                <w:rFonts w:asciiTheme="majorBidi" w:hAnsiTheme="majorBidi" w:cstheme="majorBidi"/>
                <w:sz w:val="24"/>
                <w:szCs w:val="24"/>
              </w:rPr>
              <w:t>18 (62.07)</w:t>
            </w:r>
          </w:p>
        </w:tc>
        <w:tc>
          <w:tcPr>
            <w:tcW w:w="2160" w:type="dxa"/>
            <w:hideMark/>
          </w:tcPr>
          <w:p w14:paraId="2C49CED5" w14:textId="77777777" w:rsidR="00725443" w:rsidRPr="00725443" w:rsidRDefault="00725443" w:rsidP="00725443">
            <w:pPr>
              <w:spacing w:after="240"/>
              <w:rPr>
                <w:rFonts w:asciiTheme="majorBidi" w:hAnsiTheme="majorBidi" w:cstheme="majorBidi"/>
                <w:sz w:val="24"/>
                <w:szCs w:val="24"/>
              </w:rPr>
            </w:pPr>
            <w:r w:rsidRPr="00725443">
              <w:rPr>
                <w:rFonts w:asciiTheme="majorBidi" w:hAnsiTheme="majorBidi" w:cstheme="majorBidi"/>
                <w:sz w:val="24"/>
                <w:szCs w:val="24"/>
              </w:rPr>
              <w:t>13 (59.09)</w:t>
            </w:r>
          </w:p>
        </w:tc>
        <w:tc>
          <w:tcPr>
            <w:tcW w:w="1975" w:type="dxa"/>
            <w:hideMark/>
          </w:tcPr>
          <w:p w14:paraId="26909BE5" w14:textId="77777777" w:rsidR="00725443" w:rsidRPr="00725443" w:rsidRDefault="00725443" w:rsidP="00725443">
            <w:pPr>
              <w:spacing w:after="240"/>
              <w:rPr>
                <w:rFonts w:asciiTheme="majorBidi" w:hAnsiTheme="majorBidi" w:cstheme="majorBidi"/>
                <w:sz w:val="24"/>
                <w:szCs w:val="24"/>
              </w:rPr>
            </w:pPr>
            <w:r w:rsidRPr="00725443">
              <w:rPr>
                <w:rFonts w:asciiTheme="majorBidi" w:hAnsiTheme="majorBidi" w:cstheme="majorBidi"/>
                <w:sz w:val="24"/>
                <w:szCs w:val="24"/>
              </w:rPr>
              <w:t>18 (60.0)</w:t>
            </w:r>
          </w:p>
        </w:tc>
      </w:tr>
      <w:tr w:rsidR="00725443" w:rsidRPr="00725443" w14:paraId="6F32204E" w14:textId="77777777" w:rsidTr="00725443">
        <w:tc>
          <w:tcPr>
            <w:tcW w:w="2875" w:type="dxa"/>
            <w:hideMark/>
          </w:tcPr>
          <w:p w14:paraId="28F1B902" w14:textId="77777777" w:rsidR="00725443" w:rsidRPr="00725443" w:rsidRDefault="00725443" w:rsidP="00725443">
            <w:pPr>
              <w:spacing w:after="240"/>
              <w:rPr>
                <w:rFonts w:asciiTheme="majorBidi" w:hAnsiTheme="majorBidi" w:cstheme="majorBidi"/>
                <w:sz w:val="24"/>
                <w:szCs w:val="24"/>
              </w:rPr>
            </w:pPr>
            <w:r w:rsidRPr="00725443">
              <w:rPr>
                <w:rFonts w:asciiTheme="majorBidi" w:hAnsiTheme="majorBidi" w:cstheme="majorBidi"/>
                <w:sz w:val="24"/>
                <w:szCs w:val="24"/>
              </w:rPr>
              <w:t>Age, mean (SD), years</w:t>
            </w:r>
          </w:p>
        </w:tc>
        <w:tc>
          <w:tcPr>
            <w:tcW w:w="2340" w:type="dxa"/>
            <w:hideMark/>
          </w:tcPr>
          <w:p w14:paraId="5C5353BC" w14:textId="77777777" w:rsidR="00725443" w:rsidRPr="00725443" w:rsidRDefault="00725443" w:rsidP="00725443">
            <w:pPr>
              <w:spacing w:after="240"/>
              <w:rPr>
                <w:rFonts w:asciiTheme="majorBidi" w:hAnsiTheme="majorBidi" w:cstheme="majorBidi"/>
                <w:sz w:val="24"/>
                <w:szCs w:val="24"/>
              </w:rPr>
            </w:pPr>
            <w:r w:rsidRPr="00725443">
              <w:rPr>
                <w:rFonts w:asciiTheme="majorBidi" w:hAnsiTheme="majorBidi" w:cstheme="majorBidi"/>
                <w:sz w:val="24"/>
                <w:szCs w:val="24"/>
              </w:rPr>
              <w:t>29.59 (7.03)</w:t>
            </w:r>
          </w:p>
        </w:tc>
        <w:tc>
          <w:tcPr>
            <w:tcW w:w="2160" w:type="dxa"/>
            <w:hideMark/>
          </w:tcPr>
          <w:p w14:paraId="03C038DE" w14:textId="77777777" w:rsidR="00725443" w:rsidRPr="00725443" w:rsidRDefault="00725443" w:rsidP="00725443">
            <w:pPr>
              <w:spacing w:after="240"/>
              <w:rPr>
                <w:rFonts w:asciiTheme="majorBidi" w:hAnsiTheme="majorBidi" w:cstheme="majorBidi"/>
                <w:sz w:val="24"/>
                <w:szCs w:val="24"/>
              </w:rPr>
            </w:pPr>
            <w:r w:rsidRPr="00725443">
              <w:rPr>
                <w:rFonts w:asciiTheme="majorBidi" w:hAnsiTheme="majorBidi" w:cstheme="majorBidi"/>
                <w:sz w:val="24"/>
                <w:szCs w:val="24"/>
              </w:rPr>
              <w:t>28.82 (7.42)</w:t>
            </w:r>
          </w:p>
        </w:tc>
        <w:tc>
          <w:tcPr>
            <w:tcW w:w="1975" w:type="dxa"/>
            <w:hideMark/>
          </w:tcPr>
          <w:p w14:paraId="0052451D" w14:textId="77777777" w:rsidR="00725443" w:rsidRPr="00725443" w:rsidRDefault="00725443" w:rsidP="00725443">
            <w:pPr>
              <w:spacing w:after="240"/>
              <w:rPr>
                <w:rFonts w:asciiTheme="majorBidi" w:hAnsiTheme="majorBidi" w:cstheme="majorBidi"/>
                <w:sz w:val="24"/>
                <w:szCs w:val="24"/>
              </w:rPr>
            </w:pPr>
            <w:r w:rsidRPr="00725443">
              <w:rPr>
                <w:rFonts w:asciiTheme="majorBidi" w:hAnsiTheme="majorBidi" w:cstheme="majorBidi"/>
                <w:sz w:val="24"/>
                <w:szCs w:val="24"/>
              </w:rPr>
              <w:t>29.66 (7.06)</w:t>
            </w:r>
          </w:p>
        </w:tc>
      </w:tr>
      <w:tr w:rsidR="00725443" w:rsidRPr="00725443" w14:paraId="702F157C" w14:textId="77777777" w:rsidTr="00725443">
        <w:tc>
          <w:tcPr>
            <w:tcW w:w="2875" w:type="dxa"/>
            <w:hideMark/>
          </w:tcPr>
          <w:p w14:paraId="710E4812" w14:textId="77777777" w:rsidR="00725443" w:rsidRPr="00725443" w:rsidRDefault="00725443" w:rsidP="00725443">
            <w:pPr>
              <w:spacing w:after="240"/>
              <w:rPr>
                <w:rFonts w:asciiTheme="majorBidi" w:hAnsiTheme="majorBidi" w:cstheme="majorBidi"/>
                <w:sz w:val="24"/>
                <w:szCs w:val="24"/>
              </w:rPr>
            </w:pPr>
            <w:r w:rsidRPr="00725443">
              <w:rPr>
                <w:rFonts w:asciiTheme="majorBidi" w:hAnsiTheme="majorBidi" w:cstheme="majorBidi"/>
                <w:sz w:val="24"/>
                <w:szCs w:val="24"/>
              </w:rPr>
              <w:t>Comorbidities, no. (%)</w:t>
            </w:r>
          </w:p>
        </w:tc>
        <w:tc>
          <w:tcPr>
            <w:tcW w:w="2340" w:type="dxa"/>
          </w:tcPr>
          <w:p w14:paraId="4BEFCCCE" w14:textId="77777777" w:rsidR="00725443" w:rsidRPr="00725443" w:rsidRDefault="00725443" w:rsidP="00725443">
            <w:pPr>
              <w:spacing w:after="240"/>
              <w:rPr>
                <w:rFonts w:asciiTheme="majorBidi" w:hAnsiTheme="majorBidi" w:cstheme="majorBidi"/>
                <w:sz w:val="24"/>
                <w:szCs w:val="24"/>
              </w:rPr>
            </w:pPr>
          </w:p>
        </w:tc>
        <w:tc>
          <w:tcPr>
            <w:tcW w:w="2160" w:type="dxa"/>
          </w:tcPr>
          <w:p w14:paraId="4990D4D3" w14:textId="77777777" w:rsidR="00725443" w:rsidRPr="00725443" w:rsidRDefault="00725443" w:rsidP="00725443">
            <w:pPr>
              <w:spacing w:after="240"/>
              <w:rPr>
                <w:rFonts w:asciiTheme="majorBidi" w:hAnsiTheme="majorBidi" w:cstheme="majorBidi"/>
                <w:sz w:val="24"/>
                <w:szCs w:val="24"/>
              </w:rPr>
            </w:pPr>
          </w:p>
        </w:tc>
        <w:tc>
          <w:tcPr>
            <w:tcW w:w="1975" w:type="dxa"/>
          </w:tcPr>
          <w:p w14:paraId="54418243" w14:textId="77777777" w:rsidR="00725443" w:rsidRPr="00725443" w:rsidRDefault="00725443" w:rsidP="00725443">
            <w:pPr>
              <w:spacing w:after="240"/>
              <w:rPr>
                <w:rFonts w:asciiTheme="majorBidi" w:hAnsiTheme="majorBidi" w:cstheme="majorBidi"/>
                <w:sz w:val="24"/>
                <w:szCs w:val="24"/>
              </w:rPr>
            </w:pPr>
          </w:p>
        </w:tc>
      </w:tr>
      <w:tr w:rsidR="00725443" w:rsidRPr="00725443" w14:paraId="3CAAFCD9" w14:textId="77777777" w:rsidTr="00725443">
        <w:tc>
          <w:tcPr>
            <w:tcW w:w="2875" w:type="dxa"/>
            <w:hideMark/>
          </w:tcPr>
          <w:p w14:paraId="59582B62" w14:textId="77777777" w:rsidR="00725443" w:rsidRPr="00725443" w:rsidRDefault="00725443" w:rsidP="00725443">
            <w:pPr>
              <w:spacing w:after="240"/>
              <w:ind w:left="240"/>
              <w:rPr>
                <w:rFonts w:asciiTheme="majorBidi" w:hAnsiTheme="majorBidi" w:cstheme="majorBidi"/>
                <w:sz w:val="24"/>
                <w:szCs w:val="24"/>
              </w:rPr>
            </w:pPr>
            <w:r w:rsidRPr="00725443">
              <w:rPr>
                <w:rFonts w:asciiTheme="majorBidi" w:hAnsiTheme="majorBidi" w:cstheme="majorBidi"/>
                <w:sz w:val="24"/>
                <w:szCs w:val="24"/>
              </w:rPr>
              <w:t>Mild depressive episode</w:t>
            </w:r>
          </w:p>
        </w:tc>
        <w:tc>
          <w:tcPr>
            <w:tcW w:w="2340" w:type="dxa"/>
            <w:hideMark/>
          </w:tcPr>
          <w:p w14:paraId="268539D3" w14:textId="77777777" w:rsidR="00725443" w:rsidRPr="00725443" w:rsidRDefault="00725443" w:rsidP="00725443">
            <w:pPr>
              <w:spacing w:after="240"/>
              <w:rPr>
                <w:rFonts w:asciiTheme="majorBidi" w:hAnsiTheme="majorBidi" w:cstheme="majorBidi"/>
                <w:sz w:val="24"/>
                <w:szCs w:val="24"/>
              </w:rPr>
            </w:pPr>
            <w:r w:rsidRPr="00725443">
              <w:rPr>
                <w:rFonts w:asciiTheme="majorBidi" w:hAnsiTheme="majorBidi" w:cstheme="majorBidi"/>
                <w:sz w:val="24"/>
                <w:szCs w:val="24"/>
              </w:rPr>
              <w:t>7 (24.14)</w:t>
            </w:r>
          </w:p>
        </w:tc>
        <w:tc>
          <w:tcPr>
            <w:tcW w:w="2160" w:type="dxa"/>
            <w:hideMark/>
          </w:tcPr>
          <w:p w14:paraId="60082AB8" w14:textId="77777777" w:rsidR="00725443" w:rsidRPr="00725443" w:rsidRDefault="00725443" w:rsidP="00725443">
            <w:pPr>
              <w:spacing w:after="240"/>
              <w:rPr>
                <w:rFonts w:asciiTheme="majorBidi" w:hAnsiTheme="majorBidi" w:cstheme="majorBidi"/>
                <w:sz w:val="24"/>
                <w:szCs w:val="24"/>
              </w:rPr>
            </w:pPr>
            <w:r w:rsidRPr="00725443">
              <w:rPr>
                <w:rFonts w:asciiTheme="majorBidi" w:hAnsiTheme="majorBidi" w:cstheme="majorBidi"/>
                <w:sz w:val="24"/>
                <w:szCs w:val="24"/>
              </w:rPr>
              <w:t>8 (36.36)</w:t>
            </w:r>
          </w:p>
        </w:tc>
        <w:tc>
          <w:tcPr>
            <w:tcW w:w="1975" w:type="dxa"/>
            <w:hideMark/>
          </w:tcPr>
          <w:p w14:paraId="345BB13B" w14:textId="77777777" w:rsidR="00725443" w:rsidRPr="00725443" w:rsidRDefault="00725443" w:rsidP="00725443">
            <w:pPr>
              <w:spacing w:after="240"/>
              <w:rPr>
                <w:rFonts w:asciiTheme="majorBidi" w:hAnsiTheme="majorBidi" w:cstheme="majorBidi"/>
                <w:sz w:val="24"/>
                <w:szCs w:val="24"/>
              </w:rPr>
            </w:pPr>
            <w:r w:rsidRPr="00725443">
              <w:rPr>
                <w:rFonts w:asciiTheme="majorBidi" w:hAnsiTheme="majorBidi" w:cstheme="majorBidi"/>
                <w:sz w:val="24"/>
                <w:szCs w:val="24"/>
              </w:rPr>
              <w:t>12 (40)</w:t>
            </w:r>
          </w:p>
        </w:tc>
      </w:tr>
      <w:tr w:rsidR="00725443" w:rsidRPr="00725443" w14:paraId="5461CC96" w14:textId="77777777" w:rsidTr="00725443">
        <w:tc>
          <w:tcPr>
            <w:tcW w:w="2875" w:type="dxa"/>
            <w:hideMark/>
          </w:tcPr>
          <w:p w14:paraId="06B2F790" w14:textId="77777777" w:rsidR="00725443" w:rsidRPr="00725443" w:rsidRDefault="00725443" w:rsidP="00725443">
            <w:pPr>
              <w:spacing w:after="240"/>
              <w:ind w:left="240"/>
              <w:rPr>
                <w:rFonts w:asciiTheme="majorBidi" w:hAnsiTheme="majorBidi" w:cstheme="majorBidi"/>
                <w:sz w:val="24"/>
                <w:szCs w:val="24"/>
              </w:rPr>
            </w:pPr>
            <w:r w:rsidRPr="00725443">
              <w:rPr>
                <w:rFonts w:asciiTheme="majorBidi" w:hAnsiTheme="majorBidi" w:cstheme="majorBidi"/>
                <w:sz w:val="24"/>
                <w:szCs w:val="24"/>
              </w:rPr>
              <w:t>Dysthymia</w:t>
            </w:r>
          </w:p>
        </w:tc>
        <w:tc>
          <w:tcPr>
            <w:tcW w:w="2340" w:type="dxa"/>
            <w:hideMark/>
          </w:tcPr>
          <w:p w14:paraId="1AD003EA" w14:textId="77777777" w:rsidR="00725443" w:rsidRPr="00725443" w:rsidRDefault="00725443" w:rsidP="00725443">
            <w:pPr>
              <w:spacing w:after="240"/>
              <w:rPr>
                <w:rFonts w:asciiTheme="majorBidi" w:hAnsiTheme="majorBidi" w:cstheme="majorBidi"/>
                <w:sz w:val="24"/>
                <w:szCs w:val="24"/>
              </w:rPr>
            </w:pPr>
            <w:r w:rsidRPr="00725443">
              <w:rPr>
                <w:rFonts w:asciiTheme="majorBidi" w:hAnsiTheme="majorBidi" w:cstheme="majorBidi"/>
                <w:sz w:val="24"/>
                <w:szCs w:val="24"/>
              </w:rPr>
              <w:t>4 (13.79)</w:t>
            </w:r>
          </w:p>
        </w:tc>
        <w:tc>
          <w:tcPr>
            <w:tcW w:w="2160" w:type="dxa"/>
            <w:hideMark/>
          </w:tcPr>
          <w:p w14:paraId="3932EF1E" w14:textId="77777777" w:rsidR="00725443" w:rsidRPr="00725443" w:rsidRDefault="00725443" w:rsidP="00725443">
            <w:pPr>
              <w:spacing w:after="240"/>
              <w:rPr>
                <w:rFonts w:asciiTheme="majorBidi" w:hAnsiTheme="majorBidi" w:cstheme="majorBidi"/>
                <w:sz w:val="24"/>
                <w:szCs w:val="24"/>
              </w:rPr>
            </w:pPr>
            <w:r w:rsidRPr="00725443">
              <w:rPr>
                <w:rFonts w:asciiTheme="majorBidi" w:hAnsiTheme="majorBidi" w:cstheme="majorBidi"/>
                <w:sz w:val="24"/>
                <w:szCs w:val="24"/>
              </w:rPr>
              <w:t>3 (13.64)</w:t>
            </w:r>
          </w:p>
        </w:tc>
        <w:tc>
          <w:tcPr>
            <w:tcW w:w="1975" w:type="dxa"/>
            <w:hideMark/>
          </w:tcPr>
          <w:p w14:paraId="720C13D5" w14:textId="77777777" w:rsidR="00725443" w:rsidRPr="00725443" w:rsidRDefault="00725443" w:rsidP="00725443">
            <w:pPr>
              <w:spacing w:after="240"/>
              <w:rPr>
                <w:rFonts w:asciiTheme="majorBidi" w:hAnsiTheme="majorBidi" w:cstheme="majorBidi"/>
                <w:sz w:val="24"/>
                <w:szCs w:val="24"/>
              </w:rPr>
            </w:pPr>
            <w:r w:rsidRPr="00725443">
              <w:rPr>
                <w:rFonts w:asciiTheme="majorBidi" w:hAnsiTheme="majorBidi" w:cstheme="majorBidi"/>
                <w:sz w:val="24"/>
                <w:szCs w:val="24"/>
              </w:rPr>
              <w:t>3 (10)</w:t>
            </w:r>
          </w:p>
        </w:tc>
      </w:tr>
      <w:tr w:rsidR="00725443" w:rsidRPr="00725443" w14:paraId="2F8343CD" w14:textId="77777777" w:rsidTr="00725443">
        <w:tc>
          <w:tcPr>
            <w:tcW w:w="2875" w:type="dxa"/>
            <w:hideMark/>
          </w:tcPr>
          <w:p w14:paraId="46F27A39" w14:textId="77777777" w:rsidR="00725443" w:rsidRPr="00725443" w:rsidRDefault="00725443" w:rsidP="00725443">
            <w:pPr>
              <w:spacing w:after="240"/>
              <w:ind w:left="240"/>
              <w:rPr>
                <w:rFonts w:asciiTheme="majorBidi" w:hAnsiTheme="majorBidi" w:cstheme="majorBidi"/>
                <w:sz w:val="24"/>
                <w:szCs w:val="24"/>
              </w:rPr>
            </w:pPr>
            <w:r w:rsidRPr="00725443">
              <w:rPr>
                <w:rFonts w:asciiTheme="majorBidi" w:hAnsiTheme="majorBidi" w:cstheme="majorBidi"/>
                <w:sz w:val="24"/>
                <w:szCs w:val="24"/>
              </w:rPr>
              <w:t>GAD</w:t>
            </w:r>
          </w:p>
        </w:tc>
        <w:tc>
          <w:tcPr>
            <w:tcW w:w="2340" w:type="dxa"/>
            <w:hideMark/>
          </w:tcPr>
          <w:p w14:paraId="5F47AD7A" w14:textId="77777777" w:rsidR="00725443" w:rsidRPr="00725443" w:rsidRDefault="00725443" w:rsidP="00725443">
            <w:pPr>
              <w:spacing w:after="240"/>
              <w:rPr>
                <w:rFonts w:asciiTheme="majorBidi" w:hAnsiTheme="majorBidi" w:cstheme="majorBidi"/>
                <w:sz w:val="24"/>
                <w:szCs w:val="24"/>
              </w:rPr>
            </w:pPr>
            <w:r w:rsidRPr="00725443">
              <w:rPr>
                <w:rFonts w:asciiTheme="majorBidi" w:hAnsiTheme="majorBidi" w:cstheme="majorBidi"/>
                <w:sz w:val="24"/>
                <w:szCs w:val="24"/>
              </w:rPr>
              <w:t>2 (6.90)</w:t>
            </w:r>
          </w:p>
        </w:tc>
        <w:tc>
          <w:tcPr>
            <w:tcW w:w="2160" w:type="dxa"/>
            <w:hideMark/>
          </w:tcPr>
          <w:p w14:paraId="5BD71A2E" w14:textId="77777777" w:rsidR="00725443" w:rsidRPr="00725443" w:rsidRDefault="00725443" w:rsidP="00725443">
            <w:pPr>
              <w:spacing w:after="240"/>
              <w:rPr>
                <w:rFonts w:asciiTheme="majorBidi" w:hAnsiTheme="majorBidi" w:cstheme="majorBidi"/>
                <w:sz w:val="24"/>
                <w:szCs w:val="24"/>
              </w:rPr>
            </w:pPr>
            <w:r w:rsidRPr="00725443">
              <w:rPr>
                <w:rFonts w:asciiTheme="majorBidi" w:hAnsiTheme="majorBidi" w:cstheme="majorBidi"/>
                <w:sz w:val="24"/>
                <w:szCs w:val="24"/>
              </w:rPr>
              <w:t>3 (13.64)</w:t>
            </w:r>
          </w:p>
        </w:tc>
        <w:tc>
          <w:tcPr>
            <w:tcW w:w="1975" w:type="dxa"/>
            <w:hideMark/>
          </w:tcPr>
          <w:p w14:paraId="66143006" w14:textId="77777777" w:rsidR="00725443" w:rsidRPr="00725443" w:rsidRDefault="00725443" w:rsidP="00725443">
            <w:pPr>
              <w:spacing w:after="240"/>
              <w:rPr>
                <w:rFonts w:asciiTheme="majorBidi" w:hAnsiTheme="majorBidi" w:cstheme="majorBidi"/>
                <w:sz w:val="24"/>
                <w:szCs w:val="24"/>
              </w:rPr>
            </w:pPr>
            <w:r w:rsidRPr="00725443">
              <w:rPr>
                <w:rFonts w:asciiTheme="majorBidi" w:hAnsiTheme="majorBidi" w:cstheme="majorBidi"/>
                <w:sz w:val="24"/>
                <w:szCs w:val="24"/>
              </w:rPr>
              <w:t>4 (11.11)</w:t>
            </w:r>
          </w:p>
        </w:tc>
      </w:tr>
      <w:tr w:rsidR="00725443" w:rsidRPr="00725443" w14:paraId="42EE1502" w14:textId="77777777" w:rsidTr="00725443">
        <w:tc>
          <w:tcPr>
            <w:tcW w:w="2875" w:type="dxa"/>
            <w:hideMark/>
          </w:tcPr>
          <w:p w14:paraId="59CCDF58" w14:textId="77777777" w:rsidR="00725443" w:rsidRPr="00725443" w:rsidRDefault="00725443" w:rsidP="00725443">
            <w:pPr>
              <w:spacing w:after="240"/>
              <w:ind w:left="240"/>
              <w:rPr>
                <w:rFonts w:asciiTheme="majorBidi" w:hAnsiTheme="majorBidi" w:cstheme="majorBidi"/>
                <w:sz w:val="24"/>
                <w:szCs w:val="24"/>
              </w:rPr>
            </w:pPr>
            <w:r w:rsidRPr="00725443">
              <w:rPr>
                <w:rFonts w:asciiTheme="majorBidi" w:hAnsiTheme="majorBidi" w:cstheme="majorBidi"/>
                <w:sz w:val="24"/>
                <w:szCs w:val="24"/>
              </w:rPr>
              <w:t>Panic disorder</w:t>
            </w:r>
          </w:p>
        </w:tc>
        <w:tc>
          <w:tcPr>
            <w:tcW w:w="2340" w:type="dxa"/>
            <w:hideMark/>
          </w:tcPr>
          <w:p w14:paraId="23A124F0" w14:textId="77777777" w:rsidR="00725443" w:rsidRPr="00725443" w:rsidRDefault="00725443" w:rsidP="00725443">
            <w:pPr>
              <w:spacing w:after="240"/>
              <w:rPr>
                <w:rFonts w:asciiTheme="majorBidi" w:hAnsiTheme="majorBidi" w:cstheme="majorBidi"/>
                <w:sz w:val="24"/>
                <w:szCs w:val="24"/>
              </w:rPr>
            </w:pPr>
            <w:r w:rsidRPr="00725443">
              <w:rPr>
                <w:rFonts w:asciiTheme="majorBidi" w:hAnsiTheme="majorBidi" w:cstheme="majorBidi"/>
                <w:sz w:val="24"/>
                <w:szCs w:val="24"/>
              </w:rPr>
              <w:t>2 (6.90)</w:t>
            </w:r>
          </w:p>
        </w:tc>
        <w:tc>
          <w:tcPr>
            <w:tcW w:w="2160" w:type="dxa"/>
            <w:hideMark/>
          </w:tcPr>
          <w:p w14:paraId="7812C93A" w14:textId="77777777" w:rsidR="00725443" w:rsidRPr="00725443" w:rsidRDefault="00725443" w:rsidP="00725443">
            <w:pPr>
              <w:spacing w:after="240"/>
              <w:rPr>
                <w:rFonts w:asciiTheme="majorBidi" w:hAnsiTheme="majorBidi" w:cstheme="majorBidi"/>
                <w:sz w:val="24"/>
                <w:szCs w:val="24"/>
              </w:rPr>
            </w:pPr>
            <w:r w:rsidRPr="00725443">
              <w:rPr>
                <w:rFonts w:asciiTheme="majorBidi" w:hAnsiTheme="majorBidi" w:cstheme="majorBidi"/>
                <w:sz w:val="24"/>
                <w:szCs w:val="24"/>
              </w:rPr>
              <w:t>1 (4.55)</w:t>
            </w:r>
          </w:p>
        </w:tc>
        <w:tc>
          <w:tcPr>
            <w:tcW w:w="1975" w:type="dxa"/>
            <w:hideMark/>
          </w:tcPr>
          <w:p w14:paraId="03BE9F33" w14:textId="77777777" w:rsidR="00725443" w:rsidRPr="00725443" w:rsidRDefault="00725443" w:rsidP="00725443">
            <w:pPr>
              <w:spacing w:after="240"/>
              <w:rPr>
                <w:rFonts w:asciiTheme="majorBidi" w:hAnsiTheme="majorBidi" w:cstheme="majorBidi"/>
                <w:sz w:val="24"/>
                <w:szCs w:val="24"/>
              </w:rPr>
            </w:pPr>
            <w:r w:rsidRPr="00725443">
              <w:rPr>
                <w:rFonts w:asciiTheme="majorBidi" w:hAnsiTheme="majorBidi" w:cstheme="majorBidi"/>
                <w:sz w:val="24"/>
                <w:szCs w:val="24"/>
              </w:rPr>
              <w:t>2 (6.67)</w:t>
            </w:r>
          </w:p>
        </w:tc>
      </w:tr>
      <w:tr w:rsidR="00725443" w:rsidRPr="00725443" w14:paraId="2B58C87E" w14:textId="77777777" w:rsidTr="00725443">
        <w:tc>
          <w:tcPr>
            <w:tcW w:w="2875" w:type="dxa"/>
            <w:hideMark/>
          </w:tcPr>
          <w:p w14:paraId="42A8D162" w14:textId="77777777" w:rsidR="00725443" w:rsidRPr="00725443" w:rsidRDefault="00725443" w:rsidP="00725443">
            <w:pPr>
              <w:spacing w:after="240"/>
              <w:ind w:left="240"/>
              <w:rPr>
                <w:rFonts w:asciiTheme="majorBidi" w:hAnsiTheme="majorBidi" w:cstheme="majorBidi"/>
                <w:sz w:val="24"/>
                <w:szCs w:val="24"/>
              </w:rPr>
            </w:pPr>
            <w:r w:rsidRPr="00725443">
              <w:rPr>
                <w:rFonts w:asciiTheme="majorBidi" w:hAnsiTheme="majorBidi" w:cstheme="majorBidi"/>
                <w:sz w:val="24"/>
                <w:szCs w:val="24"/>
              </w:rPr>
              <w:t>Agoraphobia</w:t>
            </w:r>
          </w:p>
        </w:tc>
        <w:tc>
          <w:tcPr>
            <w:tcW w:w="2340" w:type="dxa"/>
            <w:hideMark/>
          </w:tcPr>
          <w:p w14:paraId="61756667" w14:textId="77777777" w:rsidR="00725443" w:rsidRPr="00725443" w:rsidRDefault="00725443" w:rsidP="00725443">
            <w:pPr>
              <w:spacing w:after="240"/>
              <w:rPr>
                <w:rFonts w:asciiTheme="majorBidi" w:hAnsiTheme="majorBidi" w:cstheme="majorBidi"/>
                <w:sz w:val="24"/>
                <w:szCs w:val="24"/>
              </w:rPr>
            </w:pPr>
            <w:r w:rsidRPr="00725443">
              <w:rPr>
                <w:rFonts w:asciiTheme="majorBidi" w:hAnsiTheme="majorBidi" w:cstheme="majorBidi"/>
                <w:sz w:val="24"/>
                <w:szCs w:val="24"/>
              </w:rPr>
              <w:t>2 (6.90)</w:t>
            </w:r>
          </w:p>
        </w:tc>
        <w:tc>
          <w:tcPr>
            <w:tcW w:w="2160" w:type="dxa"/>
            <w:hideMark/>
          </w:tcPr>
          <w:p w14:paraId="6FE67A65" w14:textId="77777777" w:rsidR="00725443" w:rsidRPr="00725443" w:rsidRDefault="00725443" w:rsidP="00725443">
            <w:pPr>
              <w:spacing w:after="240"/>
              <w:rPr>
                <w:rFonts w:asciiTheme="majorBidi" w:hAnsiTheme="majorBidi" w:cstheme="majorBidi"/>
                <w:sz w:val="24"/>
                <w:szCs w:val="24"/>
              </w:rPr>
            </w:pPr>
            <w:r w:rsidRPr="00725443">
              <w:rPr>
                <w:rFonts w:asciiTheme="majorBidi" w:hAnsiTheme="majorBidi" w:cstheme="majorBidi"/>
                <w:sz w:val="24"/>
                <w:szCs w:val="24"/>
              </w:rPr>
              <w:t>1 (4.55)</w:t>
            </w:r>
          </w:p>
        </w:tc>
        <w:tc>
          <w:tcPr>
            <w:tcW w:w="1975" w:type="dxa"/>
            <w:hideMark/>
          </w:tcPr>
          <w:p w14:paraId="77F273FE" w14:textId="77777777" w:rsidR="00725443" w:rsidRPr="00725443" w:rsidRDefault="00725443" w:rsidP="00725443">
            <w:pPr>
              <w:spacing w:after="240"/>
              <w:rPr>
                <w:rFonts w:asciiTheme="majorBidi" w:hAnsiTheme="majorBidi" w:cstheme="majorBidi"/>
                <w:sz w:val="24"/>
                <w:szCs w:val="24"/>
              </w:rPr>
            </w:pPr>
            <w:r w:rsidRPr="00725443">
              <w:rPr>
                <w:rFonts w:asciiTheme="majorBidi" w:hAnsiTheme="majorBidi" w:cstheme="majorBidi"/>
                <w:sz w:val="24"/>
                <w:szCs w:val="24"/>
              </w:rPr>
              <w:t>2 (6.67)</w:t>
            </w:r>
          </w:p>
        </w:tc>
      </w:tr>
    </w:tbl>
    <w:p w14:paraId="08104EF0" w14:textId="77777777" w:rsidR="00725443" w:rsidRPr="001909F1" w:rsidRDefault="00725443" w:rsidP="00725443">
      <w:pPr>
        <w:spacing w:after="240"/>
        <w:rPr>
          <w:rFonts w:asciiTheme="majorBidi" w:hAnsiTheme="majorBidi" w:cstheme="majorBidi"/>
          <w:sz w:val="20"/>
          <w:szCs w:val="20"/>
        </w:rPr>
      </w:pPr>
    </w:p>
    <w:p w14:paraId="43768252" w14:textId="77777777" w:rsidR="00725443" w:rsidRPr="001909F1" w:rsidRDefault="00725443" w:rsidP="00725443">
      <w:pPr>
        <w:spacing w:after="240"/>
        <w:rPr>
          <w:rFonts w:asciiTheme="majorBidi" w:hAnsiTheme="majorBidi" w:cstheme="majorBidi"/>
          <w:b/>
          <w:bCs/>
          <w:sz w:val="20"/>
          <w:szCs w:val="20"/>
        </w:rPr>
      </w:pPr>
    </w:p>
    <w:p w14:paraId="34725DC7" w14:textId="77777777" w:rsidR="00725443" w:rsidRPr="001909F1" w:rsidRDefault="00725443" w:rsidP="00725443">
      <w:pPr>
        <w:spacing w:after="240"/>
        <w:rPr>
          <w:rFonts w:asciiTheme="majorBidi" w:hAnsiTheme="majorBidi" w:cstheme="majorBidi"/>
          <w:b/>
          <w:bCs/>
          <w:sz w:val="20"/>
          <w:szCs w:val="20"/>
        </w:rPr>
      </w:pPr>
      <w:r w:rsidRPr="001909F1">
        <w:rPr>
          <w:rFonts w:asciiTheme="majorBidi" w:hAnsiTheme="majorBidi" w:cstheme="majorBidi"/>
          <w:b/>
          <w:bCs/>
          <w:sz w:val="20"/>
          <w:szCs w:val="20"/>
        </w:rPr>
        <w:br w:type="page"/>
      </w:r>
    </w:p>
    <w:p w14:paraId="22847AE7" w14:textId="615FE940" w:rsidR="00725443" w:rsidRPr="007543B7" w:rsidRDefault="00725443" w:rsidP="00725443">
      <w:pPr>
        <w:spacing w:after="240"/>
        <w:rPr>
          <w:rFonts w:asciiTheme="majorBidi" w:hAnsiTheme="majorBidi" w:cstheme="majorBidi"/>
          <w:sz w:val="24"/>
          <w:szCs w:val="24"/>
        </w:rPr>
      </w:pPr>
      <w:r w:rsidRPr="007543B7">
        <w:rPr>
          <w:rFonts w:asciiTheme="majorBidi" w:hAnsiTheme="majorBidi" w:cstheme="majorBidi"/>
          <w:b/>
          <w:bCs/>
          <w:sz w:val="24"/>
          <w:szCs w:val="24"/>
        </w:rPr>
        <w:lastRenderedPageBreak/>
        <w:t xml:space="preserve">Figure </w:t>
      </w:r>
      <w:r w:rsidR="00C51955">
        <w:rPr>
          <w:rFonts w:asciiTheme="majorBidi" w:hAnsiTheme="majorBidi" w:cstheme="majorBidi"/>
          <w:b/>
          <w:bCs/>
          <w:sz w:val="24"/>
          <w:szCs w:val="24"/>
        </w:rPr>
        <w:t>S4</w:t>
      </w:r>
      <w:r w:rsidRPr="007543B7">
        <w:rPr>
          <w:rFonts w:asciiTheme="majorBidi" w:hAnsiTheme="majorBidi" w:cstheme="majorBidi"/>
          <w:b/>
          <w:bCs/>
          <w:sz w:val="24"/>
          <w:szCs w:val="24"/>
        </w:rPr>
        <w:t xml:space="preserve">. </w:t>
      </w:r>
      <w:r w:rsidRPr="007543B7">
        <w:rPr>
          <w:rFonts w:asciiTheme="majorBidi" w:hAnsiTheme="majorBidi" w:cstheme="majorBidi"/>
          <w:sz w:val="24"/>
          <w:szCs w:val="24"/>
        </w:rPr>
        <w:t xml:space="preserve">CONSORT diagram of participants' progression through the study. </w:t>
      </w:r>
    </w:p>
    <w:p w14:paraId="4F6BC111" w14:textId="77777777" w:rsidR="00725443" w:rsidRPr="001909F1" w:rsidRDefault="00725443" w:rsidP="00725443">
      <w:pPr>
        <w:spacing w:after="240"/>
        <w:rPr>
          <w:rFonts w:asciiTheme="majorBidi" w:hAnsiTheme="majorBidi" w:cstheme="majorBidi"/>
          <w:sz w:val="20"/>
          <w:szCs w:val="20"/>
        </w:rPr>
      </w:pPr>
    </w:p>
    <w:p w14:paraId="73DA7826" w14:textId="77777777" w:rsidR="00725443" w:rsidRPr="001909F1" w:rsidRDefault="00725443" w:rsidP="00725443">
      <w:pPr>
        <w:spacing w:after="240"/>
        <w:jc w:val="center"/>
        <w:rPr>
          <w:rFonts w:asciiTheme="majorBidi" w:hAnsiTheme="majorBidi" w:cstheme="majorBidi"/>
          <w:sz w:val="20"/>
          <w:szCs w:val="20"/>
        </w:rPr>
      </w:pPr>
    </w:p>
    <w:p w14:paraId="1F4034E1" w14:textId="77777777" w:rsidR="00725443" w:rsidRDefault="00725443" w:rsidP="00725443">
      <w:pPr>
        <w:spacing w:after="240"/>
        <w:jc w:val="center"/>
        <w:rPr>
          <w:rFonts w:asciiTheme="minorBidi" w:hAnsiTheme="minorBidi"/>
          <w:b/>
          <w:bCs/>
          <w:sz w:val="20"/>
          <w:szCs w:val="20"/>
        </w:rPr>
      </w:pPr>
      <w:r>
        <w:rPr>
          <w:rFonts w:asciiTheme="minorBidi" w:hAnsiTheme="minorBidi"/>
          <w:b/>
          <w:bCs/>
          <w:noProof/>
          <w:sz w:val="20"/>
          <w:szCs w:val="20"/>
        </w:rPr>
        <w:drawing>
          <wp:inline distT="0" distB="0" distL="0" distR="0" wp14:anchorId="7D3964F1" wp14:editId="1DE25D26">
            <wp:extent cx="5919807" cy="4988915"/>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8697" cy="5013262"/>
                    </a:xfrm>
                    <a:prstGeom prst="rect">
                      <a:avLst/>
                    </a:prstGeom>
                    <a:noFill/>
                    <a:ln>
                      <a:noFill/>
                    </a:ln>
                  </pic:spPr>
                </pic:pic>
              </a:graphicData>
            </a:graphic>
          </wp:inline>
        </w:drawing>
      </w:r>
    </w:p>
    <w:p w14:paraId="7A97C770" w14:textId="4DF8C26B" w:rsidR="0020495F" w:rsidRDefault="0020495F" w:rsidP="00840248">
      <w:pPr>
        <w:rPr>
          <w:rFonts w:asciiTheme="majorBidi" w:hAnsiTheme="majorBidi" w:cstheme="majorBidi"/>
          <w:sz w:val="24"/>
          <w:szCs w:val="24"/>
        </w:rPr>
      </w:pPr>
      <w:r>
        <w:rPr>
          <w:rFonts w:asciiTheme="majorBidi" w:hAnsiTheme="majorBidi" w:cstheme="majorBidi"/>
          <w:sz w:val="24"/>
          <w:szCs w:val="24"/>
        </w:rPr>
        <w:br/>
      </w:r>
    </w:p>
    <w:p w14:paraId="5B476F11" w14:textId="77777777" w:rsidR="0020495F" w:rsidRDefault="0020495F">
      <w:pPr>
        <w:rPr>
          <w:rFonts w:asciiTheme="majorBidi" w:hAnsiTheme="majorBidi" w:cstheme="majorBidi"/>
          <w:sz w:val="24"/>
          <w:szCs w:val="24"/>
        </w:rPr>
      </w:pPr>
      <w:r>
        <w:rPr>
          <w:rFonts w:asciiTheme="majorBidi" w:hAnsiTheme="majorBidi" w:cstheme="majorBidi"/>
          <w:sz w:val="24"/>
          <w:szCs w:val="24"/>
        </w:rPr>
        <w:br w:type="page"/>
      </w:r>
    </w:p>
    <w:p w14:paraId="4037A1C7" w14:textId="752AD77D" w:rsidR="00832177" w:rsidRPr="00275F81" w:rsidRDefault="003E4E58" w:rsidP="00832177">
      <w:pPr>
        <w:pStyle w:val="NoSpacing"/>
        <w:spacing w:before="240" w:after="240" w:line="480" w:lineRule="auto"/>
        <w:jc w:val="both"/>
        <w:rPr>
          <w:rFonts w:asciiTheme="majorBidi" w:hAnsiTheme="majorBidi" w:cstheme="majorBidi"/>
          <w:sz w:val="24"/>
          <w:szCs w:val="24"/>
          <w:lang w:val="en-GB"/>
        </w:rPr>
      </w:pPr>
      <w:r>
        <w:rPr>
          <w:rFonts w:asciiTheme="majorBidi" w:hAnsiTheme="majorBidi" w:cstheme="majorBidi"/>
          <w:b/>
          <w:bCs/>
          <w:sz w:val="24"/>
          <w:szCs w:val="24"/>
        </w:rPr>
        <w:lastRenderedPageBreak/>
        <w:t xml:space="preserve">Table </w:t>
      </w:r>
      <w:r w:rsidR="005171CC">
        <w:rPr>
          <w:rFonts w:asciiTheme="majorBidi" w:hAnsiTheme="majorBidi" w:cstheme="majorBidi"/>
          <w:b/>
          <w:bCs/>
          <w:sz w:val="24"/>
          <w:szCs w:val="24"/>
        </w:rPr>
        <w:t>S4</w:t>
      </w:r>
      <w:r>
        <w:rPr>
          <w:rFonts w:asciiTheme="majorBidi" w:hAnsiTheme="majorBidi" w:cstheme="majorBidi"/>
          <w:b/>
          <w:bCs/>
          <w:sz w:val="24"/>
          <w:szCs w:val="24"/>
        </w:rPr>
        <w:t xml:space="preserve">. </w:t>
      </w:r>
      <w:r w:rsidR="00832177">
        <w:rPr>
          <w:rFonts w:asciiTheme="majorBidi" w:hAnsiTheme="majorBidi" w:cstheme="majorBidi"/>
          <w:sz w:val="24"/>
          <w:szCs w:val="24"/>
        </w:rPr>
        <w:t xml:space="preserve">Correlations between </w:t>
      </w:r>
      <w:r w:rsidR="00832177">
        <w:rPr>
          <w:rFonts w:asciiTheme="majorBidi" w:hAnsiTheme="majorBidi" w:cstheme="majorBidi"/>
          <w:sz w:val="24"/>
          <w:szCs w:val="24"/>
          <w:lang w:val="en-GB"/>
        </w:rPr>
        <w:t>symptom change and activation change within brain regions where significant clusters were found in hypothesis 1 and 2 testing. Correlations are presented separately for GC-MRT (</w:t>
      </w:r>
      <w:r w:rsidR="00501B7E">
        <w:rPr>
          <w:rFonts w:asciiTheme="majorBidi" w:hAnsiTheme="majorBidi" w:cstheme="majorBidi"/>
          <w:sz w:val="24"/>
          <w:szCs w:val="24"/>
          <w:lang w:val="en-GB"/>
        </w:rPr>
        <w:t>A) and SSRI (B) patients.</w:t>
      </w:r>
      <w:r w:rsidR="00275F81">
        <w:rPr>
          <w:rFonts w:asciiTheme="majorBidi" w:hAnsiTheme="majorBidi" w:cstheme="majorBidi"/>
          <w:sz w:val="24"/>
          <w:szCs w:val="24"/>
          <w:lang w:val="en-GB"/>
        </w:rPr>
        <w:t xml:space="preserve"> All correlations are not significant (</w:t>
      </w:r>
      <w:r w:rsidR="00275F81">
        <w:rPr>
          <w:rFonts w:asciiTheme="majorBidi" w:hAnsiTheme="majorBidi" w:cstheme="majorBidi"/>
          <w:i/>
          <w:iCs/>
          <w:sz w:val="24"/>
          <w:szCs w:val="24"/>
          <w:lang w:val="en-GB"/>
        </w:rPr>
        <w:t>p</w:t>
      </w:r>
      <w:r w:rsidR="00275F81">
        <w:rPr>
          <w:rFonts w:asciiTheme="majorBidi" w:hAnsiTheme="majorBidi" w:cstheme="majorBidi"/>
          <w:sz w:val="24"/>
          <w:szCs w:val="24"/>
          <w:lang w:val="en-GB"/>
        </w:rPr>
        <w:t>s&gt;</w:t>
      </w:r>
      <w:r w:rsidR="00890154">
        <w:rPr>
          <w:rFonts w:asciiTheme="majorBidi" w:hAnsiTheme="majorBidi" w:cstheme="majorBidi"/>
          <w:sz w:val="24"/>
          <w:szCs w:val="24"/>
          <w:lang w:val="en-GB"/>
        </w:rPr>
        <w:t>.17)</w:t>
      </w:r>
      <w:r w:rsidR="00102AE1">
        <w:rPr>
          <w:rFonts w:asciiTheme="majorBidi" w:hAnsiTheme="majorBidi" w:cstheme="majorBidi"/>
          <w:sz w:val="24"/>
          <w:szCs w:val="24"/>
          <w:lang w:val="en-GB"/>
        </w:rPr>
        <w:t>.</w:t>
      </w:r>
    </w:p>
    <w:p w14:paraId="037C3CF3" w14:textId="2B846C55" w:rsidR="00275F81" w:rsidRPr="00357679" w:rsidRDefault="00275F81" w:rsidP="00832177">
      <w:pPr>
        <w:pStyle w:val="NoSpacing"/>
        <w:spacing w:before="240" w:after="240" w:line="480" w:lineRule="auto"/>
        <w:jc w:val="both"/>
        <w:rPr>
          <w:rFonts w:asciiTheme="majorBidi" w:hAnsiTheme="majorBidi" w:cstheme="majorBidi"/>
          <w:b/>
          <w:bCs/>
          <w:sz w:val="24"/>
          <w:szCs w:val="24"/>
          <w:lang w:val="en-GB"/>
        </w:rPr>
      </w:pPr>
      <w:r w:rsidRPr="00357679">
        <w:rPr>
          <w:rFonts w:asciiTheme="majorBidi" w:hAnsiTheme="majorBidi" w:cstheme="majorBidi"/>
          <w:b/>
          <w:bCs/>
          <w:sz w:val="24"/>
          <w:szCs w:val="24"/>
          <w:lang w:val="en-GB"/>
        </w:rPr>
        <w:t>A</w:t>
      </w:r>
    </w:p>
    <w:tbl>
      <w:tblPr>
        <w:tblStyle w:val="TableGrid"/>
        <w:tblW w:w="0" w:type="auto"/>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1723"/>
        <w:gridCol w:w="1963"/>
        <w:gridCol w:w="1851"/>
        <w:gridCol w:w="1551"/>
        <w:gridCol w:w="1984"/>
      </w:tblGrid>
      <w:tr w:rsidR="00275F81" w:rsidRPr="00C64DF1" w14:paraId="5545439F" w14:textId="77777777" w:rsidTr="00357679">
        <w:tc>
          <w:tcPr>
            <w:tcW w:w="1723" w:type="dxa"/>
            <w:vAlign w:val="center"/>
          </w:tcPr>
          <w:p w14:paraId="22424783" w14:textId="77777777" w:rsidR="00275F81" w:rsidRPr="00C64DF1" w:rsidRDefault="00275F81" w:rsidP="00BB745F">
            <w:pPr>
              <w:pStyle w:val="NoSpacing"/>
              <w:spacing w:before="240" w:after="240"/>
              <w:rPr>
                <w:rFonts w:asciiTheme="majorBidi" w:hAnsiTheme="majorBidi" w:cstheme="majorBidi"/>
                <w:b/>
                <w:bCs/>
                <w:sz w:val="24"/>
                <w:szCs w:val="24"/>
              </w:rPr>
            </w:pPr>
            <w:r>
              <w:rPr>
                <w:rFonts w:asciiTheme="majorBidi" w:hAnsiTheme="majorBidi" w:cstheme="majorBidi"/>
                <w:b/>
                <w:bCs/>
                <w:sz w:val="24"/>
                <w:szCs w:val="24"/>
              </w:rPr>
              <w:t>Contrast</w:t>
            </w:r>
          </w:p>
        </w:tc>
        <w:tc>
          <w:tcPr>
            <w:tcW w:w="3814" w:type="dxa"/>
            <w:gridSpan w:val="2"/>
            <w:vAlign w:val="center"/>
          </w:tcPr>
          <w:p w14:paraId="63BE20F6" w14:textId="77777777" w:rsidR="00275F81" w:rsidRPr="00C64DF1" w:rsidRDefault="00275F81" w:rsidP="00BB745F">
            <w:pPr>
              <w:pStyle w:val="NoSpacing"/>
              <w:spacing w:before="240" w:after="240"/>
              <w:rPr>
                <w:rFonts w:asciiTheme="majorBidi" w:hAnsiTheme="majorBidi" w:cstheme="majorBidi"/>
                <w:b/>
                <w:bCs/>
                <w:sz w:val="24"/>
                <w:szCs w:val="24"/>
              </w:rPr>
            </w:pPr>
            <w:r w:rsidRPr="00C64DF1">
              <w:rPr>
                <w:rFonts w:asciiTheme="majorBidi" w:hAnsiTheme="majorBidi" w:cstheme="majorBidi"/>
                <w:b/>
                <w:bCs/>
                <w:sz w:val="24"/>
                <w:szCs w:val="24"/>
              </w:rPr>
              <w:t>Analysis</w:t>
            </w:r>
          </w:p>
        </w:tc>
        <w:tc>
          <w:tcPr>
            <w:tcW w:w="1551" w:type="dxa"/>
            <w:vAlign w:val="center"/>
          </w:tcPr>
          <w:p w14:paraId="10037C4D" w14:textId="77777777" w:rsidR="00275F81" w:rsidRPr="00C64DF1" w:rsidRDefault="00275F81" w:rsidP="00BB745F">
            <w:pPr>
              <w:pStyle w:val="NoSpacing"/>
              <w:spacing w:before="240" w:after="240"/>
              <w:rPr>
                <w:rFonts w:asciiTheme="majorBidi" w:hAnsiTheme="majorBidi" w:cstheme="majorBidi"/>
                <w:b/>
                <w:bCs/>
                <w:sz w:val="24"/>
                <w:szCs w:val="24"/>
              </w:rPr>
            </w:pPr>
            <w:r w:rsidRPr="00C64DF1">
              <w:rPr>
                <w:rFonts w:asciiTheme="majorBidi" w:hAnsiTheme="majorBidi" w:cstheme="majorBidi"/>
                <w:b/>
                <w:bCs/>
                <w:sz w:val="24"/>
                <w:szCs w:val="24"/>
              </w:rPr>
              <w:t>Region</w:t>
            </w:r>
          </w:p>
        </w:tc>
        <w:tc>
          <w:tcPr>
            <w:tcW w:w="1984" w:type="dxa"/>
            <w:vAlign w:val="center"/>
          </w:tcPr>
          <w:p w14:paraId="70C43DE8" w14:textId="03CF4D54" w:rsidR="00275F81" w:rsidRPr="00C64DF1" w:rsidRDefault="00275F81" w:rsidP="00BB745F">
            <w:pPr>
              <w:pStyle w:val="NoSpacing"/>
              <w:spacing w:before="240" w:after="240"/>
              <w:rPr>
                <w:rFonts w:asciiTheme="majorBidi" w:hAnsiTheme="majorBidi" w:cstheme="majorBidi"/>
                <w:b/>
                <w:bCs/>
                <w:sz w:val="24"/>
                <w:szCs w:val="24"/>
                <w:rtl/>
              </w:rPr>
            </w:pPr>
            <w:r>
              <w:rPr>
                <w:rFonts w:asciiTheme="majorBidi" w:hAnsiTheme="majorBidi" w:cstheme="majorBidi"/>
                <w:b/>
                <w:bCs/>
                <w:sz w:val="24"/>
                <w:szCs w:val="24"/>
              </w:rPr>
              <w:t>Symptom change – activation change Pearson correlation</w:t>
            </w:r>
          </w:p>
        </w:tc>
      </w:tr>
      <w:tr w:rsidR="00275F81" w14:paraId="3C229054" w14:textId="77777777" w:rsidTr="00357679">
        <w:tc>
          <w:tcPr>
            <w:tcW w:w="1723" w:type="dxa"/>
            <w:vMerge w:val="restart"/>
            <w:vAlign w:val="center"/>
          </w:tcPr>
          <w:p w14:paraId="5D3FFBE8" w14:textId="77777777" w:rsidR="00275F81" w:rsidRDefault="00275F81" w:rsidP="00BB745F">
            <w:pPr>
              <w:pStyle w:val="NoSpacing"/>
              <w:spacing w:before="240" w:after="240"/>
              <w:rPr>
                <w:rFonts w:asciiTheme="majorBidi" w:hAnsiTheme="majorBidi" w:cstheme="majorBidi"/>
                <w:sz w:val="24"/>
                <w:szCs w:val="24"/>
              </w:rPr>
            </w:pPr>
            <w:r>
              <w:rPr>
                <w:rFonts w:asciiTheme="majorBidi" w:hAnsiTheme="majorBidi" w:cstheme="majorBidi"/>
                <w:sz w:val="24"/>
                <w:szCs w:val="24"/>
              </w:rPr>
              <w:t xml:space="preserve">Incongruent to training &gt; Congruent to training </w:t>
            </w:r>
          </w:p>
        </w:tc>
        <w:tc>
          <w:tcPr>
            <w:tcW w:w="1963" w:type="dxa"/>
            <w:vMerge w:val="restart"/>
            <w:vAlign w:val="center"/>
          </w:tcPr>
          <w:p w14:paraId="7AAFE89E" w14:textId="77777777" w:rsidR="00275F81" w:rsidRPr="00935829" w:rsidRDefault="00275F81" w:rsidP="00BB745F">
            <w:pPr>
              <w:pStyle w:val="NoSpacing"/>
              <w:spacing w:before="240" w:after="240"/>
              <w:rPr>
                <w:rFonts w:asciiTheme="majorBidi" w:hAnsiTheme="majorBidi" w:cstheme="majorBidi"/>
                <w:sz w:val="24"/>
                <w:szCs w:val="24"/>
              </w:rPr>
            </w:pPr>
            <w:r>
              <w:rPr>
                <w:rFonts w:asciiTheme="majorBidi" w:hAnsiTheme="majorBidi" w:cstheme="majorBidi"/>
                <w:sz w:val="24"/>
                <w:szCs w:val="24"/>
              </w:rPr>
              <w:t>Between-group comparisons</w:t>
            </w:r>
          </w:p>
        </w:tc>
        <w:tc>
          <w:tcPr>
            <w:tcW w:w="1851" w:type="dxa"/>
            <w:vMerge w:val="restart"/>
            <w:vAlign w:val="center"/>
          </w:tcPr>
          <w:p w14:paraId="497BE079" w14:textId="77777777" w:rsidR="00275F81" w:rsidRDefault="00275F81" w:rsidP="00BB745F">
            <w:pPr>
              <w:pStyle w:val="NoSpacing"/>
              <w:spacing w:before="240" w:after="240"/>
              <w:rPr>
                <w:rFonts w:asciiTheme="majorBidi" w:hAnsiTheme="majorBidi" w:cstheme="majorBidi"/>
                <w:sz w:val="24"/>
                <w:szCs w:val="24"/>
              </w:rPr>
            </w:pPr>
            <w:r w:rsidRPr="00935829">
              <w:rPr>
                <w:rFonts w:asciiTheme="majorBidi" w:hAnsiTheme="majorBidi" w:cstheme="majorBidi"/>
                <w:sz w:val="24"/>
                <w:szCs w:val="24"/>
              </w:rPr>
              <w:t>Treatment vs. WL</w:t>
            </w:r>
          </w:p>
        </w:tc>
        <w:tc>
          <w:tcPr>
            <w:tcW w:w="1551" w:type="dxa"/>
            <w:vAlign w:val="center"/>
          </w:tcPr>
          <w:p w14:paraId="305F4B2A" w14:textId="77777777" w:rsidR="00275F81" w:rsidRDefault="00275F81" w:rsidP="00BB745F">
            <w:pPr>
              <w:pStyle w:val="NoSpacing"/>
              <w:spacing w:before="240" w:after="240"/>
              <w:rPr>
                <w:rFonts w:asciiTheme="majorBidi" w:hAnsiTheme="majorBidi" w:cstheme="majorBidi"/>
                <w:sz w:val="24"/>
                <w:szCs w:val="24"/>
              </w:rPr>
            </w:pPr>
            <w:r>
              <w:rPr>
                <w:rFonts w:asciiTheme="majorBidi" w:hAnsiTheme="majorBidi" w:cstheme="majorBidi"/>
                <w:sz w:val="24"/>
                <w:szCs w:val="24"/>
              </w:rPr>
              <w:t>ACC</w:t>
            </w:r>
            <w:r w:rsidRPr="003F2684">
              <w:rPr>
                <w:rFonts w:asciiTheme="majorBidi" w:hAnsiTheme="majorBidi" w:cstheme="majorBidi"/>
                <w:sz w:val="24"/>
                <w:szCs w:val="24"/>
                <w:vertAlign w:val="subscript"/>
              </w:rPr>
              <w:t>2</w:t>
            </w:r>
          </w:p>
        </w:tc>
        <w:tc>
          <w:tcPr>
            <w:tcW w:w="1984" w:type="dxa"/>
            <w:vAlign w:val="center"/>
          </w:tcPr>
          <w:p w14:paraId="52D34F7E" w14:textId="1029F796" w:rsidR="00275F81" w:rsidRPr="00357679" w:rsidRDefault="009000BB" w:rsidP="00BB745F">
            <w:pPr>
              <w:pStyle w:val="NoSpacing"/>
              <w:spacing w:before="240" w:after="240"/>
              <w:rPr>
                <w:rFonts w:asciiTheme="majorBidi" w:hAnsiTheme="majorBidi" w:cstheme="majorBidi"/>
                <w:sz w:val="24"/>
                <w:szCs w:val="24"/>
                <w:rtl/>
                <w:lang w:val="en-GB"/>
              </w:rPr>
            </w:pPr>
            <w:r>
              <w:rPr>
                <w:rFonts w:asciiTheme="majorBidi" w:hAnsiTheme="majorBidi" w:cstheme="majorBidi"/>
                <w:sz w:val="24"/>
                <w:szCs w:val="24"/>
                <w:lang w:val="en-GB"/>
              </w:rPr>
              <w:t>.11</w:t>
            </w:r>
          </w:p>
        </w:tc>
      </w:tr>
      <w:tr w:rsidR="00275F81" w14:paraId="3F937BB7" w14:textId="77777777" w:rsidTr="00357679">
        <w:tc>
          <w:tcPr>
            <w:tcW w:w="1723" w:type="dxa"/>
            <w:vMerge/>
          </w:tcPr>
          <w:p w14:paraId="1507BBA3" w14:textId="77777777" w:rsidR="00275F81" w:rsidRDefault="00275F81" w:rsidP="00BB745F">
            <w:pPr>
              <w:pStyle w:val="NoSpacing"/>
              <w:spacing w:before="240" w:after="240"/>
              <w:rPr>
                <w:rFonts w:asciiTheme="majorBidi" w:hAnsiTheme="majorBidi" w:cstheme="majorBidi"/>
                <w:sz w:val="24"/>
                <w:szCs w:val="24"/>
              </w:rPr>
            </w:pPr>
          </w:p>
        </w:tc>
        <w:tc>
          <w:tcPr>
            <w:tcW w:w="1963" w:type="dxa"/>
            <w:vMerge/>
          </w:tcPr>
          <w:p w14:paraId="64B61CE0" w14:textId="77777777" w:rsidR="00275F81" w:rsidRDefault="00275F81" w:rsidP="00BB745F">
            <w:pPr>
              <w:pStyle w:val="NoSpacing"/>
              <w:spacing w:before="240" w:after="240"/>
              <w:rPr>
                <w:rFonts w:asciiTheme="majorBidi" w:hAnsiTheme="majorBidi" w:cstheme="majorBidi"/>
                <w:sz w:val="24"/>
                <w:szCs w:val="24"/>
              </w:rPr>
            </w:pPr>
          </w:p>
        </w:tc>
        <w:tc>
          <w:tcPr>
            <w:tcW w:w="1851" w:type="dxa"/>
            <w:vMerge/>
            <w:vAlign w:val="center"/>
          </w:tcPr>
          <w:p w14:paraId="397EB436" w14:textId="77777777" w:rsidR="00275F81" w:rsidRDefault="00275F81" w:rsidP="00BB745F">
            <w:pPr>
              <w:pStyle w:val="NoSpacing"/>
              <w:spacing w:before="240" w:after="240"/>
              <w:rPr>
                <w:rFonts w:asciiTheme="majorBidi" w:hAnsiTheme="majorBidi" w:cstheme="majorBidi"/>
                <w:sz w:val="24"/>
                <w:szCs w:val="24"/>
              </w:rPr>
            </w:pPr>
          </w:p>
        </w:tc>
        <w:tc>
          <w:tcPr>
            <w:tcW w:w="1551" w:type="dxa"/>
            <w:vAlign w:val="center"/>
          </w:tcPr>
          <w:p w14:paraId="4CD4589A" w14:textId="77777777" w:rsidR="00275F81" w:rsidRDefault="00275F81" w:rsidP="00BB745F">
            <w:pPr>
              <w:pStyle w:val="NoSpacing"/>
              <w:spacing w:before="240" w:after="240"/>
              <w:rPr>
                <w:rFonts w:asciiTheme="majorBidi" w:hAnsiTheme="majorBidi" w:cstheme="majorBidi"/>
                <w:sz w:val="24"/>
                <w:szCs w:val="24"/>
              </w:rPr>
            </w:pPr>
            <w:r>
              <w:rPr>
                <w:rFonts w:asciiTheme="majorBidi" w:hAnsiTheme="majorBidi" w:cstheme="majorBidi"/>
                <w:sz w:val="24"/>
                <w:szCs w:val="24"/>
              </w:rPr>
              <w:t>rIFG</w:t>
            </w:r>
          </w:p>
        </w:tc>
        <w:tc>
          <w:tcPr>
            <w:tcW w:w="1984" w:type="dxa"/>
            <w:vAlign w:val="center"/>
          </w:tcPr>
          <w:p w14:paraId="0957F5BF" w14:textId="34C77E83" w:rsidR="00275F81" w:rsidRPr="00357679" w:rsidRDefault="009000BB" w:rsidP="00BB745F">
            <w:pPr>
              <w:pStyle w:val="NoSpacing"/>
              <w:spacing w:before="240" w:after="240"/>
              <w:rPr>
                <w:rFonts w:asciiTheme="majorBidi" w:hAnsiTheme="majorBidi" w:cstheme="majorBidi"/>
                <w:sz w:val="24"/>
                <w:szCs w:val="24"/>
                <w:lang w:val="en-GB"/>
              </w:rPr>
            </w:pPr>
            <w:r>
              <w:rPr>
                <w:rFonts w:asciiTheme="majorBidi" w:hAnsiTheme="majorBidi" w:cstheme="majorBidi"/>
                <w:sz w:val="24"/>
                <w:szCs w:val="24"/>
                <w:lang w:val="en-GB"/>
              </w:rPr>
              <w:t>.26</w:t>
            </w:r>
          </w:p>
        </w:tc>
      </w:tr>
      <w:tr w:rsidR="00275F81" w14:paraId="04489D30" w14:textId="77777777" w:rsidTr="00357679">
        <w:tc>
          <w:tcPr>
            <w:tcW w:w="1723" w:type="dxa"/>
            <w:vMerge/>
          </w:tcPr>
          <w:p w14:paraId="17FDF865" w14:textId="77777777" w:rsidR="00275F81" w:rsidRPr="00464A75" w:rsidRDefault="00275F81" w:rsidP="00BB745F">
            <w:pPr>
              <w:pStyle w:val="NoSpacing"/>
              <w:spacing w:before="240" w:after="240"/>
              <w:rPr>
                <w:rFonts w:asciiTheme="majorBidi" w:hAnsiTheme="majorBidi" w:cstheme="majorBidi"/>
                <w:sz w:val="24"/>
                <w:szCs w:val="24"/>
              </w:rPr>
            </w:pPr>
          </w:p>
        </w:tc>
        <w:tc>
          <w:tcPr>
            <w:tcW w:w="1963" w:type="dxa"/>
            <w:vMerge/>
          </w:tcPr>
          <w:p w14:paraId="052EF72A" w14:textId="77777777" w:rsidR="00275F81" w:rsidRPr="00464A75" w:rsidRDefault="00275F81" w:rsidP="00BB745F">
            <w:pPr>
              <w:pStyle w:val="NoSpacing"/>
              <w:spacing w:before="240" w:after="240"/>
              <w:rPr>
                <w:rFonts w:asciiTheme="majorBidi" w:hAnsiTheme="majorBidi" w:cstheme="majorBidi"/>
                <w:sz w:val="24"/>
                <w:szCs w:val="24"/>
              </w:rPr>
            </w:pPr>
          </w:p>
        </w:tc>
        <w:tc>
          <w:tcPr>
            <w:tcW w:w="1851" w:type="dxa"/>
            <w:vAlign w:val="center"/>
          </w:tcPr>
          <w:p w14:paraId="75CCA9C5" w14:textId="77777777" w:rsidR="00275F81" w:rsidRDefault="00275F81" w:rsidP="00BB745F">
            <w:pPr>
              <w:pStyle w:val="NoSpacing"/>
              <w:spacing w:before="240" w:after="240"/>
              <w:rPr>
                <w:rFonts w:asciiTheme="majorBidi" w:hAnsiTheme="majorBidi" w:cstheme="majorBidi"/>
                <w:sz w:val="24"/>
                <w:szCs w:val="24"/>
              </w:rPr>
            </w:pPr>
            <w:r w:rsidRPr="00464A75">
              <w:rPr>
                <w:rFonts w:asciiTheme="majorBidi" w:hAnsiTheme="majorBidi" w:cstheme="majorBidi"/>
                <w:sz w:val="24"/>
                <w:szCs w:val="24"/>
              </w:rPr>
              <w:t>GC-MRT vs. SSRI</w:t>
            </w:r>
          </w:p>
        </w:tc>
        <w:tc>
          <w:tcPr>
            <w:tcW w:w="1551" w:type="dxa"/>
            <w:vAlign w:val="center"/>
          </w:tcPr>
          <w:p w14:paraId="4799EE84" w14:textId="77777777" w:rsidR="00275F81" w:rsidRDefault="00275F81" w:rsidP="00BB745F">
            <w:pPr>
              <w:pStyle w:val="NoSpacing"/>
              <w:spacing w:before="240" w:after="240"/>
              <w:rPr>
                <w:rFonts w:asciiTheme="majorBidi" w:hAnsiTheme="majorBidi" w:cstheme="majorBidi"/>
                <w:sz w:val="24"/>
                <w:szCs w:val="24"/>
              </w:rPr>
            </w:pPr>
            <w:r>
              <w:rPr>
                <w:rFonts w:asciiTheme="majorBidi" w:hAnsiTheme="majorBidi" w:cstheme="majorBidi"/>
                <w:sz w:val="24"/>
                <w:szCs w:val="24"/>
              </w:rPr>
              <w:t>ACC</w:t>
            </w:r>
            <w:r w:rsidRPr="003F2684">
              <w:rPr>
                <w:rFonts w:asciiTheme="majorBidi" w:hAnsiTheme="majorBidi" w:cstheme="majorBidi"/>
                <w:sz w:val="24"/>
                <w:szCs w:val="24"/>
                <w:vertAlign w:val="subscript"/>
              </w:rPr>
              <w:t>3</w:t>
            </w:r>
          </w:p>
        </w:tc>
        <w:tc>
          <w:tcPr>
            <w:tcW w:w="1984" w:type="dxa"/>
            <w:vAlign w:val="center"/>
          </w:tcPr>
          <w:p w14:paraId="776012D8" w14:textId="29BEBB05" w:rsidR="00275F81" w:rsidRPr="00357679" w:rsidRDefault="00275F81" w:rsidP="00BB745F">
            <w:pPr>
              <w:pStyle w:val="NoSpacing"/>
              <w:spacing w:before="240" w:after="240"/>
              <w:rPr>
                <w:rFonts w:asciiTheme="majorBidi" w:hAnsiTheme="majorBidi" w:cstheme="majorBidi"/>
                <w:sz w:val="24"/>
                <w:szCs w:val="24"/>
                <w:lang w:val="en-GB"/>
              </w:rPr>
            </w:pPr>
            <w:r>
              <w:rPr>
                <w:rFonts w:asciiTheme="majorBidi" w:hAnsiTheme="majorBidi" w:cstheme="majorBidi"/>
                <w:sz w:val="24"/>
                <w:szCs w:val="24"/>
                <w:lang w:val="en-GB"/>
              </w:rPr>
              <w:t>.09</w:t>
            </w:r>
          </w:p>
        </w:tc>
      </w:tr>
    </w:tbl>
    <w:p w14:paraId="45647FD9" w14:textId="18B62AD7" w:rsidR="00275F81" w:rsidRPr="00357679" w:rsidRDefault="00275F81" w:rsidP="00832177">
      <w:pPr>
        <w:pStyle w:val="NoSpacing"/>
        <w:spacing w:before="240" w:after="240" w:line="480" w:lineRule="auto"/>
        <w:jc w:val="both"/>
        <w:rPr>
          <w:rFonts w:asciiTheme="majorBidi" w:hAnsiTheme="majorBidi" w:cstheme="majorBidi"/>
          <w:b/>
          <w:bCs/>
          <w:sz w:val="24"/>
          <w:szCs w:val="24"/>
          <w:lang w:val="en-GB"/>
        </w:rPr>
      </w:pPr>
      <w:r>
        <w:rPr>
          <w:rFonts w:asciiTheme="majorBidi" w:hAnsiTheme="majorBidi" w:cstheme="majorBidi"/>
          <w:b/>
          <w:bCs/>
          <w:sz w:val="24"/>
          <w:szCs w:val="24"/>
          <w:lang w:val="en-GB"/>
        </w:rPr>
        <w:t>B</w:t>
      </w:r>
    </w:p>
    <w:tbl>
      <w:tblPr>
        <w:tblStyle w:val="TableGrid"/>
        <w:tblW w:w="0" w:type="auto"/>
        <w:tblInd w:w="0" w:type="dxa"/>
        <w:tblBorders>
          <w:left w:val="none" w:sz="0" w:space="0" w:color="auto"/>
          <w:right w:val="none" w:sz="0" w:space="0" w:color="auto"/>
          <w:insideV w:val="none" w:sz="0" w:space="0" w:color="auto"/>
        </w:tblBorders>
        <w:tblLook w:val="04A0" w:firstRow="1" w:lastRow="0" w:firstColumn="1" w:lastColumn="0" w:noHBand="0" w:noVBand="1"/>
      </w:tblPr>
      <w:tblGrid>
        <w:gridCol w:w="1655"/>
        <w:gridCol w:w="2031"/>
        <w:gridCol w:w="1851"/>
        <w:gridCol w:w="1551"/>
        <w:gridCol w:w="1984"/>
      </w:tblGrid>
      <w:tr w:rsidR="00C54151" w:rsidRPr="00C64DF1" w14:paraId="2D4B5573" w14:textId="77777777" w:rsidTr="00C54151">
        <w:tc>
          <w:tcPr>
            <w:tcW w:w="1655" w:type="dxa"/>
            <w:vAlign w:val="center"/>
          </w:tcPr>
          <w:p w14:paraId="2CEA39DA" w14:textId="77777777" w:rsidR="00275F81" w:rsidRPr="00C64DF1" w:rsidRDefault="00275F81" w:rsidP="00BB745F">
            <w:pPr>
              <w:pStyle w:val="NoSpacing"/>
              <w:spacing w:before="240" w:after="240"/>
              <w:rPr>
                <w:rFonts w:asciiTheme="majorBidi" w:hAnsiTheme="majorBidi" w:cstheme="majorBidi"/>
                <w:b/>
                <w:bCs/>
                <w:sz w:val="24"/>
                <w:szCs w:val="24"/>
              </w:rPr>
            </w:pPr>
            <w:r>
              <w:rPr>
                <w:rFonts w:asciiTheme="majorBidi" w:hAnsiTheme="majorBidi" w:cstheme="majorBidi"/>
                <w:b/>
                <w:bCs/>
                <w:sz w:val="24"/>
                <w:szCs w:val="24"/>
              </w:rPr>
              <w:t>Contrast</w:t>
            </w:r>
          </w:p>
        </w:tc>
        <w:tc>
          <w:tcPr>
            <w:tcW w:w="3882" w:type="dxa"/>
            <w:gridSpan w:val="2"/>
            <w:vAlign w:val="center"/>
          </w:tcPr>
          <w:p w14:paraId="30BA3970" w14:textId="77777777" w:rsidR="00275F81" w:rsidRPr="00C64DF1" w:rsidRDefault="00275F81" w:rsidP="00BB745F">
            <w:pPr>
              <w:pStyle w:val="NoSpacing"/>
              <w:spacing w:before="240" w:after="240"/>
              <w:rPr>
                <w:rFonts w:asciiTheme="majorBidi" w:hAnsiTheme="majorBidi" w:cstheme="majorBidi"/>
                <w:b/>
                <w:bCs/>
                <w:sz w:val="24"/>
                <w:szCs w:val="24"/>
              </w:rPr>
            </w:pPr>
            <w:r w:rsidRPr="00C64DF1">
              <w:rPr>
                <w:rFonts w:asciiTheme="majorBidi" w:hAnsiTheme="majorBidi" w:cstheme="majorBidi"/>
                <w:b/>
                <w:bCs/>
                <w:sz w:val="24"/>
                <w:szCs w:val="24"/>
              </w:rPr>
              <w:t>Analysis</w:t>
            </w:r>
          </w:p>
        </w:tc>
        <w:tc>
          <w:tcPr>
            <w:tcW w:w="1551" w:type="dxa"/>
            <w:vAlign w:val="center"/>
          </w:tcPr>
          <w:p w14:paraId="733A3DF9" w14:textId="77777777" w:rsidR="00275F81" w:rsidRPr="00C64DF1" w:rsidRDefault="00275F81" w:rsidP="00BB745F">
            <w:pPr>
              <w:pStyle w:val="NoSpacing"/>
              <w:spacing w:before="240" w:after="240"/>
              <w:rPr>
                <w:rFonts w:asciiTheme="majorBidi" w:hAnsiTheme="majorBidi" w:cstheme="majorBidi"/>
                <w:b/>
                <w:bCs/>
                <w:sz w:val="24"/>
                <w:szCs w:val="24"/>
              </w:rPr>
            </w:pPr>
            <w:r w:rsidRPr="00C64DF1">
              <w:rPr>
                <w:rFonts w:asciiTheme="majorBidi" w:hAnsiTheme="majorBidi" w:cstheme="majorBidi"/>
                <w:b/>
                <w:bCs/>
                <w:sz w:val="24"/>
                <w:szCs w:val="24"/>
              </w:rPr>
              <w:t>Region</w:t>
            </w:r>
          </w:p>
        </w:tc>
        <w:tc>
          <w:tcPr>
            <w:tcW w:w="1984" w:type="dxa"/>
            <w:vAlign w:val="center"/>
          </w:tcPr>
          <w:p w14:paraId="1C6873D1" w14:textId="77777777" w:rsidR="00275F81" w:rsidRPr="00C64DF1" w:rsidRDefault="00275F81" w:rsidP="00BB745F">
            <w:pPr>
              <w:pStyle w:val="NoSpacing"/>
              <w:spacing w:before="240" w:after="240"/>
              <w:rPr>
                <w:rFonts w:asciiTheme="majorBidi" w:hAnsiTheme="majorBidi" w:cstheme="majorBidi"/>
                <w:b/>
                <w:bCs/>
                <w:sz w:val="24"/>
                <w:szCs w:val="24"/>
                <w:rtl/>
              </w:rPr>
            </w:pPr>
            <w:r>
              <w:rPr>
                <w:rFonts w:asciiTheme="majorBidi" w:hAnsiTheme="majorBidi" w:cstheme="majorBidi"/>
                <w:b/>
                <w:bCs/>
                <w:sz w:val="24"/>
                <w:szCs w:val="24"/>
              </w:rPr>
              <w:t>Symptom change – activation change Pearson correlation</w:t>
            </w:r>
          </w:p>
        </w:tc>
      </w:tr>
      <w:tr w:rsidR="00C54151" w14:paraId="6DDB5F6B" w14:textId="77777777" w:rsidTr="00357679">
        <w:tc>
          <w:tcPr>
            <w:tcW w:w="1655" w:type="dxa"/>
            <w:vMerge w:val="restart"/>
            <w:vAlign w:val="center"/>
          </w:tcPr>
          <w:p w14:paraId="3E5373F7" w14:textId="77777777" w:rsidR="00275F81" w:rsidRDefault="00275F81" w:rsidP="00BB745F">
            <w:pPr>
              <w:pStyle w:val="NoSpacing"/>
              <w:spacing w:before="240" w:after="240"/>
              <w:rPr>
                <w:rFonts w:asciiTheme="majorBidi" w:hAnsiTheme="majorBidi" w:cstheme="majorBidi"/>
                <w:sz w:val="24"/>
                <w:szCs w:val="24"/>
              </w:rPr>
            </w:pPr>
            <w:r>
              <w:rPr>
                <w:rFonts w:asciiTheme="majorBidi" w:hAnsiTheme="majorBidi" w:cstheme="majorBidi"/>
                <w:sz w:val="24"/>
                <w:szCs w:val="24"/>
              </w:rPr>
              <w:t xml:space="preserve">Incongruent to training &gt; Congruent to training </w:t>
            </w:r>
          </w:p>
        </w:tc>
        <w:tc>
          <w:tcPr>
            <w:tcW w:w="2031" w:type="dxa"/>
            <w:vMerge w:val="restart"/>
            <w:vAlign w:val="center"/>
          </w:tcPr>
          <w:p w14:paraId="22949DFA" w14:textId="77777777" w:rsidR="00275F81" w:rsidRPr="00935829" w:rsidRDefault="00275F81" w:rsidP="00BB745F">
            <w:pPr>
              <w:pStyle w:val="NoSpacing"/>
              <w:spacing w:before="240" w:after="240"/>
              <w:rPr>
                <w:rFonts w:asciiTheme="majorBidi" w:hAnsiTheme="majorBidi" w:cstheme="majorBidi"/>
                <w:sz w:val="24"/>
                <w:szCs w:val="24"/>
              </w:rPr>
            </w:pPr>
            <w:r>
              <w:rPr>
                <w:rFonts w:asciiTheme="majorBidi" w:hAnsiTheme="majorBidi" w:cstheme="majorBidi"/>
                <w:sz w:val="24"/>
                <w:szCs w:val="24"/>
              </w:rPr>
              <w:t>Between-group comparisons</w:t>
            </w:r>
          </w:p>
        </w:tc>
        <w:tc>
          <w:tcPr>
            <w:tcW w:w="1851" w:type="dxa"/>
            <w:vMerge w:val="restart"/>
            <w:vAlign w:val="center"/>
          </w:tcPr>
          <w:p w14:paraId="3A7D5218" w14:textId="77777777" w:rsidR="00275F81" w:rsidRDefault="00275F81" w:rsidP="00BB745F">
            <w:pPr>
              <w:pStyle w:val="NoSpacing"/>
              <w:spacing w:before="240" w:after="240"/>
              <w:rPr>
                <w:rFonts w:asciiTheme="majorBidi" w:hAnsiTheme="majorBidi" w:cstheme="majorBidi"/>
                <w:sz w:val="24"/>
                <w:szCs w:val="24"/>
              </w:rPr>
            </w:pPr>
            <w:r w:rsidRPr="00935829">
              <w:rPr>
                <w:rFonts w:asciiTheme="majorBidi" w:hAnsiTheme="majorBidi" w:cstheme="majorBidi"/>
                <w:sz w:val="24"/>
                <w:szCs w:val="24"/>
              </w:rPr>
              <w:t>Treatment vs. WL</w:t>
            </w:r>
          </w:p>
        </w:tc>
        <w:tc>
          <w:tcPr>
            <w:tcW w:w="1551" w:type="dxa"/>
            <w:vAlign w:val="center"/>
          </w:tcPr>
          <w:p w14:paraId="74C32720" w14:textId="77777777" w:rsidR="00275F81" w:rsidRDefault="00275F81" w:rsidP="00BB745F">
            <w:pPr>
              <w:pStyle w:val="NoSpacing"/>
              <w:spacing w:before="240" w:after="240"/>
              <w:rPr>
                <w:rFonts w:asciiTheme="majorBidi" w:hAnsiTheme="majorBidi" w:cstheme="majorBidi"/>
                <w:sz w:val="24"/>
                <w:szCs w:val="24"/>
              </w:rPr>
            </w:pPr>
            <w:r>
              <w:rPr>
                <w:rFonts w:asciiTheme="majorBidi" w:hAnsiTheme="majorBidi" w:cstheme="majorBidi"/>
                <w:sz w:val="24"/>
                <w:szCs w:val="24"/>
              </w:rPr>
              <w:t>ACC</w:t>
            </w:r>
            <w:r w:rsidRPr="003F2684">
              <w:rPr>
                <w:rFonts w:asciiTheme="majorBidi" w:hAnsiTheme="majorBidi" w:cstheme="majorBidi"/>
                <w:sz w:val="24"/>
                <w:szCs w:val="24"/>
                <w:vertAlign w:val="subscript"/>
              </w:rPr>
              <w:t>2</w:t>
            </w:r>
          </w:p>
        </w:tc>
        <w:tc>
          <w:tcPr>
            <w:tcW w:w="1984" w:type="dxa"/>
            <w:vAlign w:val="center"/>
          </w:tcPr>
          <w:p w14:paraId="7DC0F09B" w14:textId="3036B847" w:rsidR="00275F81" w:rsidRPr="00357679" w:rsidRDefault="009000BB" w:rsidP="00BB745F">
            <w:pPr>
              <w:pStyle w:val="NoSpacing"/>
              <w:spacing w:before="240" w:after="240"/>
              <w:rPr>
                <w:rFonts w:asciiTheme="majorBidi" w:hAnsiTheme="majorBidi" w:cstheme="majorBidi"/>
                <w:sz w:val="24"/>
                <w:szCs w:val="24"/>
                <w:lang w:val="en-GB"/>
              </w:rPr>
            </w:pPr>
            <w:r>
              <w:rPr>
                <w:rFonts w:asciiTheme="majorBidi" w:hAnsiTheme="majorBidi" w:cstheme="majorBidi"/>
                <w:sz w:val="24"/>
                <w:szCs w:val="24"/>
                <w:lang w:val="en-GB"/>
              </w:rPr>
              <w:t>.1</w:t>
            </w:r>
            <w:r>
              <w:rPr>
                <w:rFonts w:asciiTheme="majorBidi" w:hAnsiTheme="majorBidi" w:cstheme="majorBidi" w:hint="cs"/>
                <w:sz w:val="24"/>
                <w:szCs w:val="24"/>
                <w:rtl/>
                <w:lang w:val="en-GB"/>
              </w:rPr>
              <w:t>7</w:t>
            </w:r>
          </w:p>
        </w:tc>
      </w:tr>
      <w:tr w:rsidR="00C54151" w14:paraId="0DE1E275" w14:textId="77777777" w:rsidTr="00357679">
        <w:tc>
          <w:tcPr>
            <w:tcW w:w="1655" w:type="dxa"/>
            <w:vMerge/>
          </w:tcPr>
          <w:p w14:paraId="13E8887B" w14:textId="77777777" w:rsidR="00275F81" w:rsidRDefault="00275F81" w:rsidP="00BB745F">
            <w:pPr>
              <w:pStyle w:val="NoSpacing"/>
              <w:spacing w:before="240" w:after="240"/>
              <w:rPr>
                <w:rFonts w:asciiTheme="majorBidi" w:hAnsiTheme="majorBidi" w:cstheme="majorBidi"/>
                <w:sz w:val="24"/>
                <w:szCs w:val="24"/>
              </w:rPr>
            </w:pPr>
          </w:p>
        </w:tc>
        <w:tc>
          <w:tcPr>
            <w:tcW w:w="2031" w:type="dxa"/>
            <w:vMerge/>
          </w:tcPr>
          <w:p w14:paraId="5AC88CDB" w14:textId="77777777" w:rsidR="00275F81" w:rsidRDefault="00275F81" w:rsidP="00BB745F">
            <w:pPr>
              <w:pStyle w:val="NoSpacing"/>
              <w:spacing w:before="240" w:after="240"/>
              <w:rPr>
                <w:rFonts w:asciiTheme="majorBidi" w:hAnsiTheme="majorBidi" w:cstheme="majorBidi"/>
                <w:sz w:val="24"/>
                <w:szCs w:val="24"/>
              </w:rPr>
            </w:pPr>
          </w:p>
        </w:tc>
        <w:tc>
          <w:tcPr>
            <w:tcW w:w="1851" w:type="dxa"/>
            <w:vMerge/>
            <w:vAlign w:val="center"/>
          </w:tcPr>
          <w:p w14:paraId="5AD093E9" w14:textId="77777777" w:rsidR="00275F81" w:rsidRDefault="00275F81" w:rsidP="00BB745F">
            <w:pPr>
              <w:pStyle w:val="NoSpacing"/>
              <w:spacing w:before="240" w:after="240"/>
              <w:rPr>
                <w:rFonts w:asciiTheme="majorBidi" w:hAnsiTheme="majorBidi" w:cstheme="majorBidi"/>
                <w:sz w:val="24"/>
                <w:szCs w:val="24"/>
              </w:rPr>
            </w:pPr>
          </w:p>
        </w:tc>
        <w:tc>
          <w:tcPr>
            <w:tcW w:w="1551" w:type="dxa"/>
            <w:vAlign w:val="center"/>
          </w:tcPr>
          <w:p w14:paraId="0EC73022" w14:textId="77777777" w:rsidR="00275F81" w:rsidRDefault="00275F81" w:rsidP="00BB745F">
            <w:pPr>
              <w:pStyle w:val="NoSpacing"/>
              <w:spacing w:before="240" w:after="240"/>
              <w:rPr>
                <w:rFonts w:asciiTheme="majorBidi" w:hAnsiTheme="majorBidi" w:cstheme="majorBidi"/>
                <w:sz w:val="24"/>
                <w:szCs w:val="24"/>
              </w:rPr>
            </w:pPr>
            <w:r>
              <w:rPr>
                <w:rFonts w:asciiTheme="majorBidi" w:hAnsiTheme="majorBidi" w:cstheme="majorBidi"/>
                <w:sz w:val="24"/>
                <w:szCs w:val="24"/>
              </w:rPr>
              <w:t>rIFG</w:t>
            </w:r>
          </w:p>
        </w:tc>
        <w:tc>
          <w:tcPr>
            <w:tcW w:w="1984" w:type="dxa"/>
            <w:vAlign w:val="center"/>
          </w:tcPr>
          <w:p w14:paraId="0A8E3DB4" w14:textId="1241C165" w:rsidR="00275F81" w:rsidRPr="00357679" w:rsidRDefault="009000BB" w:rsidP="00BB745F">
            <w:pPr>
              <w:pStyle w:val="NoSpacing"/>
              <w:spacing w:before="240" w:after="240"/>
              <w:rPr>
                <w:rFonts w:asciiTheme="majorBidi" w:hAnsiTheme="majorBidi" w:cstheme="majorBidi"/>
                <w:sz w:val="24"/>
                <w:szCs w:val="24"/>
                <w:rtl/>
                <w:lang w:val="en-GB"/>
              </w:rPr>
            </w:pPr>
            <w:r>
              <w:rPr>
                <w:rFonts w:asciiTheme="majorBidi" w:hAnsiTheme="majorBidi" w:cstheme="majorBidi"/>
                <w:sz w:val="24"/>
                <w:szCs w:val="24"/>
                <w:lang w:val="en-GB"/>
              </w:rPr>
              <w:t>.05</w:t>
            </w:r>
          </w:p>
        </w:tc>
      </w:tr>
      <w:tr w:rsidR="00C54151" w14:paraId="4E9964E0" w14:textId="77777777" w:rsidTr="00357679">
        <w:tc>
          <w:tcPr>
            <w:tcW w:w="1655" w:type="dxa"/>
            <w:vMerge/>
          </w:tcPr>
          <w:p w14:paraId="2DB96198" w14:textId="77777777" w:rsidR="00275F81" w:rsidRPr="00464A75" w:rsidRDefault="00275F81" w:rsidP="00BB745F">
            <w:pPr>
              <w:pStyle w:val="NoSpacing"/>
              <w:spacing w:before="240" w:after="240"/>
              <w:rPr>
                <w:rFonts w:asciiTheme="majorBidi" w:hAnsiTheme="majorBidi" w:cstheme="majorBidi"/>
                <w:sz w:val="24"/>
                <w:szCs w:val="24"/>
              </w:rPr>
            </w:pPr>
          </w:p>
        </w:tc>
        <w:tc>
          <w:tcPr>
            <w:tcW w:w="2031" w:type="dxa"/>
            <w:vMerge/>
          </w:tcPr>
          <w:p w14:paraId="3BE1DBCF" w14:textId="77777777" w:rsidR="00275F81" w:rsidRPr="00464A75" w:rsidRDefault="00275F81" w:rsidP="00BB745F">
            <w:pPr>
              <w:pStyle w:val="NoSpacing"/>
              <w:spacing w:before="240" w:after="240"/>
              <w:rPr>
                <w:rFonts w:asciiTheme="majorBidi" w:hAnsiTheme="majorBidi" w:cstheme="majorBidi"/>
                <w:sz w:val="24"/>
                <w:szCs w:val="24"/>
              </w:rPr>
            </w:pPr>
          </w:p>
        </w:tc>
        <w:tc>
          <w:tcPr>
            <w:tcW w:w="1851" w:type="dxa"/>
            <w:vAlign w:val="center"/>
          </w:tcPr>
          <w:p w14:paraId="62BA7B00" w14:textId="77777777" w:rsidR="00275F81" w:rsidRDefault="00275F81" w:rsidP="00BB745F">
            <w:pPr>
              <w:pStyle w:val="NoSpacing"/>
              <w:spacing w:before="240" w:after="240"/>
              <w:rPr>
                <w:rFonts w:asciiTheme="majorBidi" w:hAnsiTheme="majorBidi" w:cstheme="majorBidi"/>
                <w:sz w:val="24"/>
                <w:szCs w:val="24"/>
              </w:rPr>
            </w:pPr>
            <w:r w:rsidRPr="00464A75">
              <w:rPr>
                <w:rFonts w:asciiTheme="majorBidi" w:hAnsiTheme="majorBidi" w:cstheme="majorBidi"/>
                <w:sz w:val="24"/>
                <w:szCs w:val="24"/>
              </w:rPr>
              <w:t>GC-MRT vs. SSRI</w:t>
            </w:r>
          </w:p>
        </w:tc>
        <w:tc>
          <w:tcPr>
            <w:tcW w:w="1551" w:type="dxa"/>
            <w:vAlign w:val="center"/>
          </w:tcPr>
          <w:p w14:paraId="270D90EF" w14:textId="77777777" w:rsidR="00275F81" w:rsidRDefault="00275F81" w:rsidP="00BB745F">
            <w:pPr>
              <w:pStyle w:val="NoSpacing"/>
              <w:spacing w:before="240" w:after="240"/>
              <w:rPr>
                <w:rFonts w:asciiTheme="majorBidi" w:hAnsiTheme="majorBidi" w:cstheme="majorBidi"/>
                <w:sz w:val="24"/>
                <w:szCs w:val="24"/>
              </w:rPr>
            </w:pPr>
            <w:r>
              <w:rPr>
                <w:rFonts w:asciiTheme="majorBidi" w:hAnsiTheme="majorBidi" w:cstheme="majorBidi"/>
                <w:sz w:val="24"/>
                <w:szCs w:val="24"/>
              </w:rPr>
              <w:t>ACC</w:t>
            </w:r>
            <w:r w:rsidRPr="003F2684">
              <w:rPr>
                <w:rFonts w:asciiTheme="majorBidi" w:hAnsiTheme="majorBidi" w:cstheme="majorBidi"/>
                <w:sz w:val="24"/>
                <w:szCs w:val="24"/>
                <w:vertAlign w:val="subscript"/>
              </w:rPr>
              <w:t>3</w:t>
            </w:r>
          </w:p>
        </w:tc>
        <w:tc>
          <w:tcPr>
            <w:tcW w:w="1984" w:type="dxa"/>
            <w:vAlign w:val="center"/>
          </w:tcPr>
          <w:p w14:paraId="4E7DE3CF" w14:textId="0D4CF8D5" w:rsidR="00275F81" w:rsidRPr="00357679" w:rsidRDefault="00275F81" w:rsidP="00BB745F">
            <w:pPr>
              <w:pStyle w:val="NoSpacing"/>
              <w:spacing w:before="240" w:after="240"/>
              <w:rPr>
                <w:rFonts w:asciiTheme="majorBidi" w:hAnsiTheme="majorBidi" w:cstheme="majorBidi"/>
                <w:sz w:val="24"/>
                <w:szCs w:val="24"/>
                <w:lang w:val="en-GB"/>
              </w:rPr>
            </w:pPr>
            <w:r>
              <w:rPr>
                <w:rFonts w:asciiTheme="majorBidi" w:hAnsiTheme="majorBidi" w:cstheme="majorBidi"/>
                <w:sz w:val="24"/>
                <w:szCs w:val="24"/>
                <w:lang w:val="en-GB"/>
              </w:rPr>
              <w:t>.13</w:t>
            </w:r>
          </w:p>
        </w:tc>
      </w:tr>
    </w:tbl>
    <w:p w14:paraId="6F7C80A4" w14:textId="77777777" w:rsidR="003E4E58" w:rsidRDefault="003E4E58">
      <w:pPr>
        <w:rPr>
          <w:rFonts w:asciiTheme="majorBidi" w:hAnsiTheme="majorBidi" w:cstheme="majorBidi"/>
          <w:b/>
          <w:bCs/>
          <w:sz w:val="24"/>
          <w:szCs w:val="24"/>
        </w:rPr>
      </w:pPr>
      <w:r>
        <w:rPr>
          <w:rFonts w:asciiTheme="majorBidi" w:hAnsiTheme="majorBidi" w:cstheme="majorBidi"/>
          <w:b/>
          <w:bCs/>
          <w:sz w:val="24"/>
          <w:szCs w:val="24"/>
        </w:rPr>
        <w:br w:type="page"/>
      </w:r>
    </w:p>
    <w:p w14:paraId="6A799D7B" w14:textId="77777777" w:rsidR="00621F74" w:rsidRPr="006D3679" w:rsidRDefault="00621F74" w:rsidP="00621F74">
      <w:pPr>
        <w:spacing w:line="480" w:lineRule="auto"/>
        <w:jc w:val="both"/>
        <w:rPr>
          <w:rFonts w:asciiTheme="majorBidi" w:hAnsiTheme="majorBidi" w:cstheme="majorBidi"/>
          <w:sz w:val="24"/>
          <w:szCs w:val="24"/>
        </w:rPr>
      </w:pPr>
      <w:r w:rsidRPr="00357679">
        <w:rPr>
          <w:rFonts w:asciiTheme="majorBidi" w:hAnsiTheme="majorBidi" w:cstheme="majorBidi"/>
          <w:b/>
          <w:bCs/>
          <w:sz w:val="24"/>
          <w:szCs w:val="24"/>
        </w:rPr>
        <w:lastRenderedPageBreak/>
        <w:t>Figure S</w:t>
      </w:r>
      <w:r>
        <w:rPr>
          <w:rFonts w:asciiTheme="majorBidi" w:hAnsiTheme="majorBidi" w:cstheme="majorBidi"/>
          <w:b/>
          <w:bCs/>
          <w:sz w:val="24"/>
          <w:szCs w:val="24"/>
        </w:rPr>
        <w:t>5</w:t>
      </w:r>
      <w:r w:rsidRPr="00357679">
        <w:rPr>
          <w:rFonts w:asciiTheme="majorBidi" w:hAnsiTheme="majorBidi" w:cstheme="majorBidi"/>
          <w:b/>
          <w:bCs/>
          <w:sz w:val="24"/>
          <w:szCs w:val="24"/>
        </w:rPr>
        <w:t>.</w:t>
      </w:r>
      <w:r>
        <w:rPr>
          <w:rFonts w:asciiTheme="majorBidi" w:hAnsiTheme="majorBidi" w:cstheme="majorBidi"/>
          <w:sz w:val="24"/>
          <w:szCs w:val="24"/>
        </w:rPr>
        <w:t xml:space="preserve"> M</w:t>
      </w:r>
      <w:r w:rsidRPr="0081226D">
        <w:rPr>
          <w:rFonts w:asciiTheme="majorBidi" w:hAnsiTheme="majorBidi" w:cstheme="majorBidi"/>
          <w:sz w:val="24"/>
          <w:szCs w:val="24"/>
        </w:rPr>
        <w:t>ean BOLD signal change</w:t>
      </w:r>
      <w:r>
        <w:rPr>
          <w:rFonts w:asciiTheme="majorBidi" w:hAnsiTheme="majorBidi" w:cstheme="majorBidi"/>
          <w:sz w:val="24"/>
          <w:szCs w:val="24"/>
        </w:rPr>
        <w:t xml:space="preserve"> during indirect threat processing (away from threat &gt; away from neutral),</w:t>
      </w:r>
      <w:r w:rsidRPr="0081226D">
        <w:rPr>
          <w:rFonts w:asciiTheme="majorBidi" w:hAnsiTheme="majorBidi" w:cstheme="majorBidi"/>
          <w:sz w:val="24"/>
          <w:szCs w:val="24"/>
        </w:rPr>
        <w:t xml:space="preserve"> within </w:t>
      </w:r>
      <w:r>
        <w:rPr>
          <w:rFonts w:asciiTheme="majorBidi" w:hAnsiTheme="majorBidi" w:cstheme="majorBidi"/>
          <w:sz w:val="24"/>
          <w:szCs w:val="24"/>
        </w:rPr>
        <w:t xml:space="preserve">a brain region in which pre-to-post activation increase during direct threat processing (toward threat &gt; toward neutral) was different between treatment (GC-MRT and SSRI) and WL patients. Mean values are presented separately for treated and WL patients (fully colored bars), and </w:t>
      </w:r>
      <w:r w:rsidRPr="0081226D">
        <w:rPr>
          <w:rFonts w:asciiTheme="majorBidi" w:hAnsiTheme="majorBidi" w:cstheme="majorBidi"/>
          <w:sz w:val="24"/>
          <w:szCs w:val="24"/>
        </w:rPr>
        <w:t>GC-MRT and SSRI patients (striped bars).</w:t>
      </w:r>
      <w:r>
        <w:rPr>
          <w:rFonts w:asciiTheme="majorBidi" w:hAnsiTheme="majorBidi" w:cstheme="majorBidi"/>
          <w:sz w:val="24"/>
          <w:szCs w:val="24"/>
        </w:rPr>
        <w:t xml:space="preserve"> Within groups, all pre-to-post pairwise comparisons indicated no significant effect of time (</w:t>
      </w:r>
      <w:r>
        <w:rPr>
          <w:rFonts w:asciiTheme="majorBidi" w:hAnsiTheme="majorBidi" w:cstheme="majorBidi"/>
          <w:i/>
          <w:iCs/>
          <w:sz w:val="24"/>
          <w:szCs w:val="24"/>
        </w:rPr>
        <w:t>p</w:t>
      </w:r>
      <w:r>
        <w:rPr>
          <w:rFonts w:asciiTheme="majorBidi" w:hAnsiTheme="majorBidi" w:cstheme="majorBidi"/>
          <w:sz w:val="24"/>
          <w:szCs w:val="24"/>
        </w:rPr>
        <w:t>s&gt;.57).</w:t>
      </w:r>
    </w:p>
    <w:p w14:paraId="46C1AC23" w14:textId="77777777" w:rsidR="00357679" w:rsidRDefault="00357679" w:rsidP="00357679">
      <w:pPr>
        <w:rPr>
          <w:rFonts w:asciiTheme="majorBidi" w:hAnsiTheme="majorBidi" w:cstheme="majorBidi"/>
          <w:sz w:val="24"/>
          <w:szCs w:val="24"/>
        </w:rPr>
      </w:pPr>
    </w:p>
    <w:p w14:paraId="0EF5868C" w14:textId="77777777" w:rsidR="00357679" w:rsidRDefault="00357679" w:rsidP="00357679">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C375570" wp14:editId="6DDD422B">
            <wp:extent cx="6370955" cy="2042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3136" cy="2049350"/>
                    </a:xfrm>
                    <a:prstGeom prst="rect">
                      <a:avLst/>
                    </a:prstGeom>
                    <a:noFill/>
                  </pic:spPr>
                </pic:pic>
              </a:graphicData>
            </a:graphic>
          </wp:inline>
        </w:drawing>
      </w:r>
    </w:p>
    <w:p w14:paraId="24563A16" w14:textId="77777777" w:rsidR="003767E3" w:rsidRPr="00357679" w:rsidRDefault="003767E3">
      <w:pPr>
        <w:rPr>
          <w:rFonts w:asciiTheme="majorBidi" w:hAnsiTheme="majorBidi" w:cstheme="majorBidi"/>
          <w:sz w:val="24"/>
          <w:szCs w:val="24"/>
        </w:rPr>
      </w:pPr>
    </w:p>
    <w:p w14:paraId="4FDE6717" w14:textId="77777777" w:rsidR="003767E3" w:rsidRDefault="003767E3">
      <w:pPr>
        <w:rPr>
          <w:rFonts w:asciiTheme="majorBidi" w:hAnsiTheme="majorBidi" w:cstheme="majorBidi"/>
          <w:b/>
          <w:bCs/>
          <w:sz w:val="24"/>
          <w:szCs w:val="24"/>
        </w:rPr>
      </w:pPr>
      <w:r>
        <w:rPr>
          <w:rFonts w:asciiTheme="majorBidi" w:hAnsiTheme="majorBidi" w:cstheme="majorBidi"/>
          <w:b/>
          <w:bCs/>
          <w:sz w:val="24"/>
          <w:szCs w:val="24"/>
        </w:rPr>
        <w:br w:type="page"/>
      </w:r>
    </w:p>
    <w:p w14:paraId="6B643268" w14:textId="3DE33112" w:rsidR="007543B7" w:rsidRPr="007543B7" w:rsidRDefault="0020495F" w:rsidP="007543B7">
      <w:pPr>
        <w:spacing w:before="240"/>
        <w:jc w:val="center"/>
        <w:rPr>
          <w:rFonts w:asciiTheme="majorBidi" w:hAnsiTheme="majorBidi" w:cstheme="majorBidi"/>
          <w:b/>
          <w:bCs/>
          <w:sz w:val="24"/>
          <w:szCs w:val="24"/>
        </w:rPr>
      </w:pPr>
      <w:bookmarkStart w:id="4" w:name="_Hlk146977971"/>
      <w:r w:rsidRPr="007543B7">
        <w:rPr>
          <w:rFonts w:asciiTheme="majorBidi" w:hAnsiTheme="majorBidi" w:cstheme="majorBidi"/>
          <w:b/>
          <w:bCs/>
          <w:sz w:val="24"/>
          <w:szCs w:val="24"/>
        </w:rPr>
        <w:lastRenderedPageBreak/>
        <w:t>Clusters Localization</w:t>
      </w:r>
    </w:p>
    <w:p w14:paraId="3250E445" w14:textId="69275A30" w:rsidR="0020495F" w:rsidRDefault="000D5D7C" w:rsidP="007543B7">
      <w:pPr>
        <w:spacing w:before="240" w:line="480" w:lineRule="auto"/>
        <w:rPr>
          <w:rFonts w:asciiTheme="majorBidi" w:hAnsiTheme="majorBidi" w:cstheme="majorBidi"/>
          <w:sz w:val="24"/>
          <w:szCs w:val="24"/>
        </w:rPr>
      </w:pPr>
      <w:r>
        <w:rPr>
          <w:rFonts w:asciiTheme="majorBidi" w:hAnsiTheme="majorBidi" w:cstheme="majorBidi"/>
          <w:sz w:val="24"/>
          <w:szCs w:val="24"/>
        </w:rPr>
        <w:t>Locus identification</w:t>
      </w:r>
      <w:r w:rsidR="0020495F" w:rsidRPr="0020495F">
        <w:rPr>
          <w:rFonts w:asciiTheme="majorBidi" w:hAnsiTheme="majorBidi" w:cstheme="majorBidi"/>
          <w:sz w:val="24"/>
          <w:szCs w:val="24"/>
        </w:rPr>
        <w:t xml:space="preserve"> of significant clusters was based on peak coordinates, using reports drawn from </w:t>
      </w:r>
      <w:r>
        <w:rPr>
          <w:rFonts w:asciiTheme="majorBidi" w:hAnsiTheme="majorBidi" w:cstheme="majorBidi"/>
          <w:sz w:val="24"/>
          <w:szCs w:val="24"/>
        </w:rPr>
        <w:t xml:space="preserve">the </w:t>
      </w:r>
      <w:r w:rsidR="0020495F" w:rsidRPr="0020495F">
        <w:rPr>
          <w:rFonts w:asciiTheme="majorBidi" w:hAnsiTheme="majorBidi" w:cstheme="majorBidi"/>
          <w:sz w:val="24"/>
          <w:szCs w:val="24"/>
        </w:rPr>
        <w:t>Neurosynth meta-analytic database (http://www.neurosynth.org).</w:t>
      </w:r>
    </w:p>
    <w:p w14:paraId="0058433B" w14:textId="661564D0" w:rsidR="0020495F" w:rsidRPr="00733EEA" w:rsidRDefault="003767E3" w:rsidP="0020495F">
      <w:pPr>
        <w:spacing w:line="480" w:lineRule="auto"/>
        <w:rPr>
          <w:rFonts w:asciiTheme="majorBidi" w:hAnsiTheme="majorBidi" w:cstheme="majorBidi"/>
          <w:sz w:val="24"/>
          <w:szCs w:val="24"/>
          <w:lang w:val="da-DK"/>
        </w:rPr>
      </w:pPr>
      <w:r w:rsidRPr="0020495F">
        <w:rPr>
          <w:rFonts w:asciiTheme="majorBidi" w:hAnsiTheme="majorBidi" w:cstheme="majorBidi"/>
          <w:sz w:val="24"/>
          <w:szCs w:val="24"/>
        </w:rPr>
        <w:t>ACC</w:t>
      </w:r>
      <w:r>
        <w:rPr>
          <w:rFonts w:asciiTheme="majorBidi" w:hAnsiTheme="majorBidi" w:cstheme="majorBidi"/>
          <w:sz w:val="24"/>
          <w:szCs w:val="24"/>
          <w:vertAlign w:val="subscript"/>
        </w:rPr>
        <w:t>2</w:t>
      </w:r>
      <w:r w:rsidRPr="0020495F">
        <w:rPr>
          <w:rFonts w:asciiTheme="majorBidi" w:hAnsiTheme="majorBidi" w:cstheme="majorBidi"/>
          <w:sz w:val="24"/>
          <w:szCs w:val="24"/>
        </w:rPr>
        <w:t xml:space="preserve"> </w:t>
      </w:r>
      <w:r w:rsidR="0020495F" w:rsidRPr="0020495F">
        <w:rPr>
          <w:rFonts w:asciiTheme="majorBidi" w:hAnsiTheme="majorBidi" w:cstheme="majorBidi"/>
          <w:sz w:val="24"/>
          <w:szCs w:val="24"/>
        </w:rPr>
        <w:fldChar w:fldCharType="begin" w:fldLock="1"/>
      </w:r>
      <w:r w:rsidR="000564FF">
        <w:rPr>
          <w:rFonts w:asciiTheme="majorBidi" w:hAnsiTheme="majorBidi" w:cstheme="majorBidi"/>
          <w:sz w:val="24"/>
          <w:szCs w:val="24"/>
        </w:rPr>
        <w:instrText>ADDIN CSL_CITATION {"citationItems":[{"id":"ITEM-1","itemData":{"DOI":"10.1007/S00429-013-0593-8/FIGURES/5","ISSN":"18632661","PMID":"23771644","abstract":"Effects of physiological and/or psychological inter-individual differences on the resting brain state have not been fully established. The present study investigated the effects of individual differences in basal autonomic tone and positive and negative personality dimensions on resting brain activity. Whole-brain resting cerebral perfusion images were acquired from 32 healthy subjects (16 males) using arterial spin labeling perfusion MRI. Neuroticism and extraversion were assessed with the Eysenck Personality Questionnaire-Revised. Resting autonomic activity was assessed using a validated measure of baseline cardiac vagal tone (CVT) in each individual. Potential associations between the perfusion data and individual CVT (27 subjects) and personality score (28 subjects) were tested at the level of voxel clusters by fitting a multiple regression model at each intracerebral voxel. Greater baseline perfusion in the dorsal anterior cingulate cortex (ACC) and cerebellum was associated with lower CVT. At a corrected significance threshold of p &lt; 0.01, strong positive correlations were observed between extraversion and resting brain perfusion in the right caudate, brain stem, and cingulate gyrus. Significant negative correlations between neuroticism and regional cerebral perfusion were identified in the left amygdala, bilateral insula, ACC, and orbitofrontal cortex. These results suggest that individual autonomic tone and psychological variability influence resting brain activity in brain regions, previously shown to be associated with autonomic arousal (dorsal ACC) and personality traits (amygdala, caudate, etc.) during active task processing. The resting brain state may therefore need to be taken into account when interpreting the neurobiology of individual differences in structural and functional brain activity. © 2013 Springer-Verlag.","author":[{"dropping-particle":"","family":"Kano","given":"M.","non-dropping-particle":"","parse-names":false,"suffix":""},{"dropping-particle":"","family":"Coen","given":"S. J.","non-dropping-particle":"","parse-names":false,"suffix":""},{"dropping-particle":"","family":"Farmer","given":"A. D.","non-dropping-particle":"","parse-names":false,"suffix":""},{"dropping-particle":"","family":"Aziz","given":"Q.","non-dropping-particle":"","parse-names":false,"suffix":""},{"dropping-particle":"","family":"Williams","given":"S. C.R.","non-dropping-particle":"","parse-names":false,"suffix":""},{"dropping-particle":"","family":"Alsop","given":"D. C.","non-dropping-particle":"","parse-names":false,"suffix":""},{"dropping-particle":"","family":"Fukudo","given":"S.","non-dropping-particle":"","parse-names":false,"suffix":""},{"dropping-particle":"","family":"O'Gorman","given":"R. L.","non-dropping-particle":"","parse-names":false,"suffix":""}],"container-title":"Brain Structure and Function","id":"ITEM-1","issue":"5","issued":{"date-parts":[["2014","9","1"]]},"page":"1673-1684","publisher":"Springer Verlag","title":"Physiological and psychological individual differences influence resting brain function measured by ASL perfusion","type":"article-journal","volume":"219"},"uris":["http://www.mendeley.com/documents/?uuid=78f82b9d-2673-3a2d-bc27-bcd756be1081"]},{"id":"ITEM-2","itemData":{"DOI":"10.1016/J.JAD.2015.07.043","ISSN":"0165-0327","PMID":"26331684","abstract":"Background Maternal depression is associated with negative outcomes for offspring, including increased incidence of child psychopathology. Quality of mother-child relationships can be compromised among affectively ill dyads, such as those characterized by maternal depression and child psychopathology, and negatively impact outcomes bidirectionally. Little is known about the neural mechanisms that may modulate depressed mothers' responses to their psychiatrically ill children during middle childhood and adolescence, partially because of a need for ecologically valid personally relevant fMRI tasks that might most effectively elicit these neural mechanisms. Methods The current project evaluated maternal response to child positive and negative affective video clips in 19 depressed mothers with psychiatrically ill offspring using a novel fMRI task. Results The task elicited activation in the ventral striatum when mothers viewed positive clips and insula when mothers viewed negative clips of their own (versus unfamiliar) children. Both types of clips elicited activation in regions associated with affect regulation and self-related and social processing. Greater lifetime number of depressive episodes, comorbid anxiety, and poor mother-child relationship quality all emerged as predictors of maternal response to child affect. Limitations Findings may be specific to dyads with psychiatrically ill children. Conclusions Altered neural response to child affect may be an important characteristic of chronic maternal depression and may impact mother-child relationships negatively. Existing interventions for depression may be improved by helping mothers respond to their children's affect more adaptively.","author":[{"dropping-particle":"","family":"Morgan","given":"Judith K.","non-dropping-particle":"","parse-names":false,"suffix":""},{"dropping-particle":"","family":"Ambrosia","given":"Marigrace","non-dropping-particle":"","parse-names":false,"suffix":""},{"dropping-particle":"","family":"Forbes","given":"Erika E.","non-dropping-particle":"","parse-names":false,"suffix":""},{"dropping-particle":"","family":"Cyranowski","given":"Jill M.","non-dropping-particle":"","parse-names":false,"suffix":""},{"dropping-particle":"","family":"Amole","given":"Marlissa C.","non-dropping-particle":"","parse-names":false,"suffix":""},{"dropping-particle":"","family":"Silk","given":"Jennifer S.","non-dropping-particle":"","parse-names":false,"suffix":""},{"dropping-particle":"","family":"Elliott","given":"Rosalind D.","non-dropping-particle":"","parse-names":false,"suffix":""},{"dropping-particle":"","family":"Swartz","given":"Holly A.","non-dropping-particle":"","parse-names":false,"suffix":""}],"container-title":"Journal of Affective Disorders","id":"ITEM-2","issued":{"date-parts":[["2015","11","15"]]},"page":"106-113","publisher":"Elsevier","title":"Maternal response to child affect: Role of maternal depression and relationship quality","type":"article-journal","volume":"187"},"uris":["http://www.mendeley.com/documents/?uuid=c29819ff-c2d9-3c9c-a165-70f33bd16b74"]},{"id":"ITEM-3","itemData":{"DOI":"10.1016/J.NEUROIMAGE.2015.11.062","ISSN":"1053-8119","PMID":"26658926","abstract":"When remembering the past or envisioning the future, events often come to mind in organized sequences or stories rather than in isolation from one another. The aim of the present fMRI study was to investigate the neural correlates of such event clusters. Participants were asked to consider pairs of specific past or future events: in one condition, the two events were part of the same event cluster (i.e., they were thematically and/or causally related to each other), whereas in another condition the two events only shared a surface feature (i.e., their location); a third condition was also included, in which the two events were unrelated to each other. The results showed that the processing of past and future events that were part of a same cluster was associated with higher activation in the medial prefrontal cortex (PFC), rostrolateral PFC, and left lateral temporal and parietal regions, compared to the two other conditions. Furthermore, functional connectivity analyses revealed an increased coupling between these cortical regions. These findings suggest that largely similar processes are involved in organizing events in clusters for the past and the future. The medial and rostrolateral PFC might play a pivotal role in mediating the integration of specific events with conceptual autobiographical knowledge 'stored' in more posterior regions. Through this integrative process, this set of brain regions might contribute to the attribution of an overarching meaning to representations of specific past and future events, by contextualizing them with respect to personal goals and general knowledge about one's life story.","author":[{"dropping-particle":"","family":"Demblon","given":"Julie","non-dropping-particle":"","parse-names":false,"suffix":""},{"dropping-particle":"","family":"Bahri","given":"Mohamed Ali","non-dropping-particle":"","parse-names":false,"suffix":""},{"dropping-particle":"","family":"D'Argembeau","given":"Arnaud","non-dropping-particle":"","parse-names":false,"suffix":""}],"container-title":"NeuroImage","id":"ITEM-3","issued":{"date-parts":[["2016","2","15"]]},"page":"257-266","publisher":"Academic Press","title":"Neural correlates of event clusters in past and future thoughts: How the brain integrates specific episodes with autobiographical knowledge","type":"article-journal","volume":"127"},"uris":["http://www.mendeley.com/documents/?uuid=b0584684-23f9-3f77-b6f5-65249f83be19"]}],"mendeley":{"formattedCitation":"(Demblon, Bahri, &amp; D’Argembeau, 2016; Kano et al., 2014; Morgan et al., 2015)","plainTextFormattedCitation":"(Demblon, Bahri, &amp; D’Argembeau, 2016; Kano et al., 2014; Morgan et al., 2015)","previouslyFormattedCitation":"(Demblon, Bahri, &amp; D’Argembeau, 2016; Kano et al., 2014; Morgan et al., 2015)"},"properties":{"noteIndex":0},"schema":"https://github.com/citation-style-language/schema/raw/master/csl-citation.json"}</w:instrText>
      </w:r>
      <w:r w:rsidR="0020495F" w:rsidRPr="0020495F">
        <w:rPr>
          <w:rFonts w:asciiTheme="majorBidi" w:hAnsiTheme="majorBidi" w:cstheme="majorBidi"/>
          <w:sz w:val="24"/>
          <w:szCs w:val="24"/>
        </w:rPr>
        <w:fldChar w:fldCharType="separate"/>
      </w:r>
      <w:r w:rsidR="002D7959" w:rsidRPr="002D7959">
        <w:rPr>
          <w:rFonts w:asciiTheme="majorBidi" w:hAnsiTheme="majorBidi" w:cstheme="majorBidi"/>
          <w:noProof/>
          <w:sz w:val="24"/>
          <w:szCs w:val="24"/>
          <w:lang w:val="da-DK"/>
        </w:rPr>
        <w:t>(Demblon, Bahri, &amp; D’Argembeau, 2016; Kano et al., 2014; Morgan et al., 2015)</w:t>
      </w:r>
      <w:r w:rsidR="0020495F" w:rsidRPr="0020495F">
        <w:rPr>
          <w:rFonts w:asciiTheme="majorBidi" w:hAnsiTheme="majorBidi" w:cstheme="majorBidi"/>
          <w:sz w:val="24"/>
          <w:szCs w:val="24"/>
        </w:rPr>
        <w:fldChar w:fldCharType="end"/>
      </w:r>
    </w:p>
    <w:p w14:paraId="4C6E312F" w14:textId="57B16986" w:rsidR="0020495F" w:rsidRDefault="0020495F" w:rsidP="0020495F">
      <w:pPr>
        <w:spacing w:line="480" w:lineRule="auto"/>
        <w:rPr>
          <w:rFonts w:asciiTheme="majorBidi" w:hAnsiTheme="majorBidi" w:cstheme="majorBidi"/>
          <w:sz w:val="24"/>
          <w:szCs w:val="24"/>
        </w:rPr>
      </w:pPr>
      <w:r w:rsidRPr="00733EEA">
        <w:rPr>
          <w:rFonts w:asciiTheme="majorBidi" w:hAnsiTheme="majorBidi" w:cstheme="majorBidi"/>
          <w:sz w:val="24"/>
          <w:szCs w:val="24"/>
          <w:lang w:val="da-DK"/>
        </w:rPr>
        <w:t xml:space="preserve">rIFG </w:t>
      </w:r>
      <w:r w:rsidRPr="0020495F">
        <w:rPr>
          <w:rFonts w:asciiTheme="majorBidi" w:hAnsiTheme="majorBidi" w:cstheme="majorBidi"/>
          <w:sz w:val="24"/>
          <w:szCs w:val="24"/>
        </w:rPr>
        <w:fldChar w:fldCharType="begin" w:fldLock="1"/>
      </w:r>
      <w:r w:rsidR="00CB7CCC" w:rsidRPr="00733EEA">
        <w:rPr>
          <w:rFonts w:asciiTheme="majorBidi" w:hAnsiTheme="majorBidi" w:cstheme="majorBidi"/>
          <w:sz w:val="24"/>
          <w:szCs w:val="24"/>
          <w:lang w:val="da-DK"/>
        </w:rPr>
        <w:instrText>ADDIN CSL_CITATION {"citationItems":[{"id":"ITEM-1","itemData":{"DOI":"10.1093/CERCOR/BHU251","ISSN":"14602199","PMID":"25331596","abstract":"Premature birth is associated with high rates of motor and cognitive disability. Investigations have described resting-state functional magnetic resonance imaging (rs-fMRI) correlates of prematurity in older children, but comparable data in the neonatal period remain scarce. We studied 25 term-born control infants within the first week of life and 25 very preterm infants (born at gestational ages ranging from 23 to 29 weeks) without evident structural injury at term equivalent postmenstrual age. Conventional resting-state network (RSN) mapping revealed only modest differences between the term and prematurely born infants, in accordance with previous work. However, clear group differences were observed in quantitative analyses based on correlation and covariance matrices representing the functional MRI time series extracted from 31 regions of interest in 7 RSNs. In addition, the maximum likelihood dimensionality estimates of the group-averaged covariance matrices in the term and preterm infants were 5 and 3, respectively, indicating that prematurity leads to a reduction in the complexity of rs-fMRI covariance structure. These findings highlight the importance of quantitative analyses of rs-fMRI data and suggest a more sensitive method for delineating the effects of preterm birth in infants without evid</w:instrText>
      </w:r>
      <w:r w:rsidR="00CB7CCC">
        <w:rPr>
          <w:rFonts w:asciiTheme="majorBidi" w:hAnsiTheme="majorBidi" w:cstheme="majorBidi"/>
          <w:sz w:val="24"/>
          <w:szCs w:val="24"/>
        </w:rPr>
        <w:instrText>ent structural injury.","author":[{"dropping-particle":"","family":"Smyser","given":"Christopher D.","non-dropping-particle":"","parse-names":false,"suffix":""},{"dropping-particle":"","family":"Snyder","given":"Abraham Z.","non-dropping-particle":"","parse-names":false,"suffix":""},{"dropping-particle":"","family":"Shimony","given":"Joshua S.","non-dropping-particle":"","parse-names":false,"suffix":""},{"dropping-particle":"","family":"Mitra","given":"Anish","non-dropping-particle":"","parse-names":false,"suffix":""},{"dropping-particle":"","family":"Inder","given":"Terrie E.","non-dropping-particle":"","parse-names":false,"suffix":""},{"dropping-particle":"","family":"Neil","given":"Jeffrey J.","non-dropping-particle":"","parse-names":false,"suffix":""}],"container-title":"Cerebral Cortex (New York, NY)","id":"ITEM-1","issue":"1","issued":{"date-parts":[["2016","1","1"]]},"page":"322","publisher":"Oxford University Press","title":"Resting-State Network Complexity and Magnitude Are Reduced in Prematurely Born Infants","type":"article-journal","volume":"26"},"uris":["http://www.mendeley.com/documents/?uuid=18dc1ca2-3cb3-35d2-8cbb-a4f3efc142c0"]},{"id":"ITEM-2","itemData":{"DOI":"10.1016/J.PSCYCHRESNS.2016.12.005","ISSN":"0925-4927","PMID":"27992792","abstract":"In an effort to elucidate differences in functioning brain networks between youth with obsessive-compulsive disorder and controls, we used fMRI signals to analyze brain network interactions of the dorsal anterior cingulate cortex (dACC) during visually coordinated motor responses. Subjects made a uni-manual response to briefly presented probes, at periodic (allowing participants to maintain a “motor set”) or random intervals (demanding reactive responses). Network interactions were assessed using psycho-physiological interaction (PPI), a basic model of functional connectivity evaluating modulatory effects of the dACC in the context of each task condition. Across conditions, OCD were characterized by hyper-modulation by the dACC, with loci alternatively observed as both condition-general and condition-specific. Thus, dynamically driven task demands during simple uni-manual motor control induce compensatory network interactions in cortical-thalamic regions in OCD. These findings support previous research in OCD showing compensatory network interactions during complex memory tasks, but establish that these network effects are observed during basic sensorimotor processing. Thus, these patterns of network dysfunction may in fact be independent of the complexity of tasks used to induce brain network activity. Hypothesis-driven approaches coupled with sophisticated network analyses are a highly valuable approach in using fMRI to uncover mechanisms in disorders like OCD.","author":[{"dropping-particle":"","family":"Friedman","given":"Amy L.","non-dropping-particle":"","parse-names":false,"suffix":""},{"dropping-particle":"","family":"Burgess","given":"Ashley","non-dropping-particle":"","parse-names":false,"suffix":""},{"dropping-particle":"","family":"Ramaseshan","given":"Karthik","non-dropping-particle":"","parse-names":false,"suffix":""},{"dropping-particle":"","family":"Easter","given":"Phil","non-dropping-particle":"","parse-names":false,"suffix":""},{"dropping-particle":"","family":"Khatib","given":"Dalal","non-dropping-particle":"","parse-names":false,"suffix":""},{"dropping-particle":"","family":"Chowdury","given":"Asadur","non-dropping-particle":"","parse-names":false,"suffix":""},{"dropping-particle":"","family":"Arnold","given":"Paul D.","non-dropping-particle":"","parse-names":false,"suffix":""},{"dropping-particle":"","family":"Hanna","given":"Gregory L.","non-dropping-particle":"","parse-names":false,"suffix":""},{"dropping-particle":"","family":"Rosenberg","given":"David R.","non-dropping-particle":"","parse-names":false,"suffix":""},{"dropping-particle":"","family":"Diwadkar","given":"Vaibhav A.","non-dropping-particle":"","parse-names":false,"suffix":""}],"container-title":"Psychiatry Research: Neuroimaging","id":"ITEM-2","issued":{"date-parts":[["2017","2","28"]]},"page":"6-15","publisher":"Elsevier","title":"Brain network dysfunction in youth with obsessive-compulsive disorder induced by simple uni-manual behavior: The role of the dorsal anterior cingulate cortex","type":"article-journal","volume":"260"},"uris":["http://www.mendeley.com/documents/?uuid=4b48a43e-183b-337a-8dc9-ff4ff07ee44f"]}],"mendeley":{"formattedCitation":"(Friedman et al., 2017; Smyser et al., 2016)","plainTextFormattedCitation":"(Friedman et al., 2017; Smyser et al., 2016)","previouslyFormattedCitation":"(Friedman et al., 2017; Smyser et al., 2016)"},"properties":{"noteIndex":0},"schema":"https://github.com/citation-style-language/schema/raw/master/csl-citation.json"}</w:instrText>
      </w:r>
      <w:r w:rsidRPr="0020495F">
        <w:rPr>
          <w:rFonts w:asciiTheme="majorBidi" w:hAnsiTheme="majorBidi" w:cstheme="majorBidi"/>
          <w:sz w:val="24"/>
          <w:szCs w:val="24"/>
        </w:rPr>
        <w:fldChar w:fldCharType="separate"/>
      </w:r>
      <w:r w:rsidR="0016787F" w:rsidRPr="0016787F">
        <w:rPr>
          <w:rFonts w:asciiTheme="majorBidi" w:hAnsiTheme="majorBidi" w:cstheme="majorBidi"/>
          <w:noProof/>
          <w:sz w:val="24"/>
          <w:szCs w:val="24"/>
        </w:rPr>
        <w:t>(Friedman et al., 2017; Smyser et al., 2016)</w:t>
      </w:r>
      <w:r w:rsidRPr="0020495F">
        <w:rPr>
          <w:rFonts w:asciiTheme="majorBidi" w:hAnsiTheme="majorBidi" w:cstheme="majorBidi"/>
          <w:sz w:val="24"/>
          <w:szCs w:val="24"/>
        </w:rPr>
        <w:fldChar w:fldCharType="end"/>
      </w:r>
    </w:p>
    <w:p w14:paraId="65DE4912" w14:textId="0CC664E7" w:rsidR="0020495F" w:rsidRPr="00CB5D79" w:rsidRDefault="003767E3" w:rsidP="0020495F">
      <w:pPr>
        <w:spacing w:line="480" w:lineRule="auto"/>
        <w:rPr>
          <w:rFonts w:asciiTheme="majorBidi" w:hAnsiTheme="majorBidi" w:cstheme="majorBidi"/>
          <w:sz w:val="24"/>
          <w:szCs w:val="24"/>
          <w:lang w:val="en-GB"/>
        </w:rPr>
      </w:pPr>
      <w:r>
        <w:rPr>
          <w:rFonts w:asciiTheme="majorBidi" w:hAnsiTheme="majorBidi" w:cstheme="majorBidi"/>
          <w:sz w:val="24"/>
          <w:szCs w:val="24"/>
        </w:rPr>
        <w:t>ACC</w:t>
      </w:r>
      <w:r>
        <w:rPr>
          <w:rFonts w:asciiTheme="majorBidi" w:hAnsiTheme="majorBidi" w:cstheme="majorBidi"/>
          <w:sz w:val="24"/>
          <w:szCs w:val="24"/>
          <w:vertAlign w:val="subscript"/>
        </w:rPr>
        <w:t>3</w:t>
      </w:r>
      <w:r>
        <w:rPr>
          <w:rFonts w:asciiTheme="majorBidi" w:hAnsiTheme="majorBidi" w:cstheme="majorBidi"/>
          <w:sz w:val="24"/>
          <w:szCs w:val="24"/>
        </w:rPr>
        <w:t xml:space="preserve"> </w:t>
      </w:r>
      <w:r w:rsidR="0020495F">
        <w:rPr>
          <w:rFonts w:asciiTheme="majorBidi" w:hAnsiTheme="majorBidi" w:cstheme="majorBidi"/>
          <w:sz w:val="24"/>
          <w:szCs w:val="24"/>
        </w:rPr>
        <w:fldChar w:fldCharType="begin" w:fldLock="1"/>
      </w:r>
      <w:r w:rsidR="000564FF">
        <w:rPr>
          <w:rFonts w:asciiTheme="majorBidi" w:hAnsiTheme="majorBidi" w:cstheme="majorBidi"/>
          <w:sz w:val="24"/>
          <w:szCs w:val="24"/>
        </w:rPr>
        <w:instrText>ADDIN CSL_CITATION {"citationItems":[{"id":"ITEM-1","itemData":{"DOI":"10.1016/J.BIOPSYCHO.2017.04.015","ISSN":"0301-0511","PMID":"28478139","abstract":"Although the Behavioral Inhibition System (BIS) is associated with threat-sensitivity, little is known about its neurofunctional correlates during cognitive control over task-irrelevant threat distractors. Thirty non-clinical participants, who ranged in BIS sensitivity, completed an attentional control paradigm during fMRI. The paradigm varied in cognitive demand with low perceptual load comprising identical target letters and high perceptual load comprising a target letter in a mixed letter string; each superimposed on threatening and neutral face distractors. Whole-brain results indicated that individuals with higher, relative to lower BIS sensitivity, exhibited enhanced dorsolateral prefrontal cortex activation to angry (vs. neutral) and enhanced dorsal anterior cingulate cortex activation to fearful (vs. neutral) face distractors under low load whereas no differences in activation were observed under high load. These findings are consistent with literature indicating that the BIS is involved in conflict processing, including between cognitive and emotional or motivational goals.","author":[{"dropping-particle":"","family":"Bunford","given":"Nora","non-dropping-particle":"","parse-names":false,"suffix":""},{"dropping-particle":"","family":"Roberts","given":"Julia","non-dropping-particle":"","parse-names":false,"suffix":""},{"dropping-particle":"","family":"Kennedy","given":"Amy E.","non-dropping-particle":"","parse-names":false,"suffix":""},{"dropping-particle":"","family":"Klumpp","given":"Heide","non-dropping-particle":"","parse-names":false,"suffix":""}],"container-title":"Biological Psychology","id":"ITEM-1","issued":{"date-parts":[["2017","7","1"]]},"page":"10-17","publisher":"Elsevier","title":"Neurofunctional correlates of behavioral inhibition system sensitivity during attentional control are modulated by perceptual load","type":"article-journal","volume":"127"},"uris":["http://www.mendeley.com/documents/?uuid=1ec97547-be8b-37be-b799-6f4043f5824d"]},{"id":"ITEM-2","itemData":{"DOI":"10.1016/J.BIOPSYCH.2004.07.012","ISSN":"0006-3223","PMID":"15476691","abstract":"Biased attention to threat represents a key feature of anxiety disorders. This bias is altered by therapeutic or stressful experiences, suggesting that the bias is plastic. Charting on-line behavioral and neurophysiological changes in attention bias may generate insights on the nature of such plasticity. We used an attention-orientation task with threat cues to examine how healthy individuals alter their response over time to such cues. In Experiments 1 through 3, we established that healthy individuals demonstrate an increased attention bias away from threat over time. For Experiment 3, we used functional magnetic resonance imaging to determine the neural bases for this phenomenon. Gradually increasing attention bias away from threat is associated with increased activation in the occipitotemporal cortex. Examination of plasticity of attention bias with individuals at risk for anxiety disorders may reveal how threatening stimuli come to be categorized differently in this population over time.","author":[{"dropping-particle":"","family":"Monk","given":"Christopher S.","non-dropping-particle":"","parse-names":false,"suffix":""},{"dropping-particle":"","family":"Nelson","given":"Eric E.","non-dropping-particle":"","parse-names":false,"suffix":""},{"dropping-particle":"","family":"Woldehawariat","given":"Girma","non-dropping-particle":"","parse-names":false,"suffix":""},{"dropping-particle":"","family":"Montgomery","given":"Lee Anne","non-dropping-particle":"","parse-names":false,"suffix":""},{"dropping-particle":"","family":"Zarahn","given":"Eric","non-dropping-particle":"","parse-names":false,"suffix":""},{"dropping-particle":"","family":"McClure","given":"Erin B.","non-dropping-particle":"","parse-names":false,"suffix":""},{"dropping-particle":"","family":"Guyer","given":"Amanda E.","non-dropping-particle":"","parse-names":false,"suffix":""},{"dropping-particle":"","family":"Leibenluft","given":"Ellen","non-dropping-particle":"","parse-names":false,"suffix":""},{"dropping-particle":"","family":"Charney","given":"Dennis S.","non-dropping-particle":"","parse-names":false,"suffix":""},{"dropping-particle":"","family":"Ernst","given":"Monique","non-dropping-particle":"","parse-names":false,"suffix":""},{"dropping-particle":"","family":"Pine","given":"Daniel S.","non-dropping-particle":"","parse-names":false,"suffix":""}],"container-title":"Biological Psychiatry","id":"ITEM-2","issue":"8","issued":{"date-parts":[["2004","10","15"]]},"page":"607-610","publisher":"Elsevier","title":"Experience-dependent plasticity for attention to threat: Behavioral and neurophysiological evidence in humans","type":"article-journal","volume":"56"},"uris":["http://www.mendeley.com/documents/?uuid=fc5bb6eb-a112-3fef-9887-38f80118c08d"]}],"mendeley":{"formattedCitation":"(Bunford, Roberts, Kennedy, &amp; Klumpp, 2017; Monk et al., 2004)","plainTextFormattedCitation":"(Bunford, Roberts, Kennedy, &amp; Klumpp, 2017; Monk et al., 2004)","previouslyFormattedCitation":"(Bunford, Roberts, Kennedy, &amp; Klumpp, 2017; Monk et al., 2004)"},"properties":{"noteIndex":0},"schema":"https://github.com/citation-style-language/schema/raw/master/csl-citation.json"}</w:instrText>
      </w:r>
      <w:r w:rsidR="0020495F">
        <w:rPr>
          <w:rFonts w:asciiTheme="majorBidi" w:hAnsiTheme="majorBidi" w:cstheme="majorBidi"/>
          <w:sz w:val="24"/>
          <w:szCs w:val="24"/>
        </w:rPr>
        <w:fldChar w:fldCharType="separate"/>
      </w:r>
      <w:r w:rsidR="002D7959" w:rsidRPr="002D7959">
        <w:rPr>
          <w:rFonts w:asciiTheme="majorBidi" w:hAnsiTheme="majorBidi" w:cstheme="majorBidi"/>
          <w:noProof/>
          <w:sz w:val="24"/>
          <w:szCs w:val="24"/>
        </w:rPr>
        <w:t>(Bunford, Roberts, Kennedy, &amp; Klumpp, 2017; Monk et al., 2004)</w:t>
      </w:r>
      <w:r w:rsidR="0020495F">
        <w:rPr>
          <w:rFonts w:asciiTheme="majorBidi" w:hAnsiTheme="majorBidi" w:cstheme="majorBidi"/>
          <w:sz w:val="24"/>
          <w:szCs w:val="24"/>
        </w:rPr>
        <w:fldChar w:fldCharType="end"/>
      </w:r>
    </w:p>
    <w:p w14:paraId="4F30870A" w14:textId="3D73B9A5" w:rsidR="0020495F" w:rsidRPr="00733EEA" w:rsidRDefault="0020495F" w:rsidP="0020495F">
      <w:pPr>
        <w:spacing w:line="480" w:lineRule="auto"/>
        <w:rPr>
          <w:rFonts w:asciiTheme="majorBidi" w:hAnsiTheme="majorBidi" w:cstheme="majorBidi"/>
          <w:sz w:val="24"/>
          <w:szCs w:val="24"/>
          <w:lang w:val="da-DK"/>
        </w:rPr>
      </w:pPr>
      <w:r>
        <w:rPr>
          <w:rFonts w:asciiTheme="majorBidi" w:hAnsiTheme="majorBidi" w:cstheme="majorBidi"/>
          <w:sz w:val="24"/>
          <w:szCs w:val="24"/>
        </w:rPr>
        <w:t xml:space="preserve">dlPFC </w:t>
      </w:r>
      <w:r>
        <w:rPr>
          <w:rFonts w:asciiTheme="majorBidi" w:hAnsiTheme="majorBidi" w:cstheme="majorBidi"/>
          <w:sz w:val="24"/>
          <w:szCs w:val="24"/>
        </w:rPr>
        <w:fldChar w:fldCharType="begin" w:fldLock="1"/>
      </w:r>
      <w:r w:rsidR="000564FF">
        <w:rPr>
          <w:rFonts w:asciiTheme="majorBidi" w:hAnsiTheme="majorBidi" w:cstheme="majorBidi"/>
          <w:sz w:val="24"/>
          <w:szCs w:val="24"/>
        </w:rPr>
        <w:instrText>ADDIN CSL_CITATION {"citationItems":[{"id":"ITEM-1","itemData":{"DOI":"10.1162/JOCN.2009.21210","ISSN":"0898-929X","PMID":"19301995","abstract":"The ACC, the dorsolateral prefrontal cortex (DLPFC), and the parietal cortex near/along the intraparietal sulcus (IPS) are members of a network subserving attentional control. Our recent study revealed that these regions participate in both response anticipation and conflict processing. However, little is known about the relative contribution of these regions in attentional control and how the dynamic interactions among these regions are modulated by detection of predicted versus unpredicted targets and conflict processing. Here, we examined effective connectivity using dynamic causal modeling among these three regions during a flanker task with or without a target onset cue. We compared various models inwhich different connections among ACC,DLPFC, and IPS were modulated by bottom-up stimulus-driven surprise and top-down conflict processing using Bayesian model selection procedures. The most optimal of these models incorporated contextualmodulation that allowed processing of unexpected (surprising) targets to mediate the influence of the IPS over ACC and DLPFC and conflict processing to mediate the influence of ACC and DLPFC over the IPS. This result suggests that the IPS plays an initiative role in this network in the processing of surprise targets, whereas ACC and DLPFC interact with each other to resolve conflict through attentional modulation implemented via the IPS. © 2009 Massachusetts Institute of Technology.","author":[{"dropping-particle":"","family":"Wang","given":"Liang","non-dropping-particle":"","parse-names":false,"suffix":""},{"dropping-particle":"","family":"Liu","given":"Xun","non-dropping-particle":"","parse-names":false,"suffix":""},{"dropping-particle":"","family":"Guise","given":"Kevin G.","non-dropping-particle":"","parse-names":false,"suffix":""},{"dropping-particle":"","family":"Knight","given":"Robert T.","non-dropping-particle":"","parse-names":false,"suffix":""},{"dropping-particle":"","family":"Ghajar","given":"Jamshid","non-dropping-particle":"","parse-names":false,"suffix":""},{"dropping-particle":"","family":"Fan","given":"Jin","non-dropping-particle":"","parse-names":false,"suffix":""}],"container-title":"Journal of Cognitive Neuroscience","id":"ITEM-1","issue":"3","issued":{"date-parts":[["2010","3","1"]]},"page":"543-553","publisher":"MIT Press","title":"Effective Connectivity of the Fronto-parietal Network during Attentional Control","type":"article-journal","volume":"22"},"uris":["http://www.mendeley.com/documents/?uuid=3a3dbaef-1856-362e-8dc6-fb2d917b8571"]},{"id":"ITEM-2","itemData":{"DOI":"10.1523/JNEUROSCI.4159-11.2011","ISSN":"02706474","PMID":"22072686","abstract":"Proprioceptive information from the foot/ankle provides important information regarding body sway for balance control, especially in situations where visual information is degraded or absent. Given known increases in catastrophic injury due to falls with older age, understanding the neural basis of proprioceptive processing for balance control is particularly important for older adults. In the present study, we linked neural activity in response to stimulation of key foot proprioceptors (i.e., muscle spindles) with balance ability across the lifespan. Twenty young and 20 older human adults underwent proprioceptive mapping; foot tendon vibration was compared with vibration of a nearby bone in an fMRI environment to determine regions of the brain that were active in response to muscle spindle stimulation. Several body sway metrics were also calculated for the same participants on an eyes-closed balance task. Based on regression analyses, multiple clusters of voxels were identified showing a significant relationship between muscle spindle stimulation-induced neural activity and maximum center of pressure excursion in the anterior-posterior direction. In this case, increased activation was associated with greater balance performance in parietal, frontal, and insular cortical areas, as well as structures within the basal ganglia. These correlated regions were age- and foot-stimulation side-independent and largely localized to right-sided areas of the brain thought to be involved in monitoring stimulus-driven shifts of attention. These findings support the notion that, beyond fundamental peripheral reflex mechanisms, central processing of proprioceptive signals from the foot is critical for balance control. © 2011 the authors.","author":[{"dropping-particle":"","family":"Goble","given":"Daniel J.","non-dropping-particle":"","parse-names":false,"suffix":""},{"dropping-particle":"","family":"Coxon","given":"James P.","non-dropping-particle":"","parse-names":false,"suffix":""},{"dropping-particle":"","family":"Impe","given":"Annouchka","non-dropping-particle":"van","parse-names":false,"suffix":""},{"dropping-particle":"","family":"Geurts","given":"Monique","non-dropping-particle":"","parse-names":false,"suffix":""},{"dropping-particle":"","family":"Doumas","given":"Michail","non-dropping-particle":"","parse-names":false,"suffix":""},{"dropping-particle":"","family":"Wenderoth","given":"Nicole","non-dropping-particle":"","parse-names":false,"suffix":""},{"dropping-particle":"","family":"Swinnen","given":"Stephan P.","non-dropping-particle":"","parse-names":false,"suffix":""}],"container-title":"The Journal of Neuroscience","id":"ITEM-2","issue":"45","issued":{"date-parts":[["2011","11","11"]]},"page":"16344","publisher":"Society for Neuroscience","title":"Brain Activity during Ankle Proprioceptive Stimulation Predicts Balance Performance in Young and Older Adults","type":"article-journal","volume":"31"},"uris":["http://www.mendeley.com/documents/?uuid=444d76d6-f8c2-3bd9-9e71-a46fc582660b"]},{"id":"ITEM-3","itemData":{"DOI":"10.1016/J.PSCYCHRESNS.2010.12.011","ISSN":"0925-4927","PMID":"21546221","abstract":"Cocaine use is associated with poorer HIV clinical outcomes and may contribute to neurobiological impairments associated with impulsive decision making. This study examined the effect of cocaine dependence on brain activation during a delay discounting task involving choices between smaller immediate rewards and larger delayed ones. Participants were 39 HIV-positive adults on antiretroviral therapy who had current cocaine dependence (\"active,\" n= 15), past cocaine dependence (\"recovered,\" n= 13), or no lifetime substance dependence (\"naïve,\" n= 11). Based on responses on a traditional delay discounting task, three types of choices were individualized for presentation during functional magnetic resonance imaging: hard (similarly valued), easy (disparately valued), and no (single option). Active participants had significantly smaller increases in activation than naïve participants during hard versus easy choices bilaterally in the precentral gyrus and anterior cingulate cortex and in the right frontal pole (including dorsolateral, ventrolateral, and orbitofrontal cortex). During hard and easy choices relative to no choices, active participants had smaller increases in activation compared to naïve participants in frontoparietal cortical regions. These deficits in the executive network during delay discounting choices may contribute to impulsive decision making among HIV-positive cocaine users, with implications for risk behaviors associated with disease transmission and progression. © 2010 Elsevier Ireland Ltd.","author":[{"dropping-particle":"","family":"Meade","given":"Christina S.","non-dropping-particle":"","parse-names":false,"suffix":""},{"dropping-particle":"","family":"Lowen","given":"Steven B.","non-dropping-particle":"","parse-names":false,"suffix":""},{"dropping-particle":"","family":"MacLean","given":"Robert R.","non-dropping-particle":"","parse-names":false,"suffix":""},{"dropping-particle":"","family":"Key","given":"Mary D.","non-dropping-particle":"","parse-names":false,"suffix":""},{"dropping-particle":"","family":"Lukas","given":"Scott E.","non-dropping-particle":"","parse-names":false,"suffix":""}],"container-title":"Psychiatry Research: Neuroimaging","id":"ITEM-3","issue":"3","issued":{"date-parts":[["2011","6","30"]]},"page":"167-175","publisher":"Elsevier","title":"fMRI brain activation during a delay discounting task in HIV-positive adults with and without cocaine dependence","type":"article-journal","volume":"192"},"uris":["http://www.mendeley.com/documents/?uuid=93f80034-eb12-33c1-8947-921b264dc368"]},{"id":"ITEM-4","itemData":{"DOI":"10.1002/HBM.22198","ISSN":"10659471","PMID":"23097273","abstract":"Objectives:: To investigate, using resting state (RS) functional connectivity (FC), the selectivity of involvement of the sensorimotor network in patients with acquired (A) and with hereditary (H) peripheral neuropathies (PN) and the correlations of RS FC abnormalities with clinical impairment and structural brain damage. Temporal associations among RS networks were also explored. Experimental design: RS fMRI scans were acquired from 13 APN, 12 HPN, and 18 age- and sex-matched healthy controls. Independent component analysis and functional network connectivity were used to investigate RS FC within and among RS networks with potential functional relevance. Principal observations:: Compared to controls, patients had a decreased FC of the right precentral gyrus and an increased RS FC of the precuneus within the sensorimotor network. Both decreased and increased RS FC also involved the visual and auditory networks, which additionally had an increased coherence of function with the sensorimotor network (more pronounced in HPN). RS FC modifications in patients extended to several cognitive networks and were correlated with disease duration. In APN, they were also correlated with the severity of clinical impairment and corpus callosum atrophy. Conclusions:: In PN, RS FC modifications extend beyond the sensorimotor network and involve other sensory and cognitive networks. The correlations between RS FC patterns and disease duration in patients as well as with clinical impairment in patients with APN suggest that modifications of FC might reflect an adaptive mechanism, which takes time to occur and helps to limit the clinical consequences of peripheral damage. Hum Brain Mapp 35:513-526, 2014. © 2012 Wiley Periodicals, Inc.","author":[{"dropping-particle":"","family":"Rocca","given":"Maria A.","non-dropping-particle":"","parse-names":false,"suffix":""},{"dropping-particle":"","family":"Valsasina","given":"Paola","non-dropping-particle":"","parse-names":false,"suffix":""},{"dropping-particle":"","family":"Fazio","given":"Raffaella","non-dropping-particle":"","parse-names":false,"suffix":""},{"dropping-particle":"","family":"Previtali","given":"Stefano C.","non-dropping-particle":"","parse-names":false,"suffix":""},{"dropping-particle":"","family":"Messina","given":"Roberta","non-dropping-particle":"","parse-names":false,"suffix":""},{"dropping-particle":"","family":"Falini","given":"Andrea","non-dropping-particle":"","parse-names":false,"suffix":""},{"dropping-particle":"","family":"Comi","given":"Giancarlo","non-dropping-particle":"","parse-names":false,"suffix":""},{"dropping-particle":"","family":"Filippi","given":"Massimo","non-dropping-particle":"","parse-names":false,"suffix":""}],"container-title":"Human Brain Mapping","id":"ITEM-4","issue":"2","issued":{"date-parts":[["2014","2"]]},"page":"513","publisher":"Wiley-Blackwell","title":"Brain connectivity abnormalities extend beyond the sensorimotor network in peripheral neuropathy","type":"article-journal","volume":"35"},"uris":["http://www.mendeley.com/documents/?uuid=a530bca4-04b6-3a54-ada5-0702b5e9d163"]}],"mendeley":{"formattedCitation":"(Goble et al., 2011; Meade, Lowen, MacLean, Key, &amp; Lukas, 2011; Rocca et al., 2014; Wang et al., 2010)","plainTextFormattedCitation":"(Goble et al., 2011; Meade, Lowen, MacLean, Key, &amp; Lukas, 2011; Rocca et al., 2014; Wang et al., 2010)","previouslyFormattedCitation":"(Goble et al., 2011; Meade, Lowen, MacLean, Key, &amp; Lukas, 2011; Rocca et al., 2014; Wang et al., 2010)"},"properties":{"noteIndex":0},"schema":"https://github.com/citation-style-language/schema/raw/master/csl-citation.json"}</w:instrText>
      </w:r>
      <w:r>
        <w:rPr>
          <w:rFonts w:asciiTheme="majorBidi" w:hAnsiTheme="majorBidi" w:cstheme="majorBidi"/>
          <w:sz w:val="24"/>
          <w:szCs w:val="24"/>
        </w:rPr>
        <w:fldChar w:fldCharType="separate"/>
      </w:r>
      <w:r w:rsidR="002D7959" w:rsidRPr="002D7959">
        <w:rPr>
          <w:rFonts w:asciiTheme="majorBidi" w:hAnsiTheme="majorBidi" w:cstheme="majorBidi"/>
          <w:noProof/>
          <w:sz w:val="24"/>
          <w:szCs w:val="24"/>
          <w:lang w:val="da-DK"/>
        </w:rPr>
        <w:t>(Goble et al., 2011; Meade, Lowen, MacLean, Key, &amp; Lukas, 2011; Rocca et al., 2014; Wang et al., 2010)</w:t>
      </w:r>
      <w:r>
        <w:rPr>
          <w:rFonts w:asciiTheme="majorBidi" w:hAnsiTheme="majorBidi" w:cstheme="majorBidi"/>
          <w:sz w:val="24"/>
          <w:szCs w:val="24"/>
        </w:rPr>
        <w:fldChar w:fldCharType="end"/>
      </w:r>
    </w:p>
    <w:p w14:paraId="0686A9A8" w14:textId="68C75B2D" w:rsidR="002F4FF6" w:rsidRDefault="00621F74" w:rsidP="002F4FF6">
      <w:pPr>
        <w:spacing w:line="480" w:lineRule="auto"/>
        <w:rPr>
          <w:rFonts w:asciiTheme="majorBidi" w:hAnsiTheme="majorBidi" w:cstheme="majorBidi"/>
          <w:sz w:val="24"/>
          <w:szCs w:val="24"/>
        </w:rPr>
      </w:pPr>
      <w:r w:rsidRPr="00B92FE9">
        <w:rPr>
          <w:rFonts w:asciiTheme="majorBidi" w:hAnsiTheme="majorBidi" w:cstheme="majorBidi"/>
          <w:sz w:val="24"/>
          <w:szCs w:val="24"/>
          <w:lang w:val="da-DK"/>
        </w:rPr>
        <w:t>ACC</w:t>
      </w:r>
      <w:r w:rsidRPr="00B92FE9">
        <w:rPr>
          <w:rFonts w:asciiTheme="majorBidi" w:hAnsiTheme="majorBidi" w:cstheme="majorBidi"/>
          <w:sz w:val="24"/>
          <w:szCs w:val="24"/>
          <w:vertAlign w:val="subscript"/>
          <w:lang w:val="da-DK"/>
        </w:rPr>
        <w:t>1</w:t>
      </w:r>
      <w:r w:rsidRPr="00B92FE9">
        <w:rPr>
          <w:rFonts w:asciiTheme="majorBidi" w:hAnsiTheme="majorBidi" w:cstheme="majorBidi"/>
          <w:sz w:val="24"/>
          <w:szCs w:val="24"/>
          <w:lang w:val="da-DK"/>
        </w:rPr>
        <w:t xml:space="preserve"> </w:t>
      </w:r>
      <w:r w:rsidR="002F4FF6">
        <w:rPr>
          <w:rFonts w:asciiTheme="majorBidi" w:hAnsiTheme="majorBidi" w:cstheme="majorBidi"/>
          <w:sz w:val="24"/>
          <w:szCs w:val="24"/>
        </w:rPr>
        <w:fldChar w:fldCharType="begin" w:fldLock="1"/>
      </w:r>
      <w:r w:rsidR="00733EEA">
        <w:rPr>
          <w:rFonts w:asciiTheme="majorBidi" w:hAnsiTheme="majorBidi" w:cstheme="majorBidi"/>
          <w:sz w:val="24"/>
          <w:szCs w:val="24"/>
          <w:lang w:val="da-DK"/>
        </w:rPr>
        <w:instrText>ADDIN CSL_CITATION {"citationItems":[{"id":"ITEM-1","itemData":{"DOI":"10.1016/j.neuropsychologia.2011.03.007","ISSN":"00283932","PMID":"21414333","abstract":"Often memory for emotionally arousing items is enhanced relative to neutral items within complex visual scenes, but this enhancement can come at the expense of memory for peripheral background information. This 'trade-off' effect has been elicited by a range of stimulus valence and arousal levels, yet the magnitude of the effect has been shown to vary with these factors. Using fMRI, this study investigated the neural mechanisms underlying this selective memory for emotional scenes. Further, we examined how these processes are affected by stimulus dimensions of arousal and valence. The trade-off effect in memory occurred for low to high arousal positive and negative scenes. There was a core emotional memory network associated with the trade-off among all the emotional scene types, however, there were additional regions that were uniquely associated with the trade-off for each individual scene type. These results suggest that there is a common network of regions associated with the emotional memory trade-off effect, but that valence and arousal also independently affect the neural activity underlying the effect. © 2011 Elsevier Ltd.","author":[{"dropping-particle":"","family":"Waring","given":"Jill D.","non-dropping-particle":"","parse-names":false,"suffix":""},{"dropping-particle":"","family":"Kensinger","given":"Elizabeth A.","non-dropping-particle":"","parse-names":false,"suffix":""}],"container-title":"Neuropsychologia","id":"ITEM-1","issue":"7","issued":{"date-parts":[["2011","6"]]},"page":"1831-1842","publisher":"Neuropsychologia","title":"How emotion leads to selective memory: Neuroimaging evidence","type":"article-journal","volume":"49"},"uris":["http://www.mendeley.com/documents/?uuid=9477d11e-54ac-3025-bf9e-32b93e28ce42"]},{"id":"ITEM-2","itemData":{"DOI":"10.1016/j.neures.2013.01.012","ISSN":"01680102","PMID":"23453977","abstract":"It has been proposed that cognitive reserve is supported by two neural mechanisms: neural compensation and neural reserve. The purpose of this study was to test how these neural mechanisms are solicited in aging in the context of visual selective attention processing and whether they are inter- or intra-hemispheric. Younger and older participants were scanned using fMRI during a visual letter-matching task with two attentional load levels. The results show that in the low-load condition, the older participants activated frontal superior gyri bilaterally; these regions were not activated in the younger participants, in accordance with the compensation mechanism and the Posterior-Anterior Shift in Aging (PASA) phenomenon. However, when task demand increased, the older participants recruited the same regions (parietal) as the younger ones, showing the involvement of a similar neural reserve mechanism. This result suggests that successful cognitive aging relies on the concurrent use of both neural compensation and neural reserve in high-demand tasks, calling on the frontoparietal network. In addition, the finding of intra-hemispheric-based neurofunctional reorganization with a PASA phenomenon for all attentional load levels suggests that the PASA phenomenon is a function more of compensation than of reserve. © 2013 Elsevier Ireland Ltd and the Japan Neuroscience Society.","author":[{"dropping-particle":"","family":"Ansado","given":"Jennyfer","non-dropping-particle":"","parse-names":false,"suffix":""</w:instrText>
      </w:r>
      <w:r w:rsidR="00733EEA" w:rsidRPr="002D7959">
        <w:rPr>
          <w:rFonts w:asciiTheme="majorBidi" w:hAnsiTheme="majorBidi" w:cstheme="majorBidi"/>
          <w:sz w:val="24"/>
          <w:szCs w:val="24"/>
        </w:rPr>
        <w:instrText>},{"dropping-particle":"","family":"Monchi","given":"Oury","non-dropping-particle":"","parse-names":false,"suffix":""},{"dropping-particle":"","family":"Ennabil","given":"Nourane","non-dropping-particle":"","parse-names":false,"suffix":""},{"dropping-particle":"","family":"Deslauriers","given":"Johnathan","non-dropping-particle":"","parse-names":false,"suffix":""},{"dropping-particle":"","family":"Jubault","given":"Thomas","non-dropping-particle":"","parse-names":false,"suffix":""},{"dropping-particle":"","family":"Faure","given":"Sylvane","non-dropping-particle":"","parse-names":false,"suffix":""},{"dropping-particle":"","family":"Joanette","given":"Yves","non-dropping-particle":"","parse-names":false,"suffix":""}],"container-title":"Neuroscience Research","id":"ITEM-2","issue":"4","issued":{"date-parts":[["2013"]]},"page":"295-304","title":"Coping with task demand in aging using neural compensation and neural reserve triggers primarily intra-hemispheric-based neurofunctional reorganization","type":"article-journal","volume":"75"},"uris":["http://www.mendeley.com/documents/?uuid=b3e40a15-b68d-34c7-bbec-434868babde0"]}],"mendeley":{"formattedCitation":"(Ansado et al., 2013; Waring &amp; Kensinger, 2011)","plainTextFormattedCitation":"(Ansado et al., 2013; Waring &amp; Kensinger, 2011)","previouslyFormattedCitation":"(Ansado et al., 2013; Waring &amp; Kensinger, 2011)"},"properties":{"noteIndex":0},"schema":"https://github.com/citation-style-language/schema/raw/master/csl-citation.json"}</w:instrText>
      </w:r>
      <w:r w:rsidR="002F4FF6">
        <w:rPr>
          <w:rFonts w:asciiTheme="majorBidi" w:hAnsiTheme="majorBidi" w:cstheme="majorBidi"/>
          <w:sz w:val="24"/>
          <w:szCs w:val="24"/>
        </w:rPr>
        <w:fldChar w:fldCharType="separate"/>
      </w:r>
      <w:r w:rsidR="0016787F" w:rsidRPr="0016787F">
        <w:rPr>
          <w:rFonts w:asciiTheme="majorBidi" w:hAnsiTheme="majorBidi" w:cstheme="majorBidi"/>
          <w:noProof/>
          <w:sz w:val="24"/>
          <w:szCs w:val="24"/>
        </w:rPr>
        <w:t>(Ansado et al., 2013; Waring &amp; Kensinger, 2011)</w:t>
      </w:r>
      <w:r w:rsidR="002F4FF6">
        <w:rPr>
          <w:rFonts w:asciiTheme="majorBidi" w:hAnsiTheme="majorBidi" w:cstheme="majorBidi"/>
          <w:sz w:val="24"/>
          <w:szCs w:val="24"/>
        </w:rPr>
        <w:fldChar w:fldCharType="end"/>
      </w:r>
    </w:p>
    <w:p w14:paraId="1F8A646F" w14:textId="77777777" w:rsidR="0020495F" w:rsidRDefault="0020495F" w:rsidP="0020495F">
      <w:pPr>
        <w:spacing w:line="480" w:lineRule="auto"/>
        <w:rPr>
          <w:rFonts w:asciiTheme="majorBidi" w:hAnsiTheme="majorBidi" w:cstheme="majorBidi"/>
          <w:sz w:val="24"/>
          <w:szCs w:val="24"/>
        </w:rPr>
      </w:pPr>
    </w:p>
    <w:p w14:paraId="155702F2" w14:textId="77777777" w:rsidR="0016787F" w:rsidRDefault="0016787F">
      <w:pPr>
        <w:rPr>
          <w:rFonts w:asciiTheme="majorBidi" w:hAnsiTheme="majorBidi" w:cstheme="majorBidi"/>
          <w:sz w:val="24"/>
          <w:szCs w:val="24"/>
        </w:rPr>
      </w:pPr>
      <w:r>
        <w:rPr>
          <w:rFonts w:asciiTheme="majorBidi" w:hAnsiTheme="majorBidi" w:cstheme="majorBidi"/>
          <w:sz w:val="24"/>
          <w:szCs w:val="24"/>
        </w:rPr>
        <w:br w:type="page"/>
      </w:r>
    </w:p>
    <w:p w14:paraId="773AC3E9" w14:textId="77777777" w:rsidR="0016787F" w:rsidRPr="00733EEA" w:rsidRDefault="0016787F" w:rsidP="0016787F">
      <w:pPr>
        <w:widowControl w:val="0"/>
        <w:autoSpaceDE w:val="0"/>
        <w:autoSpaceDN w:val="0"/>
        <w:adjustRightInd w:val="0"/>
        <w:spacing w:line="480" w:lineRule="auto"/>
        <w:ind w:left="480" w:hanging="480"/>
        <w:rPr>
          <w:rFonts w:asciiTheme="majorBidi" w:hAnsiTheme="majorBidi" w:cstheme="majorBidi"/>
          <w:b/>
          <w:bCs/>
          <w:sz w:val="24"/>
          <w:szCs w:val="24"/>
        </w:rPr>
      </w:pPr>
      <w:r w:rsidRPr="00733EEA">
        <w:rPr>
          <w:rFonts w:asciiTheme="majorBidi" w:hAnsiTheme="majorBidi" w:cstheme="majorBidi"/>
          <w:b/>
          <w:bCs/>
          <w:sz w:val="24"/>
          <w:szCs w:val="24"/>
        </w:rPr>
        <w:lastRenderedPageBreak/>
        <w:t>References</w:t>
      </w:r>
    </w:p>
    <w:p w14:paraId="4079DED9" w14:textId="73DEE222" w:rsidR="000564FF" w:rsidRPr="000564FF" w:rsidRDefault="0020495F" w:rsidP="000564FF">
      <w:pPr>
        <w:widowControl w:val="0"/>
        <w:autoSpaceDE w:val="0"/>
        <w:autoSpaceDN w:val="0"/>
        <w:adjustRightInd w:val="0"/>
        <w:spacing w:line="480" w:lineRule="auto"/>
        <w:ind w:left="480" w:hanging="480"/>
        <w:rPr>
          <w:rFonts w:ascii="Times New Roman" w:hAnsi="Times New Roman" w:cs="Times New Roman"/>
          <w:noProof/>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 xml:space="preserve">ADDIN Mendeley Bibliography CSL_BIBLIOGRAPHY </w:instrText>
      </w:r>
      <w:r>
        <w:rPr>
          <w:rFonts w:asciiTheme="majorBidi" w:hAnsiTheme="majorBidi" w:cstheme="majorBidi"/>
          <w:sz w:val="24"/>
          <w:szCs w:val="24"/>
        </w:rPr>
        <w:fldChar w:fldCharType="separate"/>
      </w:r>
      <w:r w:rsidR="000564FF" w:rsidRPr="000564FF">
        <w:rPr>
          <w:rFonts w:ascii="Times New Roman" w:hAnsi="Times New Roman" w:cs="Times New Roman"/>
          <w:noProof/>
          <w:sz w:val="24"/>
          <w:szCs w:val="24"/>
        </w:rPr>
        <w:t xml:space="preserve">Ansado, J., Monchi, O., Ennabil, N., Deslauriers, J., Jubault, T., Faure, S., &amp; Joanette, Y. (2013). Coping with task demand in aging using neural compensation and neural reserve triggers primarily intra-hemispheric-based neurofunctional reorganization. </w:t>
      </w:r>
      <w:r w:rsidR="000564FF" w:rsidRPr="000564FF">
        <w:rPr>
          <w:rFonts w:ascii="Times New Roman" w:hAnsi="Times New Roman" w:cs="Times New Roman"/>
          <w:i/>
          <w:iCs/>
          <w:noProof/>
          <w:sz w:val="24"/>
          <w:szCs w:val="24"/>
        </w:rPr>
        <w:t>Neuroscience Research</w:t>
      </w:r>
      <w:r w:rsidR="000564FF" w:rsidRPr="000564FF">
        <w:rPr>
          <w:rFonts w:ascii="Times New Roman" w:hAnsi="Times New Roman" w:cs="Times New Roman"/>
          <w:noProof/>
          <w:sz w:val="24"/>
          <w:szCs w:val="24"/>
        </w:rPr>
        <w:t xml:space="preserve">, </w:t>
      </w:r>
      <w:r w:rsidR="000564FF" w:rsidRPr="000564FF">
        <w:rPr>
          <w:rFonts w:ascii="Times New Roman" w:hAnsi="Times New Roman" w:cs="Times New Roman"/>
          <w:i/>
          <w:iCs/>
          <w:noProof/>
          <w:sz w:val="24"/>
          <w:szCs w:val="24"/>
        </w:rPr>
        <w:t>75</w:t>
      </w:r>
      <w:r w:rsidR="000564FF" w:rsidRPr="000564FF">
        <w:rPr>
          <w:rFonts w:ascii="Times New Roman" w:hAnsi="Times New Roman" w:cs="Times New Roman"/>
          <w:noProof/>
          <w:sz w:val="24"/>
          <w:szCs w:val="24"/>
        </w:rPr>
        <w:t>(4), 295–304. https://doi.org/10.1016/j.neures.2013.01.012</w:t>
      </w:r>
    </w:p>
    <w:p w14:paraId="1E66F324" w14:textId="77777777" w:rsidR="000564FF" w:rsidRPr="000564FF" w:rsidRDefault="000564FF" w:rsidP="000564FF">
      <w:pPr>
        <w:widowControl w:val="0"/>
        <w:autoSpaceDE w:val="0"/>
        <w:autoSpaceDN w:val="0"/>
        <w:adjustRightInd w:val="0"/>
        <w:spacing w:line="480" w:lineRule="auto"/>
        <w:ind w:left="480" w:hanging="480"/>
        <w:rPr>
          <w:rFonts w:ascii="Times New Roman" w:hAnsi="Times New Roman" w:cs="Times New Roman"/>
          <w:noProof/>
          <w:sz w:val="24"/>
          <w:szCs w:val="24"/>
        </w:rPr>
      </w:pPr>
      <w:r w:rsidRPr="000564FF">
        <w:rPr>
          <w:rFonts w:ascii="Times New Roman" w:hAnsi="Times New Roman" w:cs="Times New Roman"/>
          <w:noProof/>
          <w:sz w:val="24"/>
          <w:szCs w:val="24"/>
        </w:rPr>
        <w:t xml:space="preserve">Beaton, E. A., Schmidt, L. A., Schulkin, J., Antony, M. M., Swinson, R. P., &amp; Hall, G. B. (2009). Different fusiform activity to stranger and personally familiar faces in shy and social adults. </w:t>
      </w:r>
      <w:r w:rsidRPr="000564FF">
        <w:rPr>
          <w:rFonts w:ascii="Times New Roman" w:hAnsi="Times New Roman" w:cs="Times New Roman"/>
          <w:i/>
          <w:iCs/>
          <w:noProof/>
          <w:sz w:val="24"/>
          <w:szCs w:val="24"/>
        </w:rPr>
        <w:t>SOCIAL NEUROSCIENCE</w:t>
      </w:r>
      <w:r w:rsidRPr="000564FF">
        <w:rPr>
          <w:rFonts w:ascii="Times New Roman" w:hAnsi="Times New Roman" w:cs="Times New Roman"/>
          <w:noProof/>
          <w:sz w:val="24"/>
          <w:szCs w:val="24"/>
        </w:rPr>
        <w:t xml:space="preserve">, </w:t>
      </w:r>
      <w:r w:rsidRPr="000564FF">
        <w:rPr>
          <w:rFonts w:ascii="Times New Roman" w:hAnsi="Times New Roman" w:cs="Times New Roman"/>
          <w:i/>
          <w:iCs/>
          <w:noProof/>
          <w:sz w:val="24"/>
          <w:szCs w:val="24"/>
        </w:rPr>
        <w:t>4</w:t>
      </w:r>
      <w:r w:rsidRPr="000564FF">
        <w:rPr>
          <w:rFonts w:ascii="Times New Roman" w:hAnsi="Times New Roman" w:cs="Times New Roman"/>
          <w:noProof/>
          <w:sz w:val="24"/>
          <w:szCs w:val="24"/>
        </w:rPr>
        <w:t>(4), 308–316. https://doi.org/10.1080/17470910902801021</w:t>
      </w:r>
    </w:p>
    <w:p w14:paraId="6E8A6A6A" w14:textId="77777777" w:rsidR="000564FF" w:rsidRPr="000564FF" w:rsidRDefault="000564FF" w:rsidP="000564FF">
      <w:pPr>
        <w:widowControl w:val="0"/>
        <w:autoSpaceDE w:val="0"/>
        <w:autoSpaceDN w:val="0"/>
        <w:adjustRightInd w:val="0"/>
        <w:spacing w:line="480" w:lineRule="auto"/>
        <w:ind w:left="480" w:hanging="480"/>
        <w:rPr>
          <w:rFonts w:ascii="Times New Roman" w:hAnsi="Times New Roman" w:cs="Times New Roman"/>
          <w:noProof/>
          <w:sz w:val="24"/>
          <w:szCs w:val="24"/>
        </w:rPr>
      </w:pPr>
      <w:r w:rsidRPr="000564FF">
        <w:rPr>
          <w:rFonts w:ascii="Times New Roman" w:hAnsi="Times New Roman" w:cs="Times New Roman"/>
          <w:noProof/>
          <w:sz w:val="24"/>
          <w:szCs w:val="24"/>
        </w:rPr>
        <w:t xml:space="preserve">Bunford, N., Roberts, J., Kennedy, A. E., &amp; Klumpp, H. (2017). Neurofunctional correlates of behavioral inhibition system sensitivity during attentional control are modulated by perceptual load. </w:t>
      </w:r>
      <w:r w:rsidRPr="000564FF">
        <w:rPr>
          <w:rFonts w:ascii="Times New Roman" w:hAnsi="Times New Roman" w:cs="Times New Roman"/>
          <w:i/>
          <w:iCs/>
          <w:noProof/>
          <w:sz w:val="24"/>
          <w:szCs w:val="24"/>
        </w:rPr>
        <w:t>Biological Psychology</w:t>
      </w:r>
      <w:r w:rsidRPr="000564FF">
        <w:rPr>
          <w:rFonts w:ascii="Times New Roman" w:hAnsi="Times New Roman" w:cs="Times New Roman"/>
          <w:noProof/>
          <w:sz w:val="24"/>
          <w:szCs w:val="24"/>
        </w:rPr>
        <w:t xml:space="preserve">, </w:t>
      </w:r>
      <w:r w:rsidRPr="000564FF">
        <w:rPr>
          <w:rFonts w:ascii="Times New Roman" w:hAnsi="Times New Roman" w:cs="Times New Roman"/>
          <w:i/>
          <w:iCs/>
          <w:noProof/>
          <w:sz w:val="24"/>
          <w:szCs w:val="24"/>
        </w:rPr>
        <w:t>127</w:t>
      </w:r>
      <w:r w:rsidRPr="000564FF">
        <w:rPr>
          <w:rFonts w:ascii="Times New Roman" w:hAnsi="Times New Roman" w:cs="Times New Roman"/>
          <w:noProof/>
          <w:sz w:val="24"/>
          <w:szCs w:val="24"/>
        </w:rPr>
        <w:t>, 10–17. https://doi.org/10.1016/J.BIOPSYCHO.2017.04.015</w:t>
      </w:r>
    </w:p>
    <w:p w14:paraId="4F216981" w14:textId="77777777" w:rsidR="000564FF" w:rsidRPr="000564FF" w:rsidRDefault="000564FF" w:rsidP="000564FF">
      <w:pPr>
        <w:widowControl w:val="0"/>
        <w:autoSpaceDE w:val="0"/>
        <w:autoSpaceDN w:val="0"/>
        <w:adjustRightInd w:val="0"/>
        <w:spacing w:line="480" w:lineRule="auto"/>
        <w:ind w:left="480" w:hanging="480"/>
        <w:rPr>
          <w:rFonts w:ascii="Times New Roman" w:hAnsi="Times New Roman" w:cs="Times New Roman"/>
          <w:noProof/>
          <w:sz w:val="24"/>
          <w:szCs w:val="24"/>
        </w:rPr>
      </w:pPr>
      <w:r w:rsidRPr="000564FF">
        <w:rPr>
          <w:rFonts w:ascii="Times New Roman" w:hAnsi="Times New Roman" w:cs="Times New Roman"/>
          <w:noProof/>
          <w:sz w:val="24"/>
          <w:szCs w:val="24"/>
        </w:rPr>
        <w:t xml:space="preserve">Demblon, J., Bahri, M. A., &amp; D’Argembeau, A. (2016). Neural correlates of event clusters in past and future thoughts: How the brain integrates specific episodes with autobiographical knowledge. </w:t>
      </w:r>
      <w:r w:rsidRPr="000564FF">
        <w:rPr>
          <w:rFonts w:ascii="Times New Roman" w:hAnsi="Times New Roman" w:cs="Times New Roman"/>
          <w:i/>
          <w:iCs/>
          <w:noProof/>
          <w:sz w:val="24"/>
          <w:szCs w:val="24"/>
        </w:rPr>
        <w:t>NeuroImage</w:t>
      </w:r>
      <w:r w:rsidRPr="000564FF">
        <w:rPr>
          <w:rFonts w:ascii="Times New Roman" w:hAnsi="Times New Roman" w:cs="Times New Roman"/>
          <w:noProof/>
          <w:sz w:val="24"/>
          <w:szCs w:val="24"/>
        </w:rPr>
        <w:t xml:space="preserve">, </w:t>
      </w:r>
      <w:r w:rsidRPr="000564FF">
        <w:rPr>
          <w:rFonts w:ascii="Times New Roman" w:hAnsi="Times New Roman" w:cs="Times New Roman"/>
          <w:i/>
          <w:iCs/>
          <w:noProof/>
          <w:sz w:val="24"/>
          <w:szCs w:val="24"/>
        </w:rPr>
        <w:t>127</w:t>
      </w:r>
      <w:r w:rsidRPr="000564FF">
        <w:rPr>
          <w:rFonts w:ascii="Times New Roman" w:hAnsi="Times New Roman" w:cs="Times New Roman"/>
          <w:noProof/>
          <w:sz w:val="24"/>
          <w:szCs w:val="24"/>
        </w:rPr>
        <w:t>, 257–266. https://doi.org/10.1016/J.NEUROIMAGE.2015.11.062</w:t>
      </w:r>
    </w:p>
    <w:p w14:paraId="4FD96396" w14:textId="77777777" w:rsidR="000564FF" w:rsidRPr="000564FF" w:rsidRDefault="000564FF" w:rsidP="000564FF">
      <w:pPr>
        <w:widowControl w:val="0"/>
        <w:autoSpaceDE w:val="0"/>
        <w:autoSpaceDN w:val="0"/>
        <w:adjustRightInd w:val="0"/>
        <w:spacing w:line="480" w:lineRule="auto"/>
        <w:ind w:left="480" w:hanging="480"/>
        <w:rPr>
          <w:rFonts w:ascii="Times New Roman" w:hAnsi="Times New Roman" w:cs="Times New Roman"/>
          <w:noProof/>
          <w:sz w:val="24"/>
          <w:szCs w:val="24"/>
        </w:rPr>
      </w:pPr>
      <w:r w:rsidRPr="000564FF">
        <w:rPr>
          <w:rFonts w:ascii="Times New Roman" w:hAnsi="Times New Roman" w:cs="Times New Roman"/>
          <w:noProof/>
          <w:sz w:val="24"/>
          <w:szCs w:val="24"/>
        </w:rPr>
        <w:t xml:space="preserve">Friedman, A. L., Burgess, A., Ramaseshan, K., Easter, P., Khatib, D., Chowdury, A., … Diwadkar, V. A. (2017). Brain network dysfunction in youth with obsessive-compulsive disorder induced by simple uni-manual behavior: The role of the dorsal anterior cingulate cortex. </w:t>
      </w:r>
      <w:r w:rsidRPr="000564FF">
        <w:rPr>
          <w:rFonts w:ascii="Times New Roman" w:hAnsi="Times New Roman" w:cs="Times New Roman"/>
          <w:i/>
          <w:iCs/>
          <w:noProof/>
          <w:sz w:val="24"/>
          <w:szCs w:val="24"/>
        </w:rPr>
        <w:t>Psychiatry Research: Neuroimaging</w:t>
      </w:r>
      <w:r w:rsidRPr="000564FF">
        <w:rPr>
          <w:rFonts w:ascii="Times New Roman" w:hAnsi="Times New Roman" w:cs="Times New Roman"/>
          <w:noProof/>
          <w:sz w:val="24"/>
          <w:szCs w:val="24"/>
        </w:rPr>
        <w:t xml:space="preserve">, </w:t>
      </w:r>
      <w:r w:rsidRPr="000564FF">
        <w:rPr>
          <w:rFonts w:ascii="Times New Roman" w:hAnsi="Times New Roman" w:cs="Times New Roman"/>
          <w:i/>
          <w:iCs/>
          <w:noProof/>
          <w:sz w:val="24"/>
          <w:szCs w:val="24"/>
        </w:rPr>
        <w:t>260</w:t>
      </w:r>
      <w:r w:rsidRPr="000564FF">
        <w:rPr>
          <w:rFonts w:ascii="Times New Roman" w:hAnsi="Times New Roman" w:cs="Times New Roman"/>
          <w:noProof/>
          <w:sz w:val="24"/>
          <w:szCs w:val="24"/>
        </w:rPr>
        <w:t>, 6–15. https://doi.org/10.1016/J.PSCYCHRESNS.2016.12.005</w:t>
      </w:r>
    </w:p>
    <w:p w14:paraId="61CE56A5" w14:textId="77777777" w:rsidR="000564FF" w:rsidRPr="000564FF" w:rsidRDefault="000564FF" w:rsidP="000564FF">
      <w:pPr>
        <w:widowControl w:val="0"/>
        <w:autoSpaceDE w:val="0"/>
        <w:autoSpaceDN w:val="0"/>
        <w:adjustRightInd w:val="0"/>
        <w:spacing w:line="480" w:lineRule="auto"/>
        <w:ind w:left="480" w:hanging="480"/>
        <w:rPr>
          <w:rFonts w:ascii="Times New Roman" w:hAnsi="Times New Roman" w:cs="Times New Roman"/>
          <w:noProof/>
          <w:sz w:val="24"/>
          <w:szCs w:val="24"/>
        </w:rPr>
      </w:pPr>
      <w:r w:rsidRPr="000564FF">
        <w:rPr>
          <w:rFonts w:ascii="Times New Roman" w:hAnsi="Times New Roman" w:cs="Times New Roman"/>
          <w:noProof/>
          <w:sz w:val="24"/>
          <w:szCs w:val="24"/>
        </w:rPr>
        <w:lastRenderedPageBreak/>
        <w:t xml:space="preserve">Goble, D. J., Coxon, J. P., van Impe, A., Geurts, M., Doumas, M., Wenderoth, N., &amp; Swinnen, S. P. (2011). Brain Activity during Ankle Proprioceptive Stimulation Predicts Balance Performance in Young and Older Adults. </w:t>
      </w:r>
      <w:r w:rsidRPr="000564FF">
        <w:rPr>
          <w:rFonts w:ascii="Times New Roman" w:hAnsi="Times New Roman" w:cs="Times New Roman"/>
          <w:i/>
          <w:iCs/>
          <w:noProof/>
          <w:sz w:val="24"/>
          <w:szCs w:val="24"/>
        </w:rPr>
        <w:t>The Journal of Neuroscience</w:t>
      </w:r>
      <w:r w:rsidRPr="000564FF">
        <w:rPr>
          <w:rFonts w:ascii="Times New Roman" w:hAnsi="Times New Roman" w:cs="Times New Roman"/>
          <w:noProof/>
          <w:sz w:val="24"/>
          <w:szCs w:val="24"/>
        </w:rPr>
        <w:t xml:space="preserve">, </w:t>
      </w:r>
      <w:r w:rsidRPr="000564FF">
        <w:rPr>
          <w:rFonts w:ascii="Times New Roman" w:hAnsi="Times New Roman" w:cs="Times New Roman"/>
          <w:i/>
          <w:iCs/>
          <w:noProof/>
          <w:sz w:val="24"/>
          <w:szCs w:val="24"/>
        </w:rPr>
        <w:t>31</w:t>
      </w:r>
      <w:r w:rsidRPr="000564FF">
        <w:rPr>
          <w:rFonts w:ascii="Times New Roman" w:hAnsi="Times New Roman" w:cs="Times New Roman"/>
          <w:noProof/>
          <w:sz w:val="24"/>
          <w:szCs w:val="24"/>
        </w:rPr>
        <w:t>(45), 16344. https://doi.org/10.1523/JNEUROSCI.4159-11.2011</w:t>
      </w:r>
    </w:p>
    <w:p w14:paraId="43DEDA06" w14:textId="77777777" w:rsidR="000564FF" w:rsidRPr="000564FF" w:rsidRDefault="000564FF" w:rsidP="000564FF">
      <w:pPr>
        <w:widowControl w:val="0"/>
        <w:autoSpaceDE w:val="0"/>
        <w:autoSpaceDN w:val="0"/>
        <w:adjustRightInd w:val="0"/>
        <w:spacing w:line="480" w:lineRule="auto"/>
        <w:ind w:left="480" w:hanging="480"/>
        <w:rPr>
          <w:rFonts w:ascii="Times New Roman" w:hAnsi="Times New Roman" w:cs="Times New Roman"/>
          <w:noProof/>
          <w:sz w:val="24"/>
          <w:szCs w:val="24"/>
        </w:rPr>
      </w:pPr>
      <w:r w:rsidRPr="000564FF">
        <w:rPr>
          <w:rFonts w:ascii="Times New Roman" w:hAnsi="Times New Roman" w:cs="Times New Roman"/>
          <w:noProof/>
          <w:sz w:val="24"/>
          <w:szCs w:val="24"/>
        </w:rPr>
        <w:t xml:space="preserve">Goldin, P. R., Manber, T., Hakimi, S., Canli, T., &amp; Gross, J. J. (2009). Neural bases of social anxiety disorder: Emotional reactivity and cognitive regulation during social and physical threat. </w:t>
      </w:r>
      <w:r w:rsidRPr="000564FF">
        <w:rPr>
          <w:rFonts w:ascii="Times New Roman" w:hAnsi="Times New Roman" w:cs="Times New Roman"/>
          <w:i/>
          <w:iCs/>
          <w:noProof/>
          <w:sz w:val="24"/>
          <w:szCs w:val="24"/>
        </w:rPr>
        <w:t>Archives of General Psychiatry</w:t>
      </w:r>
      <w:r w:rsidRPr="000564FF">
        <w:rPr>
          <w:rFonts w:ascii="Times New Roman" w:hAnsi="Times New Roman" w:cs="Times New Roman"/>
          <w:noProof/>
          <w:sz w:val="24"/>
          <w:szCs w:val="24"/>
        </w:rPr>
        <w:t xml:space="preserve">, </w:t>
      </w:r>
      <w:r w:rsidRPr="000564FF">
        <w:rPr>
          <w:rFonts w:ascii="Times New Roman" w:hAnsi="Times New Roman" w:cs="Times New Roman"/>
          <w:i/>
          <w:iCs/>
          <w:noProof/>
          <w:sz w:val="24"/>
          <w:szCs w:val="24"/>
        </w:rPr>
        <w:t>66</w:t>
      </w:r>
      <w:r w:rsidRPr="000564FF">
        <w:rPr>
          <w:rFonts w:ascii="Times New Roman" w:hAnsi="Times New Roman" w:cs="Times New Roman"/>
          <w:noProof/>
          <w:sz w:val="24"/>
          <w:szCs w:val="24"/>
        </w:rPr>
        <w:t>(2), 170–180. https://doi.org/10.1001/archgenpsychiatry.2008.525</w:t>
      </w:r>
    </w:p>
    <w:p w14:paraId="575EE91A" w14:textId="77777777" w:rsidR="000564FF" w:rsidRPr="000564FF" w:rsidRDefault="000564FF" w:rsidP="000564FF">
      <w:pPr>
        <w:widowControl w:val="0"/>
        <w:autoSpaceDE w:val="0"/>
        <w:autoSpaceDN w:val="0"/>
        <w:adjustRightInd w:val="0"/>
        <w:spacing w:line="480" w:lineRule="auto"/>
        <w:ind w:left="480" w:hanging="480"/>
        <w:rPr>
          <w:rFonts w:ascii="Times New Roman" w:hAnsi="Times New Roman" w:cs="Times New Roman"/>
          <w:noProof/>
          <w:sz w:val="24"/>
          <w:szCs w:val="24"/>
        </w:rPr>
      </w:pPr>
      <w:r w:rsidRPr="000564FF">
        <w:rPr>
          <w:rFonts w:ascii="Times New Roman" w:hAnsi="Times New Roman" w:cs="Times New Roman"/>
          <w:noProof/>
          <w:sz w:val="24"/>
          <w:szCs w:val="24"/>
        </w:rPr>
        <w:t xml:space="preserve">Jenkinson, M., Beckmann, C. F., Behrens, T. E. J., Woolrich, M. W., &amp; Smith, S. M. (2012). FSL. </w:t>
      </w:r>
      <w:r w:rsidRPr="000564FF">
        <w:rPr>
          <w:rFonts w:ascii="Times New Roman" w:hAnsi="Times New Roman" w:cs="Times New Roman"/>
          <w:i/>
          <w:iCs/>
          <w:noProof/>
          <w:sz w:val="24"/>
          <w:szCs w:val="24"/>
        </w:rPr>
        <w:t>NeuroImage</w:t>
      </w:r>
      <w:r w:rsidRPr="000564FF">
        <w:rPr>
          <w:rFonts w:ascii="Times New Roman" w:hAnsi="Times New Roman" w:cs="Times New Roman"/>
          <w:noProof/>
          <w:sz w:val="24"/>
          <w:szCs w:val="24"/>
        </w:rPr>
        <w:t xml:space="preserve">, </w:t>
      </w:r>
      <w:r w:rsidRPr="000564FF">
        <w:rPr>
          <w:rFonts w:ascii="Times New Roman" w:hAnsi="Times New Roman" w:cs="Times New Roman"/>
          <w:i/>
          <w:iCs/>
          <w:noProof/>
          <w:sz w:val="24"/>
          <w:szCs w:val="24"/>
        </w:rPr>
        <w:t>62</w:t>
      </w:r>
      <w:r w:rsidRPr="000564FF">
        <w:rPr>
          <w:rFonts w:ascii="Times New Roman" w:hAnsi="Times New Roman" w:cs="Times New Roman"/>
          <w:noProof/>
          <w:sz w:val="24"/>
          <w:szCs w:val="24"/>
        </w:rPr>
        <w:t>(2), 782–790. https://doi.org/10.1016/J.NEUROIMAGE.2011.09.015</w:t>
      </w:r>
    </w:p>
    <w:p w14:paraId="6F216AE0" w14:textId="77777777" w:rsidR="000564FF" w:rsidRPr="000564FF" w:rsidRDefault="000564FF" w:rsidP="000564FF">
      <w:pPr>
        <w:widowControl w:val="0"/>
        <w:autoSpaceDE w:val="0"/>
        <w:autoSpaceDN w:val="0"/>
        <w:adjustRightInd w:val="0"/>
        <w:spacing w:line="480" w:lineRule="auto"/>
        <w:ind w:left="480" w:hanging="480"/>
        <w:rPr>
          <w:rFonts w:ascii="Times New Roman" w:hAnsi="Times New Roman" w:cs="Times New Roman"/>
          <w:noProof/>
          <w:sz w:val="24"/>
          <w:szCs w:val="24"/>
        </w:rPr>
      </w:pPr>
      <w:r w:rsidRPr="000564FF">
        <w:rPr>
          <w:rFonts w:ascii="Times New Roman" w:hAnsi="Times New Roman" w:cs="Times New Roman"/>
          <w:noProof/>
          <w:sz w:val="24"/>
          <w:szCs w:val="24"/>
        </w:rPr>
        <w:t xml:space="preserve">Kano, M., Coen, S. J., Farmer, A. D., Aziz, Q., Williams, S. C. R., Alsop, D. C., … O’Gorman, R. L. (2014). Physiological and psychological individual differences influence resting brain function measured by ASL perfusion. </w:t>
      </w:r>
      <w:r w:rsidRPr="000564FF">
        <w:rPr>
          <w:rFonts w:ascii="Times New Roman" w:hAnsi="Times New Roman" w:cs="Times New Roman"/>
          <w:i/>
          <w:iCs/>
          <w:noProof/>
          <w:sz w:val="24"/>
          <w:szCs w:val="24"/>
        </w:rPr>
        <w:t>Brain Structure and Function</w:t>
      </w:r>
      <w:r w:rsidRPr="000564FF">
        <w:rPr>
          <w:rFonts w:ascii="Times New Roman" w:hAnsi="Times New Roman" w:cs="Times New Roman"/>
          <w:noProof/>
          <w:sz w:val="24"/>
          <w:szCs w:val="24"/>
        </w:rPr>
        <w:t xml:space="preserve">, </w:t>
      </w:r>
      <w:r w:rsidRPr="000564FF">
        <w:rPr>
          <w:rFonts w:ascii="Times New Roman" w:hAnsi="Times New Roman" w:cs="Times New Roman"/>
          <w:i/>
          <w:iCs/>
          <w:noProof/>
          <w:sz w:val="24"/>
          <w:szCs w:val="24"/>
        </w:rPr>
        <w:t>219</w:t>
      </w:r>
      <w:r w:rsidRPr="000564FF">
        <w:rPr>
          <w:rFonts w:ascii="Times New Roman" w:hAnsi="Times New Roman" w:cs="Times New Roman"/>
          <w:noProof/>
          <w:sz w:val="24"/>
          <w:szCs w:val="24"/>
        </w:rPr>
        <w:t>(5), 1673–1684. https://doi.org/10.1007/S00429-013-0593-8/FIGURES/5</w:t>
      </w:r>
    </w:p>
    <w:p w14:paraId="700E0ACF" w14:textId="77777777" w:rsidR="000564FF" w:rsidRPr="000564FF" w:rsidRDefault="000564FF" w:rsidP="000564FF">
      <w:pPr>
        <w:widowControl w:val="0"/>
        <w:autoSpaceDE w:val="0"/>
        <w:autoSpaceDN w:val="0"/>
        <w:adjustRightInd w:val="0"/>
        <w:spacing w:line="480" w:lineRule="auto"/>
        <w:ind w:left="480" w:hanging="480"/>
        <w:rPr>
          <w:rFonts w:ascii="Times New Roman" w:hAnsi="Times New Roman" w:cs="Times New Roman"/>
          <w:noProof/>
          <w:sz w:val="24"/>
          <w:szCs w:val="24"/>
        </w:rPr>
      </w:pPr>
      <w:r w:rsidRPr="000564FF">
        <w:rPr>
          <w:rFonts w:ascii="Times New Roman" w:hAnsi="Times New Roman" w:cs="Times New Roman"/>
          <w:noProof/>
          <w:sz w:val="24"/>
          <w:szCs w:val="24"/>
        </w:rPr>
        <w:t xml:space="preserve">Kanwisher, N., &amp; Yovel, G. (2006). The fusiform face area: a cortical region specialized for the perception of faces. </w:t>
      </w:r>
      <w:r w:rsidRPr="000564FF">
        <w:rPr>
          <w:rFonts w:ascii="Times New Roman" w:hAnsi="Times New Roman" w:cs="Times New Roman"/>
          <w:i/>
          <w:iCs/>
          <w:noProof/>
          <w:sz w:val="24"/>
          <w:szCs w:val="24"/>
        </w:rPr>
        <w:t>Philosophical Transactions of the Royal Society B: Biological Sciences</w:t>
      </w:r>
      <w:r w:rsidRPr="000564FF">
        <w:rPr>
          <w:rFonts w:ascii="Times New Roman" w:hAnsi="Times New Roman" w:cs="Times New Roman"/>
          <w:noProof/>
          <w:sz w:val="24"/>
          <w:szCs w:val="24"/>
        </w:rPr>
        <w:t xml:space="preserve">, </w:t>
      </w:r>
      <w:r w:rsidRPr="000564FF">
        <w:rPr>
          <w:rFonts w:ascii="Times New Roman" w:hAnsi="Times New Roman" w:cs="Times New Roman"/>
          <w:i/>
          <w:iCs/>
          <w:noProof/>
          <w:sz w:val="24"/>
          <w:szCs w:val="24"/>
        </w:rPr>
        <w:t>361</w:t>
      </w:r>
      <w:r w:rsidRPr="000564FF">
        <w:rPr>
          <w:rFonts w:ascii="Times New Roman" w:hAnsi="Times New Roman" w:cs="Times New Roman"/>
          <w:noProof/>
          <w:sz w:val="24"/>
          <w:szCs w:val="24"/>
        </w:rPr>
        <w:t>(1476), 2109–2128. https://doi.org/10.1098/RSTB.2006.1934</w:t>
      </w:r>
    </w:p>
    <w:p w14:paraId="65C195B7" w14:textId="77777777" w:rsidR="000564FF" w:rsidRPr="000564FF" w:rsidRDefault="000564FF" w:rsidP="000564FF">
      <w:pPr>
        <w:widowControl w:val="0"/>
        <w:autoSpaceDE w:val="0"/>
        <w:autoSpaceDN w:val="0"/>
        <w:adjustRightInd w:val="0"/>
        <w:spacing w:line="480" w:lineRule="auto"/>
        <w:ind w:left="480" w:hanging="480"/>
        <w:rPr>
          <w:rFonts w:ascii="Times New Roman" w:hAnsi="Times New Roman" w:cs="Times New Roman"/>
          <w:noProof/>
          <w:sz w:val="24"/>
          <w:szCs w:val="24"/>
        </w:rPr>
      </w:pPr>
      <w:r w:rsidRPr="000564FF">
        <w:rPr>
          <w:rFonts w:ascii="Times New Roman" w:hAnsi="Times New Roman" w:cs="Times New Roman"/>
          <w:noProof/>
          <w:sz w:val="24"/>
          <w:szCs w:val="24"/>
        </w:rPr>
        <w:t xml:space="preserve">Kincade, J. M., Abrams, R. A., Astafiev, S. V, Shulman, G. L., &amp; Corbetta, M. (2005). An event-related functional magnetic resonance imaging study of voluntary and stimulus-driven orienting of attention. </w:t>
      </w:r>
      <w:r w:rsidRPr="000564FF">
        <w:rPr>
          <w:rFonts w:ascii="Times New Roman" w:hAnsi="Times New Roman" w:cs="Times New Roman"/>
          <w:i/>
          <w:iCs/>
          <w:noProof/>
          <w:sz w:val="24"/>
          <w:szCs w:val="24"/>
        </w:rPr>
        <w:t>Journal of Neuroscience</w:t>
      </w:r>
      <w:r w:rsidRPr="000564FF">
        <w:rPr>
          <w:rFonts w:ascii="Times New Roman" w:hAnsi="Times New Roman" w:cs="Times New Roman"/>
          <w:noProof/>
          <w:sz w:val="24"/>
          <w:szCs w:val="24"/>
        </w:rPr>
        <w:t xml:space="preserve">, </w:t>
      </w:r>
      <w:r w:rsidRPr="000564FF">
        <w:rPr>
          <w:rFonts w:ascii="Times New Roman" w:hAnsi="Times New Roman" w:cs="Times New Roman"/>
          <w:i/>
          <w:iCs/>
          <w:noProof/>
          <w:sz w:val="24"/>
          <w:szCs w:val="24"/>
        </w:rPr>
        <w:t>25</w:t>
      </w:r>
      <w:r w:rsidRPr="000564FF">
        <w:rPr>
          <w:rFonts w:ascii="Times New Roman" w:hAnsi="Times New Roman" w:cs="Times New Roman"/>
          <w:noProof/>
          <w:sz w:val="24"/>
          <w:szCs w:val="24"/>
        </w:rPr>
        <w:t>(18), 4593–4604. https://doi.org/10.1523/JNEUROSCI.0236-05.2005</w:t>
      </w:r>
    </w:p>
    <w:p w14:paraId="4E998AAF" w14:textId="77777777" w:rsidR="000564FF" w:rsidRPr="000564FF" w:rsidRDefault="000564FF" w:rsidP="000564FF">
      <w:pPr>
        <w:widowControl w:val="0"/>
        <w:autoSpaceDE w:val="0"/>
        <w:autoSpaceDN w:val="0"/>
        <w:adjustRightInd w:val="0"/>
        <w:spacing w:line="480" w:lineRule="auto"/>
        <w:ind w:left="480" w:hanging="480"/>
        <w:rPr>
          <w:rFonts w:ascii="Times New Roman" w:hAnsi="Times New Roman" w:cs="Times New Roman"/>
          <w:noProof/>
          <w:sz w:val="24"/>
          <w:szCs w:val="24"/>
        </w:rPr>
      </w:pPr>
      <w:r w:rsidRPr="000564FF">
        <w:rPr>
          <w:rFonts w:ascii="Times New Roman" w:hAnsi="Times New Roman" w:cs="Times New Roman"/>
          <w:noProof/>
          <w:sz w:val="24"/>
          <w:szCs w:val="24"/>
        </w:rPr>
        <w:t xml:space="preserve">Kret, M. E., Pichon, S., Grèzes, J., &amp; De Gelder, B. (2011). Similarities and differences in </w:t>
      </w:r>
      <w:r w:rsidRPr="000564FF">
        <w:rPr>
          <w:rFonts w:ascii="Times New Roman" w:hAnsi="Times New Roman" w:cs="Times New Roman"/>
          <w:noProof/>
          <w:sz w:val="24"/>
          <w:szCs w:val="24"/>
        </w:rPr>
        <w:lastRenderedPageBreak/>
        <w:t xml:space="preserve">perceiving threat from dynamic faces and bodies. An fMRI study. </w:t>
      </w:r>
      <w:r w:rsidRPr="000564FF">
        <w:rPr>
          <w:rFonts w:ascii="Times New Roman" w:hAnsi="Times New Roman" w:cs="Times New Roman"/>
          <w:i/>
          <w:iCs/>
          <w:noProof/>
          <w:sz w:val="24"/>
          <w:szCs w:val="24"/>
        </w:rPr>
        <w:t>NeuroImage</w:t>
      </w:r>
      <w:r w:rsidRPr="000564FF">
        <w:rPr>
          <w:rFonts w:ascii="Times New Roman" w:hAnsi="Times New Roman" w:cs="Times New Roman"/>
          <w:noProof/>
          <w:sz w:val="24"/>
          <w:szCs w:val="24"/>
        </w:rPr>
        <w:t xml:space="preserve">, </w:t>
      </w:r>
      <w:r w:rsidRPr="000564FF">
        <w:rPr>
          <w:rFonts w:ascii="Times New Roman" w:hAnsi="Times New Roman" w:cs="Times New Roman"/>
          <w:i/>
          <w:iCs/>
          <w:noProof/>
          <w:sz w:val="24"/>
          <w:szCs w:val="24"/>
        </w:rPr>
        <w:t>54</w:t>
      </w:r>
      <w:r w:rsidRPr="000564FF">
        <w:rPr>
          <w:rFonts w:ascii="Times New Roman" w:hAnsi="Times New Roman" w:cs="Times New Roman"/>
          <w:noProof/>
          <w:sz w:val="24"/>
          <w:szCs w:val="24"/>
        </w:rPr>
        <w:t>(2), 1755–1762. https://doi.org/10.1016/J.NEUROIMAGE.2010.08.012</w:t>
      </w:r>
    </w:p>
    <w:p w14:paraId="736A496B" w14:textId="77777777" w:rsidR="000564FF" w:rsidRPr="000564FF" w:rsidRDefault="000564FF" w:rsidP="000564FF">
      <w:pPr>
        <w:widowControl w:val="0"/>
        <w:autoSpaceDE w:val="0"/>
        <w:autoSpaceDN w:val="0"/>
        <w:adjustRightInd w:val="0"/>
        <w:spacing w:line="480" w:lineRule="auto"/>
        <w:ind w:left="480" w:hanging="480"/>
        <w:rPr>
          <w:rFonts w:ascii="Times New Roman" w:hAnsi="Times New Roman" w:cs="Times New Roman"/>
          <w:noProof/>
          <w:sz w:val="24"/>
          <w:szCs w:val="24"/>
        </w:rPr>
      </w:pPr>
      <w:r w:rsidRPr="000564FF">
        <w:rPr>
          <w:rFonts w:ascii="Times New Roman" w:hAnsi="Times New Roman" w:cs="Times New Roman"/>
          <w:noProof/>
          <w:sz w:val="24"/>
          <w:szCs w:val="24"/>
        </w:rPr>
        <w:t xml:space="preserve">Lanssens, A., Pizzamiglio, G., Mantini, D., &amp; Gillebert, C. R. (2020). Role of the dorsal attention network in distracter suppression based on features. </w:t>
      </w:r>
      <w:r w:rsidRPr="000564FF">
        <w:rPr>
          <w:rFonts w:ascii="Times New Roman" w:hAnsi="Times New Roman" w:cs="Times New Roman"/>
          <w:i/>
          <w:iCs/>
          <w:noProof/>
          <w:sz w:val="24"/>
          <w:szCs w:val="24"/>
        </w:rPr>
        <w:t>Cognitive Neuroscience</w:t>
      </w:r>
      <w:r w:rsidRPr="000564FF">
        <w:rPr>
          <w:rFonts w:ascii="Times New Roman" w:hAnsi="Times New Roman" w:cs="Times New Roman"/>
          <w:noProof/>
          <w:sz w:val="24"/>
          <w:szCs w:val="24"/>
        </w:rPr>
        <w:t xml:space="preserve">, </w:t>
      </w:r>
      <w:r w:rsidRPr="000564FF">
        <w:rPr>
          <w:rFonts w:ascii="Times New Roman" w:hAnsi="Times New Roman" w:cs="Times New Roman"/>
          <w:i/>
          <w:iCs/>
          <w:noProof/>
          <w:sz w:val="24"/>
          <w:szCs w:val="24"/>
        </w:rPr>
        <w:t>11</w:t>
      </w:r>
      <w:r w:rsidRPr="000564FF">
        <w:rPr>
          <w:rFonts w:ascii="Times New Roman" w:hAnsi="Times New Roman" w:cs="Times New Roman"/>
          <w:noProof/>
          <w:sz w:val="24"/>
          <w:szCs w:val="24"/>
        </w:rPr>
        <w:t>(1–2), 37–46. https://doi.org/10.1080/17588928.2019.1683525</w:t>
      </w:r>
    </w:p>
    <w:p w14:paraId="4F8F72A6" w14:textId="77777777" w:rsidR="000564FF" w:rsidRPr="000564FF" w:rsidRDefault="000564FF" w:rsidP="000564FF">
      <w:pPr>
        <w:widowControl w:val="0"/>
        <w:autoSpaceDE w:val="0"/>
        <w:autoSpaceDN w:val="0"/>
        <w:adjustRightInd w:val="0"/>
        <w:spacing w:line="480" w:lineRule="auto"/>
        <w:ind w:left="480" w:hanging="480"/>
        <w:rPr>
          <w:rFonts w:ascii="Times New Roman" w:hAnsi="Times New Roman" w:cs="Times New Roman"/>
          <w:noProof/>
          <w:sz w:val="24"/>
          <w:szCs w:val="24"/>
        </w:rPr>
      </w:pPr>
      <w:r w:rsidRPr="000564FF">
        <w:rPr>
          <w:rFonts w:ascii="Times New Roman" w:hAnsi="Times New Roman" w:cs="Times New Roman"/>
          <w:noProof/>
          <w:sz w:val="24"/>
          <w:szCs w:val="24"/>
        </w:rPr>
        <w:t xml:space="preserve">Marinkovic, K., Trebon, P., Chauvel, P., &amp; Halgren, E. (2000). Localised face processing by the human prefrontal cortex: Face-selective intracerebral potentials and post-lesion deficits. </w:t>
      </w:r>
      <w:r w:rsidRPr="000564FF">
        <w:rPr>
          <w:rFonts w:ascii="Times New Roman" w:hAnsi="Times New Roman" w:cs="Times New Roman"/>
          <w:i/>
          <w:iCs/>
          <w:noProof/>
          <w:sz w:val="24"/>
          <w:szCs w:val="24"/>
        </w:rPr>
        <w:t>Cognitive Neuropsychology</w:t>
      </w:r>
      <w:r w:rsidRPr="000564FF">
        <w:rPr>
          <w:rFonts w:ascii="Times New Roman" w:hAnsi="Times New Roman" w:cs="Times New Roman"/>
          <w:noProof/>
          <w:sz w:val="24"/>
          <w:szCs w:val="24"/>
        </w:rPr>
        <w:t xml:space="preserve">, </w:t>
      </w:r>
      <w:r w:rsidRPr="000564FF">
        <w:rPr>
          <w:rFonts w:ascii="Times New Roman" w:hAnsi="Times New Roman" w:cs="Times New Roman"/>
          <w:i/>
          <w:iCs/>
          <w:noProof/>
          <w:sz w:val="24"/>
          <w:szCs w:val="24"/>
        </w:rPr>
        <w:t>17</w:t>
      </w:r>
      <w:r w:rsidRPr="000564FF">
        <w:rPr>
          <w:rFonts w:ascii="Times New Roman" w:hAnsi="Times New Roman" w:cs="Times New Roman"/>
          <w:noProof/>
          <w:sz w:val="24"/>
          <w:szCs w:val="24"/>
        </w:rPr>
        <w:t>(1–3), 187–199. https://doi.org/10.1080/026432900380562</w:t>
      </w:r>
    </w:p>
    <w:p w14:paraId="4D2E2FFB" w14:textId="77777777" w:rsidR="000564FF" w:rsidRPr="000564FF" w:rsidRDefault="000564FF" w:rsidP="000564FF">
      <w:pPr>
        <w:widowControl w:val="0"/>
        <w:autoSpaceDE w:val="0"/>
        <w:autoSpaceDN w:val="0"/>
        <w:adjustRightInd w:val="0"/>
        <w:spacing w:line="480" w:lineRule="auto"/>
        <w:ind w:left="480" w:hanging="480"/>
        <w:rPr>
          <w:rFonts w:ascii="Times New Roman" w:hAnsi="Times New Roman" w:cs="Times New Roman"/>
          <w:noProof/>
          <w:sz w:val="24"/>
          <w:szCs w:val="24"/>
        </w:rPr>
      </w:pPr>
      <w:r w:rsidRPr="000564FF">
        <w:rPr>
          <w:rFonts w:ascii="Times New Roman" w:hAnsi="Times New Roman" w:cs="Times New Roman"/>
          <w:noProof/>
          <w:sz w:val="24"/>
          <w:szCs w:val="24"/>
        </w:rPr>
        <w:t xml:space="preserve">Meade, C. S., Lowen, S. B., MacLean, R. R., Key, M. D., &amp; Lukas, S. E. (2011). fMRI brain activation during a delay discounting task in HIV-positive adults with and without cocaine dependence. </w:t>
      </w:r>
      <w:r w:rsidRPr="000564FF">
        <w:rPr>
          <w:rFonts w:ascii="Times New Roman" w:hAnsi="Times New Roman" w:cs="Times New Roman"/>
          <w:i/>
          <w:iCs/>
          <w:noProof/>
          <w:sz w:val="24"/>
          <w:szCs w:val="24"/>
        </w:rPr>
        <w:t>Psychiatry Research: Neuroimaging</w:t>
      </w:r>
      <w:r w:rsidRPr="000564FF">
        <w:rPr>
          <w:rFonts w:ascii="Times New Roman" w:hAnsi="Times New Roman" w:cs="Times New Roman"/>
          <w:noProof/>
          <w:sz w:val="24"/>
          <w:szCs w:val="24"/>
        </w:rPr>
        <w:t xml:space="preserve">, </w:t>
      </w:r>
      <w:r w:rsidRPr="000564FF">
        <w:rPr>
          <w:rFonts w:ascii="Times New Roman" w:hAnsi="Times New Roman" w:cs="Times New Roman"/>
          <w:i/>
          <w:iCs/>
          <w:noProof/>
          <w:sz w:val="24"/>
          <w:szCs w:val="24"/>
        </w:rPr>
        <w:t>192</w:t>
      </w:r>
      <w:r w:rsidRPr="000564FF">
        <w:rPr>
          <w:rFonts w:ascii="Times New Roman" w:hAnsi="Times New Roman" w:cs="Times New Roman"/>
          <w:noProof/>
          <w:sz w:val="24"/>
          <w:szCs w:val="24"/>
        </w:rPr>
        <w:t>(3), 167–175. https://doi.org/10.1016/J.PSCYCHRESNS.2010.12.011</w:t>
      </w:r>
    </w:p>
    <w:p w14:paraId="7FF39CAD" w14:textId="77777777" w:rsidR="000564FF" w:rsidRPr="000564FF" w:rsidRDefault="000564FF" w:rsidP="000564FF">
      <w:pPr>
        <w:widowControl w:val="0"/>
        <w:autoSpaceDE w:val="0"/>
        <w:autoSpaceDN w:val="0"/>
        <w:adjustRightInd w:val="0"/>
        <w:spacing w:line="480" w:lineRule="auto"/>
        <w:ind w:left="480" w:hanging="480"/>
        <w:rPr>
          <w:rFonts w:ascii="Times New Roman" w:hAnsi="Times New Roman" w:cs="Times New Roman"/>
          <w:noProof/>
          <w:sz w:val="24"/>
          <w:szCs w:val="24"/>
        </w:rPr>
      </w:pPr>
      <w:r w:rsidRPr="000564FF">
        <w:rPr>
          <w:rFonts w:ascii="Times New Roman" w:hAnsi="Times New Roman" w:cs="Times New Roman"/>
          <w:noProof/>
          <w:sz w:val="24"/>
          <w:szCs w:val="24"/>
        </w:rPr>
        <w:t xml:space="preserve">Monk, C. S., Nelson, E. E., Woldehawariat, G., Montgomery, L. A., Zarahn, E., McClure, E. B., … Pine, D. S. (2004). Experience-dependent plasticity for attention to threat: Behavioral and neurophysiological evidence in humans. </w:t>
      </w:r>
      <w:r w:rsidRPr="000564FF">
        <w:rPr>
          <w:rFonts w:ascii="Times New Roman" w:hAnsi="Times New Roman" w:cs="Times New Roman"/>
          <w:i/>
          <w:iCs/>
          <w:noProof/>
          <w:sz w:val="24"/>
          <w:szCs w:val="24"/>
        </w:rPr>
        <w:t>Biological Psychiatry</w:t>
      </w:r>
      <w:r w:rsidRPr="000564FF">
        <w:rPr>
          <w:rFonts w:ascii="Times New Roman" w:hAnsi="Times New Roman" w:cs="Times New Roman"/>
          <w:noProof/>
          <w:sz w:val="24"/>
          <w:szCs w:val="24"/>
        </w:rPr>
        <w:t xml:space="preserve">, </w:t>
      </w:r>
      <w:r w:rsidRPr="000564FF">
        <w:rPr>
          <w:rFonts w:ascii="Times New Roman" w:hAnsi="Times New Roman" w:cs="Times New Roman"/>
          <w:i/>
          <w:iCs/>
          <w:noProof/>
          <w:sz w:val="24"/>
          <w:szCs w:val="24"/>
        </w:rPr>
        <w:t>56</w:t>
      </w:r>
      <w:r w:rsidRPr="000564FF">
        <w:rPr>
          <w:rFonts w:ascii="Times New Roman" w:hAnsi="Times New Roman" w:cs="Times New Roman"/>
          <w:noProof/>
          <w:sz w:val="24"/>
          <w:szCs w:val="24"/>
        </w:rPr>
        <w:t>(8), 607–610. https://doi.org/10.1016/J.BIOPSYCH.2004.07.012</w:t>
      </w:r>
    </w:p>
    <w:p w14:paraId="3FCE99A6" w14:textId="77777777" w:rsidR="000564FF" w:rsidRPr="000564FF" w:rsidRDefault="000564FF" w:rsidP="000564FF">
      <w:pPr>
        <w:widowControl w:val="0"/>
        <w:autoSpaceDE w:val="0"/>
        <w:autoSpaceDN w:val="0"/>
        <w:adjustRightInd w:val="0"/>
        <w:spacing w:line="480" w:lineRule="auto"/>
        <w:ind w:left="480" w:hanging="480"/>
        <w:rPr>
          <w:rFonts w:ascii="Times New Roman" w:hAnsi="Times New Roman" w:cs="Times New Roman"/>
          <w:noProof/>
          <w:sz w:val="24"/>
          <w:szCs w:val="24"/>
        </w:rPr>
      </w:pPr>
      <w:r w:rsidRPr="000564FF">
        <w:rPr>
          <w:rFonts w:ascii="Times New Roman" w:hAnsi="Times New Roman" w:cs="Times New Roman"/>
          <w:noProof/>
          <w:sz w:val="24"/>
          <w:szCs w:val="24"/>
        </w:rPr>
        <w:t xml:space="preserve">Monroe, J. F., Griffin, M., Pinkham, A., Loughead, J., Gur, R. C., Roberts, T. P. L., &amp; Christopher Edgar, J. (2013). The fusiform response to faces: Explicit versus implicit processing of emotion. </w:t>
      </w:r>
      <w:r w:rsidRPr="000564FF">
        <w:rPr>
          <w:rFonts w:ascii="Times New Roman" w:hAnsi="Times New Roman" w:cs="Times New Roman"/>
          <w:i/>
          <w:iCs/>
          <w:noProof/>
          <w:sz w:val="24"/>
          <w:szCs w:val="24"/>
        </w:rPr>
        <w:t>Human Brain Mapping</w:t>
      </w:r>
      <w:r w:rsidRPr="000564FF">
        <w:rPr>
          <w:rFonts w:ascii="Times New Roman" w:hAnsi="Times New Roman" w:cs="Times New Roman"/>
          <w:noProof/>
          <w:sz w:val="24"/>
          <w:szCs w:val="24"/>
        </w:rPr>
        <w:t xml:space="preserve">, </w:t>
      </w:r>
      <w:r w:rsidRPr="000564FF">
        <w:rPr>
          <w:rFonts w:ascii="Times New Roman" w:hAnsi="Times New Roman" w:cs="Times New Roman"/>
          <w:i/>
          <w:iCs/>
          <w:noProof/>
          <w:sz w:val="24"/>
          <w:szCs w:val="24"/>
        </w:rPr>
        <w:t>34</w:t>
      </w:r>
      <w:r w:rsidRPr="000564FF">
        <w:rPr>
          <w:rFonts w:ascii="Times New Roman" w:hAnsi="Times New Roman" w:cs="Times New Roman"/>
          <w:noProof/>
          <w:sz w:val="24"/>
          <w:szCs w:val="24"/>
        </w:rPr>
        <w:t>(1), 1–11. https://doi.org/10.1002/HBM.21406</w:t>
      </w:r>
    </w:p>
    <w:p w14:paraId="73E9586F" w14:textId="77777777" w:rsidR="000564FF" w:rsidRPr="000564FF" w:rsidRDefault="000564FF" w:rsidP="000564FF">
      <w:pPr>
        <w:widowControl w:val="0"/>
        <w:autoSpaceDE w:val="0"/>
        <w:autoSpaceDN w:val="0"/>
        <w:adjustRightInd w:val="0"/>
        <w:spacing w:line="480" w:lineRule="auto"/>
        <w:ind w:left="480" w:hanging="480"/>
        <w:rPr>
          <w:rFonts w:ascii="Times New Roman" w:hAnsi="Times New Roman" w:cs="Times New Roman"/>
          <w:noProof/>
          <w:sz w:val="24"/>
          <w:szCs w:val="24"/>
        </w:rPr>
      </w:pPr>
      <w:r w:rsidRPr="000564FF">
        <w:rPr>
          <w:rFonts w:ascii="Times New Roman" w:hAnsi="Times New Roman" w:cs="Times New Roman"/>
          <w:noProof/>
          <w:sz w:val="24"/>
          <w:szCs w:val="24"/>
        </w:rPr>
        <w:t xml:space="preserve">Morgan, J. K., Ambrosia, M., Forbes, E. E., Cyranowski, J. M., Amole, M. C., Silk, J. S., … Swartz, H. A. (2015). Maternal response to child affect: Role of maternal depression and </w:t>
      </w:r>
      <w:r w:rsidRPr="000564FF">
        <w:rPr>
          <w:rFonts w:ascii="Times New Roman" w:hAnsi="Times New Roman" w:cs="Times New Roman"/>
          <w:noProof/>
          <w:sz w:val="24"/>
          <w:szCs w:val="24"/>
        </w:rPr>
        <w:lastRenderedPageBreak/>
        <w:t xml:space="preserve">relationship quality. </w:t>
      </w:r>
      <w:r w:rsidRPr="000564FF">
        <w:rPr>
          <w:rFonts w:ascii="Times New Roman" w:hAnsi="Times New Roman" w:cs="Times New Roman"/>
          <w:i/>
          <w:iCs/>
          <w:noProof/>
          <w:sz w:val="24"/>
          <w:szCs w:val="24"/>
        </w:rPr>
        <w:t>Journal of Affective Disorders</w:t>
      </w:r>
      <w:r w:rsidRPr="000564FF">
        <w:rPr>
          <w:rFonts w:ascii="Times New Roman" w:hAnsi="Times New Roman" w:cs="Times New Roman"/>
          <w:noProof/>
          <w:sz w:val="24"/>
          <w:szCs w:val="24"/>
        </w:rPr>
        <w:t xml:space="preserve">, </w:t>
      </w:r>
      <w:r w:rsidRPr="000564FF">
        <w:rPr>
          <w:rFonts w:ascii="Times New Roman" w:hAnsi="Times New Roman" w:cs="Times New Roman"/>
          <w:i/>
          <w:iCs/>
          <w:noProof/>
          <w:sz w:val="24"/>
          <w:szCs w:val="24"/>
        </w:rPr>
        <w:t>187</w:t>
      </w:r>
      <w:r w:rsidRPr="000564FF">
        <w:rPr>
          <w:rFonts w:ascii="Times New Roman" w:hAnsi="Times New Roman" w:cs="Times New Roman"/>
          <w:noProof/>
          <w:sz w:val="24"/>
          <w:szCs w:val="24"/>
        </w:rPr>
        <w:t>, 106–113. https://doi.org/10.1016/J.JAD.2015.07.043</w:t>
      </w:r>
    </w:p>
    <w:p w14:paraId="59F28013" w14:textId="77777777" w:rsidR="000564FF" w:rsidRPr="000564FF" w:rsidRDefault="000564FF" w:rsidP="000564FF">
      <w:pPr>
        <w:widowControl w:val="0"/>
        <w:autoSpaceDE w:val="0"/>
        <w:autoSpaceDN w:val="0"/>
        <w:adjustRightInd w:val="0"/>
        <w:spacing w:line="480" w:lineRule="auto"/>
        <w:ind w:left="480" w:hanging="480"/>
        <w:rPr>
          <w:rFonts w:ascii="Times New Roman" w:hAnsi="Times New Roman" w:cs="Times New Roman"/>
          <w:noProof/>
          <w:sz w:val="24"/>
          <w:szCs w:val="24"/>
        </w:rPr>
      </w:pPr>
      <w:r w:rsidRPr="000564FF">
        <w:rPr>
          <w:rFonts w:ascii="Times New Roman" w:hAnsi="Times New Roman" w:cs="Times New Roman"/>
          <w:noProof/>
          <w:sz w:val="24"/>
          <w:szCs w:val="24"/>
        </w:rPr>
        <w:t xml:space="preserve">Rocca, M. A., Valsasina, P., Fazio, R., Previtali, S. C., Messina, R., Falini, A., … Filippi, M. (2014). Brain connectivity abnormalities extend beyond the sensorimotor network in peripheral neuropathy. </w:t>
      </w:r>
      <w:r w:rsidRPr="000564FF">
        <w:rPr>
          <w:rFonts w:ascii="Times New Roman" w:hAnsi="Times New Roman" w:cs="Times New Roman"/>
          <w:i/>
          <w:iCs/>
          <w:noProof/>
          <w:sz w:val="24"/>
          <w:szCs w:val="24"/>
        </w:rPr>
        <w:t>Human Brain Mapping</w:t>
      </w:r>
      <w:r w:rsidRPr="000564FF">
        <w:rPr>
          <w:rFonts w:ascii="Times New Roman" w:hAnsi="Times New Roman" w:cs="Times New Roman"/>
          <w:noProof/>
          <w:sz w:val="24"/>
          <w:szCs w:val="24"/>
        </w:rPr>
        <w:t xml:space="preserve">, </w:t>
      </w:r>
      <w:r w:rsidRPr="000564FF">
        <w:rPr>
          <w:rFonts w:ascii="Times New Roman" w:hAnsi="Times New Roman" w:cs="Times New Roman"/>
          <w:i/>
          <w:iCs/>
          <w:noProof/>
          <w:sz w:val="24"/>
          <w:szCs w:val="24"/>
        </w:rPr>
        <w:t>35</w:t>
      </w:r>
      <w:r w:rsidRPr="000564FF">
        <w:rPr>
          <w:rFonts w:ascii="Times New Roman" w:hAnsi="Times New Roman" w:cs="Times New Roman"/>
          <w:noProof/>
          <w:sz w:val="24"/>
          <w:szCs w:val="24"/>
        </w:rPr>
        <w:t>(2), 513. https://doi.org/10.1002/HBM.22198</w:t>
      </w:r>
    </w:p>
    <w:p w14:paraId="47284C84" w14:textId="77777777" w:rsidR="000564FF" w:rsidRPr="000564FF" w:rsidRDefault="000564FF" w:rsidP="000564FF">
      <w:pPr>
        <w:widowControl w:val="0"/>
        <w:autoSpaceDE w:val="0"/>
        <w:autoSpaceDN w:val="0"/>
        <w:adjustRightInd w:val="0"/>
        <w:spacing w:line="480" w:lineRule="auto"/>
        <w:ind w:left="480" w:hanging="480"/>
        <w:rPr>
          <w:rFonts w:ascii="Times New Roman" w:hAnsi="Times New Roman" w:cs="Times New Roman"/>
          <w:noProof/>
          <w:sz w:val="24"/>
          <w:szCs w:val="24"/>
        </w:rPr>
      </w:pPr>
      <w:r w:rsidRPr="000564FF">
        <w:rPr>
          <w:rFonts w:ascii="Times New Roman" w:hAnsi="Times New Roman" w:cs="Times New Roman"/>
          <w:noProof/>
          <w:sz w:val="24"/>
          <w:szCs w:val="24"/>
        </w:rPr>
        <w:t xml:space="preserve">Smyser, C. D., Snyder, A. Z., Shimony, J. S., Mitra, A., Inder, T. E., &amp; Neil, J. J. (2016). Resting-State Network Complexity and Magnitude Are Reduced in Prematurely Born Infants. </w:t>
      </w:r>
      <w:r w:rsidRPr="000564FF">
        <w:rPr>
          <w:rFonts w:ascii="Times New Roman" w:hAnsi="Times New Roman" w:cs="Times New Roman"/>
          <w:i/>
          <w:iCs/>
          <w:noProof/>
          <w:sz w:val="24"/>
          <w:szCs w:val="24"/>
        </w:rPr>
        <w:t>Cerebral Cortex (New York, NY)</w:t>
      </w:r>
      <w:r w:rsidRPr="000564FF">
        <w:rPr>
          <w:rFonts w:ascii="Times New Roman" w:hAnsi="Times New Roman" w:cs="Times New Roman"/>
          <w:noProof/>
          <w:sz w:val="24"/>
          <w:szCs w:val="24"/>
        </w:rPr>
        <w:t xml:space="preserve">, </w:t>
      </w:r>
      <w:r w:rsidRPr="000564FF">
        <w:rPr>
          <w:rFonts w:ascii="Times New Roman" w:hAnsi="Times New Roman" w:cs="Times New Roman"/>
          <w:i/>
          <w:iCs/>
          <w:noProof/>
          <w:sz w:val="24"/>
          <w:szCs w:val="24"/>
        </w:rPr>
        <w:t>26</w:t>
      </w:r>
      <w:r w:rsidRPr="000564FF">
        <w:rPr>
          <w:rFonts w:ascii="Times New Roman" w:hAnsi="Times New Roman" w:cs="Times New Roman"/>
          <w:noProof/>
          <w:sz w:val="24"/>
          <w:szCs w:val="24"/>
        </w:rPr>
        <w:t>(1), 322. https://doi.org/10.1093/CERCOR/BHU251</w:t>
      </w:r>
    </w:p>
    <w:p w14:paraId="700C4834" w14:textId="77777777" w:rsidR="000564FF" w:rsidRPr="000564FF" w:rsidRDefault="000564FF" w:rsidP="000564FF">
      <w:pPr>
        <w:widowControl w:val="0"/>
        <w:autoSpaceDE w:val="0"/>
        <w:autoSpaceDN w:val="0"/>
        <w:adjustRightInd w:val="0"/>
        <w:spacing w:line="480" w:lineRule="auto"/>
        <w:ind w:left="480" w:hanging="480"/>
        <w:rPr>
          <w:rFonts w:ascii="Times New Roman" w:hAnsi="Times New Roman" w:cs="Times New Roman"/>
          <w:noProof/>
          <w:sz w:val="24"/>
          <w:szCs w:val="24"/>
        </w:rPr>
      </w:pPr>
      <w:r w:rsidRPr="000564FF">
        <w:rPr>
          <w:rFonts w:ascii="Times New Roman" w:hAnsi="Times New Roman" w:cs="Times New Roman"/>
          <w:noProof/>
          <w:sz w:val="24"/>
          <w:szCs w:val="24"/>
        </w:rPr>
        <w:t xml:space="preserve">Staugaard, S. R. (2010). Threatening faces and social anxiety: A literature review. </w:t>
      </w:r>
      <w:r w:rsidRPr="000564FF">
        <w:rPr>
          <w:rFonts w:ascii="Times New Roman" w:hAnsi="Times New Roman" w:cs="Times New Roman"/>
          <w:i/>
          <w:iCs/>
          <w:noProof/>
          <w:sz w:val="24"/>
          <w:szCs w:val="24"/>
        </w:rPr>
        <w:t>Clinical Psychology Review</w:t>
      </w:r>
      <w:r w:rsidRPr="000564FF">
        <w:rPr>
          <w:rFonts w:ascii="Times New Roman" w:hAnsi="Times New Roman" w:cs="Times New Roman"/>
          <w:noProof/>
          <w:sz w:val="24"/>
          <w:szCs w:val="24"/>
        </w:rPr>
        <w:t>. https://doi.org/10.1016/j.cpr.2010.05.001</w:t>
      </w:r>
    </w:p>
    <w:p w14:paraId="223AF472" w14:textId="77777777" w:rsidR="000564FF" w:rsidRPr="000564FF" w:rsidRDefault="000564FF" w:rsidP="000564FF">
      <w:pPr>
        <w:widowControl w:val="0"/>
        <w:autoSpaceDE w:val="0"/>
        <w:autoSpaceDN w:val="0"/>
        <w:adjustRightInd w:val="0"/>
        <w:spacing w:line="480" w:lineRule="auto"/>
        <w:ind w:left="480" w:hanging="480"/>
        <w:rPr>
          <w:rFonts w:ascii="Times New Roman" w:hAnsi="Times New Roman" w:cs="Times New Roman"/>
          <w:noProof/>
          <w:sz w:val="24"/>
          <w:szCs w:val="24"/>
        </w:rPr>
      </w:pPr>
      <w:r w:rsidRPr="000564FF">
        <w:rPr>
          <w:rFonts w:ascii="Times New Roman" w:hAnsi="Times New Roman" w:cs="Times New Roman"/>
          <w:noProof/>
          <w:sz w:val="24"/>
          <w:szCs w:val="24"/>
        </w:rPr>
        <w:t xml:space="preserve">Wang, L., Liu, X., Guise, K. G., Knight, R. T., Ghajar, J., &amp; Fan, J. (2010). Effective Connectivity of the Fronto-parietal Network during Attentional Control. </w:t>
      </w:r>
      <w:r w:rsidRPr="000564FF">
        <w:rPr>
          <w:rFonts w:ascii="Times New Roman" w:hAnsi="Times New Roman" w:cs="Times New Roman"/>
          <w:i/>
          <w:iCs/>
          <w:noProof/>
          <w:sz w:val="24"/>
          <w:szCs w:val="24"/>
        </w:rPr>
        <w:t>Journal of Cognitive Neuroscience</w:t>
      </w:r>
      <w:r w:rsidRPr="000564FF">
        <w:rPr>
          <w:rFonts w:ascii="Times New Roman" w:hAnsi="Times New Roman" w:cs="Times New Roman"/>
          <w:noProof/>
          <w:sz w:val="24"/>
          <w:szCs w:val="24"/>
        </w:rPr>
        <w:t xml:space="preserve">, </w:t>
      </w:r>
      <w:r w:rsidRPr="000564FF">
        <w:rPr>
          <w:rFonts w:ascii="Times New Roman" w:hAnsi="Times New Roman" w:cs="Times New Roman"/>
          <w:i/>
          <w:iCs/>
          <w:noProof/>
          <w:sz w:val="24"/>
          <w:szCs w:val="24"/>
        </w:rPr>
        <w:t>22</w:t>
      </w:r>
      <w:r w:rsidRPr="000564FF">
        <w:rPr>
          <w:rFonts w:ascii="Times New Roman" w:hAnsi="Times New Roman" w:cs="Times New Roman"/>
          <w:noProof/>
          <w:sz w:val="24"/>
          <w:szCs w:val="24"/>
        </w:rPr>
        <w:t>(3), 543–553. https://doi.org/10.1162/JOCN.2009.21210</w:t>
      </w:r>
    </w:p>
    <w:p w14:paraId="4AC06F23" w14:textId="77777777" w:rsidR="000564FF" w:rsidRPr="000564FF" w:rsidRDefault="000564FF" w:rsidP="000564FF">
      <w:pPr>
        <w:widowControl w:val="0"/>
        <w:autoSpaceDE w:val="0"/>
        <w:autoSpaceDN w:val="0"/>
        <w:adjustRightInd w:val="0"/>
        <w:spacing w:line="480" w:lineRule="auto"/>
        <w:ind w:left="480" w:hanging="480"/>
        <w:rPr>
          <w:rFonts w:ascii="Times New Roman" w:hAnsi="Times New Roman" w:cs="Times New Roman"/>
          <w:noProof/>
          <w:sz w:val="24"/>
          <w:szCs w:val="24"/>
        </w:rPr>
      </w:pPr>
      <w:r w:rsidRPr="000564FF">
        <w:rPr>
          <w:rFonts w:ascii="Times New Roman" w:hAnsi="Times New Roman" w:cs="Times New Roman"/>
          <w:noProof/>
          <w:sz w:val="24"/>
          <w:szCs w:val="24"/>
        </w:rPr>
        <w:t xml:space="preserve">Waring, J. D., &amp; Kensinger, E. A. (2011). How emotion leads to selective memory: Neuroimaging evidence. </w:t>
      </w:r>
      <w:r w:rsidRPr="000564FF">
        <w:rPr>
          <w:rFonts w:ascii="Times New Roman" w:hAnsi="Times New Roman" w:cs="Times New Roman"/>
          <w:i/>
          <w:iCs/>
          <w:noProof/>
          <w:sz w:val="24"/>
          <w:szCs w:val="24"/>
        </w:rPr>
        <w:t>Neuropsychologia</w:t>
      </w:r>
      <w:r w:rsidRPr="000564FF">
        <w:rPr>
          <w:rFonts w:ascii="Times New Roman" w:hAnsi="Times New Roman" w:cs="Times New Roman"/>
          <w:noProof/>
          <w:sz w:val="24"/>
          <w:szCs w:val="24"/>
        </w:rPr>
        <w:t xml:space="preserve">, </w:t>
      </w:r>
      <w:r w:rsidRPr="000564FF">
        <w:rPr>
          <w:rFonts w:ascii="Times New Roman" w:hAnsi="Times New Roman" w:cs="Times New Roman"/>
          <w:i/>
          <w:iCs/>
          <w:noProof/>
          <w:sz w:val="24"/>
          <w:szCs w:val="24"/>
        </w:rPr>
        <w:t>49</w:t>
      </w:r>
      <w:r w:rsidRPr="000564FF">
        <w:rPr>
          <w:rFonts w:ascii="Times New Roman" w:hAnsi="Times New Roman" w:cs="Times New Roman"/>
          <w:noProof/>
          <w:sz w:val="24"/>
          <w:szCs w:val="24"/>
        </w:rPr>
        <w:t>(7), 1831–1842. https://doi.org/10.1016/j.neuropsychologia.2011.03.007</w:t>
      </w:r>
    </w:p>
    <w:p w14:paraId="5374749F" w14:textId="77777777" w:rsidR="000564FF" w:rsidRPr="000564FF" w:rsidRDefault="000564FF" w:rsidP="000564FF">
      <w:pPr>
        <w:widowControl w:val="0"/>
        <w:autoSpaceDE w:val="0"/>
        <w:autoSpaceDN w:val="0"/>
        <w:adjustRightInd w:val="0"/>
        <w:spacing w:line="480" w:lineRule="auto"/>
        <w:ind w:left="480" w:hanging="480"/>
        <w:rPr>
          <w:rFonts w:ascii="Times New Roman" w:hAnsi="Times New Roman" w:cs="Times New Roman"/>
          <w:noProof/>
          <w:sz w:val="24"/>
        </w:rPr>
      </w:pPr>
      <w:r w:rsidRPr="000564FF">
        <w:rPr>
          <w:rFonts w:ascii="Times New Roman" w:hAnsi="Times New Roman" w:cs="Times New Roman"/>
          <w:noProof/>
          <w:sz w:val="24"/>
          <w:szCs w:val="24"/>
        </w:rPr>
        <w:t xml:space="preserve">Yeo, B., Krienen, F. M., Sepulcre, J., Sabuncu, M. R., Lashkari, D., Hollinshead, M., … Buckner, R. L. (2011). The organization of the human cerebral cortex estimated by intrinsic functional connectivity. </w:t>
      </w:r>
      <w:r w:rsidRPr="000564FF">
        <w:rPr>
          <w:rFonts w:ascii="Times New Roman" w:hAnsi="Times New Roman" w:cs="Times New Roman"/>
          <w:i/>
          <w:iCs/>
          <w:noProof/>
          <w:sz w:val="24"/>
          <w:szCs w:val="24"/>
        </w:rPr>
        <w:t>Journal of Neurophysiology</w:t>
      </w:r>
      <w:r w:rsidRPr="000564FF">
        <w:rPr>
          <w:rFonts w:ascii="Times New Roman" w:hAnsi="Times New Roman" w:cs="Times New Roman"/>
          <w:noProof/>
          <w:sz w:val="24"/>
          <w:szCs w:val="24"/>
        </w:rPr>
        <w:t xml:space="preserve">, </w:t>
      </w:r>
      <w:r w:rsidRPr="000564FF">
        <w:rPr>
          <w:rFonts w:ascii="Times New Roman" w:hAnsi="Times New Roman" w:cs="Times New Roman"/>
          <w:i/>
          <w:iCs/>
          <w:noProof/>
          <w:sz w:val="24"/>
          <w:szCs w:val="24"/>
        </w:rPr>
        <w:t>106</w:t>
      </w:r>
      <w:r w:rsidRPr="000564FF">
        <w:rPr>
          <w:rFonts w:ascii="Times New Roman" w:hAnsi="Times New Roman" w:cs="Times New Roman"/>
          <w:noProof/>
          <w:sz w:val="24"/>
          <w:szCs w:val="24"/>
        </w:rPr>
        <w:t>(3), 1125–1165. https://doi.org/10.1152/jn.00338.2011</w:t>
      </w:r>
    </w:p>
    <w:p w14:paraId="243900BE" w14:textId="784DC302" w:rsidR="0020495F" w:rsidRPr="002D7959" w:rsidRDefault="0020495F" w:rsidP="002D7959">
      <w:pPr>
        <w:widowControl w:val="0"/>
        <w:autoSpaceDE w:val="0"/>
        <w:autoSpaceDN w:val="0"/>
        <w:adjustRightInd w:val="0"/>
        <w:spacing w:line="480" w:lineRule="auto"/>
        <w:rPr>
          <w:rFonts w:ascii="Times New Roman" w:hAnsi="Times New Roman" w:cs="Times New Roman"/>
          <w:noProof/>
          <w:sz w:val="24"/>
        </w:rPr>
      </w:pPr>
      <w:r>
        <w:rPr>
          <w:rFonts w:asciiTheme="majorBidi" w:hAnsiTheme="majorBidi" w:cstheme="majorBidi"/>
          <w:sz w:val="24"/>
          <w:szCs w:val="24"/>
        </w:rPr>
        <w:lastRenderedPageBreak/>
        <w:fldChar w:fldCharType="end"/>
      </w:r>
      <w:bookmarkEnd w:id="4"/>
    </w:p>
    <w:sectPr w:rsidR="0020495F" w:rsidRPr="002D7959">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89190" w14:textId="77777777" w:rsidR="007F31D3" w:rsidRDefault="007F31D3" w:rsidP="00D167A2">
      <w:pPr>
        <w:spacing w:after="0" w:line="240" w:lineRule="auto"/>
      </w:pPr>
      <w:r>
        <w:separator/>
      </w:r>
    </w:p>
  </w:endnote>
  <w:endnote w:type="continuationSeparator" w:id="0">
    <w:p w14:paraId="1B72C670" w14:textId="77777777" w:rsidR="007F31D3" w:rsidRDefault="007F31D3" w:rsidP="00D16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D88FE" w14:textId="77777777" w:rsidR="007F31D3" w:rsidRDefault="007F31D3" w:rsidP="00D167A2">
      <w:pPr>
        <w:spacing w:after="0" w:line="240" w:lineRule="auto"/>
      </w:pPr>
      <w:r>
        <w:separator/>
      </w:r>
    </w:p>
  </w:footnote>
  <w:footnote w:type="continuationSeparator" w:id="0">
    <w:p w14:paraId="0A3B90AA" w14:textId="77777777" w:rsidR="007F31D3" w:rsidRDefault="007F31D3" w:rsidP="00D167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7966650"/>
      <w:docPartObj>
        <w:docPartGallery w:val="Page Numbers (Top of Page)"/>
        <w:docPartUnique/>
      </w:docPartObj>
    </w:sdtPr>
    <w:sdtEndPr>
      <w:rPr>
        <w:noProof/>
      </w:rPr>
    </w:sdtEndPr>
    <w:sdtContent>
      <w:p w14:paraId="06EEEEB0" w14:textId="30834141" w:rsidR="00F30222" w:rsidRDefault="00F3022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8597851" w14:textId="77777777" w:rsidR="00F30222" w:rsidRDefault="00F302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C95"/>
    <w:rsid w:val="00007A58"/>
    <w:rsid w:val="00007D2F"/>
    <w:rsid w:val="00013718"/>
    <w:rsid w:val="000166A7"/>
    <w:rsid w:val="000219DD"/>
    <w:rsid w:val="000254BE"/>
    <w:rsid w:val="00031163"/>
    <w:rsid w:val="00036631"/>
    <w:rsid w:val="0004184F"/>
    <w:rsid w:val="00042EC6"/>
    <w:rsid w:val="00043283"/>
    <w:rsid w:val="00044222"/>
    <w:rsid w:val="00053985"/>
    <w:rsid w:val="00054037"/>
    <w:rsid w:val="0005432C"/>
    <w:rsid w:val="000564FF"/>
    <w:rsid w:val="00062814"/>
    <w:rsid w:val="00066210"/>
    <w:rsid w:val="000739CA"/>
    <w:rsid w:val="00074E1E"/>
    <w:rsid w:val="0007690F"/>
    <w:rsid w:val="00080963"/>
    <w:rsid w:val="00096425"/>
    <w:rsid w:val="000A5C75"/>
    <w:rsid w:val="000B327C"/>
    <w:rsid w:val="000C026E"/>
    <w:rsid w:val="000D10DD"/>
    <w:rsid w:val="000D4E35"/>
    <w:rsid w:val="000D5D7C"/>
    <w:rsid w:val="000F6582"/>
    <w:rsid w:val="0010160F"/>
    <w:rsid w:val="00102AE1"/>
    <w:rsid w:val="0013491F"/>
    <w:rsid w:val="00141DCE"/>
    <w:rsid w:val="00144B41"/>
    <w:rsid w:val="00150DB9"/>
    <w:rsid w:val="00160062"/>
    <w:rsid w:val="00161667"/>
    <w:rsid w:val="0016787F"/>
    <w:rsid w:val="00183C7D"/>
    <w:rsid w:val="00187552"/>
    <w:rsid w:val="001909F1"/>
    <w:rsid w:val="001939D9"/>
    <w:rsid w:val="00195C95"/>
    <w:rsid w:val="001A309F"/>
    <w:rsid w:val="001A6A06"/>
    <w:rsid w:val="001A6DE7"/>
    <w:rsid w:val="001C44E2"/>
    <w:rsid w:val="001C5258"/>
    <w:rsid w:val="001C6DA1"/>
    <w:rsid w:val="001D226D"/>
    <w:rsid w:val="001D55B3"/>
    <w:rsid w:val="001E1DD4"/>
    <w:rsid w:val="00202B14"/>
    <w:rsid w:val="0020495F"/>
    <w:rsid w:val="002060F6"/>
    <w:rsid w:val="00211E56"/>
    <w:rsid w:val="002158FB"/>
    <w:rsid w:val="002169CF"/>
    <w:rsid w:val="00217BD0"/>
    <w:rsid w:val="0022281C"/>
    <w:rsid w:val="00235A03"/>
    <w:rsid w:val="002374EF"/>
    <w:rsid w:val="002519B0"/>
    <w:rsid w:val="00252FD5"/>
    <w:rsid w:val="00260E0E"/>
    <w:rsid w:val="00264558"/>
    <w:rsid w:val="00270BC3"/>
    <w:rsid w:val="00275F81"/>
    <w:rsid w:val="002813B7"/>
    <w:rsid w:val="002A2F18"/>
    <w:rsid w:val="002A656D"/>
    <w:rsid w:val="002B1CF1"/>
    <w:rsid w:val="002C2D81"/>
    <w:rsid w:val="002C39C9"/>
    <w:rsid w:val="002D2346"/>
    <w:rsid w:val="002D7959"/>
    <w:rsid w:val="002E352B"/>
    <w:rsid w:val="002E6883"/>
    <w:rsid w:val="002F1471"/>
    <w:rsid w:val="002F4FF6"/>
    <w:rsid w:val="00301364"/>
    <w:rsid w:val="003152D7"/>
    <w:rsid w:val="00322237"/>
    <w:rsid w:val="00322411"/>
    <w:rsid w:val="00330713"/>
    <w:rsid w:val="00357679"/>
    <w:rsid w:val="00371F81"/>
    <w:rsid w:val="00375948"/>
    <w:rsid w:val="003767E3"/>
    <w:rsid w:val="00381B86"/>
    <w:rsid w:val="003843CB"/>
    <w:rsid w:val="00386E06"/>
    <w:rsid w:val="00392486"/>
    <w:rsid w:val="003A14A5"/>
    <w:rsid w:val="003A1E47"/>
    <w:rsid w:val="003A23DC"/>
    <w:rsid w:val="003B003B"/>
    <w:rsid w:val="003C4822"/>
    <w:rsid w:val="003C69FB"/>
    <w:rsid w:val="003E4E58"/>
    <w:rsid w:val="003F6D50"/>
    <w:rsid w:val="00404139"/>
    <w:rsid w:val="00406A9F"/>
    <w:rsid w:val="00413FDF"/>
    <w:rsid w:val="00413FF2"/>
    <w:rsid w:val="00414903"/>
    <w:rsid w:val="00436576"/>
    <w:rsid w:val="00437C13"/>
    <w:rsid w:val="00437E2D"/>
    <w:rsid w:val="00440141"/>
    <w:rsid w:val="0044663E"/>
    <w:rsid w:val="004559C2"/>
    <w:rsid w:val="00457DF1"/>
    <w:rsid w:val="00463AA5"/>
    <w:rsid w:val="00470949"/>
    <w:rsid w:val="00473EDB"/>
    <w:rsid w:val="00477690"/>
    <w:rsid w:val="004805C5"/>
    <w:rsid w:val="004A2C01"/>
    <w:rsid w:val="004E15A1"/>
    <w:rsid w:val="004F2D24"/>
    <w:rsid w:val="004F75AE"/>
    <w:rsid w:val="00501B7E"/>
    <w:rsid w:val="00511AE0"/>
    <w:rsid w:val="00512300"/>
    <w:rsid w:val="0051477C"/>
    <w:rsid w:val="005171CC"/>
    <w:rsid w:val="0051731F"/>
    <w:rsid w:val="00517804"/>
    <w:rsid w:val="00517D84"/>
    <w:rsid w:val="00543DD3"/>
    <w:rsid w:val="00552C87"/>
    <w:rsid w:val="00573089"/>
    <w:rsid w:val="005808BB"/>
    <w:rsid w:val="005901BC"/>
    <w:rsid w:val="0059218B"/>
    <w:rsid w:val="005A0C95"/>
    <w:rsid w:val="005A1F14"/>
    <w:rsid w:val="005A661B"/>
    <w:rsid w:val="005A6B85"/>
    <w:rsid w:val="005B4508"/>
    <w:rsid w:val="005B63BC"/>
    <w:rsid w:val="005C2417"/>
    <w:rsid w:val="005C7ADE"/>
    <w:rsid w:val="005D336A"/>
    <w:rsid w:val="005D7BB3"/>
    <w:rsid w:val="005E31E3"/>
    <w:rsid w:val="005E51DC"/>
    <w:rsid w:val="00600866"/>
    <w:rsid w:val="00601168"/>
    <w:rsid w:val="0060305C"/>
    <w:rsid w:val="006130D0"/>
    <w:rsid w:val="00621E15"/>
    <w:rsid w:val="00621F74"/>
    <w:rsid w:val="0062761C"/>
    <w:rsid w:val="00637FBF"/>
    <w:rsid w:val="006417F5"/>
    <w:rsid w:val="00661967"/>
    <w:rsid w:val="006757DD"/>
    <w:rsid w:val="006933FE"/>
    <w:rsid w:val="006A531D"/>
    <w:rsid w:val="006B6E13"/>
    <w:rsid w:val="006B7F13"/>
    <w:rsid w:val="006C55BF"/>
    <w:rsid w:val="006D1DD2"/>
    <w:rsid w:val="006D3679"/>
    <w:rsid w:val="006E60B9"/>
    <w:rsid w:val="006F1DFD"/>
    <w:rsid w:val="006F1FC4"/>
    <w:rsid w:val="006F5119"/>
    <w:rsid w:val="007032C7"/>
    <w:rsid w:val="00712B53"/>
    <w:rsid w:val="00715537"/>
    <w:rsid w:val="007234D8"/>
    <w:rsid w:val="00725443"/>
    <w:rsid w:val="007300CD"/>
    <w:rsid w:val="00731A48"/>
    <w:rsid w:val="00733E93"/>
    <w:rsid w:val="00733EEA"/>
    <w:rsid w:val="007378D0"/>
    <w:rsid w:val="007447DD"/>
    <w:rsid w:val="00745327"/>
    <w:rsid w:val="007543B7"/>
    <w:rsid w:val="007638E6"/>
    <w:rsid w:val="00765A81"/>
    <w:rsid w:val="00770CC3"/>
    <w:rsid w:val="00772BFE"/>
    <w:rsid w:val="007746AA"/>
    <w:rsid w:val="00777A5C"/>
    <w:rsid w:val="007A2F33"/>
    <w:rsid w:val="007B29B0"/>
    <w:rsid w:val="007B540D"/>
    <w:rsid w:val="007E122D"/>
    <w:rsid w:val="007F31D3"/>
    <w:rsid w:val="007F32FE"/>
    <w:rsid w:val="007F5EDD"/>
    <w:rsid w:val="007F7194"/>
    <w:rsid w:val="00801F39"/>
    <w:rsid w:val="0081226D"/>
    <w:rsid w:val="00822F37"/>
    <w:rsid w:val="00830D46"/>
    <w:rsid w:val="008319CF"/>
    <w:rsid w:val="00832177"/>
    <w:rsid w:val="00840248"/>
    <w:rsid w:val="008427DA"/>
    <w:rsid w:val="00846367"/>
    <w:rsid w:val="00851418"/>
    <w:rsid w:val="008518F6"/>
    <w:rsid w:val="00854725"/>
    <w:rsid w:val="00861680"/>
    <w:rsid w:val="00890154"/>
    <w:rsid w:val="008920C9"/>
    <w:rsid w:val="00892597"/>
    <w:rsid w:val="008C404E"/>
    <w:rsid w:val="008D0C95"/>
    <w:rsid w:val="008E380A"/>
    <w:rsid w:val="008F553A"/>
    <w:rsid w:val="009000BB"/>
    <w:rsid w:val="009152C8"/>
    <w:rsid w:val="00930875"/>
    <w:rsid w:val="00935E43"/>
    <w:rsid w:val="009366F5"/>
    <w:rsid w:val="0094486B"/>
    <w:rsid w:val="00960320"/>
    <w:rsid w:val="00960388"/>
    <w:rsid w:val="0098215D"/>
    <w:rsid w:val="009839BE"/>
    <w:rsid w:val="00984ADF"/>
    <w:rsid w:val="00990989"/>
    <w:rsid w:val="00992209"/>
    <w:rsid w:val="00996DF5"/>
    <w:rsid w:val="009B589E"/>
    <w:rsid w:val="009D157B"/>
    <w:rsid w:val="009D41D0"/>
    <w:rsid w:val="009D6729"/>
    <w:rsid w:val="009E11DC"/>
    <w:rsid w:val="009E38E5"/>
    <w:rsid w:val="009E395A"/>
    <w:rsid w:val="009E5BB1"/>
    <w:rsid w:val="009E6B86"/>
    <w:rsid w:val="009F0268"/>
    <w:rsid w:val="00A011A7"/>
    <w:rsid w:val="00A060D9"/>
    <w:rsid w:val="00A06D97"/>
    <w:rsid w:val="00A15641"/>
    <w:rsid w:val="00A31202"/>
    <w:rsid w:val="00A34159"/>
    <w:rsid w:val="00A344C8"/>
    <w:rsid w:val="00A370FD"/>
    <w:rsid w:val="00A572B8"/>
    <w:rsid w:val="00A64D92"/>
    <w:rsid w:val="00A715EF"/>
    <w:rsid w:val="00A80F7F"/>
    <w:rsid w:val="00A82E64"/>
    <w:rsid w:val="00AA5135"/>
    <w:rsid w:val="00AB027E"/>
    <w:rsid w:val="00AB6EFB"/>
    <w:rsid w:val="00AF3568"/>
    <w:rsid w:val="00AF518B"/>
    <w:rsid w:val="00AF7392"/>
    <w:rsid w:val="00B27324"/>
    <w:rsid w:val="00B37674"/>
    <w:rsid w:val="00B705C9"/>
    <w:rsid w:val="00B708B5"/>
    <w:rsid w:val="00B762B3"/>
    <w:rsid w:val="00B9067B"/>
    <w:rsid w:val="00B9592B"/>
    <w:rsid w:val="00BB6E55"/>
    <w:rsid w:val="00BB745F"/>
    <w:rsid w:val="00BC2B5A"/>
    <w:rsid w:val="00BD0CD2"/>
    <w:rsid w:val="00BE2E5B"/>
    <w:rsid w:val="00C05B2D"/>
    <w:rsid w:val="00C06B3A"/>
    <w:rsid w:val="00C077BB"/>
    <w:rsid w:val="00C1071B"/>
    <w:rsid w:val="00C23CB7"/>
    <w:rsid w:val="00C35FCE"/>
    <w:rsid w:val="00C464D8"/>
    <w:rsid w:val="00C51955"/>
    <w:rsid w:val="00C54151"/>
    <w:rsid w:val="00C6126F"/>
    <w:rsid w:val="00C641D4"/>
    <w:rsid w:val="00C65442"/>
    <w:rsid w:val="00C67384"/>
    <w:rsid w:val="00C70292"/>
    <w:rsid w:val="00C92316"/>
    <w:rsid w:val="00CA139F"/>
    <w:rsid w:val="00CA4C9A"/>
    <w:rsid w:val="00CB3974"/>
    <w:rsid w:val="00CB5D79"/>
    <w:rsid w:val="00CB687E"/>
    <w:rsid w:val="00CB7CCC"/>
    <w:rsid w:val="00CD044D"/>
    <w:rsid w:val="00CE3FCC"/>
    <w:rsid w:val="00D108F5"/>
    <w:rsid w:val="00D167A2"/>
    <w:rsid w:val="00D27D2F"/>
    <w:rsid w:val="00D30801"/>
    <w:rsid w:val="00D3086A"/>
    <w:rsid w:val="00D30E20"/>
    <w:rsid w:val="00D311E1"/>
    <w:rsid w:val="00D60444"/>
    <w:rsid w:val="00D609F0"/>
    <w:rsid w:val="00D60B74"/>
    <w:rsid w:val="00D63E1E"/>
    <w:rsid w:val="00D752C3"/>
    <w:rsid w:val="00D802A9"/>
    <w:rsid w:val="00D80699"/>
    <w:rsid w:val="00D85DD9"/>
    <w:rsid w:val="00D90565"/>
    <w:rsid w:val="00D956B6"/>
    <w:rsid w:val="00DB1B08"/>
    <w:rsid w:val="00DB1FB9"/>
    <w:rsid w:val="00DD4096"/>
    <w:rsid w:val="00DE410E"/>
    <w:rsid w:val="00E344A3"/>
    <w:rsid w:val="00E46C2F"/>
    <w:rsid w:val="00E766B4"/>
    <w:rsid w:val="00E80482"/>
    <w:rsid w:val="00E94AD4"/>
    <w:rsid w:val="00EA09DA"/>
    <w:rsid w:val="00EA0BC4"/>
    <w:rsid w:val="00EA6545"/>
    <w:rsid w:val="00EB0C48"/>
    <w:rsid w:val="00EB59E1"/>
    <w:rsid w:val="00EB7555"/>
    <w:rsid w:val="00EC55D7"/>
    <w:rsid w:val="00EE6E27"/>
    <w:rsid w:val="00EF5DC9"/>
    <w:rsid w:val="00F020D7"/>
    <w:rsid w:val="00F06AEF"/>
    <w:rsid w:val="00F30222"/>
    <w:rsid w:val="00F36DE8"/>
    <w:rsid w:val="00F378DD"/>
    <w:rsid w:val="00F43AD9"/>
    <w:rsid w:val="00F54BE0"/>
    <w:rsid w:val="00F577F1"/>
    <w:rsid w:val="00F747AB"/>
    <w:rsid w:val="00F80355"/>
    <w:rsid w:val="00F87490"/>
    <w:rsid w:val="00F879B3"/>
    <w:rsid w:val="00FA5045"/>
    <w:rsid w:val="00FB029E"/>
    <w:rsid w:val="00FD5A42"/>
    <w:rsid w:val="00FD7395"/>
    <w:rsid w:val="00FD7876"/>
    <w:rsid w:val="00FF4F2D"/>
    <w:rsid w:val="00FF70E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3E3C3"/>
  <w15:chartTrackingRefBased/>
  <w15:docId w15:val="{473AF937-7BC1-4E80-BC91-AC2CAB04B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C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D0C95"/>
    <w:pPr>
      <w:spacing w:after="0" w:line="240" w:lineRule="auto"/>
    </w:pPr>
  </w:style>
  <w:style w:type="character" w:styleId="Hyperlink">
    <w:name w:val="Hyperlink"/>
    <w:basedOn w:val="DefaultParagraphFont"/>
    <w:uiPriority w:val="99"/>
    <w:unhideWhenUsed/>
    <w:rsid w:val="008D0C95"/>
    <w:rPr>
      <w:color w:val="0563C1" w:themeColor="hyperlink"/>
      <w:u w:val="single"/>
    </w:rPr>
  </w:style>
  <w:style w:type="paragraph" w:styleId="BalloonText">
    <w:name w:val="Balloon Text"/>
    <w:basedOn w:val="Normal"/>
    <w:link w:val="BalloonTextChar"/>
    <w:uiPriority w:val="99"/>
    <w:semiHidden/>
    <w:unhideWhenUsed/>
    <w:rsid w:val="007447D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447DD"/>
    <w:rPr>
      <w:rFonts w:ascii="Times New Roman" w:hAnsi="Times New Roman" w:cs="Times New Roman"/>
      <w:sz w:val="18"/>
      <w:szCs w:val="18"/>
    </w:rPr>
  </w:style>
  <w:style w:type="paragraph" w:styleId="Revision">
    <w:name w:val="Revision"/>
    <w:hidden/>
    <w:uiPriority w:val="99"/>
    <w:semiHidden/>
    <w:rsid w:val="005C2417"/>
    <w:pPr>
      <w:spacing w:after="0" w:line="240" w:lineRule="auto"/>
    </w:pPr>
  </w:style>
  <w:style w:type="character" w:styleId="CommentReference">
    <w:name w:val="annotation reference"/>
    <w:basedOn w:val="DefaultParagraphFont"/>
    <w:uiPriority w:val="99"/>
    <w:semiHidden/>
    <w:unhideWhenUsed/>
    <w:rsid w:val="005C2417"/>
    <w:rPr>
      <w:sz w:val="16"/>
      <w:szCs w:val="16"/>
    </w:rPr>
  </w:style>
  <w:style w:type="paragraph" w:styleId="CommentText">
    <w:name w:val="annotation text"/>
    <w:basedOn w:val="Normal"/>
    <w:link w:val="CommentTextChar"/>
    <w:uiPriority w:val="99"/>
    <w:unhideWhenUsed/>
    <w:rsid w:val="005C2417"/>
    <w:pPr>
      <w:spacing w:line="240" w:lineRule="auto"/>
    </w:pPr>
    <w:rPr>
      <w:sz w:val="20"/>
      <w:szCs w:val="20"/>
    </w:rPr>
  </w:style>
  <w:style w:type="character" w:customStyle="1" w:styleId="CommentTextChar">
    <w:name w:val="Comment Text Char"/>
    <w:basedOn w:val="DefaultParagraphFont"/>
    <w:link w:val="CommentText"/>
    <w:uiPriority w:val="99"/>
    <w:rsid w:val="005C2417"/>
    <w:rPr>
      <w:sz w:val="20"/>
      <w:szCs w:val="20"/>
    </w:rPr>
  </w:style>
  <w:style w:type="paragraph" w:styleId="CommentSubject">
    <w:name w:val="annotation subject"/>
    <w:basedOn w:val="CommentText"/>
    <w:next w:val="CommentText"/>
    <w:link w:val="CommentSubjectChar"/>
    <w:uiPriority w:val="99"/>
    <w:semiHidden/>
    <w:unhideWhenUsed/>
    <w:rsid w:val="005C2417"/>
    <w:rPr>
      <w:b/>
      <w:bCs/>
    </w:rPr>
  </w:style>
  <w:style w:type="character" w:customStyle="1" w:styleId="CommentSubjectChar">
    <w:name w:val="Comment Subject Char"/>
    <w:basedOn w:val="CommentTextChar"/>
    <w:link w:val="CommentSubject"/>
    <w:uiPriority w:val="99"/>
    <w:semiHidden/>
    <w:rsid w:val="005C2417"/>
    <w:rPr>
      <w:b/>
      <w:bCs/>
      <w:sz w:val="20"/>
      <w:szCs w:val="20"/>
    </w:rPr>
  </w:style>
  <w:style w:type="paragraph" w:styleId="ListParagraph">
    <w:name w:val="List Paragraph"/>
    <w:basedOn w:val="Normal"/>
    <w:uiPriority w:val="34"/>
    <w:qFormat/>
    <w:rsid w:val="002519B0"/>
    <w:pPr>
      <w:ind w:left="720"/>
      <w:contextualSpacing/>
    </w:pPr>
  </w:style>
  <w:style w:type="paragraph" w:styleId="Header">
    <w:name w:val="header"/>
    <w:basedOn w:val="Normal"/>
    <w:link w:val="HeaderChar"/>
    <w:uiPriority w:val="99"/>
    <w:unhideWhenUsed/>
    <w:rsid w:val="00D16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67A2"/>
  </w:style>
  <w:style w:type="paragraph" w:styleId="Footer">
    <w:name w:val="footer"/>
    <w:basedOn w:val="Normal"/>
    <w:link w:val="FooterChar"/>
    <w:uiPriority w:val="99"/>
    <w:unhideWhenUsed/>
    <w:rsid w:val="00D16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7A2"/>
  </w:style>
  <w:style w:type="table" w:styleId="TableGrid">
    <w:name w:val="Table Grid"/>
    <w:basedOn w:val="TableNormal"/>
    <w:uiPriority w:val="39"/>
    <w:rsid w:val="00D167A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792631">
      <w:bodyDiv w:val="1"/>
      <w:marLeft w:val="0"/>
      <w:marRight w:val="0"/>
      <w:marTop w:val="0"/>
      <w:marBottom w:val="0"/>
      <w:divBdr>
        <w:top w:val="none" w:sz="0" w:space="0" w:color="auto"/>
        <w:left w:val="none" w:sz="0" w:space="0" w:color="auto"/>
        <w:bottom w:val="none" w:sz="0" w:space="0" w:color="auto"/>
        <w:right w:val="none" w:sz="0" w:space="0" w:color="auto"/>
      </w:divBdr>
    </w:div>
    <w:div w:id="1000691488">
      <w:bodyDiv w:val="1"/>
      <w:marLeft w:val="0"/>
      <w:marRight w:val="0"/>
      <w:marTop w:val="0"/>
      <w:marBottom w:val="0"/>
      <w:divBdr>
        <w:top w:val="none" w:sz="0" w:space="0" w:color="auto"/>
        <w:left w:val="none" w:sz="0" w:space="0" w:color="auto"/>
        <w:bottom w:val="none" w:sz="0" w:space="0" w:color="auto"/>
        <w:right w:val="none" w:sz="0" w:space="0" w:color="auto"/>
      </w:divBdr>
    </w:div>
    <w:div w:id="1013335517">
      <w:bodyDiv w:val="1"/>
      <w:marLeft w:val="0"/>
      <w:marRight w:val="0"/>
      <w:marTop w:val="0"/>
      <w:marBottom w:val="0"/>
      <w:divBdr>
        <w:top w:val="none" w:sz="0" w:space="0" w:color="auto"/>
        <w:left w:val="none" w:sz="0" w:space="0" w:color="auto"/>
        <w:bottom w:val="none" w:sz="0" w:space="0" w:color="auto"/>
        <w:right w:val="none" w:sz="0" w:space="0" w:color="auto"/>
      </w:divBdr>
    </w:div>
    <w:div w:id="1476531289">
      <w:bodyDiv w:val="1"/>
      <w:marLeft w:val="0"/>
      <w:marRight w:val="0"/>
      <w:marTop w:val="0"/>
      <w:marBottom w:val="0"/>
      <w:divBdr>
        <w:top w:val="none" w:sz="0" w:space="0" w:color="auto"/>
        <w:left w:val="none" w:sz="0" w:space="0" w:color="auto"/>
        <w:bottom w:val="none" w:sz="0" w:space="0" w:color="auto"/>
        <w:right w:val="none" w:sz="0" w:space="0" w:color="auto"/>
      </w:divBdr>
    </w:div>
    <w:div w:id="1639409555">
      <w:bodyDiv w:val="1"/>
      <w:marLeft w:val="0"/>
      <w:marRight w:val="0"/>
      <w:marTop w:val="0"/>
      <w:marBottom w:val="0"/>
      <w:divBdr>
        <w:top w:val="none" w:sz="0" w:space="0" w:color="auto"/>
        <w:left w:val="none" w:sz="0" w:space="0" w:color="auto"/>
        <w:bottom w:val="none" w:sz="0" w:space="0" w:color="auto"/>
        <w:right w:val="none" w:sz="0" w:space="0" w:color="auto"/>
      </w:divBdr>
    </w:div>
    <w:div w:id="1639724381">
      <w:bodyDiv w:val="1"/>
      <w:marLeft w:val="0"/>
      <w:marRight w:val="0"/>
      <w:marTop w:val="0"/>
      <w:marBottom w:val="0"/>
      <w:divBdr>
        <w:top w:val="none" w:sz="0" w:space="0" w:color="auto"/>
        <w:left w:val="none" w:sz="0" w:space="0" w:color="auto"/>
        <w:bottom w:val="none" w:sz="0" w:space="0" w:color="auto"/>
        <w:right w:val="none" w:sz="0" w:space="0" w:color="auto"/>
      </w:divBdr>
    </w:div>
    <w:div w:id="1714571201">
      <w:bodyDiv w:val="1"/>
      <w:marLeft w:val="0"/>
      <w:marRight w:val="0"/>
      <w:marTop w:val="0"/>
      <w:marBottom w:val="0"/>
      <w:divBdr>
        <w:top w:val="none" w:sz="0" w:space="0" w:color="auto"/>
        <w:left w:val="none" w:sz="0" w:space="0" w:color="auto"/>
        <w:bottom w:val="none" w:sz="0" w:space="0" w:color="auto"/>
        <w:right w:val="none" w:sz="0" w:space="0" w:color="auto"/>
      </w:divBdr>
    </w:div>
    <w:div w:id="1841772959">
      <w:bodyDiv w:val="1"/>
      <w:marLeft w:val="0"/>
      <w:marRight w:val="0"/>
      <w:marTop w:val="0"/>
      <w:marBottom w:val="0"/>
      <w:divBdr>
        <w:top w:val="none" w:sz="0" w:space="0" w:color="auto"/>
        <w:left w:val="none" w:sz="0" w:space="0" w:color="auto"/>
        <w:bottom w:val="none" w:sz="0" w:space="0" w:color="auto"/>
        <w:right w:val="none" w:sz="0" w:space="0" w:color="auto"/>
      </w:divBdr>
    </w:div>
    <w:div w:id="1959677632">
      <w:bodyDiv w:val="1"/>
      <w:marLeft w:val="0"/>
      <w:marRight w:val="0"/>
      <w:marTop w:val="0"/>
      <w:marBottom w:val="0"/>
      <w:divBdr>
        <w:top w:val="none" w:sz="0" w:space="0" w:color="auto"/>
        <w:left w:val="none" w:sz="0" w:space="0" w:color="auto"/>
        <w:bottom w:val="none" w:sz="0" w:space="0" w:color="auto"/>
        <w:right w:val="none" w:sz="0" w:space="0" w:color="auto"/>
      </w:divBdr>
    </w:div>
    <w:div w:id="201969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mrib.ox.ac.uk/fsl"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1039E-7C48-4E1F-ACF0-6C311BCF4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24</Pages>
  <Words>13354</Words>
  <Characters>76118</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Omer</dc:creator>
  <cp:keywords/>
  <dc:description/>
  <cp:lastModifiedBy>Omer</cp:lastModifiedBy>
  <cp:revision>59</cp:revision>
  <dcterms:created xsi:type="dcterms:W3CDTF">2023-10-31T10:25:00Z</dcterms:created>
  <dcterms:modified xsi:type="dcterms:W3CDTF">2024-03-04T22:12:00Z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http://www.zotero.org/styles/biological-psychiatry</vt:lpwstr>
  </property>
  <property fmtid="{D5CDD505-2E9C-101B-9397-08002B2CF9AE}" pid="7" name="Mendeley Recent Style Name 2_1">
    <vt:lpwstr>Biological Psychiatry</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http://www.zotero.org/styles/molecular-psychiatry</vt:lpwstr>
  </property>
  <property fmtid="{D5CDD505-2E9C-101B-9397-08002B2CF9AE}" pid="19" name="Mendeley Recent Style Name 8_1">
    <vt:lpwstr>Molecular Psychiatry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e80ecad5-3263-3ff6-a459-814c9a9d4db8</vt:lpwstr>
  </property>
</Properties>
</file>