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50F4" w14:textId="7DF242CF" w:rsidR="00F5610C" w:rsidRPr="001C35E2" w:rsidRDefault="00F5610C" w:rsidP="00F5610C">
      <w:pPr>
        <w:rPr>
          <w:rFonts w:ascii="Cambria" w:hAnsi="Cambria"/>
          <w:b/>
          <w:bCs/>
          <w:sz w:val="28"/>
          <w:szCs w:val="28"/>
        </w:rPr>
      </w:pPr>
      <w:r w:rsidRPr="001C35E2">
        <w:rPr>
          <w:rFonts w:ascii="Cambria" w:hAnsi="Cambria"/>
          <w:b/>
          <w:bCs/>
          <w:sz w:val="28"/>
          <w:szCs w:val="28"/>
        </w:rPr>
        <w:t>Supplementary Note</w:t>
      </w:r>
    </w:p>
    <w:p w14:paraId="2BA15072" w14:textId="77777777" w:rsidR="00F5610C" w:rsidRPr="001C35E2" w:rsidRDefault="00F5610C" w:rsidP="00F5610C">
      <w:pPr>
        <w:rPr>
          <w:rFonts w:ascii="Cambria" w:hAnsi="Cambria"/>
          <w:b/>
          <w:bCs/>
          <w:sz w:val="28"/>
          <w:szCs w:val="2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139"/>
      </w:tblGrid>
      <w:tr w:rsidR="00F5610C" w:rsidRPr="001C35E2" w14:paraId="5529F640" w14:textId="77777777" w:rsidTr="00801F01">
        <w:tc>
          <w:tcPr>
            <w:tcW w:w="8075" w:type="dxa"/>
          </w:tcPr>
          <w:p w14:paraId="6697FAE8" w14:textId="6AC0D35B" w:rsidR="00D5081F" w:rsidRPr="001C35E2" w:rsidRDefault="00AC3264" w:rsidP="00491261">
            <w:pPr>
              <w:rPr>
                <w:rFonts w:ascii="Cambria" w:hAnsi="Cambria"/>
                <w:u w:val="single"/>
              </w:rPr>
            </w:pPr>
            <w:r w:rsidRPr="001C35E2">
              <w:rPr>
                <w:rFonts w:ascii="Cambria" w:hAnsi="Cambria"/>
                <w:u w:val="single"/>
              </w:rPr>
              <w:t>Contents</w:t>
            </w:r>
          </w:p>
        </w:tc>
        <w:tc>
          <w:tcPr>
            <w:tcW w:w="1139" w:type="dxa"/>
          </w:tcPr>
          <w:p w14:paraId="6F8179C9" w14:textId="77777777" w:rsidR="00F5610C" w:rsidRPr="001C35E2" w:rsidRDefault="00F5610C" w:rsidP="00491261">
            <w:pPr>
              <w:rPr>
                <w:rFonts w:ascii="Cambria" w:hAnsi="Cambria"/>
                <w:b/>
                <w:bCs/>
              </w:rPr>
            </w:pPr>
          </w:p>
        </w:tc>
      </w:tr>
      <w:tr w:rsidR="00F5610C" w:rsidRPr="001C35E2" w14:paraId="12F456F0" w14:textId="77777777" w:rsidTr="00801F01">
        <w:tc>
          <w:tcPr>
            <w:tcW w:w="8075" w:type="dxa"/>
          </w:tcPr>
          <w:p w14:paraId="124D7428" w14:textId="5E85D224" w:rsidR="00F5610C" w:rsidRPr="001C35E2" w:rsidRDefault="00F5610C" w:rsidP="00491261">
            <w:pPr>
              <w:rPr>
                <w:rFonts w:ascii="Cambria" w:hAnsi="Cambria"/>
              </w:rPr>
            </w:pPr>
            <w:r w:rsidRPr="001C35E2">
              <w:rPr>
                <w:rFonts w:ascii="Cambria" w:hAnsi="Cambria"/>
              </w:rPr>
              <w:t xml:space="preserve">Note </w:t>
            </w:r>
            <w:r w:rsidR="00AE317A" w:rsidRPr="001C35E2">
              <w:rPr>
                <w:rFonts w:ascii="Cambria" w:hAnsi="Cambria"/>
              </w:rPr>
              <w:t>1</w:t>
            </w:r>
            <w:r w:rsidRPr="001C35E2">
              <w:rPr>
                <w:rFonts w:ascii="Cambria" w:hAnsi="Cambria"/>
              </w:rPr>
              <w:t>. Sensitivity analysis using Revez et al (2020) GWAS of Vitamin D</w:t>
            </w:r>
          </w:p>
          <w:p w14:paraId="396D8CD7" w14:textId="78CAACA0" w:rsidR="00D5081F" w:rsidRPr="001C35E2" w:rsidRDefault="00D5081F" w:rsidP="00491261">
            <w:pPr>
              <w:rPr>
                <w:rFonts w:ascii="Cambria" w:hAnsi="Cambria"/>
              </w:rPr>
            </w:pPr>
          </w:p>
        </w:tc>
        <w:tc>
          <w:tcPr>
            <w:tcW w:w="1139" w:type="dxa"/>
          </w:tcPr>
          <w:p w14:paraId="3AC0D691" w14:textId="256AC75E" w:rsidR="00F5610C" w:rsidRPr="001C35E2" w:rsidRDefault="00F5610C" w:rsidP="00491261">
            <w:pPr>
              <w:rPr>
                <w:rFonts w:ascii="Cambria" w:hAnsi="Cambria"/>
              </w:rPr>
            </w:pPr>
            <w:r w:rsidRPr="001C35E2">
              <w:rPr>
                <w:rFonts w:ascii="Cambria" w:hAnsi="Cambria"/>
              </w:rPr>
              <w:t>Page</w:t>
            </w:r>
            <w:r w:rsidR="00D5081F" w:rsidRPr="001C35E2">
              <w:rPr>
                <w:rFonts w:ascii="Cambria" w:hAnsi="Cambria"/>
              </w:rPr>
              <w:t xml:space="preserve"> </w:t>
            </w:r>
            <w:r w:rsidR="00AE317A" w:rsidRPr="001C35E2">
              <w:rPr>
                <w:rFonts w:ascii="Cambria" w:hAnsi="Cambria"/>
              </w:rPr>
              <w:t>2</w:t>
            </w:r>
          </w:p>
        </w:tc>
      </w:tr>
      <w:tr w:rsidR="00F5610C" w:rsidRPr="001C35E2" w14:paraId="0ACC7425" w14:textId="77777777" w:rsidTr="00801F01">
        <w:tc>
          <w:tcPr>
            <w:tcW w:w="8075" w:type="dxa"/>
          </w:tcPr>
          <w:p w14:paraId="42B7FBFF" w14:textId="03414C47" w:rsidR="00D5081F" w:rsidRPr="001C35E2" w:rsidRDefault="00F5610C" w:rsidP="00491261">
            <w:pPr>
              <w:rPr>
                <w:rFonts w:ascii="Cambria" w:hAnsi="Cambria"/>
              </w:rPr>
            </w:pPr>
            <w:r w:rsidRPr="001C35E2">
              <w:rPr>
                <w:rFonts w:ascii="Cambria" w:hAnsi="Cambria"/>
              </w:rPr>
              <w:t xml:space="preserve">Note </w:t>
            </w:r>
            <w:r w:rsidR="00AE317A" w:rsidRPr="001C35E2">
              <w:rPr>
                <w:rFonts w:ascii="Cambria" w:hAnsi="Cambria"/>
              </w:rPr>
              <w:t>2</w:t>
            </w:r>
            <w:r w:rsidRPr="001C35E2">
              <w:rPr>
                <w:rFonts w:ascii="Cambria" w:hAnsi="Cambria"/>
              </w:rPr>
              <w:t>. Validation of genetic instrument</w:t>
            </w:r>
            <w:r w:rsidR="00DC7678" w:rsidRPr="001C35E2">
              <w:rPr>
                <w:rFonts w:ascii="Cambria" w:hAnsi="Cambria"/>
              </w:rPr>
              <w:t>s</w:t>
            </w:r>
            <w:r w:rsidRPr="001C35E2">
              <w:rPr>
                <w:rFonts w:ascii="Cambria" w:hAnsi="Cambria"/>
              </w:rPr>
              <w:t xml:space="preserve"> for use during pregnancy in the ALSPAC cohort</w:t>
            </w:r>
          </w:p>
        </w:tc>
        <w:tc>
          <w:tcPr>
            <w:tcW w:w="1139" w:type="dxa"/>
          </w:tcPr>
          <w:p w14:paraId="274B3211" w14:textId="1F5F8E4E" w:rsidR="00F5610C" w:rsidRPr="001C35E2" w:rsidRDefault="00F5610C" w:rsidP="00491261">
            <w:pPr>
              <w:rPr>
                <w:rFonts w:ascii="Cambria" w:hAnsi="Cambria"/>
              </w:rPr>
            </w:pPr>
            <w:r w:rsidRPr="001C35E2">
              <w:rPr>
                <w:rFonts w:ascii="Cambria" w:hAnsi="Cambria"/>
              </w:rPr>
              <w:t xml:space="preserve">Page </w:t>
            </w:r>
            <w:r w:rsidR="00AE317A" w:rsidRPr="001C35E2">
              <w:rPr>
                <w:rFonts w:ascii="Cambria" w:hAnsi="Cambria"/>
              </w:rPr>
              <w:t>3</w:t>
            </w:r>
          </w:p>
        </w:tc>
      </w:tr>
      <w:tr w:rsidR="00F5610C" w:rsidRPr="001C35E2" w14:paraId="7516A03F" w14:textId="77777777" w:rsidTr="00801F01">
        <w:tc>
          <w:tcPr>
            <w:tcW w:w="8075" w:type="dxa"/>
          </w:tcPr>
          <w:p w14:paraId="60906B3C" w14:textId="753C74ED" w:rsidR="00F5610C" w:rsidRPr="001C35E2" w:rsidRDefault="00F5610C" w:rsidP="00491261">
            <w:pPr>
              <w:rPr>
                <w:rFonts w:ascii="Cambria" w:hAnsi="Cambria"/>
              </w:rPr>
            </w:pPr>
          </w:p>
        </w:tc>
        <w:tc>
          <w:tcPr>
            <w:tcW w:w="1139" w:type="dxa"/>
          </w:tcPr>
          <w:p w14:paraId="1F6EB4B1" w14:textId="1A5A5146" w:rsidR="00BB092C" w:rsidRPr="001C35E2" w:rsidRDefault="00BB092C" w:rsidP="00491261">
            <w:pPr>
              <w:rPr>
                <w:rFonts w:ascii="Cambria" w:hAnsi="Cambria"/>
              </w:rPr>
            </w:pPr>
          </w:p>
        </w:tc>
      </w:tr>
      <w:tr w:rsidR="00BB092C" w:rsidRPr="001C35E2" w14:paraId="4D51586E" w14:textId="77777777" w:rsidTr="00801F01">
        <w:tc>
          <w:tcPr>
            <w:tcW w:w="8075" w:type="dxa"/>
          </w:tcPr>
          <w:p w14:paraId="7FDB3EB1" w14:textId="78F181C2" w:rsidR="00F10D34" w:rsidRPr="001C35E2" w:rsidRDefault="00F10D34" w:rsidP="00491261">
            <w:pPr>
              <w:rPr>
                <w:rFonts w:ascii="Cambria" w:hAnsi="Cambria"/>
              </w:rPr>
            </w:pPr>
            <w:r w:rsidRPr="001C35E2">
              <w:rPr>
                <w:rFonts w:ascii="Cambria" w:hAnsi="Cambria"/>
              </w:rPr>
              <w:t xml:space="preserve">Note </w:t>
            </w:r>
            <w:r w:rsidR="00F2666A" w:rsidRPr="001C35E2">
              <w:rPr>
                <w:rFonts w:ascii="Cambria" w:hAnsi="Cambria"/>
              </w:rPr>
              <w:t>3</w:t>
            </w:r>
            <w:r w:rsidRPr="001C35E2">
              <w:rPr>
                <w:rFonts w:ascii="Cambria" w:hAnsi="Cambria"/>
              </w:rPr>
              <w:t>. Outcome measures of neurodevelopmental traits in the MoBa cohort</w:t>
            </w:r>
          </w:p>
          <w:p w14:paraId="1190E2B3" w14:textId="77777777" w:rsidR="00333B22" w:rsidRPr="001C35E2" w:rsidRDefault="00333B22" w:rsidP="00491261">
            <w:pPr>
              <w:rPr>
                <w:rFonts w:ascii="Cambria" w:hAnsi="Cambria"/>
              </w:rPr>
            </w:pPr>
          </w:p>
          <w:p w14:paraId="59C4F47D" w14:textId="67DC7E29" w:rsidR="00333B22" w:rsidRPr="001C35E2" w:rsidRDefault="00333B22" w:rsidP="00333B22">
            <w:pPr>
              <w:pStyle w:val="NormalWeb"/>
              <w:shd w:val="clear" w:color="auto" w:fill="FFFFFF"/>
              <w:spacing w:after="0"/>
              <w:rPr>
                <w:rFonts w:ascii="Cambria" w:hAnsi="Cambria" w:cs="Calibri"/>
                <w:color w:val="000000" w:themeColor="text1"/>
                <w:lang w:val="en-GB"/>
              </w:rPr>
            </w:pPr>
            <w:r w:rsidRPr="001C35E2">
              <w:rPr>
                <w:rFonts w:ascii="Cambria" w:hAnsi="Cambria" w:cs="Calibri"/>
                <w:color w:val="000000" w:themeColor="text1"/>
                <w:lang w:val="en-GB"/>
              </w:rPr>
              <w:t>Note 4.  Sensitivity analysis using canonical SNPs for Vitamin-D and DHA</w:t>
            </w:r>
          </w:p>
          <w:p w14:paraId="106CB136" w14:textId="77777777" w:rsidR="00333B22" w:rsidRPr="001C35E2" w:rsidRDefault="00333B22" w:rsidP="00491261">
            <w:pPr>
              <w:rPr>
                <w:rFonts w:ascii="Cambria" w:hAnsi="Cambria"/>
              </w:rPr>
            </w:pPr>
          </w:p>
          <w:p w14:paraId="25B19EA7" w14:textId="77777777" w:rsidR="00F72C75" w:rsidRPr="001C35E2" w:rsidRDefault="00F72C75" w:rsidP="00491261">
            <w:pPr>
              <w:rPr>
                <w:rFonts w:ascii="Cambria" w:hAnsi="Cambria"/>
              </w:rPr>
            </w:pPr>
            <w:r w:rsidRPr="001C35E2">
              <w:rPr>
                <w:rFonts w:ascii="Cambria" w:hAnsi="Cambria"/>
              </w:rPr>
              <w:t>Note 5. MR Sensitivity analyses and testing the assumption of no horizontal pleiotropy</w:t>
            </w:r>
          </w:p>
          <w:p w14:paraId="3138522E" w14:textId="77777777" w:rsidR="00F72C75" w:rsidRPr="001C35E2" w:rsidRDefault="00F72C75" w:rsidP="00491261">
            <w:pPr>
              <w:rPr>
                <w:rFonts w:ascii="Cambria" w:hAnsi="Cambria"/>
              </w:rPr>
            </w:pPr>
          </w:p>
          <w:p w14:paraId="58D09C9B" w14:textId="2A203906" w:rsidR="00F10D34" w:rsidRPr="001C35E2" w:rsidRDefault="00333B22" w:rsidP="00491261">
            <w:pPr>
              <w:rPr>
                <w:rFonts w:ascii="Cambria" w:hAnsi="Cambria"/>
              </w:rPr>
            </w:pPr>
            <w:r w:rsidRPr="001C35E2">
              <w:rPr>
                <w:rFonts w:ascii="Cambria" w:hAnsi="Cambria"/>
              </w:rPr>
              <w:t xml:space="preserve">Note </w:t>
            </w:r>
            <w:r w:rsidR="00F72C75" w:rsidRPr="001C35E2">
              <w:rPr>
                <w:rFonts w:ascii="Cambria" w:hAnsi="Cambria"/>
              </w:rPr>
              <w:t>6</w:t>
            </w:r>
            <w:r w:rsidRPr="001C35E2">
              <w:rPr>
                <w:rFonts w:ascii="Cambria" w:hAnsi="Cambria"/>
              </w:rPr>
              <w:t>. Power Calculation for Mendelian randomisation analyses</w:t>
            </w:r>
          </w:p>
          <w:p w14:paraId="3314C154" w14:textId="77777777" w:rsidR="00DB13D0" w:rsidRPr="001C35E2" w:rsidRDefault="00DB13D0" w:rsidP="00491261">
            <w:pPr>
              <w:rPr>
                <w:rFonts w:ascii="Cambria" w:hAnsi="Cambria"/>
              </w:rPr>
            </w:pPr>
          </w:p>
          <w:p w14:paraId="232A7815" w14:textId="19011007" w:rsidR="00BB092C" w:rsidRPr="001C35E2" w:rsidRDefault="00BB092C" w:rsidP="00491261">
            <w:pPr>
              <w:rPr>
                <w:rFonts w:ascii="Cambria" w:hAnsi="Cambria"/>
              </w:rPr>
            </w:pPr>
            <w:r w:rsidRPr="001C35E2">
              <w:rPr>
                <w:rFonts w:ascii="Cambria" w:hAnsi="Cambria"/>
              </w:rPr>
              <w:t>References</w:t>
            </w:r>
          </w:p>
        </w:tc>
        <w:tc>
          <w:tcPr>
            <w:tcW w:w="1139" w:type="dxa"/>
          </w:tcPr>
          <w:p w14:paraId="76D9CF6E" w14:textId="608154FD" w:rsidR="00BB092C" w:rsidRPr="001C35E2" w:rsidRDefault="00BB092C" w:rsidP="00491261">
            <w:pPr>
              <w:rPr>
                <w:rFonts w:ascii="Cambria" w:hAnsi="Cambria"/>
              </w:rPr>
            </w:pPr>
            <w:r w:rsidRPr="001C35E2">
              <w:rPr>
                <w:rFonts w:ascii="Cambria" w:hAnsi="Cambria"/>
              </w:rPr>
              <w:t xml:space="preserve">Page </w:t>
            </w:r>
            <w:r w:rsidR="00BE5F85">
              <w:rPr>
                <w:rFonts w:ascii="Cambria" w:hAnsi="Cambria"/>
              </w:rPr>
              <w:t>7</w:t>
            </w:r>
          </w:p>
          <w:p w14:paraId="454D3280" w14:textId="77777777" w:rsidR="00333B22" w:rsidRPr="001C35E2" w:rsidRDefault="00333B22" w:rsidP="00491261">
            <w:pPr>
              <w:rPr>
                <w:rFonts w:ascii="Cambria" w:hAnsi="Cambria"/>
              </w:rPr>
            </w:pPr>
          </w:p>
          <w:p w14:paraId="53AE2804" w14:textId="5CA65ADB" w:rsidR="00F10D34" w:rsidRPr="001C35E2" w:rsidRDefault="00F10D34" w:rsidP="00491261">
            <w:pPr>
              <w:rPr>
                <w:rFonts w:ascii="Cambria" w:hAnsi="Cambria"/>
              </w:rPr>
            </w:pPr>
            <w:r w:rsidRPr="001C35E2">
              <w:rPr>
                <w:rFonts w:ascii="Cambria" w:hAnsi="Cambria"/>
              </w:rPr>
              <w:t>Page</w:t>
            </w:r>
            <w:r w:rsidR="004E7A4F" w:rsidRPr="001C35E2">
              <w:rPr>
                <w:rFonts w:ascii="Cambria" w:hAnsi="Cambria"/>
              </w:rPr>
              <w:t xml:space="preserve"> </w:t>
            </w:r>
            <w:r w:rsidR="00BE5F85">
              <w:rPr>
                <w:rFonts w:ascii="Cambria" w:hAnsi="Cambria"/>
              </w:rPr>
              <w:t>8</w:t>
            </w:r>
          </w:p>
          <w:p w14:paraId="0E57D227" w14:textId="77777777" w:rsidR="00A1516B" w:rsidRPr="001C35E2" w:rsidRDefault="00A1516B" w:rsidP="00491261">
            <w:pPr>
              <w:rPr>
                <w:rFonts w:ascii="Cambria" w:hAnsi="Cambria"/>
              </w:rPr>
            </w:pPr>
          </w:p>
          <w:p w14:paraId="6C0640F3" w14:textId="74F86171" w:rsidR="00A1516B" w:rsidRPr="001C35E2" w:rsidRDefault="00A1516B" w:rsidP="00491261">
            <w:pPr>
              <w:rPr>
                <w:rFonts w:ascii="Cambria" w:hAnsi="Cambria"/>
              </w:rPr>
            </w:pPr>
            <w:r w:rsidRPr="001C35E2">
              <w:rPr>
                <w:rFonts w:ascii="Cambria" w:hAnsi="Cambria"/>
              </w:rPr>
              <w:t xml:space="preserve">Page </w:t>
            </w:r>
            <w:r w:rsidR="00BE5F85">
              <w:rPr>
                <w:rFonts w:ascii="Cambria" w:hAnsi="Cambria"/>
              </w:rPr>
              <w:t>9</w:t>
            </w:r>
          </w:p>
          <w:p w14:paraId="7CACC865" w14:textId="77777777" w:rsidR="00107FDD" w:rsidRPr="001C35E2" w:rsidRDefault="00107FDD" w:rsidP="00491261">
            <w:pPr>
              <w:rPr>
                <w:rFonts w:ascii="Cambria" w:hAnsi="Cambria"/>
              </w:rPr>
            </w:pPr>
          </w:p>
          <w:p w14:paraId="3916FBA8" w14:textId="77777777" w:rsidR="00107FDD" w:rsidRPr="001C35E2" w:rsidRDefault="00107FDD" w:rsidP="00491261">
            <w:pPr>
              <w:rPr>
                <w:rFonts w:ascii="Cambria" w:hAnsi="Cambria"/>
              </w:rPr>
            </w:pPr>
          </w:p>
          <w:p w14:paraId="7F5D1BC8" w14:textId="77BF1CBD" w:rsidR="00107FDD" w:rsidRPr="001C35E2" w:rsidRDefault="00107FDD" w:rsidP="00491261">
            <w:pPr>
              <w:rPr>
                <w:rFonts w:ascii="Cambria" w:hAnsi="Cambria"/>
              </w:rPr>
            </w:pPr>
            <w:r w:rsidRPr="001C35E2">
              <w:rPr>
                <w:rFonts w:ascii="Cambria" w:hAnsi="Cambria"/>
              </w:rPr>
              <w:t xml:space="preserve">Page </w:t>
            </w:r>
            <w:r w:rsidR="00BE5F85">
              <w:rPr>
                <w:rFonts w:ascii="Cambria" w:hAnsi="Cambria"/>
              </w:rPr>
              <w:t>10</w:t>
            </w:r>
          </w:p>
          <w:p w14:paraId="60145577" w14:textId="77777777" w:rsidR="00107FDD" w:rsidRPr="001C35E2" w:rsidRDefault="00107FDD" w:rsidP="00491261">
            <w:pPr>
              <w:rPr>
                <w:rFonts w:ascii="Cambria" w:hAnsi="Cambria"/>
              </w:rPr>
            </w:pPr>
          </w:p>
          <w:p w14:paraId="747114AE" w14:textId="79BE860D" w:rsidR="00107FDD" w:rsidRPr="001C35E2" w:rsidRDefault="00C918F5" w:rsidP="00491261">
            <w:pPr>
              <w:rPr>
                <w:rFonts w:ascii="Cambria" w:hAnsi="Cambria"/>
              </w:rPr>
            </w:pPr>
            <w:r w:rsidRPr="001C35E2">
              <w:rPr>
                <w:rFonts w:ascii="Cambria" w:hAnsi="Cambria"/>
              </w:rPr>
              <w:t>Page 1</w:t>
            </w:r>
            <w:r w:rsidR="00BE5F85">
              <w:rPr>
                <w:rFonts w:ascii="Cambria" w:hAnsi="Cambria"/>
              </w:rPr>
              <w:t>2</w:t>
            </w:r>
          </w:p>
          <w:p w14:paraId="1940142C" w14:textId="77777777" w:rsidR="00C918F5" w:rsidRPr="001C35E2" w:rsidRDefault="00C918F5" w:rsidP="00491261">
            <w:pPr>
              <w:rPr>
                <w:rFonts w:ascii="Cambria" w:hAnsi="Cambria"/>
              </w:rPr>
            </w:pPr>
          </w:p>
          <w:p w14:paraId="4515CF08" w14:textId="77777777" w:rsidR="00C918F5" w:rsidRPr="001C35E2" w:rsidRDefault="00C918F5" w:rsidP="00491261">
            <w:pPr>
              <w:rPr>
                <w:rFonts w:ascii="Cambria" w:hAnsi="Cambria"/>
              </w:rPr>
            </w:pPr>
          </w:p>
          <w:p w14:paraId="2F4D8E1A" w14:textId="1D29A99E" w:rsidR="00C918F5" w:rsidRPr="001C35E2" w:rsidRDefault="00C918F5" w:rsidP="00491261">
            <w:pPr>
              <w:rPr>
                <w:rFonts w:ascii="Cambria" w:hAnsi="Cambria"/>
              </w:rPr>
            </w:pPr>
          </w:p>
        </w:tc>
      </w:tr>
    </w:tbl>
    <w:p w14:paraId="6A9FA1CE" w14:textId="0E706BD0" w:rsidR="00F5610C" w:rsidRPr="001C35E2" w:rsidRDefault="00F5610C">
      <w:pPr>
        <w:rPr>
          <w:rFonts w:ascii="Cambria" w:hAnsi="Cambria"/>
        </w:rPr>
      </w:pPr>
    </w:p>
    <w:p w14:paraId="09E4CBD4" w14:textId="296C3F83" w:rsidR="00F5610C" w:rsidRPr="001C35E2" w:rsidRDefault="00F5610C">
      <w:pPr>
        <w:rPr>
          <w:rFonts w:ascii="Cambria" w:hAnsi="Cambria"/>
        </w:rPr>
      </w:pPr>
      <w:r w:rsidRPr="001C35E2">
        <w:rPr>
          <w:rFonts w:ascii="Cambria" w:hAnsi="Cambria"/>
        </w:rPr>
        <w:br w:type="page"/>
      </w:r>
    </w:p>
    <w:p w14:paraId="32BEBAF8" w14:textId="7F8C9930" w:rsidR="00F5610C" w:rsidRPr="001C35E2" w:rsidRDefault="00F5610C" w:rsidP="00AE317A">
      <w:pPr>
        <w:rPr>
          <w:rFonts w:ascii="Cambria" w:hAnsi="Cambria" w:cs="Calibri"/>
          <w:b/>
          <w:bCs/>
          <w:color w:val="000000" w:themeColor="text1"/>
        </w:rPr>
      </w:pPr>
      <w:r w:rsidRPr="001C35E2">
        <w:rPr>
          <w:rFonts w:ascii="Cambria" w:hAnsi="Cambria"/>
          <w:b/>
        </w:rPr>
        <w:lastRenderedPageBreak/>
        <w:t xml:space="preserve">Supplementary Note 1. </w:t>
      </w:r>
      <w:r w:rsidRPr="001C35E2">
        <w:rPr>
          <w:rFonts w:ascii="Cambria" w:hAnsi="Cambria" w:cs="Calibri"/>
          <w:b/>
          <w:bCs/>
          <w:color w:val="000000" w:themeColor="text1"/>
        </w:rPr>
        <w:t>Alternative GWAS for Vitamin D, Revez et al. (2020)</w:t>
      </w:r>
    </w:p>
    <w:p w14:paraId="5A178872" w14:textId="77777777" w:rsidR="00F5610C" w:rsidRPr="001C35E2" w:rsidRDefault="00F5610C" w:rsidP="00F5610C">
      <w:pPr>
        <w:pStyle w:val="NormalWeb"/>
        <w:shd w:val="clear" w:color="auto" w:fill="FFFFFF"/>
        <w:spacing w:after="0"/>
        <w:rPr>
          <w:rFonts w:ascii="Cambria" w:hAnsi="Cambria" w:cs="Calibri"/>
          <w:b/>
          <w:bCs/>
          <w:color w:val="000000" w:themeColor="text1"/>
          <w:lang w:val="en-GB"/>
        </w:rPr>
      </w:pPr>
    </w:p>
    <w:p w14:paraId="53DA5AC6" w14:textId="7C87709F" w:rsidR="00F5610C" w:rsidRPr="001C35E2" w:rsidRDefault="00F5610C" w:rsidP="00F5610C">
      <w:pPr>
        <w:pStyle w:val="NormalWeb"/>
        <w:shd w:val="clear" w:color="auto" w:fill="FFFFFF"/>
        <w:spacing w:after="0"/>
        <w:rPr>
          <w:rFonts w:ascii="Cambria" w:hAnsi="Cambria" w:cs="Calibri"/>
          <w:color w:val="000000" w:themeColor="text1"/>
          <w:lang w:val="en-GB"/>
        </w:rPr>
      </w:pPr>
      <w:r w:rsidRPr="001C35E2">
        <w:rPr>
          <w:rFonts w:ascii="Cambria" w:hAnsi="Cambria" w:cs="Calibri"/>
          <w:color w:val="000000" w:themeColor="text1"/>
          <w:lang w:val="en-GB"/>
        </w:rPr>
        <w:t xml:space="preserve">There </w:t>
      </w:r>
      <w:r w:rsidR="00527514" w:rsidRPr="001C35E2">
        <w:rPr>
          <w:rFonts w:ascii="Cambria" w:hAnsi="Cambria" w:cs="Calibri"/>
          <w:color w:val="000000" w:themeColor="text1"/>
          <w:lang w:val="en-GB"/>
        </w:rPr>
        <w:t>we</w:t>
      </w:r>
      <w:r w:rsidRPr="001C35E2">
        <w:rPr>
          <w:rFonts w:ascii="Cambria" w:hAnsi="Cambria" w:cs="Calibri"/>
          <w:color w:val="000000" w:themeColor="text1"/>
          <w:lang w:val="en-GB"/>
        </w:rPr>
        <w:t xml:space="preserve">re two </w:t>
      </w:r>
      <w:r w:rsidR="00527514" w:rsidRPr="001C35E2">
        <w:rPr>
          <w:rFonts w:ascii="Cambria" w:hAnsi="Cambria" w:cs="Calibri"/>
          <w:color w:val="000000" w:themeColor="text1"/>
          <w:lang w:val="en-GB"/>
        </w:rPr>
        <w:t xml:space="preserve">recent </w:t>
      </w:r>
      <w:r w:rsidRPr="001C35E2">
        <w:rPr>
          <w:rFonts w:ascii="Cambria" w:hAnsi="Cambria" w:cs="Calibri"/>
          <w:color w:val="000000" w:themeColor="text1"/>
          <w:lang w:val="en-GB"/>
        </w:rPr>
        <w:t xml:space="preserve">GWAS for Vitamin D which both used similar samples and found similar </w:t>
      </w:r>
      <w:r w:rsidR="00527514" w:rsidRPr="001C35E2">
        <w:rPr>
          <w:rFonts w:ascii="Cambria" w:hAnsi="Cambria" w:cs="Calibri"/>
          <w:color w:val="000000" w:themeColor="text1"/>
          <w:lang w:val="en-GB"/>
        </w:rPr>
        <w:t>genome-wide significant SNPs</w:t>
      </w:r>
      <w:r w:rsidRPr="001C35E2">
        <w:rPr>
          <w:rFonts w:ascii="Cambria" w:hAnsi="Cambria" w:cs="Calibri"/>
          <w:color w:val="000000" w:themeColor="text1"/>
          <w:lang w:val="en-GB"/>
        </w:rPr>
        <w:t xml:space="preserve">. We have used Manousaki et al. </w:t>
      </w:r>
      <w:r w:rsidR="008E2D10" w:rsidRPr="001C35E2">
        <w:rPr>
          <w:rFonts w:ascii="Cambria" w:hAnsi="Cambria" w:cs="Calibri"/>
          <w:color w:val="000000" w:themeColor="text1"/>
          <w:lang w:val="en-GB"/>
        </w:rPr>
        <w:fldChar w:fldCharType="begin"/>
      </w:r>
      <w:r w:rsidR="00713FAA" w:rsidRPr="001C35E2">
        <w:rPr>
          <w:rFonts w:ascii="Cambria" w:hAnsi="Cambria" w:cs="Calibri"/>
          <w:color w:val="000000" w:themeColor="text1"/>
          <w:lang w:val="en-GB"/>
        </w:rPr>
        <w:instrText xml:space="preserve"> ADDIN ZOTERO_ITEM CSL_CITATION {"citationID":"yh6JtPsw","properties":{"formattedCitation":"(2020)","plainCitation":"(2020)","noteIndex":0},"citationItems":[{"id":1224,"uris":["http://zotero.org/users/5402137/items/6HMP347F"],"itemData":{"id":1224,"type":"article-journal","abstract":"We aimed to increase our understanding of the genetic determinants of vitamin D levels by undertaking a large-scale genome-wide association study (GWAS) of serum 25 hydroxyvitamin D (25OHD). To do so, we used imputed genotypes from 401,460 white British UK Biobank participants with available 25OHD levels, retaining single-nucleotide polymorphisms (SNPs) with minor allele frequency (MAF) &gt; 0.1% and imputation quality score &gt; 0.3. We performed a linear mixed model GWAS on standardized log-transformed 25OHD, adjusting for age, sex, season of measurement, and vitamin D supplementation. These results were combined with those from a previous GWAS including 42,274 Europeans. In silico functional follow-up of the GWAS results was undertaken to identify enrichment in gene sets, pathways, and expression in tissues, and to investigate the partitioned heritability of 25OHD and its shared heritability with other traits. Using this approach, the SNP heritability of 25OHD was estimated to 16.1%. 138 conditionally independent SNPs were detected (p value &lt; 6.6 × 10-9) among which 53 had MAF &lt; 5%. Single variant association signals mapped to 69 distinct loci, among which 63 were previously unreported. We identified enrichment in hepatic and lipid metabolism gene pathways and enriched expression of the 25OHD genes in liver, skin, and gastrointestinal tissues. We observed partially shared heritability between 25OHD and socio-economic traits, a feature which may be mediated through time spent outdoors. Therefore, through a large 25OHD GWAS, we identified 63 loci that underline the contribution of genes outside the vitamin D canonical metabolic pathway to the genetic architecture of 25OHD.","container-title":"American Journal of Human Genetics","DOI":"10.1016/j.ajhg.2020.01.017","ISSN":"1537-6605","issue":"3","journalAbbreviation":"Am. J. Hum. Genet.","language":"eng","note":"PMID: 32059762\nPMCID: PMC7058824","page":"327-337","source":"PubMed","title":"Genome-wide Association Study for Vitamin D Levels Reveals 69 Independent Loci","volume":"106","author":[{"family":"Manousaki","given":"Despoina"},{"family":"Mitchell","given":"Ruth"},{"family":"Dudding","given":"Tom"},{"family":"Haworth","given":"Simon"},{"family":"Harroud","given":"Adil"},{"family":"Forgetta","given":"Vincenzo"},{"family":"Shah","given":"Rupal L."},{"family":"Luan","given":"Jian'an"},{"family":"Langenberg","given":"Claudia"},{"family":"Timpson","given":"Nicholas J."},{"family":"Richards","given":"J. Brent"}],"issued":{"date-parts":[["2020"]],"season":"05"}},"label":"page","suppress-author":true}],"schema":"https://github.com/citation-style-language/schema/raw/master/csl-citation.json"} </w:instrText>
      </w:r>
      <w:r w:rsidR="008E2D10" w:rsidRPr="001C35E2">
        <w:rPr>
          <w:rFonts w:ascii="Cambria" w:hAnsi="Cambria" w:cs="Calibri"/>
          <w:color w:val="000000" w:themeColor="text1"/>
          <w:lang w:val="en-GB"/>
        </w:rPr>
        <w:fldChar w:fldCharType="separate"/>
      </w:r>
      <w:r w:rsidR="009777B3" w:rsidRPr="001C35E2">
        <w:rPr>
          <w:rFonts w:ascii="Cambria" w:hAnsi="Cambria"/>
          <w:color w:val="000000"/>
          <w:lang w:val="en-GB"/>
        </w:rPr>
        <w:t>(2020)</w:t>
      </w:r>
      <w:r w:rsidR="008E2D10" w:rsidRPr="001C35E2">
        <w:rPr>
          <w:rFonts w:ascii="Cambria" w:hAnsi="Cambria" w:cs="Calibri"/>
          <w:color w:val="000000" w:themeColor="text1"/>
          <w:lang w:val="en-GB"/>
        </w:rPr>
        <w:fldChar w:fldCharType="end"/>
      </w:r>
      <w:r w:rsidRPr="001C35E2">
        <w:rPr>
          <w:rFonts w:ascii="Cambria" w:hAnsi="Cambria" w:cs="Calibri"/>
          <w:color w:val="000000" w:themeColor="text1"/>
          <w:lang w:val="en-GB"/>
        </w:rPr>
        <w:t xml:space="preserve"> as our </w:t>
      </w:r>
      <w:r w:rsidR="00527514" w:rsidRPr="001C35E2">
        <w:rPr>
          <w:rFonts w:ascii="Cambria" w:hAnsi="Cambria" w:cs="Calibri"/>
          <w:color w:val="000000" w:themeColor="text1"/>
          <w:lang w:val="en-GB"/>
        </w:rPr>
        <w:t>primary</w:t>
      </w:r>
      <w:r w:rsidRPr="001C35E2">
        <w:rPr>
          <w:rFonts w:ascii="Cambria" w:hAnsi="Cambria" w:cs="Calibri"/>
          <w:color w:val="000000" w:themeColor="text1"/>
          <w:lang w:val="en-GB"/>
        </w:rPr>
        <w:t xml:space="preserve"> GWAS, given that the effect sizes were standardised and therefore more easily interpretable</w:t>
      </w:r>
      <w:r w:rsidR="004E4848" w:rsidRPr="001C35E2">
        <w:rPr>
          <w:rFonts w:ascii="Cambria" w:hAnsi="Cambria" w:cs="Calibri"/>
          <w:color w:val="000000" w:themeColor="text1"/>
          <w:lang w:val="en-GB"/>
        </w:rPr>
        <w:t xml:space="preserve">, and given that this instrument has been validated for use in pregnancy in the ALSPAC cohort. </w:t>
      </w:r>
      <w:r w:rsidRPr="001C35E2">
        <w:rPr>
          <w:rFonts w:ascii="Cambria" w:hAnsi="Cambria" w:cs="Calibri"/>
          <w:color w:val="000000" w:themeColor="text1"/>
          <w:lang w:val="en-GB"/>
        </w:rPr>
        <w:t xml:space="preserve">However, we have also used the alternative Revez et al. </w:t>
      </w:r>
      <w:r w:rsidR="00093D0B" w:rsidRPr="001C35E2">
        <w:rPr>
          <w:rFonts w:ascii="Cambria" w:hAnsi="Cambria" w:cs="Calibri"/>
          <w:color w:val="000000" w:themeColor="text1"/>
          <w:lang w:val="en-GB"/>
        </w:rPr>
        <w:fldChar w:fldCharType="begin"/>
      </w:r>
      <w:r w:rsidR="00713FAA" w:rsidRPr="001C35E2">
        <w:rPr>
          <w:rFonts w:ascii="Cambria" w:hAnsi="Cambria" w:cs="Calibri"/>
          <w:color w:val="000000" w:themeColor="text1"/>
          <w:lang w:val="en-GB"/>
        </w:rPr>
        <w:instrText xml:space="preserve"> ADDIN ZOTERO_ITEM CSL_CITATION {"citationID":"4T64gost","properties":{"formattedCitation":"(2020)","plainCitation":"(2020)","noteIndex":0},"citationItems":[{"id":3566,"uris":["http://zotero.org/users/5402137/items/DN7M4VD2"],"itemData":{"id":3566,"type":"article-journal","abstract":"Vitamin D deficiency is a candidate risk factor for a range of adverse health outcomes. In a genome-wide association study of 25 hydroxyvitamin D (25OHD) concentration in 417,580 Europeans we identify 143 independent loci in 112 1-Mb regions, providing insights into the physiology of vitamin D and implicating genes involved in lipid and lipoprotein metabolism, dermal tissue properties, and the sulphonation and glucuronidation of 25OHD. Mendelian randomization models find no robust evidence that 25OHD concentration has causal effects on candidate phenotypes (e.g. BMI, psychiatric disorders), but many phenotypes have (direct or indirect) causal effects on 25OHD concentration, clarifying the epidemiological relationship between 25OHD status and the health outcomes examined in this study.","container-title":"Nature Communications","DOI":"10.1038/s41467-020-15421-7","ISSN":"2041-1723","issue":"1","journalAbbreviation":"Nat Commun","language":"en","license":"2020 The Author(s)","note":"Bandiera_abtest: a\nCc_license_type: cc_by\nCg_type: Nature Research Journals\nnumber: 1\nPrimary_atype: Research\npublisher: Nature Publishing Group\nSubject_term: Calcium and vitamin D;Genome-wide association studies;Psychiatric disorders;Risk factors\nSubject_term_id: calcium-and-vitamin-d;genome-wide-association-studies;psychiatric-disorders;risk-factors","page":"1647","source":"www.nature.com","title":"Genome-wide association study identifies 143 loci associated with 25 hydroxyvitamin D concentration","volume":"11","author":[{"family":"Revez","given":"Joana A."},{"family":"Lin","given":"Tian"},{"family":"Qiao","given":"Zhen"},{"family":"Xue","given":"Angli"},{"family":"Holtz","given":"Yan"},{"family":"Zhu","given":"Zhihong"},{"family":"Zeng","given":"Jian"},{"family":"Wang","given":"Huanwei"},{"family":"Sidorenko","given":"Julia"},{"family":"Kemper","given":"Kathryn E."},{"family":"Vinkhuyzen","given":"Anna A. E."},{"family":"Frater","given":"Julanne"},{"family":"Eyles","given":"Darryl"},{"family":"Burne","given":"Thomas H. J."},{"family":"Mitchell","given":"Brittany"},{"family":"Martin","given":"Nicholas G."},{"family":"Zhu","given":"Gu"},{"family":"Visscher","given":"Peter M."},{"family":"Yang","given":"Jian"},{"family":"Wray","given":"Naomi R."},{"family":"McGrath","given":"John J."}],"issued":{"date-parts":[["2020",4,2]]}},"label":"page","suppress-author":true}],"schema":"https://github.com/citation-style-language/schema/raw/master/csl-citation.json"} </w:instrText>
      </w:r>
      <w:r w:rsidR="00093D0B" w:rsidRPr="001C35E2">
        <w:rPr>
          <w:rFonts w:ascii="Cambria" w:hAnsi="Cambria" w:cs="Calibri"/>
          <w:color w:val="000000" w:themeColor="text1"/>
          <w:lang w:val="en-GB"/>
        </w:rPr>
        <w:fldChar w:fldCharType="separate"/>
      </w:r>
      <w:r w:rsidR="009777B3" w:rsidRPr="001C35E2">
        <w:rPr>
          <w:rFonts w:ascii="Cambria" w:hAnsi="Cambria"/>
          <w:color w:val="000000"/>
          <w:lang w:val="en-GB"/>
        </w:rPr>
        <w:t>(2020)</w:t>
      </w:r>
      <w:r w:rsidR="00093D0B" w:rsidRPr="001C35E2">
        <w:rPr>
          <w:rFonts w:ascii="Cambria" w:hAnsi="Cambria" w:cs="Calibri"/>
          <w:color w:val="000000" w:themeColor="text1"/>
          <w:lang w:val="en-GB"/>
        </w:rPr>
        <w:fldChar w:fldCharType="end"/>
      </w:r>
      <w:r w:rsidRPr="001C35E2">
        <w:rPr>
          <w:rFonts w:ascii="Cambria" w:hAnsi="Cambria" w:cs="Calibri"/>
          <w:color w:val="000000" w:themeColor="text1"/>
          <w:lang w:val="en-GB"/>
        </w:rPr>
        <w:t xml:space="preserve"> GWAS as a sensitivity analysis, described here. </w:t>
      </w:r>
    </w:p>
    <w:p w14:paraId="7AD94434" w14:textId="77777777" w:rsidR="00F5610C" w:rsidRPr="001C35E2" w:rsidRDefault="00F5610C" w:rsidP="00F5610C">
      <w:pPr>
        <w:pStyle w:val="NormalWeb"/>
        <w:shd w:val="clear" w:color="auto" w:fill="FFFFFF"/>
        <w:spacing w:after="0"/>
        <w:rPr>
          <w:rFonts w:ascii="Cambria" w:hAnsi="Cambria" w:cs="Calibri"/>
          <w:color w:val="000000" w:themeColor="text1"/>
          <w:lang w:val="en-GB"/>
        </w:rPr>
      </w:pPr>
    </w:p>
    <w:p w14:paraId="7C1A7CC4" w14:textId="77777777" w:rsidR="00F5610C" w:rsidRPr="001C35E2" w:rsidRDefault="00F5610C" w:rsidP="00F5610C">
      <w:pPr>
        <w:pStyle w:val="NormalWeb"/>
        <w:shd w:val="clear" w:color="auto" w:fill="FFFFFF"/>
        <w:spacing w:after="0"/>
        <w:rPr>
          <w:rFonts w:ascii="Cambria" w:hAnsi="Cambria" w:cs="Calibri"/>
          <w:color w:val="000000" w:themeColor="text1"/>
          <w:u w:val="single"/>
          <w:lang w:val="en-GB"/>
        </w:rPr>
      </w:pPr>
      <w:r w:rsidRPr="001C35E2">
        <w:rPr>
          <w:rFonts w:ascii="Cambria" w:hAnsi="Cambria" w:cs="Calibri"/>
          <w:color w:val="000000" w:themeColor="text1"/>
          <w:u w:val="single"/>
          <w:lang w:val="en-GB"/>
        </w:rPr>
        <w:t>Methods</w:t>
      </w:r>
    </w:p>
    <w:p w14:paraId="46D83C2F" w14:textId="22BA7BB2" w:rsidR="00F5610C" w:rsidRPr="001C35E2" w:rsidRDefault="00F5610C" w:rsidP="00F5610C">
      <w:pPr>
        <w:pStyle w:val="NormalWeb"/>
        <w:shd w:val="clear" w:color="auto" w:fill="FFFFFF"/>
        <w:spacing w:after="0"/>
        <w:rPr>
          <w:rFonts w:ascii="Cambria" w:hAnsi="Cambria" w:cs="Arial"/>
          <w:lang w:val="en-GB"/>
        </w:rPr>
      </w:pPr>
      <w:r w:rsidRPr="001C35E2">
        <w:rPr>
          <w:rFonts w:ascii="Cambria" w:hAnsi="Cambria" w:cs="Calibri"/>
          <w:color w:val="000000" w:themeColor="text1"/>
          <w:lang w:val="en-GB"/>
        </w:rPr>
        <w:t>Revez et al</w:t>
      </w:r>
      <w:r w:rsidR="00E23F62" w:rsidRPr="001C35E2">
        <w:rPr>
          <w:rFonts w:ascii="Cambria" w:hAnsi="Cambria" w:cs="Calibri"/>
          <w:color w:val="000000" w:themeColor="text1"/>
          <w:lang w:val="en-GB"/>
        </w:rPr>
        <w:t>. (2020)</w:t>
      </w:r>
      <w:r w:rsidRPr="001C35E2">
        <w:rPr>
          <w:rFonts w:ascii="Cambria" w:hAnsi="Cambria" w:cs="Calibri"/>
          <w:color w:val="000000" w:themeColor="text1"/>
          <w:lang w:val="en-GB"/>
        </w:rPr>
        <w:t xml:space="preserve"> GWAS </w:t>
      </w:r>
      <w:r w:rsidR="00E23F62" w:rsidRPr="001C35E2">
        <w:rPr>
          <w:rFonts w:ascii="Cambria" w:hAnsi="Cambria" w:cs="Calibri"/>
          <w:color w:val="000000" w:themeColor="text1"/>
          <w:lang w:val="en-GB"/>
        </w:rPr>
        <w:t xml:space="preserve">of Vitamin D levels </w:t>
      </w:r>
      <w:r w:rsidRPr="001C35E2">
        <w:rPr>
          <w:rFonts w:ascii="Cambria" w:hAnsi="Cambria" w:cs="Calibri"/>
          <w:color w:val="000000" w:themeColor="text1"/>
          <w:lang w:val="en-GB"/>
        </w:rPr>
        <w:t>comprised 417,580 individuals of European a</w:t>
      </w:r>
      <w:r w:rsidR="00E23F62" w:rsidRPr="001C35E2">
        <w:rPr>
          <w:rFonts w:ascii="Cambria" w:hAnsi="Cambria" w:cs="Calibri"/>
          <w:color w:val="000000" w:themeColor="text1"/>
          <w:lang w:val="en-GB"/>
        </w:rPr>
        <w:t>n</w:t>
      </w:r>
      <w:r w:rsidRPr="001C35E2">
        <w:rPr>
          <w:rFonts w:ascii="Cambria" w:hAnsi="Cambria" w:cs="Calibri"/>
          <w:color w:val="000000" w:themeColor="text1"/>
          <w:lang w:val="en-GB"/>
        </w:rPr>
        <w:t>ce</w:t>
      </w:r>
      <w:r w:rsidR="00E23F62" w:rsidRPr="001C35E2">
        <w:rPr>
          <w:rFonts w:ascii="Cambria" w:hAnsi="Cambria" w:cs="Calibri"/>
          <w:color w:val="000000" w:themeColor="text1"/>
          <w:lang w:val="en-GB"/>
        </w:rPr>
        <w:t>s</w:t>
      </w:r>
      <w:r w:rsidRPr="001C35E2">
        <w:rPr>
          <w:rFonts w:ascii="Cambria" w:hAnsi="Cambria" w:cs="Calibri"/>
          <w:color w:val="000000" w:themeColor="text1"/>
          <w:lang w:val="en-GB"/>
        </w:rPr>
        <w:t>try and identified 143</w:t>
      </w:r>
      <w:r w:rsidR="00E23F62" w:rsidRPr="001C35E2">
        <w:rPr>
          <w:rFonts w:ascii="Cambria" w:hAnsi="Cambria" w:cs="Calibri"/>
          <w:color w:val="000000" w:themeColor="text1"/>
          <w:lang w:val="en-GB"/>
        </w:rPr>
        <w:t xml:space="preserve"> genome-wide significant</w:t>
      </w:r>
      <w:r w:rsidRPr="001C35E2">
        <w:rPr>
          <w:rFonts w:ascii="Cambria" w:hAnsi="Cambria" w:cs="Calibri"/>
          <w:color w:val="000000" w:themeColor="text1"/>
          <w:lang w:val="en-GB"/>
        </w:rPr>
        <w:t xml:space="preserve"> independent loci. We did not restrict for independence before </w:t>
      </w:r>
      <w:r w:rsidR="00153E60" w:rsidRPr="001C35E2">
        <w:rPr>
          <w:rFonts w:ascii="Cambria" w:hAnsi="Cambria" w:cs="Calibri"/>
          <w:color w:val="000000" w:themeColor="text1"/>
          <w:lang w:val="en-GB"/>
        </w:rPr>
        <w:t>restricting to SNPs</w:t>
      </w:r>
      <w:r w:rsidRPr="001C35E2">
        <w:rPr>
          <w:rFonts w:ascii="Cambria" w:hAnsi="Cambria" w:cs="Calibri"/>
          <w:color w:val="000000" w:themeColor="text1"/>
          <w:lang w:val="en-GB"/>
        </w:rPr>
        <w:t xml:space="preserve"> that </w:t>
      </w:r>
      <w:r w:rsidR="00153E60" w:rsidRPr="001C35E2">
        <w:rPr>
          <w:rFonts w:ascii="Cambria" w:hAnsi="Cambria" w:cs="Calibri"/>
          <w:color w:val="000000" w:themeColor="text1"/>
          <w:lang w:val="en-GB"/>
        </w:rPr>
        <w:t>passed QC</w:t>
      </w:r>
      <w:r w:rsidRPr="001C35E2">
        <w:rPr>
          <w:rFonts w:ascii="Cambria" w:hAnsi="Cambria" w:cs="Calibri"/>
          <w:color w:val="000000" w:themeColor="text1"/>
          <w:lang w:val="en-GB"/>
        </w:rPr>
        <w:t xml:space="preserve"> in </w:t>
      </w:r>
      <w:r w:rsidR="00153E60" w:rsidRPr="001C35E2">
        <w:rPr>
          <w:rFonts w:ascii="Cambria" w:hAnsi="Cambria" w:cs="Calibri"/>
          <w:color w:val="000000" w:themeColor="text1"/>
          <w:lang w:val="en-GB"/>
        </w:rPr>
        <w:t>the M</w:t>
      </w:r>
      <w:r w:rsidRPr="001C35E2">
        <w:rPr>
          <w:rFonts w:ascii="Cambria" w:hAnsi="Cambria" w:cs="Calibri"/>
          <w:color w:val="000000" w:themeColor="text1"/>
          <w:lang w:val="en-GB"/>
        </w:rPr>
        <w:t>o</w:t>
      </w:r>
      <w:r w:rsidR="00153E60" w:rsidRPr="001C35E2">
        <w:rPr>
          <w:rFonts w:ascii="Cambria" w:hAnsi="Cambria" w:cs="Calibri"/>
          <w:color w:val="000000" w:themeColor="text1"/>
          <w:lang w:val="en-GB"/>
        </w:rPr>
        <w:t>B</w:t>
      </w:r>
      <w:r w:rsidRPr="001C35E2">
        <w:rPr>
          <w:rFonts w:ascii="Cambria" w:hAnsi="Cambria" w:cs="Calibri"/>
          <w:color w:val="000000" w:themeColor="text1"/>
          <w:lang w:val="en-GB"/>
        </w:rPr>
        <w:t>a</w:t>
      </w:r>
      <w:r w:rsidR="00667D7A" w:rsidRPr="001C35E2">
        <w:rPr>
          <w:rFonts w:ascii="Cambria" w:hAnsi="Cambria" w:cs="Calibri"/>
          <w:color w:val="000000" w:themeColor="text1"/>
          <w:lang w:val="en-GB"/>
        </w:rPr>
        <w:t xml:space="preserve"> cohort</w:t>
      </w:r>
      <w:r w:rsidRPr="001C35E2">
        <w:rPr>
          <w:rFonts w:ascii="Cambria" w:hAnsi="Cambria" w:cs="Calibri"/>
          <w:color w:val="000000" w:themeColor="text1"/>
          <w:lang w:val="en-GB"/>
        </w:rPr>
        <w:t>,</w:t>
      </w:r>
      <w:r w:rsidR="002B0CF7" w:rsidRPr="001C35E2">
        <w:rPr>
          <w:rFonts w:ascii="Cambria" w:hAnsi="Cambria" w:cs="Calibri"/>
          <w:color w:val="000000" w:themeColor="text1"/>
          <w:lang w:val="en-GB"/>
        </w:rPr>
        <w:t xml:space="preserve"> and</w:t>
      </w:r>
      <w:r w:rsidRPr="001C35E2">
        <w:rPr>
          <w:rFonts w:ascii="Cambria" w:hAnsi="Cambria" w:cs="Calibri"/>
          <w:color w:val="000000" w:themeColor="text1"/>
          <w:lang w:val="en-GB"/>
        </w:rPr>
        <w:t xml:space="preserve"> then we </w:t>
      </w:r>
      <w:r w:rsidRPr="001C35E2">
        <w:rPr>
          <w:rFonts w:ascii="Cambria" w:hAnsi="Cambria" w:cs="Arial"/>
          <w:lang w:val="en-GB"/>
        </w:rPr>
        <w:t>clumped for independence at r</w:t>
      </w:r>
      <w:r w:rsidRPr="001C35E2">
        <w:rPr>
          <w:rFonts w:ascii="Cambria" w:hAnsi="Cambria" w:cs="Arial"/>
          <w:vertAlign w:val="superscript"/>
          <w:lang w:val="en-GB"/>
        </w:rPr>
        <w:t>2</w:t>
      </w:r>
      <w:r w:rsidRPr="001C35E2">
        <w:rPr>
          <w:rFonts w:ascii="Cambria" w:hAnsi="Cambria" w:cs="Arial"/>
          <w:lang w:val="en-GB"/>
        </w:rPr>
        <w:t>&lt;0.001</w:t>
      </w:r>
      <w:r w:rsidR="002B0CF7" w:rsidRPr="001C35E2">
        <w:rPr>
          <w:rFonts w:ascii="Cambria" w:hAnsi="Cambria" w:cs="Arial"/>
          <w:lang w:val="en-GB"/>
        </w:rPr>
        <w:t xml:space="preserve">, using a </w:t>
      </w:r>
      <w:r w:rsidRPr="001C35E2">
        <w:rPr>
          <w:rFonts w:ascii="Cambria" w:hAnsi="Cambria" w:cs="Arial"/>
          <w:lang w:val="en-GB"/>
        </w:rPr>
        <w:t xml:space="preserve">clumping window </w:t>
      </w:r>
      <w:r w:rsidR="002B0CF7" w:rsidRPr="001C35E2">
        <w:rPr>
          <w:rFonts w:ascii="Cambria" w:hAnsi="Cambria" w:cs="Arial"/>
          <w:lang w:val="en-GB"/>
        </w:rPr>
        <w:t xml:space="preserve">of </w:t>
      </w:r>
      <w:r w:rsidRPr="001C35E2">
        <w:rPr>
          <w:rFonts w:ascii="Cambria" w:hAnsi="Cambria" w:cs="Arial"/>
          <w:lang w:val="en-GB"/>
        </w:rPr>
        <w:t xml:space="preserve">kb=10000.  Genetic variants could influence </w:t>
      </w:r>
      <w:r w:rsidR="00BD6588" w:rsidRPr="001C35E2">
        <w:rPr>
          <w:rFonts w:ascii="Cambria" w:hAnsi="Cambria" w:cs="Arial"/>
          <w:lang w:val="en-GB"/>
        </w:rPr>
        <w:t>Vitamin D</w:t>
      </w:r>
      <w:r w:rsidRPr="001C35E2">
        <w:rPr>
          <w:rFonts w:ascii="Cambria" w:hAnsi="Cambria" w:cs="Arial"/>
          <w:lang w:val="en-GB"/>
        </w:rPr>
        <w:t xml:space="preserve"> levels through changes to both consumption and metabolism.  The </w:t>
      </w:r>
      <w:r w:rsidR="00BD6588" w:rsidRPr="001C35E2">
        <w:rPr>
          <w:rFonts w:ascii="Cambria" w:hAnsi="Cambria" w:cs="Arial"/>
          <w:lang w:val="en-GB"/>
        </w:rPr>
        <w:t xml:space="preserve">genome-wide significant SNPs </w:t>
      </w:r>
      <w:r w:rsidRPr="001C35E2">
        <w:rPr>
          <w:rFonts w:ascii="Cambria" w:hAnsi="Cambria" w:cs="Arial"/>
          <w:lang w:val="en-GB"/>
        </w:rPr>
        <w:t>explained 7.4% of the variance in Vitamin D levels in the QIMR cohort and 3.6% of the variance in the UK Biobank cohort</w:t>
      </w:r>
      <w:r w:rsidR="009777B3" w:rsidRPr="001C35E2">
        <w:rPr>
          <w:rFonts w:ascii="Cambria" w:hAnsi="Cambria" w:cs="Arial"/>
          <w:lang w:val="en-GB"/>
        </w:rPr>
        <w:t xml:space="preserve"> </w:t>
      </w:r>
      <w:r w:rsidRPr="001C35E2">
        <w:rPr>
          <w:rFonts w:ascii="Cambria" w:hAnsi="Cambria" w:cs="Arial"/>
          <w:lang w:val="en-GB"/>
        </w:rPr>
        <w:fldChar w:fldCharType="begin"/>
      </w:r>
      <w:r w:rsidR="00713FAA" w:rsidRPr="001C35E2">
        <w:rPr>
          <w:rFonts w:ascii="Cambria" w:hAnsi="Cambria" w:cs="Arial"/>
          <w:lang w:val="en-GB"/>
        </w:rPr>
        <w:instrText xml:space="preserve"> ADDIN ZOTERO_ITEM CSL_CITATION {"citationID":"2ZjSHCXI","properties":{"formattedCitation":"(Revez et al., 2020)","plainCitation":"(Revez et al., 2020)","noteIndex":0},"citationItems":[{"id":3566,"uris":["http://zotero.org/users/5402137/items/DN7M4VD2"],"itemData":{"id":3566,"type":"article-journal","abstract":"Vitamin D deficiency is a candidate risk factor for a range of adverse health outcomes. In a genome-wide association study of 25 hydroxyvitamin D (25OHD) concentration in 417,580 Europeans we identify 143 independent loci in 112 1-Mb regions, providing insights into the physiology of vitamin D and implicating genes involved in lipid and lipoprotein metabolism, dermal tissue properties, and the sulphonation and glucuronidation of 25OHD. Mendelian randomization models find no robust evidence that 25OHD concentration has causal effects on candidate phenotypes (e.g. BMI, psychiatric disorders), but many phenotypes have (direct or indirect) causal effects on 25OHD concentration, clarifying the epidemiological relationship between 25OHD status and the health outcomes examined in this study.","container-title":"Nature Communications","DOI":"10.1038/s41467-020-15421-7","ISSN":"2041-1723","issue":"1","journalAbbreviation":"Nat Commun","language":"en","license":"2020 The Author(s)","note":"Bandiera_abtest: a\nCc_license_type: cc_by\nCg_type: Nature Research Journals\nnumber: 1\nPrimary_atype: Research\npublisher: Nature Publishing Group\nSubject_term: Calcium and vitamin D;Genome-wide association studies;Psychiatric disorders;Risk factors\nSubject_term_id: calcium-and-vitamin-d;genome-wide-association-studies;psychiatric-disorders;risk-factors","page":"1647","source":"www.nature.com","title":"Genome-wide association study identifies 143 loci associated with 25 hydroxyvitamin D concentration","volume":"11","author":[{"family":"Revez","given":"Joana A."},{"family":"Lin","given":"Tian"},{"family":"Qiao","given":"Zhen"},{"family":"Xue","given":"Angli"},{"family":"Holtz","given":"Yan"},{"family":"Zhu","given":"Zhihong"},{"family":"Zeng","given":"Jian"},{"family":"Wang","given":"Huanwei"},{"family":"Sidorenko","given":"Julia"},{"family":"Kemper","given":"Kathryn E."},{"family":"Vinkhuyzen","given":"Anna A. E."},{"family":"Frater","given":"Julanne"},{"family":"Eyles","given":"Darryl"},{"family":"Burne","given":"Thomas H. J."},{"family":"Mitchell","given":"Brittany"},{"family":"Martin","given":"Nicholas G."},{"family":"Zhu","given":"Gu"},{"family":"Visscher","given":"Peter M."},{"family":"Yang","given":"Jian"},{"family":"Wray","given":"Naomi R."},{"family":"McGrath","given":"John J."}],"issued":{"date-parts":[["2020",4,2]]}}}],"schema":"https://github.com/citation-style-language/schema/raw/master/csl-citation.json"} </w:instrText>
      </w:r>
      <w:r w:rsidRPr="001C35E2">
        <w:rPr>
          <w:rFonts w:ascii="Cambria" w:hAnsi="Cambria" w:cs="Arial"/>
          <w:lang w:val="en-GB"/>
        </w:rPr>
        <w:fldChar w:fldCharType="separate"/>
      </w:r>
      <w:r w:rsidR="0062285E" w:rsidRPr="001C35E2">
        <w:rPr>
          <w:rFonts w:ascii="Cambria" w:hAnsi="Cambria"/>
          <w:lang w:val="en-GB"/>
        </w:rPr>
        <w:t>(Revez et al., 2020)</w:t>
      </w:r>
      <w:r w:rsidRPr="001C35E2">
        <w:rPr>
          <w:rFonts w:ascii="Cambria" w:hAnsi="Cambria" w:cs="Arial"/>
          <w:lang w:val="en-GB"/>
        </w:rPr>
        <w:fldChar w:fldCharType="end"/>
      </w:r>
      <w:r w:rsidRPr="001C35E2">
        <w:rPr>
          <w:rFonts w:ascii="Cambria" w:hAnsi="Cambria" w:cs="Arial"/>
          <w:lang w:val="en-GB"/>
        </w:rPr>
        <w:t xml:space="preserve">. However, there was no out of sample prediction </w:t>
      </w:r>
      <w:r w:rsidR="00033FE7" w:rsidRPr="001C35E2">
        <w:rPr>
          <w:rFonts w:ascii="Cambria" w:hAnsi="Cambria" w:cs="Arial"/>
          <w:lang w:val="en-GB"/>
        </w:rPr>
        <w:t xml:space="preserve">estimates </w:t>
      </w:r>
      <w:r w:rsidRPr="001C35E2">
        <w:rPr>
          <w:rFonts w:ascii="Cambria" w:hAnsi="Cambria" w:cs="Arial"/>
          <w:lang w:val="en-GB"/>
        </w:rPr>
        <w:t xml:space="preserve">available for pregnancy cohorts. </w:t>
      </w:r>
    </w:p>
    <w:p w14:paraId="7089A0A7" w14:textId="77777777" w:rsidR="00F5610C" w:rsidRPr="001C35E2" w:rsidRDefault="00F5610C" w:rsidP="00F5610C">
      <w:pPr>
        <w:pStyle w:val="NormalWeb"/>
        <w:shd w:val="clear" w:color="auto" w:fill="FFFFFF"/>
        <w:spacing w:after="0"/>
        <w:rPr>
          <w:rFonts w:ascii="Cambria" w:hAnsi="Cambria" w:cs="Calibri"/>
          <w:color w:val="000000" w:themeColor="text1"/>
          <w:lang w:val="en-GB"/>
        </w:rPr>
      </w:pPr>
    </w:p>
    <w:p w14:paraId="6AE50EBE" w14:textId="77777777" w:rsidR="00F5610C" w:rsidRPr="001C35E2" w:rsidRDefault="00F5610C" w:rsidP="00F5610C">
      <w:pPr>
        <w:pStyle w:val="NormalWeb"/>
        <w:shd w:val="clear" w:color="auto" w:fill="FFFFFF"/>
        <w:spacing w:after="0"/>
        <w:rPr>
          <w:rFonts w:ascii="Cambria" w:hAnsi="Cambria" w:cs="Calibri"/>
          <w:color w:val="000000" w:themeColor="text1"/>
          <w:u w:val="single"/>
          <w:lang w:val="en-GB"/>
        </w:rPr>
      </w:pPr>
      <w:r w:rsidRPr="001C35E2">
        <w:rPr>
          <w:rFonts w:ascii="Cambria" w:hAnsi="Cambria" w:cs="Calibri"/>
          <w:color w:val="000000" w:themeColor="text1"/>
          <w:u w:val="single"/>
          <w:lang w:val="en-GB"/>
        </w:rPr>
        <w:t>Results</w:t>
      </w:r>
    </w:p>
    <w:p w14:paraId="70737466" w14:textId="61E52CC8" w:rsidR="00F5610C" w:rsidRPr="001C35E2" w:rsidRDefault="00F5610C" w:rsidP="00F5610C">
      <w:pPr>
        <w:pStyle w:val="NormalWeb"/>
        <w:shd w:val="clear" w:color="auto" w:fill="FFFFFF"/>
        <w:spacing w:after="0"/>
        <w:rPr>
          <w:rFonts w:ascii="Cambria" w:hAnsi="Cambria" w:cs="Calibri"/>
          <w:color w:val="000000" w:themeColor="text1"/>
          <w:lang w:val="en-GB"/>
        </w:rPr>
      </w:pPr>
      <w:r w:rsidRPr="001C35E2">
        <w:rPr>
          <w:rFonts w:ascii="Cambria" w:hAnsi="Cambria" w:cs="Calibri"/>
          <w:color w:val="000000" w:themeColor="text1"/>
          <w:lang w:val="en-GB"/>
        </w:rPr>
        <w:t>We found consistent results using both Vitamin D GWAS. There was no evidence for an intrauterine effect of maternal vitamin D on any of the neurodevelopmental outcomes in MoBa (Supplementary Table S1). The</w:t>
      </w:r>
      <w:r w:rsidR="00CA38FF" w:rsidRPr="001C35E2">
        <w:rPr>
          <w:rFonts w:ascii="Cambria" w:hAnsi="Cambria" w:cs="Calibri"/>
          <w:color w:val="000000" w:themeColor="text1"/>
          <w:lang w:val="en-GB"/>
        </w:rPr>
        <w:t>re was c</w:t>
      </w:r>
      <w:r w:rsidRPr="001C35E2">
        <w:rPr>
          <w:rFonts w:ascii="Cambria" w:hAnsi="Cambria" w:cs="Calibri"/>
          <w:color w:val="000000" w:themeColor="text1"/>
          <w:lang w:val="en-GB"/>
        </w:rPr>
        <w:t>onsistent</w:t>
      </w:r>
      <w:r w:rsidR="00CA38FF" w:rsidRPr="001C35E2">
        <w:rPr>
          <w:rFonts w:ascii="Cambria" w:hAnsi="Cambria" w:cs="Calibri"/>
          <w:color w:val="000000" w:themeColor="text1"/>
          <w:lang w:val="en-GB"/>
        </w:rPr>
        <w:t xml:space="preserve">ly </w:t>
      </w:r>
      <w:r w:rsidRPr="001C35E2">
        <w:rPr>
          <w:rFonts w:ascii="Cambria" w:hAnsi="Cambria" w:cs="Calibri"/>
          <w:color w:val="000000" w:themeColor="text1"/>
          <w:lang w:val="en-GB"/>
        </w:rPr>
        <w:t xml:space="preserve">no evidence of an association, but there was difference in the effect size, given that the Manousaki et al (2020) GWAS gave the effect sizes in standardised units and the Revez et al. (2020) GWAS gave the units in </w:t>
      </w:r>
      <w:r w:rsidR="00BC0AFD" w:rsidRPr="001C35E2">
        <w:rPr>
          <w:rFonts w:ascii="Cambria" w:hAnsi="Cambria" w:cs="Calibri"/>
          <w:color w:val="000000" w:themeColor="text1"/>
          <w:lang w:val="en-GB"/>
        </w:rPr>
        <w:t>nmol L</w:t>
      </w:r>
      <w:r w:rsidR="00BC0AFD" w:rsidRPr="001C35E2">
        <w:rPr>
          <w:rFonts w:ascii="Cambria" w:hAnsi="Cambria" w:cs="Calibri"/>
          <w:color w:val="000000" w:themeColor="text1"/>
          <w:vertAlign w:val="superscript"/>
          <w:lang w:val="en-GB"/>
        </w:rPr>
        <w:t>−1</w:t>
      </w:r>
      <w:r w:rsidRPr="001C35E2">
        <w:rPr>
          <w:rFonts w:ascii="Cambria" w:hAnsi="Cambria" w:cs="Calibri"/>
          <w:color w:val="000000" w:themeColor="text1"/>
          <w:lang w:val="en-GB"/>
        </w:rPr>
        <w:t>. The genetic instrument using the Revez et al.</w:t>
      </w:r>
      <w:r w:rsidR="009777B3" w:rsidRPr="001C35E2">
        <w:rPr>
          <w:rFonts w:ascii="Cambria" w:hAnsi="Cambria" w:cs="Calibri"/>
          <w:color w:val="000000" w:themeColor="text1"/>
          <w:lang w:val="en-GB"/>
        </w:rPr>
        <w:t xml:space="preserve"> </w:t>
      </w:r>
      <w:r w:rsidR="009777B3" w:rsidRPr="001C35E2">
        <w:rPr>
          <w:rFonts w:ascii="Cambria" w:hAnsi="Cambria" w:cs="Calibri"/>
          <w:color w:val="000000" w:themeColor="text1"/>
          <w:lang w:val="en-GB"/>
        </w:rPr>
        <w:fldChar w:fldCharType="begin"/>
      </w:r>
      <w:r w:rsidR="00713FAA" w:rsidRPr="001C35E2">
        <w:rPr>
          <w:rFonts w:ascii="Cambria" w:hAnsi="Cambria" w:cs="Calibri"/>
          <w:color w:val="000000" w:themeColor="text1"/>
          <w:lang w:val="en-GB"/>
        </w:rPr>
        <w:instrText xml:space="preserve"> ADDIN ZOTERO_ITEM CSL_CITATION {"citationID":"idG5IU8U","properties":{"formattedCitation":"(2020)","plainCitation":"(2020)","noteIndex":0},"citationItems":[{"id":3566,"uris":["http://zotero.org/users/5402137/items/DN7M4VD2"],"itemData":{"id":3566,"type":"article-journal","abstract":"Vitamin D deficiency is a candidate risk factor for a range of adverse health outcomes. In a genome-wide association study of 25 hydroxyvitamin D (25OHD) concentration in 417,580 Europeans we identify 143 independent loci in 112 1-Mb regions, providing insights into the physiology of vitamin D and implicating genes involved in lipid and lipoprotein metabolism, dermal tissue properties, and the sulphonation and glucuronidation of 25OHD. Mendelian randomization models find no robust evidence that 25OHD concentration has causal effects on candidate phenotypes (e.g. BMI, psychiatric disorders), but many phenotypes have (direct or indirect) causal effects on 25OHD concentration, clarifying the epidemiological relationship between 25OHD status and the health outcomes examined in this study.","container-title":"Nature Communications","DOI":"10.1038/s41467-020-15421-7","ISSN":"2041-1723","issue":"1","journalAbbreviation":"Nat Commun","language":"en","license":"2020 The Author(s)","note":"Bandiera_abtest: a\nCc_license_type: cc_by\nCg_type: Nature Research Journals\nnumber: 1\nPrimary_atype: Research\npublisher: Nature Publishing Group\nSubject_term: Calcium and vitamin D;Genome-wide association studies;Psychiatric disorders;Risk factors\nSubject_term_id: calcium-and-vitamin-d;genome-wide-association-studies;psychiatric-disorders;risk-factors","page":"1647","source":"www.nature.com","title":"Genome-wide association study identifies 143 loci associated with 25 hydroxyvitamin D concentration","volume":"11","author":[{"family":"Revez","given":"Joana A."},{"family":"Lin","given":"Tian"},{"family":"Qiao","given":"Zhen"},{"family":"Xue","given":"Angli"},{"family":"Holtz","given":"Yan"},{"family":"Zhu","given":"Zhihong"},{"family":"Zeng","given":"Jian"},{"family":"Wang","given":"Huanwei"},{"family":"Sidorenko","given":"Julia"},{"family":"Kemper","given":"Kathryn E."},{"family":"Vinkhuyzen","given":"Anna A. E."},{"family":"Frater","given":"Julanne"},{"family":"Eyles","given":"Darryl"},{"family":"Burne","given":"Thomas H. J."},{"family":"Mitchell","given":"Brittany"},{"family":"Martin","given":"Nicholas G."},{"family":"Zhu","given":"Gu"},{"family":"Visscher","given":"Peter M."},{"family":"Yang","given":"Jian"},{"family":"Wray","given":"Naomi R."},{"family":"McGrath","given":"John J."}],"issued":{"date-parts":[["2020",4,2]]}},"label":"page","suppress-author":true}],"schema":"https://github.com/citation-style-language/schema/raw/master/csl-citation.json"} </w:instrText>
      </w:r>
      <w:r w:rsidR="009777B3" w:rsidRPr="001C35E2">
        <w:rPr>
          <w:rFonts w:ascii="Cambria" w:hAnsi="Cambria" w:cs="Calibri"/>
          <w:color w:val="000000" w:themeColor="text1"/>
          <w:lang w:val="en-GB"/>
        </w:rPr>
        <w:fldChar w:fldCharType="separate"/>
      </w:r>
      <w:r w:rsidR="0000654D" w:rsidRPr="001C35E2">
        <w:rPr>
          <w:rFonts w:ascii="Cambria" w:hAnsi="Cambria" w:cs="Calibri"/>
          <w:noProof/>
          <w:color w:val="000000" w:themeColor="text1"/>
          <w:lang w:val="en-GB"/>
        </w:rPr>
        <w:t>(2020)</w:t>
      </w:r>
      <w:r w:rsidR="009777B3" w:rsidRPr="001C35E2">
        <w:rPr>
          <w:rFonts w:ascii="Cambria" w:hAnsi="Cambria" w:cs="Calibri"/>
          <w:color w:val="000000" w:themeColor="text1"/>
          <w:lang w:val="en-GB"/>
        </w:rPr>
        <w:fldChar w:fldCharType="end"/>
      </w:r>
      <w:r w:rsidRPr="001C35E2">
        <w:rPr>
          <w:rFonts w:ascii="Cambria" w:hAnsi="Cambria" w:cs="Calibri"/>
          <w:color w:val="000000" w:themeColor="text1"/>
          <w:lang w:val="en-GB"/>
        </w:rPr>
        <w:t xml:space="preserve"> was suitably strong with F statistic greater than 10 (Supplementary Table S2) and although these results also showed evidence of heterogeneity (Supplementary Table S3), there was no evidence of bias from horizontal pleiotropy, as measured by the MR Egger intercept (Supplementary Table S4), which I</w:t>
      </w:r>
      <w:r w:rsidRPr="001C35E2">
        <w:rPr>
          <w:rFonts w:ascii="Cambria" w:hAnsi="Cambria" w:cs="Calibri"/>
          <w:color w:val="000000" w:themeColor="text1"/>
          <w:vertAlign w:val="superscript"/>
          <w:lang w:val="en-GB"/>
        </w:rPr>
        <w:t>2</w:t>
      </w:r>
      <w:r w:rsidRPr="001C35E2">
        <w:rPr>
          <w:rFonts w:ascii="Cambria" w:hAnsi="Cambria" w:cs="Calibri"/>
          <w:color w:val="000000" w:themeColor="text1"/>
          <w:vertAlign w:val="subscript"/>
          <w:lang w:val="en-GB"/>
        </w:rPr>
        <w:t>GX</w:t>
      </w:r>
      <w:r w:rsidRPr="001C35E2">
        <w:rPr>
          <w:rFonts w:ascii="Cambria" w:hAnsi="Cambria" w:cs="Calibri"/>
          <w:color w:val="000000" w:themeColor="text1"/>
          <w:lang w:val="en-GB"/>
        </w:rPr>
        <w:t xml:space="preserve"> suggested was valid (Supplementary Table S2). </w:t>
      </w:r>
    </w:p>
    <w:p w14:paraId="1845641E" w14:textId="77777777" w:rsidR="00F5610C" w:rsidRPr="001C35E2" w:rsidRDefault="00F5610C" w:rsidP="00F5610C">
      <w:pPr>
        <w:pStyle w:val="NormalWeb"/>
        <w:shd w:val="clear" w:color="auto" w:fill="FFFFFF"/>
        <w:spacing w:after="0"/>
        <w:rPr>
          <w:rFonts w:ascii="Cambria" w:hAnsi="Cambria" w:cs="Calibri"/>
          <w:color w:val="000000" w:themeColor="text1"/>
          <w:lang w:val="en-GB"/>
        </w:rPr>
      </w:pPr>
    </w:p>
    <w:p w14:paraId="391E9E80" w14:textId="2D545F89" w:rsidR="00F5610C" w:rsidRPr="001C35E2" w:rsidRDefault="00F5610C" w:rsidP="00F5610C">
      <w:pPr>
        <w:pStyle w:val="NormalWeb"/>
        <w:shd w:val="clear" w:color="auto" w:fill="FFFFFF"/>
        <w:spacing w:after="0"/>
        <w:rPr>
          <w:rFonts w:ascii="Cambria" w:hAnsi="Cambria" w:cs="Calibri"/>
          <w:color w:val="000000" w:themeColor="text1"/>
          <w:lang w:val="en-GB"/>
        </w:rPr>
      </w:pPr>
      <w:r w:rsidRPr="001C35E2">
        <w:rPr>
          <w:rFonts w:ascii="Cambria" w:hAnsi="Cambria" w:cs="Calibri"/>
          <w:color w:val="000000" w:themeColor="text1"/>
          <w:lang w:val="en-GB"/>
        </w:rPr>
        <w:t xml:space="preserve">When conducting the trio polygenic score analysis with the Revez et al. (2020) GWAS, again the results were highly consistent with the Manousaki et al </w:t>
      </w:r>
      <w:r w:rsidR="0000654D" w:rsidRPr="001C35E2">
        <w:rPr>
          <w:rFonts w:ascii="Cambria" w:hAnsi="Cambria" w:cs="Calibri"/>
          <w:color w:val="000000" w:themeColor="text1"/>
          <w:lang w:val="en-GB"/>
        </w:rPr>
        <w:fldChar w:fldCharType="begin"/>
      </w:r>
      <w:r w:rsidR="00713FAA" w:rsidRPr="001C35E2">
        <w:rPr>
          <w:rFonts w:ascii="Cambria" w:hAnsi="Cambria" w:cs="Calibri"/>
          <w:color w:val="000000" w:themeColor="text1"/>
          <w:lang w:val="en-GB"/>
        </w:rPr>
        <w:instrText xml:space="preserve"> ADDIN ZOTERO_ITEM CSL_CITATION {"citationID":"0MZxOenO","properties":{"formattedCitation":"(2020)","plainCitation":"(2020)","noteIndex":0},"citationItems":[{"id":1224,"uris":["http://zotero.org/users/5402137/items/6HMP347F"],"itemData":{"id":1224,"type":"article-journal","abstract":"We aimed to increase our understanding of the genetic determinants of vitamin D levels by undertaking a large-scale genome-wide association study (GWAS) of serum 25 hydroxyvitamin D (25OHD). To do so, we used imputed genotypes from 401,460 white British UK Biobank participants with available 25OHD levels, retaining single-nucleotide polymorphisms (SNPs) with minor allele frequency (MAF) &gt; 0.1% and imputation quality score &gt; 0.3. We performed a linear mixed model GWAS on standardized log-transformed 25OHD, adjusting for age, sex, season of measurement, and vitamin D supplementation. These results were combined with those from a previous GWAS including 42,274 Europeans. In silico functional follow-up of the GWAS results was undertaken to identify enrichment in gene sets, pathways, and expression in tissues, and to investigate the partitioned heritability of 25OHD and its shared heritability with other traits. Using this approach, the SNP heritability of 25OHD was estimated to 16.1%. 138 conditionally independent SNPs were detected (p value &lt; 6.6 × 10-9) among which 53 had MAF &lt; 5%. Single variant association signals mapped to 69 distinct loci, among which 63 were previously unreported. We identified enrichment in hepatic and lipid metabolism gene pathways and enriched expression of the 25OHD genes in liver, skin, and gastrointestinal tissues. We observed partially shared heritability between 25OHD and socio-economic traits, a feature which may be mediated through time spent outdoors. Therefore, through a large 25OHD GWAS, we identified 63 loci that underline the contribution of genes outside the vitamin D canonical metabolic pathway to the genetic architecture of 25OHD.","container-title":"American Journal of Human Genetics","DOI":"10.1016/j.ajhg.2020.01.017","ISSN":"1537-6605","issue":"3","journalAbbreviation":"Am. J. Hum. Genet.","language":"eng","note":"PMID: 32059762\nPMCID: PMC7058824","page":"327-337","source":"PubMed","title":"Genome-wide Association Study for Vitamin D Levels Reveals 69 Independent Loci","volume":"106","author":[{"family":"Manousaki","given":"Despoina"},{"family":"Mitchell","given":"Ruth"},{"family":"Dudding","given":"Tom"},{"family":"Haworth","given":"Simon"},{"family":"Harroud","given":"Adil"},{"family":"Forgetta","given":"Vincenzo"},{"family":"Shah","given":"Rupal L."},{"family":"Luan","given":"Jian'an"},{"family":"Langenberg","given":"Claudia"},{"family":"Timpson","given":"Nicholas J."},{"family":"Richards","given":"J. Brent"}],"issued":{"date-parts":[["2020"]],"season":"05"}},"label":"page","suppress-author":true}],"schema":"https://github.com/citation-style-language/schema/raw/master/csl-citation.json"} </w:instrText>
      </w:r>
      <w:r w:rsidR="0000654D" w:rsidRPr="001C35E2">
        <w:rPr>
          <w:rFonts w:ascii="Cambria" w:hAnsi="Cambria" w:cs="Calibri"/>
          <w:color w:val="000000" w:themeColor="text1"/>
          <w:lang w:val="en-GB"/>
        </w:rPr>
        <w:fldChar w:fldCharType="separate"/>
      </w:r>
      <w:r w:rsidR="0000654D" w:rsidRPr="001C35E2">
        <w:rPr>
          <w:rFonts w:ascii="Cambria" w:hAnsi="Cambria" w:cs="Calibri"/>
          <w:noProof/>
          <w:color w:val="000000" w:themeColor="text1"/>
          <w:lang w:val="en-GB"/>
        </w:rPr>
        <w:t>(2020)</w:t>
      </w:r>
      <w:r w:rsidR="0000654D" w:rsidRPr="001C35E2">
        <w:rPr>
          <w:rFonts w:ascii="Cambria" w:hAnsi="Cambria" w:cs="Calibri"/>
          <w:color w:val="000000" w:themeColor="text1"/>
          <w:lang w:val="en-GB"/>
        </w:rPr>
        <w:fldChar w:fldCharType="end"/>
      </w:r>
      <w:r w:rsidR="0000654D" w:rsidRPr="001C35E2">
        <w:rPr>
          <w:rFonts w:ascii="Cambria" w:hAnsi="Cambria" w:cs="Calibri"/>
          <w:color w:val="000000" w:themeColor="text1"/>
          <w:lang w:val="en-GB"/>
        </w:rPr>
        <w:t xml:space="preserve"> </w:t>
      </w:r>
      <w:r w:rsidRPr="001C35E2">
        <w:rPr>
          <w:rFonts w:ascii="Cambria" w:hAnsi="Cambria" w:cs="Calibri"/>
          <w:color w:val="000000" w:themeColor="text1"/>
          <w:lang w:val="en-GB"/>
        </w:rPr>
        <w:t>GWAS, showing no evidence for intrauterine effects either before or after adjustment for child and father PGS (Supplementary Table S1</w:t>
      </w:r>
      <w:r w:rsidR="00441ED2" w:rsidRPr="001C35E2">
        <w:rPr>
          <w:rFonts w:ascii="Cambria" w:hAnsi="Cambria" w:cs="Calibri"/>
          <w:color w:val="000000" w:themeColor="text1"/>
          <w:lang w:val="en-GB"/>
        </w:rPr>
        <w:t>1</w:t>
      </w:r>
      <w:r w:rsidRPr="001C35E2">
        <w:rPr>
          <w:rFonts w:ascii="Cambria" w:hAnsi="Cambria" w:cs="Calibri"/>
          <w:color w:val="000000" w:themeColor="text1"/>
          <w:lang w:val="en-GB"/>
        </w:rPr>
        <w:t xml:space="preserve">). </w:t>
      </w:r>
    </w:p>
    <w:p w14:paraId="66B378E7" w14:textId="77777777" w:rsidR="00F5610C" w:rsidRPr="001C35E2" w:rsidRDefault="00F5610C" w:rsidP="00F5610C">
      <w:pPr>
        <w:pStyle w:val="NormalWeb"/>
        <w:shd w:val="clear" w:color="auto" w:fill="FFFFFF"/>
        <w:spacing w:after="0"/>
        <w:rPr>
          <w:rFonts w:ascii="Cambria" w:hAnsi="Cambria" w:cs="Calibri"/>
          <w:color w:val="000000" w:themeColor="text1"/>
          <w:lang w:val="en-GB"/>
        </w:rPr>
      </w:pPr>
    </w:p>
    <w:p w14:paraId="0E321F0C" w14:textId="7A3A17A0" w:rsidR="00F5610C" w:rsidRPr="001C35E2" w:rsidRDefault="00F5610C" w:rsidP="00F5610C">
      <w:pPr>
        <w:pStyle w:val="NormalWeb"/>
        <w:shd w:val="clear" w:color="auto" w:fill="FFFFFF"/>
        <w:spacing w:after="0"/>
        <w:rPr>
          <w:rFonts w:ascii="Cambria" w:hAnsi="Cambria" w:cs="Calibri"/>
          <w:color w:val="000000" w:themeColor="text1"/>
          <w:lang w:val="en-GB"/>
        </w:rPr>
      </w:pPr>
      <w:r w:rsidRPr="001C35E2">
        <w:rPr>
          <w:rFonts w:ascii="Cambria" w:hAnsi="Cambria" w:cs="Calibri"/>
          <w:color w:val="000000" w:themeColor="text1"/>
          <w:lang w:val="en-GB"/>
        </w:rPr>
        <w:t xml:space="preserve">Given the high degree of consistency between the results </w:t>
      </w:r>
      <w:r w:rsidR="00AC1780" w:rsidRPr="001C35E2">
        <w:rPr>
          <w:rFonts w:ascii="Cambria" w:hAnsi="Cambria" w:cs="Calibri"/>
          <w:color w:val="000000" w:themeColor="text1"/>
          <w:lang w:val="en-GB"/>
        </w:rPr>
        <w:t>using</w:t>
      </w:r>
      <w:r w:rsidRPr="001C35E2">
        <w:rPr>
          <w:rFonts w:ascii="Cambria" w:hAnsi="Cambria" w:cs="Calibri"/>
          <w:color w:val="000000" w:themeColor="text1"/>
          <w:lang w:val="en-GB"/>
        </w:rPr>
        <w:t xml:space="preserve"> the Manousaki</w:t>
      </w:r>
      <w:r w:rsidR="00AC1780" w:rsidRPr="001C35E2">
        <w:rPr>
          <w:rFonts w:ascii="Cambria" w:hAnsi="Cambria" w:cs="Calibri"/>
          <w:color w:val="000000" w:themeColor="text1"/>
          <w:lang w:val="en-GB"/>
        </w:rPr>
        <w:t xml:space="preserve"> et al. (2020) GWAS compared to the Re</w:t>
      </w:r>
      <w:r w:rsidRPr="001C35E2">
        <w:rPr>
          <w:rFonts w:ascii="Cambria" w:hAnsi="Cambria" w:cs="Calibri"/>
          <w:color w:val="000000" w:themeColor="text1"/>
          <w:lang w:val="en-GB"/>
        </w:rPr>
        <w:t>vez et al</w:t>
      </w:r>
      <w:r w:rsidR="00AC1780" w:rsidRPr="001C35E2">
        <w:rPr>
          <w:rFonts w:ascii="Cambria" w:hAnsi="Cambria" w:cs="Calibri"/>
          <w:color w:val="000000" w:themeColor="text1"/>
          <w:lang w:val="en-GB"/>
        </w:rPr>
        <w:t>. (2020)</w:t>
      </w:r>
      <w:r w:rsidRPr="001C35E2">
        <w:rPr>
          <w:rFonts w:ascii="Cambria" w:hAnsi="Cambria" w:cs="Calibri"/>
          <w:color w:val="000000" w:themeColor="text1"/>
          <w:lang w:val="en-GB"/>
        </w:rPr>
        <w:t xml:space="preserve"> GWAS, we c</w:t>
      </w:r>
      <w:r w:rsidR="00AC1780" w:rsidRPr="001C35E2">
        <w:rPr>
          <w:rFonts w:ascii="Cambria" w:hAnsi="Cambria" w:cs="Calibri"/>
          <w:color w:val="000000" w:themeColor="text1"/>
          <w:lang w:val="en-GB"/>
        </w:rPr>
        <w:t>h</w:t>
      </w:r>
      <w:r w:rsidRPr="001C35E2">
        <w:rPr>
          <w:rFonts w:ascii="Cambria" w:hAnsi="Cambria" w:cs="Calibri"/>
          <w:color w:val="000000" w:themeColor="text1"/>
          <w:lang w:val="en-GB"/>
        </w:rPr>
        <w:t>ose</w:t>
      </w:r>
      <w:r w:rsidR="00AC1780" w:rsidRPr="001C35E2">
        <w:rPr>
          <w:rFonts w:ascii="Cambria" w:hAnsi="Cambria" w:cs="Calibri"/>
          <w:color w:val="000000" w:themeColor="text1"/>
          <w:lang w:val="en-GB"/>
        </w:rPr>
        <w:t xml:space="preserve"> to use </w:t>
      </w:r>
      <w:r w:rsidRPr="001C35E2">
        <w:rPr>
          <w:rFonts w:ascii="Cambria" w:hAnsi="Cambria" w:cs="Calibri"/>
          <w:color w:val="000000" w:themeColor="text1"/>
          <w:lang w:val="en-GB"/>
        </w:rPr>
        <w:t>Manousaki et al</w:t>
      </w:r>
      <w:r w:rsidR="00C97E7C" w:rsidRPr="001C35E2">
        <w:rPr>
          <w:rFonts w:ascii="Cambria" w:hAnsi="Cambria" w:cs="Calibri"/>
          <w:color w:val="000000" w:themeColor="text1"/>
          <w:lang w:val="en-GB"/>
        </w:rPr>
        <w:t>. (2020) as our primary analysis</w:t>
      </w:r>
      <w:r w:rsidRPr="001C35E2">
        <w:rPr>
          <w:rFonts w:ascii="Cambria" w:hAnsi="Cambria" w:cs="Calibri"/>
          <w:color w:val="000000" w:themeColor="text1"/>
          <w:lang w:val="en-GB"/>
        </w:rPr>
        <w:t>, given that the effect</w:t>
      </w:r>
      <w:r w:rsidR="00C97E7C" w:rsidRPr="001C35E2">
        <w:rPr>
          <w:rFonts w:ascii="Cambria" w:hAnsi="Cambria" w:cs="Calibri"/>
          <w:color w:val="000000" w:themeColor="text1"/>
          <w:lang w:val="en-GB"/>
        </w:rPr>
        <w:t xml:space="preserve"> </w:t>
      </w:r>
      <w:r w:rsidRPr="001C35E2">
        <w:rPr>
          <w:rFonts w:ascii="Cambria" w:hAnsi="Cambria" w:cs="Calibri"/>
          <w:color w:val="000000" w:themeColor="text1"/>
          <w:lang w:val="en-GB"/>
        </w:rPr>
        <w:t xml:space="preserve">estimates are </w:t>
      </w:r>
      <w:r w:rsidR="00CB6CFB" w:rsidRPr="001C35E2">
        <w:rPr>
          <w:rFonts w:ascii="Cambria" w:hAnsi="Cambria" w:cs="Calibri"/>
          <w:color w:val="000000" w:themeColor="text1"/>
          <w:lang w:val="en-GB"/>
        </w:rPr>
        <w:t>standardised</w:t>
      </w:r>
      <w:r w:rsidRPr="001C35E2">
        <w:rPr>
          <w:rFonts w:ascii="Cambria" w:hAnsi="Cambria" w:cs="Calibri"/>
          <w:color w:val="000000" w:themeColor="text1"/>
          <w:lang w:val="en-GB"/>
        </w:rPr>
        <w:t xml:space="preserve"> and there</w:t>
      </w:r>
      <w:r w:rsidR="00C97E7C" w:rsidRPr="001C35E2">
        <w:rPr>
          <w:rFonts w:ascii="Cambria" w:hAnsi="Cambria" w:cs="Calibri"/>
          <w:color w:val="000000" w:themeColor="text1"/>
          <w:lang w:val="en-GB"/>
        </w:rPr>
        <w:t>f</w:t>
      </w:r>
      <w:r w:rsidRPr="001C35E2">
        <w:rPr>
          <w:rFonts w:ascii="Cambria" w:hAnsi="Cambria" w:cs="Calibri"/>
          <w:color w:val="000000" w:themeColor="text1"/>
          <w:lang w:val="en-GB"/>
        </w:rPr>
        <w:t>ore easier to interpret and compare with standardised DHA effects. Fur</w:t>
      </w:r>
      <w:r w:rsidR="00C97E7C" w:rsidRPr="001C35E2">
        <w:rPr>
          <w:rFonts w:ascii="Cambria" w:hAnsi="Cambria" w:cs="Calibri"/>
          <w:color w:val="000000" w:themeColor="text1"/>
          <w:lang w:val="en-GB"/>
        </w:rPr>
        <w:t>t</w:t>
      </w:r>
      <w:r w:rsidRPr="001C35E2">
        <w:rPr>
          <w:rFonts w:ascii="Cambria" w:hAnsi="Cambria" w:cs="Calibri"/>
          <w:color w:val="000000" w:themeColor="text1"/>
          <w:lang w:val="en-GB"/>
        </w:rPr>
        <w:t>hermore, the Manousaki et al</w:t>
      </w:r>
      <w:r w:rsidR="001B66B5" w:rsidRPr="001C35E2">
        <w:rPr>
          <w:rFonts w:ascii="Cambria" w:hAnsi="Cambria" w:cs="Calibri"/>
          <w:color w:val="000000" w:themeColor="text1"/>
          <w:lang w:val="en-GB"/>
        </w:rPr>
        <w:t>.</w:t>
      </w:r>
      <w:r w:rsidRPr="001C35E2">
        <w:rPr>
          <w:rFonts w:ascii="Cambria" w:hAnsi="Cambria" w:cs="Calibri"/>
          <w:color w:val="000000" w:themeColor="text1"/>
          <w:lang w:val="en-GB"/>
        </w:rPr>
        <w:t xml:space="preserve"> </w:t>
      </w:r>
      <w:r w:rsidR="001B66B5" w:rsidRPr="001C35E2">
        <w:rPr>
          <w:rFonts w:ascii="Cambria" w:hAnsi="Cambria" w:cs="Calibri"/>
          <w:color w:val="000000" w:themeColor="text1"/>
          <w:lang w:val="en-GB"/>
        </w:rPr>
        <w:t xml:space="preserve">(2020) </w:t>
      </w:r>
      <w:r w:rsidRPr="001C35E2">
        <w:rPr>
          <w:rFonts w:ascii="Cambria" w:hAnsi="Cambria" w:cs="Calibri"/>
          <w:color w:val="000000" w:themeColor="text1"/>
          <w:lang w:val="en-GB"/>
        </w:rPr>
        <w:t xml:space="preserve">genetic instrument had been shown to associated with levels of vitamin D </w:t>
      </w:r>
      <w:r w:rsidR="001B66B5" w:rsidRPr="001C35E2">
        <w:rPr>
          <w:rFonts w:ascii="Cambria" w:hAnsi="Cambria" w:cs="Calibri"/>
          <w:color w:val="000000" w:themeColor="text1"/>
          <w:lang w:val="en-GB"/>
        </w:rPr>
        <w:t>during</w:t>
      </w:r>
      <w:r w:rsidRPr="001C35E2">
        <w:rPr>
          <w:rFonts w:ascii="Cambria" w:hAnsi="Cambria" w:cs="Calibri"/>
          <w:color w:val="000000" w:themeColor="text1"/>
          <w:lang w:val="en-GB"/>
        </w:rPr>
        <w:t xml:space="preserve"> pregnancy in the ALSPAC cohort</w:t>
      </w:r>
      <w:r w:rsidR="0000654D" w:rsidRPr="001C35E2">
        <w:rPr>
          <w:rFonts w:ascii="Cambria" w:hAnsi="Cambria" w:cs="Calibri"/>
          <w:color w:val="000000" w:themeColor="text1"/>
          <w:lang w:val="en-GB"/>
        </w:rPr>
        <w:t xml:space="preserve"> </w:t>
      </w:r>
      <w:r w:rsidR="00485D52" w:rsidRPr="001C35E2">
        <w:rPr>
          <w:rFonts w:ascii="Cambria" w:hAnsi="Cambria" w:cs="Calibri"/>
          <w:color w:val="000000" w:themeColor="text1"/>
          <w:lang w:val="en-GB"/>
        </w:rPr>
        <w:fldChar w:fldCharType="begin"/>
      </w:r>
      <w:r w:rsidR="00713FAA" w:rsidRPr="001C35E2">
        <w:rPr>
          <w:rFonts w:ascii="Cambria" w:hAnsi="Cambria" w:cs="Calibri"/>
          <w:color w:val="000000" w:themeColor="text1"/>
          <w:lang w:val="en-GB"/>
        </w:rPr>
        <w:instrText xml:space="preserve"> ADDIN ZOTERO_ITEM CSL_CITATION {"citationID":"NCzUJlRP","properties":{"formattedCitation":"(Madley-Dowd et al., 2022)","plainCitation":"(Madley-Dowd et al., 2022)","noteIndex":0},"citationItems":[{"id":4014,"uris":["http://zotero.org/users/5402137/items/24GUQHKL"],"itemData":{"id":4014,"type":"article-journal","abstract":"There has been a growing interest in the association between maternal levels of vitamin D during pregnancy and offspring autism. However, whether any associations reflect causal effects is still inconclusive.","container-title":"Molecular Autism","DOI":"10.1186/s13229-022-00523-4","ISSN":"2040-2392","issue":"1","journalAbbreviation":"Molecular Autism","page":"44","source":"BioMed Central","title":"Maternal vitamin D during pregnancy and offspring autism and autism-associated traits: a prospective cohort study","title-short":"Maternal vitamin D during pregnancy and offspring autism and autism-associated traits","volume":"13","author":[{"family":"Madley-Dowd","given":"Paul"},{"family":"Dardani","given":"Christina"},{"family":"Wootton","given":"Robyn E."},{"family":"Dack","given":"Kyle"},{"family":"Palmer","given":"Tom"},{"family":"Thurston","given":"Rupert"},{"family":"Havdahl","given":"Alexandra"},{"family":"Golding","given":"Jean"},{"family":"Lawlor","given":"Deborah"},{"family":"Rai","given":"Dheeraj"}],"issued":{"date-parts":[["2022",11,12]]}}}],"schema":"https://github.com/citation-style-language/schema/raw/master/csl-citation.json"} </w:instrText>
      </w:r>
      <w:r w:rsidR="00485D52" w:rsidRPr="001C35E2">
        <w:rPr>
          <w:rFonts w:ascii="Cambria" w:hAnsi="Cambria" w:cs="Calibri"/>
          <w:color w:val="000000" w:themeColor="text1"/>
          <w:lang w:val="en-GB"/>
        </w:rPr>
        <w:fldChar w:fldCharType="separate"/>
      </w:r>
      <w:r w:rsidR="0062285E" w:rsidRPr="001C35E2">
        <w:rPr>
          <w:rFonts w:ascii="Cambria" w:hAnsi="Cambria"/>
          <w:color w:val="000000"/>
          <w:lang w:val="en-GB"/>
        </w:rPr>
        <w:t>(Madley-Dowd et al., 2022)</w:t>
      </w:r>
      <w:r w:rsidR="00485D52" w:rsidRPr="001C35E2">
        <w:rPr>
          <w:rFonts w:ascii="Cambria" w:hAnsi="Cambria" w:cs="Calibri"/>
          <w:color w:val="000000" w:themeColor="text1"/>
          <w:lang w:val="en-GB"/>
        </w:rPr>
        <w:fldChar w:fldCharType="end"/>
      </w:r>
      <w:r w:rsidRPr="001C35E2">
        <w:rPr>
          <w:rFonts w:ascii="Cambria" w:hAnsi="Cambria" w:cs="Calibri"/>
          <w:color w:val="000000" w:themeColor="text1"/>
          <w:lang w:val="en-GB"/>
        </w:rPr>
        <w:t xml:space="preserve">. We are encouraged that </w:t>
      </w:r>
      <w:r w:rsidR="00CB6CFB" w:rsidRPr="001C35E2">
        <w:rPr>
          <w:rFonts w:ascii="Cambria" w:hAnsi="Cambria" w:cs="Calibri"/>
          <w:color w:val="000000" w:themeColor="text1"/>
          <w:lang w:val="en-GB"/>
        </w:rPr>
        <w:t xml:space="preserve">the </w:t>
      </w:r>
      <w:r w:rsidRPr="001C35E2">
        <w:rPr>
          <w:rFonts w:ascii="Cambria" w:hAnsi="Cambria" w:cs="Calibri"/>
          <w:color w:val="000000" w:themeColor="text1"/>
          <w:lang w:val="en-GB"/>
        </w:rPr>
        <w:t xml:space="preserve">results are so consistent, which is expected given the highly overlapping GWAS samples. </w:t>
      </w:r>
    </w:p>
    <w:p w14:paraId="33DDBCC4" w14:textId="77777777" w:rsidR="00F5610C" w:rsidRPr="001C35E2" w:rsidRDefault="00F5610C" w:rsidP="00F5610C">
      <w:pPr>
        <w:rPr>
          <w:rFonts w:ascii="Cambria" w:hAnsi="Cambria" w:cs="Calibri"/>
          <w:color w:val="000000" w:themeColor="text1"/>
        </w:rPr>
      </w:pPr>
      <w:r w:rsidRPr="001C35E2">
        <w:rPr>
          <w:rFonts w:ascii="Cambria" w:hAnsi="Cambria" w:cs="Calibri"/>
          <w:color w:val="000000" w:themeColor="text1"/>
        </w:rPr>
        <w:br w:type="page"/>
      </w:r>
    </w:p>
    <w:p w14:paraId="5C9F87E3" w14:textId="625CE6D7" w:rsidR="00F5610C" w:rsidRPr="001C35E2" w:rsidRDefault="00F5610C" w:rsidP="00F5610C">
      <w:pPr>
        <w:pStyle w:val="NormalWeb"/>
        <w:shd w:val="clear" w:color="auto" w:fill="FFFFFF"/>
        <w:spacing w:after="0"/>
        <w:rPr>
          <w:rFonts w:ascii="Cambria" w:hAnsi="Cambria"/>
          <w:b/>
          <w:bCs/>
          <w:lang w:val="en-GB"/>
        </w:rPr>
      </w:pPr>
      <w:r w:rsidRPr="001C35E2">
        <w:rPr>
          <w:rFonts w:ascii="Cambria" w:hAnsi="Cambria" w:cs="Calibri"/>
          <w:b/>
          <w:bCs/>
          <w:color w:val="000000" w:themeColor="text1"/>
          <w:lang w:val="en-GB"/>
        </w:rPr>
        <w:lastRenderedPageBreak/>
        <w:t xml:space="preserve">Supplementary Note </w:t>
      </w:r>
      <w:r w:rsidR="00AE317A" w:rsidRPr="001C35E2">
        <w:rPr>
          <w:rFonts w:ascii="Cambria" w:hAnsi="Cambria" w:cs="Calibri"/>
          <w:b/>
          <w:bCs/>
          <w:color w:val="000000" w:themeColor="text1"/>
          <w:lang w:val="en-GB"/>
        </w:rPr>
        <w:t>2</w:t>
      </w:r>
      <w:r w:rsidRPr="001C35E2">
        <w:rPr>
          <w:rFonts w:ascii="Cambria" w:hAnsi="Cambria" w:cs="Calibri"/>
          <w:b/>
          <w:bCs/>
          <w:color w:val="000000" w:themeColor="text1"/>
          <w:lang w:val="en-GB"/>
        </w:rPr>
        <w:t>. V</w:t>
      </w:r>
      <w:r w:rsidRPr="001C35E2">
        <w:rPr>
          <w:rFonts w:ascii="Cambria" w:hAnsi="Cambria"/>
          <w:b/>
          <w:bCs/>
          <w:lang w:val="en-GB"/>
        </w:rPr>
        <w:t>alidation of genetic instrument</w:t>
      </w:r>
      <w:r w:rsidR="00DC7678" w:rsidRPr="001C35E2">
        <w:rPr>
          <w:rFonts w:ascii="Cambria" w:hAnsi="Cambria"/>
          <w:b/>
          <w:bCs/>
          <w:lang w:val="en-GB"/>
        </w:rPr>
        <w:t>s</w:t>
      </w:r>
      <w:r w:rsidRPr="001C35E2">
        <w:rPr>
          <w:rFonts w:ascii="Cambria" w:hAnsi="Cambria"/>
          <w:b/>
          <w:bCs/>
          <w:lang w:val="en-GB"/>
        </w:rPr>
        <w:t xml:space="preserve"> for use during pregnancy in the ALSPAC cohort</w:t>
      </w:r>
    </w:p>
    <w:p w14:paraId="6EA05498" w14:textId="77777777" w:rsidR="00F5610C" w:rsidRPr="001C35E2" w:rsidRDefault="00F5610C" w:rsidP="00F5610C">
      <w:pPr>
        <w:rPr>
          <w:rFonts w:ascii="Cambria" w:hAnsi="Cambria"/>
        </w:rPr>
      </w:pPr>
    </w:p>
    <w:p w14:paraId="501D6C9E" w14:textId="77777777" w:rsidR="0016218A" w:rsidRPr="001C35E2" w:rsidRDefault="0016218A" w:rsidP="00F5610C">
      <w:pPr>
        <w:rPr>
          <w:rFonts w:ascii="Cambria" w:hAnsi="Cambria"/>
          <w:b/>
          <w:bCs/>
        </w:rPr>
      </w:pPr>
      <w:r w:rsidRPr="001C35E2">
        <w:rPr>
          <w:rFonts w:ascii="Cambria" w:hAnsi="Cambria"/>
          <w:b/>
          <w:bCs/>
        </w:rPr>
        <w:t>Methods</w:t>
      </w:r>
    </w:p>
    <w:p w14:paraId="10F36AC8" w14:textId="77777777" w:rsidR="00F269F7" w:rsidRPr="001C35E2" w:rsidRDefault="00F269F7" w:rsidP="00B365D4">
      <w:pPr>
        <w:shd w:val="clear" w:color="auto" w:fill="FFFFFF"/>
        <w:textAlignment w:val="baseline"/>
        <w:rPr>
          <w:rFonts w:ascii="Cambria" w:hAnsi="Cambria"/>
          <w:u w:val="single"/>
        </w:rPr>
      </w:pPr>
      <w:r w:rsidRPr="001C35E2">
        <w:rPr>
          <w:rFonts w:ascii="Cambria" w:hAnsi="Cambria"/>
          <w:u w:val="single"/>
        </w:rPr>
        <w:t>Sample</w:t>
      </w:r>
    </w:p>
    <w:p w14:paraId="45A5EC27" w14:textId="4AEFEA2C" w:rsidR="008D6F91" w:rsidRPr="001C35E2" w:rsidRDefault="00F269F7" w:rsidP="008D6F91">
      <w:pPr>
        <w:rPr>
          <w:rFonts w:ascii="Cambria" w:eastAsia="Times New Roman" w:hAnsi="Cambria" w:cs="Times New Roman"/>
          <w:lang w:eastAsia="en-GB"/>
        </w:rPr>
      </w:pPr>
      <w:r w:rsidRPr="001C35E2">
        <w:rPr>
          <w:rFonts w:ascii="Cambria" w:hAnsi="Cambria"/>
        </w:rPr>
        <w:t xml:space="preserve">The Avon Longitudinal Study of Parents and Children (ALSPAC) </w:t>
      </w:r>
      <w:r w:rsidR="00274197" w:rsidRPr="001C35E2">
        <w:rPr>
          <w:rFonts w:ascii="Cambria" w:hAnsi="Cambria"/>
        </w:rPr>
        <w:t xml:space="preserve">recruited </w:t>
      </w:r>
      <w:r w:rsidR="00274197" w:rsidRPr="001C35E2">
        <w:rPr>
          <w:rFonts w:ascii="Cambria" w:eastAsia="Times New Roman" w:hAnsi="Cambria" w:cs="Times New Roman"/>
          <w:lang w:eastAsia="en-GB"/>
        </w:rPr>
        <w:t>Pregnant women resident in Avon, UK with expected dates of delivery 1st April 1991 to 31st December 1992 were invited to take part in the study</w:t>
      </w:r>
      <w:r w:rsidR="00AA7643" w:rsidRPr="001C35E2">
        <w:rPr>
          <w:rFonts w:ascii="Cambria" w:eastAsia="Times New Roman" w:hAnsi="Cambria" w:cs="Times New Roman"/>
          <w:lang w:eastAsia="en-GB"/>
        </w:rPr>
        <w:fldChar w:fldCharType="begin"/>
      </w:r>
      <w:r w:rsidR="00713FAA" w:rsidRPr="001C35E2">
        <w:rPr>
          <w:rFonts w:ascii="Cambria" w:eastAsia="Times New Roman" w:hAnsi="Cambria" w:cs="Times New Roman"/>
          <w:lang w:eastAsia="en-GB"/>
        </w:rPr>
        <w:instrText xml:space="preserve"> ADDIN ZOTERO_ITEM CSL_CITATION {"citationID":"D3oTj2Gu","properties":{"formattedCitation":"(Boyd et al., 2013; Fraser et al., 2012)","plainCitation":"(Boyd et al., 2013; Fraser et al., 2012)","noteIndex":0},"citationItems":[{"id":369,"uris":["http://zotero.org/users/5402137/items/7IREAP8V"],"itemData":{"id":369,"type":"article-journal","container-title":"International journal of epidemiology","issue":"1","page":"111–127","source":"Google Scholar","title":"Cohort profile: the ‘children of the 90s’—the index offspring of the Avon Longitudinal Study of Parents and Children","title-short":"Cohort profile","volume":"42","author":[{"family":"Boyd","given":"Andy"},{"family":"Golding","given":"Jean"},{"family":"Macleod","given":"John"},{"family":"Lawlor","given":"Debbie A."},{"family":"Fraser","given":"Abigail"},{"family":"Henderson","given":"John"},{"family":"Molloy","given":"Lynn"},{"family":"Ness","given":"Andy"},{"family":"Ring","given":"Susan"},{"family":"Davey Smith","given":"George"}],"issued":{"date-parts":[["2013"]]}}},{"id":274,"uris":["http://zotero.org/users/5402137/items/INZXD8VV"],"itemData":{"id":274,"type":"article-journal","container-title":"International journal of epidemiology","issue":"1","page":"97–110","source":"Google Scholar","title":"Cohort profile: the Avon Longitudinal Study of Parents and Children: ALSPAC mothers cohort","title-short":"Cohort profile","volume":"42","author":[{"family":"Fraser","given":"Abigail"},{"family":"Macdonald-Wallis","given":"Corrie"},{"family":"Tilling","given":"Kate"},{"family":"Boyd","given":"Andy"},{"family":"Golding","given":"Jean"},{"family":"Davey Smith","given":"George"},{"family":"Henderson","given":"John"},{"family":"Macleod","given":"John"},{"family":"Molloy","given":"Lynn"},{"family":"Ness","given":"Andy"}],"issued":{"date-parts":[["2012"]]}}}],"schema":"https://github.com/citation-style-language/schema/raw/master/csl-citation.json"} </w:instrText>
      </w:r>
      <w:r w:rsidR="00AA7643" w:rsidRPr="001C35E2">
        <w:rPr>
          <w:rFonts w:ascii="Cambria" w:eastAsia="Times New Roman" w:hAnsi="Cambria" w:cs="Times New Roman"/>
          <w:lang w:eastAsia="en-GB"/>
        </w:rPr>
        <w:fldChar w:fldCharType="separate"/>
      </w:r>
      <w:r w:rsidR="0062285E" w:rsidRPr="001C35E2">
        <w:rPr>
          <w:rFonts w:ascii="Cambria" w:hAnsi="Cambria" w:cs="Times New Roman"/>
        </w:rPr>
        <w:t>(Boyd et al., 2013; Fraser et al., 2012)</w:t>
      </w:r>
      <w:r w:rsidR="00AA7643" w:rsidRPr="001C35E2">
        <w:rPr>
          <w:rFonts w:ascii="Cambria" w:eastAsia="Times New Roman" w:hAnsi="Cambria" w:cs="Times New Roman"/>
          <w:lang w:eastAsia="en-GB"/>
        </w:rPr>
        <w:fldChar w:fldCharType="end"/>
      </w:r>
      <w:r w:rsidR="00274197" w:rsidRPr="001C35E2">
        <w:rPr>
          <w:rFonts w:ascii="Cambria" w:eastAsia="Times New Roman" w:hAnsi="Cambria" w:cs="Times New Roman"/>
          <w:lang w:eastAsia="en-GB"/>
        </w:rPr>
        <w:t xml:space="preserve">. The initial number of pregnancies enrolled is 14,541 (for these at least one questionnaire has been returned or a “Children in Focus” clinic had been attended by 19/07/99). Of these initial pregnancies, there was a total of 14,676 foetuses, resulting in 14,062 live births and 13,988 children who were alive at 1 year of age. When the oldest children were approximately 7 years of age, an attempt was made to bolster the initial sample with eligible cases who had failed to join the study originally. As a result, when considering variables collected from the age of seven onwards (and potentially abstracted from obstetric notes) there are data available for more than the 14,541 pregnancies mentioned above. The number of new pregnancies not in the initial sample (known as Phase I enrolment) that are currently represented on the built files and reflecting enrolment status at the age of 24 is </w:t>
      </w:r>
      <w:r w:rsidR="00560B49" w:rsidRPr="001C35E2">
        <w:rPr>
          <w:rFonts w:ascii="Cambria" w:hAnsi="Cambria"/>
        </w:rPr>
        <w:t xml:space="preserve">906, resulting in an additional 913 children being enrolled </w:t>
      </w:r>
      <w:r w:rsidR="00274197" w:rsidRPr="001C35E2">
        <w:rPr>
          <w:rFonts w:ascii="Cambria" w:eastAsia="Times New Roman" w:hAnsi="Cambria" w:cs="Times New Roman"/>
          <w:lang w:eastAsia="en-GB"/>
        </w:rPr>
        <w:t xml:space="preserve">(456, 262 and 195 recruited during Phases II, III and IV respectively), resulting in an additional 913 children being enrolled. The phases of enrolment are described in more detail in the cohort profile paper and its update (see footnote 4 below). </w:t>
      </w:r>
      <w:r w:rsidR="00912BAB" w:rsidRPr="001C35E2">
        <w:rPr>
          <w:rFonts w:ascii="Cambria" w:hAnsi="Cambria"/>
        </w:rPr>
        <w:t>The total sample size for analyses using any data collected after the age of seven is therefore 15,447 pregnancies, resulting in 15,658 foetuses. Of these 14,901 children were alive at 1 year of age.</w:t>
      </w:r>
      <w:r w:rsidR="00274197" w:rsidRPr="001C35E2">
        <w:rPr>
          <w:rFonts w:ascii="Cambria" w:eastAsia="Times New Roman" w:hAnsi="Cambria" w:cs="Times New Roman"/>
          <w:lang w:eastAsia="en-GB"/>
        </w:rPr>
        <w:t xml:space="preserve"> A 10% sample of the ALSPAC cohort, known as the Children in Focus (CiF) group, attended clinics at the University of Bristol at various time intervals between 4 to 61 months of age. The CiF group were chosen at random from the last 6 months of ALSPAC births (1432 families attended at least one clinic). Excluded were those mothers who had moved out of the area or were lost to follow-up, and those partaking in another study of infant development in Avon.</w:t>
      </w:r>
      <w:r w:rsidR="008D6F91" w:rsidRPr="001C35E2">
        <w:rPr>
          <w:rFonts w:ascii="Cambria" w:hAnsi="Cambria"/>
        </w:rPr>
        <w:t xml:space="preserve"> </w:t>
      </w:r>
      <w:r w:rsidR="008D6F91" w:rsidRPr="001C35E2">
        <w:rPr>
          <w:rFonts w:ascii="Cambria" w:eastAsia="Times New Roman" w:hAnsi="Cambria" w:cs="Times New Roman"/>
          <w:lang w:eastAsia="en-GB"/>
        </w:rPr>
        <w:t>Ethical approval for the study was obtained from the ALSPAC Ethics and Law Committee and the Local Research Ethics Committees.</w:t>
      </w:r>
      <w:r w:rsidR="00B45FD6" w:rsidRPr="001C35E2">
        <w:rPr>
          <w:rFonts w:ascii="Cambria" w:eastAsia="Times New Roman" w:hAnsi="Cambria" w:cs="Times New Roman"/>
          <w:lang w:eastAsia="en-GB"/>
        </w:rPr>
        <w:t xml:space="preserve"> Consent for biological samples has been collected in accordance with the Human Tissue Act (2004).</w:t>
      </w:r>
      <w:r w:rsidR="00C52E0D" w:rsidRPr="001C35E2">
        <w:rPr>
          <w:rFonts w:ascii="Cambria" w:hAnsi="Cambria"/>
        </w:rPr>
        <w:t xml:space="preserve"> </w:t>
      </w:r>
      <w:r w:rsidR="00C52E0D" w:rsidRPr="001C35E2">
        <w:rPr>
          <w:rFonts w:ascii="Cambria" w:eastAsia="Times New Roman" w:hAnsi="Cambria" w:cs="Times New Roman"/>
          <w:lang w:eastAsia="en-GB"/>
        </w:rPr>
        <w:t>Please note that the study website contains details of all the data that is available through a fully searchable data dictionary and variable search tool (</w:t>
      </w:r>
      <w:hyperlink r:id="rId7" w:history="1">
        <w:r w:rsidR="00C52E0D" w:rsidRPr="001C35E2">
          <w:rPr>
            <w:rStyle w:val="Hyperlink"/>
            <w:rFonts w:ascii="Cambria" w:eastAsia="Times New Roman" w:hAnsi="Cambria" w:cs="Times New Roman"/>
            <w:lang w:eastAsia="en-GB"/>
          </w:rPr>
          <w:t>http://www.bristol.ac.uk/alspac/researchers/our-data/</w:t>
        </w:r>
      </w:hyperlink>
      <w:r w:rsidR="00C52E0D" w:rsidRPr="001C35E2">
        <w:rPr>
          <w:rFonts w:ascii="Cambria" w:eastAsia="Times New Roman" w:hAnsi="Cambria" w:cs="Times New Roman"/>
          <w:lang w:eastAsia="en-GB"/>
        </w:rPr>
        <w:t xml:space="preserve">). </w:t>
      </w:r>
    </w:p>
    <w:p w14:paraId="3D79A9C7" w14:textId="77777777" w:rsidR="00EF3F33" w:rsidRPr="001C35E2" w:rsidRDefault="00EF3F33" w:rsidP="00EF3F33">
      <w:pPr>
        <w:rPr>
          <w:rFonts w:ascii="Cambria" w:hAnsi="Cambria"/>
        </w:rPr>
      </w:pPr>
    </w:p>
    <w:p w14:paraId="029C1562" w14:textId="38EB6A7A" w:rsidR="00F269F7" w:rsidRPr="001C35E2" w:rsidRDefault="00F269F7" w:rsidP="00B365D4">
      <w:pPr>
        <w:shd w:val="clear" w:color="auto" w:fill="FFFFFF"/>
        <w:textAlignment w:val="baseline"/>
        <w:rPr>
          <w:rFonts w:ascii="Cambria" w:hAnsi="Cambria"/>
          <w:u w:val="single"/>
        </w:rPr>
      </w:pPr>
      <w:r w:rsidRPr="001C35E2">
        <w:rPr>
          <w:rFonts w:ascii="Cambria" w:hAnsi="Cambria"/>
          <w:u w:val="single"/>
        </w:rPr>
        <w:t>Genetic variants</w:t>
      </w:r>
      <w:r w:rsidR="008C163C" w:rsidRPr="001C35E2">
        <w:rPr>
          <w:rFonts w:ascii="Cambria" w:hAnsi="Cambria"/>
          <w:u w:val="single"/>
        </w:rPr>
        <w:t xml:space="preserve"> for DHA</w:t>
      </w:r>
    </w:p>
    <w:p w14:paraId="3145C525" w14:textId="522124EE" w:rsidR="00F269F7" w:rsidRPr="001C35E2" w:rsidRDefault="00F269F7" w:rsidP="00B365D4">
      <w:pPr>
        <w:shd w:val="clear" w:color="auto" w:fill="FFFFFF"/>
        <w:textAlignment w:val="baseline"/>
        <w:rPr>
          <w:rFonts w:ascii="Cambria" w:hAnsi="Cambria"/>
        </w:rPr>
      </w:pPr>
      <w:r w:rsidRPr="001C35E2">
        <w:rPr>
          <w:rFonts w:ascii="Cambria" w:hAnsi="Cambria"/>
        </w:rPr>
        <w:t>Genotyping and QC in ALSPAC is described in detail elsewhere</w:t>
      </w:r>
      <w:r w:rsidR="0000654D" w:rsidRPr="001C35E2">
        <w:rPr>
          <w:rFonts w:ascii="Cambria" w:hAnsi="Cambria"/>
        </w:rPr>
        <w:t xml:space="preserve"> </w:t>
      </w:r>
      <w:r w:rsidR="0006465F" w:rsidRPr="001C35E2">
        <w:rPr>
          <w:rFonts w:ascii="Cambria" w:hAnsi="Cambria"/>
        </w:rPr>
        <w:fldChar w:fldCharType="begin"/>
      </w:r>
      <w:r w:rsidR="00713FAA" w:rsidRPr="001C35E2">
        <w:rPr>
          <w:rFonts w:ascii="Cambria" w:hAnsi="Cambria"/>
        </w:rPr>
        <w:instrText xml:space="preserve"> ADDIN ZOTERO_ITEM CSL_CITATION {"citationID":"Hyz4rGee","properties":{"formattedCitation":"(Fraser et al., 2012)","plainCitation":"(Fraser et al., 2012)","noteIndex":0},"citationItems":[{"id":274,"uris":["http://zotero.org/users/5402137/items/INZXD8VV"],"itemData":{"id":274,"type":"article-journal","container-title":"International journal of epidemiology","issue":"1","page":"97–110","source":"Google Scholar","title":"Cohort profile: the Avon Longitudinal Study of Parents and Children: ALSPAC mothers cohort","title-short":"Cohort profile","volume":"42","author":[{"family":"Fraser","given":"Abigail"},{"family":"Macdonald-Wallis","given":"Corrie"},{"family":"Tilling","given":"Kate"},{"family":"Boyd","given":"Andy"},{"family":"Golding","given":"Jean"},{"family":"Davey Smith","given":"George"},{"family":"Henderson","given":"John"},{"family":"Macleod","given":"John"},{"family":"Molloy","given":"Lynn"},{"family":"Ness","given":"Andy"}],"issued":{"date-parts":[["2012"]]}}}],"schema":"https://github.com/citation-style-language/schema/raw/master/csl-citation.json"} </w:instrText>
      </w:r>
      <w:r w:rsidR="0006465F" w:rsidRPr="001C35E2">
        <w:rPr>
          <w:rFonts w:ascii="Cambria" w:hAnsi="Cambria"/>
        </w:rPr>
        <w:fldChar w:fldCharType="separate"/>
      </w:r>
      <w:r w:rsidR="0062285E" w:rsidRPr="001C35E2">
        <w:rPr>
          <w:rFonts w:ascii="Cambria" w:hAnsi="Cambria" w:cs="Times New Roman"/>
        </w:rPr>
        <w:t>(Fraser et al., 2012)</w:t>
      </w:r>
      <w:r w:rsidR="0006465F" w:rsidRPr="001C35E2">
        <w:rPr>
          <w:rFonts w:ascii="Cambria" w:hAnsi="Cambria"/>
        </w:rPr>
        <w:fldChar w:fldCharType="end"/>
      </w:r>
      <w:r w:rsidRPr="001C35E2">
        <w:rPr>
          <w:rFonts w:ascii="Cambria" w:hAnsi="Cambria"/>
        </w:rPr>
        <w:t xml:space="preserve">. </w:t>
      </w:r>
      <w:r w:rsidR="00A2426F" w:rsidRPr="001C35E2">
        <w:rPr>
          <w:rFonts w:ascii="Cambria" w:hAnsi="Cambria"/>
        </w:rPr>
        <w:t>O</w:t>
      </w:r>
      <w:r w:rsidR="00F5610C" w:rsidRPr="001C35E2">
        <w:rPr>
          <w:rFonts w:ascii="Cambria" w:hAnsi="Cambria"/>
        </w:rPr>
        <w:t xml:space="preserve">f the 38 </w:t>
      </w:r>
      <w:r w:rsidR="00B6764D" w:rsidRPr="001C35E2">
        <w:rPr>
          <w:rFonts w:ascii="Cambria" w:hAnsi="Cambria"/>
        </w:rPr>
        <w:t>genome-wide significant SNP</w:t>
      </w:r>
      <w:r w:rsidR="00F5610C" w:rsidRPr="001C35E2">
        <w:rPr>
          <w:rFonts w:ascii="Cambria" w:hAnsi="Cambria"/>
        </w:rPr>
        <w:t>s</w:t>
      </w:r>
      <w:r w:rsidR="00B6764D" w:rsidRPr="001C35E2">
        <w:rPr>
          <w:rFonts w:ascii="Cambria" w:hAnsi="Cambria"/>
        </w:rPr>
        <w:t xml:space="preserve"> </w:t>
      </w:r>
      <w:r w:rsidR="00A2426F" w:rsidRPr="001C35E2">
        <w:rPr>
          <w:rFonts w:ascii="Cambria" w:hAnsi="Cambria"/>
        </w:rPr>
        <w:t>associated with DHA levels that were available</w:t>
      </w:r>
      <w:r w:rsidR="00B6764D" w:rsidRPr="001C35E2">
        <w:rPr>
          <w:rFonts w:ascii="Cambria" w:hAnsi="Cambria"/>
        </w:rPr>
        <w:t xml:space="preserve"> in the MoBa cohort,</w:t>
      </w:r>
      <w:r w:rsidR="00F5610C" w:rsidRPr="001C35E2">
        <w:rPr>
          <w:rFonts w:ascii="Cambria" w:hAnsi="Cambria"/>
        </w:rPr>
        <w:t xml:space="preserve"> </w:t>
      </w:r>
      <w:r w:rsidR="00A2426F" w:rsidRPr="001C35E2">
        <w:rPr>
          <w:rFonts w:ascii="Cambria" w:hAnsi="Cambria"/>
        </w:rPr>
        <w:t xml:space="preserve">34 </w:t>
      </w:r>
      <w:r w:rsidR="00F5610C" w:rsidRPr="001C35E2">
        <w:rPr>
          <w:rFonts w:ascii="Cambria" w:hAnsi="Cambria"/>
        </w:rPr>
        <w:t>were available in the ALSPAC cohort</w:t>
      </w:r>
      <w:r w:rsidR="005D5613" w:rsidRPr="001C35E2">
        <w:rPr>
          <w:rFonts w:ascii="Cambria" w:hAnsi="Cambria"/>
        </w:rPr>
        <w:t xml:space="preserve"> (Table N1)</w:t>
      </w:r>
      <w:r w:rsidR="00F5610C" w:rsidRPr="001C35E2">
        <w:rPr>
          <w:rFonts w:ascii="Cambria" w:hAnsi="Cambria"/>
        </w:rPr>
        <w:t xml:space="preserve">. </w:t>
      </w:r>
      <w:r w:rsidR="00E85ED0" w:rsidRPr="001C35E2">
        <w:rPr>
          <w:rFonts w:ascii="Cambria" w:hAnsi="Cambria"/>
        </w:rPr>
        <w:t>The two genetic variants of known biological function (rs174576, rs3734398)</w:t>
      </w:r>
      <w:r w:rsidR="00175ED7" w:rsidRPr="001C35E2">
        <w:rPr>
          <w:rFonts w:ascii="Cambria" w:hAnsi="Cambria"/>
        </w:rPr>
        <w:t xml:space="preserve"> (described in Supplementary Note S4) were also extracted for validation. All g</w:t>
      </w:r>
      <w:r w:rsidR="00B74582" w:rsidRPr="001C35E2">
        <w:rPr>
          <w:rFonts w:ascii="Cambria" w:hAnsi="Cambria"/>
        </w:rPr>
        <w:t xml:space="preserve">enetic variants were extracted using </w:t>
      </w:r>
      <w:r w:rsidR="00D07CF2" w:rsidRPr="001C35E2">
        <w:rPr>
          <w:rFonts w:ascii="Cambria" w:hAnsi="Cambria"/>
        </w:rPr>
        <w:t>PLINK</w:t>
      </w:r>
      <w:r w:rsidR="0000654D" w:rsidRPr="001C35E2">
        <w:rPr>
          <w:rFonts w:ascii="Cambria" w:hAnsi="Cambria"/>
        </w:rPr>
        <w:t xml:space="preserve"> </w:t>
      </w:r>
      <w:r w:rsidR="00D07CF2" w:rsidRPr="001C35E2">
        <w:rPr>
          <w:rFonts w:ascii="Cambria" w:hAnsi="Cambria"/>
        </w:rPr>
        <w:fldChar w:fldCharType="begin"/>
      </w:r>
      <w:r w:rsidR="00713FAA" w:rsidRPr="001C35E2">
        <w:rPr>
          <w:rFonts w:ascii="Cambria" w:hAnsi="Cambria"/>
        </w:rPr>
        <w:instrText xml:space="preserve"> ADDIN ZOTERO_ITEM CSL_CITATION {"citationID":"moLqJ8NW","properties":{"formattedCitation":"(Purcell et al., 2007)","plainCitation":"(Purcell et al., 2007)","noteIndex":0},"citationItems":[{"id":611,"uris":["http://zotero.org/users/5402137/items/EBNXN8NC"],"itemData":{"id":611,"type":"article-journal","container-title":"The American Journal of Human Genetics","issue":"3","page":"559–575","source":"Google Scholar","title":"PLINK: a tool set for whole-genome association and population-based linkage analyses","title-short":"PLINK","volume":"81","author":[{"family":"Purcell","given":"Shaun"},{"family":"Neale","given":"Benjamin"},{"family":"Todd-Brown","given":"Kathe"},{"family":"Thomas","given":"Lori"},{"family":"Ferreira","given":"Manuel AR"},{"family":"Bender","given":"David"},{"family":"Maller","given":"Julian"},{"family":"Sklar","given":"Pamela"},{"family":"De Bakker","given":"Paul IW"},{"family":"Daly","given":"Mark J."},{"literal":"others"}],"issued":{"date-parts":[["2007"]]}}}],"schema":"https://github.com/citation-style-language/schema/raw/master/csl-citation.json"} </w:instrText>
      </w:r>
      <w:r w:rsidR="00D07CF2" w:rsidRPr="001C35E2">
        <w:rPr>
          <w:rFonts w:ascii="Cambria" w:hAnsi="Cambria"/>
        </w:rPr>
        <w:fldChar w:fldCharType="separate"/>
      </w:r>
      <w:r w:rsidR="0062285E" w:rsidRPr="001C35E2">
        <w:rPr>
          <w:rFonts w:ascii="Cambria" w:hAnsi="Cambria" w:cs="Times New Roman"/>
        </w:rPr>
        <w:t>(Purcell et al., 2007)</w:t>
      </w:r>
      <w:r w:rsidR="00D07CF2" w:rsidRPr="001C35E2">
        <w:rPr>
          <w:rFonts w:ascii="Cambria" w:hAnsi="Cambria"/>
        </w:rPr>
        <w:fldChar w:fldCharType="end"/>
      </w:r>
      <w:r w:rsidR="007A5AB0" w:rsidRPr="001C35E2">
        <w:rPr>
          <w:rFonts w:ascii="Cambria" w:hAnsi="Cambria"/>
        </w:rPr>
        <w:t xml:space="preserve">. </w:t>
      </w:r>
      <w:r w:rsidR="00014539" w:rsidRPr="001C35E2">
        <w:rPr>
          <w:rFonts w:ascii="Cambria" w:hAnsi="Cambria"/>
        </w:rPr>
        <w:t xml:space="preserve">Allele counts were tested for association with DHA. For the 34 genetic instruments </w:t>
      </w:r>
      <w:r w:rsidR="006B659A" w:rsidRPr="001C35E2">
        <w:rPr>
          <w:rFonts w:ascii="Cambria" w:hAnsi="Cambria"/>
        </w:rPr>
        <w:t xml:space="preserve">used in the main analysis, we also created </w:t>
      </w:r>
      <w:r w:rsidR="00B74582" w:rsidRPr="001C35E2">
        <w:rPr>
          <w:rFonts w:ascii="Cambria" w:hAnsi="Cambria"/>
        </w:rPr>
        <w:t xml:space="preserve"> a polygenic score</w:t>
      </w:r>
      <w:r w:rsidR="006B659A" w:rsidRPr="001C35E2">
        <w:rPr>
          <w:rFonts w:ascii="Cambria" w:hAnsi="Cambria"/>
        </w:rPr>
        <w:t xml:space="preserve">, </w:t>
      </w:r>
      <w:r w:rsidR="00B74582" w:rsidRPr="001C35E2">
        <w:rPr>
          <w:rFonts w:ascii="Cambria" w:hAnsi="Cambria"/>
        </w:rPr>
        <w:t>weight</w:t>
      </w:r>
      <w:r w:rsidR="006B659A" w:rsidRPr="001C35E2">
        <w:rPr>
          <w:rFonts w:ascii="Cambria" w:hAnsi="Cambria"/>
        </w:rPr>
        <w:t xml:space="preserve">ing </w:t>
      </w:r>
      <w:r w:rsidR="00B74582" w:rsidRPr="001C35E2">
        <w:rPr>
          <w:rFonts w:ascii="Cambria" w:hAnsi="Cambria"/>
        </w:rPr>
        <w:t xml:space="preserve">by the effect sizes from the IEU </w:t>
      </w:r>
      <w:r w:rsidR="00D07CF2" w:rsidRPr="001C35E2">
        <w:rPr>
          <w:rFonts w:ascii="Cambria" w:hAnsi="Cambria"/>
        </w:rPr>
        <w:t>GWAS meta-analysis</w:t>
      </w:r>
      <w:r w:rsidR="0000654D" w:rsidRPr="001C35E2">
        <w:rPr>
          <w:rFonts w:ascii="Cambria" w:hAnsi="Cambria"/>
        </w:rPr>
        <w:t xml:space="preserve"> </w:t>
      </w:r>
      <w:r w:rsidR="00D07CF2" w:rsidRPr="001C35E2">
        <w:rPr>
          <w:rFonts w:ascii="Cambria" w:hAnsi="Cambria"/>
        </w:rPr>
        <w:fldChar w:fldCharType="begin"/>
      </w:r>
      <w:r w:rsidR="00713FAA" w:rsidRPr="001C35E2">
        <w:rPr>
          <w:rFonts w:ascii="Cambria" w:hAnsi="Cambria"/>
        </w:rPr>
        <w:instrText xml:space="preserve"> ADDIN ZOTERO_ITEM CSL_CITATION {"citationID":"3RPEIxgP","properties":{"formattedCitation":"(Elsworth et al., 2020)","plainCitation":"(Elsworth et al., 2020)","noteIndex":0},"citationItems":[{"id":44,"uris":["http://zotero.org/users/5402137/items/FULP9NWD"],"itemData":{"id":44,"type":"article-journal","abstract":"&lt;h3&gt;Abstract&lt;/h3&gt; &lt;p&gt;Data generated by genome-wide association studies (GWAS) are growing fast with the linkage of biobank samples to health records, and expanding capture of high-dimensional molecular phenotypes. However the utility of these efforts can only be fully realised if their complete results are collected from their heterogeneous sources and formats, harmonised and made programmatically accessible.&lt;/p&gt;&lt;p&gt;Here we present the OpenGWAS database, an open source, open access, scalable and high-performance cloud-based data infrastructure that imports and publishes complete GWAS summary datasets and metadata for the scientific community. Our import pipeline harmonises these datasets against dbSNP and the human genome reference sequence, generates summary reports and standardises the format of results and metadata. Users can access the data via a website, an application programming interface, R and Python packages, and also as downloadable files that can be rapidly queried in high performance computing environments.&lt;/p&gt;&lt;p&gt;OpenGWAS currently contains 126 billion genetic associations from 14,582 complete GWAS datasets representing a range of different human phenotypes and disease outcomes across different populations. We developed R and Python packages to serve as conduits between these GWAS data sources and a range of available analytical tools, enabling Mendelian randomization, genetic colocalisation analysis, fine mapping, genetic correlation and locus visualisation.&lt;/p&gt;&lt;p&gt;OpenGWAS is freely accessible at https://gwas.mrcieu.ac.uk, and has been designed to facilitate integration with third party analytical tools.&lt;/p&gt;","container-title":"bioRxiv","DOI":"10.1101/2020.08.10.244293","language":"en","license":"© 2020, Posted by Cold Spring Harbor Laboratory. This pre-print is available under a Creative Commons License (Attribution 4.0 International), CC BY 4.0, as described at http://creativecommons.org/licenses/by/4.0/","note":"publisher: Cold Spring Harbor Laboratory\nsection: New Results","page":"2020.08.10.244293","source":"www.biorxiv.org","title":"The MRC IEU OpenGWAS data infrastructure","author":[{"family":"Elsworth","given":"Ben"},{"family":"Lyon","given":"Matthew"},{"family":"Alexander","given":"Tessa"},{"family":"Liu","given":"Yi"},{"family":"Matthews","given":"Peter"},{"family":"Hallett","given":"Jon"},{"family":"Bates","given":"Phil"},{"family":"Palmer","given":"Tom"},{"family":"Haberland","given":"Valeriia"},{"family":"Davey Smith","given":"George"},{"family":"Zheng","given":"Jie"},{"family":"Haycock","given":"Philip"},{"family":"Gaunt","given":"Tom R."},{"family":"Hemani","given":"Gibran"}],"issued":{"date-parts":[["2020",8,10]]}}}],"schema":"https://github.com/citation-style-language/schema/raw/master/csl-citation.json"} </w:instrText>
      </w:r>
      <w:r w:rsidR="00D07CF2" w:rsidRPr="001C35E2">
        <w:rPr>
          <w:rFonts w:ascii="Cambria" w:hAnsi="Cambria"/>
        </w:rPr>
        <w:fldChar w:fldCharType="separate"/>
      </w:r>
      <w:r w:rsidR="0062285E" w:rsidRPr="001C35E2">
        <w:rPr>
          <w:rFonts w:ascii="Cambria" w:hAnsi="Cambria" w:cs="Times New Roman"/>
        </w:rPr>
        <w:t>(Elsworth et al., 2020)</w:t>
      </w:r>
      <w:r w:rsidR="00D07CF2" w:rsidRPr="001C35E2">
        <w:rPr>
          <w:rFonts w:ascii="Cambria" w:hAnsi="Cambria"/>
        </w:rPr>
        <w:fldChar w:fldCharType="end"/>
      </w:r>
      <w:r w:rsidR="009D60F6" w:rsidRPr="001C35E2">
        <w:rPr>
          <w:rFonts w:ascii="Cambria" w:hAnsi="Cambria"/>
        </w:rPr>
        <w:t xml:space="preserve">. </w:t>
      </w:r>
      <w:r w:rsidR="00EE423A" w:rsidRPr="001C35E2">
        <w:rPr>
          <w:rFonts w:ascii="Cambria" w:hAnsi="Cambria"/>
        </w:rPr>
        <w:t xml:space="preserve">Variants of known function were aligned to count decreasing alleles. </w:t>
      </w:r>
    </w:p>
    <w:p w14:paraId="4F7E03C3" w14:textId="77777777" w:rsidR="008C163C" w:rsidRPr="001C35E2" w:rsidRDefault="008C163C" w:rsidP="00B365D4">
      <w:pPr>
        <w:shd w:val="clear" w:color="auto" w:fill="FFFFFF"/>
        <w:textAlignment w:val="baseline"/>
        <w:rPr>
          <w:rFonts w:ascii="Cambria" w:hAnsi="Cambria"/>
        </w:rPr>
      </w:pPr>
    </w:p>
    <w:p w14:paraId="4E80437C" w14:textId="46C1A92C" w:rsidR="008C163C" w:rsidRPr="001C35E2" w:rsidRDefault="008C163C" w:rsidP="00B365D4">
      <w:pPr>
        <w:shd w:val="clear" w:color="auto" w:fill="FFFFFF"/>
        <w:textAlignment w:val="baseline"/>
        <w:rPr>
          <w:rFonts w:ascii="Cambria" w:hAnsi="Cambria"/>
        </w:rPr>
      </w:pPr>
      <w:r w:rsidRPr="001C35E2">
        <w:rPr>
          <w:rFonts w:ascii="Cambria" w:hAnsi="Cambria"/>
        </w:rPr>
        <w:lastRenderedPageBreak/>
        <w:t>Genetic variants for vitamin-D</w:t>
      </w:r>
    </w:p>
    <w:p w14:paraId="5A836485" w14:textId="3E363646" w:rsidR="00D90C77" w:rsidRPr="001C35E2" w:rsidRDefault="00D90C77" w:rsidP="00B365D4">
      <w:pPr>
        <w:shd w:val="clear" w:color="auto" w:fill="FFFFFF"/>
        <w:textAlignment w:val="baseline"/>
        <w:rPr>
          <w:rFonts w:ascii="Cambria" w:hAnsi="Cambria"/>
        </w:rPr>
      </w:pPr>
      <w:r w:rsidRPr="001C35E2">
        <w:rPr>
          <w:rFonts w:ascii="Cambria" w:hAnsi="Cambria"/>
        </w:rPr>
        <w:t xml:space="preserve">Genetic variants for vitamin-D </w:t>
      </w:r>
      <w:r w:rsidR="00713FAA" w:rsidRPr="001C35E2">
        <w:rPr>
          <w:rFonts w:ascii="Cambria" w:hAnsi="Cambria"/>
        </w:rPr>
        <w:t>identified in</w:t>
      </w:r>
      <w:r w:rsidRPr="001C35E2">
        <w:rPr>
          <w:rFonts w:ascii="Cambria" w:hAnsi="Cambria"/>
        </w:rPr>
        <w:t xml:space="preserve"> </w:t>
      </w:r>
      <w:r w:rsidRPr="001C35E2">
        <w:rPr>
          <w:rFonts w:ascii="Cambria" w:hAnsi="Cambria"/>
        </w:rPr>
        <w:fldChar w:fldCharType="begin"/>
      </w:r>
      <w:r w:rsidR="00713FAA" w:rsidRPr="001C35E2">
        <w:rPr>
          <w:rFonts w:ascii="Cambria" w:hAnsi="Cambria"/>
        </w:rPr>
        <w:instrText xml:space="preserve"> ADDIN ZOTERO_ITEM CSL_CITATION {"citationID":"Wg9PeyCe","properties":{"formattedCitation":"(Manousaki et al., 2020)","plainCitation":"(Manousaki et al., 2020)","noteIndex":0},"citationItems":[{"id":1224,"uris":["http://zotero.org/users/5402137/items/6HMP347F"],"itemData":{"id":1224,"type":"article-journal","abstract":"We aimed to increase our understanding of the genetic determinants of vitamin D levels by undertaking a large-scale genome-wide association study (GWAS) of serum 25 hydroxyvitamin D (25OHD). To do so, we used imputed genotypes from 401,460 white British UK Biobank participants with available 25OHD levels, retaining single-nucleotide polymorphisms (SNPs) with minor allele frequency (MAF) &gt; 0.1% and imputation quality score &gt; 0.3. We performed a linear mixed model GWAS on standardized log-transformed 25OHD, adjusting for age, sex, season of measurement, and vitamin D supplementation. These results were combined with those from a previous GWAS including 42,274 Europeans. In silico functional follow-up of the GWAS results was undertaken to identify enrichment in gene sets, pathways, and expression in tissues, and to investigate the partitioned heritability of 25OHD and its shared heritability with other traits. Using this approach, the SNP heritability of 25OHD was estimated to 16.1%. 138 conditionally independent SNPs were detected (p value &lt; 6.6 × 10-9) among which 53 had MAF &lt; 5%. Single variant association signals mapped to 69 distinct loci, among which 63 were previously unreported. We identified enrichment in hepatic and lipid metabolism gene pathways and enriched expression of the 25OHD genes in liver, skin, and gastrointestinal tissues. We observed partially shared heritability between 25OHD and socio-economic traits, a feature which may be mediated through time spent outdoors. Therefore, through a large 25OHD GWAS, we identified 63 loci that underline the contribution of genes outside the vitamin D canonical metabolic pathway to the genetic architecture of 25OHD.","container-title":"American Journal of Human Genetics","DOI":"10.1016/j.ajhg.2020.01.017","ISSN":"1537-6605","issue":"3","journalAbbreviation":"Am. J. Hum. Genet.","language":"eng","note":"PMID: 32059762\nPMCID: PMC7058824","page":"327-337","source":"PubMed","title":"Genome-wide Association Study for Vitamin D Levels Reveals 69 Independent Loci","volume":"106","author":[{"family":"Manousaki","given":"Despoina"},{"family":"Mitchell","given":"Ruth"},{"family":"Dudding","given":"Tom"},{"family":"Haworth","given":"Simon"},{"family":"Harroud","given":"Adil"},{"family":"Forgetta","given":"Vincenzo"},{"family":"Shah","given":"Rupal L."},{"family":"Luan","given":"Jian'an"},{"family":"Langenberg","given":"Claudia"},{"family":"Timpson","given":"Nicholas J."},{"family":"Richards","given":"J. Brent"}],"issued":{"date-parts":[["2020"]],"season":"05"}}}],"schema":"https://github.com/citation-style-language/schema/raw/master/csl-citation.json"} </w:instrText>
      </w:r>
      <w:r w:rsidRPr="001C35E2">
        <w:rPr>
          <w:rFonts w:ascii="Cambria" w:hAnsi="Cambria"/>
        </w:rPr>
        <w:fldChar w:fldCharType="separate"/>
      </w:r>
      <w:r w:rsidR="00713FAA" w:rsidRPr="001C35E2">
        <w:rPr>
          <w:rFonts w:ascii="Cambria" w:hAnsi="Cambria"/>
          <w:noProof/>
        </w:rPr>
        <w:t>(Manousaki et al., 2020)</w:t>
      </w:r>
      <w:r w:rsidRPr="001C35E2">
        <w:rPr>
          <w:rFonts w:ascii="Cambria" w:hAnsi="Cambria"/>
        </w:rPr>
        <w:fldChar w:fldCharType="end"/>
      </w:r>
      <w:r w:rsidR="00713FAA" w:rsidRPr="001C35E2">
        <w:rPr>
          <w:rFonts w:ascii="Cambria" w:hAnsi="Cambria"/>
        </w:rPr>
        <w:t xml:space="preserve"> have been validated for use during pregnancy in the ALSPAC cohort previously </w:t>
      </w:r>
      <w:r w:rsidR="00713FAA" w:rsidRPr="001C35E2">
        <w:rPr>
          <w:rFonts w:ascii="Cambria" w:hAnsi="Cambria"/>
        </w:rPr>
        <w:fldChar w:fldCharType="begin"/>
      </w:r>
      <w:r w:rsidR="00065941" w:rsidRPr="001C35E2">
        <w:rPr>
          <w:rFonts w:ascii="Cambria" w:hAnsi="Cambria"/>
        </w:rPr>
        <w:instrText xml:space="preserve"> ADDIN ZOTERO_ITEM CSL_CITATION {"citationID":"k9Le0t4I","properties":{"formattedCitation":"(Madley-Dowd et al., 2022)","plainCitation":"(Madley-Dowd et al., 2022)","noteIndex":0},"citationItems":[{"id":4014,"uris":["http://zotero.org/users/5402137/items/24GUQHKL"],"itemData":{"id":4014,"type":"article-journal","abstract":"There has been a growing interest in the association between maternal levels of vitamin D during pregnancy and offspring autism. However, whether any associations reflect causal effects is still inconclusive.","container-title":"Molecular Autism","DOI":"10.1186/s13229-022-00523-4","ISSN":"2040-2392","issue":"1","journalAbbreviation":"Molecular Autism","page":"44","source":"BioMed Central","title":"Maternal vitamin D during pregnancy and offspring autism and autism-associated traits: a prospective cohort study","title-short":"Maternal vitamin D during pregnancy and offspring autism and autism-associated traits","volume":"13","author":[{"family":"Madley-Dowd","given":"Paul"},{"family":"Dardani","given":"Christina"},{"family":"Wootton","given":"Robyn E."},{"family":"Dack","given":"Kyle"},{"family":"Palmer","given":"Tom"},{"family":"Thurston","given":"Rupert"},{"family":"Havdahl","given":"Alexandra"},{"family":"Golding","given":"Jean"},{"family":"Lawlor","given":"Deborah"},{"family":"Rai","given":"Dheeraj"}],"issued":{"date-parts":[["2022",11,12]]}}}],"schema":"https://github.com/citation-style-language/schema/raw/master/csl-citation.json"} </w:instrText>
      </w:r>
      <w:r w:rsidR="00713FAA" w:rsidRPr="001C35E2">
        <w:rPr>
          <w:rFonts w:ascii="Cambria" w:hAnsi="Cambria"/>
        </w:rPr>
        <w:fldChar w:fldCharType="separate"/>
      </w:r>
      <w:r w:rsidR="00065941" w:rsidRPr="001C35E2">
        <w:rPr>
          <w:rFonts w:ascii="Cambria" w:hAnsi="Cambria"/>
          <w:noProof/>
        </w:rPr>
        <w:t>(Madley-Dowd et al., 2022)</w:t>
      </w:r>
      <w:r w:rsidR="00713FAA" w:rsidRPr="001C35E2">
        <w:rPr>
          <w:rFonts w:ascii="Cambria" w:hAnsi="Cambria"/>
        </w:rPr>
        <w:fldChar w:fldCharType="end"/>
      </w:r>
      <w:r w:rsidR="00065941" w:rsidRPr="001C35E2">
        <w:rPr>
          <w:rFonts w:ascii="Cambria" w:hAnsi="Cambria"/>
        </w:rPr>
        <w:t>. We extracted the four genetic variants of known function (</w:t>
      </w:r>
      <w:r w:rsidR="00E27843" w:rsidRPr="001C35E2">
        <w:rPr>
          <w:rFonts w:ascii="Cambria" w:hAnsi="Cambria"/>
        </w:rPr>
        <w:t xml:space="preserve">rs2282679, rs12785878, rs10741657, rs6013897) described in further detail in Supplementary Note S4. </w:t>
      </w:r>
      <w:r w:rsidR="00EE423A" w:rsidRPr="001C35E2">
        <w:rPr>
          <w:rFonts w:ascii="Cambria" w:hAnsi="Cambria"/>
        </w:rPr>
        <w:t xml:space="preserve">Variants of known function were aligned to count decreasing alleles. </w:t>
      </w:r>
    </w:p>
    <w:p w14:paraId="582E0323" w14:textId="77777777" w:rsidR="00F269F7" w:rsidRPr="001C35E2" w:rsidRDefault="00F269F7" w:rsidP="00B365D4">
      <w:pPr>
        <w:shd w:val="clear" w:color="auto" w:fill="FFFFFF"/>
        <w:textAlignment w:val="baseline"/>
        <w:rPr>
          <w:rFonts w:ascii="Cambria" w:hAnsi="Cambria"/>
        </w:rPr>
      </w:pPr>
    </w:p>
    <w:p w14:paraId="0ADFD905" w14:textId="77777777" w:rsidR="00F269F7" w:rsidRPr="001C35E2" w:rsidRDefault="00F269F7" w:rsidP="00B365D4">
      <w:pPr>
        <w:shd w:val="clear" w:color="auto" w:fill="FFFFFF"/>
        <w:textAlignment w:val="baseline"/>
        <w:rPr>
          <w:rFonts w:ascii="Cambria" w:hAnsi="Cambria"/>
          <w:u w:val="single"/>
        </w:rPr>
      </w:pPr>
      <w:r w:rsidRPr="001C35E2">
        <w:rPr>
          <w:rFonts w:ascii="Cambria" w:hAnsi="Cambria"/>
          <w:u w:val="single"/>
        </w:rPr>
        <w:t>Measures of DHA during pregnancy</w:t>
      </w:r>
    </w:p>
    <w:p w14:paraId="39B130A5" w14:textId="4816D50C" w:rsidR="00B365D4" w:rsidRPr="001C35E2" w:rsidRDefault="00A32E58" w:rsidP="00B365D4">
      <w:pPr>
        <w:shd w:val="clear" w:color="auto" w:fill="FFFFFF"/>
        <w:textAlignment w:val="baseline"/>
        <w:rPr>
          <w:rFonts w:ascii="Cambria" w:eastAsia="Times New Roman" w:hAnsi="Cambria" w:cs="Calibri"/>
          <w:color w:val="000000"/>
          <w:lang w:eastAsia="en-GB"/>
        </w:rPr>
      </w:pPr>
      <w:r w:rsidRPr="001C35E2">
        <w:rPr>
          <w:rFonts w:ascii="Cambria" w:eastAsia="Times New Roman" w:hAnsi="Cambria" w:cs="Calibri"/>
          <w:color w:val="000000"/>
          <w:lang w:eastAsia="en-GB"/>
        </w:rPr>
        <w:t>L</w:t>
      </w:r>
      <w:r w:rsidR="009D60F6" w:rsidRPr="001C35E2">
        <w:rPr>
          <w:rFonts w:ascii="Cambria" w:eastAsia="Times New Roman" w:hAnsi="Cambria" w:cs="Calibri"/>
          <w:color w:val="000000"/>
          <w:lang w:eastAsia="en-GB"/>
        </w:rPr>
        <w:t>evels of DHA</w:t>
      </w:r>
      <w:r w:rsidR="00296B38" w:rsidRPr="001C35E2">
        <w:rPr>
          <w:rFonts w:ascii="Cambria" w:eastAsia="Times New Roman" w:hAnsi="Cambria" w:cs="Calibri"/>
          <w:color w:val="000000"/>
          <w:lang w:eastAsia="en-GB"/>
        </w:rPr>
        <w:t xml:space="preserve"> (226:3) </w:t>
      </w:r>
      <w:r w:rsidR="009D60F6" w:rsidRPr="001C35E2">
        <w:rPr>
          <w:rFonts w:ascii="Cambria" w:eastAsia="Times New Roman" w:hAnsi="Cambria" w:cs="Calibri"/>
          <w:color w:val="000000"/>
          <w:lang w:eastAsia="en-GB"/>
        </w:rPr>
        <w:t>from blood samples</w:t>
      </w:r>
      <w:r w:rsidRPr="001C35E2">
        <w:rPr>
          <w:rFonts w:ascii="Cambria" w:eastAsia="Times New Roman" w:hAnsi="Cambria" w:cs="Calibri"/>
          <w:color w:val="000000"/>
          <w:lang w:eastAsia="en-GB"/>
        </w:rPr>
        <w:t xml:space="preserve"> were taken during pregnancy.</w:t>
      </w:r>
      <w:r w:rsidR="00296B38" w:rsidRPr="001C35E2">
        <w:rPr>
          <w:rFonts w:ascii="Cambria" w:eastAsia="Times New Roman" w:hAnsi="Cambria" w:cs="Calibri"/>
          <w:color w:val="000000"/>
          <w:lang w:eastAsia="en-GB"/>
        </w:rPr>
        <w:t xml:space="preserve"> </w:t>
      </w:r>
      <w:r w:rsidR="00211F2C" w:rsidRPr="001C35E2">
        <w:rPr>
          <w:rFonts w:ascii="Cambria" w:eastAsia="Times New Roman" w:hAnsi="Cambria" w:cs="Calibri"/>
          <w:color w:val="000000"/>
          <w:lang w:eastAsia="en-GB"/>
        </w:rPr>
        <w:t xml:space="preserve">Mothers were not required to fast. </w:t>
      </w:r>
      <w:r w:rsidR="0096614E" w:rsidRPr="001C35E2">
        <w:rPr>
          <w:rFonts w:ascii="Cambria" w:eastAsia="Times New Roman" w:hAnsi="Cambria" w:cs="Calibri"/>
          <w:color w:val="000000"/>
          <w:lang w:eastAsia="en-GB"/>
        </w:rPr>
        <w:t xml:space="preserve">We combined measures taken across </w:t>
      </w:r>
      <w:r w:rsidR="000C71E0" w:rsidRPr="001C35E2">
        <w:rPr>
          <w:rFonts w:ascii="Cambria" w:eastAsia="Times New Roman" w:hAnsi="Cambria" w:cs="Calibri"/>
          <w:color w:val="000000"/>
          <w:lang w:eastAsia="en-GB"/>
        </w:rPr>
        <w:t xml:space="preserve">any stage of pregnancy. </w:t>
      </w:r>
    </w:p>
    <w:p w14:paraId="7E3FCB3C" w14:textId="77777777" w:rsidR="00390EB8" w:rsidRPr="001C35E2" w:rsidRDefault="00390EB8" w:rsidP="00B365D4">
      <w:pPr>
        <w:shd w:val="clear" w:color="auto" w:fill="FFFFFF"/>
        <w:textAlignment w:val="baseline"/>
        <w:rPr>
          <w:rFonts w:ascii="Cambria" w:eastAsia="Times New Roman" w:hAnsi="Cambria" w:cs="Calibri"/>
          <w:color w:val="000000"/>
          <w:lang w:eastAsia="en-GB"/>
        </w:rPr>
      </w:pPr>
    </w:p>
    <w:p w14:paraId="5964A3E7" w14:textId="3C16FBE1" w:rsidR="00390EB8" w:rsidRPr="001C35E2" w:rsidRDefault="00390EB8" w:rsidP="00390EB8">
      <w:pPr>
        <w:shd w:val="clear" w:color="auto" w:fill="FFFFFF"/>
        <w:textAlignment w:val="baseline"/>
        <w:rPr>
          <w:rFonts w:ascii="Cambria" w:hAnsi="Cambria"/>
          <w:u w:val="single"/>
        </w:rPr>
      </w:pPr>
      <w:r w:rsidRPr="001C35E2">
        <w:rPr>
          <w:rFonts w:ascii="Cambria" w:hAnsi="Cambria"/>
          <w:u w:val="single"/>
        </w:rPr>
        <w:t>Measures of vitamin-D during pregnancy</w:t>
      </w:r>
    </w:p>
    <w:p w14:paraId="64BBEED9" w14:textId="2EEA9E89" w:rsidR="00390EB8" w:rsidRPr="001C35E2" w:rsidRDefault="00390EB8" w:rsidP="00B365D4">
      <w:pPr>
        <w:shd w:val="clear" w:color="auto" w:fill="FFFFFF"/>
        <w:textAlignment w:val="baseline"/>
        <w:rPr>
          <w:rFonts w:ascii="Cambria" w:eastAsia="Times New Roman" w:hAnsi="Cambria" w:cs="Calibri"/>
          <w:color w:val="000000"/>
          <w:lang w:eastAsia="en-GB"/>
        </w:rPr>
      </w:pPr>
      <w:r w:rsidRPr="001C35E2">
        <w:rPr>
          <w:rFonts w:ascii="Cambria" w:eastAsia="Times New Roman" w:hAnsi="Cambria" w:cs="Calibri"/>
          <w:color w:val="000000"/>
          <w:lang w:eastAsia="en-GB"/>
        </w:rPr>
        <w:t xml:space="preserve">Levels of vitamin-D during pregnancy in ALSPAC are described elsewhere </w:t>
      </w:r>
      <w:r w:rsidRPr="001C35E2">
        <w:rPr>
          <w:rFonts w:ascii="Cambria" w:eastAsia="Times New Roman" w:hAnsi="Cambria" w:cs="Calibri"/>
          <w:color w:val="000000"/>
          <w:lang w:eastAsia="en-GB"/>
        </w:rPr>
        <w:fldChar w:fldCharType="begin"/>
      </w:r>
      <w:r w:rsidRPr="001C35E2">
        <w:rPr>
          <w:rFonts w:ascii="Cambria" w:eastAsia="Times New Roman" w:hAnsi="Cambria" w:cs="Calibri"/>
          <w:color w:val="000000"/>
          <w:lang w:eastAsia="en-GB"/>
        </w:rPr>
        <w:instrText xml:space="preserve"> ADDIN ZOTERO_ITEM CSL_CITATION {"citationID":"7qHdxOTJ","properties":{"formattedCitation":"(Madley-Dowd et al., 2022)","plainCitation":"(Madley-Dowd et al., 2022)","noteIndex":0},"citationItems":[{"id":4014,"uris":["http://zotero.org/users/5402137/items/24GUQHKL"],"itemData":{"id":4014,"type":"article-journal","abstract":"There has been a growing interest in the association between maternal levels of vitamin D during pregnancy and offspring autism. However, whether any associations reflect causal effects is still inconclusive.","container-title":"Molecular Autism","DOI":"10.1186/s13229-022-00523-4","ISSN":"2040-2392","issue":"1","journalAbbreviation":"Molecular Autism","page":"44","source":"BioMed Central","title":"Maternal vitamin D during pregnancy and offspring autism and autism-associated traits: a prospective cohort study","title-short":"Maternal vitamin D during pregnancy and offspring autism and autism-associated traits","volume":"13","author":[{"family":"Madley-Dowd","given":"Paul"},{"family":"Dardani","given":"Christina"},{"family":"Wootton","given":"Robyn E."},{"family":"Dack","given":"Kyle"},{"family":"Palmer","given":"Tom"},{"family":"Thurston","given":"Rupert"},{"family":"Havdahl","given":"Alexandra"},{"family":"Golding","given":"Jean"},{"family":"Lawlor","given":"Deborah"},{"family":"Rai","given":"Dheeraj"}],"issued":{"date-parts":[["2022",11,12]]}}}],"schema":"https://github.com/citation-style-language/schema/raw/master/csl-citation.json"} </w:instrText>
      </w:r>
      <w:r w:rsidRPr="001C35E2">
        <w:rPr>
          <w:rFonts w:ascii="Cambria" w:eastAsia="Times New Roman" w:hAnsi="Cambria" w:cs="Calibri"/>
          <w:color w:val="000000"/>
          <w:lang w:eastAsia="en-GB"/>
        </w:rPr>
        <w:fldChar w:fldCharType="separate"/>
      </w:r>
      <w:r w:rsidRPr="001C35E2">
        <w:rPr>
          <w:rFonts w:ascii="Cambria" w:eastAsia="Times New Roman" w:hAnsi="Cambria" w:cs="Calibri"/>
          <w:noProof/>
          <w:color w:val="000000"/>
          <w:lang w:eastAsia="en-GB"/>
        </w:rPr>
        <w:t>(Madley-Dowd et al., 2022)</w:t>
      </w:r>
      <w:r w:rsidRPr="001C35E2">
        <w:rPr>
          <w:rFonts w:ascii="Cambria" w:eastAsia="Times New Roman" w:hAnsi="Cambria" w:cs="Calibri"/>
          <w:color w:val="000000"/>
          <w:lang w:eastAsia="en-GB"/>
        </w:rPr>
        <w:fldChar w:fldCharType="end"/>
      </w:r>
      <w:r w:rsidR="00C93AFF" w:rsidRPr="001C35E2">
        <w:rPr>
          <w:rFonts w:ascii="Cambria" w:eastAsia="Times New Roman" w:hAnsi="Cambria" w:cs="Calibri"/>
          <w:color w:val="000000"/>
          <w:lang w:eastAsia="en-GB"/>
        </w:rPr>
        <w:t xml:space="preserve">. We </w:t>
      </w:r>
      <w:r w:rsidR="00634E7C" w:rsidRPr="001C35E2">
        <w:rPr>
          <w:rFonts w:ascii="Cambria" w:eastAsia="Times New Roman" w:hAnsi="Cambria" w:cs="Calibri"/>
          <w:color w:val="000000"/>
          <w:lang w:eastAsia="en-GB"/>
        </w:rPr>
        <w:t xml:space="preserve">used the same phenotype derivation from blood samples across pregnancy </w:t>
      </w:r>
      <w:r w:rsidR="0015718C" w:rsidRPr="001C35E2">
        <w:rPr>
          <w:rFonts w:ascii="Cambria" w:eastAsia="Times New Roman" w:hAnsi="Cambria" w:cs="Calibri"/>
          <w:color w:val="000000"/>
          <w:lang w:eastAsia="en-GB"/>
        </w:rPr>
        <w:t xml:space="preserve">with seasonal adjustment </w:t>
      </w:r>
      <w:r w:rsidR="0015718C" w:rsidRPr="001C35E2">
        <w:rPr>
          <w:rFonts w:ascii="Cambria" w:eastAsia="Times New Roman" w:hAnsi="Cambria" w:cs="Calibri"/>
          <w:color w:val="000000"/>
          <w:lang w:eastAsia="en-GB"/>
        </w:rPr>
        <w:fldChar w:fldCharType="begin"/>
      </w:r>
      <w:r w:rsidR="0015718C" w:rsidRPr="001C35E2">
        <w:rPr>
          <w:rFonts w:ascii="Cambria" w:eastAsia="Times New Roman" w:hAnsi="Cambria" w:cs="Calibri"/>
          <w:color w:val="000000"/>
          <w:lang w:eastAsia="en-GB"/>
        </w:rPr>
        <w:instrText xml:space="preserve"> ADDIN ZOTERO_ITEM CSL_CITATION {"citationID":"KDkIwhuY","properties":{"formattedCitation":"(Madley-Dowd et al., 2022)","plainCitation":"(Madley-Dowd et al., 2022)","noteIndex":0},"citationItems":[{"id":4014,"uris":["http://zotero.org/users/5402137/items/24GUQHKL"],"itemData":{"id":4014,"type":"article-journal","abstract":"There has been a growing interest in the association between maternal levels of vitamin D during pregnancy and offspring autism. However, whether any associations reflect causal effects is still inconclusive.","container-title":"Molecular Autism","DOI":"10.1186/s13229-022-00523-4","ISSN":"2040-2392","issue":"1","journalAbbreviation":"Molecular Autism","page":"44","source":"BioMed Central","title":"Maternal vitamin D during pregnancy and offspring autism and autism-associated traits: a prospective cohort study","title-short":"Maternal vitamin D during pregnancy and offspring autism and autism-associated traits","volume":"13","author":[{"family":"Madley-Dowd","given":"Paul"},{"family":"Dardani","given":"Christina"},{"family":"Wootton","given":"Robyn E."},{"family":"Dack","given":"Kyle"},{"family":"Palmer","given":"Tom"},{"family":"Thurston","given":"Rupert"},{"family":"Havdahl","given":"Alexandra"},{"family":"Golding","given":"Jean"},{"family":"Lawlor","given":"Deborah"},{"family":"Rai","given":"Dheeraj"}],"issued":{"date-parts":[["2022",11,12]]}}}],"schema":"https://github.com/citation-style-language/schema/raw/master/csl-citation.json"} </w:instrText>
      </w:r>
      <w:r w:rsidR="0015718C" w:rsidRPr="001C35E2">
        <w:rPr>
          <w:rFonts w:ascii="Cambria" w:eastAsia="Times New Roman" w:hAnsi="Cambria" w:cs="Calibri"/>
          <w:color w:val="000000"/>
          <w:lang w:eastAsia="en-GB"/>
        </w:rPr>
        <w:fldChar w:fldCharType="separate"/>
      </w:r>
      <w:r w:rsidR="0015718C" w:rsidRPr="001C35E2">
        <w:rPr>
          <w:rFonts w:ascii="Cambria" w:eastAsia="Times New Roman" w:hAnsi="Cambria" w:cs="Calibri"/>
          <w:noProof/>
          <w:color w:val="000000"/>
          <w:lang w:eastAsia="en-GB"/>
        </w:rPr>
        <w:t>(Madley-Dowd et al., 2022)</w:t>
      </w:r>
      <w:r w:rsidR="0015718C" w:rsidRPr="001C35E2">
        <w:rPr>
          <w:rFonts w:ascii="Cambria" w:eastAsia="Times New Roman" w:hAnsi="Cambria" w:cs="Calibri"/>
          <w:color w:val="000000"/>
          <w:lang w:eastAsia="en-GB"/>
        </w:rPr>
        <w:fldChar w:fldCharType="end"/>
      </w:r>
      <w:r w:rsidR="0015718C" w:rsidRPr="001C35E2">
        <w:rPr>
          <w:rFonts w:ascii="Cambria" w:eastAsia="Times New Roman" w:hAnsi="Cambria" w:cs="Calibri"/>
          <w:color w:val="000000"/>
          <w:lang w:eastAsia="en-GB"/>
        </w:rPr>
        <w:t xml:space="preserve">. </w:t>
      </w:r>
    </w:p>
    <w:p w14:paraId="37828A0A" w14:textId="25F66046" w:rsidR="00EF3F33" w:rsidRPr="001C35E2" w:rsidRDefault="00EF3F33" w:rsidP="00B365D4">
      <w:pPr>
        <w:shd w:val="clear" w:color="auto" w:fill="FFFFFF"/>
        <w:textAlignment w:val="baseline"/>
        <w:rPr>
          <w:rFonts w:ascii="Cambria" w:eastAsia="Times New Roman" w:hAnsi="Cambria" w:cs="Calibri"/>
          <w:color w:val="000000"/>
          <w:lang w:eastAsia="en-GB"/>
        </w:rPr>
      </w:pPr>
    </w:p>
    <w:p w14:paraId="3BF2AD91" w14:textId="77777777" w:rsidR="00EF3F33" w:rsidRPr="001C35E2" w:rsidRDefault="00EF3F33" w:rsidP="00EF3F33">
      <w:pPr>
        <w:rPr>
          <w:rFonts w:ascii="Cambria" w:eastAsia="Times New Roman" w:hAnsi="Cambria" w:cs="Times New Roman"/>
          <w:b/>
          <w:bCs/>
          <w:lang w:eastAsia="en-GB"/>
        </w:rPr>
      </w:pPr>
      <w:r w:rsidRPr="001C35E2">
        <w:rPr>
          <w:rFonts w:ascii="Cambria" w:eastAsia="Times New Roman" w:hAnsi="Cambria" w:cs="Times New Roman"/>
          <w:b/>
          <w:bCs/>
          <w:lang w:eastAsia="en-GB"/>
        </w:rPr>
        <w:t>Results</w:t>
      </w:r>
    </w:p>
    <w:p w14:paraId="049C99BF" w14:textId="77777777" w:rsidR="00CF7634" w:rsidRPr="00A57A46" w:rsidRDefault="00CF7634" w:rsidP="00EF3F33">
      <w:pPr>
        <w:rPr>
          <w:rFonts w:ascii="Cambria" w:eastAsia="Times New Roman" w:hAnsi="Cambria" w:cs="Times New Roman"/>
          <w:u w:val="single"/>
          <w:lang w:eastAsia="en-GB"/>
        </w:rPr>
      </w:pPr>
      <w:r w:rsidRPr="00A57A46">
        <w:rPr>
          <w:rFonts w:ascii="Cambria" w:eastAsia="Times New Roman" w:hAnsi="Cambria" w:cs="Times New Roman"/>
          <w:u w:val="single"/>
          <w:lang w:eastAsia="en-GB"/>
        </w:rPr>
        <w:t>Validation of genome-wide significant DHA variants</w:t>
      </w:r>
    </w:p>
    <w:p w14:paraId="67F97382" w14:textId="28C0B997" w:rsidR="00EF3F33" w:rsidRPr="001C35E2" w:rsidRDefault="00EF3F33" w:rsidP="00EF3F33">
      <w:pPr>
        <w:rPr>
          <w:rFonts w:ascii="Cambria" w:eastAsia="Times New Roman" w:hAnsi="Cambria" w:cs="Times New Roman"/>
          <w:color w:val="000000" w:themeColor="text1"/>
          <w:lang w:eastAsia="en-GB"/>
        </w:rPr>
      </w:pPr>
      <w:r w:rsidRPr="001C35E2">
        <w:rPr>
          <w:rFonts w:ascii="Cambria" w:eastAsia="Times New Roman" w:hAnsi="Cambria" w:cs="Times New Roman"/>
          <w:lang w:eastAsia="en-GB"/>
        </w:rPr>
        <w:t xml:space="preserve">Genotype data and measures of DHA during pregnancy were available </w:t>
      </w:r>
      <w:r w:rsidRPr="001C35E2">
        <w:rPr>
          <w:rFonts w:ascii="Cambria" w:eastAsia="Times New Roman" w:hAnsi="Cambria" w:cs="Times New Roman"/>
          <w:color w:val="000000" w:themeColor="text1"/>
          <w:lang w:eastAsia="en-GB"/>
        </w:rPr>
        <w:t xml:space="preserve">for 5,156 mothers. </w:t>
      </w:r>
      <w:r w:rsidR="000C71E0" w:rsidRPr="001C35E2">
        <w:rPr>
          <w:rFonts w:ascii="Cambria" w:eastAsia="Times New Roman" w:hAnsi="Cambria" w:cs="Times New Roman"/>
          <w:color w:val="000000" w:themeColor="text1"/>
          <w:lang w:eastAsia="en-GB"/>
        </w:rPr>
        <w:t xml:space="preserve">Mean </w:t>
      </w:r>
      <w:r w:rsidR="00745264" w:rsidRPr="001C35E2">
        <w:rPr>
          <w:rFonts w:ascii="Cambria" w:eastAsia="Times New Roman" w:hAnsi="Cambria" w:cs="Times New Roman"/>
          <w:color w:val="000000" w:themeColor="text1"/>
          <w:lang w:eastAsia="en-GB"/>
        </w:rPr>
        <w:t xml:space="preserve">DHA levels were 2.34 (SD = 1.32). </w:t>
      </w:r>
      <w:r w:rsidR="005D5613" w:rsidRPr="001C35E2">
        <w:rPr>
          <w:rFonts w:ascii="Cambria" w:eastAsia="Times New Roman" w:hAnsi="Cambria" w:cs="Times New Roman"/>
          <w:color w:val="000000" w:themeColor="text1"/>
          <w:lang w:eastAsia="en-GB"/>
        </w:rPr>
        <w:t xml:space="preserve">The PGS for DHA explained 0.85% of the variance in DHA levels during pregnancy (Table N1 and Figure N1). </w:t>
      </w:r>
      <w:r w:rsidR="00426985" w:rsidRPr="001C35E2">
        <w:rPr>
          <w:rFonts w:ascii="Cambria" w:eastAsia="Times New Roman" w:hAnsi="Cambria" w:cs="Times New Roman"/>
          <w:color w:val="000000" w:themeColor="text1"/>
          <w:lang w:eastAsia="en-GB"/>
        </w:rPr>
        <w:t xml:space="preserve">Twelve mothers had DHA levels of 0. We conducted a sensitivity analysis where these individuals were excluded. </w:t>
      </w:r>
      <w:r w:rsidR="00B371E5" w:rsidRPr="001C35E2">
        <w:rPr>
          <w:rFonts w:ascii="Cambria" w:eastAsia="Times New Roman" w:hAnsi="Cambria" w:cs="Times New Roman"/>
          <w:color w:val="000000" w:themeColor="text1"/>
          <w:lang w:eastAsia="en-GB"/>
        </w:rPr>
        <w:t xml:space="preserve">Results were highly consistent, with the DHA PGS explaining 0.81% of the variance in DHA levels during pregnancy. </w:t>
      </w:r>
    </w:p>
    <w:p w14:paraId="6F5965E4" w14:textId="77777777" w:rsidR="00B365D4" w:rsidRPr="001C35E2" w:rsidRDefault="00B365D4" w:rsidP="00B365D4">
      <w:pPr>
        <w:shd w:val="clear" w:color="auto" w:fill="FFFFFF"/>
        <w:textAlignment w:val="baseline"/>
        <w:rPr>
          <w:rFonts w:ascii="Cambria" w:eastAsia="Times New Roman" w:hAnsi="Cambria" w:cs="Calibri"/>
          <w:color w:val="000000"/>
          <w:lang w:eastAsia="en-GB"/>
        </w:rPr>
      </w:pPr>
    </w:p>
    <w:p w14:paraId="7E9D8C21" w14:textId="5C92A449" w:rsidR="00F5610C" w:rsidRPr="001C35E2" w:rsidRDefault="00745264" w:rsidP="00F5610C">
      <w:pPr>
        <w:pStyle w:val="NormalWeb"/>
        <w:shd w:val="clear" w:color="auto" w:fill="FFFFFF"/>
        <w:spacing w:after="0"/>
        <w:rPr>
          <w:rFonts w:ascii="Cambria" w:hAnsi="Cambria"/>
          <w:b/>
          <w:bCs/>
          <w:lang w:val="en-GB"/>
        </w:rPr>
      </w:pPr>
      <w:r w:rsidRPr="001C35E2">
        <w:rPr>
          <w:rFonts w:ascii="Cambria" w:hAnsi="Cambria"/>
          <w:b/>
          <w:bCs/>
          <w:lang w:val="en-GB"/>
        </w:rPr>
        <w:t xml:space="preserve">Table N1. </w:t>
      </w:r>
      <w:r w:rsidR="005B4A7F" w:rsidRPr="001C35E2">
        <w:rPr>
          <w:rFonts w:ascii="Cambria" w:hAnsi="Cambria"/>
          <w:lang w:val="en-GB"/>
        </w:rPr>
        <w:t xml:space="preserve">Association between the </w:t>
      </w:r>
      <w:r w:rsidR="00C93AFF" w:rsidRPr="001C35E2">
        <w:rPr>
          <w:rFonts w:ascii="Cambria" w:hAnsi="Cambria"/>
          <w:lang w:val="en-GB"/>
        </w:rPr>
        <w:t xml:space="preserve">DHA levels </w:t>
      </w:r>
      <w:r w:rsidR="005B4A7F" w:rsidRPr="001C35E2">
        <w:rPr>
          <w:rFonts w:ascii="Cambria" w:hAnsi="Cambria"/>
          <w:lang w:val="en-GB"/>
        </w:rPr>
        <w:t>PGS and SNPs with DHA levels during pregnancy in the ALSPAC cohort</w:t>
      </w:r>
    </w:p>
    <w:tbl>
      <w:tblPr>
        <w:tblW w:w="9214" w:type="dxa"/>
        <w:tblLayout w:type="fixed"/>
        <w:tblCellMar>
          <w:top w:w="15" w:type="dxa"/>
          <w:bottom w:w="15" w:type="dxa"/>
        </w:tblCellMar>
        <w:tblLook w:val="04A0" w:firstRow="1" w:lastRow="0" w:firstColumn="1" w:lastColumn="0" w:noHBand="0" w:noVBand="1"/>
      </w:tblPr>
      <w:tblGrid>
        <w:gridCol w:w="1843"/>
        <w:gridCol w:w="1134"/>
        <w:gridCol w:w="1276"/>
        <w:gridCol w:w="1276"/>
        <w:gridCol w:w="1275"/>
        <w:gridCol w:w="1276"/>
        <w:gridCol w:w="1134"/>
      </w:tblGrid>
      <w:tr w:rsidR="00745264" w:rsidRPr="001C35E2" w14:paraId="069EECE3" w14:textId="77777777" w:rsidTr="00745264">
        <w:trPr>
          <w:trHeight w:val="300"/>
        </w:trPr>
        <w:tc>
          <w:tcPr>
            <w:tcW w:w="1843" w:type="dxa"/>
            <w:tcBorders>
              <w:top w:val="single" w:sz="4" w:space="0" w:color="auto"/>
              <w:left w:val="nil"/>
              <w:bottom w:val="single" w:sz="4" w:space="0" w:color="auto"/>
              <w:right w:val="nil"/>
            </w:tcBorders>
            <w:noWrap/>
            <w:vAlign w:val="bottom"/>
            <w:hideMark/>
          </w:tcPr>
          <w:p w14:paraId="4AE3ACE8" w14:textId="3BD91442" w:rsidR="00745264" w:rsidRPr="001C35E2" w:rsidRDefault="00745264" w:rsidP="00774BED">
            <w:pPr>
              <w:rPr>
                <w:rFonts w:ascii="Cambria" w:eastAsia="Times New Roman" w:hAnsi="Cambria" w:cs="Calibri"/>
                <w:b/>
                <w:bCs/>
                <w:color w:val="000000"/>
                <w:sz w:val="22"/>
                <w:szCs w:val="22"/>
                <w:lang w:eastAsia="en-GB"/>
              </w:rPr>
            </w:pPr>
            <w:r w:rsidRPr="001C35E2">
              <w:rPr>
                <w:rFonts w:ascii="Cambria" w:eastAsia="Times New Roman" w:hAnsi="Cambria" w:cs="Calibri"/>
                <w:b/>
                <w:bCs/>
                <w:color w:val="000000"/>
                <w:sz w:val="22"/>
                <w:szCs w:val="22"/>
                <w:lang w:eastAsia="en-GB"/>
              </w:rPr>
              <w:t>Exposure</w:t>
            </w:r>
          </w:p>
        </w:tc>
        <w:tc>
          <w:tcPr>
            <w:tcW w:w="1134" w:type="dxa"/>
            <w:tcBorders>
              <w:top w:val="single" w:sz="4" w:space="0" w:color="auto"/>
              <w:left w:val="nil"/>
              <w:bottom w:val="single" w:sz="4" w:space="0" w:color="auto"/>
              <w:right w:val="nil"/>
            </w:tcBorders>
            <w:noWrap/>
            <w:vAlign w:val="bottom"/>
            <w:hideMark/>
          </w:tcPr>
          <w:p w14:paraId="1B6D1494" w14:textId="7258BB3D" w:rsidR="00745264" w:rsidRPr="001C35E2" w:rsidRDefault="00745264" w:rsidP="00774BED">
            <w:pPr>
              <w:jc w:val="right"/>
              <w:rPr>
                <w:rFonts w:ascii="Cambria" w:eastAsia="Times New Roman" w:hAnsi="Cambria" w:cs="Calibri"/>
                <w:b/>
                <w:bCs/>
                <w:color w:val="000000"/>
                <w:sz w:val="22"/>
                <w:szCs w:val="22"/>
                <w:lang w:eastAsia="en-GB"/>
              </w:rPr>
            </w:pPr>
            <w:r w:rsidRPr="001C35E2">
              <w:rPr>
                <w:rFonts w:ascii="Cambria" w:eastAsia="Times New Roman" w:hAnsi="Cambria" w:cs="Calibri"/>
                <w:b/>
                <w:bCs/>
                <w:color w:val="000000"/>
                <w:sz w:val="22"/>
                <w:szCs w:val="22"/>
                <w:lang w:eastAsia="en-GB"/>
              </w:rPr>
              <w:t>Beta</w:t>
            </w:r>
          </w:p>
        </w:tc>
        <w:tc>
          <w:tcPr>
            <w:tcW w:w="1276" w:type="dxa"/>
            <w:tcBorders>
              <w:top w:val="single" w:sz="4" w:space="0" w:color="auto"/>
              <w:left w:val="nil"/>
              <w:bottom w:val="single" w:sz="4" w:space="0" w:color="auto"/>
              <w:right w:val="nil"/>
            </w:tcBorders>
            <w:noWrap/>
            <w:vAlign w:val="bottom"/>
            <w:hideMark/>
          </w:tcPr>
          <w:p w14:paraId="3ACAD9B4" w14:textId="5230B012" w:rsidR="00745264" w:rsidRPr="001C35E2" w:rsidRDefault="00745264" w:rsidP="00774BED">
            <w:pPr>
              <w:jc w:val="right"/>
              <w:rPr>
                <w:rFonts w:ascii="Cambria" w:eastAsia="Times New Roman" w:hAnsi="Cambria" w:cs="Calibri"/>
                <w:b/>
                <w:bCs/>
                <w:color w:val="000000"/>
                <w:sz w:val="22"/>
                <w:szCs w:val="22"/>
                <w:lang w:eastAsia="en-GB"/>
              </w:rPr>
            </w:pPr>
            <w:r w:rsidRPr="001C35E2">
              <w:rPr>
                <w:rFonts w:ascii="Cambria" w:eastAsia="Times New Roman" w:hAnsi="Cambria" w:cs="Calibri"/>
                <w:b/>
                <w:bCs/>
                <w:color w:val="000000"/>
                <w:sz w:val="22"/>
                <w:szCs w:val="22"/>
                <w:lang w:eastAsia="en-GB"/>
              </w:rPr>
              <w:t>Lower 95% CI</w:t>
            </w:r>
          </w:p>
        </w:tc>
        <w:tc>
          <w:tcPr>
            <w:tcW w:w="1276" w:type="dxa"/>
            <w:tcBorders>
              <w:top w:val="single" w:sz="4" w:space="0" w:color="auto"/>
              <w:left w:val="nil"/>
              <w:bottom w:val="single" w:sz="4" w:space="0" w:color="auto"/>
              <w:right w:val="nil"/>
            </w:tcBorders>
            <w:noWrap/>
            <w:vAlign w:val="bottom"/>
            <w:hideMark/>
          </w:tcPr>
          <w:p w14:paraId="130E90A1" w14:textId="182E0ED2" w:rsidR="00745264" w:rsidRPr="001C35E2" w:rsidRDefault="00745264" w:rsidP="00774BED">
            <w:pPr>
              <w:jc w:val="right"/>
              <w:rPr>
                <w:rFonts w:ascii="Cambria" w:eastAsia="Times New Roman" w:hAnsi="Cambria" w:cs="Calibri"/>
                <w:b/>
                <w:bCs/>
                <w:color w:val="000000"/>
                <w:sz w:val="22"/>
                <w:szCs w:val="22"/>
                <w:lang w:eastAsia="en-GB"/>
              </w:rPr>
            </w:pPr>
            <w:r w:rsidRPr="001C35E2">
              <w:rPr>
                <w:rFonts w:ascii="Cambria" w:eastAsia="Times New Roman" w:hAnsi="Cambria" w:cs="Calibri"/>
                <w:b/>
                <w:bCs/>
                <w:color w:val="000000"/>
                <w:sz w:val="22"/>
                <w:szCs w:val="22"/>
                <w:lang w:eastAsia="en-GB"/>
              </w:rPr>
              <w:t>Upper 95% CI</w:t>
            </w:r>
          </w:p>
        </w:tc>
        <w:tc>
          <w:tcPr>
            <w:tcW w:w="1275" w:type="dxa"/>
            <w:tcBorders>
              <w:top w:val="single" w:sz="4" w:space="0" w:color="auto"/>
              <w:left w:val="nil"/>
              <w:bottom w:val="single" w:sz="4" w:space="0" w:color="auto"/>
              <w:right w:val="nil"/>
            </w:tcBorders>
            <w:vAlign w:val="bottom"/>
          </w:tcPr>
          <w:p w14:paraId="3187E3F0" w14:textId="69F5A6B0" w:rsidR="00745264" w:rsidRPr="001C35E2" w:rsidRDefault="00745264" w:rsidP="00774BED">
            <w:pPr>
              <w:jc w:val="right"/>
              <w:rPr>
                <w:rFonts w:ascii="Cambria" w:eastAsia="Times New Roman" w:hAnsi="Cambria" w:cs="Calibri"/>
                <w:b/>
                <w:bCs/>
                <w:color w:val="000000"/>
                <w:sz w:val="22"/>
                <w:szCs w:val="22"/>
                <w:lang w:eastAsia="en-GB"/>
              </w:rPr>
            </w:pPr>
            <w:r w:rsidRPr="001C35E2">
              <w:rPr>
                <w:rFonts w:ascii="Cambria" w:eastAsia="Times New Roman" w:hAnsi="Cambria" w:cs="Calibri"/>
                <w:b/>
                <w:bCs/>
                <w:color w:val="000000"/>
                <w:sz w:val="22"/>
                <w:szCs w:val="22"/>
                <w:lang w:eastAsia="en-GB"/>
              </w:rPr>
              <w:t>P-value</w:t>
            </w:r>
          </w:p>
        </w:tc>
        <w:tc>
          <w:tcPr>
            <w:tcW w:w="1276" w:type="dxa"/>
            <w:tcBorders>
              <w:top w:val="single" w:sz="4" w:space="0" w:color="auto"/>
              <w:left w:val="nil"/>
              <w:bottom w:val="single" w:sz="4" w:space="0" w:color="auto"/>
              <w:right w:val="nil"/>
            </w:tcBorders>
            <w:noWrap/>
            <w:vAlign w:val="bottom"/>
            <w:hideMark/>
          </w:tcPr>
          <w:p w14:paraId="30CF39D8" w14:textId="1D9B6449" w:rsidR="00745264" w:rsidRPr="001C35E2" w:rsidRDefault="00745264" w:rsidP="00774BED">
            <w:pPr>
              <w:jc w:val="right"/>
              <w:rPr>
                <w:rFonts w:ascii="Cambria" w:eastAsia="Times New Roman" w:hAnsi="Cambria" w:cs="Calibri"/>
                <w:b/>
                <w:bCs/>
                <w:color w:val="000000"/>
                <w:sz w:val="22"/>
                <w:szCs w:val="22"/>
                <w:lang w:eastAsia="en-GB"/>
              </w:rPr>
            </w:pPr>
            <w:r w:rsidRPr="001C35E2">
              <w:rPr>
                <w:rFonts w:ascii="Cambria" w:eastAsia="Times New Roman" w:hAnsi="Cambria" w:cs="Calibri"/>
                <w:b/>
                <w:bCs/>
                <w:color w:val="000000"/>
                <w:sz w:val="22"/>
                <w:szCs w:val="22"/>
                <w:lang w:eastAsia="en-GB"/>
              </w:rPr>
              <w:t>r</w:t>
            </w:r>
            <w:r w:rsidRPr="001C35E2">
              <w:rPr>
                <w:rFonts w:ascii="Cambria" w:eastAsia="Times New Roman" w:hAnsi="Cambria" w:cs="Calibri"/>
                <w:b/>
                <w:bCs/>
                <w:color w:val="000000"/>
                <w:sz w:val="22"/>
                <w:szCs w:val="22"/>
                <w:vertAlign w:val="superscript"/>
                <w:lang w:eastAsia="en-GB"/>
              </w:rPr>
              <w:t>2</w:t>
            </w:r>
          </w:p>
        </w:tc>
        <w:tc>
          <w:tcPr>
            <w:tcW w:w="1134" w:type="dxa"/>
            <w:tcBorders>
              <w:top w:val="single" w:sz="4" w:space="0" w:color="auto"/>
              <w:left w:val="nil"/>
              <w:bottom w:val="single" w:sz="4" w:space="0" w:color="auto"/>
              <w:right w:val="nil"/>
            </w:tcBorders>
            <w:noWrap/>
            <w:vAlign w:val="bottom"/>
            <w:hideMark/>
          </w:tcPr>
          <w:p w14:paraId="18EAE6A4" w14:textId="77777777" w:rsidR="00745264" w:rsidRPr="001C35E2" w:rsidRDefault="00745264" w:rsidP="00774BED">
            <w:pPr>
              <w:jc w:val="right"/>
              <w:rPr>
                <w:rFonts w:ascii="Cambria" w:eastAsia="Times New Roman" w:hAnsi="Cambria" w:cs="Calibri"/>
                <w:b/>
                <w:bCs/>
                <w:color w:val="000000"/>
                <w:sz w:val="22"/>
                <w:szCs w:val="22"/>
                <w:lang w:eastAsia="en-GB"/>
              </w:rPr>
            </w:pPr>
            <w:r w:rsidRPr="001C35E2">
              <w:rPr>
                <w:rFonts w:ascii="Cambria" w:eastAsia="Times New Roman" w:hAnsi="Cambria" w:cs="Calibri"/>
                <w:b/>
                <w:bCs/>
                <w:color w:val="000000"/>
                <w:sz w:val="22"/>
                <w:szCs w:val="22"/>
                <w:lang w:eastAsia="en-GB"/>
              </w:rPr>
              <w:t>N</w:t>
            </w:r>
          </w:p>
        </w:tc>
      </w:tr>
      <w:tr w:rsidR="00745264" w:rsidRPr="001C35E2" w14:paraId="0B09696D" w14:textId="77777777" w:rsidTr="00745264">
        <w:trPr>
          <w:trHeight w:val="300"/>
        </w:trPr>
        <w:tc>
          <w:tcPr>
            <w:tcW w:w="1843" w:type="dxa"/>
            <w:tcBorders>
              <w:top w:val="single" w:sz="4" w:space="0" w:color="auto"/>
              <w:left w:val="nil"/>
              <w:bottom w:val="nil"/>
              <w:right w:val="nil"/>
            </w:tcBorders>
            <w:noWrap/>
            <w:vAlign w:val="bottom"/>
            <w:hideMark/>
          </w:tcPr>
          <w:p w14:paraId="02BEB41A" w14:textId="0571DA3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DHA PGS</w:t>
            </w:r>
          </w:p>
        </w:tc>
        <w:tc>
          <w:tcPr>
            <w:tcW w:w="1134" w:type="dxa"/>
            <w:tcBorders>
              <w:top w:val="single" w:sz="4" w:space="0" w:color="auto"/>
              <w:left w:val="nil"/>
              <w:bottom w:val="nil"/>
              <w:right w:val="nil"/>
            </w:tcBorders>
            <w:noWrap/>
            <w:vAlign w:val="bottom"/>
            <w:hideMark/>
          </w:tcPr>
          <w:p w14:paraId="690FF55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20.682</w:t>
            </w:r>
          </w:p>
        </w:tc>
        <w:tc>
          <w:tcPr>
            <w:tcW w:w="1276" w:type="dxa"/>
            <w:tcBorders>
              <w:top w:val="single" w:sz="4" w:space="0" w:color="auto"/>
              <w:left w:val="nil"/>
              <w:bottom w:val="nil"/>
              <w:right w:val="nil"/>
            </w:tcBorders>
            <w:noWrap/>
            <w:vAlign w:val="bottom"/>
            <w:hideMark/>
          </w:tcPr>
          <w:p w14:paraId="29A0C3B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8.256</w:t>
            </w:r>
          </w:p>
        </w:tc>
        <w:tc>
          <w:tcPr>
            <w:tcW w:w="1276" w:type="dxa"/>
            <w:tcBorders>
              <w:top w:val="single" w:sz="4" w:space="0" w:color="auto"/>
              <w:left w:val="nil"/>
              <w:bottom w:val="nil"/>
              <w:right w:val="nil"/>
            </w:tcBorders>
            <w:noWrap/>
            <w:vAlign w:val="bottom"/>
            <w:hideMark/>
          </w:tcPr>
          <w:p w14:paraId="177FF3EF"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33.109</w:t>
            </w:r>
          </w:p>
        </w:tc>
        <w:tc>
          <w:tcPr>
            <w:tcW w:w="1275" w:type="dxa"/>
            <w:tcBorders>
              <w:top w:val="single" w:sz="4" w:space="0" w:color="auto"/>
              <w:left w:val="nil"/>
              <w:bottom w:val="nil"/>
              <w:right w:val="nil"/>
            </w:tcBorders>
            <w:vAlign w:val="bottom"/>
          </w:tcPr>
          <w:p w14:paraId="1C0FFCE2" w14:textId="1008A34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0.001</w:t>
            </w:r>
          </w:p>
        </w:tc>
        <w:tc>
          <w:tcPr>
            <w:tcW w:w="1276" w:type="dxa"/>
            <w:tcBorders>
              <w:top w:val="single" w:sz="4" w:space="0" w:color="auto"/>
              <w:left w:val="nil"/>
              <w:bottom w:val="nil"/>
              <w:right w:val="nil"/>
            </w:tcBorders>
            <w:noWrap/>
            <w:vAlign w:val="bottom"/>
            <w:hideMark/>
          </w:tcPr>
          <w:p w14:paraId="22BDC5C2" w14:textId="7922184C"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0.0085</w:t>
            </w:r>
          </w:p>
        </w:tc>
        <w:tc>
          <w:tcPr>
            <w:tcW w:w="1134" w:type="dxa"/>
            <w:tcBorders>
              <w:top w:val="single" w:sz="4" w:space="0" w:color="auto"/>
              <w:left w:val="nil"/>
              <w:bottom w:val="nil"/>
              <w:right w:val="nil"/>
            </w:tcBorders>
            <w:noWrap/>
            <w:vAlign w:val="bottom"/>
            <w:hideMark/>
          </w:tcPr>
          <w:p w14:paraId="65586436"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3644</w:t>
            </w:r>
          </w:p>
        </w:tc>
      </w:tr>
      <w:tr w:rsidR="00745264" w:rsidRPr="001C35E2" w14:paraId="403913F1" w14:textId="77777777" w:rsidTr="00745264">
        <w:trPr>
          <w:trHeight w:val="300"/>
        </w:trPr>
        <w:tc>
          <w:tcPr>
            <w:tcW w:w="1843" w:type="dxa"/>
            <w:tcBorders>
              <w:top w:val="nil"/>
              <w:left w:val="nil"/>
              <w:bottom w:val="nil"/>
              <w:right w:val="nil"/>
            </w:tcBorders>
            <w:noWrap/>
            <w:vAlign w:val="bottom"/>
            <w:hideMark/>
          </w:tcPr>
          <w:p w14:paraId="37B50242" w14:textId="4CB6A7DB"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DHA PGS (std)</w:t>
            </w:r>
          </w:p>
        </w:tc>
        <w:tc>
          <w:tcPr>
            <w:tcW w:w="1134" w:type="dxa"/>
            <w:tcBorders>
              <w:top w:val="nil"/>
              <w:left w:val="nil"/>
              <w:bottom w:val="nil"/>
              <w:right w:val="nil"/>
            </w:tcBorders>
            <w:noWrap/>
            <w:vAlign w:val="bottom"/>
            <w:hideMark/>
          </w:tcPr>
          <w:p w14:paraId="3624603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0.073</w:t>
            </w:r>
          </w:p>
        </w:tc>
        <w:tc>
          <w:tcPr>
            <w:tcW w:w="1276" w:type="dxa"/>
            <w:tcBorders>
              <w:top w:val="nil"/>
              <w:left w:val="nil"/>
              <w:bottom w:val="nil"/>
              <w:right w:val="nil"/>
            </w:tcBorders>
            <w:noWrap/>
            <w:vAlign w:val="bottom"/>
            <w:hideMark/>
          </w:tcPr>
          <w:p w14:paraId="478A6458"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0.029</w:t>
            </w:r>
          </w:p>
        </w:tc>
        <w:tc>
          <w:tcPr>
            <w:tcW w:w="1276" w:type="dxa"/>
            <w:tcBorders>
              <w:top w:val="nil"/>
              <w:left w:val="nil"/>
              <w:bottom w:val="nil"/>
              <w:right w:val="nil"/>
            </w:tcBorders>
            <w:noWrap/>
            <w:vAlign w:val="bottom"/>
            <w:hideMark/>
          </w:tcPr>
          <w:p w14:paraId="2338503F"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0.116</w:t>
            </w:r>
          </w:p>
        </w:tc>
        <w:tc>
          <w:tcPr>
            <w:tcW w:w="1275" w:type="dxa"/>
            <w:tcBorders>
              <w:top w:val="nil"/>
              <w:left w:val="nil"/>
              <w:bottom w:val="nil"/>
              <w:right w:val="nil"/>
            </w:tcBorders>
            <w:vAlign w:val="bottom"/>
          </w:tcPr>
          <w:p w14:paraId="3B2D5713" w14:textId="366C9F81"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0.001</w:t>
            </w:r>
          </w:p>
        </w:tc>
        <w:tc>
          <w:tcPr>
            <w:tcW w:w="1276" w:type="dxa"/>
            <w:tcBorders>
              <w:top w:val="nil"/>
              <w:left w:val="nil"/>
              <w:bottom w:val="nil"/>
              <w:right w:val="nil"/>
            </w:tcBorders>
            <w:noWrap/>
            <w:vAlign w:val="bottom"/>
            <w:hideMark/>
          </w:tcPr>
          <w:p w14:paraId="426B5747" w14:textId="7714611A"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0.0085</w:t>
            </w:r>
          </w:p>
        </w:tc>
        <w:tc>
          <w:tcPr>
            <w:tcW w:w="1134" w:type="dxa"/>
            <w:tcBorders>
              <w:top w:val="nil"/>
              <w:left w:val="nil"/>
              <w:bottom w:val="nil"/>
              <w:right w:val="nil"/>
            </w:tcBorders>
            <w:noWrap/>
            <w:vAlign w:val="bottom"/>
            <w:hideMark/>
          </w:tcPr>
          <w:p w14:paraId="2B00293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3644</w:t>
            </w:r>
          </w:p>
        </w:tc>
      </w:tr>
      <w:tr w:rsidR="00745264" w:rsidRPr="001C35E2" w14:paraId="79DE95A1" w14:textId="77777777" w:rsidTr="00745264">
        <w:trPr>
          <w:trHeight w:val="300"/>
        </w:trPr>
        <w:tc>
          <w:tcPr>
            <w:tcW w:w="1843" w:type="dxa"/>
            <w:tcBorders>
              <w:top w:val="nil"/>
              <w:left w:val="nil"/>
              <w:bottom w:val="nil"/>
              <w:right w:val="nil"/>
            </w:tcBorders>
            <w:noWrap/>
            <w:vAlign w:val="bottom"/>
            <w:hideMark/>
          </w:tcPr>
          <w:p w14:paraId="7ED38392"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rs638714_g</w:t>
            </w:r>
          </w:p>
        </w:tc>
        <w:tc>
          <w:tcPr>
            <w:tcW w:w="1134" w:type="dxa"/>
            <w:tcBorders>
              <w:top w:val="nil"/>
              <w:left w:val="nil"/>
              <w:bottom w:val="nil"/>
              <w:right w:val="nil"/>
            </w:tcBorders>
            <w:noWrap/>
            <w:vAlign w:val="bottom"/>
            <w:hideMark/>
          </w:tcPr>
          <w:p w14:paraId="136B858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0.027</w:t>
            </w:r>
          </w:p>
        </w:tc>
        <w:tc>
          <w:tcPr>
            <w:tcW w:w="1276" w:type="dxa"/>
            <w:tcBorders>
              <w:top w:val="nil"/>
              <w:left w:val="nil"/>
              <w:bottom w:val="nil"/>
              <w:right w:val="nil"/>
            </w:tcBorders>
            <w:noWrap/>
            <w:vAlign w:val="bottom"/>
            <w:hideMark/>
          </w:tcPr>
          <w:p w14:paraId="446753A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-0.037</w:t>
            </w:r>
          </w:p>
        </w:tc>
        <w:tc>
          <w:tcPr>
            <w:tcW w:w="1276" w:type="dxa"/>
            <w:tcBorders>
              <w:top w:val="nil"/>
              <w:left w:val="nil"/>
              <w:bottom w:val="nil"/>
              <w:right w:val="nil"/>
            </w:tcBorders>
            <w:noWrap/>
            <w:vAlign w:val="bottom"/>
            <w:hideMark/>
          </w:tcPr>
          <w:p w14:paraId="4B0010D8"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0.092</w:t>
            </w:r>
          </w:p>
        </w:tc>
        <w:tc>
          <w:tcPr>
            <w:tcW w:w="1275" w:type="dxa"/>
            <w:tcBorders>
              <w:top w:val="nil"/>
              <w:left w:val="nil"/>
              <w:bottom w:val="nil"/>
              <w:right w:val="nil"/>
            </w:tcBorders>
            <w:vAlign w:val="bottom"/>
          </w:tcPr>
          <w:p w14:paraId="7D6EFC66" w14:textId="002FE0FF"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0.403</w:t>
            </w:r>
          </w:p>
        </w:tc>
        <w:tc>
          <w:tcPr>
            <w:tcW w:w="1276" w:type="dxa"/>
            <w:tcBorders>
              <w:top w:val="nil"/>
              <w:left w:val="nil"/>
              <w:bottom w:val="nil"/>
              <w:right w:val="nil"/>
            </w:tcBorders>
            <w:noWrap/>
            <w:vAlign w:val="bottom"/>
            <w:hideMark/>
          </w:tcPr>
          <w:p w14:paraId="5C9301A3" w14:textId="57BC2966"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0.0058</w:t>
            </w:r>
          </w:p>
        </w:tc>
        <w:tc>
          <w:tcPr>
            <w:tcW w:w="1134" w:type="dxa"/>
            <w:tcBorders>
              <w:top w:val="nil"/>
              <w:left w:val="nil"/>
              <w:bottom w:val="nil"/>
              <w:right w:val="nil"/>
            </w:tcBorders>
            <w:noWrap/>
            <w:vAlign w:val="bottom"/>
            <w:hideMark/>
          </w:tcPr>
          <w:p w14:paraId="0EB2BBE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3642</w:t>
            </w:r>
          </w:p>
        </w:tc>
      </w:tr>
      <w:tr w:rsidR="00745264" w:rsidRPr="001C35E2" w14:paraId="427D390A" w14:textId="77777777" w:rsidTr="00745264">
        <w:trPr>
          <w:trHeight w:val="300"/>
        </w:trPr>
        <w:tc>
          <w:tcPr>
            <w:tcW w:w="1843" w:type="dxa"/>
            <w:tcBorders>
              <w:top w:val="nil"/>
              <w:left w:val="nil"/>
              <w:bottom w:val="nil"/>
              <w:right w:val="nil"/>
            </w:tcBorders>
            <w:noWrap/>
            <w:vAlign w:val="bottom"/>
            <w:hideMark/>
          </w:tcPr>
          <w:p w14:paraId="282B006E"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rs660240_c</w:t>
            </w:r>
          </w:p>
        </w:tc>
        <w:tc>
          <w:tcPr>
            <w:tcW w:w="1134" w:type="dxa"/>
            <w:tcBorders>
              <w:top w:val="nil"/>
              <w:left w:val="nil"/>
              <w:bottom w:val="nil"/>
              <w:right w:val="nil"/>
            </w:tcBorders>
            <w:noWrap/>
            <w:vAlign w:val="bottom"/>
            <w:hideMark/>
          </w:tcPr>
          <w:p w14:paraId="14BC476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-0.009</w:t>
            </w:r>
          </w:p>
        </w:tc>
        <w:tc>
          <w:tcPr>
            <w:tcW w:w="1276" w:type="dxa"/>
            <w:tcBorders>
              <w:top w:val="nil"/>
              <w:left w:val="nil"/>
              <w:bottom w:val="nil"/>
              <w:right w:val="nil"/>
            </w:tcBorders>
            <w:noWrap/>
            <w:vAlign w:val="bottom"/>
            <w:hideMark/>
          </w:tcPr>
          <w:p w14:paraId="341A4F3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-0.086</w:t>
            </w:r>
          </w:p>
        </w:tc>
        <w:tc>
          <w:tcPr>
            <w:tcW w:w="1276" w:type="dxa"/>
            <w:tcBorders>
              <w:top w:val="nil"/>
              <w:left w:val="nil"/>
              <w:bottom w:val="nil"/>
              <w:right w:val="nil"/>
            </w:tcBorders>
            <w:noWrap/>
            <w:vAlign w:val="bottom"/>
            <w:hideMark/>
          </w:tcPr>
          <w:p w14:paraId="705DC1C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0.068</w:t>
            </w:r>
          </w:p>
        </w:tc>
        <w:tc>
          <w:tcPr>
            <w:tcW w:w="1275" w:type="dxa"/>
            <w:tcBorders>
              <w:top w:val="nil"/>
              <w:left w:val="nil"/>
              <w:bottom w:val="nil"/>
              <w:right w:val="nil"/>
            </w:tcBorders>
            <w:vAlign w:val="bottom"/>
          </w:tcPr>
          <w:p w14:paraId="4DE7AD91" w14:textId="47D754E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0.820</w:t>
            </w:r>
          </w:p>
        </w:tc>
        <w:tc>
          <w:tcPr>
            <w:tcW w:w="1276" w:type="dxa"/>
            <w:tcBorders>
              <w:top w:val="nil"/>
              <w:left w:val="nil"/>
              <w:bottom w:val="nil"/>
              <w:right w:val="nil"/>
            </w:tcBorders>
            <w:noWrap/>
            <w:vAlign w:val="bottom"/>
            <w:hideMark/>
          </w:tcPr>
          <w:p w14:paraId="57DEDB9C" w14:textId="732B9DB0"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0.0056</w:t>
            </w:r>
          </w:p>
        </w:tc>
        <w:tc>
          <w:tcPr>
            <w:tcW w:w="1134" w:type="dxa"/>
            <w:tcBorders>
              <w:top w:val="nil"/>
              <w:left w:val="nil"/>
              <w:bottom w:val="nil"/>
              <w:right w:val="nil"/>
            </w:tcBorders>
            <w:noWrap/>
            <w:vAlign w:val="bottom"/>
            <w:hideMark/>
          </w:tcPr>
          <w:p w14:paraId="1B9BC91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3633</w:t>
            </w:r>
          </w:p>
        </w:tc>
      </w:tr>
      <w:tr w:rsidR="00745264" w:rsidRPr="001C35E2" w14:paraId="1F5AB877" w14:textId="77777777" w:rsidTr="00745264">
        <w:trPr>
          <w:trHeight w:val="300"/>
        </w:trPr>
        <w:tc>
          <w:tcPr>
            <w:tcW w:w="1843" w:type="dxa"/>
            <w:tcBorders>
              <w:top w:val="nil"/>
              <w:left w:val="nil"/>
              <w:bottom w:val="nil"/>
              <w:right w:val="nil"/>
            </w:tcBorders>
            <w:noWrap/>
            <w:vAlign w:val="bottom"/>
            <w:hideMark/>
          </w:tcPr>
          <w:p w14:paraId="3CD5A1F1"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rs11122450_g</w:t>
            </w:r>
          </w:p>
        </w:tc>
        <w:tc>
          <w:tcPr>
            <w:tcW w:w="1134" w:type="dxa"/>
            <w:tcBorders>
              <w:top w:val="nil"/>
              <w:left w:val="nil"/>
              <w:bottom w:val="nil"/>
              <w:right w:val="nil"/>
            </w:tcBorders>
            <w:noWrap/>
            <w:vAlign w:val="bottom"/>
            <w:hideMark/>
          </w:tcPr>
          <w:p w14:paraId="6AB27B6E"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-0.016</w:t>
            </w:r>
          </w:p>
        </w:tc>
        <w:tc>
          <w:tcPr>
            <w:tcW w:w="1276" w:type="dxa"/>
            <w:tcBorders>
              <w:top w:val="nil"/>
              <w:left w:val="nil"/>
              <w:bottom w:val="nil"/>
              <w:right w:val="nil"/>
            </w:tcBorders>
            <w:noWrap/>
            <w:vAlign w:val="bottom"/>
            <w:hideMark/>
          </w:tcPr>
          <w:p w14:paraId="1668A50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-0.079</w:t>
            </w:r>
          </w:p>
        </w:tc>
        <w:tc>
          <w:tcPr>
            <w:tcW w:w="1276" w:type="dxa"/>
            <w:tcBorders>
              <w:top w:val="nil"/>
              <w:left w:val="nil"/>
              <w:bottom w:val="nil"/>
              <w:right w:val="nil"/>
            </w:tcBorders>
            <w:noWrap/>
            <w:vAlign w:val="bottom"/>
            <w:hideMark/>
          </w:tcPr>
          <w:p w14:paraId="478FB6C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0.047</w:t>
            </w:r>
          </w:p>
        </w:tc>
        <w:tc>
          <w:tcPr>
            <w:tcW w:w="1275" w:type="dxa"/>
            <w:tcBorders>
              <w:top w:val="nil"/>
              <w:left w:val="nil"/>
              <w:bottom w:val="nil"/>
              <w:right w:val="nil"/>
            </w:tcBorders>
            <w:vAlign w:val="bottom"/>
          </w:tcPr>
          <w:p w14:paraId="0F88B8C0" w14:textId="2AE0F996"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0.622</w:t>
            </w:r>
          </w:p>
        </w:tc>
        <w:tc>
          <w:tcPr>
            <w:tcW w:w="1276" w:type="dxa"/>
            <w:tcBorders>
              <w:top w:val="nil"/>
              <w:left w:val="nil"/>
              <w:bottom w:val="nil"/>
              <w:right w:val="nil"/>
            </w:tcBorders>
            <w:noWrap/>
            <w:vAlign w:val="bottom"/>
            <w:hideMark/>
          </w:tcPr>
          <w:p w14:paraId="6F643487" w14:textId="2D48D36F"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0.0056</w:t>
            </w:r>
          </w:p>
        </w:tc>
        <w:tc>
          <w:tcPr>
            <w:tcW w:w="1134" w:type="dxa"/>
            <w:tcBorders>
              <w:top w:val="nil"/>
              <w:left w:val="nil"/>
              <w:bottom w:val="nil"/>
              <w:right w:val="nil"/>
            </w:tcBorders>
            <w:noWrap/>
            <w:vAlign w:val="bottom"/>
            <w:hideMark/>
          </w:tcPr>
          <w:p w14:paraId="7240146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3634</w:t>
            </w:r>
          </w:p>
        </w:tc>
      </w:tr>
      <w:tr w:rsidR="00745264" w:rsidRPr="001C35E2" w14:paraId="3F775BA7" w14:textId="77777777" w:rsidTr="00745264">
        <w:trPr>
          <w:trHeight w:val="300"/>
        </w:trPr>
        <w:tc>
          <w:tcPr>
            <w:tcW w:w="1843" w:type="dxa"/>
            <w:tcBorders>
              <w:top w:val="nil"/>
              <w:left w:val="nil"/>
              <w:bottom w:val="nil"/>
              <w:right w:val="nil"/>
            </w:tcBorders>
            <w:noWrap/>
            <w:vAlign w:val="bottom"/>
            <w:hideMark/>
          </w:tcPr>
          <w:p w14:paraId="5D1A5614"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rs34722314_t</w:t>
            </w:r>
          </w:p>
        </w:tc>
        <w:tc>
          <w:tcPr>
            <w:tcW w:w="1134" w:type="dxa"/>
            <w:tcBorders>
              <w:top w:val="nil"/>
              <w:left w:val="nil"/>
              <w:bottom w:val="nil"/>
              <w:right w:val="nil"/>
            </w:tcBorders>
            <w:noWrap/>
            <w:vAlign w:val="bottom"/>
            <w:hideMark/>
          </w:tcPr>
          <w:p w14:paraId="5665381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0.103</w:t>
            </w:r>
          </w:p>
        </w:tc>
        <w:tc>
          <w:tcPr>
            <w:tcW w:w="1276" w:type="dxa"/>
            <w:tcBorders>
              <w:top w:val="nil"/>
              <w:left w:val="nil"/>
              <w:bottom w:val="nil"/>
              <w:right w:val="nil"/>
            </w:tcBorders>
            <w:noWrap/>
            <w:vAlign w:val="bottom"/>
            <w:hideMark/>
          </w:tcPr>
          <w:p w14:paraId="327A331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0.012</w:t>
            </w:r>
          </w:p>
        </w:tc>
        <w:tc>
          <w:tcPr>
            <w:tcW w:w="1276" w:type="dxa"/>
            <w:tcBorders>
              <w:top w:val="nil"/>
              <w:left w:val="nil"/>
              <w:bottom w:val="nil"/>
              <w:right w:val="nil"/>
            </w:tcBorders>
            <w:noWrap/>
            <w:vAlign w:val="bottom"/>
            <w:hideMark/>
          </w:tcPr>
          <w:p w14:paraId="15072BE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0.194</w:t>
            </w:r>
          </w:p>
        </w:tc>
        <w:tc>
          <w:tcPr>
            <w:tcW w:w="1275" w:type="dxa"/>
            <w:tcBorders>
              <w:top w:val="nil"/>
              <w:left w:val="nil"/>
              <w:bottom w:val="nil"/>
              <w:right w:val="nil"/>
            </w:tcBorders>
            <w:vAlign w:val="bottom"/>
          </w:tcPr>
          <w:p w14:paraId="6220AEAC" w14:textId="13D3C54A"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0.027</w:t>
            </w:r>
          </w:p>
        </w:tc>
        <w:tc>
          <w:tcPr>
            <w:tcW w:w="1276" w:type="dxa"/>
            <w:tcBorders>
              <w:top w:val="nil"/>
              <w:left w:val="nil"/>
              <w:bottom w:val="nil"/>
              <w:right w:val="nil"/>
            </w:tcBorders>
            <w:noWrap/>
            <w:vAlign w:val="bottom"/>
            <w:hideMark/>
          </w:tcPr>
          <w:p w14:paraId="4F2C5DB7" w14:textId="66A98C6A"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0.0069</w:t>
            </w:r>
          </w:p>
        </w:tc>
        <w:tc>
          <w:tcPr>
            <w:tcW w:w="1134" w:type="dxa"/>
            <w:tcBorders>
              <w:top w:val="nil"/>
              <w:left w:val="nil"/>
              <w:bottom w:val="nil"/>
              <w:right w:val="nil"/>
            </w:tcBorders>
            <w:noWrap/>
            <w:vAlign w:val="bottom"/>
            <w:hideMark/>
          </w:tcPr>
          <w:p w14:paraId="741407A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3609</w:t>
            </w:r>
          </w:p>
        </w:tc>
      </w:tr>
      <w:tr w:rsidR="00745264" w:rsidRPr="001C35E2" w14:paraId="768147CC" w14:textId="77777777" w:rsidTr="00745264">
        <w:trPr>
          <w:trHeight w:val="300"/>
        </w:trPr>
        <w:tc>
          <w:tcPr>
            <w:tcW w:w="1843" w:type="dxa"/>
            <w:tcBorders>
              <w:top w:val="nil"/>
              <w:left w:val="nil"/>
              <w:bottom w:val="nil"/>
              <w:right w:val="nil"/>
            </w:tcBorders>
            <w:noWrap/>
            <w:vAlign w:val="bottom"/>
            <w:hideMark/>
          </w:tcPr>
          <w:p w14:paraId="6EB7A384"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rs1260326_t</w:t>
            </w:r>
          </w:p>
        </w:tc>
        <w:tc>
          <w:tcPr>
            <w:tcW w:w="1134" w:type="dxa"/>
            <w:tcBorders>
              <w:top w:val="nil"/>
              <w:left w:val="nil"/>
              <w:bottom w:val="nil"/>
              <w:right w:val="nil"/>
            </w:tcBorders>
            <w:noWrap/>
            <w:vAlign w:val="bottom"/>
            <w:hideMark/>
          </w:tcPr>
          <w:p w14:paraId="1608FF0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0.003</w:t>
            </w:r>
          </w:p>
        </w:tc>
        <w:tc>
          <w:tcPr>
            <w:tcW w:w="1276" w:type="dxa"/>
            <w:tcBorders>
              <w:top w:val="nil"/>
              <w:left w:val="nil"/>
              <w:bottom w:val="nil"/>
              <w:right w:val="nil"/>
            </w:tcBorders>
            <w:noWrap/>
            <w:vAlign w:val="bottom"/>
            <w:hideMark/>
          </w:tcPr>
          <w:p w14:paraId="6B6057D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-0.060</w:t>
            </w:r>
          </w:p>
        </w:tc>
        <w:tc>
          <w:tcPr>
            <w:tcW w:w="1276" w:type="dxa"/>
            <w:tcBorders>
              <w:top w:val="nil"/>
              <w:left w:val="nil"/>
              <w:bottom w:val="nil"/>
              <w:right w:val="nil"/>
            </w:tcBorders>
            <w:noWrap/>
            <w:vAlign w:val="bottom"/>
            <w:hideMark/>
          </w:tcPr>
          <w:p w14:paraId="6A15DE9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0.066</w:t>
            </w:r>
          </w:p>
        </w:tc>
        <w:tc>
          <w:tcPr>
            <w:tcW w:w="1275" w:type="dxa"/>
            <w:tcBorders>
              <w:top w:val="nil"/>
              <w:left w:val="nil"/>
              <w:bottom w:val="nil"/>
              <w:right w:val="nil"/>
            </w:tcBorders>
            <w:vAlign w:val="bottom"/>
          </w:tcPr>
          <w:p w14:paraId="503A3E64" w14:textId="3E445A89"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0.927</w:t>
            </w:r>
          </w:p>
        </w:tc>
        <w:tc>
          <w:tcPr>
            <w:tcW w:w="1276" w:type="dxa"/>
            <w:tcBorders>
              <w:top w:val="nil"/>
              <w:left w:val="nil"/>
              <w:bottom w:val="nil"/>
              <w:right w:val="nil"/>
            </w:tcBorders>
            <w:noWrap/>
            <w:vAlign w:val="bottom"/>
            <w:hideMark/>
          </w:tcPr>
          <w:p w14:paraId="640935D3" w14:textId="10F9099F"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0.0055</w:t>
            </w:r>
          </w:p>
        </w:tc>
        <w:tc>
          <w:tcPr>
            <w:tcW w:w="1134" w:type="dxa"/>
            <w:tcBorders>
              <w:top w:val="nil"/>
              <w:left w:val="nil"/>
              <w:bottom w:val="nil"/>
              <w:right w:val="nil"/>
            </w:tcBorders>
            <w:noWrap/>
            <w:vAlign w:val="bottom"/>
            <w:hideMark/>
          </w:tcPr>
          <w:p w14:paraId="5062B9DE"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3644</w:t>
            </w:r>
          </w:p>
        </w:tc>
      </w:tr>
      <w:tr w:rsidR="00745264" w:rsidRPr="001C35E2" w14:paraId="36643E3E" w14:textId="77777777" w:rsidTr="00745264">
        <w:trPr>
          <w:trHeight w:val="300"/>
        </w:trPr>
        <w:tc>
          <w:tcPr>
            <w:tcW w:w="1843" w:type="dxa"/>
            <w:tcBorders>
              <w:top w:val="nil"/>
              <w:left w:val="nil"/>
              <w:bottom w:val="nil"/>
              <w:right w:val="nil"/>
            </w:tcBorders>
            <w:noWrap/>
            <w:vAlign w:val="bottom"/>
            <w:hideMark/>
          </w:tcPr>
          <w:p w14:paraId="645CDC39"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rs309134_a</w:t>
            </w:r>
          </w:p>
        </w:tc>
        <w:tc>
          <w:tcPr>
            <w:tcW w:w="1134" w:type="dxa"/>
            <w:tcBorders>
              <w:top w:val="nil"/>
              <w:left w:val="nil"/>
              <w:bottom w:val="nil"/>
              <w:right w:val="nil"/>
            </w:tcBorders>
            <w:noWrap/>
            <w:vAlign w:val="bottom"/>
            <w:hideMark/>
          </w:tcPr>
          <w:p w14:paraId="59796526"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0.009</w:t>
            </w:r>
          </w:p>
        </w:tc>
        <w:tc>
          <w:tcPr>
            <w:tcW w:w="1276" w:type="dxa"/>
            <w:tcBorders>
              <w:top w:val="nil"/>
              <w:left w:val="nil"/>
              <w:bottom w:val="nil"/>
              <w:right w:val="nil"/>
            </w:tcBorders>
            <w:noWrap/>
            <w:vAlign w:val="bottom"/>
            <w:hideMark/>
          </w:tcPr>
          <w:p w14:paraId="120EBF8C"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-0.067</w:t>
            </w:r>
          </w:p>
        </w:tc>
        <w:tc>
          <w:tcPr>
            <w:tcW w:w="1276" w:type="dxa"/>
            <w:tcBorders>
              <w:top w:val="nil"/>
              <w:left w:val="nil"/>
              <w:bottom w:val="nil"/>
              <w:right w:val="nil"/>
            </w:tcBorders>
            <w:noWrap/>
            <w:vAlign w:val="bottom"/>
            <w:hideMark/>
          </w:tcPr>
          <w:p w14:paraId="5AD715C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0.084</w:t>
            </w:r>
          </w:p>
        </w:tc>
        <w:tc>
          <w:tcPr>
            <w:tcW w:w="1275" w:type="dxa"/>
            <w:tcBorders>
              <w:top w:val="nil"/>
              <w:left w:val="nil"/>
              <w:bottom w:val="nil"/>
              <w:right w:val="nil"/>
            </w:tcBorders>
            <w:vAlign w:val="bottom"/>
          </w:tcPr>
          <w:p w14:paraId="0C3F8352" w14:textId="5F520B84"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0.818</w:t>
            </w:r>
          </w:p>
        </w:tc>
        <w:tc>
          <w:tcPr>
            <w:tcW w:w="1276" w:type="dxa"/>
            <w:tcBorders>
              <w:top w:val="nil"/>
              <w:left w:val="nil"/>
              <w:bottom w:val="nil"/>
              <w:right w:val="nil"/>
            </w:tcBorders>
            <w:noWrap/>
            <w:vAlign w:val="bottom"/>
            <w:hideMark/>
          </w:tcPr>
          <w:p w14:paraId="086A7A4A" w14:textId="1BA63C51"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0.0055</w:t>
            </w:r>
          </w:p>
        </w:tc>
        <w:tc>
          <w:tcPr>
            <w:tcW w:w="1134" w:type="dxa"/>
            <w:tcBorders>
              <w:top w:val="nil"/>
              <w:left w:val="nil"/>
              <w:bottom w:val="nil"/>
              <w:right w:val="nil"/>
            </w:tcBorders>
            <w:noWrap/>
            <w:vAlign w:val="bottom"/>
            <w:hideMark/>
          </w:tcPr>
          <w:p w14:paraId="77E20EF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3639</w:t>
            </w:r>
          </w:p>
        </w:tc>
      </w:tr>
      <w:tr w:rsidR="00745264" w:rsidRPr="001C35E2" w14:paraId="2388A5A7" w14:textId="77777777" w:rsidTr="00745264">
        <w:trPr>
          <w:trHeight w:val="300"/>
        </w:trPr>
        <w:tc>
          <w:tcPr>
            <w:tcW w:w="1843" w:type="dxa"/>
            <w:tcBorders>
              <w:top w:val="nil"/>
              <w:left w:val="nil"/>
              <w:bottom w:val="nil"/>
              <w:right w:val="nil"/>
            </w:tcBorders>
            <w:noWrap/>
            <w:vAlign w:val="bottom"/>
            <w:hideMark/>
          </w:tcPr>
          <w:p w14:paraId="353A74F9"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rs273912_t</w:t>
            </w:r>
          </w:p>
        </w:tc>
        <w:tc>
          <w:tcPr>
            <w:tcW w:w="1134" w:type="dxa"/>
            <w:tcBorders>
              <w:top w:val="nil"/>
              <w:left w:val="nil"/>
              <w:bottom w:val="nil"/>
              <w:right w:val="nil"/>
            </w:tcBorders>
            <w:noWrap/>
            <w:vAlign w:val="bottom"/>
            <w:hideMark/>
          </w:tcPr>
          <w:p w14:paraId="1EA64CA6"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-0.002</w:t>
            </w:r>
          </w:p>
        </w:tc>
        <w:tc>
          <w:tcPr>
            <w:tcW w:w="1276" w:type="dxa"/>
            <w:tcBorders>
              <w:top w:val="nil"/>
              <w:left w:val="nil"/>
              <w:bottom w:val="nil"/>
              <w:right w:val="nil"/>
            </w:tcBorders>
            <w:noWrap/>
            <w:vAlign w:val="bottom"/>
            <w:hideMark/>
          </w:tcPr>
          <w:p w14:paraId="0D4B2C8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-0.071</w:t>
            </w:r>
          </w:p>
        </w:tc>
        <w:tc>
          <w:tcPr>
            <w:tcW w:w="1276" w:type="dxa"/>
            <w:tcBorders>
              <w:top w:val="nil"/>
              <w:left w:val="nil"/>
              <w:bottom w:val="nil"/>
              <w:right w:val="nil"/>
            </w:tcBorders>
            <w:noWrap/>
            <w:vAlign w:val="bottom"/>
            <w:hideMark/>
          </w:tcPr>
          <w:p w14:paraId="17F6EB5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0.066</w:t>
            </w:r>
          </w:p>
        </w:tc>
        <w:tc>
          <w:tcPr>
            <w:tcW w:w="1275" w:type="dxa"/>
            <w:tcBorders>
              <w:top w:val="nil"/>
              <w:left w:val="nil"/>
              <w:bottom w:val="nil"/>
              <w:right w:val="nil"/>
            </w:tcBorders>
            <w:vAlign w:val="bottom"/>
          </w:tcPr>
          <w:p w14:paraId="384EF073" w14:textId="6990A74F"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0.945</w:t>
            </w:r>
          </w:p>
        </w:tc>
        <w:tc>
          <w:tcPr>
            <w:tcW w:w="1276" w:type="dxa"/>
            <w:tcBorders>
              <w:top w:val="nil"/>
              <w:left w:val="nil"/>
              <w:bottom w:val="nil"/>
              <w:right w:val="nil"/>
            </w:tcBorders>
            <w:noWrap/>
            <w:vAlign w:val="bottom"/>
            <w:hideMark/>
          </w:tcPr>
          <w:p w14:paraId="76AE3A78" w14:textId="4BA3849C"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0.0055</w:t>
            </w:r>
          </w:p>
        </w:tc>
        <w:tc>
          <w:tcPr>
            <w:tcW w:w="1134" w:type="dxa"/>
            <w:tcBorders>
              <w:top w:val="nil"/>
              <w:left w:val="nil"/>
              <w:bottom w:val="nil"/>
              <w:right w:val="nil"/>
            </w:tcBorders>
            <w:noWrap/>
            <w:vAlign w:val="bottom"/>
            <w:hideMark/>
          </w:tcPr>
          <w:p w14:paraId="150608B4"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3644</w:t>
            </w:r>
          </w:p>
        </w:tc>
      </w:tr>
      <w:tr w:rsidR="00745264" w:rsidRPr="001C35E2" w14:paraId="7AD5CFBE" w14:textId="77777777" w:rsidTr="00745264">
        <w:trPr>
          <w:trHeight w:val="300"/>
        </w:trPr>
        <w:tc>
          <w:tcPr>
            <w:tcW w:w="1843" w:type="dxa"/>
            <w:tcBorders>
              <w:top w:val="nil"/>
              <w:left w:val="nil"/>
              <w:bottom w:val="nil"/>
              <w:right w:val="nil"/>
            </w:tcBorders>
            <w:noWrap/>
            <w:vAlign w:val="bottom"/>
            <w:hideMark/>
          </w:tcPr>
          <w:p w14:paraId="7737FCAF"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rs6931604_t</w:t>
            </w:r>
          </w:p>
        </w:tc>
        <w:tc>
          <w:tcPr>
            <w:tcW w:w="1134" w:type="dxa"/>
            <w:tcBorders>
              <w:top w:val="nil"/>
              <w:left w:val="nil"/>
              <w:bottom w:val="nil"/>
              <w:right w:val="nil"/>
            </w:tcBorders>
            <w:noWrap/>
            <w:vAlign w:val="bottom"/>
            <w:hideMark/>
          </w:tcPr>
          <w:p w14:paraId="39E5C15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0.001</w:t>
            </w:r>
          </w:p>
        </w:tc>
        <w:tc>
          <w:tcPr>
            <w:tcW w:w="1276" w:type="dxa"/>
            <w:tcBorders>
              <w:top w:val="nil"/>
              <w:left w:val="nil"/>
              <w:bottom w:val="nil"/>
              <w:right w:val="nil"/>
            </w:tcBorders>
            <w:noWrap/>
            <w:vAlign w:val="bottom"/>
            <w:hideMark/>
          </w:tcPr>
          <w:p w14:paraId="14CC3478"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-0.063</w:t>
            </w:r>
          </w:p>
        </w:tc>
        <w:tc>
          <w:tcPr>
            <w:tcW w:w="1276" w:type="dxa"/>
            <w:tcBorders>
              <w:top w:val="nil"/>
              <w:left w:val="nil"/>
              <w:bottom w:val="nil"/>
              <w:right w:val="nil"/>
            </w:tcBorders>
            <w:noWrap/>
            <w:vAlign w:val="bottom"/>
            <w:hideMark/>
          </w:tcPr>
          <w:p w14:paraId="7905A69F"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0.064</w:t>
            </w:r>
          </w:p>
        </w:tc>
        <w:tc>
          <w:tcPr>
            <w:tcW w:w="1275" w:type="dxa"/>
            <w:tcBorders>
              <w:top w:val="nil"/>
              <w:left w:val="nil"/>
              <w:bottom w:val="nil"/>
              <w:right w:val="nil"/>
            </w:tcBorders>
            <w:vAlign w:val="bottom"/>
          </w:tcPr>
          <w:p w14:paraId="4084CF06" w14:textId="6D6F722A"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0.985</w:t>
            </w:r>
          </w:p>
        </w:tc>
        <w:tc>
          <w:tcPr>
            <w:tcW w:w="1276" w:type="dxa"/>
            <w:tcBorders>
              <w:top w:val="nil"/>
              <w:left w:val="nil"/>
              <w:bottom w:val="nil"/>
              <w:right w:val="nil"/>
            </w:tcBorders>
            <w:noWrap/>
            <w:vAlign w:val="bottom"/>
            <w:hideMark/>
          </w:tcPr>
          <w:p w14:paraId="68D62974" w14:textId="6DD9299D"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0.0053</w:t>
            </w:r>
          </w:p>
        </w:tc>
        <w:tc>
          <w:tcPr>
            <w:tcW w:w="1134" w:type="dxa"/>
            <w:tcBorders>
              <w:top w:val="nil"/>
              <w:left w:val="nil"/>
              <w:bottom w:val="nil"/>
              <w:right w:val="nil"/>
            </w:tcBorders>
            <w:noWrap/>
            <w:vAlign w:val="bottom"/>
            <w:hideMark/>
          </w:tcPr>
          <w:p w14:paraId="7B01458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3596</w:t>
            </w:r>
          </w:p>
        </w:tc>
      </w:tr>
      <w:tr w:rsidR="00745264" w:rsidRPr="001C35E2" w14:paraId="0B94318D" w14:textId="77777777" w:rsidTr="00745264">
        <w:trPr>
          <w:trHeight w:val="300"/>
        </w:trPr>
        <w:tc>
          <w:tcPr>
            <w:tcW w:w="1843" w:type="dxa"/>
            <w:tcBorders>
              <w:top w:val="nil"/>
              <w:left w:val="nil"/>
              <w:bottom w:val="nil"/>
              <w:right w:val="nil"/>
            </w:tcBorders>
            <w:noWrap/>
            <w:vAlign w:val="bottom"/>
            <w:hideMark/>
          </w:tcPr>
          <w:p w14:paraId="5B569B44"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rs112248289_a</w:t>
            </w:r>
          </w:p>
        </w:tc>
        <w:tc>
          <w:tcPr>
            <w:tcW w:w="1134" w:type="dxa"/>
            <w:tcBorders>
              <w:top w:val="nil"/>
              <w:left w:val="nil"/>
              <w:bottom w:val="nil"/>
              <w:right w:val="nil"/>
            </w:tcBorders>
            <w:noWrap/>
            <w:vAlign w:val="bottom"/>
            <w:hideMark/>
          </w:tcPr>
          <w:p w14:paraId="248F786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-0.096</w:t>
            </w:r>
          </w:p>
        </w:tc>
        <w:tc>
          <w:tcPr>
            <w:tcW w:w="1276" w:type="dxa"/>
            <w:tcBorders>
              <w:top w:val="nil"/>
              <w:left w:val="nil"/>
              <w:bottom w:val="nil"/>
              <w:right w:val="nil"/>
            </w:tcBorders>
            <w:noWrap/>
            <w:vAlign w:val="bottom"/>
            <w:hideMark/>
          </w:tcPr>
          <w:p w14:paraId="501DF234"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-0.191</w:t>
            </w:r>
          </w:p>
        </w:tc>
        <w:tc>
          <w:tcPr>
            <w:tcW w:w="1276" w:type="dxa"/>
            <w:tcBorders>
              <w:top w:val="nil"/>
              <w:left w:val="nil"/>
              <w:bottom w:val="nil"/>
              <w:right w:val="nil"/>
            </w:tcBorders>
            <w:noWrap/>
            <w:vAlign w:val="bottom"/>
            <w:hideMark/>
          </w:tcPr>
          <w:p w14:paraId="27E19C25"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-0.002</w:t>
            </w:r>
          </w:p>
        </w:tc>
        <w:tc>
          <w:tcPr>
            <w:tcW w:w="1275" w:type="dxa"/>
            <w:tcBorders>
              <w:top w:val="nil"/>
              <w:left w:val="nil"/>
              <w:bottom w:val="nil"/>
              <w:right w:val="nil"/>
            </w:tcBorders>
            <w:vAlign w:val="bottom"/>
          </w:tcPr>
          <w:p w14:paraId="2E61141E" w14:textId="677BA7BF"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0.045</w:t>
            </w:r>
          </w:p>
        </w:tc>
        <w:tc>
          <w:tcPr>
            <w:tcW w:w="1276" w:type="dxa"/>
            <w:tcBorders>
              <w:top w:val="nil"/>
              <w:left w:val="nil"/>
              <w:bottom w:val="nil"/>
              <w:right w:val="nil"/>
            </w:tcBorders>
            <w:noWrap/>
            <w:vAlign w:val="bottom"/>
            <w:hideMark/>
          </w:tcPr>
          <w:p w14:paraId="152FF676" w14:textId="28E5AB3B"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0.0066</w:t>
            </w:r>
          </w:p>
        </w:tc>
        <w:tc>
          <w:tcPr>
            <w:tcW w:w="1134" w:type="dxa"/>
            <w:tcBorders>
              <w:top w:val="nil"/>
              <w:left w:val="nil"/>
              <w:bottom w:val="nil"/>
              <w:right w:val="nil"/>
            </w:tcBorders>
            <w:noWrap/>
            <w:vAlign w:val="bottom"/>
            <w:hideMark/>
          </w:tcPr>
          <w:p w14:paraId="6C0EB72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3540</w:t>
            </w:r>
          </w:p>
        </w:tc>
      </w:tr>
      <w:tr w:rsidR="00745264" w:rsidRPr="001C35E2" w14:paraId="418BAEE5" w14:textId="77777777" w:rsidTr="00745264">
        <w:trPr>
          <w:trHeight w:val="300"/>
        </w:trPr>
        <w:tc>
          <w:tcPr>
            <w:tcW w:w="1843" w:type="dxa"/>
            <w:tcBorders>
              <w:top w:val="nil"/>
              <w:left w:val="nil"/>
              <w:bottom w:val="nil"/>
              <w:right w:val="nil"/>
            </w:tcBorders>
            <w:noWrap/>
            <w:vAlign w:val="bottom"/>
            <w:hideMark/>
          </w:tcPr>
          <w:p w14:paraId="0B9C1441"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rs14415_t</w:t>
            </w:r>
          </w:p>
        </w:tc>
        <w:tc>
          <w:tcPr>
            <w:tcW w:w="1134" w:type="dxa"/>
            <w:tcBorders>
              <w:top w:val="nil"/>
              <w:left w:val="nil"/>
              <w:bottom w:val="nil"/>
              <w:right w:val="nil"/>
            </w:tcBorders>
            <w:noWrap/>
            <w:vAlign w:val="bottom"/>
            <w:hideMark/>
          </w:tcPr>
          <w:p w14:paraId="7DC1AE0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-0.025</w:t>
            </w:r>
          </w:p>
        </w:tc>
        <w:tc>
          <w:tcPr>
            <w:tcW w:w="1276" w:type="dxa"/>
            <w:tcBorders>
              <w:top w:val="nil"/>
              <w:left w:val="nil"/>
              <w:bottom w:val="nil"/>
              <w:right w:val="nil"/>
            </w:tcBorders>
            <w:noWrap/>
            <w:vAlign w:val="bottom"/>
            <w:hideMark/>
          </w:tcPr>
          <w:p w14:paraId="22A652C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-0.093</w:t>
            </w:r>
          </w:p>
        </w:tc>
        <w:tc>
          <w:tcPr>
            <w:tcW w:w="1276" w:type="dxa"/>
            <w:tcBorders>
              <w:top w:val="nil"/>
              <w:left w:val="nil"/>
              <w:bottom w:val="nil"/>
              <w:right w:val="nil"/>
            </w:tcBorders>
            <w:noWrap/>
            <w:vAlign w:val="bottom"/>
            <w:hideMark/>
          </w:tcPr>
          <w:p w14:paraId="61C2EE1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0.043</w:t>
            </w:r>
          </w:p>
        </w:tc>
        <w:tc>
          <w:tcPr>
            <w:tcW w:w="1275" w:type="dxa"/>
            <w:tcBorders>
              <w:top w:val="nil"/>
              <w:left w:val="nil"/>
              <w:bottom w:val="nil"/>
              <w:right w:val="nil"/>
            </w:tcBorders>
            <w:vAlign w:val="bottom"/>
          </w:tcPr>
          <w:p w14:paraId="466E6247" w14:textId="0DDF3936"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0.469</w:t>
            </w:r>
          </w:p>
        </w:tc>
        <w:tc>
          <w:tcPr>
            <w:tcW w:w="1276" w:type="dxa"/>
            <w:tcBorders>
              <w:top w:val="nil"/>
              <w:left w:val="nil"/>
              <w:bottom w:val="nil"/>
              <w:right w:val="nil"/>
            </w:tcBorders>
            <w:noWrap/>
            <w:vAlign w:val="bottom"/>
            <w:hideMark/>
          </w:tcPr>
          <w:p w14:paraId="0E34D8FA" w14:textId="21244289"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0.0056</w:t>
            </w:r>
          </w:p>
        </w:tc>
        <w:tc>
          <w:tcPr>
            <w:tcW w:w="1134" w:type="dxa"/>
            <w:tcBorders>
              <w:top w:val="nil"/>
              <w:left w:val="nil"/>
              <w:bottom w:val="nil"/>
              <w:right w:val="nil"/>
            </w:tcBorders>
            <w:noWrap/>
            <w:vAlign w:val="bottom"/>
            <w:hideMark/>
          </w:tcPr>
          <w:p w14:paraId="1C74A286"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3637</w:t>
            </w:r>
          </w:p>
        </w:tc>
      </w:tr>
      <w:tr w:rsidR="00745264" w:rsidRPr="001C35E2" w14:paraId="7196FB38" w14:textId="77777777" w:rsidTr="00745264">
        <w:trPr>
          <w:trHeight w:val="300"/>
        </w:trPr>
        <w:tc>
          <w:tcPr>
            <w:tcW w:w="1843" w:type="dxa"/>
            <w:tcBorders>
              <w:top w:val="nil"/>
              <w:left w:val="nil"/>
              <w:bottom w:val="nil"/>
              <w:right w:val="nil"/>
            </w:tcBorders>
            <w:noWrap/>
            <w:vAlign w:val="bottom"/>
            <w:hideMark/>
          </w:tcPr>
          <w:p w14:paraId="61C8B7B1"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rs9987289_g</w:t>
            </w:r>
          </w:p>
        </w:tc>
        <w:tc>
          <w:tcPr>
            <w:tcW w:w="1134" w:type="dxa"/>
            <w:tcBorders>
              <w:top w:val="nil"/>
              <w:left w:val="nil"/>
              <w:bottom w:val="nil"/>
              <w:right w:val="nil"/>
            </w:tcBorders>
            <w:noWrap/>
            <w:vAlign w:val="bottom"/>
            <w:hideMark/>
          </w:tcPr>
          <w:p w14:paraId="6C3BE8D9"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-0.020</w:t>
            </w:r>
          </w:p>
        </w:tc>
        <w:tc>
          <w:tcPr>
            <w:tcW w:w="1276" w:type="dxa"/>
            <w:tcBorders>
              <w:top w:val="nil"/>
              <w:left w:val="nil"/>
              <w:bottom w:val="nil"/>
              <w:right w:val="nil"/>
            </w:tcBorders>
            <w:noWrap/>
            <w:vAlign w:val="bottom"/>
            <w:hideMark/>
          </w:tcPr>
          <w:p w14:paraId="141E118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-0.126</w:t>
            </w:r>
          </w:p>
        </w:tc>
        <w:tc>
          <w:tcPr>
            <w:tcW w:w="1276" w:type="dxa"/>
            <w:tcBorders>
              <w:top w:val="nil"/>
              <w:left w:val="nil"/>
              <w:bottom w:val="nil"/>
              <w:right w:val="nil"/>
            </w:tcBorders>
            <w:noWrap/>
            <w:vAlign w:val="bottom"/>
            <w:hideMark/>
          </w:tcPr>
          <w:p w14:paraId="6092696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0.087</w:t>
            </w:r>
          </w:p>
        </w:tc>
        <w:tc>
          <w:tcPr>
            <w:tcW w:w="1275" w:type="dxa"/>
            <w:tcBorders>
              <w:top w:val="nil"/>
              <w:left w:val="nil"/>
              <w:bottom w:val="nil"/>
              <w:right w:val="nil"/>
            </w:tcBorders>
            <w:vAlign w:val="bottom"/>
          </w:tcPr>
          <w:p w14:paraId="20DDFB4C" w14:textId="47A27288"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0.717</w:t>
            </w:r>
          </w:p>
        </w:tc>
        <w:tc>
          <w:tcPr>
            <w:tcW w:w="1276" w:type="dxa"/>
            <w:tcBorders>
              <w:top w:val="nil"/>
              <w:left w:val="nil"/>
              <w:bottom w:val="nil"/>
              <w:right w:val="nil"/>
            </w:tcBorders>
            <w:noWrap/>
            <w:vAlign w:val="bottom"/>
            <w:hideMark/>
          </w:tcPr>
          <w:p w14:paraId="6BE2E265" w14:textId="4BD59985"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0.0055</w:t>
            </w:r>
          </w:p>
        </w:tc>
        <w:tc>
          <w:tcPr>
            <w:tcW w:w="1134" w:type="dxa"/>
            <w:tcBorders>
              <w:top w:val="nil"/>
              <w:left w:val="nil"/>
              <w:bottom w:val="nil"/>
              <w:right w:val="nil"/>
            </w:tcBorders>
            <w:noWrap/>
            <w:vAlign w:val="bottom"/>
            <w:hideMark/>
          </w:tcPr>
          <w:p w14:paraId="7A14233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3628</w:t>
            </w:r>
          </w:p>
        </w:tc>
      </w:tr>
      <w:tr w:rsidR="00745264" w:rsidRPr="001C35E2" w14:paraId="60AED7B2" w14:textId="77777777" w:rsidTr="00745264">
        <w:trPr>
          <w:trHeight w:val="300"/>
        </w:trPr>
        <w:tc>
          <w:tcPr>
            <w:tcW w:w="1843" w:type="dxa"/>
            <w:tcBorders>
              <w:top w:val="nil"/>
              <w:left w:val="nil"/>
              <w:bottom w:val="nil"/>
              <w:right w:val="nil"/>
            </w:tcBorders>
            <w:noWrap/>
            <w:vAlign w:val="bottom"/>
            <w:hideMark/>
          </w:tcPr>
          <w:p w14:paraId="09A7BE79"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rs145391587_c</w:t>
            </w:r>
          </w:p>
        </w:tc>
        <w:tc>
          <w:tcPr>
            <w:tcW w:w="1134" w:type="dxa"/>
            <w:tcBorders>
              <w:top w:val="nil"/>
              <w:left w:val="nil"/>
              <w:bottom w:val="nil"/>
              <w:right w:val="nil"/>
            </w:tcBorders>
            <w:noWrap/>
            <w:vAlign w:val="bottom"/>
            <w:hideMark/>
          </w:tcPr>
          <w:p w14:paraId="0342E2D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-0.022</w:t>
            </w:r>
          </w:p>
        </w:tc>
        <w:tc>
          <w:tcPr>
            <w:tcW w:w="1276" w:type="dxa"/>
            <w:tcBorders>
              <w:top w:val="nil"/>
              <w:left w:val="nil"/>
              <w:bottom w:val="nil"/>
              <w:right w:val="nil"/>
            </w:tcBorders>
            <w:noWrap/>
            <w:vAlign w:val="bottom"/>
            <w:hideMark/>
          </w:tcPr>
          <w:p w14:paraId="5138DF25"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-0.124</w:t>
            </w:r>
          </w:p>
        </w:tc>
        <w:tc>
          <w:tcPr>
            <w:tcW w:w="1276" w:type="dxa"/>
            <w:tcBorders>
              <w:top w:val="nil"/>
              <w:left w:val="nil"/>
              <w:bottom w:val="nil"/>
              <w:right w:val="nil"/>
            </w:tcBorders>
            <w:noWrap/>
            <w:vAlign w:val="bottom"/>
            <w:hideMark/>
          </w:tcPr>
          <w:p w14:paraId="0DD57B04"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0.079</w:t>
            </w:r>
          </w:p>
        </w:tc>
        <w:tc>
          <w:tcPr>
            <w:tcW w:w="1275" w:type="dxa"/>
            <w:tcBorders>
              <w:top w:val="nil"/>
              <w:left w:val="nil"/>
              <w:bottom w:val="nil"/>
              <w:right w:val="nil"/>
            </w:tcBorders>
            <w:vAlign w:val="bottom"/>
          </w:tcPr>
          <w:p w14:paraId="60F0EB19" w14:textId="3E10A1CD"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0.669</w:t>
            </w:r>
          </w:p>
        </w:tc>
        <w:tc>
          <w:tcPr>
            <w:tcW w:w="1276" w:type="dxa"/>
            <w:tcBorders>
              <w:top w:val="nil"/>
              <w:left w:val="nil"/>
              <w:bottom w:val="nil"/>
              <w:right w:val="nil"/>
            </w:tcBorders>
            <w:noWrap/>
            <w:vAlign w:val="bottom"/>
            <w:hideMark/>
          </w:tcPr>
          <w:p w14:paraId="51DD037F" w14:textId="27916B56"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0.0058</w:t>
            </w:r>
          </w:p>
        </w:tc>
        <w:tc>
          <w:tcPr>
            <w:tcW w:w="1134" w:type="dxa"/>
            <w:tcBorders>
              <w:top w:val="nil"/>
              <w:left w:val="nil"/>
              <w:bottom w:val="nil"/>
              <w:right w:val="nil"/>
            </w:tcBorders>
            <w:noWrap/>
            <w:vAlign w:val="bottom"/>
            <w:hideMark/>
          </w:tcPr>
          <w:p w14:paraId="26DBFE13"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3633</w:t>
            </w:r>
          </w:p>
        </w:tc>
      </w:tr>
      <w:tr w:rsidR="00745264" w:rsidRPr="001C35E2" w14:paraId="341BABE6" w14:textId="77777777" w:rsidTr="00745264">
        <w:trPr>
          <w:trHeight w:val="300"/>
        </w:trPr>
        <w:tc>
          <w:tcPr>
            <w:tcW w:w="1843" w:type="dxa"/>
            <w:tcBorders>
              <w:top w:val="nil"/>
              <w:left w:val="nil"/>
              <w:bottom w:val="nil"/>
              <w:right w:val="nil"/>
            </w:tcBorders>
            <w:noWrap/>
            <w:vAlign w:val="bottom"/>
            <w:hideMark/>
          </w:tcPr>
          <w:p w14:paraId="414FB645"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rs2954021_a</w:t>
            </w:r>
          </w:p>
        </w:tc>
        <w:tc>
          <w:tcPr>
            <w:tcW w:w="1134" w:type="dxa"/>
            <w:tcBorders>
              <w:top w:val="nil"/>
              <w:left w:val="nil"/>
              <w:bottom w:val="nil"/>
              <w:right w:val="nil"/>
            </w:tcBorders>
            <w:noWrap/>
            <w:vAlign w:val="bottom"/>
            <w:hideMark/>
          </w:tcPr>
          <w:p w14:paraId="2A105DE5"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-0.014</w:t>
            </w:r>
          </w:p>
        </w:tc>
        <w:tc>
          <w:tcPr>
            <w:tcW w:w="1276" w:type="dxa"/>
            <w:tcBorders>
              <w:top w:val="nil"/>
              <w:left w:val="nil"/>
              <w:bottom w:val="nil"/>
              <w:right w:val="nil"/>
            </w:tcBorders>
            <w:noWrap/>
            <w:vAlign w:val="bottom"/>
            <w:hideMark/>
          </w:tcPr>
          <w:p w14:paraId="460C53E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-0.077</w:t>
            </w:r>
          </w:p>
        </w:tc>
        <w:tc>
          <w:tcPr>
            <w:tcW w:w="1276" w:type="dxa"/>
            <w:tcBorders>
              <w:top w:val="nil"/>
              <w:left w:val="nil"/>
              <w:bottom w:val="nil"/>
              <w:right w:val="nil"/>
            </w:tcBorders>
            <w:noWrap/>
            <w:vAlign w:val="bottom"/>
            <w:hideMark/>
          </w:tcPr>
          <w:p w14:paraId="61FBA713"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0.048</w:t>
            </w:r>
          </w:p>
        </w:tc>
        <w:tc>
          <w:tcPr>
            <w:tcW w:w="1275" w:type="dxa"/>
            <w:tcBorders>
              <w:top w:val="nil"/>
              <w:left w:val="nil"/>
              <w:bottom w:val="nil"/>
              <w:right w:val="nil"/>
            </w:tcBorders>
            <w:vAlign w:val="bottom"/>
          </w:tcPr>
          <w:p w14:paraId="7AE4DBC7" w14:textId="1F1BF983"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0.650</w:t>
            </w:r>
          </w:p>
        </w:tc>
        <w:tc>
          <w:tcPr>
            <w:tcW w:w="1276" w:type="dxa"/>
            <w:tcBorders>
              <w:top w:val="nil"/>
              <w:left w:val="nil"/>
              <w:bottom w:val="nil"/>
              <w:right w:val="nil"/>
            </w:tcBorders>
            <w:noWrap/>
            <w:vAlign w:val="bottom"/>
            <w:hideMark/>
          </w:tcPr>
          <w:p w14:paraId="0E455BCC" w14:textId="305F0B88"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0.0056</w:t>
            </w:r>
          </w:p>
        </w:tc>
        <w:tc>
          <w:tcPr>
            <w:tcW w:w="1134" w:type="dxa"/>
            <w:tcBorders>
              <w:top w:val="nil"/>
              <w:left w:val="nil"/>
              <w:bottom w:val="nil"/>
              <w:right w:val="nil"/>
            </w:tcBorders>
            <w:noWrap/>
            <w:vAlign w:val="bottom"/>
            <w:hideMark/>
          </w:tcPr>
          <w:p w14:paraId="15DF571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3644</w:t>
            </w:r>
          </w:p>
        </w:tc>
      </w:tr>
      <w:tr w:rsidR="00745264" w:rsidRPr="001C35E2" w14:paraId="111D2C84" w14:textId="77777777" w:rsidTr="00745264">
        <w:trPr>
          <w:trHeight w:val="300"/>
        </w:trPr>
        <w:tc>
          <w:tcPr>
            <w:tcW w:w="1843" w:type="dxa"/>
            <w:tcBorders>
              <w:top w:val="nil"/>
              <w:left w:val="nil"/>
              <w:bottom w:val="nil"/>
              <w:right w:val="nil"/>
            </w:tcBorders>
            <w:noWrap/>
            <w:vAlign w:val="bottom"/>
            <w:hideMark/>
          </w:tcPr>
          <w:p w14:paraId="6A176938"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rs1800978_c</w:t>
            </w:r>
          </w:p>
        </w:tc>
        <w:tc>
          <w:tcPr>
            <w:tcW w:w="1134" w:type="dxa"/>
            <w:tcBorders>
              <w:top w:val="nil"/>
              <w:left w:val="nil"/>
              <w:bottom w:val="nil"/>
              <w:right w:val="nil"/>
            </w:tcBorders>
            <w:noWrap/>
            <w:vAlign w:val="bottom"/>
            <w:hideMark/>
          </w:tcPr>
          <w:p w14:paraId="1F2C7A5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0.064</w:t>
            </w:r>
          </w:p>
        </w:tc>
        <w:tc>
          <w:tcPr>
            <w:tcW w:w="1276" w:type="dxa"/>
            <w:tcBorders>
              <w:top w:val="nil"/>
              <w:left w:val="nil"/>
              <w:bottom w:val="nil"/>
              <w:right w:val="nil"/>
            </w:tcBorders>
            <w:noWrap/>
            <w:vAlign w:val="bottom"/>
            <w:hideMark/>
          </w:tcPr>
          <w:p w14:paraId="54FD2616"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-0.030</w:t>
            </w:r>
          </w:p>
        </w:tc>
        <w:tc>
          <w:tcPr>
            <w:tcW w:w="1276" w:type="dxa"/>
            <w:tcBorders>
              <w:top w:val="nil"/>
              <w:left w:val="nil"/>
              <w:bottom w:val="nil"/>
              <w:right w:val="nil"/>
            </w:tcBorders>
            <w:noWrap/>
            <w:vAlign w:val="bottom"/>
            <w:hideMark/>
          </w:tcPr>
          <w:p w14:paraId="0EAB0D9C"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0.157</w:t>
            </w:r>
          </w:p>
        </w:tc>
        <w:tc>
          <w:tcPr>
            <w:tcW w:w="1275" w:type="dxa"/>
            <w:tcBorders>
              <w:top w:val="nil"/>
              <w:left w:val="nil"/>
              <w:bottom w:val="nil"/>
              <w:right w:val="nil"/>
            </w:tcBorders>
            <w:vAlign w:val="bottom"/>
          </w:tcPr>
          <w:p w14:paraId="0EEBA118" w14:textId="0F3FC75F"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0.183</w:t>
            </w:r>
          </w:p>
        </w:tc>
        <w:tc>
          <w:tcPr>
            <w:tcW w:w="1276" w:type="dxa"/>
            <w:tcBorders>
              <w:top w:val="nil"/>
              <w:left w:val="nil"/>
              <w:bottom w:val="nil"/>
              <w:right w:val="nil"/>
            </w:tcBorders>
            <w:noWrap/>
            <w:vAlign w:val="bottom"/>
            <w:hideMark/>
          </w:tcPr>
          <w:p w14:paraId="5335D790" w14:textId="16733CE6"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0.0058</w:t>
            </w:r>
          </w:p>
        </w:tc>
        <w:tc>
          <w:tcPr>
            <w:tcW w:w="1134" w:type="dxa"/>
            <w:tcBorders>
              <w:top w:val="nil"/>
              <w:left w:val="nil"/>
              <w:bottom w:val="nil"/>
              <w:right w:val="nil"/>
            </w:tcBorders>
            <w:noWrap/>
            <w:vAlign w:val="bottom"/>
            <w:hideMark/>
          </w:tcPr>
          <w:p w14:paraId="539B8A8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3626</w:t>
            </w:r>
          </w:p>
        </w:tc>
      </w:tr>
      <w:tr w:rsidR="00745264" w:rsidRPr="001C35E2" w14:paraId="6FC86D20" w14:textId="77777777" w:rsidTr="00745264">
        <w:trPr>
          <w:trHeight w:val="300"/>
        </w:trPr>
        <w:tc>
          <w:tcPr>
            <w:tcW w:w="1843" w:type="dxa"/>
            <w:tcBorders>
              <w:top w:val="nil"/>
              <w:left w:val="nil"/>
              <w:bottom w:val="nil"/>
              <w:right w:val="nil"/>
            </w:tcBorders>
            <w:noWrap/>
            <w:vAlign w:val="bottom"/>
            <w:hideMark/>
          </w:tcPr>
          <w:p w14:paraId="15E00504"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rs2666761_g</w:t>
            </w:r>
          </w:p>
        </w:tc>
        <w:tc>
          <w:tcPr>
            <w:tcW w:w="1134" w:type="dxa"/>
            <w:tcBorders>
              <w:top w:val="nil"/>
              <w:left w:val="nil"/>
              <w:bottom w:val="nil"/>
              <w:right w:val="nil"/>
            </w:tcBorders>
            <w:noWrap/>
            <w:vAlign w:val="bottom"/>
            <w:hideMark/>
          </w:tcPr>
          <w:p w14:paraId="4E2D1D2E"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0.040</w:t>
            </w:r>
          </w:p>
        </w:tc>
        <w:tc>
          <w:tcPr>
            <w:tcW w:w="1276" w:type="dxa"/>
            <w:tcBorders>
              <w:top w:val="nil"/>
              <w:left w:val="nil"/>
              <w:bottom w:val="nil"/>
              <w:right w:val="nil"/>
            </w:tcBorders>
            <w:noWrap/>
            <w:vAlign w:val="bottom"/>
            <w:hideMark/>
          </w:tcPr>
          <w:p w14:paraId="5CAC165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-0.029</w:t>
            </w:r>
          </w:p>
        </w:tc>
        <w:tc>
          <w:tcPr>
            <w:tcW w:w="1276" w:type="dxa"/>
            <w:tcBorders>
              <w:top w:val="nil"/>
              <w:left w:val="nil"/>
              <w:bottom w:val="nil"/>
              <w:right w:val="nil"/>
            </w:tcBorders>
            <w:noWrap/>
            <w:vAlign w:val="bottom"/>
            <w:hideMark/>
          </w:tcPr>
          <w:p w14:paraId="50E0D54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0.109</w:t>
            </w:r>
          </w:p>
        </w:tc>
        <w:tc>
          <w:tcPr>
            <w:tcW w:w="1275" w:type="dxa"/>
            <w:tcBorders>
              <w:top w:val="nil"/>
              <w:left w:val="nil"/>
              <w:bottom w:val="nil"/>
              <w:right w:val="nil"/>
            </w:tcBorders>
            <w:vAlign w:val="bottom"/>
          </w:tcPr>
          <w:p w14:paraId="177457CB" w14:textId="1CD04481"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0.253</w:t>
            </w:r>
          </w:p>
        </w:tc>
        <w:tc>
          <w:tcPr>
            <w:tcW w:w="1276" w:type="dxa"/>
            <w:tcBorders>
              <w:top w:val="nil"/>
              <w:left w:val="nil"/>
              <w:bottom w:val="nil"/>
              <w:right w:val="nil"/>
            </w:tcBorders>
            <w:noWrap/>
            <w:vAlign w:val="bottom"/>
            <w:hideMark/>
          </w:tcPr>
          <w:p w14:paraId="5C62D2F1" w14:textId="1D804C58"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0.0058</w:t>
            </w:r>
          </w:p>
        </w:tc>
        <w:tc>
          <w:tcPr>
            <w:tcW w:w="1134" w:type="dxa"/>
            <w:tcBorders>
              <w:top w:val="nil"/>
              <w:left w:val="nil"/>
              <w:bottom w:val="nil"/>
              <w:right w:val="nil"/>
            </w:tcBorders>
            <w:noWrap/>
            <w:vAlign w:val="bottom"/>
            <w:hideMark/>
          </w:tcPr>
          <w:p w14:paraId="564352B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3617</w:t>
            </w:r>
          </w:p>
        </w:tc>
      </w:tr>
      <w:tr w:rsidR="00745264" w:rsidRPr="001C35E2" w14:paraId="0B1095DD" w14:textId="77777777" w:rsidTr="00745264">
        <w:trPr>
          <w:trHeight w:val="300"/>
        </w:trPr>
        <w:tc>
          <w:tcPr>
            <w:tcW w:w="1843" w:type="dxa"/>
            <w:tcBorders>
              <w:top w:val="nil"/>
              <w:left w:val="nil"/>
              <w:bottom w:val="nil"/>
              <w:right w:val="nil"/>
            </w:tcBorders>
            <w:noWrap/>
            <w:vAlign w:val="bottom"/>
            <w:hideMark/>
          </w:tcPr>
          <w:p w14:paraId="1FDC0165"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lastRenderedPageBreak/>
              <w:t>rs7924036_t</w:t>
            </w:r>
          </w:p>
        </w:tc>
        <w:tc>
          <w:tcPr>
            <w:tcW w:w="1134" w:type="dxa"/>
            <w:tcBorders>
              <w:top w:val="nil"/>
              <w:left w:val="nil"/>
              <w:bottom w:val="nil"/>
              <w:right w:val="nil"/>
            </w:tcBorders>
            <w:noWrap/>
            <w:vAlign w:val="bottom"/>
            <w:hideMark/>
          </w:tcPr>
          <w:p w14:paraId="562E43A6"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0.020</w:t>
            </w:r>
          </w:p>
        </w:tc>
        <w:tc>
          <w:tcPr>
            <w:tcW w:w="1276" w:type="dxa"/>
            <w:tcBorders>
              <w:top w:val="nil"/>
              <w:left w:val="nil"/>
              <w:bottom w:val="nil"/>
              <w:right w:val="nil"/>
            </w:tcBorders>
            <w:noWrap/>
            <w:vAlign w:val="bottom"/>
            <w:hideMark/>
          </w:tcPr>
          <w:p w14:paraId="47BB76F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-0.042</w:t>
            </w:r>
          </w:p>
        </w:tc>
        <w:tc>
          <w:tcPr>
            <w:tcW w:w="1276" w:type="dxa"/>
            <w:tcBorders>
              <w:top w:val="nil"/>
              <w:left w:val="nil"/>
              <w:bottom w:val="nil"/>
              <w:right w:val="nil"/>
            </w:tcBorders>
            <w:noWrap/>
            <w:vAlign w:val="bottom"/>
            <w:hideMark/>
          </w:tcPr>
          <w:p w14:paraId="7DD0673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0.082</w:t>
            </w:r>
          </w:p>
        </w:tc>
        <w:tc>
          <w:tcPr>
            <w:tcW w:w="1275" w:type="dxa"/>
            <w:tcBorders>
              <w:top w:val="nil"/>
              <w:left w:val="nil"/>
              <w:bottom w:val="nil"/>
              <w:right w:val="nil"/>
            </w:tcBorders>
            <w:vAlign w:val="bottom"/>
          </w:tcPr>
          <w:p w14:paraId="120EA374" w14:textId="7CE0DD2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0.522</w:t>
            </w:r>
          </w:p>
        </w:tc>
        <w:tc>
          <w:tcPr>
            <w:tcW w:w="1276" w:type="dxa"/>
            <w:tcBorders>
              <w:top w:val="nil"/>
              <w:left w:val="nil"/>
              <w:bottom w:val="nil"/>
              <w:right w:val="nil"/>
            </w:tcBorders>
            <w:noWrap/>
            <w:vAlign w:val="bottom"/>
            <w:hideMark/>
          </w:tcPr>
          <w:p w14:paraId="3F15196D" w14:textId="49492AE9"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0.0057</w:t>
            </w:r>
          </w:p>
        </w:tc>
        <w:tc>
          <w:tcPr>
            <w:tcW w:w="1134" w:type="dxa"/>
            <w:tcBorders>
              <w:top w:val="nil"/>
              <w:left w:val="nil"/>
              <w:bottom w:val="nil"/>
              <w:right w:val="nil"/>
            </w:tcBorders>
            <w:noWrap/>
            <w:vAlign w:val="bottom"/>
            <w:hideMark/>
          </w:tcPr>
          <w:p w14:paraId="277D4018"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3644</w:t>
            </w:r>
          </w:p>
        </w:tc>
      </w:tr>
      <w:tr w:rsidR="00745264" w:rsidRPr="001C35E2" w14:paraId="45542969" w14:textId="77777777" w:rsidTr="00745264">
        <w:trPr>
          <w:trHeight w:val="300"/>
        </w:trPr>
        <w:tc>
          <w:tcPr>
            <w:tcW w:w="1843" w:type="dxa"/>
            <w:tcBorders>
              <w:top w:val="nil"/>
              <w:left w:val="nil"/>
              <w:bottom w:val="nil"/>
              <w:right w:val="nil"/>
            </w:tcBorders>
            <w:noWrap/>
            <w:vAlign w:val="bottom"/>
            <w:hideMark/>
          </w:tcPr>
          <w:p w14:paraId="621CE607"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rs61886778_a</w:t>
            </w:r>
          </w:p>
        </w:tc>
        <w:tc>
          <w:tcPr>
            <w:tcW w:w="1134" w:type="dxa"/>
            <w:tcBorders>
              <w:top w:val="nil"/>
              <w:left w:val="nil"/>
              <w:bottom w:val="nil"/>
              <w:right w:val="nil"/>
            </w:tcBorders>
            <w:noWrap/>
            <w:vAlign w:val="bottom"/>
            <w:hideMark/>
          </w:tcPr>
          <w:p w14:paraId="09B172B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0.073</w:t>
            </w:r>
          </w:p>
        </w:tc>
        <w:tc>
          <w:tcPr>
            <w:tcW w:w="1276" w:type="dxa"/>
            <w:tcBorders>
              <w:top w:val="nil"/>
              <w:left w:val="nil"/>
              <w:bottom w:val="nil"/>
              <w:right w:val="nil"/>
            </w:tcBorders>
            <w:noWrap/>
            <w:vAlign w:val="bottom"/>
            <w:hideMark/>
          </w:tcPr>
          <w:p w14:paraId="4B781E75"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w:t>
            </w:r>
          </w:p>
        </w:tc>
        <w:tc>
          <w:tcPr>
            <w:tcW w:w="1276" w:type="dxa"/>
            <w:tcBorders>
              <w:top w:val="nil"/>
              <w:left w:val="nil"/>
              <w:bottom w:val="nil"/>
              <w:right w:val="nil"/>
            </w:tcBorders>
            <w:noWrap/>
            <w:vAlign w:val="bottom"/>
            <w:hideMark/>
          </w:tcPr>
          <w:p w14:paraId="5A3555AE"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0.150</w:t>
            </w:r>
          </w:p>
        </w:tc>
        <w:tc>
          <w:tcPr>
            <w:tcW w:w="1275" w:type="dxa"/>
            <w:tcBorders>
              <w:top w:val="nil"/>
              <w:left w:val="nil"/>
              <w:bottom w:val="nil"/>
              <w:right w:val="nil"/>
            </w:tcBorders>
            <w:vAlign w:val="bottom"/>
          </w:tcPr>
          <w:p w14:paraId="6E5DDF62" w14:textId="59912EA2"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0.065</w:t>
            </w:r>
          </w:p>
        </w:tc>
        <w:tc>
          <w:tcPr>
            <w:tcW w:w="1276" w:type="dxa"/>
            <w:tcBorders>
              <w:top w:val="nil"/>
              <w:left w:val="nil"/>
              <w:bottom w:val="nil"/>
              <w:right w:val="nil"/>
            </w:tcBorders>
            <w:noWrap/>
            <w:vAlign w:val="bottom"/>
            <w:hideMark/>
          </w:tcPr>
          <w:p w14:paraId="4B24D29F" w14:textId="347BF80B"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0.0066</w:t>
            </w:r>
          </w:p>
        </w:tc>
        <w:tc>
          <w:tcPr>
            <w:tcW w:w="1134" w:type="dxa"/>
            <w:tcBorders>
              <w:top w:val="nil"/>
              <w:left w:val="nil"/>
              <w:bottom w:val="nil"/>
              <w:right w:val="nil"/>
            </w:tcBorders>
            <w:noWrap/>
            <w:vAlign w:val="bottom"/>
            <w:hideMark/>
          </w:tcPr>
          <w:p w14:paraId="5EB0F28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3635</w:t>
            </w:r>
          </w:p>
        </w:tc>
      </w:tr>
      <w:tr w:rsidR="00745264" w:rsidRPr="001C35E2" w14:paraId="4B16171E" w14:textId="77777777" w:rsidTr="00745264">
        <w:trPr>
          <w:trHeight w:val="300"/>
        </w:trPr>
        <w:tc>
          <w:tcPr>
            <w:tcW w:w="1843" w:type="dxa"/>
            <w:tcBorders>
              <w:top w:val="nil"/>
              <w:left w:val="nil"/>
              <w:bottom w:val="nil"/>
              <w:right w:val="nil"/>
            </w:tcBorders>
            <w:noWrap/>
            <w:vAlign w:val="bottom"/>
            <w:hideMark/>
          </w:tcPr>
          <w:p w14:paraId="5CBB13D2"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rs2238001_c</w:t>
            </w:r>
          </w:p>
        </w:tc>
        <w:tc>
          <w:tcPr>
            <w:tcW w:w="1134" w:type="dxa"/>
            <w:tcBorders>
              <w:top w:val="nil"/>
              <w:left w:val="nil"/>
              <w:bottom w:val="nil"/>
              <w:right w:val="nil"/>
            </w:tcBorders>
            <w:noWrap/>
            <w:vAlign w:val="bottom"/>
            <w:hideMark/>
          </w:tcPr>
          <w:p w14:paraId="0FF43456"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-0.011</w:t>
            </w:r>
          </w:p>
        </w:tc>
        <w:tc>
          <w:tcPr>
            <w:tcW w:w="1276" w:type="dxa"/>
            <w:tcBorders>
              <w:top w:val="nil"/>
              <w:left w:val="nil"/>
              <w:bottom w:val="nil"/>
              <w:right w:val="nil"/>
            </w:tcBorders>
            <w:noWrap/>
            <w:vAlign w:val="bottom"/>
            <w:hideMark/>
          </w:tcPr>
          <w:p w14:paraId="0E1D620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-0.112</w:t>
            </w:r>
          </w:p>
        </w:tc>
        <w:tc>
          <w:tcPr>
            <w:tcW w:w="1276" w:type="dxa"/>
            <w:tcBorders>
              <w:top w:val="nil"/>
              <w:left w:val="nil"/>
              <w:bottom w:val="nil"/>
              <w:right w:val="nil"/>
            </w:tcBorders>
            <w:noWrap/>
            <w:vAlign w:val="bottom"/>
            <w:hideMark/>
          </w:tcPr>
          <w:p w14:paraId="18465A8C"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0.090</w:t>
            </w:r>
          </w:p>
        </w:tc>
        <w:tc>
          <w:tcPr>
            <w:tcW w:w="1275" w:type="dxa"/>
            <w:tcBorders>
              <w:top w:val="nil"/>
              <w:left w:val="nil"/>
              <w:bottom w:val="nil"/>
              <w:right w:val="nil"/>
            </w:tcBorders>
            <w:vAlign w:val="bottom"/>
          </w:tcPr>
          <w:p w14:paraId="6AE57B72" w14:textId="31B6D44B"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0.834</w:t>
            </w:r>
          </w:p>
        </w:tc>
        <w:tc>
          <w:tcPr>
            <w:tcW w:w="1276" w:type="dxa"/>
            <w:tcBorders>
              <w:top w:val="nil"/>
              <w:left w:val="nil"/>
              <w:bottom w:val="nil"/>
              <w:right w:val="nil"/>
            </w:tcBorders>
            <w:noWrap/>
            <w:vAlign w:val="bottom"/>
            <w:hideMark/>
          </w:tcPr>
          <w:p w14:paraId="5E0C6295" w14:textId="02584E7D"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0.0057</w:t>
            </w:r>
          </w:p>
        </w:tc>
        <w:tc>
          <w:tcPr>
            <w:tcW w:w="1134" w:type="dxa"/>
            <w:tcBorders>
              <w:top w:val="nil"/>
              <w:left w:val="nil"/>
              <w:bottom w:val="nil"/>
              <w:right w:val="nil"/>
            </w:tcBorders>
            <w:noWrap/>
            <w:vAlign w:val="bottom"/>
            <w:hideMark/>
          </w:tcPr>
          <w:p w14:paraId="1C2ED109"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3536</w:t>
            </w:r>
          </w:p>
        </w:tc>
      </w:tr>
      <w:tr w:rsidR="00745264" w:rsidRPr="001C35E2" w14:paraId="0FAF6D12" w14:textId="77777777" w:rsidTr="00745264">
        <w:trPr>
          <w:trHeight w:val="300"/>
        </w:trPr>
        <w:tc>
          <w:tcPr>
            <w:tcW w:w="1843" w:type="dxa"/>
            <w:tcBorders>
              <w:top w:val="nil"/>
              <w:left w:val="nil"/>
              <w:bottom w:val="nil"/>
              <w:right w:val="nil"/>
            </w:tcBorders>
            <w:noWrap/>
            <w:vAlign w:val="bottom"/>
            <w:hideMark/>
          </w:tcPr>
          <w:p w14:paraId="6FCACBFA"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rs174529_t</w:t>
            </w:r>
          </w:p>
        </w:tc>
        <w:tc>
          <w:tcPr>
            <w:tcW w:w="1134" w:type="dxa"/>
            <w:tcBorders>
              <w:top w:val="nil"/>
              <w:left w:val="nil"/>
              <w:bottom w:val="nil"/>
              <w:right w:val="nil"/>
            </w:tcBorders>
            <w:noWrap/>
            <w:vAlign w:val="bottom"/>
            <w:hideMark/>
          </w:tcPr>
          <w:p w14:paraId="520023D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0.098</w:t>
            </w:r>
          </w:p>
        </w:tc>
        <w:tc>
          <w:tcPr>
            <w:tcW w:w="1276" w:type="dxa"/>
            <w:tcBorders>
              <w:top w:val="nil"/>
              <w:left w:val="nil"/>
              <w:bottom w:val="nil"/>
              <w:right w:val="nil"/>
            </w:tcBorders>
            <w:noWrap/>
            <w:vAlign w:val="bottom"/>
            <w:hideMark/>
          </w:tcPr>
          <w:p w14:paraId="315064EE"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0.033</w:t>
            </w:r>
          </w:p>
        </w:tc>
        <w:tc>
          <w:tcPr>
            <w:tcW w:w="1276" w:type="dxa"/>
            <w:tcBorders>
              <w:top w:val="nil"/>
              <w:left w:val="nil"/>
              <w:bottom w:val="nil"/>
              <w:right w:val="nil"/>
            </w:tcBorders>
            <w:noWrap/>
            <w:vAlign w:val="bottom"/>
            <w:hideMark/>
          </w:tcPr>
          <w:p w14:paraId="743CDE4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0.163</w:t>
            </w:r>
          </w:p>
        </w:tc>
        <w:tc>
          <w:tcPr>
            <w:tcW w:w="1275" w:type="dxa"/>
            <w:tcBorders>
              <w:top w:val="nil"/>
              <w:left w:val="nil"/>
              <w:bottom w:val="nil"/>
              <w:right w:val="nil"/>
            </w:tcBorders>
            <w:vAlign w:val="bottom"/>
          </w:tcPr>
          <w:p w14:paraId="3CC74435" w14:textId="4DFB1A1C"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0.003</w:t>
            </w:r>
          </w:p>
        </w:tc>
        <w:tc>
          <w:tcPr>
            <w:tcW w:w="1276" w:type="dxa"/>
            <w:tcBorders>
              <w:top w:val="nil"/>
              <w:left w:val="nil"/>
              <w:bottom w:val="nil"/>
              <w:right w:val="nil"/>
            </w:tcBorders>
            <w:noWrap/>
            <w:vAlign w:val="bottom"/>
            <w:hideMark/>
          </w:tcPr>
          <w:p w14:paraId="5E28C94C" w14:textId="17473B06"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0.0082</w:t>
            </w:r>
          </w:p>
        </w:tc>
        <w:tc>
          <w:tcPr>
            <w:tcW w:w="1134" w:type="dxa"/>
            <w:tcBorders>
              <w:top w:val="nil"/>
              <w:left w:val="nil"/>
              <w:bottom w:val="nil"/>
              <w:right w:val="nil"/>
            </w:tcBorders>
            <w:noWrap/>
            <w:vAlign w:val="bottom"/>
            <w:hideMark/>
          </w:tcPr>
          <w:p w14:paraId="5DBF51B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3522</w:t>
            </w:r>
          </w:p>
        </w:tc>
      </w:tr>
      <w:tr w:rsidR="00745264" w:rsidRPr="001C35E2" w14:paraId="706AE5B5" w14:textId="77777777" w:rsidTr="00745264">
        <w:trPr>
          <w:trHeight w:val="300"/>
        </w:trPr>
        <w:tc>
          <w:tcPr>
            <w:tcW w:w="1843" w:type="dxa"/>
            <w:tcBorders>
              <w:top w:val="nil"/>
              <w:left w:val="nil"/>
              <w:bottom w:val="nil"/>
              <w:right w:val="nil"/>
            </w:tcBorders>
            <w:noWrap/>
            <w:vAlign w:val="bottom"/>
            <w:hideMark/>
          </w:tcPr>
          <w:p w14:paraId="606C4935"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rs2736595_g</w:t>
            </w:r>
          </w:p>
        </w:tc>
        <w:tc>
          <w:tcPr>
            <w:tcW w:w="1134" w:type="dxa"/>
            <w:tcBorders>
              <w:top w:val="nil"/>
              <w:left w:val="nil"/>
              <w:bottom w:val="nil"/>
              <w:right w:val="nil"/>
            </w:tcBorders>
            <w:noWrap/>
            <w:vAlign w:val="bottom"/>
            <w:hideMark/>
          </w:tcPr>
          <w:p w14:paraId="354172DC"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0.023</w:t>
            </w:r>
          </w:p>
        </w:tc>
        <w:tc>
          <w:tcPr>
            <w:tcW w:w="1276" w:type="dxa"/>
            <w:tcBorders>
              <w:top w:val="nil"/>
              <w:left w:val="nil"/>
              <w:bottom w:val="nil"/>
              <w:right w:val="nil"/>
            </w:tcBorders>
            <w:noWrap/>
            <w:vAlign w:val="bottom"/>
            <w:hideMark/>
          </w:tcPr>
          <w:p w14:paraId="3466B58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-0.045</w:t>
            </w:r>
          </w:p>
        </w:tc>
        <w:tc>
          <w:tcPr>
            <w:tcW w:w="1276" w:type="dxa"/>
            <w:tcBorders>
              <w:top w:val="nil"/>
              <w:left w:val="nil"/>
              <w:bottom w:val="nil"/>
              <w:right w:val="nil"/>
            </w:tcBorders>
            <w:noWrap/>
            <w:vAlign w:val="bottom"/>
            <w:hideMark/>
          </w:tcPr>
          <w:p w14:paraId="634DFFCF"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0.091</w:t>
            </w:r>
          </w:p>
        </w:tc>
        <w:tc>
          <w:tcPr>
            <w:tcW w:w="1275" w:type="dxa"/>
            <w:tcBorders>
              <w:top w:val="nil"/>
              <w:left w:val="nil"/>
              <w:bottom w:val="nil"/>
              <w:right w:val="nil"/>
            </w:tcBorders>
            <w:vAlign w:val="bottom"/>
          </w:tcPr>
          <w:p w14:paraId="17908C41" w14:textId="35258E59"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0.510</w:t>
            </w:r>
          </w:p>
        </w:tc>
        <w:tc>
          <w:tcPr>
            <w:tcW w:w="1276" w:type="dxa"/>
            <w:tcBorders>
              <w:top w:val="nil"/>
              <w:left w:val="nil"/>
              <w:bottom w:val="nil"/>
              <w:right w:val="nil"/>
            </w:tcBorders>
            <w:noWrap/>
            <w:vAlign w:val="bottom"/>
            <w:hideMark/>
          </w:tcPr>
          <w:p w14:paraId="425BA242" w14:textId="2C3CE7C5"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0.0062</w:t>
            </w:r>
          </w:p>
        </w:tc>
        <w:tc>
          <w:tcPr>
            <w:tcW w:w="1134" w:type="dxa"/>
            <w:tcBorders>
              <w:top w:val="nil"/>
              <w:left w:val="nil"/>
              <w:bottom w:val="nil"/>
              <w:right w:val="nil"/>
            </w:tcBorders>
            <w:noWrap/>
            <w:vAlign w:val="bottom"/>
            <w:hideMark/>
          </w:tcPr>
          <w:p w14:paraId="506C93B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3598</w:t>
            </w:r>
          </w:p>
        </w:tc>
      </w:tr>
      <w:tr w:rsidR="00745264" w:rsidRPr="001C35E2" w14:paraId="2D3D93CC" w14:textId="77777777" w:rsidTr="00745264">
        <w:trPr>
          <w:trHeight w:val="300"/>
        </w:trPr>
        <w:tc>
          <w:tcPr>
            <w:tcW w:w="1843" w:type="dxa"/>
            <w:tcBorders>
              <w:top w:val="nil"/>
              <w:left w:val="nil"/>
              <w:bottom w:val="nil"/>
              <w:right w:val="nil"/>
            </w:tcBorders>
            <w:noWrap/>
            <w:vAlign w:val="bottom"/>
            <w:hideMark/>
          </w:tcPr>
          <w:p w14:paraId="76C53FAD"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rs72997616_c</w:t>
            </w:r>
          </w:p>
        </w:tc>
        <w:tc>
          <w:tcPr>
            <w:tcW w:w="1134" w:type="dxa"/>
            <w:tcBorders>
              <w:top w:val="nil"/>
              <w:left w:val="nil"/>
              <w:bottom w:val="nil"/>
              <w:right w:val="nil"/>
            </w:tcBorders>
            <w:noWrap/>
            <w:vAlign w:val="bottom"/>
            <w:hideMark/>
          </w:tcPr>
          <w:p w14:paraId="0828D1C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0.074</w:t>
            </w:r>
          </w:p>
        </w:tc>
        <w:tc>
          <w:tcPr>
            <w:tcW w:w="1276" w:type="dxa"/>
            <w:tcBorders>
              <w:top w:val="nil"/>
              <w:left w:val="nil"/>
              <w:bottom w:val="nil"/>
              <w:right w:val="nil"/>
            </w:tcBorders>
            <w:noWrap/>
            <w:vAlign w:val="bottom"/>
            <w:hideMark/>
          </w:tcPr>
          <w:p w14:paraId="14875E35"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-0.033</w:t>
            </w:r>
          </w:p>
        </w:tc>
        <w:tc>
          <w:tcPr>
            <w:tcW w:w="1276" w:type="dxa"/>
            <w:tcBorders>
              <w:top w:val="nil"/>
              <w:left w:val="nil"/>
              <w:bottom w:val="nil"/>
              <w:right w:val="nil"/>
            </w:tcBorders>
            <w:noWrap/>
            <w:vAlign w:val="bottom"/>
            <w:hideMark/>
          </w:tcPr>
          <w:p w14:paraId="2835CEA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0.182</w:t>
            </w:r>
          </w:p>
        </w:tc>
        <w:tc>
          <w:tcPr>
            <w:tcW w:w="1275" w:type="dxa"/>
            <w:tcBorders>
              <w:top w:val="nil"/>
              <w:left w:val="nil"/>
              <w:bottom w:val="nil"/>
              <w:right w:val="nil"/>
            </w:tcBorders>
            <w:vAlign w:val="bottom"/>
          </w:tcPr>
          <w:p w14:paraId="769D3A10" w14:textId="7CD2AE91"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0.175</w:t>
            </w:r>
          </w:p>
        </w:tc>
        <w:tc>
          <w:tcPr>
            <w:tcW w:w="1276" w:type="dxa"/>
            <w:tcBorders>
              <w:top w:val="nil"/>
              <w:left w:val="nil"/>
              <w:bottom w:val="nil"/>
              <w:right w:val="nil"/>
            </w:tcBorders>
            <w:noWrap/>
            <w:vAlign w:val="bottom"/>
            <w:hideMark/>
          </w:tcPr>
          <w:p w14:paraId="3344B2E2" w14:textId="14A4E295"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0.0061</w:t>
            </w:r>
          </w:p>
        </w:tc>
        <w:tc>
          <w:tcPr>
            <w:tcW w:w="1134" w:type="dxa"/>
            <w:tcBorders>
              <w:top w:val="nil"/>
              <w:left w:val="nil"/>
              <w:bottom w:val="nil"/>
              <w:right w:val="nil"/>
            </w:tcBorders>
            <w:noWrap/>
            <w:vAlign w:val="bottom"/>
            <w:hideMark/>
          </w:tcPr>
          <w:p w14:paraId="6D8F4B03"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3592</w:t>
            </w:r>
          </w:p>
        </w:tc>
      </w:tr>
      <w:tr w:rsidR="00745264" w:rsidRPr="001C35E2" w14:paraId="69F32B27" w14:textId="77777777" w:rsidTr="00745264">
        <w:trPr>
          <w:trHeight w:val="300"/>
        </w:trPr>
        <w:tc>
          <w:tcPr>
            <w:tcW w:w="1843" w:type="dxa"/>
            <w:tcBorders>
              <w:top w:val="nil"/>
              <w:left w:val="nil"/>
              <w:bottom w:val="nil"/>
              <w:right w:val="nil"/>
            </w:tcBorders>
            <w:noWrap/>
            <w:vAlign w:val="bottom"/>
            <w:hideMark/>
          </w:tcPr>
          <w:p w14:paraId="12E98F44"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rs613808_a</w:t>
            </w:r>
          </w:p>
        </w:tc>
        <w:tc>
          <w:tcPr>
            <w:tcW w:w="1134" w:type="dxa"/>
            <w:tcBorders>
              <w:top w:val="nil"/>
              <w:left w:val="nil"/>
              <w:bottom w:val="nil"/>
              <w:right w:val="nil"/>
            </w:tcBorders>
            <w:noWrap/>
            <w:vAlign w:val="bottom"/>
            <w:hideMark/>
          </w:tcPr>
          <w:p w14:paraId="2529CC8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-0.064</w:t>
            </w:r>
          </w:p>
        </w:tc>
        <w:tc>
          <w:tcPr>
            <w:tcW w:w="1276" w:type="dxa"/>
            <w:tcBorders>
              <w:top w:val="nil"/>
              <w:left w:val="nil"/>
              <w:bottom w:val="nil"/>
              <w:right w:val="nil"/>
            </w:tcBorders>
            <w:noWrap/>
            <w:vAlign w:val="bottom"/>
            <w:hideMark/>
          </w:tcPr>
          <w:p w14:paraId="6C9906D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-0.137</w:t>
            </w:r>
          </w:p>
        </w:tc>
        <w:tc>
          <w:tcPr>
            <w:tcW w:w="1276" w:type="dxa"/>
            <w:tcBorders>
              <w:top w:val="nil"/>
              <w:left w:val="nil"/>
              <w:bottom w:val="nil"/>
              <w:right w:val="nil"/>
            </w:tcBorders>
            <w:noWrap/>
            <w:vAlign w:val="bottom"/>
            <w:hideMark/>
          </w:tcPr>
          <w:p w14:paraId="45A8D5F3"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0.008</w:t>
            </w:r>
          </w:p>
        </w:tc>
        <w:tc>
          <w:tcPr>
            <w:tcW w:w="1275" w:type="dxa"/>
            <w:tcBorders>
              <w:top w:val="nil"/>
              <w:left w:val="nil"/>
              <w:bottom w:val="nil"/>
              <w:right w:val="nil"/>
            </w:tcBorders>
            <w:vAlign w:val="bottom"/>
          </w:tcPr>
          <w:p w14:paraId="65A81A84" w14:textId="397FE065"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0.083</w:t>
            </w:r>
          </w:p>
        </w:tc>
        <w:tc>
          <w:tcPr>
            <w:tcW w:w="1276" w:type="dxa"/>
            <w:tcBorders>
              <w:top w:val="nil"/>
              <w:left w:val="nil"/>
              <w:bottom w:val="nil"/>
              <w:right w:val="nil"/>
            </w:tcBorders>
            <w:noWrap/>
            <w:vAlign w:val="bottom"/>
            <w:hideMark/>
          </w:tcPr>
          <w:p w14:paraId="7924B5BF" w14:textId="1CCBB129"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0.0070</w:t>
            </w:r>
          </w:p>
        </w:tc>
        <w:tc>
          <w:tcPr>
            <w:tcW w:w="1134" w:type="dxa"/>
            <w:tcBorders>
              <w:top w:val="nil"/>
              <w:left w:val="nil"/>
              <w:bottom w:val="nil"/>
              <w:right w:val="nil"/>
            </w:tcBorders>
            <w:noWrap/>
            <w:vAlign w:val="bottom"/>
            <w:hideMark/>
          </w:tcPr>
          <w:p w14:paraId="105D64D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3273</w:t>
            </w:r>
          </w:p>
        </w:tc>
      </w:tr>
      <w:tr w:rsidR="00745264" w:rsidRPr="001C35E2" w14:paraId="3AF77061" w14:textId="77777777" w:rsidTr="00745264">
        <w:trPr>
          <w:trHeight w:val="300"/>
        </w:trPr>
        <w:tc>
          <w:tcPr>
            <w:tcW w:w="1843" w:type="dxa"/>
            <w:tcBorders>
              <w:top w:val="nil"/>
              <w:left w:val="nil"/>
              <w:bottom w:val="nil"/>
              <w:right w:val="nil"/>
            </w:tcBorders>
            <w:noWrap/>
            <w:vAlign w:val="bottom"/>
            <w:hideMark/>
          </w:tcPr>
          <w:p w14:paraId="07E8F21C"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rs139974673_c</w:t>
            </w:r>
          </w:p>
        </w:tc>
        <w:tc>
          <w:tcPr>
            <w:tcW w:w="1134" w:type="dxa"/>
            <w:tcBorders>
              <w:top w:val="nil"/>
              <w:left w:val="nil"/>
              <w:bottom w:val="nil"/>
              <w:right w:val="nil"/>
            </w:tcBorders>
            <w:noWrap/>
            <w:vAlign w:val="bottom"/>
            <w:hideMark/>
          </w:tcPr>
          <w:p w14:paraId="0E9CDF03"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-0.017</w:t>
            </w:r>
          </w:p>
        </w:tc>
        <w:tc>
          <w:tcPr>
            <w:tcW w:w="1276" w:type="dxa"/>
            <w:tcBorders>
              <w:top w:val="nil"/>
              <w:left w:val="nil"/>
              <w:bottom w:val="nil"/>
              <w:right w:val="nil"/>
            </w:tcBorders>
            <w:noWrap/>
            <w:vAlign w:val="bottom"/>
            <w:hideMark/>
          </w:tcPr>
          <w:p w14:paraId="4C7215D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-0.208</w:t>
            </w:r>
          </w:p>
        </w:tc>
        <w:tc>
          <w:tcPr>
            <w:tcW w:w="1276" w:type="dxa"/>
            <w:tcBorders>
              <w:top w:val="nil"/>
              <w:left w:val="nil"/>
              <w:bottom w:val="nil"/>
              <w:right w:val="nil"/>
            </w:tcBorders>
            <w:noWrap/>
            <w:vAlign w:val="bottom"/>
            <w:hideMark/>
          </w:tcPr>
          <w:p w14:paraId="4FBDAD8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0.175</w:t>
            </w:r>
          </w:p>
        </w:tc>
        <w:tc>
          <w:tcPr>
            <w:tcW w:w="1275" w:type="dxa"/>
            <w:tcBorders>
              <w:top w:val="nil"/>
              <w:left w:val="nil"/>
              <w:bottom w:val="nil"/>
              <w:right w:val="nil"/>
            </w:tcBorders>
            <w:vAlign w:val="bottom"/>
          </w:tcPr>
          <w:p w14:paraId="5F150237" w14:textId="79D055EF"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0.865</w:t>
            </w:r>
          </w:p>
        </w:tc>
        <w:tc>
          <w:tcPr>
            <w:tcW w:w="1276" w:type="dxa"/>
            <w:tcBorders>
              <w:top w:val="nil"/>
              <w:left w:val="nil"/>
              <w:bottom w:val="nil"/>
              <w:right w:val="nil"/>
            </w:tcBorders>
            <w:noWrap/>
            <w:vAlign w:val="bottom"/>
            <w:hideMark/>
          </w:tcPr>
          <w:p w14:paraId="3AB60F1F" w14:textId="183517D3"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0.0056</w:t>
            </w:r>
          </w:p>
        </w:tc>
        <w:tc>
          <w:tcPr>
            <w:tcW w:w="1134" w:type="dxa"/>
            <w:tcBorders>
              <w:top w:val="nil"/>
              <w:left w:val="nil"/>
              <w:bottom w:val="nil"/>
              <w:right w:val="nil"/>
            </w:tcBorders>
            <w:noWrap/>
            <w:vAlign w:val="bottom"/>
            <w:hideMark/>
          </w:tcPr>
          <w:p w14:paraId="756EE94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3623</w:t>
            </w:r>
          </w:p>
        </w:tc>
      </w:tr>
      <w:tr w:rsidR="00745264" w:rsidRPr="001C35E2" w14:paraId="0F5E4CFD" w14:textId="77777777" w:rsidTr="00745264">
        <w:trPr>
          <w:trHeight w:val="300"/>
        </w:trPr>
        <w:tc>
          <w:tcPr>
            <w:tcW w:w="1843" w:type="dxa"/>
            <w:tcBorders>
              <w:top w:val="nil"/>
              <w:left w:val="nil"/>
              <w:bottom w:val="nil"/>
              <w:right w:val="nil"/>
            </w:tcBorders>
            <w:noWrap/>
            <w:vAlign w:val="bottom"/>
            <w:hideMark/>
          </w:tcPr>
          <w:p w14:paraId="0CBD4E2F"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rs1560390_t</w:t>
            </w:r>
          </w:p>
        </w:tc>
        <w:tc>
          <w:tcPr>
            <w:tcW w:w="1134" w:type="dxa"/>
            <w:tcBorders>
              <w:top w:val="nil"/>
              <w:left w:val="nil"/>
              <w:bottom w:val="nil"/>
              <w:right w:val="nil"/>
            </w:tcBorders>
            <w:noWrap/>
            <w:vAlign w:val="bottom"/>
            <w:hideMark/>
          </w:tcPr>
          <w:p w14:paraId="556D266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0.006</w:t>
            </w:r>
          </w:p>
        </w:tc>
        <w:tc>
          <w:tcPr>
            <w:tcW w:w="1276" w:type="dxa"/>
            <w:tcBorders>
              <w:top w:val="nil"/>
              <w:left w:val="nil"/>
              <w:bottom w:val="nil"/>
              <w:right w:val="nil"/>
            </w:tcBorders>
            <w:noWrap/>
            <w:vAlign w:val="bottom"/>
            <w:hideMark/>
          </w:tcPr>
          <w:p w14:paraId="7B4F0AA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-0.068</w:t>
            </w:r>
          </w:p>
        </w:tc>
        <w:tc>
          <w:tcPr>
            <w:tcW w:w="1276" w:type="dxa"/>
            <w:tcBorders>
              <w:top w:val="nil"/>
              <w:left w:val="nil"/>
              <w:bottom w:val="nil"/>
              <w:right w:val="nil"/>
            </w:tcBorders>
            <w:noWrap/>
            <w:vAlign w:val="bottom"/>
            <w:hideMark/>
          </w:tcPr>
          <w:p w14:paraId="2257BB46"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0.081</w:t>
            </w:r>
          </w:p>
        </w:tc>
        <w:tc>
          <w:tcPr>
            <w:tcW w:w="1275" w:type="dxa"/>
            <w:tcBorders>
              <w:top w:val="nil"/>
              <w:left w:val="nil"/>
              <w:bottom w:val="nil"/>
              <w:right w:val="nil"/>
            </w:tcBorders>
            <w:vAlign w:val="bottom"/>
          </w:tcPr>
          <w:p w14:paraId="507D3F6E" w14:textId="487DAA75"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0.867</w:t>
            </w:r>
          </w:p>
        </w:tc>
        <w:tc>
          <w:tcPr>
            <w:tcW w:w="1276" w:type="dxa"/>
            <w:tcBorders>
              <w:top w:val="nil"/>
              <w:left w:val="nil"/>
              <w:bottom w:val="nil"/>
              <w:right w:val="nil"/>
            </w:tcBorders>
            <w:noWrap/>
            <w:vAlign w:val="bottom"/>
            <w:hideMark/>
          </w:tcPr>
          <w:p w14:paraId="1AB83EC7" w14:textId="1CB15B84"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0.0056</w:t>
            </w:r>
          </w:p>
        </w:tc>
        <w:tc>
          <w:tcPr>
            <w:tcW w:w="1134" w:type="dxa"/>
            <w:tcBorders>
              <w:top w:val="nil"/>
              <w:left w:val="nil"/>
              <w:bottom w:val="nil"/>
              <w:right w:val="nil"/>
            </w:tcBorders>
            <w:noWrap/>
            <w:vAlign w:val="bottom"/>
            <w:hideMark/>
          </w:tcPr>
          <w:p w14:paraId="294D23AC"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3636</w:t>
            </w:r>
          </w:p>
        </w:tc>
      </w:tr>
      <w:tr w:rsidR="00745264" w:rsidRPr="001C35E2" w14:paraId="0BCFE5AA" w14:textId="77777777" w:rsidTr="00745264">
        <w:trPr>
          <w:trHeight w:val="300"/>
        </w:trPr>
        <w:tc>
          <w:tcPr>
            <w:tcW w:w="1843" w:type="dxa"/>
            <w:tcBorders>
              <w:top w:val="nil"/>
              <w:left w:val="nil"/>
              <w:bottom w:val="nil"/>
              <w:right w:val="nil"/>
            </w:tcBorders>
            <w:noWrap/>
            <w:vAlign w:val="bottom"/>
            <w:hideMark/>
          </w:tcPr>
          <w:p w14:paraId="61574F21"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rs261291_c</w:t>
            </w:r>
          </w:p>
        </w:tc>
        <w:tc>
          <w:tcPr>
            <w:tcW w:w="1134" w:type="dxa"/>
            <w:tcBorders>
              <w:top w:val="nil"/>
              <w:left w:val="nil"/>
              <w:bottom w:val="nil"/>
              <w:right w:val="nil"/>
            </w:tcBorders>
            <w:noWrap/>
            <w:vAlign w:val="bottom"/>
            <w:hideMark/>
          </w:tcPr>
          <w:p w14:paraId="6D838C3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-0.010</w:t>
            </w:r>
          </w:p>
        </w:tc>
        <w:tc>
          <w:tcPr>
            <w:tcW w:w="1276" w:type="dxa"/>
            <w:tcBorders>
              <w:top w:val="nil"/>
              <w:left w:val="nil"/>
              <w:bottom w:val="nil"/>
              <w:right w:val="nil"/>
            </w:tcBorders>
            <w:noWrap/>
            <w:vAlign w:val="bottom"/>
            <w:hideMark/>
          </w:tcPr>
          <w:p w14:paraId="25F326B8"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-0.075</w:t>
            </w:r>
          </w:p>
        </w:tc>
        <w:tc>
          <w:tcPr>
            <w:tcW w:w="1276" w:type="dxa"/>
            <w:tcBorders>
              <w:top w:val="nil"/>
              <w:left w:val="nil"/>
              <w:bottom w:val="nil"/>
              <w:right w:val="nil"/>
            </w:tcBorders>
            <w:noWrap/>
            <w:vAlign w:val="bottom"/>
            <w:hideMark/>
          </w:tcPr>
          <w:p w14:paraId="7C2127CC"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0.056</w:t>
            </w:r>
          </w:p>
        </w:tc>
        <w:tc>
          <w:tcPr>
            <w:tcW w:w="1275" w:type="dxa"/>
            <w:tcBorders>
              <w:top w:val="nil"/>
              <w:left w:val="nil"/>
              <w:bottom w:val="nil"/>
              <w:right w:val="nil"/>
            </w:tcBorders>
            <w:vAlign w:val="bottom"/>
          </w:tcPr>
          <w:p w14:paraId="3853A1B5" w14:textId="1801356E"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0.769</w:t>
            </w:r>
          </w:p>
        </w:tc>
        <w:tc>
          <w:tcPr>
            <w:tcW w:w="1276" w:type="dxa"/>
            <w:tcBorders>
              <w:top w:val="nil"/>
              <w:left w:val="nil"/>
              <w:bottom w:val="nil"/>
              <w:right w:val="nil"/>
            </w:tcBorders>
            <w:noWrap/>
            <w:vAlign w:val="bottom"/>
            <w:hideMark/>
          </w:tcPr>
          <w:p w14:paraId="1F00BDD7" w14:textId="0C4623CF"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0.0055</w:t>
            </w:r>
          </w:p>
        </w:tc>
        <w:tc>
          <w:tcPr>
            <w:tcW w:w="1134" w:type="dxa"/>
            <w:tcBorders>
              <w:top w:val="nil"/>
              <w:left w:val="nil"/>
              <w:bottom w:val="nil"/>
              <w:right w:val="nil"/>
            </w:tcBorders>
            <w:noWrap/>
            <w:vAlign w:val="bottom"/>
            <w:hideMark/>
          </w:tcPr>
          <w:p w14:paraId="7A7F96F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3563</w:t>
            </w:r>
          </w:p>
        </w:tc>
      </w:tr>
      <w:tr w:rsidR="00745264" w:rsidRPr="001C35E2" w14:paraId="578DA330" w14:textId="77777777" w:rsidTr="00745264">
        <w:trPr>
          <w:trHeight w:val="300"/>
        </w:trPr>
        <w:tc>
          <w:tcPr>
            <w:tcW w:w="1843" w:type="dxa"/>
            <w:tcBorders>
              <w:top w:val="nil"/>
              <w:left w:val="nil"/>
              <w:bottom w:val="nil"/>
              <w:right w:val="nil"/>
            </w:tcBorders>
            <w:noWrap/>
            <w:vAlign w:val="bottom"/>
            <w:hideMark/>
          </w:tcPr>
          <w:p w14:paraId="431E50BE"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rs72789541_t</w:t>
            </w:r>
          </w:p>
        </w:tc>
        <w:tc>
          <w:tcPr>
            <w:tcW w:w="1134" w:type="dxa"/>
            <w:tcBorders>
              <w:top w:val="nil"/>
              <w:left w:val="nil"/>
              <w:bottom w:val="nil"/>
              <w:right w:val="nil"/>
            </w:tcBorders>
            <w:noWrap/>
            <w:vAlign w:val="bottom"/>
            <w:hideMark/>
          </w:tcPr>
          <w:p w14:paraId="7D0C4EEE"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0.016</w:t>
            </w:r>
          </w:p>
        </w:tc>
        <w:tc>
          <w:tcPr>
            <w:tcW w:w="1276" w:type="dxa"/>
            <w:tcBorders>
              <w:top w:val="nil"/>
              <w:left w:val="nil"/>
              <w:bottom w:val="nil"/>
              <w:right w:val="nil"/>
            </w:tcBorders>
            <w:noWrap/>
            <w:vAlign w:val="bottom"/>
            <w:hideMark/>
          </w:tcPr>
          <w:p w14:paraId="523827F8"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-0.054</w:t>
            </w:r>
          </w:p>
        </w:tc>
        <w:tc>
          <w:tcPr>
            <w:tcW w:w="1276" w:type="dxa"/>
            <w:tcBorders>
              <w:top w:val="nil"/>
              <w:left w:val="nil"/>
              <w:bottom w:val="nil"/>
              <w:right w:val="nil"/>
            </w:tcBorders>
            <w:noWrap/>
            <w:vAlign w:val="bottom"/>
            <w:hideMark/>
          </w:tcPr>
          <w:p w14:paraId="4F62427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0.086</w:t>
            </w:r>
          </w:p>
        </w:tc>
        <w:tc>
          <w:tcPr>
            <w:tcW w:w="1275" w:type="dxa"/>
            <w:tcBorders>
              <w:top w:val="nil"/>
              <w:left w:val="nil"/>
              <w:bottom w:val="nil"/>
              <w:right w:val="nil"/>
            </w:tcBorders>
            <w:vAlign w:val="bottom"/>
          </w:tcPr>
          <w:p w14:paraId="07CEC1D8" w14:textId="016B7829"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0.656</w:t>
            </w:r>
          </w:p>
        </w:tc>
        <w:tc>
          <w:tcPr>
            <w:tcW w:w="1276" w:type="dxa"/>
            <w:tcBorders>
              <w:top w:val="nil"/>
              <w:left w:val="nil"/>
              <w:bottom w:val="nil"/>
              <w:right w:val="nil"/>
            </w:tcBorders>
            <w:noWrap/>
            <w:vAlign w:val="bottom"/>
            <w:hideMark/>
          </w:tcPr>
          <w:p w14:paraId="079D96BF" w14:textId="1F42BCB6"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0.0062</w:t>
            </w:r>
          </w:p>
        </w:tc>
        <w:tc>
          <w:tcPr>
            <w:tcW w:w="1134" w:type="dxa"/>
            <w:tcBorders>
              <w:top w:val="nil"/>
              <w:left w:val="nil"/>
              <w:bottom w:val="nil"/>
              <w:right w:val="nil"/>
            </w:tcBorders>
            <w:noWrap/>
            <w:vAlign w:val="bottom"/>
            <w:hideMark/>
          </w:tcPr>
          <w:p w14:paraId="43ACCEF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3464</w:t>
            </w:r>
          </w:p>
        </w:tc>
      </w:tr>
      <w:tr w:rsidR="00745264" w:rsidRPr="001C35E2" w14:paraId="4D0FFAC8" w14:textId="77777777" w:rsidTr="00745264">
        <w:trPr>
          <w:trHeight w:val="300"/>
        </w:trPr>
        <w:tc>
          <w:tcPr>
            <w:tcW w:w="1843" w:type="dxa"/>
            <w:tcBorders>
              <w:top w:val="nil"/>
              <w:left w:val="nil"/>
              <w:bottom w:val="nil"/>
              <w:right w:val="nil"/>
            </w:tcBorders>
            <w:noWrap/>
            <w:vAlign w:val="bottom"/>
            <w:hideMark/>
          </w:tcPr>
          <w:p w14:paraId="5B6D22D9"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rs183130_t</w:t>
            </w:r>
          </w:p>
        </w:tc>
        <w:tc>
          <w:tcPr>
            <w:tcW w:w="1134" w:type="dxa"/>
            <w:tcBorders>
              <w:top w:val="nil"/>
              <w:left w:val="nil"/>
              <w:bottom w:val="nil"/>
              <w:right w:val="nil"/>
            </w:tcBorders>
            <w:noWrap/>
            <w:vAlign w:val="bottom"/>
            <w:hideMark/>
          </w:tcPr>
          <w:p w14:paraId="04DEB5F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0.062</w:t>
            </w:r>
          </w:p>
        </w:tc>
        <w:tc>
          <w:tcPr>
            <w:tcW w:w="1276" w:type="dxa"/>
            <w:tcBorders>
              <w:top w:val="nil"/>
              <w:left w:val="nil"/>
              <w:bottom w:val="nil"/>
              <w:right w:val="nil"/>
            </w:tcBorders>
            <w:noWrap/>
            <w:vAlign w:val="bottom"/>
            <w:hideMark/>
          </w:tcPr>
          <w:p w14:paraId="535ADDB5"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-0.007</w:t>
            </w:r>
          </w:p>
        </w:tc>
        <w:tc>
          <w:tcPr>
            <w:tcW w:w="1276" w:type="dxa"/>
            <w:tcBorders>
              <w:top w:val="nil"/>
              <w:left w:val="nil"/>
              <w:bottom w:val="nil"/>
              <w:right w:val="nil"/>
            </w:tcBorders>
            <w:noWrap/>
            <w:vAlign w:val="bottom"/>
            <w:hideMark/>
          </w:tcPr>
          <w:p w14:paraId="5FF83D7F"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0.131</w:t>
            </w:r>
          </w:p>
        </w:tc>
        <w:tc>
          <w:tcPr>
            <w:tcW w:w="1275" w:type="dxa"/>
            <w:tcBorders>
              <w:top w:val="nil"/>
              <w:left w:val="nil"/>
              <w:bottom w:val="nil"/>
              <w:right w:val="nil"/>
            </w:tcBorders>
            <w:vAlign w:val="bottom"/>
          </w:tcPr>
          <w:p w14:paraId="5BEC0D0E" w14:textId="12ED5D0B"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0.077</w:t>
            </w:r>
          </w:p>
        </w:tc>
        <w:tc>
          <w:tcPr>
            <w:tcW w:w="1276" w:type="dxa"/>
            <w:tcBorders>
              <w:top w:val="nil"/>
              <w:left w:val="nil"/>
              <w:bottom w:val="nil"/>
              <w:right w:val="nil"/>
            </w:tcBorders>
            <w:noWrap/>
            <w:vAlign w:val="bottom"/>
            <w:hideMark/>
          </w:tcPr>
          <w:p w14:paraId="515C1BAF" w14:textId="47B6D6C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0.0068</w:t>
            </w:r>
          </w:p>
        </w:tc>
        <w:tc>
          <w:tcPr>
            <w:tcW w:w="1134" w:type="dxa"/>
            <w:tcBorders>
              <w:top w:val="nil"/>
              <w:left w:val="nil"/>
              <w:bottom w:val="nil"/>
              <w:right w:val="nil"/>
            </w:tcBorders>
            <w:noWrap/>
            <w:vAlign w:val="bottom"/>
            <w:hideMark/>
          </w:tcPr>
          <w:p w14:paraId="559EEDA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3282</w:t>
            </w:r>
          </w:p>
        </w:tc>
      </w:tr>
      <w:tr w:rsidR="00745264" w:rsidRPr="001C35E2" w14:paraId="768ADB20" w14:textId="77777777" w:rsidTr="00745264">
        <w:trPr>
          <w:trHeight w:val="300"/>
        </w:trPr>
        <w:tc>
          <w:tcPr>
            <w:tcW w:w="1843" w:type="dxa"/>
            <w:tcBorders>
              <w:top w:val="nil"/>
              <w:left w:val="nil"/>
              <w:bottom w:val="nil"/>
              <w:right w:val="nil"/>
            </w:tcBorders>
            <w:noWrap/>
            <w:vAlign w:val="bottom"/>
            <w:hideMark/>
          </w:tcPr>
          <w:p w14:paraId="273F7616"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rs72836561_c</w:t>
            </w:r>
          </w:p>
        </w:tc>
        <w:tc>
          <w:tcPr>
            <w:tcW w:w="1134" w:type="dxa"/>
            <w:tcBorders>
              <w:top w:val="nil"/>
              <w:left w:val="nil"/>
              <w:bottom w:val="nil"/>
              <w:right w:val="nil"/>
            </w:tcBorders>
            <w:noWrap/>
            <w:vAlign w:val="bottom"/>
            <w:hideMark/>
          </w:tcPr>
          <w:p w14:paraId="48A1FEBC"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0.034</w:t>
            </w:r>
          </w:p>
        </w:tc>
        <w:tc>
          <w:tcPr>
            <w:tcW w:w="1276" w:type="dxa"/>
            <w:tcBorders>
              <w:top w:val="nil"/>
              <w:left w:val="nil"/>
              <w:bottom w:val="nil"/>
              <w:right w:val="nil"/>
            </w:tcBorders>
            <w:noWrap/>
            <w:vAlign w:val="bottom"/>
            <w:hideMark/>
          </w:tcPr>
          <w:p w14:paraId="368AED8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-0.175</w:t>
            </w:r>
          </w:p>
        </w:tc>
        <w:tc>
          <w:tcPr>
            <w:tcW w:w="1276" w:type="dxa"/>
            <w:tcBorders>
              <w:top w:val="nil"/>
              <w:left w:val="nil"/>
              <w:bottom w:val="nil"/>
              <w:right w:val="nil"/>
            </w:tcBorders>
            <w:noWrap/>
            <w:vAlign w:val="bottom"/>
            <w:hideMark/>
          </w:tcPr>
          <w:p w14:paraId="0AC6279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0.243</w:t>
            </w:r>
          </w:p>
        </w:tc>
        <w:tc>
          <w:tcPr>
            <w:tcW w:w="1275" w:type="dxa"/>
            <w:tcBorders>
              <w:top w:val="nil"/>
              <w:left w:val="nil"/>
              <w:bottom w:val="nil"/>
              <w:right w:val="nil"/>
            </w:tcBorders>
            <w:vAlign w:val="bottom"/>
          </w:tcPr>
          <w:p w14:paraId="2DBDB992" w14:textId="37171F8D"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0.748</w:t>
            </w:r>
          </w:p>
        </w:tc>
        <w:tc>
          <w:tcPr>
            <w:tcW w:w="1276" w:type="dxa"/>
            <w:tcBorders>
              <w:top w:val="nil"/>
              <w:left w:val="nil"/>
              <w:bottom w:val="nil"/>
              <w:right w:val="nil"/>
            </w:tcBorders>
            <w:noWrap/>
            <w:vAlign w:val="bottom"/>
            <w:hideMark/>
          </w:tcPr>
          <w:p w14:paraId="6EE86D8A" w14:textId="5F6D741B"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0.0052</w:t>
            </w:r>
          </w:p>
        </w:tc>
        <w:tc>
          <w:tcPr>
            <w:tcW w:w="1134" w:type="dxa"/>
            <w:tcBorders>
              <w:top w:val="nil"/>
              <w:left w:val="nil"/>
              <w:bottom w:val="nil"/>
              <w:right w:val="nil"/>
            </w:tcBorders>
            <w:noWrap/>
            <w:vAlign w:val="bottom"/>
            <w:hideMark/>
          </w:tcPr>
          <w:p w14:paraId="65BF4A1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3536</w:t>
            </w:r>
          </w:p>
        </w:tc>
      </w:tr>
      <w:tr w:rsidR="00745264" w:rsidRPr="001C35E2" w14:paraId="56ACA727" w14:textId="77777777" w:rsidTr="00745264">
        <w:trPr>
          <w:trHeight w:val="300"/>
        </w:trPr>
        <w:tc>
          <w:tcPr>
            <w:tcW w:w="1843" w:type="dxa"/>
            <w:tcBorders>
              <w:top w:val="nil"/>
              <w:left w:val="nil"/>
              <w:bottom w:val="nil"/>
              <w:right w:val="nil"/>
            </w:tcBorders>
            <w:noWrap/>
            <w:vAlign w:val="bottom"/>
            <w:hideMark/>
          </w:tcPr>
          <w:p w14:paraId="108E67EF"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rs77960347_g</w:t>
            </w:r>
          </w:p>
        </w:tc>
        <w:tc>
          <w:tcPr>
            <w:tcW w:w="1134" w:type="dxa"/>
            <w:tcBorders>
              <w:top w:val="nil"/>
              <w:left w:val="nil"/>
              <w:bottom w:val="nil"/>
              <w:right w:val="nil"/>
            </w:tcBorders>
            <w:noWrap/>
            <w:vAlign w:val="bottom"/>
            <w:hideMark/>
          </w:tcPr>
          <w:p w14:paraId="4236064E"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0.173</w:t>
            </w:r>
          </w:p>
        </w:tc>
        <w:tc>
          <w:tcPr>
            <w:tcW w:w="1276" w:type="dxa"/>
            <w:tcBorders>
              <w:top w:val="nil"/>
              <w:left w:val="nil"/>
              <w:bottom w:val="nil"/>
              <w:right w:val="nil"/>
            </w:tcBorders>
            <w:noWrap/>
            <w:vAlign w:val="bottom"/>
            <w:hideMark/>
          </w:tcPr>
          <w:p w14:paraId="1CA6EDEC"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-0.079</w:t>
            </w:r>
          </w:p>
        </w:tc>
        <w:tc>
          <w:tcPr>
            <w:tcW w:w="1276" w:type="dxa"/>
            <w:tcBorders>
              <w:top w:val="nil"/>
              <w:left w:val="nil"/>
              <w:bottom w:val="nil"/>
              <w:right w:val="nil"/>
            </w:tcBorders>
            <w:noWrap/>
            <w:vAlign w:val="bottom"/>
            <w:hideMark/>
          </w:tcPr>
          <w:p w14:paraId="4B022770"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0.425</w:t>
            </w:r>
          </w:p>
        </w:tc>
        <w:tc>
          <w:tcPr>
            <w:tcW w:w="1275" w:type="dxa"/>
            <w:tcBorders>
              <w:top w:val="nil"/>
              <w:left w:val="nil"/>
              <w:bottom w:val="nil"/>
              <w:right w:val="nil"/>
            </w:tcBorders>
            <w:vAlign w:val="bottom"/>
          </w:tcPr>
          <w:p w14:paraId="0E2CDDEE" w14:textId="0D223E2D"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0.178</w:t>
            </w:r>
          </w:p>
        </w:tc>
        <w:tc>
          <w:tcPr>
            <w:tcW w:w="1276" w:type="dxa"/>
            <w:tcBorders>
              <w:top w:val="nil"/>
              <w:left w:val="nil"/>
              <w:bottom w:val="nil"/>
              <w:right w:val="nil"/>
            </w:tcBorders>
            <w:noWrap/>
            <w:vAlign w:val="bottom"/>
            <w:hideMark/>
          </w:tcPr>
          <w:p w14:paraId="2CAFD013" w14:textId="34353D1E"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0.0061</w:t>
            </w:r>
          </w:p>
        </w:tc>
        <w:tc>
          <w:tcPr>
            <w:tcW w:w="1134" w:type="dxa"/>
            <w:tcBorders>
              <w:top w:val="nil"/>
              <w:left w:val="nil"/>
              <w:bottom w:val="nil"/>
              <w:right w:val="nil"/>
            </w:tcBorders>
            <w:noWrap/>
            <w:vAlign w:val="bottom"/>
            <w:hideMark/>
          </w:tcPr>
          <w:p w14:paraId="6FCE4151"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3622</w:t>
            </w:r>
          </w:p>
        </w:tc>
      </w:tr>
      <w:tr w:rsidR="00745264" w:rsidRPr="001C35E2" w14:paraId="7394E6C1" w14:textId="77777777" w:rsidTr="00745264">
        <w:trPr>
          <w:trHeight w:val="300"/>
        </w:trPr>
        <w:tc>
          <w:tcPr>
            <w:tcW w:w="1843" w:type="dxa"/>
            <w:tcBorders>
              <w:top w:val="nil"/>
              <w:left w:val="nil"/>
              <w:bottom w:val="nil"/>
              <w:right w:val="nil"/>
            </w:tcBorders>
            <w:noWrap/>
            <w:vAlign w:val="bottom"/>
            <w:hideMark/>
          </w:tcPr>
          <w:p w14:paraId="554BE554"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rs9304381_t</w:t>
            </w:r>
          </w:p>
        </w:tc>
        <w:tc>
          <w:tcPr>
            <w:tcW w:w="1134" w:type="dxa"/>
            <w:tcBorders>
              <w:top w:val="nil"/>
              <w:left w:val="nil"/>
              <w:bottom w:val="nil"/>
              <w:right w:val="nil"/>
            </w:tcBorders>
            <w:noWrap/>
            <w:vAlign w:val="bottom"/>
            <w:hideMark/>
          </w:tcPr>
          <w:p w14:paraId="5BA9ABB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-0.018</w:t>
            </w:r>
          </w:p>
        </w:tc>
        <w:tc>
          <w:tcPr>
            <w:tcW w:w="1276" w:type="dxa"/>
            <w:tcBorders>
              <w:top w:val="nil"/>
              <w:left w:val="nil"/>
              <w:bottom w:val="nil"/>
              <w:right w:val="nil"/>
            </w:tcBorders>
            <w:noWrap/>
            <w:vAlign w:val="bottom"/>
            <w:hideMark/>
          </w:tcPr>
          <w:p w14:paraId="2950BFE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-0.101</w:t>
            </w:r>
          </w:p>
        </w:tc>
        <w:tc>
          <w:tcPr>
            <w:tcW w:w="1276" w:type="dxa"/>
            <w:tcBorders>
              <w:top w:val="nil"/>
              <w:left w:val="nil"/>
              <w:bottom w:val="nil"/>
              <w:right w:val="nil"/>
            </w:tcBorders>
            <w:noWrap/>
            <w:vAlign w:val="bottom"/>
            <w:hideMark/>
          </w:tcPr>
          <w:p w14:paraId="19DF3B58"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0.066</w:t>
            </w:r>
          </w:p>
        </w:tc>
        <w:tc>
          <w:tcPr>
            <w:tcW w:w="1275" w:type="dxa"/>
            <w:tcBorders>
              <w:top w:val="nil"/>
              <w:left w:val="nil"/>
              <w:bottom w:val="nil"/>
              <w:right w:val="nil"/>
            </w:tcBorders>
            <w:vAlign w:val="bottom"/>
          </w:tcPr>
          <w:p w14:paraId="1D22B6FE" w14:textId="75B80D53"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0.679</w:t>
            </w:r>
          </w:p>
        </w:tc>
        <w:tc>
          <w:tcPr>
            <w:tcW w:w="1276" w:type="dxa"/>
            <w:tcBorders>
              <w:top w:val="nil"/>
              <w:left w:val="nil"/>
              <w:bottom w:val="nil"/>
              <w:right w:val="nil"/>
            </w:tcBorders>
            <w:noWrap/>
            <w:vAlign w:val="bottom"/>
            <w:hideMark/>
          </w:tcPr>
          <w:p w14:paraId="23F44F73" w14:textId="23CB3636"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0.0057</w:t>
            </w:r>
          </w:p>
        </w:tc>
        <w:tc>
          <w:tcPr>
            <w:tcW w:w="1134" w:type="dxa"/>
            <w:tcBorders>
              <w:top w:val="nil"/>
              <w:left w:val="nil"/>
              <w:bottom w:val="nil"/>
              <w:right w:val="nil"/>
            </w:tcBorders>
            <w:noWrap/>
            <w:vAlign w:val="bottom"/>
            <w:hideMark/>
          </w:tcPr>
          <w:p w14:paraId="6E98B642"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3617</w:t>
            </w:r>
          </w:p>
        </w:tc>
      </w:tr>
      <w:tr w:rsidR="00745264" w:rsidRPr="001C35E2" w14:paraId="57F0E8BA" w14:textId="77777777" w:rsidTr="00745264">
        <w:trPr>
          <w:trHeight w:val="300"/>
        </w:trPr>
        <w:tc>
          <w:tcPr>
            <w:tcW w:w="1843" w:type="dxa"/>
            <w:tcBorders>
              <w:top w:val="nil"/>
              <w:left w:val="nil"/>
              <w:bottom w:val="nil"/>
              <w:right w:val="nil"/>
            </w:tcBorders>
            <w:noWrap/>
            <w:vAlign w:val="bottom"/>
            <w:hideMark/>
          </w:tcPr>
          <w:p w14:paraId="7618B4F3"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rs142158911_g</w:t>
            </w:r>
          </w:p>
        </w:tc>
        <w:tc>
          <w:tcPr>
            <w:tcW w:w="1134" w:type="dxa"/>
            <w:tcBorders>
              <w:top w:val="nil"/>
              <w:left w:val="nil"/>
              <w:bottom w:val="nil"/>
              <w:right w:val="nil"/>
            </w:tcBorders>
            <w:noWrap/>
            <w:vAlign w:val="bottom"/>
            <w:hideMark/>
          </w:tcPr>
          <w:p w14:paraId="2CE2D60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0.061</w:t>
            </w:r>
          </w:p>
        </w:tc>
        <w:tc>
          <w:tcPr>
            <w:tcW w:w="1276" w:type="dxa"/>
            <w:tcBorders>
              <w:top w:val="nil"/>
              <w:left w:val="nil"/>
              <w:bottom w:val="nil"/>
              <w:right w:val="nil"/>
            </w:tcBorders>
            <w:noWrap/>
            <w:vAlign w:val="bottom"/>
            <w:hideMark/>
          </w:tcPr>
          <w:p w14:paraId="38E75676"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-0.042</w:t>
            </w:r>
          </w:p>
        </w:tc>
        <w:tc>
          <w:tcPr>
            <w:tcW w:w="1276" w:type="dxa"/>
            <w:tcBorders>
              <w:top w:val="nil"/>
              <w:left w:val="nil"/>
              <w:bottom w:val="nil"/>
              <w:right w:val="nil"/>
            </w:tcBorders>
            <w:noWrap/>
            <w:vAlign w:val="bottom"/>
            <w:hideMark/>
          </w:tcPr>
          <w:p w14:paraId="1DECB64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0.163</w:t>
            </w:r>
          </w:p>
        </w:tc>
        <w:tc>
          <w:tcPr>
            <w:tcW w:w="1275" w:type="dxa"/>
            <w:tcBorders>
              <w:top w:val="nil"/>
              <w:left w:val="nil"/>
              <w:bottom w:val="nil"/>
              <w:right w:val="nil"/>
            </w:tcBorders>
            <w:vAlign w:val="bottom"/>
          </w:tcPr>
          <w:p w14:paraId="755F9DDC" w14:textId="30E42635"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0.246</w:t>
            </w:r>
          </w:p>
        </w:tc>
        <w:tc>
          <w:tcPr>
            <w:tcW w:w="1276" w:type="dxa"/>
            <w:tcBorders>
              <w:top w:val="nil"/>
              <w:left w:val="nil"/>
              <w:bottom w:val="nil"/>
              <w:right w:val="nil"/>
            </w:tcBorders>
            <w:noWrap/>
            <w:vAlign w:val="bottom"/>
            <w:hideMark/>
          </w:tcPr>
          <w:p w14:paraId="1D1A5BC0" w14:textId="26785D6C"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0.0061</w:t>
            </w:r>
          </w:p>
        </w:tc>
        <w:tc>
          <w:tcPr>
            <w:tcW w:w="1134" w:type="dxa"/>
            <w:tcBorders>
              <w:top w:val="nil"/>
              <w:left w:val="nil"/>
              <w:bottom w:val="nil"/>
              <w:right w:val="nil"/>
            </w:tcBorders>
            <w:noWrap/>
            <w:vAlign w:val="bottom"/>
            <w:hideMark/>
          </w:tcPr>
          <w:p w14:paraId="173E9BEF"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3552</w:t>
            </w:r>
          </w:p>
        </w:tc>
      </w:tr>
      <w:tr w:rsidR="00745264" w:rsidRPr="001C35E2" w14:paraId="116FB520" w14:textId="77777777" w:rsidTr="00745264">
        <w:trPr>
          <w:trHeight w:val="300"/>
        </w:trPr>
        <w:tc>
          <w:tcPr>
            <w:tcW w:w="1843" w:type="dxa"/>
            <w:tcBorders>
              <w:top w:val="nil"/>
              <w:left w:val="nil"/>
              <w:bottom w:val="nil"/>
              <w:right w:val="nil"/>
            </w:tcBorders>
            <w:noWrap/>
            <w:vAlign w:val="bottom"/>
            <w:hideMark/>
          </w:tcPr>
          <w:p w14:paraId="08079A10"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rs2278426_c</w:t>
            </w:r>
          </w:p>
        </w:tc>
        <w:tc>
          <w:tcPr>
            <w:tcW w:w="1134" w:type="dxa"/>
            <w:tcBorders>
              <w:top w:val="nil"/>
              <w:left w:val="nil"/>
              <w:bottom w:val="nil"/>
              <w:right w:val="nil"/>
            </w:tcBorders>
            <w:noWrap/>
            <w:vAlign w:val="bottom"/>
            <w:hideMark/>
          </w:tcPr>
          <w:p w14:paraId="26AE1E19"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-0.031</w:t>
            </w:r>
          </w:p>
        </w:tc>
        <w:tc>
          <w:tcPr>
            <w:tcW w:w="1276" w:type="dxa"/>
            <w:tcBorders>
              <w:top w:val="nil"/>
              <w:left w:val="nil"/>
              <w:bottom w:val="nil"/>
              <w:right w:val="nil"/>
            </w:tcBorders>
            <w:noWrap/>
            <w:vAlign w:val="bottom"/>
            <w:hideMark/>
          </w:tcPr>
          <w:p w14:paraId="38E9813B"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-0.204</w:t>
            </w:r>
          </w:p>
        </w:tc>
        <w:tc>
          <w:tcPr>
            <w:tcW w:w="1276" w:type="dxa"/>
            <w:tcBorders>
              <w:top w:val="nil"/>
              <w:left w:val="nil"/>
              <w:bottom w:val="nil"/>
              <w:right w:val="nil"/>
            </w:tcBorders>
            <w:noWrap/>
            <w:vAlign w:val="bottom"/>
            <w:hideMark/>
          </w:tcPr>
          <w:p w14:paraId="710F962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0.143</w:t>
            </w:r>
          </w:p>
        </w:tc>
        <w:tc>
          <w:tcPr>
            <w:tcW w:w="1275" w:type="dxa"/>
            <w:tcBorders>
              <w:top w:val="nil"/>
              <w:left w:val="nil"/>
              <w:bottom w:val="nil"/>
              <w:right w:val="nil"/>
            </w:tcBorders>
            <w:vAlign w:val="bottom"/>
          </w:tcPr>
          <w:p w14:paraId="4E3A9E61" w14:textId="3B9A9F3D"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0.728</w:t>
            </w:r>
          </w:p>
        </w:tc>
        <w:tc>
          <w:tcPr>
            <w:tcW w:w="1276" w:type="dxa"/>
            <w:tcBorders>
              <w:top w:val="nil"/>
              <w:left w:val="nil"/>
              <w:bottom w:val="nil"/>
              <w:right w:val="nil"/>
            </w:tcBorders>
            <w:noWrap/>
            <w:vAlign w:val="bottom"/>
            <w:hideMark/>
          </w:tcPr>
          <w:p w14:paraId="7E01277E" w14:textId="7BBAE841"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0.0056</w:t>
            </w:r>
          </w:p>
        </w:tc>
        <w:tc>
          <w:tcPr>
            <w:tcW w:w="1134" w:type="dxa"/>
            <w:tcBorders>
              <w:top w:val="nil"/>
              <w:left w:val="nil"/>
              <w:bottom w:val="nil"/>
              <w:right w:val="nil"/>
            </w:tcBorders>
            <w:noWrap/>
            <w:vAlign w:val="bottom"/>
            <w:hideMark/>
          </w:tcPr>
          <w:p w14:paraId="0D550363"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3644</w:t>
            </w:r>
          </w:p>
        </w:tc>
      </w:tr>
      <w:tr w:rsidR="00745264" w:rsidRPr="001C35E2" w14:paraId="0205C268" w14:textId="77777777" w:rsidTr="00745264">
        <w:trPr>
          <w:trHeight w:val="300"/>
        </w:trPr>
        <w:tc>
          <w:tcPr>
            <w:tcW w:w="1843" w:type="dxa"/>
            <w:tcBorders>
              <w:top w:val="nil"/>
              <w:left w:val="nil"/>
              <w:right w:val="nil"/>
            </w:tcBorders>
            <w:noWrap/>
            <w:vAlign w:val="bottom"/>
            <w:hideMark/>
          </w:tcPr>
          <w:p w14:paraId="3D261C6C"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rs58542926_c</w:t>
            </w:r>
          </w:p>
        </w:tc>
        <w:tc>
          <w:tcPr>
            <w:tcW w:w="1134" w:type="dxa"/>
            <w:tcBorders>
              <w:top w:val="nil"/>
              <w:left w:val="nil"/>
              <w:right w:val="nil"/>
            </w:tcBorders>
            <w:noWrap/>
            <w:vAlign w:val="bottom"/>
            <w:hideMark/>
          </w:tcPr>
          <w:p w14:paraId="7A1D1DC4"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0.061</w:t>
            </w:r>
          </w:p>
        </w:tc>
        <w:tc>
          <w:tcPr>
            <w:tcW w:w="1276" w:type="dxa"/>
            <w:tcBorders>
              <w:top w:val="nil"/>
              <w:left w:val="nil"/>
              <w:right w:val="nil"/>
            </w:tcBorders>
            <w:noWrap/>
            <w:vAlign w:val="bottom"/>
            <w:hideMark/>
          </w:tcPr>
          <w:p w14:paraId="67480E57"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-0.053</w:t>
            </w:r>
          </w:p>
        </w:tc>
        <w:tc>
          <w:tcPr>
            <w:tcW w:w="1276" w:type="dxa"/>
            <w:tcBorders>
              <w:top w:val="nil"/>
              <w:left w:val="nil"/>
              <w:right w:val="nil"/>
            </w:tcBorders>
            <w:noWrap/>
            <w:vAlign w:val="bottom"/>
            <w:hideMark/>
          </w:tcPr>
          <w:p w14:paraId="525B13E5"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0.176</w:t>
            </w:r>
          </w:p>
        </w:tc>
        <w:tc>
          <w:tcPr>
            <w:tcW w:w="1275" w:type="dxa"/>
            <w:tcBorders>
              <w:top w:val="nil"/>
              <w:left w:val="nil"/>
              <w:right w:val="nil"/>
            </w:tcBorders>
            <w:vAlign w:val="bottom"/>
          </w:tcPr>
          <w:p w14:paraId="4F7C2D6A" w14:textId="35DBB4C9"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0.296</w:t>
            </w:r>
          </w:p>
        </w:tc>
        <w:tc>
          <w:tcPr>
            <w:tcW w:w="1276" w:type="dxa"/>
            <w:tcBorders>
              <w:top w:val="nil"/>
              <w:left w:val="nil"/>
              <w:right w:val="nil"/>
            </w:tcBorders>
            <w:noWrap/>
            <w:vAlign w:val="bottom"/>
            <w:hideMark/>
          </w:tcPr>
          <w:p w14:paraId="0B170E70" w14:textId="17AC0C29"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0.0059</w:t>
            </w:r>
          </w:p>
        </w:tc>
        <w:tc>
          <w:tcPr>
            <w:tcW w:w="1134" w:type="dxa"/>
            <w:tcBorders>
              <w:top w:val="nil"/>
              <w:left w:val="nil"/>
              <w:right w:val="nil"/>
            </w:tcBorders>
            <w:noWrap/>
            <w:vAlign w:val="bottom"/>
            <w:hideMark/>
          </w:tcPr>
          <w:p w14:paraId="0E9194CA"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3638</w:t>
            </w:r>
          </w:p>
        </w:tc>
      </w:tr>
      <w:tr w:rsidR="00745264" w:rsidRPr="001C35E2" w14:paraId="673D98C2" w14:textId="77777777" w:rsidTr="00745264">
        <w:trPr>
          <w:trHeight w:val="300"/>
        </w:trPr>
        <w:tc>
          <w:tcPr>
            <w:tcW w:w="1843" w:type="dxa"/>
            <w:tcBorders>
              <w:top w:val="nil"/>
              <w:left w:val="nil"/>
              <w:bottom w:val="single" w:sz="4" w:space="0" w:color="auto"/>
              <w:right w:val="nil"/>
            </w:tcBorders>
            <w:noWrap/>
            <w:vAlign w:val="bottom"/>
            <w:hideMark/>
          </w:tcPr>
          <w:p w14:paraId="3D42DD85" w14:textId="77777777" w:rsidR="00745264" w:rsidRPr="001C35E2" w:rsidRDefault="00745264" w:rsidP="00774BED">
            <w:pPr>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rs7412_c</w:t>
            </w:r>
          </w:p>
        </w:tc>
        <w:tc>
          <w:tcPr>
            <w:tcW w:w="1134" w:type="dxa"/>
            <w:tcBorders>
              <w:top w:val="nil"/>
              <w:left w:val="nil"/>
              <w:bottom w:val="single" w:sz="4" w:space="0" w:color="auto"/>
              <w:right w:val="nil"/>
            </w:tcBorders>
            <w:noWrap/>
            <w:vAlign w:val="bottom"/>
            <w:hideMark/>
          </w:tcPr>
          <w:p w14:paraId="493911E8"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0.032</w:t>
            </w:r>
          </w:p>
        </w:tc>
        <w:tc>
          <w:tcPr>
            <w:tcW w:w="1276" w:type="dxa"/>
            <w:tcBorders>
              <w:top w:val="nil"/>
              <w:left w:val="nil"/>
              <w:bottom w:val="single" w:sz="4" w:space="0" w:color="auto"/>
              <w:right w:val="nil"/>
            </w:tcBorders>
            <w:noWrap/>
            <w:vAlign w:val="bottom"/>
            <w:hideMark/>
          </w:tcPr>
          <w:p w14:paraId="191AD20C"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-0.082</w:t>
            </w:r>
          </w:p>
        </w:tc>
        <w:tc>
          <w:tcPr>
            <w:tcW w:w="1276" w:type="dxa"/>
            <w:tcBorders>
              <w:top w:val="nil"/>
              <w:left w:val="nil"/>
              <w:bottom w:val="single" w:sz="4" w:space="0" w:color="auto"/>
              <w:right w:val="nil"/>
            </w:tcBorders>
            <w:noWrap/>
            <w:vAlign w:val="bottom"/>
            <w:hideMark/>
          </w:tcPr>
          <w:p w14:paraId="34F8D42D"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0.145</w:t>
            </w:r>
          </w:p>
        </w:tc>
        <w:tc>
          <w:tcPr>
            <w:tcW w:w="1275" w:type="dxa"/>
            <w:tcBorders>
              <w:top w:val="nil"/>
              <w:left w:val="nil"/>
              <w:bottom w:val="single" w:sz="4" w:space="0" w:color="auto"/>
              <w:right w:val="nil"/>
            </w:tcBorders>
            <w:vAlign w:val="bottom"/>
          </w:tcPr>
          <w:p w14:paraId="7A9BFA80" w14:textId="48B363C0"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0.584</w:t>
            </w:r>
          </w:p>
        </w:tc>
        <w:tc>
          <w:tcPr>
            <w:tcW w:w="1276" w:type="dxa"/>
            <w:tcBorders>
              <w:top w:val="nil"/>
              <w:left w:val="nil"/>
              <w:bottom w:val="single" w:sz="4" w:space="0" w:color="auto"/>
              <w:right w:val="nil"/>
            </w:tcBorders>
            <w:noWrap/>
            <w:vAlign w:val="bottom"/>
            <w:hideMark/>
          </w:tcPr>
          <w:p w14:paraId="48F09691" w14:textId="3FCAB076"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0.0052</w:t>
            </w:r>
          </w:p>
        </w:tc>
        <w:tc>
          <w:tcPr>
            <w:tcW w:w="1134" w:type="dxa"/>
            <w:tcBorders>
              <w:top w:val="nil"/>
              <w:left w:val="nil"/>
              <w:bottom w:val="single" w:sz="4" w:space="0" w:color="auto"/>
              <w:right w:val="nil"/>
            </w:tcBorders>
            <w:noWrap/>
            <w:vAlign w:val="bottom"/>
            <w:hideMark/>
          </w:tcPr>
          <w:p w14:paraId="50CD18CF" w14:textId="77777777" w:rsidR="00745264" w:rsidRPr="001C35E2" w:rsidRDefault="00745264" w:rsidP="00774BED">
            <w:pPr>
              <w:jc w:val="right"/>
              <w:rPr>
                <w:rFonts w:ascii="Cambria" w:eastAsia="Times New Roman" w:hAnsi="Cambria" w:cs="Calibri"/>
                <w:color w:val="000000"/>
                <w:sz w:val="22"/>
                <w:szCs w:val="22"/>
                <w:lang w:eastAsia="en-GB"/>
              </w:rPr>
            </w:pPr>
            <w:r w:rsidRPr="001C35E2">
              <w:rPr>
                <w:rFonts w:ascii="Cambria" w:eastAsia="Times New Roman" w:hAnsi="Cambria" w:cs="Calibri"/>
                <w:color w:val="000000"/>
                <w:sz w:val="22"/>
                <w:szCs w:val="22"/>
                <w:lang w:eastAsia="en-GB"/>
              </w:rPr>
              <w:t>3512</w:t>
            </w:r>
          </w:p>
        </w:tc>
      </w:tr>
    </w:tbl>
    <w:p w14:paraId="7D15D288" w14:textId="77777777" w:rsidR="00F5610C" w:rsidRPr="001C35E2" w:rsidRDefault="00F5610C" w:rsidP="00F5610C">
      <w:pPr>
        <w:pStyle w:val="NormalWeb"/>
        <w:shd w:val="clear" w:color="auto" w:fill="FFFFFF"/>
        <w:spacing w:after="0"/>
        <w:rPr>
          <w:rFonts w:ascii="Cambria" w:hAnsi="Cambria" w:cs="Calibri"/>
          <w:b/>
          <w:bCs/>
          <w:color w:val="000000" w:themeColor="text1"/>
          <w:sz w:val="22"/>
          <w:szCs w:val="22"/>
          <w:lang w:val="en-GB"/>
        </w:rPr>
      </w:pPr>
    </w:p>
    <w:p w14:paraId="493AB80C" w14:textId="097A2986" w:rsidR="00F5610C" w:rsidRPr="001C35E2" w:rsidRDefault="00F5610C" w:rsidP="00F5610C">
      <w:pPr>
        <w:pStyle w:val="NormalWeb"/>
        <w:shd w:val="clear" w:color="auto" w:fill="FFFFFF"/>
        <w:spacing w:after="0"/>
        <w:rPr>
          <w:rFonts w:ascii="Cambria" w:hAnsi="Cambria" w:cs="Calibri"/>
          <w:b/>
          <w:bCs/>
          <w:color w:val="000000" w:themeColor="text1"/>
          <w:sz w:val="22"/>
          <w:szCs w:val="22"/>
          <w:lang w:val="en-GB"/>
        </w:rPr>
      </w:pPr>
    </w:p>
    <w:p w14:paraId="5C8A42CC" w14:textId="06C76527" w:rsidR="00B365D4" w:rsidRPr="001C35E2" w:rsidRDefault="00B365D4" w:rsidP="00B365D4">
      <w:pPr>
        <w:rPr>
          <w:rFonts w:ascii="Cambria" w:eastAsia="Times New Roman" w:hAnsi="Cambria" w:cs="Times New Roman"/>
          <w:lang w:eastAsia="en-GB"/>
        </w:rPr>
      </w:pPr>
      <w:r w:rsidRPr="001C35E2">
        <w:rPr>
          <w:rFonts w:ascii="Cambria" w:eastAsia="Times New Roman" w:hAnsi="Cambria" w:cs="Times New Roman"/>
          <w:lang w:eastAsia="en-GB"/>
        </w:rPr>
        <w:fldChar w:fldCharType="begin"/>
      </w:r>
      <w:r w:rsidRPr="001C35E2">
        <w:rPr>
          <w:rFonts w:ascii="Cambria" w:eastAsia="Times New Roman" w:hAnsi="Cambria" w:cs="Times New Roman"/>
          <w:lang w:eastAsia="en-GB"/>
        </w:rPr>
        <w:instrText xml:space="preserve"> INCLUDEPICTURE "https://attachments.office.net/owa/robyn.wootton%40bristol.ac.uk/service.svc/s/GetAttachmentThumbnail?id=AAMkADU3NDUwZWYxLTZhYjYtNDc4NS04ZjI4LTdjZjAwMTQzNmIwZgBGAAAAAABt5HsyVIS4S4zmGdih7DxUBwBuehyUV0V7Tacmc2tj4Z%2FpAAAAAAEMAABuehyUV0V7Tacmc2tj4Z%2FpAAQof23iAAABEgAQAPgpurWivYxLpyhtjKNmxxg%3D&amp;thumbnailType=2&amp;token=eyJhbGciOiJSUzI1NiIsImtpZCI6IkZBRDY1NDI2MkM2QUYyOTYxQUExRThDQUI3OEZGMUIyNzBFNzA3RTkiLCJ0eXAiOiJKV1QiLCJ4NXQiOiItdFpVSml4cThwWWFvZWpLdDRfeHNuRG5CLWsifQ.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.MsBcTeYmMTJ3KaFKr9e6VVVj89vQyJ1ZNFNVmuOKzH3jVhaUkpFhx78cIyLQmXQ_sxhwllHa1fOnQEi1T1R1YEWU7OE6-4OCZ1UKKteZOzKLecJFCA1bhmQiVSGci_VHJQnfTD0BxcL6aqeS9Cw9dhUntD5_U4mpBc0fVEG3M0OixX-ib3feJufvLoiXqaaKCaBaWW0OoPByJMcMsNts9KZHUgVYkr6qpRSf0rcwgsHctGrySqXdMseVA38kKW8F0DbBhTDy7Wax804wglMaAfiEMGo-bzzRECxhASFpXK1Cqkk8pTHNC8quL-Bv40UmmoXTay0d6eq_ylCzXMBd5A&amp;X-OWA-CANARY=91bCCX26-kujO0IN9Hpv2dBW9_Xqv9kYCQfL5pSpwITokDO6tWk4XU-Hl8yywhSKXWl3cODKkJg.&amp;owa=outlook.office.com&amp;scriptVer=20211206021.06&amp;animation=true" \* MERGEFORMATINET </w:instrText>
      </w:r>
      <w:r w:rsidRPr="001C35E2">
        <w:rPr>
          <w:rFonts w:ascii="Cambria" w:eastAsia="Times New Roman" w:hAnsi="Cambria" w:cs="Times New Roman"/>
          <w:lang w:eastAsia="en-GB"/>
        </w:rPr>
        <w:fldChar w:fldCharType="separate"/>
      </w:r>
      <w:r w:rsidRPr="001C35E2">
        <w:rPr>
          <w:rFonts w:ascii="Cambria" w:eastAsia="Times New Roman" w:hAnsi="Cambria" w:cs="Times New Roman"/>
          <w:noProof/>
          <w:lang w:eastAsia="en-GB"/>
        </w:rPr>
        <w:drawing>
          <wp:inline distT="0" distB="0" distL="0" distR="0" wp14:anchorId="5CCA6B7B" wp14:editId="478CFCB4">
            <wp:extent cx="5731510" cy="4169410"/>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169410"/>
                    </a:xfrm>
                    <a:prstGeom prst="rect">
                      <a:avLst/>
                    </a:prstGeom>
                    <a:noFill/>
                    <a:ln>
                      <a:noFill/>
                    </a:ln>
                  </pic:spPr>
                </pic:pic>
              </a:graphicData>
            </a:graphic>
          </wp:inline>
        </w:drawing>
      </w:r>
      <w:r w:rsidRPr="001C35E2">
        <w:rPr>
          <w:rFonts w:ascii="Cambria" w:eastAsia="Times New Roman" w:hAnsi="Cambria" w:cs="Times New Roman"/>
          <w:lang w:eastAsia="en-GB"/>
        </w:rPr>
        <w:fldChar w:fldCharType="end"/>
      </w:r>
    </w:p>
    <w:p w14:paraId="2E97BDDE" w14:textId="25016A47" w:rsidR="00B365D4" w:rsidRPr="001C35E2" w:rsidRDefault="00001AFE" w:rsidP="00774BED">
      <w:pPr>
        <w:pStyle w:val="NormalWeb"/>
        <w:shd w:val="clear" w:color="auto" w:fill="FFFFFF"/>
        <w:spacing w:after="0"/>
        <w:jc w:val="center"/>
        <w:rPr>
          <w:rFonts w:ascii="Cambria" w:hAnsi="Cambria" w:cs="Calibri"/>
          <w:i/>
          <w:iCs/>
          <w:color w:val="000000" w:themeColor="text1"/>
          <w:sz w:val="22"/>
          <w:szCs w:val="22"/>
          <w:lang w:val="en-GB"/>
        </w:rPr>
      </w:pPr>
      <w:r w:rsidRPr="001C35E2">
        <w:rPr>
          <w:rFonts w:ascii="Cambria" w:hAnsi="Cambria" w:cs="Calibri"/>
          <w:i/>
          <w:iCs/>
          <w:color w:val="000000" w:themeColor="text1"/>
          <w:sz w:val="22"/>
          <w:szCs w:val="22"/>
          <w:lang w:val="en-GB"/>
        </w:rPr>
        <w:t xml:space="preserve">Figure N1. The association of the standardised polygenic score (stdPGS) and each of the individual SNP effects on </w:t>
      </w:r>
      <w:r w:rsidR="00774BED" w:rsidRPr="001C35E2">
        <w:rPr>
          <w:rFonts w:ascii="Cambria" w:hAnsi="Cambria" w:cs="Calibri"/>
          <w:i/>
          <w:iCs/>
          <w:color w:val="000000" w:themeColor="text1"/>
          <w:sz w:val="22"/>
          <w:szCs w:val="22"/>
          <w:lang w:val="en-GB"/>
        </w:rPr>
        <w:t>levels of DHA during pregnancy in the ALSPAC cohort.</w:t>
      </w:r>
    </w:p>
    <w:p w14:paraId="4436226B" w14:textId="77777777" w:rsidR="000742AD" w:rsidRPr="001C35E2" w:rsidRDefault="000742AD" w:rsidP="00774BED">
      <w:pPr>
        <w:pStyle w:val="NormalWeb"/>
        <w:shd w:val="clear" w:color="auto" w:fill="FFFFFF"/>
        <w:spacing w:after="0"/>
        <w:jc w:val="center"/>
        <w:rPr>
          <w:rFonts w:ascii="Cambria" w:hAnsi="Cambria" w:cs="Calibri"/>
          <w:i/>
          <w:iCs/>
          <w:color w:val="000000" w:themeColor="text1"/>
          <w:sz w:val="22"/>
          <w:szCs w:val="22"/>
          <w:lang w:val="en-GB"/>
        </w:rPr>
      </w:pPr>
    </w:p>
    <w:p w14:paraId="2D34D462" w14:textId="62586576" w:rsidR="00CF7634" w:rsidRDefault="00CF7634" w:rsidP="00CF7634">
      <w:pPr>
        <w:rPr>
          <w:rFonts w:ascii="Cambria" w:eastAsia="Times New Roman" w:hAnsi="Cambria" w:cs="Times New Roman"/>
          <w:u w:val="single"/>
          <w:lang w:eastAsia="en-GB"/>
        </w:rPr>
      </w:pPr>
      <w:r w:rsidRPr="001C35E2">
        <w:rPr>
          <w:rFonts w:ascii="Cambria" w:eastAsia="Times New Roman" w:hAnsi="Cambria" w:cs="Times New Roman"/>
          <w:u w:val="single"/>
          <w:lang w:eastAsia="en-GB"/>
        </w:rPr>
        <w:t>Validation of DHA variants with known function</w:t>
      </w:r>
    </w:p>
    <w:p w14:paraId="48BEDE04" w14:textId="448B1263" w:rsidR="005919BE" w:rsidRPr="00A57A46" w:rsidRDefault="005919BE" w:rsidP="00CF7634">
      <w:pPr>
        <w:rPr>
          <w:rFonts w:ascii="Cambria" w:eastAsia="Times New Roman" w:hAnsi="Cambria" w:cs="Times New Roman"/>
          <w:lang w:eastAsia="en-GB"/>
        </w:rPr>
      </w:pPr>
      <w:r w:rsidRPr="00A57A46">
        <w:rPr>
          <w:rFonts w:ascii="Cambria" w:eastAsia="Times New Roman" w:hAnsi="Cambria" w:cs="Times New Roman"/>
          <w:lang w:eastAsia="en-GB"/>
        </w:rPr>
        <w:t xml:space="preserve">Effect estimates for both genetic variants was in the expected decreasing direction, but effects were only significant for </w:t>
      </w:r>
      <w:r w:rsidR="00DD5B5B" w:rsidRPr="00A57A46">
        <w:rPr>
          <w:rFonts w:ascii="Cambria" w:eastAsia="Times New Roman" w:hAnsi="Cambria" w:cs="Times New Roman"/>
          <w:lang w:eastAsia="en-GB"/>
        </w:rPr>
        <w:t xml:space="preserve">rs174576 (Figure N2). </w:t>
      </w:r>
    </w:p>
    <w:p w14:paraId="7BC37182" w14:textId="77777777" w:rsidR="000742AD" w:rsidRPr="00A57A46" w:rsidRDefault="000742AD" w:rsidP="000742AD">
      <w:pPr>
        <w:pStyle w:val="NormalWeb"/>
        <w:shd w:val="clear" w:color="auto" w:fill="FFFFFF"/>
        <w:spacing w:after="0" w:line="360" w:lineRule="auto"/>
        <w:jc w:val="center"/>
        <w:rPr>
          <w:rFonts w:ascii="Cambria" w:hAnsi="Cambria"/>
          <w:color w:val="000000" w:themeColor="text1"/>
          <w:sz w:val="22"/>
          <w:szCs w:val="22"/>
          <w:shd w:val="clear" w:color="auto" w:fill="FFFFFF"/>
          <w:lang w:val="en-GB"/>
        </w:rPr>
      </w:pPr>
    </w:p>
    <w:p w14:paraId="0EFB4AE7" w14:textId="77777777" w:rsidR="000742AD" w:rsidRPr="001C35E2" w:rsidRDefault="000742AD" w:rsidP="000742AD">
      <w:pPr>
        <w:pStyle w:val="NormalWeb"/>
        <w:shd w:val="clear" w:color="auto" w:fill="FFFFFF"/>
        <w:spacing w:after="0" w:line="360" w:lineRule="auto"/>
        <w:jc w:val="center"/>
        <w:rPr>
          <w:rFonts w:ascii="Cambria" w:hAnsi="Cambria"/>
          <w:color w:val="1F4E79" w:themeColor="accent5" w:themeShade="80"/>
          <w:sz w:val="22"/>
          <w:szCs w:val="22"/>
          <w:shd w:val="clear" w:color="auto" w:fill="FFFFFF"/>
          <w:lang w:val="en-GB"/>
        </w:rPr>
      </w:pPr>
      <w:r w:rsidRPr="001C35E2">
        <w:rPr>
          <w:rFonts w:ascii="Cambria" w:hAnsi="Cambria"/>
          <w:noProof/>
          <w:color w:val="242424"/>
          <w:sz w:val="22"/>
          <w:szCs w:val="22"/>
          <w:lang w:val="en-GB"/>
          <w14:ligatures w14:val="standardContextual"/>
        </w:rPr>
        <w:drawing>
          <wp:inline distT="0" distB="0" distL="0" distR="0" wp14:anchorId="5B53C621" wp14:editId="37E4BC14">
            <wp:extent cx="2526902" cy="832919"/>
            <wp:effectExtent l="0" t="0" r="635" b="5715"/>
            <wp:docPr id="1563328717"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28717" name="Picture 3" descr="A screenshot of a phone&#10;&#10;Description automatically generated"/>
                    <pic:cNvPicPr/>
                  </pic:nvPicPr>
                  <pic:blipFill rotWithShape="1">
                    <a:blip r:embed="rId9">
                      <a:extLst>
                        <a:ext uri="{28A0092B-C50C-407E-A947-70E740481C1C}">
                          <a14:useLocalDpi xmlns:a14="http://schemas.microsoft.com/office/drawing/2010/main" val="0"/>
                        </a:ext>
                      </a:extLst>
                    </a:blip>
                    <a:srcRect t="37314" b="37063"/>
                    <a:stretch/>
                  </pic:blipFill>
                  <pic:spPr bwMode="auto">
                    <a:xfrm>
                      <a:off x="0" y="0"/>
                      <a:ext cx="2527300" cy="833050"/>
                    </a:xfrm>
                    <a:prstGeom prst="rect">
                      <a:avLst/>
                    </a:prstGeom>
                    <a:ln>
                      <a:noFill/>
                    </a:ln>
                    <a:extLst>
                      <a:ext uri="{53640926-AAD7-44D8-BBD7-CCE9431645EC}">
                        <a14:shadowObscured xmlns:a14="http://schemas.microsoft.com/office/drawing/2010/main"/>
                      </a:ext>
                    </a:extLst>
                  </pic:spPr>
                </pic:pic>
              </a:graphicData>
            </a:graphic>
          </wp:inline>
        </w:drawing>
      </w:r>
    </w:p>
    <w:p w14:paraId="5C34925D" w14:textId="0026A71A" w:rsidR="00082826" w:rsidRPr="001C35E2" w:rsidRDefault="00082826" w:rsidP="00082826">
      <w:pPr>
        <w:pStyle w:val="NormalWeb"/>
        <w:shd w:val="clear" w:color="auto" w:fill="FFFFFF"/>
        <w:spacing w:after="0"/>
        <w:jc w:val="center"/>
        <w:rPr>
          <w:rFonts w:ascii="Cambria" w:hAnsi="Cambria" w:cs="Calibri"/>
          <w:i/>
          <w:iCs/>
          <w:color w:val="000000" w:themeColor="text1"/>
          <w:sz w:val="22"/>
          <w:szCs w:val="22"/>
          <w:lang w:val="en-GB"/>
        </w:rPr>
      </w:pPr>
      <w:r w:rsidRPr="001C35E2">
        <w:rPr>
          <w:rFonts w:ascii="Cambria" w:hAnsi="Cambria" w:cs="Calibri"/>
          <w:i/>
          <w:iCs/>
          <w:color w:val="000000" w:themeColor="text1"/>
          <w:sz w:val="22"/>
          <w:szCs w:val="22"/>
          <w:lang w:val="en-GB"/>
        </w:rPr>
        <w:t>Figure N2. The association of the variants with known function on levels of DHA during pregnancy in the ALSPAC cohort.</w:t>
      </w:r>
    </w:p>
    <w:p w14:paraId="1CA098E3" w14:textId="77777777" w:rsidR="00082826" w:rsidRPr="001C35E2" w:rsidRDefault="00082826" w:rsidP="000742AD">
      <w:pPr>
        <w:pStyle w:val="NormalWeb"/>
        <w:shd w:val="clear" w:color="auto" w:fill="FFFFFF"/>
        <w:spacing w:after="0" w:line="360" w:lineRule="auto"/>
        <w:jc w:val="center"/>
        <w:rPr>
          <w:rFonts w:ascii="Cambria" w:hAnsi="Cambria"/>
          <w:color w:val="1F4E79" w:themeColor="accent5" w:themeShade="80"/>
          <w:sz w:val="22"/>
          <w:szCs w:val="22"/>
          <w:shd w:val="clear" w:color="auto" w:fill="FFFFFF"/>
          <w:lang w:val="en-GB"/>
        </w:rPr>
      </w:pPr>
    </w:p>
    <w:p w14:paraId="68110472" w14:textId="758E232D" w:rsidR="00DD5B5B" w:rsidRDefault="00DD5B5B" w:rsidP="00DD5B5B">
      <w:pPr>
        <w:rPr>
          <w:rFonts w:ascii="Cambria" w:eastAsia="Times New Roman" w:hAnsi="Cambria" w:cs="Times New Roman"/>
          <w:u w:val="single"/>
          <w:lang w:eastAsia="en-GB"/>
        </w:rPr>
      </w:pPr>
      <w:r w:rsidRPr="001C35E2">
        <w:rPr>
          <w:rFonts w:ascii="Cambria" w:eastAsia="Times New Roman" w:hAnsi="Cambria" w:cs="Times New Roman"/>
          <w:u w:val="single"/>
          <w:lang w:eastAsia="en-GB"/>
        </w:rPr>
        <w:t xml:space="preserve">Validation of </w:t>
      </w:r>
      <w:r>
        <w:rPr>
          <w:rFonts w:ascii="Cambria" w:eastAsia="Times New Roman" w:hAnsi="Cambria" w:cs="Times New Roman"/>
          <w:u w:val="single"/>
          <w:lang w:eastAsia="en-GB"/>
        </w:rPr>
        <w:t>Vitamin-D</w:t>
      </w:r>
      <w:r w:rsidRPr="001C35E2">
        <w:rPr>
          <w:rFonts w:ascii="Cambria" w:eastAsia="Times New Roman" w:hAnsi="Cambria" w:cs="Times New Roman"/>
          <w:u w:val="single"/>
          <w:lang w:eastAsia="en-GB"/>
        </w:rPr>
        <w:t xml:space="preserve"> variants with known function</w:t>
      </w:r>
    </w:p>
    <w:p w14:paraId="6FE46ABE" w14:textId="5F770DCE" w:rsidR="00DD5B5B" w:rsidRPr="00FD1F56" w:rsidRDefault="00DD5B5B" w:rsidP="00DD5B5B">
      <w:pPr>
        <w:rPr>
          <w:rFonts w:ascii="Cambria" w:eastAsia="Times New Roman" w:hAnsi="Cambria" w:cs="Times New Roman"/>
          <w:lang w:eastAsia="en-GB"/>
        </w:rPr>
      </w:pPr>
      <w:r w:rsidRPr="00FD1F56">
        <w:rPr>
          <w:rFonts w:ascii="Cambria" w:eastAsia="Times New Roman" w:hAnsi="Cambria" w:cs="Times New Roman"/>
          <w:lang w:eastAsia="en-GB"/>
        </w:rPr>
        <w:t xml:space="preserve">Effect estimates for </w:t>
      </w:r>
      <w:r>
        <w:rPr>
          <w:rFonts w:ascii="Cambria" w:eastAsia="Times New Roman" w:hAnsi="Cambria" w:cs="Times New Roman"/>
          <w:lang w:eastAsia="en-GB"/>
        </w:rPr>
        <w:t xml:space="preserve">all </w:t>
      </w:r>
      <w:r w:rsidRPr="00FD1F56">
        <w:rPr>
          <w:rFonts w:ascii="Cambria" w:eastAsia="Times New Roman" w:hAnsi="Cambria" w:cs="Times New Roman"/>
          <w:lang w:eastAsia="en-GB"/>
        </w:rPr>
        <w:t xml:space="preserve">genetic variants </w:t>
      </w:r>
      <w:r>
        <w:rPr>
          <w:rFonts w:ascii="Cambria" w:eastAsia="Times New Roman" w:hAnsi="Cambria" w:cs="Times New Roman"/>
          <w:lang w:eastAsia="en-GB"/>
        </w:rPr>
        <w:t xml:space="preserve">with known function </w:t>
      </w:r>
      <w:r w:rsidRPr="00FD1F56">
        <w:rPr>
          <w:rFonts w:ascii="Cambria" w:eastAsia="Times New Roman" w:hAnsi="Cambria" w:cs="Times New Roman"/>
          <w:lang w:eastAsia="en-GB"/>
        </w:rPr>
        <w:t>was in the expected decreasing direction, but effects were only significant for rs1</w:t>
      </w:r>
      <w:r w:rsidR="00A53BC1">
        <w:rPr>
          <w:rFonts w:ascii="Cambria" w:eastAsia="Times New Roman" w:hAnsi="Cambria" w:cs="Times New Roman"/>
          <w:lang w:eastAsia="en-GB"/>
        </w:rPr>
        <w:t xml:space="preserve">2785878 and rs2282679 </w:t>
      </w:r>
      <w:r w:rsidRPr="00FD1F56">
        <w:rPr>
          <w:rFonts w:ascii="Cambria" w:eastAsia="Times New Roman" w:hAnsi="Cambria" w:cs="Times New Roman"/>
          <w:lang w:eastAsia="en-GB"/>
        </w:rPr>
        <w:t>(Figure N</w:t>
      </w:r>
      <w:r w:rsidR="00A53BC1">
        <w:rPr>
          <w:rFonts w:ascii="Cambria" w:eastAsia="Times New Roman" w:hAnsi="Cambria" w:cs="Times New Roman"/>
          <w:lang w:eastAsia="en-GB"/>
        </w:rPr>
        <w:t>3</w:t>
      </w:r>
      <w:r w:rsidRPr="00FD1F56">
        <w:rPr>
          <w:rFonts w:ascii="Cambria" w:eastAsia="Times New Roman" w:hAnsi="Cambria" w:cs="Times New Roman"/>
          <w:lang w:eastAsia="en-GB"/>
        </w:rPr>
        <w:t xml:space="preserve">). </w:t>
      </w:r>
    </w:p>
    <w:p w14:paraId="341B9799" w14:textId="77777777" w:rsidR="001C35E2" w:rsidRPr="001C35E2" w:rsidRDefault="001C35E2" w:rsidP="000742AD">
      <w:pPr>
        <w:pStyle w:val="NormalWeb"/>
        <w:shd w:val="clear" w:color="auto" w:fill="FFFFFF"/>
        <w:spacing w:after="0" w:line="360" w:lineRule="auto"/>
        <w:jc w:val="center"/>
        <w:rPr>
          <w:rFonts w:ascii="Cambria" w:hAnsi="Cambria"/>
          <w:color w:val="1F4E79" w:themeColor="accent5" w:themeShade="80"/>
          <w:sz w:val="22"/>
          <w:szCs w:val="22"/>
          <w:shd w:val="clear" w:color="auto" w:fill="FFFFFF"/>
          <w:lang w:val="en-GB"/>
        </w:rPr>
      </w:pPr>
    </w:p>
    <w:p w14:paraId="0BF0649D" w14:textId="77777777" w:rsidR="001C35E2" w:rsidRPr="001C35E2" w:rsidRDefault="001C35E2" w:rsidP="001C35E2">
      <w:pPr>
        <w:pStyle w:val="NormalWeb"/>
        <w:shd w:val="clear" w:color="auto" w:fill="FFFFFF"/>
        <w:spacing w:after="0" w:line="360" w:lineRule="auto"/>
        <w:jc w:val="center"/>
        <w:rPr>
          <w:rFonts w:ascii="Cambria" w:hAnsi="Cambria"/>
          <w:color w:val="1F4E79" w:themeColor="accent5" w:themeShade="80"/>
          <w:sz w:val="22"/>
          <w:szCs w:val="22"/>
          <w:shd w:val="clear" w:color="auto" w:fill="FFFFFF"/>
          <w:lang w:val="en-GB"/>
        </w:rPr>
      </w:pPr>
    </w:p>
    <w:p w14:paraId="4D4CEB33" w14:textId="77777777" w:rsidR="001C35E2" w:rsidRPr="001C35E2" w:rsidRDefault="001C35E2" w:rsidP="001C35E2">
      <w:pPr>
        <w:pStyle w:val="NormalWeb"/>
        <w:shd w:val="clear" w:color="auto" w:fill="FFFFFF"/>
        <w:spacing w:after="0" w:line="360" w:lineRule="auto"/>
        <w:jc w:val="center"/>
        <w:rPr>
          <w:rFonts w:ascii="Cambria" w:hAnsi="Cambria"/>
          <w:color w:val="000000" w:themeColor="text1"/>
          <w:sz w:val="22"/>
          <w:szCs w:val="22"/>
          <w:shd w:val="clear" w:color="auto" w:fill="FFFFFF"/>
          <w:lang w:val="en-GB"/>
        </w:rPr>
      </w:pPr>
      <w:r w:rsidRPr="001C35E2">
        <w:rPr>
          <w:rFonts w:ascii="Cambria" w:hAnsi="Cambria"/>
          <w:noProof/>
          <w:color w:val="000000" w:themeColor="text1"/>
          <w:sz w:val="22"/>
          <w:szCs w:val="22"/>
          <w:lang w:val="en-GB"/>
          <w14:ligatures w14:val="standardContextual"/>
        </w:rPr>
        <w:drawing>
          <wp:inline distT="0" distB="0" distL="0" distR="0" wp14:anchorId="4F96A91E" wp14:editId="61E2BE1C">
            <wp:extent cx="2526827" cy="1204111"/>
            <wp:effectExtent l="0" t="0" r="635" b="2540"/>
            <wp:docPr id="1635254442" name="Picture 2"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54108" name="Picture 2" descr="A graph with numbers and lines&#10;&#10;Description automatically generated"/>
                    <pic:cNvPicPr/>
                  </pic:nvPicPr>
                  <pic:blipFill rotWithShape="1">
                    <a:blip r:embed="rId10">
                      <a:extLst>
                        <a:ext uri="{28A0092B-C50C-407E-A947-70E740481C1C}">
                          <a14:useLocalDpi xmlns:a14="http://schemas.microsoft.com/office/drawing/2010/main" val="0"/>
                        </a:ext>
                      </a:extLst>
                    </a:blip>
                    <a:srcRect t="31745" b="31212"/>
                    <a:stretch/>
                  </pic:blipFill>
                  <pic:spPr bwMode="auto">
                    <a:xfrm>
                      <a:off x="0" y="0"/>
                      <a:ext cx="2527300" cy="1204336"/>
                    </a:xfrm>
                    <a:prstGeom prst="rect">
                      <a:avLst/>
                    </a:prstGeom>
                    <a:ln>
                      <a:noFill/>
                    </a:ln>
                    <a:extLst>
                      <a:ext uri="{53640926-AAD7-44D8-BBD7-CCE9431645EC}">
                        <a14:shadowObscured xmlns:a14="http://schemas.microsoft.com/office/drawing/2010/main"/>
                      </a:ext>
                    </a:extLst>
                  </pic:spPr>
                </pic:pic>
              </a:graphicData>
            </a:graphic>
          </wp:inline>
        </w:drawing>
      </w:r>
    </w:p>
    <w:p w14:paraId="1AE7F45F" w14:textId="77777777" w:rsidR="001C35E2" w:rsidRPr="001C35E2" w:rsidRDefault="001C35E2" w:rsidP="001C35E2">
      <w:pPr>
        <w:pStyle w:val="NormalWeb"/>
        <w:shd w:val="clear" w:color="auto" w:fill="FFFFFF"/>
        <w:spacing w:after="0"/>
        <w:jc w:val="center"/>
        <w:rPr>
          <w:rFonts w:ascii="Cambria" w:hAnsi="Cambria" w:cs="Calibri"/>
          <w:i/>
          <w:iCs/>
          <w:color w:val="000000" w:themeColor="text1"/>
          <w:sz w:val="22"/>
          <w:szCs w:val="22"/>
          <w:lang w:val="en-GB"/>
        </w:rPr>
      </w:pPr>
      <w:r w:rsidRPr="001C35E2">
        <w:rPr>
          <w:rFonts w:ascii="Cambria" w:hAnsi="Cambria" w:cs="Calibri"/>
          <w:i/>
          <w:iCs/>
          <w:color w:val="000000" w:themeColor="text1"/>
          <w:sz w:val="22"/>
          <w:szCs w:val="22"/>
          <w:lang w:val="en-GB"/>
        </w:rPr>
        <w:t>Figure N3. The association of the variants with known function on levels of vitamin-D during pregnancy in the ALSPAC cohort.</w:t>
      </w:r>
    </w:p>
    <w:p w14:paraId="381B5749" w14:textId="77777777" w:rsidR="001C35E2" w:rsidRPr="00A57A46" w:rsidRDefault="001C35E2" w:rsidP="000742AD">
      <w:pPr>
        <w:pStyle w:val="NormalWeb"/>
        <w:shd w:val="clear" w:color="auto" w:fill="FFFFFF"/>
        <w:spacing w:after="0" w:line="360" w:lineRule="auto"/>
        <w:jc w:val="center"/>
        <w:rPr>
          <w:rFonts w:ascii="Cambria" w:hAnsi="Cambria"/>
          <w:color w:val="1F4E79" w:themeColor="accent5" w:themeShade="80"/>
          <w:sz w:val="22"/>
          <w:szCs w:val="22"/>
          <w:shd w:val="clear" w:color="auto" w:fill="FFFFFF"/>
          <w:lang w:val="en-GB"/>
        </w:rPr>
      </w:pPr>
    </w:p>
    <w:p w14:paraId="23CC8CC5" w14:textId="77777777" w:rsidR="000742AD" w:rsidRPr="001C35E2" w:rsidRDefault="000742AD" w:rsidP="00774BED">
      <w:pPr>
        <w:pStyle w:val="NormalWeb"/>
        <w:shd w:val="clear" w:color="auto" w:fill="FFFFFF"/>
        <w:spacing w:after="0"/>
        <w:jc w:val="center"/>
        <w:rPr>
          <w:rFonts w:ascii="Cambria" w:hAnsi="Cambria" w:cs="Calibri"/>
          <w:i/>
          <w:iCs/>
          <w:color w:val="000000" w:themeColor="text1"/>
          <w:sz w:val="22"/>
          <w:szCs w:val="22"/>
          <w:lang w:val="en-GB"/>
        </w:rPr>
      </w:pPr>
    </w:p>
    <w:p w14:paraId="156C8E90" w14:textId="77777777" w:rsidR="00B365D4" w:rsidRPr="001C35E2" w:rsidRDefault="00B365D4" w:rsidP="00F5610C">
      <w:pPr>
        <w:pStyle w:val="NormalWeb"/>
        <w:shd w:val="clear" w:color="auto" w:fill="FFFFFF"/>
        <w:spacing w:after="0"/>
        <w:rPr>
          <w:rFonts w:ascii="Cambria" w:hAnsi="Cambria" w:cs="Calibri"/>
          <w:b/>
          <w:bCs/>
          <w:color w:val="000000" w:themeColor="text1"/>
          <w:sz w:val="22"/>
          <w:szCs w:val="22"/>
          <w:lang w:val="en-GB"/>
        </w:rPr>
      </w:pPr>
    </w:p>
    <w:p w14:paraId="25C9C4B9" w14:textId="77777777" w:rsidR="000C0EB5" w:rsidRPr="001C35E2" w:rsidRDefault="000C0EB5" w:rsidP="00F5610C">
      <w:pPr>
        <w:pStyle w:val="NormalWeb"/>
        <w:shd w:val="clear" w:color="auto" w:fill="FFFFFF"/>
        <w:spacing w:after="0"/>
        <w:rPr>
          <w:rFonts w:ascii="Cambria" w:hAnsi="Cambria" w:cs="Calibri"/>
          <w:b/>
          <w:bCs/>
          <w:color w:val="000000" w:themeColor="text1"/>
          <w:sz w:val="22"/>
          <w:szCs w:val="22"/>
          <w:lang w:val="en-GB"/>
        </w:rPr>
      </w:pPr>
    </w:p>
    <w:p w14:paraId="259F3672" w14:textId="77777777" w:rsidR="00F2666A" w:rsidRPr="001C35E2" w:rsidRDefault="00F2666A">
      <w:pPr>
        <w:rPr>
          <w:rFonts w:ascii="Cambria" w:hAnsi="Cambria"/>
          <w:b/>
          <w:bCs/>
        </w:rPr>
      </w:pPr>
      <w:r w:rsidRPr="001C35E2">
        <w:rPr>
          <w:rFonts w:ascii="Cambria" w:hAnsi="Cambria"/>
          <w:b/>
          <w:bCs/>
        </w:rPr>
        <w:br w:type="page"/>
      </w:r>
    </w:p>
    <w:p w14:paraId="06FE8DE0" w14:textId="310B9D53" w:rsidR="00F2666A" w:rsidRPr="001C35E2" w:rsidRDefault="00F2666A" w:rsidP="00F2666A">
      <w:pPr>
        <w:rPr>
          <w:rFonts w:ascii="Cambria" w:hAnsi="Cambria"/>
          <w:b/>
          <w:bCs/>
        </w:rPr>
      </w:pPr>
      <w:r w:rsidRPr="001C35E2">
        <w:rPr>
          <w:rFonts w:ascii="Cambria" w:hAnsi="Cambria"/>
          <w:b/>
          <w:bCs/>
        </w:rPr>
        <w:lastRenderedPageBreak/>
        <w:t>Note 3. Outcome measures of neurodevelopmental traits in the MoBa cohort</w:t>
      </w:r>
    </w:p>
    <w:p w14:paraId="6E958378" w14:textId="77777777" w:rsidR="00F2666A" w:rsidRPr="001C35E2" w:rsidRDefault="00F2666A" w:rsidP="00F2666A">
      <w:pPr>
        <w:rPr>
          <w:rFonts w:ascii="Cambria" w:eastAsia="Times New Roman" w:hAnsi="Cambria" w:cs="Times New Roman"/>
          <w:b/>
          <w:bCs/>
          <w:lang w:eastAsia="en-GB"/>
        </w:rPr>
      </w:pPr>
    </w:p>
    <w:p w14:paraId="78E17C2A" w14:textId="77777777" w:rsidR="00F2666A" w:rsidRPr="001C35E2" w:rsidRDefault="00F2666A" w:rsidP="00F2666A">
      <w:pPr>
        <w:rPr>
          <w:rFonts w:ascii="Cambria" w:hAnsi="Cambria" w:cs="Arial"/>
          <w:color w:val="C00000"/>
          <w:sz w:val="22"/>
          <w:szCs w:val="22"/>
        </w:rPr>
      </w:pPr>
      <w:r w:rsidRPr="001C35E2">
        <w:rPr>
          <w:rFonts w:ascii="Cambria" w:hAnsi="Cambria" w:cs="Arial"/>
          <w:color w:val="000000" w:themeColor="text1"/>
          <w:sz w:val="22"/>
          <w:szCs w:val="22"/>
        </w:rPr>
        <w:t xml:space="preserve">We focused on clinically relevant measures of language delay, motor delay, autistic traits (social communication and restricted, inflexible behaviours) and ADHD traits (inattention and hyperactivity), which were available self-reported by the mothers at child ages 3, 5 and 8 years. </w:t>
      </w:r>
    </w:p>
    <w:p w14:paraId="7D6554E9" w14:textId="77777777" w:rsidR="00F2666A" w:rsidRPr="001C35E2" w:rsidRDefault="00F2666A" w:rsidP="00F2666A">
      <w:pPr>
        <w:rPr>
          <w:rFonts w:ascii="Cambria" w:hAnsi="Cambria" w:cs="Arial"/>
          <w:i/>
          <w:iCs/>
          <w:color w:val="000000" w:themeColor="text1"/>
          <w:sz w:val="22"/>
          <w:szCs w:val="22"/>
        </w:rPr>
      </w:pPr>
    </w:p>
    <w:p w14:paraId="33776003" w14:textId="097E6E9B" w:rsidR="00F2666A" w:rsidRPr="001C35E2" w:rsidRDefault="00F2666A" w:rsidP="00F2666A">
      <w:pPr>
        <w:rPr>
          <w:rFonts w:ascii="Cambria" w:hAnsi="Cambria" w:cs="Arial"/>
          <w:color w:val="000000" w:themeColor="text1"/>
          <w:sz w:val="22"/>
          <w:szCs w:val="22"/>
        </w:rPr>
      </w:pPr>
      <w:r w:rsidRPr="001C35E2">
        <w:rPr>
          <w:rFonts w:ascii="Cambria" w:hAnsi="Cambria" w:cs="Arial"/>
          <w:i/>
          <w:iCs/>
          <w:color w:val="000000" w:themeColor="text1"/>
          <w:sz w:val="22"/>
          <w:szCs w:val="22"/>
        </w:rPr>
        <w:t xml:space="preserve">ADHD traits </w:t>
      </w:r>
      <w:r w:rsidRPr="001C35E2">
        <w:rPr>
          <w:rFonts w:ascii="Cambria" w:hAnsi="Cambria" w:cs="Arial"/>
          <w:color w:val="000000" w:themeColor="text1"/>
          <w:sz w:val="22"/>
          <w:szCs w:val="22"/>
        </w:rPr>
        <w:t>were assessed using two scales: the Child-Behaviour Checklist (CBCL) at 3 and 5 years</w:t>
      </w:r>
      <w:r w:rsidR="0000654D" w:rsidRPr="001C35E2">
        <w:rPr>
          <w:rFonts w:ascii="Cambria" w:hAnsi="Cambria" w:cs="Arial"/>
          <w:color w:val="000000" w:themeColor="text1"/>
          <w:sz w:val="22"/>
          <w:szCs w:val="22"/>
        </w:rPr>
        <w:t xml:space="preserve"> </w:t>
      </w:r>
      <w:r w:rsidRPr="001C35E2">
        <w:rPr>
          <w:rFonts w:ascii="Cambria" w:hAnsi="Cambria" w:cs="Arial"/>
          <w:color w:val="000000" w:themeColor="text1"/>
          <w:sz w:val="22"/>
          <w:szCs w:val="22"/>
        </w:rPr>
        <w:fldChar w:fldCharType="begin"/>
      </w:r>
      <w:r w:rsidR="00713FAA" w:rsidRPr="001C35E2">
        <w:rPr>
          <w:rFonts w:ascii="Cambria" w:hAnsi="Cambria" w:cs="Arial"/>
          <w:color w:val="000000" w:themeColor="text1"/>
          <w:sz w:val="22"/>
          <w:szCs w:val="22"/>
        </w:rPr>
        <w:instrText xml:space="preserve"> ADDIN ZOTERO_ITEM CSL_CITATION {"citationID":"anr57nm2s8","properties":{"formattedCitation":"(Achenbach &amp; Edelbrock, 1983)","plainCitation":"(Achenbach &amp; Edelbrock, 1983)","noteIndex":0},"citationItems":[{"id":143,"uris":["http://zotero.org/users/5402137/items/XV2XIZC5"],"itemData":{"id":143,"type":"article-journal","page":"393-405","title":"Manual for the child behaviour checklist and revised child behaviour profile.","author":[{"family":"Achenbach","given":"T. M."},{"family":"Edelbrock","given":"C. S."}],"issued":{"date-parts":[["1983"]]}}}],"schema":"https://github.com/citation-style-language/schema/raw/master/csl-citation.json"} </w:instrText>
      </w:r>
      <w:r w:rsidRPr="001C35E2">
        <w:rPr>
          <w:rFonts w:ascii="Cambria" w:hAnsi="Cambria" w:cs="Arial"/>
          <w:color w:val="000000" w:themeColor="text1"/>
          <w:sz w:val="22"/>
          <w:szCs w:val="22"/>
        </w:rPr>
        <w:fldChar w:fldCharType="separate"/>
      </w:r>
      <w:r w:rsidR="0062285E" w:rsidRPr="001C35E2">
        <w:rPr>
          <w:rFonts w:ascii="Cambria" w:hAnsi="Cambria" w:cs="Times New Roman"/>
          <w:color w:val="000000"/>
          <w:sz w:val="22"/>
        </w:rPr>
        <w:t>(Achenbach &amp; Edelbrock, 1983)</w:t>
      </w:r>
      <w:r w:rsidRPr="001C35E2">
        <w:rPr>
          <w:rFonts w:ascii="Cambria" w:hAnsi="Cambria" w:cs="Arial"/>
          <w:color w:val="000000" w:themeColor="text1"/>
          <w:sz w:val="22"/>
          <w:szCs w:val="22"/>
        </w:rPr>
        <w:fldChar w:fldCharType="end"/>
      </w:r>
      <w:r w:rsidRPr="001C35E2">
        <w:rPr>
          <w:rFonts w:ascii="Cambria" w:hAnsi="Cambria" w:cs="Arial"/>
          <w:color w:val="000000" w:themeColor="text1"/>
          <w:sz w:val="22"/>
          <w:szCs w:val="22"/>
        </w:rPr>
        <w:t>, and the Disruptive Behaviour Disorder Rating Scale (RS-DBD)</w:t>
      </w:r>
      <w:r w:rsidR="0000654D" w:rsidRPr="001C35E2">
        <w:rPr>
          <w:rFonts w:ascii="Cambria" w:hAnsi="Cambria" w:cs="Arial"/>
          <w:color w:val="000000" w:themeColor="text1"/>
          <w:sz w:val="22"/>
          <w:szCs w:val="22"/>
        </w:rPr>
        <w:t xml:space="preserve"> </w:t>
      </w:r>
      <w:r w:rsidRPr="001C35E2">
        <w:rPr>
          <w:rFonts w:ascii="Cambria" w:hAnsi="Cambria" w:cs="Arial"/>
          <w:color w:val="000000" w:themeColor="text1"/>
          <w:sz w:val="22"/>
          <w:szCs w:val="22"/>
        </w:rPr>
        <w:fldChar w:fldCharType="begin"/>
      </w:r>
      <w:r w:rsidR="00713FAA" w:rsidRPr="001C35E2">
        <w:rPr>
          <w:rFonts w:ascii="Cambria" w:hAnsi="Cambria" w:cs="Arial"/>
          <w:color w:val="000000" w:themeColor="text1"/>
          <w:sz w:val="22"/>
          <w:szCs w:val="22"/>
        </w:rPr>
        <w:instrText xml:space="preserve"> ADDIN ZOTERO_ITEM CSL_CITATION {"citationID":"atu9k2n4ja","properties":{"formattedCitation":"(Silva et al., 2005)","plainCitation":"(Silva et al., 2005)","noteIndex":0},"citationItems":[{"id":3591,"uris":["http://zotero.org/users/5402137/items/KWT2T4UP"],"itemData":{"id":3591,"type":"article-journal","abstract":"DSM IV includes three clusters of items that are used to establish diagnoses for the Disruptive Behavior Disorders: Attention Deficit, Conduct, and Oppositional Defiant. In this report, we examine the feasibility of using the items in each cluster to form a rating scale. We studied eighty-four consecutive school-aged referrals to an inner-city child and adolescent Psychiatry clinic. Case diagnosis was established with a clinician's KID-SCID assessment. Parents and teachers rated the 41 DSM items on four-point scales, and completed the Conners' Rating Scales, in English or Spanish. In this paper we report psychometrics of the new scale, the Rating Scale for Disruptive Behavior Disorders (RS-DBD), along with the agreement among parents and teachers, and concurrence between the new scales and the relevant Conners' scales. While, the parent and teacher ratings may provide a useful index for severity of behavioral disturbance in the home and school environments, it will not establish a diagnosis. There was a great deal of comorbidity among diagnostic groups.","container-title":"The Psychiatric Quarterly","DOI":"10.1007/s11126-005-4966-x","ISSN":"0033-2720","issue":"4","journalAbbreviation":"Psychiatr Q","language":"eng","note":"PMID: 16217627","page":"327-339","source":"PubMed","title":"A rating scale for disruptive behavior disorders, based on the DSM-IV item pool","volume":"76","author":[{"family":"Silva","given":"Raul R."},{"family":"Alpert","given":"Murray"},{"family":"Pouget","given":"Enrique"},{"family":"Silva","given":"Victoria"},{"family":"Trosper","given":"Sarah"},{"family":"Reyes","given":"Kimberly"},{"family":"Dummit","given":"Steven"}],"issued":{"date-parts":[["2005"]]}}}],"schema":"https://github.com/citation-style-language/schema/raw/master/csl-citation.json"} </w:instrText>
      </w:r>
      <w:r w:rsidRPr="001C35E2">
        <w:rPr>
          <w:rFonts w:ascii="Cambria" w:hAnsi="Cambria" w:cs="Arial"/>
          <w:color w:val="000000" w:themeColor="text1"/>
          <w:sz w:val="22"/>
          <w:szCs w:val="22"/>
        </w:rPr>
        <w:fldChar w:fldCharType="separate"/>
      </w:r>
      <w:r w:rsidR="0062285E" w:rsidRPr="001C35E2">
        <w:rPr>
          <w:rFonts w:ascii="Cambria" w:hAnsi="Cambria" w:cs="Times New Roman"/>
          <w:color w:val="000000"/>
          <w:sz w:val="22"/>
        </w:rPr>
        <w:t>(Silva et al., 2005)</w:t>
      </w:r>
      <w:r w:rsidRPr="001C35E2">
        <w:rPr>
          <w:rFonts w:ascii="Cambria" w:hAnsi="Cambria" w:cs="Arial"/>
          <w:color w:val="000000" w:themeColor="text1"/>
          <w:sz w:val="22"/>
          <w:szCs w:val="22"/>
        </w:rPr>
        <w:fldChar w:fldCharType="end"/>
      </w:r>
      <w:r w:rsidRPr="001C35E2">
        <w:rPr>
          <w:rFonts w:ascii="Cambria" w:hAnsi="Cambria" w:cs="Arial"/>
          <w:color w:val="000000" w:themeColor="text1"/>
          <w:sz w:val="22"/>
          <w:szCs w:val="22"/>
        </w:rPr>
        <w:t xml:space="preserve"> at 8 years. A reduced version of the CBCL was used, comprising 3 inattention items and 2 hyperactivity items at age 3 and comprising 2 inattention items and 4 hyperactivity items at age 5. Responses were on a three-point scale rated 1- Rarely/never, 2- Sometimes and 3- Often/typical</w:t>
      </w:r>
      <w:r w:rsidR="0000654D" w:rsidRPr="001C35E2">
        <w:rPr>
          <w:rFonts w:ascii="Cambria" w:hAnsi="Cambria" w:cs="Arial"/>
          <w:color w:val="000000" w:themeColor="text1"/>
          <w:sz w:val="22"/>
          <w:szCs w:val="22"/>
        </w:rPr>
        <w:t xml:space="preserve"> </w:t>
      </w:r>
      <w:r w:rsidRPr="001C35E2">
        <w:rPr>
          <w:rFonts w:ascii="Cambria" w:hAnsi="Cambria" w:cs="Arial"/>
          <w:color w:val="000000" w:themeColor="text1"/>
          <w:sz w:val="22"/>
          <w:szCs w:val="22"/>
        </w:rPr>
        <w:fldChar w:fldCharType="begin"/>
      </w:r>
      <w:r w:rsidR="00713FAA" w:rsidRPr="001C35E2">
        <w:rPr>
          <w:rFonts w:ascii="Cambria" w:hAnsi="Cambria" w:cs="Arial"/>
          <w:color w:val="000000" w:themeColor="text1"/>
          <w:sz w:val="22"/>
          <w:szCs w:val="22"/>
        </w:rPr>
        <w:instrText xml:space="preserve"> ADDIN ZOTERO_ITEM CSL_CITATION {"citationID":"a67b4mhte7","properties":{"formattedCitation":"(Achenbach &amp; Edelbrock, 1983)","plainCitation":"(Achenbach &amp; Edelbrock, 1983)","noteIndex":0},"citationItems":[{"id":143,"uris":["http://zotero.org/users/5402137/items/XV2XIZC5"],"itemData":{"id":143,"type":"article-journal","page":"393-405","title":"Manual for the child behaviour checklist and revised child behaviour profile.","author":[{"family":"Achenbach","given":"T. M."},{"family":"Edelbrock","given":"C. S."}],"issued":{"date-parts":[["1983"]]}}}],"schema":"https://github.com/citation-style-language/schema/raw/master/csl-citation.json"} </w:instrText>
      </w:r>
      <w:r w:rsidRPr="001C35E2">
        <w:rPr>
          <w:rFonts w:ascii="Cambria" w:hAnsi="Cambria" w:cs="Arial"/>
          <w:color w:val="000000" w:themeColor="text1"/>
          <w:sz w:val="22"/>
          <w:szCs w:val="22"/>
        </w:rPr>
        <w:fldChar w:fldCharType="separate"/>
      </w:r>
      <w:r w:rsidR="0062285E" w:rsidRPr="001C35E2">
        <w:rPr>
          <w:rFonts w:ascii="Cambria" w:hAnsi="Cambria" w:cs="Times New Roman"/>
          <w:color w:val="000000"/>
          <w:sz w:val="22"/>
        </w:rPr>
        <w:t>(Achenbach &amp; Edelbrock, 1983)</w:t>
      </w:r>
      <w:r w:rsidRPr="001C35E2">
        <w:rPr>
          <w:rFonts w:ascii="Cambria" w:hAnsi="Cambria" w:cs="Arial"/>
          <w:color w:val="000000" w:themeColor="text1"/>
          <w:sz w:val="22"/>
          <w:szCs w:val="22"/>
        </w:rPr>
        <w:fldChar w:fldCharType="end"/>
      </w:r>
      <w:r w:rsidRPr="001C35E2">
        <w:rPr>
          <w:rFonts w:ascii="Cambria" w:hAnsi="Cambria" w:cs="Arial"/>
          <w:color w:val="000000" w:themeColor="text1"/>
          <w:sz w:val="22"/>
          <w:szCs w:val="22"/>
        </w:rPr>
        <w:t>. At age 3, CBCL items were supplemented with additional items from the DSM (4</w:t>
      </w:r>
      <w:r w:rsidRPr="001C35E2">
        <w:rPr>
          <w:rFonts w:ascii="Cambria" w:hAnsi="Cambria" w:cs="Arial"/>
          <w:color w:val="000000" w:themeColor="text1"/>
          <w:sz w:val="22"/>
          <w:szCs w:val="22"/>
          <w:vertAlign w:val="superscript"/>
        </w:rPr>
        <w:t>th</w:t>
      </w:r>
      <w:r w:rsidRPr="001C35E2">
        <w:rPr>
          <w:rFonts w:ascii="Cambria" w:hAnsi="Cambria" w:cs="Arial"/>
          <w:color w:val="000000" w:themeColor="text1"/>
          <w:sz w:val="22"/>
          <w:szCs w:val="22"/>
        </w:rPr>
        <w:t xml:space="preserve"> edition) giving a total of 5 inattention items and 6 for hyperactivity</w:t>
      </w:r>
      <w:r w:rsidR="0000654D" w:rsidRPr="001C35E2">
        <w:rPr>
          <w:rFonts w:ascii="Cambria" w:hAnsi="Cambria" w:cs="Arial"/>
          <w:color w:val="000000" w:themeColor="text1"/>
          <w:sz w:val="22"/>
          <w:szCs w:val="22"/>
        </w:rPr>
        <w:t xml:space="preserve"> </w:t>
      </w:r>
      <w:r w:rsidRPr="001C35E2">
        <w:rPr>
          <w:rFonts w:ascii="Cambria" w:hAnsi="Cambria" w:cs="Arial"/>
          <w:color w:val="000000" w:themeColor="text1"/>
          <w:sz w:val="22"/>
          <w:szCs w:val="22"/>
        </w:rPr>
        <w:fldChar w:fldCharType="begin"/>
      </w:r>
      <w:r w:rsidR="00713FAA" w:rsidRPr="001C35E2">
        <w:rPr>
          <w:rFonts w:ascii="Cambria" w:hAnsi="Cambria" w:cs="Arial"/>
          <w:color w:val="000000" w:themeColor="text1"/>
          <w:sz w:val="22"/>
          <w:szCs w:val="22"/>
        </w:rPr>
        <w:instrText xml:space="preserve"> ADDIN ZOTERO_ITEM CSL_CITATION {"citationID":"a188djnq4pf","properties":{"formattedCitation":"(American Psychiatric Association, 1980)","plainCitation":"(American Psychiatric Association, 1980)","noteIndex":0},"citationItems":[{"id":3691,"uris":["http://zotero.org/users/5402137/items/BY8B8YL6"],"itemData":{"id":3691,"type":"book","publisher":"American Psychiatric Association Washington, DC","source":"Google Scholar","title":"Diagnostic and statistical manual of mental disorders","volume":"3","author":[{"family":"American Psychiatric Association","given":"A."}],"issued":{"date-parts":[["1980"]]}}}],"schema":"https://github.com/citation-style-language/schema/raw/master/csl-citation.json"} </w:instrText>
      </w:r>
      <w:r w:rsidRPr="001C35E2">
        <w:rPr>
          <w:rFonts w:ascii="Cambria" w:hAnsi="Cambria" w:cs="Arial"/>
          <w:color w:val="000000" w:themeColor="text1"/>
          <w:sz w:val="22"/>
          <w:szCs w:val="22"/>
        </w:rPr>
        <w:fldChar w:fldCharType="separate"/>
      </w:r>
      <w:r w:rsidR="0062285E" w:rsidRPr="001C35E2">
        <w:rPr>
          <w:rFonts w:ascii="Cambria" w:hAnsi="Cambria" w:cs="Times New Roman"/>
          <w:color w:val="000000"/>
          <w:sz w:val="22"/>
        </w:rPr>
        <w:t>(American Psychiatric Association, 1980)</w:t>
      </w:r>
      <w:r w:rsidRPr="001C35E2">
        <w:rPr>
          <w:rFonts w:ascii="Cambria" w:hAnsi="Cambria" w:cs="Arial"/>
          <w:color w:val="000000" w:themeColor="text1"/>
          <w:sz w:val="22"/>
          <w:szCs w:val="22"/>
        </w:rPr>
        <w:fldChar w:fldCharType="end"/>
      </w:r>
      <w:r w:rsidRPr="001C35E2">
        <w:rPr>
          <w:rFonts w:ascii="Cambria" w:hAnsi="Cambria" w:cs="Arial"/>
          <w:color w:val="000000" w:themeColor="text1"/>
          <w:sz w:val="22"/>
          <w:szCs w:val="22"/>
        </w:rPr>
        <w:t>. The RS-DBD at age 8 consisted of 18 items related to ADHD (9 hyperactivity, 9 inattention). Each item is rated on a four-point scale from 1-never/rarely to 4-very often</w:t>
      </w:r>
      <w:r w:rsidR="0000654D" w:rsidRPr="001C35E2">
        <w:rPr>
          <w:rFonts w:ascii="Cambria" w:hAnsi="Cambria" w:cs="Arial"/>
          <w:color w:val="000000" w:themeColor="text1"/>
          <w:sz w:val="22"/>
          <w:szCs w:val="22"/>
        </w:rPr>
        <w:t xml:space="preserve"> </w:t>
      </w:r>
      <w:r w:rsidRPr="001C35E2">
        <w:rPr>
          <w:rFonts w:ascii="Cambria" w:hAnsi="Cambria" w:cs="Arial"/>
          <w:color w:val="000000" w:themeColor="text1"/>
          <w:sz w:val="22"/>
          <w:szCs w:val="22"/>
        </w:rPr>
        <w:fldChar w:fldCharType="begin"/>
      </w:r>
      <w:r w:rsidR="00713FAA" w:rsidRPr="001C35E2">
        <w:rPr>
          <w:rFonts w:ascii="Cambria" w:hAnsi="Cambria" w:cs="Arial"/>
          <w:color w:val="000000" w:themeColor="text1"/>
          <w:sz w:val="22"/>
          <w:szCs w:val="22"/>
        </w:rPr>
        <w:instrText xml:space="preserve"> ADDIN ZOTERO_ITEM CSL_CITATION {"citationID":"agdcoktoo4","properties":{"formattedCitation":"(Silva et al., 2005)","plainCitation":"(Silva et al., 2005)","noteIndex":0},"citationItems":[{"id":3591,"uris":["http://zotero.org/users/5402137/items/KWT2T4UP"],"itemData":{"id":3591,"type":"article-journal","abstract":"DSM IV includes three clusters of items that are used to establish diagnoses for the Disruptive Behavior Disorders: Attention Deficit, Conduct, and Oppositional Defiant. In this report, we examine the feasibility of using the items in each cluster to form a rating scale. We studied eighty-four consecutive school-aged referrals to an inner-city child and adolescent Psychiatry clinic. Case diagnosis was established with a clinician's KID-SCID assessment. Parents and teachers rated the 41 DSM items on four-point scales, and completed the Conners' Rating Scales, in English or Spanish. In this paper we report psychometrics of the new scale, the Rating Scale for Disruptive Behavior Disorders (RS-DBD), along with the agreement among parents and teachers, and concurrence between the new scales and the relevant Conners' scales. While, the parent and teacher ratings may provide a useful index for severity of behavioral disturbance in the home and school environments, it will not establish a diagnosis. There was a great deal of comorbidity among diagnostic groups.","container-title":"The Psychiatric Quarterly","DOI":"10.1007/s11126-005-4966-x","ISSN":"0033-2720","issue":"4","journalAbbreviation":"Psychiatr Q","language":"eng","note":"PMID: 16217627","page":"327-339","source":"PubMed","title":"A rating scale for disruptive behavior disorders, based on the DSM-IV item pool","volume":"76","author":[{"family":"Silva","given":"Raul R."},{"family":"Alpert","given":"Murray"},{"family":"Pouget","given":"Enrique"},{"family":"Silva","given":"Victoria"},{"family":"Trosper","given":"Sarah"},{"family":"Reyes","given":"Kimberly"},{"family":"Dummit","given":"Steven"}],"issued":{"date-parts":[["2005"]]}}}],"schema":"https://github.com/citation-style-language/schema/raw/master/csl-citation.json"} </w:instrText>
      </w:r>
      <w:r w:rsidRPr="001C35E2">
        <w:rPr>
          <w:rFonts w:ascii="Cambria" w:hAnsi="Cambria" w:cs="Arial"/>
          <w:color w:val="000000" w:themeColor="text1"/>
          <w:sz w:val="22"/>
          <w:szCs w:val="22"/>
        </w:rPr>
        <w:fldChar w:fldCharType="separate"/>
      </w:r>
      <w:r w:rsidR="0062285E" w:rsidRPr="001C35E2">
        <w:rPr>
          <w:rFonts w:ascii="Cambria" w:hAnsi="Cambria" w:cs="Times New Roman"/>
          <w:color w:val="000000"/>
          <w:sz w:val="22"/>
        </w:rPr>
        <w:t>(Silva et al., 2005)</w:t>
      </w:r>
      <w:r w:rsidRPr="001C35E2">
        <w:rPr>
          <w:rFonts w:ascii="Cambria" w:hAnsi="Cambria" w:cs="Arial"/>
          <w:color w:val="000000" w:themeColor="text1"/>
          <w:sz w:val="22"/>
          <w:szCs w:val="22"/>
        </w:rPr>
        <w:fldChar w:fldCharType="end"/>
      </w:r>
      <w:r w:rsidRPr="001C35E2">
        <w:rPr>
          <w:rFonts w:ascii="Cambria" w:hAnsi="Cambria" w:cs="Arial"/>
          <w:color w:val="000000" w:themeColor="text1"/>
          <w:sz w:val="22"/>
          <w:szCs w:val="22"/>
        </w:rPr>
        <w:t>.</w:t>
      </w:r>
    </w:p>
    <w:p w14:paraId="05AB2630" w14:textId="77777777" w:rsidR="00F2666A" w:rsidRPr="001C35E2" w:rsidRDefault="00F2666A" w:rsidP="00F2666A">
      <w:pPr>
        <w:rPr>
          <w:rFonts w:ascii="Cambria" w:hAnsi="Cambria" w:cs="Arial"/>
          <w:i/>
          <w:iCs/>
          <w:color w:val="000000" w:themeColor="text1"/>
          <w:sz w:val="22"/>
          <w:szCs w:val="22"/>
        </w:rPr>
      </w:pPr>
    </w:p>
    <w:p w14:paraId="11E4C3C6" w14:textId="47E8BC86" w:rsidR="00F2666A" w:rsidRPr="001C35E2" w:rsidRDefault="00F2666A" w:rsidP="00F2666A">
      <w:pPr>
        <w:rPr>
          <w:rFonts w:ascii="Cambria" w:hAnsi="Cambria" w:cs="Arial"/>
          <w:color w:val="000000" w:themeColor="text1"/>
          <w:sz w:val="22"/>
          <w:szCs w:val="22"/>
        </w:rPr>
      </w:pPr>
      <w:r w:rsidRPr="001C35E2">
        <w:rPr>
          <w:rFonts w:ascii="Cambria" w:hAnsi="Cambria" w:cs="Arial"/>
          <w:i/>
          <w:iCs/>
          <w:color w:val="000000" w:themeColor="text1"/>
          <w:sz w:val="22"/>
          <w:szCs w:val="22"/>
        </w:rPr>
        <w:t xml:space="preserve">Autism traits </w:t>
      </w:r>
      <w:r w:rsidRPr="001C35E2">
        <w:rPr>
          <w:rFonts w:ascii="Cambria" w:hAnsi="Cambria" w:cs="Arial"/>
          <w:color w:val="000000" w:themeColor="text1"/>
          <w:sz w:val="22"/>
          <w:szCs w:val="22"/>
        </w:rPr>
        <w:t>were assessed using the Social Communication Questionnaire (SCQ) for language (7 items), social-communication deficits (22 items) and repetitive behaviours (11 items) at 3 and 8 years</w:t>
      </w:r>
      <w:r w:rsidR="006B19C0">
        <w:rPr>
          <w:rFonts w:ascii="Cambria" w:hAnsi="Cambria" w:cs="Arial"/>
          <w:color w:val="000000" w:themeColor="text1"/>
          <w:sz w:val="22"/>
          <w:szCs w:val="22"/>
        </w:rPr>
        <w:t xml:space="preserve"> </w:t>
      </w:r>
      <w:r w:rsidR="006B19C0">
        <w:rPr>
          <w:rFonts w:ascii="Cambria" w:hAnsi="Cambria" w:cs="Arial"/>
          <w:color w:val="000000" w:themeColor="text1"/>
          <w:sz w:val="22"/>
          <w:szCs w:val="22"/>
        </w:rPr>
        <w:fldChar w:fldCharType="begin"/>
      </w:r>
      <w:r w:rsidR="0056744D">
        <w:rPr>
          <w:rFonts w:ascii="Cambria" w:hAnsi="Cambria" w:cs="Arial"/>
          <w:color w:val="000000" w:themeColor="text1"/>
          <w:sz w:val="22"/>
          <w:szCs w:val="22"/>
        </w:rPr>
        <w:instrText xml:space="preserve"> ADDIN ZOTERO_ITEM CSL_CITATION {"citationID":"iapW3SFo","properties":{"formattedCitation":"(Rutter et al., 2003)","plainCitation":"(Rutter et al., 2003)","noteIndex":0},"citationItems":[{"id":4264,"uris":["http://zotero.org/users/5402137/items/IWKIKHNU"],"itemData":{"id":4264,"type":"article-journal","container-title":"The Social Communication Questionnaire. Torrance, CA: Western Psychological Services","source":"Google Scholar","title":"SCQ","URL":"http://conteudos.renartlivros.com.br/2P5900/Extracto%20del%20manual%20SCQ.pdf","author":[{"family":"Rutter","given":"Michael"},{"family":"Bailey","given":"A."},{"family":"Lord","given":"Catherine"}],"accessed":{"date-parts":[["2024",2,9]]},"issued":{"date-parts":[["2003"]]}}}],"schema":"https://github.com/citation-style-language/schema/raw/master/csl-citation.json"} </w:instrText>
      </w:r>
      <w:r w:rsidR="006B19C0">
        <w:rPr>
          <w:rFonts w:ascii="Cambria" w:hAnsi="Cambria" w:cs="Arial"/>
          <w:color w:val="000000" w:themeColor="text1"/>
          <w:sz w:val="22"/>
          <w:szCs w:val="22"/>
        </w:rPr>
        <w:fldChar w:fldCharType="separate"/>
      </w:r>
      <w:r w:rsidR="0056744D">
        <w:rPr>
          <w:rFonts w:ascii="Cambria" w:hAnsi="Cambria" w:cs="Arial"/>
          <w:noProof/>
          <w:color w:val="000000" w:themeColor="text1"/>
          <w:sz w:val="22"/>
          <w:szCs w:val="22"/>
        </w:rPr>
        <w:t>(Rutter et al., 2003)</w:t>
      </w:r>
      <w:r w:rsidR="006B19C0">
        <w:rPr>
          <w:rFonts w:ascii="Cambria" w:hAnsi="Cambria" w:cs="Arial"/>
          <w:color w:val="000000" w:themeColor="text1"/>
          <w:sz w:val="22"/>
          <w:szCs w:val="22"/>
        </w:rPr>
        <w:fldChar w:fldCharType="end"/>
      </w:r>
      <w:r w:rsidRPr="001C35E2">
        <w:rPr>
          <w:rFonts w:ascii="Cambria" w:hAnsi="Cambria" w:cs="Arial"/>
          <w:color w:val="000000" w:themeColor="text1"/>
          <w:sz w:val="22"/>
          <w:szCs w:val="22"/>
        </w:rPr>
        <w:t xml:space="preserve">. The SCQ is a 40-item questionnaire with yes/no responses. The first item determines whether or not the child is verbal, and the remaining 39 items are used to calculate total score. A total score above 15 indicates that the child is likely to be on the Autism Spectrum. </w:t>
      </w:r>
    </w:p>
    <w:p w14:paraId="10374F96" w14:textId="77777777" w:rsidR="00F2666A" w:rsidRPr="001C35E2" w:rsidRDefault="00F2666A" w:rsidP="00F2666A">
      <w:pPr>
        <w:rPr>
          <w:rFonts w:ascii="Cambria" w:hAnsi="Cambria" w:cs="Arial"/>
          <w:i/>
          <w:iCs/>
          <w:color w:val="000000" w:themeColor="text1"/>
          <w:sz w:val="22"/>
          <w:szCs w:val="22"/>
        </w:rPr>
      </w:pPr>
    </w:p>
    <w:p w14:paraId="34F4DA00" w14:textId="21F1257B" w:rsidR="00F2666A" w:rsidRPr="001C35E2" w:rsidRDefault="00F2666A" w:rsidP="00F2666A">
      <w:pPr>
        <w:rPr>
          <w:rFonts w:ascii="Cambria" w:hAnsi="Cambria" w:cs="Arial"/>
          <w:color w:val="000000" w:themeColor="text1"/>
          <w:sz w:val="22"/>
          <w:szCs w:val="22"/>
        </w:rPr>
      </w:pPr>
      <w:r w:rsidRPr="001C35E2">
        <w:rPr>
          <w:rFonts w:ascii="Cambria" w:hAnsi="Cambria" w:cs="Arial"/>
          <w:i/>
          <w:iCs/>
          <w:color w:val="000000" w:themeColor="text1"/>
          <w:sz w:val="22"/>
          <w:szCs w:val="22"/>
        </w:rPr>
        <w:t>Language delay</w:t>
      </w:r>
      <w:r w:rsidRPr="001C35E2">
        <w:rPr>
          <w:rFonts w:ascii="Cambria" w:hAnsi="Cambria" w:cs="Arial"/>
          <w:color w:val="000000" w:themeColor="text1"/>
          <w:sz w:val="22"/>
          <w:szCs w:val="22"/>
        </w:rPr>
        <w:t xml:space="preserve"> was measured using the Ages and Stages Questionnaire (ASQ) language items at ages 3 and 5 years</w:t>
      </w:r>
      <w:r w:rsidR="007648B5">
        <w:rPr>
          <w:rFonts w:ascii="Cambria" w:hAnsi="Cambria" w:cs="Arial"/>
          <w:color w:val="000000" w:themeColor="text1"/>
          <w:sz w:val="22"/>
          <w:szCs w:val="22"/>
        </w:rPr>
        <w:t xml:space="preserve"> </w:t>
      </w:r>
      <w:r w:rsidR="007648B5">
        <w:rPr>
          <w:rFonts w:ascii="Cambria" w:hAnsi="Cambria" w:cs="Arial"/>
          <w:color w:val="000000" w:themeColor="text1"/>
          <w:sz w:val="22"/>
          <w:szCs w:val="22"/>
        </w:rPr>
        <w:fldChar w:fldCharType="begin"/>
      </w:r>
      <w:r w:rsidR="004B6902">
        <w:rPr>
          <w:rFonts w:ascii="Cambria" w:hAnsi="Cambria" w:cs="Arial"/>
          <w:color w:val="000000" w:themeColor="text1"/>
          <w:sz w:val="22"/>
          <w:szCs w:val="22"/>
        </w:rPr>
        <w:instrText xml:space="preserve"> ADDIN ZOTERO_ITEM CSL_CITATION {"citationID":"qZ7gVKkg","properties":{"formattedCitation":"(Squires et al., 1995)","plainCitation":"(Squires et al., 1995)","noteIndex":0},"citationItems":[{"id":4266,"uris":["http://zotero.org/users/5402137/items/US9UFYGE"],"itemData":{"id":4266,"type":"book","publisher":"Paul H Brookes Publishing","source":"Google Scholar","title":"The ASQ user's guide for the Ages &amp; Stages Questionnaires: A parent-completed, child-monitoring system.","title-short":"The ASQ user's guide for the Ages &amp; Stages Questionnaires","URL":"https://psycnet.apa.org/record/1997-36683-000","author":[{"family":"Squires","given":"Jane"},{"family":"Potter","given":"LaWanda"},{"family":"Bricker","given":"Diane"}],"accessed":{"date-parts":[["2024",2,9]]},"issued":{"date-parts":[["1995"]]}}}],"schema":"https://github.com/citation-style-language/schema/raw/master/csl-citation.json"} </w:instrText>
      </w:r>
      <w:r w:rsidR="007648B5">
        <w:rPr>
          <w:rFonts w:ascii="Cambria" w:hAnsi="Cambria" w:cs="Arial"/>
          <w:color w:val="000000" w:themeColor="text1"/>
          <w:sz w:val="22"/>
          <w:szCs w:val="22"/>
        </w:rPr>
        <w:fldChar w:fldCharType="separate"/>
      </w:r>
      <w:r w:rsidR="004B6902">
        <w:rPr>
          <w:rFonts w:ascii="Cambria" w:hAnsi="Cambria" w:cs="Arial"/>
          <w:noProof/>
          <w:color w:val="000000" w:themeColor="text1"/>
          <w:sz w:val="22"/>
          <w:szCs w:val="22"/>
        </w:rPr>
        <w:t>(Squires et al., 1995)</w:t>
      </w:r>
      <w:r w:rsidR="007648B5">
        <w:rPr>
          <w:rFonts w:ascii="Cambria" w:hAnsi="Cambria" w:cs="Arial"/>
          <w:color w:val="000000" w:themeColor="text1"/>
          <w:sz w:val="22"/>
          <w:szCs w:val="22"/>
        </w:rPr>
        <w:fldChar w:fldCharType="end"/>
      </w:r>
      <w:r w:rsidRPr="001C35E2">
        <w:rPr>
          <w:rFonts w:ascii="Cambria" w:hAnsi="Cambria" w:cs="Arial"/>
          <w:color w:val="000000" w:themeColor="text1"/>
          <w:sz w:val="22"/>
          <w:szCs w:val="22"/>
        </w:rPr>
        <w:t xml:space="preserve">. The language scale included 6 items at age 3 years and 7 items at age 5 years rated as 1-Yes, 2-Sometimes, 3-Not yet. </w:t>
      </w:r>
    </w:p>
    <w:p w14:paraId="305C07CB" w14:textId="77777777" w:rsidR="00F2666A" w:rsidRPr="001C35E2" w:rsidRDefault="00F2666A" w:rsidP="00F2666A">
      <w:pPr>
        <w:rPr>
          <w:rFonts w:ascii="Cambria" w:hAnsi="Cambria" w:cs="Arial"/>
          <w:i/>
          <w:color w:val="000000" w:themeColor="text1"/>
          <w:sz w:val="22"/>
          <w:szCs w:val="22"/>
        </w:rPr>
      </w:pPr>
    </w:p>
    <w:p w14:paraId="55A3CFC3" w14:textId="77777777" w:rsidR="00F2666A" w:rsidRPr="001C35E2" w:rsidRDefault="00F2666A" w:rsidP="00F2666A">
      <w:pPr>
        <w:rPr>
          <w:rFonts w:ascii="Cambria" w:hAnsi="Cambria" w:cs="Arial"/>
          <w:color w:val="000000" w:themeColor="text1"/>
          <w:sz w:val="22"/>
          <w:szCs w:val="22"/>
        </w:rPr>
      </w:pPr>
      <w:r w:rsidRPr="001C35E2">
        <w:rPr>
          <w:rFonts w:ascii="Cambria" w:hAnsi="Cambria" w:cs="Arial"/>
          <w:i/>
          <w:color w:val="000000" w:themeColor="text1"/>
          <w:sz w:val="22"/>
          <w:szCs w:val="22"/>
        </w:rPr>
        <w:t xml:space="preserve">Motor delay </w:t>
      </w:r>
      <w:r w:rsidRPr="001C35E2">
        <w:rPr>
          <w:rFonts w:ascii="Cambria" w:hAnsi="Cambria" w:cs="Arial"/>
          <w:iCs/>
          <w:color w:val="000000" w:themeColor="text1"/>
          <w:sz w:val="22"/>
          <w:szCs w:val="22"/>
        </w:rPr>
        <w:t>was measured by t</w:t>
      </w:r>
      <w:r w:rsidRPr="001C35E2">
        <w:rPr>
          <w:rFonts w:ascii="Cambria" w:hAnsi="Cambria" w:cs="Arial"/>
          <w:color w:val="000000" w:themeColor="text1"/>
          <w:sz w:val="22"/>
          <w:szCs w:val="22"/>
        </w:rPr>
        <w:t xml:space="preserve">he ASQ at age 3 (4 items rated as 1-Yes, 2-Sometimes, 3-Not yet) and by the </w:t>
      </w:r>
      <w:r w:rsidRPr="001C35E2">
        <w:rPr>
          <w:rFonts w:ascii="Cambria" w:hAnsi="Cambria"/>
          <w:sz w:val="22"/>
          <w:szCs w:val="22"/>
        </w:rPr>
        <w:t xml:space="preserve">Child Development Inventory at age  5 years </w:t>
      </w:r>
      <w:r w:rsidRPr="001C35E2">
        <w:rPr>
          <w:rFonts w:ascii="Cambria" w:hAnsi="Cambria" w:cs="Arial"/>
          <w:color w:val="000000" w:themeColor="text1"/>
          <w:sz w:val="22"/>
          <w:szCs w:val="22"/>
        </w:rPr>
        <w:t xml:space="preserve">(12-items rated as yes/no). These 12 items are from the </w:t>
      </w:r>
      <w:r w:rsidRPr="001C35E2">
        <w:rPr>
          <w:rFonts w:ascii="Cambria" w:hAnsi="Cambria"/>
          <w:sz w:val="22"/>
          <w:szCs w:val="22"/>
        </w:rPr>
        <w:t xml:space="preserve">fine motor skills and the gross motor skills subscales. </w:t>
      </w:r>
    </w:p>
    <w:p w14:paraId="08663D97" w14:textId="77777777" w:rsidR="00F2666A" w:rsidRPr="001C35E2" w:rsidRDefault="00F2666A" w:rsidP="00F2666A">
      <w:pPr>
        <w:rPr>
          <w:rFonts w:ascii="Cambria" w:eastAsia="Times New Roman" w:hAnsi="Cambria" w:cs="Times New Roman"/>
          <w:b/>
          <w:bCs/>
          <w:sz w:val="22"/>
          <w:szCs w:val="22"/>
          <w:lang w:eastAsia="en-GB"/>
        </w:rPr>
      </w:pPr>
      <w:r w:rsidRPr="001C35E2">
        <w:rPr>
          <w:rFonts w:ascii="Cambria" w:eastAsia="Times New Roman" w:hAnsi="Cambria" w:cs="Times New Roman"/>
          <w:b/>
          <w:bCs/>
          <w:sz w:val="22"/>
          <w:szCs w:val="22"/>
          <w:lang w:eastAsia="en-GB"/>
        </w:rPr>
        <w:br w:type="page"/>
      </w:r>
    </w:p>
    <w:p w14:paraId="1DE0C672" w14:textId="77777777" w:rsidR="00333B22" w:rsidRPr="001C35E2" w:rsidRDefault="00333B22" w:rsidP="00F5610C">
      <w:pPr>
        <w:pStyle w:val="NormalWeb"/>
        <w:shd w:val="clear" w:color="auto" w:fill="FFFFFF"/>
        <w:spacing w:after="0"/>
        <w:rPr>
          <w:rFonts w:ascii="Cambria" w:hAnsi="Cambria" w:cs="Calibri"/>
          <w:b/>
          <w:bCs/>
          <w:color w:val="000000" w:themeColor="text1"/>
          <w:sz w:val="22"/>
          <w:szCs w:val="22"/>
          <w:lang w:val="en-GB"/>
        </w:rPr>
      </w:pPr>
      <w:r w:rsidRPr="001C35E2">
        <w:rPr>
          <w:rFonts w:ascii="Cambria" w:hAnsi="Cambria" w:cs="Calibri"/>
          <w:b/>
          <w:bCs/>
          <w:color w:val="000000" w:themeColor="text1"/>
          <w:sz w:val="22"/>
          <w:szCs w:val="22"/>
          <w:lang w:val="en-GB"/>
        </w:rPr>
        <w:lastRenderedPageBreak/>
        <w:t>Note S4.  Sensitivity analysis using canonical SNPs for Vitamin-D and DHA</w:t>
      </w:r>
    </w:p>
    <w:p w14:paraId="1E6BA75C" w14:textId="77777777" w:rsidR="00C1773C" w:rsidRPr="001C35E2" w:rsidRDefault="00C1773C" w:rsidP="00F5610C">
      <w:pPr>
        <w:pStyle w:val="NormalWeb"/>
        <w:shd w:val="clear" w:color="auto" w:fill="FFFFFF"/>
        <w:spacing w:after="0"/>
        <w:rPr>
          <w:rFonts w:ascii="Cambria" w:hAnsi="Cambria" w:cs="Calibri"/>
          <w:b/>
          <w:bCs/>
          <w:color w:val="000000" w:themeColor="text1"/>
          <w:sz w:val="22"/>
          <w:szCs w:val="22"/>
          <w:lang w:val="en-GB"/>
        </w:rPr>
      </w:pPr>
    </w:p>
    <w:p w14:paraId="14663B6F" w14:textId="0ECE95C7" w:rsidR="00BD7B77" w:rsidRPr="001C35E2" w:rsidRDefault="00C1773C" w:rsidP="00234700">
      <w:pPr>
        <w:pStyle w:val="NormalWeb"/>
        <w:shd w:val="clear" w:color="auto" w:fill="FFFFFF"/>
        <w:spacing w:after="0"/>
        <w:rPr>
          <w:rFonts w:ascii="Cambria" w:hAnsi="Cambria" w:cs="Calibri"/>
          <w:color w:val="000000" w:themeColor="text1"/>
          <w:sz w:val="22"/>
          <w:szCs w:val="22"/>
          <w:lang w:val="en-GB"/>
        </w:rPr>
      </w:pPr>
      <w:r w:rsidRPr="001C35E2">
        <w:rPr>
          <w:rFonts w:ascii="Cambria" w:hAnsi="Cambria" w:cs="Calibri"/>
          <w:color w:val="000000" w:themeColor="text1"/>
          <w:sz w:val="22"/>
          <w:szCs w:val="22"/>
          <w:u w:val="single"/>
          <w:lang w:val="en-GB"/>
        </w:rPr>
        <w:t>Methods</w:t>
      </w:r>
    </w:p>
    <w:p w14:paraId="1960354E" w14:textId="6813875D" w:rsidR="000E43F8" w:rsidRPr="001C35E2" w:rsidRDefault="00BD7B77" w:rsidP="00234700">
      <w:pPr>
        <w:pStyle w:val="NormalWeb"/>
        <w:shd w:val="clear" w:color="auto" w:fill="FFFFFF"/>
        <w:spacing w:after="0"/>
        <w:rPr>
          <w:rFonts w:ascii="Cambria" w:hAnsi="Cambria" w:cs="Calibri"/>
          <w:color w:val="000000" w:themeColor="text1"/>
          <w:sz w:val="22"/>
          <w:szCs w:val="22"/>
          <w:lang w:val="en-GB"/>
        </w:rPr>
      </w:pPr>
      <w:r w:rsidRPr="001C35E2">
        <w:rPr>
          <w:rFonts w:ascii="Cambria" w:hAnsi="Cambria" w:cs="Calibri"/>
          <w:i/>
          <w:iCs/>
          <w:color w:val="000000" w:themeColor="text1"/>
          <w:sz w:val="22"/>
          <w:szCs w:val="22"/>
          <w:lang w:val="en-GB"/>
        </w:rPr>
        <w:t>DHA.</w:t>
      </w:r>
      <w:r w:rsidRPr="001C35E2">
        <w:rPr>
          <w:rFonts w:ascii="Cambria" w:hAnsi="Cambria" w:cs="Calibri"/>
          <w:color w:val="000000" w:themeColor="text1"/>
          <w:sz w:val="22"/>
          <w:szCs w:val="22"/>
          <w:lang w:val="en-GB"/>
        </w:rPr>
        <w:t xml:space="preserve"> We have used two SNPs. The first is rs174576 </w:t>
      </w:r>
      <w:r w:rsidR="00246F21" w:rsidRPr="001C35E2">
        <w:rPr>
          <w:rFonts w:ascii="Cambria" w:hAnsi="Cambria" w:cs="Calibri"/>
          <w:color w:val="000000" w:themeColor="text1"/>
          <w:sz w:val="22"/>
          <w:szCs w:val="22"/>
          <w:lang w:val="en-GB"/>
        </w:rPr>
        <w:t xml:space="preserve">which is known to be inside the </w:t>
      </w:r>
      <w:r w:rsidRPr="001C35E2">
        <w:rPr>
          <w:rFonts w:ascii="Cambria" w:hAnsi="Cambria" w:cs="Calibri"/>
          <w:i/>
          <w:iCs/>
          <w:color w:val="000000" w:themeColor="text1"/>
          <w:sz w:val="22"/>
          <w:szCs w:val="22"/>
          <w:lang w:val="en-GB"/>
        </w:rPr>
        <w:t>FADS2</w:t>
      </w:r>
      <w:r w:rsidR="00246F21" w:rsidRPr="001C35E2">
        <w:rPr>
          <w:rFonts w:ascii="Cambria" w:hAnsi="Cambria" w:cs="Calibri"/>
          <w:color w:val="000000" w:themeColor="text1"/>
          <w:sz w:val="22"/>
          <w:szCs w:val="22"/>
          <w:lang w:val="en-GB"/>
        </w:rPr>
        <w:t xml:space="preserve"> gene </w:t>
      </w:r>
      <w:r w:rsidR="00901554" w:rsidRPr="001C35E2">
        <w:rPr>
          <w:rFonts w:ascii="Cambria" w:hAnsi="Cambria" w:cs="Calibri"/>
          <w:color w:val="000000" w:themeColor="text1"/>
          <w:sz w:val="22"/>
          <w:szCs w:val="22"/>
          <w:lang w:val="en-GB"/>
        </w:rPr>
        <w:t xml:space="preserve">which codes for the Delta 6 desaturase enzyme, involved in the metabolism of DHA. </w:t>
      </w:r>
      <w:r w:rsidR="001078C7" w:rsidRPr="001C35E2">
        <w:rPr>
          <w:rFonts w:ascii="Cambria" w:hAnsi="Cambria" w:cs="Calibri"/>
          <w:color w:val="000000" w:themeColor="text1"/>
          <w:sz w:val="22"/>
          <w:szCs w:val="22"/>
          <w:lang w:val="en-GB"/>
        </w:rPr>
        <w:t xml:space="preserve">The second is </w:t>
      </w:r>
      <w:r w:rsidRPr="001C35E2">
        <w:rPr>
          <w:rFonts w:ascii="Cambria" w:hAnsi="Cambria" w:cs="Calibri"/>
          <w:color w:val="000000" w:themeColor="text1"/>
          <w:sz w:val="22"/>
          <w:szCs w:val="22"/>
          <w:lang w:val="en-GB"/>
        </w:rPr>
        <w:t xml:space="preserve">rs3734398 </w:t>
      </w:r>
      <w:r w:rsidR="001078C7" w:rsidRPr="001C35E2">
        <w:rPr>
          <w:rFonts w:ascii="Cambria" w:hAnsi="Cambria" w:cs="Calibri"/>
          <w:color w:val="000000" w:themeColor="text1"/>
          <w:sz w:val="22"/>
          <w:szCs w:val="22"/>
          <w:lang w:val="en-GB"/>
        </w:rPr>
        <w:t xml:space="preserve">in the </w:t>
      </w:r>
      <w:r w:rsidRPr="001C35E2">
        <w:rPr>
          <w:rFonts w:ascii="Cambria" w:hAnsi="Cambria" w:cs="Calibri"/>
          <w:i/>
          <w:iCs/>
          <w:color w:val="000000" w:themeColor="text1"/>
          <w:sz w:val="22"/>
          <w:szCs w:val="22"/>
          <w:lang w:val="en-GB"/>
        </w:rPr>
        <w:t>ELOVL2</w:t>
      </w:r>
      <w:r w:rsidR="001078C7" w:rsidRPr="001C35E2">
        <w:rPr>
          <w:rFonts w:ascii="Cambria" w:hAnsi="Cambria" w:cs="Calibri"/>
          <w:color w:val="000000" w:themeColor="text1"/>
          <w:sz w:val="22"/>
          <w:szCs w:val="22"/>
          <w:lang w:val="en-GB"/>
        </w:rPr>
        <w:t xml:space="preserve"> gene which codes for the </w:t>
      </w:r>
      <w:r w:rsidR="009565EF" w:rsidRPr="001C35E2">
        <w:rPr>
          <w:rFonts w:ascii="Cambria" w:hAnsi="Cambria" w:cs="Calibri"/>
          <w:color w:val="000000" w:themeColor="text1"/>
          <w:sz w:val="22"/>
          <w:szCs w:val="22"/>
          <w:lang w:val="en-GB"/>
        </w:rPr>
        <w:t>fatty acid elongase 2 enzyme also involved in the metabolism of DHA. Both of these SNPs have been validated for use in predicting levels of DHA</w:t>
      </w:r>
      <w:r w:rsidR="000E43F8" w:rsidRPr="001C35E2">
        <w:rPr>
          <w:rFonts w:ascii="Cambria" w:hAnsi="Cambria" w:cs="Calibri"/>
          <w:color w:val="000000" w:themeColor="text1"/>
          <w:sz w:val="22"/>
          <w:szCs w:val="22"/>
          <w:lang w:val="en-GB"/>
        </w:rPr>
        <w:t xml:space="preserve"> in individuals of European ancestry</w:t>
      </w:r>
      <w:r w:rsidR="0000654D" w:rsidRPr="001C35E2">
        <w:rPr>
          <w:rFonts w:ascii="Cambria" w:hAnsi="Cambria" w:cs="Calibri"/>
          <w:color w:val="000000" w:themeColor="text1"/>
          <w:sz w:val="22"/>
          <w:szCs w:val="22"/>
          <w:lang w:val="en-GB"/>
        </w:rPr>
        <w:t xml:space="preserve"> </w:t>
      </w:r>
      <w:r w:rsidR="004F4F5A" w:rsidRPr="001C35E2">
        <w:rPr>
          <w:rFonts w:ascii="Cambria" w:hAnsi="Cambria" w:cs="Calibri"/>
          <w:color w:val="000000" w:themeColor="text1"/>
          <w:sz w:val="22"/>
          <w:szCs w:val="22"/>
          <w:lang w:val="en-GB"/>
        </w:rPr>
        <w:fldChar w:fldCharType="begin"/>
      </w:r>
      <w:r w:rsidR="00713FAA" w:rsidRPr="001C35E2">
        <w:rPr>
          <w:rFonts w:ascii="Cambria" w:hAnsi="Cambria" w:cs="Calibri"/>
          <w:color w:val="000000" w:themeColor="text1"/>
          <w:sz w:val="22"/>
          <w:szCs w:val="22"/>
          <w:lang w:val="en-GB"/>
        </w:rPr>
        <w:instrText xml:space="preserve"> ADDIN ZOTERO_ITEM CSL_CITATION {"citationID":"wlsLB2Y6","properties":{"formattedCitation":"(Borges et al., 2022)","plainCitation":"(Borges et al., 2022)","noteIndex":0},"citationItems":[{"id":4043,"uris":["http://zotero.org/users/5402137/items/EEHT7T66"],"itemData":{"id":4043,"type":"article-journal","abstract":"Despite early interest, the evidence linking fatty acids to cardiovascular diseases (CVDs) remains controversial. We used Mendelian randomization to explore the involvement of polyunsaturated (PUFA) and monounsaturated (MUFA) fatty acids biosynthesis in the etiology of several CVD endpoints in up to 1 153 768 European (maximum 123 668 cases) and 212 453 East Asian (maximum 29 319 cases) ancestry individuals. As instruments, we selected single nucleotide polymorphisms mapping to genes with well-known roles in PUFA (i.e. FADS1/2 and ELOVL2) and MUFA (i.e. SCD) biosynthesis. Our findings suggest that higher PUFA biosynthesis rate (proxied by rs174576 near FADS1/2) is related to higher odds of multiple CVDs, particularly ischemic stroke, peripheral artery disease and venous thromboembolism, whereas higher MUFA biosynthesis rate (proxied by rs603424 near SCD) is related to lower odds of coronary artery disease among Europeans. Results were unclear for East Asians as most effect estimates were imprecise. By triangulating multiple approaches (i.e. uni-/multi-variable Mendelian randomization, a phenome-wide scan, genetic colocalization and within-sibling analyses), our results are compatible with higher low-density lipoprotein (LDL) cholesterol (and possibly glucose) being a downstream effect of higher PUFA biosynthesis rate. Our findings indicate that PUFA and MUFA biosynthesis are involved in the etiology of CVDs and suggest LDL cholesterol as a potential mediating trait between PUFA biosynthesis and CVDs risk.","container-title":"Human Molecular Genetics","DOI":"10.1093/hmg/ddac153","ISSN":"1460-2083","issue":"23","journalAbbreviation":"Hum Mol Genet","language":"eng","note":"PMID: 35796550\nPMCID: PMC9703943","page":"4034-4054","source":"PubMed","title":"The impact of fatty acids biosynthesis on the risk of cardiovascular diseases in Europeans and East Asians: a Mendelian randomization study","title-short":"The impact of fatty acids biosynthesis on the risk of cardiovascular diseases in Europeans and East Asians","volume":"31","author":[{"family":"Borges","given":"Maria-Carolina"},{"family":"Haycock","given":"Phillip"},{"family":"Zheng","given":"Jie"},{"family":"Hemani","given":"Gibran"},{"family":"Howe","given":"Laurence J."},{"family":"Schmidt","given":"A. Floriaan"},{"family":"Staley","given":"James R."},{"family":"Lumbers","given":"R. Thomas"},{"family":"Henry","given":"Albert"},{"family":"Lemaitre","given":"Rozenn N."},{"family":"Gaunt","given":"Tom R."},{"family":"Holmes","given":"Michael V."},{"family":"Davey Smith","given":"George"},{"family":"Hingorani","given":"Aroon D."},{"family":"Lawlor","given":"Deborah A."}],"issued":{"date-parts":[["2022",11,28]]}}}],"schema":"https://github.com/citation-style-language/schema/raw/master/csl-citation.json"} </w:instrText>
      </w:r>
      <w:r w:rsidR="004F4F5A" w:rsidRPr="001C35E2">
        <w:rPr>
          <w:rFonts w:ascii="Cambria" w:hAnsi="Cambria" w:cs="Calibri"/>
          <w:color w:val="000000" w:themeColor="text1"/>
          <w:sz w:val="22"/>
          <w:szCs w:val="22"/>
          <w:lang w:val="en-GB"/>
        </w:rPr>
        <w:fldChar w:fldCharType="separate"/>
      </w:r>
      <w:r w:rsidR="0062285E" w:rsidRPr="001C35E2">
        <w:rPr>
          <w:rFonts w:ascii="Cambria" w:hAnsi="Cambria"/>
          <w:color w:val="000000"/>
          <w:sz w:val="22"/>
          <w:lang w:val="en-GB"/>
        </w:rPr>
        <w:t>(Borges et al., 2022)</w:t>
      </w:r>
      <w:r w:rsidR="004F4F5A" w:rsidRPr="001C35E2">
        <w:rPr>
          <w:rFonts w:ascii="Cambria" w:hAnsi="Cambria" w:cs="Calibri"/>
          <w:color w:val="000000" w:themeColor="text1"/>
          <w:sz w:val="22"/>
          <w:szCs w:val="22"/>
          <w:lang w:val="en-GB"/>
        </w:rPr>
        <w:fldChar w:fldCharType="end"/>
      </w:r>
      <w:r w:rsidR="000E43F8" w:rsidRPr="001C35E2">
        <w:rPr>
          <w:rFonts w:ascii="Cambria" w:hAnsi="Cambria" w:cs="Calibri"/>
          <w:color w:val="000000" w:themeColor="text1"/>
          <w:sz w:val="22"/>
          <w:szCs w:val="22"/>
          <w:lang w:val="en-GB"/>
        </w:rPr>
        <w:t xml:space="preserve">. </w:t>
      </w:r>
    </w:p>
    <w:p w14:paraId="2B9474E2" w14:textId="77427CA1" w:rsidR="00BD7B77" w:rsidRPr="001C35E2" w:rsidRDefault="000E43F8" w:rsidP="00234700">
      <w:pPr>
        <w:pStyle w:val="NormalWeb"/>
        <w:shd w:val="clear" w:color="auto" w:fill="FFFFFF"/>
        <w:spacing w:after="0"/>
        <w:rPr>
          <w:rFonts w:ascii="Cambria" w:hAnsi="Cambria" w:cs="Calibri"/>
          <w:color w:val="000000" w:themeColor="text1"/>
          <w:sz w:val="22"/>
          <w:szCs w:val="22"/>
          <w:lang w:val="en-GB"/>
        </w:rPr>
      </w:pPr>
      <w:r w:rsidRPr="001C35E2">
        <w:rPr>
          <w:rFonts w:ascii="Cambria" w:hAnsi="Cambria" w:cs="Calibri"/>
          <w:i/>
          <w:iCs/>
          <w:color w:val="000000" w:themeColor="text1"/>
          <w:sz w:val="22"/>
          <w:szCs w:val="22"/>
          <w:lang w:val="en-GB"/>
        </w:rPr>
        <w:t>Vitamin-D.</w:t>
      </w:r>
      <w:r w:rsidRPr="001C35E2">
        <w:rPr>
          <w:rFonts w:ascii="Cambria" w:hAnsi="Cambria" w:cs="Calibri"/>
          <w:color w:val="000000" w:themeColor="text1"/>
          <w:sz w:val="22"/>
          <w:szCs w:val="22"/>
          <w:lang w:val="en-GB"/>
        </w:rPr>
        <w:t xml:space="preserve"> </w:t>
      </w:r>
      <w:r w:rsidR="00E23A82" w:rsidRPr="001C35E2">
        <w:rPr>
          <w:rFonts w:ascii="Cambria" w:hAnsi="Cambria" w:cs="Calibri"/>
          <w:color w:val="000000" w:themeColor="text1"/>
          <w:sz w:val="22"/>
          <w:szCs w:val="22"/>
          <w:lang w:val="en-GB"/>
        </w:rPr>
        <w:t xml:space="preserve">The SUNLIGHT consortium identified four genome-wide significant SNPs </w:t>
      </w:r>
      <w:r w:rsidR="006037C5" w:rsidRPr="001C35E2">
        <w:rPr>
          <w:rFonts w:ascii="Cambria" w:hAnsi="Cambria" w:cs="Calibri"/>
          <w:color w:val="000000" w:themeColor="text1"/>
          <w:sz w:val="22"/>
          <w:szCs w:val="22"/>
          <w:lang w:val="en-GB"/>
        </w:rPr>
        <w:t xml:space="preserve">with a direct biological role in the </w:t>
      </w:r>
      <w:r w:rsidR="00E23A82" w:rsidRPr="001C35E2">
        <w:rPr>
          <w:rFonts w:ascii="Cambria" w:hAnsi="Cambria" w:cs="Calibri"/>
          <w:color w:val="000000" w:themeColor="text1"/>
          <w:sz w:val="22"/>
          <w:szCs w:val="22"/>
          <w:lang w:val="en-GB"/>
        </w:rPr>
        <w:t>level</w:t>
      </w:r>
      <w:r w:rsidR="006037C5" w:rsidRPr="001C35E2">
        <w:rPr>
          <w:rFonts w:ascii="Cambria" w:hAnsi="Cambria" w:cs="Calibri"/>
          <w:color w:val="000000" w:themeColor="text1"/>
          <w:sz w:val="22"/>
          <w:szCs w:val="22"/>
          <w:lang w:val="en-GB"/>
        </w:rPr>
        <w:t>s of Vitamin-D</w:t>
      </w:r>
      <w:r w:rsidR="0000654D" w:rsidRPr="001C35E2">
        <w:rPr>
          <w:rFonts w:ascii="Cambria" w:hAnsi="Cambria" w:cs="Calibri"/>
          <w:color w:val="000000" w:themeColor="text1"/>
          <w:sz w:val="22"/>
          <w:szCs w:val="22"/>
          <w:lang w:val="en-GB"/>
        </w:rPr>
        <w:t xml:space="preserve"> </w:t>
      </w:r>
      <w:r w:rsidR="00E914DB" w:rsidRPr="001C35E2">
        <w:rPr>
          <w:rFonts w:ascii="Cambria" w:hAnsi="Cambria" w:cs="Calibri"/>
          <w:color w:val="000000" w:themeColor="text1"/>
          <w:sz w:val="22"/>
          <w:szCs w:val="22"/>
          <w:lang w:val="en-GB"/>
        </w:rPr>
        <w:fldChar w:fldCharType="begin"/>
      </w:r>
      <w:r w:rsidR="00713FAA" w:rsidRPr="001C35E2">
        <w:rPr>
          <w:rFonts w:ascii="Cambria" w:hAnsi="Cambria" w:cs="Calibri"/>
          <w:color w:val="000000" w:themeColor="text1"/>
          <w:sz w:val="22"/>
          <w:szCs w:val="22"/>
          <w:lang w:val="en-GB"/>
        </w:rPr>
        <w:instrText xml:space="preserve"> ADDIN ZOTERO_ITEM CSL_CITATION {"citationID":"NeGSHVtP","properties":{"formattedCitation":"(Mokry et al., 2015)","plainCitation":"(Mokry et al., 2015)","noteIndex":0},"citationItems":[{"id":4046,"uris":["http://zotero.org/users/5402137/items/2U34PHRX"],"itemData":{"id":4046,"type":"article-journal","abstract":"BACKGROUND: Observational studies have demonstrated an association between decreased vitamin D level and risk of multiple sclerosis (MS); however, it remains unclear whether this relationship is causal. We undertook a Mendelian randomization (MR) study to evaluate whether genetically lowered vitamin D level influences the risk of MS.\nMETHODS AND FINDINGS: We identified single nucleotide polymorphisms (SNPs) associated with 25-hydroxyvitamin D (25OHD) level from SUNLIGHT, the largest (n = 33,996) genome-wide association study to date for vitamin D. Four SNPs were genome-wide significant for 25OHD level (p-values ranging from 6 × 10-10 to 2 × 10-109), and all four SNPs lay in, or near, genes strongly implicated in separate mechanisms influencing 25OHD. We then ascertained their effect on 25OHD level in 2,347 participants from a population-based cohort, the Canadian Multicentre Osteoporosis Study, and tested the extent to which the 25OHD-decreasing alleles explained variation in 25OHD level. We found that the count of 25OHD-decreasing alleles across these four SNPs was strongly associated with lower 25OHD level (n = 2,347, F-test statistic = 49.7, p = 2.4 × 10-12). Next, we conducted an MR study to describe the effect of genetically lowered 25OHD on the odds of MS in the International Multiple Sclerosis Genetics Consortium study, the largest genetic association study to date for MS (including up to 14,498 cases and 24,091 healthy controls). Alleles were weighted by their relative effect on 25OHD level, and sensitivity analyses were performed to test MR assumptions. MR analyses found that each genetically determined one-standard-deviation decrease in log-transformed 25OHD level conferred a 2.0-fold increase in the odds of MS (95% CI: 1.7-2.5; p = 7.7 × 10-12; I2 = 63%, 95% CI: 0%-88%). This result persisted in sensitivity analyses excluding SNPs possibly influenced by population stratification or pleiotropy (odds ratio [OR] = 1.7, 95% CI: 1.3-2.2; p = 2.3 × 10-5; I2 = 47%, 95% CI: 0%-85%) and including only SNPs involved in 25OHD synthesis or metabolism (ORsynthesis = 2.1, 95% CI: 1.6-2.6, p = 1 × 10-9; ORmetabolism = 1.9, 95% CI: 1.3-2.7, p = 0.002). While these sensitivity analyses decreased the possibility that pleiotropy may have biased the results, residual pleiotropy is difficult to exclude entirely.\nCONCLUSIONS: A genetically lowered 25OHD level is strongly associated with increased susceptibility to MS. Whether vitamin D sufficiency can delay, or prevent, MS onset merits further investigation in long-term randomized controlled trials.","container-title":"PLoS medicine","DOI":"10.1371/journal.pmed.1001866","ISSN":"1549-1676","issue":"8","journalAbbreviation":"PLoS Med","language":"eng","note":"PMID: 26305103\nPMCID: PMC4549308","page":"e1001866","source":"PubMed","title":"Vitamin D and Risk of Multiple Sclerosis: A Mendelian Randomization Study","title-short":"Vitamin D and Risk of Multiple Sclerosis","volume":"12","author":[{"family":"Mokry","given":"Lauren E."},{"family":"Ross","given":"Stephanie"},{"family":"Ahmad","given":"Omar S."},{"family":"Forgetta","given":"Vincenzo"},{"family":"Smith","given":"George Davey"},{"family":"Goltzman","given":"David"},{"family":"Leong","given":"Aaron"},{"family":"Greenwood","given":"Celia M. T."},{"family":"Thanassoulis","given":"George"},{"family":"Richards","given":"J. Brent"}],"issued":{"date-parts":[["2015",8]]}}}],"schema":"https://github.com/citation-style-language/schema/raw/master/csl-citation.json"} </w:instrText>
      </w:r>
      <w:r w:rsidR="00E914DB" w:rsidRPr="001C35E2">
        <w:rPr>
          <w:rFonts w:ascii="Cambria" w:hAnsi="Cambria" w:cs="Calibri"/>
          <w:color w:val="000000" w:themeColor="text1"/>
          <w:sz w:val="22"/>
          <w:szCs w:val="22"/>
          <w:lang w:val="en-GB"/>
        </w:rPr>
        <w:fldChar w:fldCharType="separate"/>
      </w:r>
      <w:r w:rsidR="0062285E" w:rsidRPr="001C35E2">
        <w:rPr>
          <w:rFonts w:ascii="Cambria" w:hAnsi="Cambria"/>
          <w:color w:val="000000"/>
          <w:sz w:val="22"/>
          <w:lang w:val="en-GB"/>
        </w:rPr>
        <w:t>(Mokry et al., 2015)</w:t>
      </w:r>
      <w:r w:rsidR="00E914DB" w:rsidRPr="001C35E2">
        <w:rPr>
          <w:rFonts w:ascii="Cambria" w:hAnsi="Cambria" w:cs="Calibri"/>
          <w:color w:val="000000" w:themeColor="text1"/>
          <w:sz w:val="22"/>
          <w:szCs w:val="22"/>
          <w:lang w:val="en-GB"/>
        </w:rPr>
        <w:fldChar w:fldCharType="end"/>
      </w:r>
      <w:r w:rsidR="006037C5" w:rsidRPr="001C35E2">
        <w:rPr>
          <w:rFonts w:ascii="Cambria" w:hAnsi="Cambria" w:cs="Calibri"/>
          <w:color w:val="000000" w:themeColor="text1"/>
          <w:sz w:val="22"/>
          <w:szCs w:val="22"/>
          <w:lang w:val="en-GB"/>
        </w:rPr>
        <w:t xml:space="preserve">. These were: </w:t>
      </w:r>
      <w:r w:rsidR="00E914DB" w:rsidRPr="001C35E2">
        <w:rPr>
          <w:rFonts w:ascii="Cambria" w:hAnsi="Cambria" w:cs="Calibri"/>
          <w:color w:val="000000" w:themeColor="text1"/>
          <w:sz w:val="22"/>
          <w:szCs w:val="22"/>
          <w:lang w:val="en-GB"/>
        </w:rPr>
        <w:t>1) r</w:t>
      </w:r>
      <w:r w:rsidR="00E23A82" w:rsidRPr="001C35E2">
        <w:rPr>
          <w:rFonts w:ascii="Cambria" w:hAnsi="Cambria" w:cs="Calibri"/>
          <w:color w:val="000000" w:themeColor="text1"/>
          <w:sz w:val="22"/>
          <w:szCs w:val="22"/>
          <w:lang w:val="en-GB"/>
        </w:rPr>
        <w:t>s2282679 in </w:t>
      </w:r>
      <w:r w:rsidR="00E914DB" w:rsidRPr="001C35E2">
        <w:rPr>
          <w:rFonts w:ascii="Cambria" w:hAnsi="Cambria" w:cs="Calibri"/>
          <w:color w:val="000000" w:themeColor="text1"/>
          <w:sz w:val="22"/>
          <w:szCs w:val="22"/>
          <w:lang w:val="en-GB"/>
        </w:rPr>
        <w:t xml:space="preserve">the gene </w:t>
      </w:r>
      <w:r w:rsidR="00E23A82" w:rsidRPr="001C35E2">
        <w:rPr>
          <w:rFonts w:ascii="Cambria" w:hAnsi="Cambria" w:cs="Calibri"/>
          <w:i/>
          <w:iCs/>
          <w:color w:val="000000" w:themeColor="text1"/>
          <w:sz w:val="22"/>
          <w:szCs w:val="22"/>
          <w:lang w:val="en-GB"/>
        </w:rPr>
        <w:t>G</w:t>
      </w:r>
      <w:r w:rsidR="00270E79" w:rsidRPr="001C35E2">
        <w:rPr>
          <w:rFonts w:ascii="Cambria" w:hAnsi="Cambria" w:cs="Calibri"/>
          <w:i/>
          <w:iCs/>
          <w:color w:val="000000" w:themeColor="text1"/>
          <w:sz w:val="22"/>
          <w:szCs w:val="22"/>
          <w:lang w:val="en-GB"/>
        </w:rPr>
        <w:t xml:space="preserve">C, </w:t>
      </w:r>
      <w:r w:rsidR="00270E79" w:rsidRPr="001C35E2">
        <w:rPr>
          <w:rFonts w:ascii="Cambria" w:hAnsi="Cambria" w:cs="Calibri"/>
          <w:color w:val="000000" w:themeColor="text1"/>
          <w:sz w:val="22"/>
          <w:szCs w:val="22"/>
          <w:lang w:val="en-GB"/>
        </w:rPr>
        <w:t xml:space="preserve">which </w:t>
      </w:r>
      <w:r w:rsidR="00E23A82" w:rsidRPr="001C35E2">
        <w:rPr>
          <w:rFonts w:ascii="Cambria" w:hAnsi="Cambria" w:cs="Calibri"/>
          <w:color w:val="000000" w:themeColor="text1"/>
          <w:sz w:val="22"/>
          <w:szCs w:val="22"/>
          <w:lang w:val="en-GB"/>
        </w:rPr>
        <w:t>encodes the vitamin</w:t>
      </w:r>
      <w:r w:rsidR="00145940" w:rsidRPr="001C35E2">
        <w:rPr>
          <w:rFonts w:ascii="Cambria" w:hAnsi="Cambria" w:cs="Calibri"/>
          <w:color w:val="000000" w:themeColor="text1"/>
          <w:sz w:val="22"/>
          <w:szCs w:val="22"/>
          <w:lang w:val="en-GB"/>
        </w:rPr>
        <w:t>-</w:t>
      </w:r>
      <w:r w:rsidR="00E23A82" w:rsidRPr="001C35E2">
        <w:rPr>
          <w:rFonts w:ascii="Cambria" w:hAnsi="Cambria" w:cs="Calibri"/>
          <w:color w:val="000000" w:themeColor="text1"/>
          <w:sz w:val="22"/>
          <w:szCs w:val="22"/>
          <w:lang w:val="en-GB"/>
        </w:rPr>
        <w:t xml:space="preserve">D binding protein (DBP). DBP </w:t>
      </w:r>
      <w:r w:rsidR="003D02D7" w:rsidRPr="001C35E2">
        <w:rPr>
          <w:rFonts w:ascii="Cambria" w:hAnsi="Cambria" w:cs="Calibri"/>
          <w:color w:val="000000" w:themeColor="text1"/>
          <w:sz w:val="22"/>
          <w:szCs w:val="22"/>
          <w:lang w:val="en-GB"/>
        </w:rPr>
        <w:t xml:space="preserve">is the primary </w:t>
      </w:r>
      <w:r w:rsidR="00E23A82" w:rsidRPr="001C35E2">
        <w:rPr>
          <w:rFonts w:ascii="Cambria" w:hAnsi="Cambria" w:cs="Calibri"/>
          <w:color w:val="000000" w:themeColor="text1"/>
          <w:sz w:val="22"/>
          <w:szCs w:val="22"/>
          <w:lang w:val="en-GB"/>
        </w:rPr>
        <w:t xml:space="preserve">protein </w:t>
      </w:r>
      <w:r w:rsidR="003D02D7" w:rsidRPr="001C35E2">
        <w:rPr>
          <w:rFonts w:ascii="Cambria" w:hAnsi="Cambria" w:cs="Calibri"/>
          <w:color w:val="000000" w:themeColor="text1"/>
          <w:sz w:val="22"/>
          <w:szCs w:val="22"/>
          <w:lang w:val="en-GB"/>
        </w:rPr>
        <w:t xml:space="preserve">transporter for </w:t>
      </w:r>
      <w:r w:rsidR="00145940" w:rsidRPr="001C35E2">
        <w:rPr>
          <w:rFonts w:ascii="Cambria" w:hAnsi="Cambria" w:cs="Calibri"/>
          <w:color w:val="000000" w:themeColor="text1"/>
          <w:sz w:val="22"/>
          <w:szCs w:val="22"/>
          <w:lang w:val="en-GB"/>
        </w:rPr>
        <w:t>vitamin-D</w:t>
      </w:r>
      <w:r w:rsidR="00E23A82" w:rsidRPr="001C35E2">
        <w:rPr>
          <w:rFonts w:ascii="Cambria" w:hAnsi="Cambria" w:cs="Calibri"/>
          <w:color w:val="000000" w:themeColor="text1"/>
          <w:sz w:val="22"/>
          <w:szCs w:val="22"/>
          <w:lang w:val="en-GB"/>
        </w:rPr>
        <w:t xml:space="preserve">, </w:t>
      </w:r>
      <w:r w:rsidR="003D02D7" w:rsidRPr="001C35E2">
        <w:rPr>
          <w:rFonts w:ascii="Cambria" w:hAnsi="Cambria" w:cs="Calibri"/>
          <w:color w:val="000000" w:themeColor="text1"/>
          <w:sz w:val="22"/>
          <w:szCs w:val="22"/>
          <w:lang w:val="en-GB"/>
        </w:rPr>
        <w:t>carrying</w:t>
      </w:r>
      <w:r w:rsidR="00E23A82" w:rsidRPr="001C35E2">
        <w:rPr>
          <w:rFonts w:ascii="Cambria" w:hAnsi="Cambria" w:cs="Calibri"/>
          <w:color w:val="000000" w:themeColor="text1"/>
          <w:sz w:val="22"/>
          <w:szCs w:val="22"/>
          <w:lang w:val="en-GB"/>
        </w:rPr>
        <w:t xml:space="preserve"> 80%–90% of </w:t>
      </w:r>
      <w:r w:rsidR="003D02D7" w:rsidRPr="001C35E2">
        <w:rPr>
          <w:rFonts w:ascii="Cambria" w:hAnsi="Cambria" w:cs="Calibri"/>
          <w:color w:val="000000" w:themeColor="text1"/>
          <w:sz w:val="22"/>
          <w:szCs w:val="22"/>
          <w:lang w:val="en-GB"/>
        </w:rPr>
        <w:t>vitamin-D</w:t>
      </w:r>
      <w:r w:rsidR="00E23A82" w:rsidRPr="001C35E2">
        <w:rPr>
          <w:rFonts w:ascii="Cambria" w:hAnsi="Cambria" w:cs="Calibri"/>
          <w:color w:val="000000" w:themeColor="text1"/>
          <w:sz w:val="22"/>
          <w:szCs w:val="22"/>
          <w:lang w:val="en-GB"/>
        </w:rPr>
        <w:t xml:space="preserve"> to</w:t>
      </w:r>
      <w:r w:rsidR="003D02D7" w:rsidRPr="001C35E2">
        <w:rPr>
          <w:rFonts w:ascii="Cambria" w:hAnsi="Cambria" w:cs="Calibri"/>
          <w:color w:val="000000" w:themeColor="text1"/>
          <w:sz w:val="22"/>
          <w:szCs w:val="22"/>
          <w:lang w:val="en-GB"/>
        </w:rPr>
        <w:t xml:space="preserve"> the</w:t>
      </w:r>
      <w:r w:rsidR="00E23A82" w:rsidRPr="001C35E2">
        <w:rPr>
          <w:rFonts w:ascii="Cambria" w:hAnsi="Cambria" w:cs="Calibri"/>
          <w:color w:val="000000" w:themeColor="text1"/>
          <w:sz w:val="22"/>
          <w:szCs w:val="22"/>
          <w:lang w:val="en-GB"/>
        </w:rPr>
        <w:t xml:space="preserve"> target organs. </w:t>
      </w:r>
      <w:r w:rsidR="003D02D7" w:rsidRPr="001C35E2">
        <w:rPr>
          <w:rFonts w:ascii="Cambria" w:hAnsi="Cambria" w:cs="Calibri"/>
          <w:color w:val="000000" w:themeColor="text1"/>
          <w:sz w:val="22"/>
          <w:szCs w:val="22"/>
          <w:lang w:val="en-GB"/>
        </w:rPr>
        <w:t>2) r</w:t>
      </w:r>
      <w:r w:rsidR="00E23A82" w:rsidRPr="001C35E2">
        <w:rPr>
          <w:rFonts w:ascii="Cambria" w:hAnsi="Cambria" w:cs="Calibri"/>
          <w:color w:val="000000" w:themeColor="text1"/>
          <w:sz w:val="22"/>
          <w:szCs w:val="22"/>
          <w:lang w:val="en-GB"/>
        </w:rPr>
        <w:t>s12785878 near</w:t>
      </w:r>
      <w:r w:rsidR="003D02D7" w:rsidRPr="001C35E2">
        <w:rPr>
          <w:rFonts w:ascii="Cambria" w:hAnsi="Cambria" w:cs="Calibri"/>
          <w:color w:val="000000" w:themeColor="text1"/>
          <w:sz w:val="22"/>
          <w:szCs w:val="22"/>
          <w:lang w:val="en-GB"/>
        </w:rPr>
        <w:t xml:space="preserve"> the</w:t>
      </w:r>
      <w:r w:rsidR="00E23A82" w:rsidRPr="001C35E2">
        <w:rPr>
          <w:rFonts w:ascii="Cambria" w:hAnsi="Cambria" w:cs="Calibri"/>
          <w:color w:val="000000" w:themeColor="text1"/>
          <w:sz w:val="22"/>
          <w:szCs w:val="22"/>
          <w:lang w:val="en-GB"/>
        </w:rPr>
        <w:t> </w:t>
      </w:r>
      <w:r w:rsidR="00E23A82" w:rsidRPr="001C35E2">
        <w:rPr>
          <w:rFonts w:ascii="Cambria" w:hAnsi="Cambria" w:cs="Calibri"/>
          <w:i/>
          <w:iCs/>
          <w:color w:val="000000" w:themeColor="text1"/>
          <w:sz w:val="22"/>
          <w:szCs w:val="22"/>
          <w:lang w:val="en-GB"/>
        </w:rPr>
        <w:t>DHCR7</w:t>
      </w:r>
      <w:r w:rsidR="003D02D7" w:rsidRPr="001C35E2">
        <w:rPr>
          <w:rFonts w:ascii="Cambria" w:hAnsi="Cambria" w:cs="Calibri"/>
          <w:color w:val="000000" w:themeColor="text1"/>
          <w:sz w:val="22"/>
          <w:szCs w:val="22"/>
          <w:lang w:val="en-GB"/>
        </w:rPr>
        <w:t xml:space="preserve"> gene</w:t>
      </w:r>
      <w:r w:rsidR="00F57C99" w:rsidRPr="001C35E2">
        <w:rPr>
          <w:rFonts w:ascii="Cambria" w:hAnsi="Cambria" w:cs="Calibri"/>
          <w:color w:val="000000" w:themeColor="text1"/>
          <w:sz w:val="22"/>
          <w:szCs w:val="22"/>
          <w:lang w:val="en-GB"/>
        </w:rPr>
        <w:t xml:space="preserve">. The product of the </w:t>
      </w:r>
      <w:r w:rsidR="00E23A82" w:rsidRPr="001C35E2">
        <w:rPr>
          <w:rFonts w:ascii="Cambria" w:hAnsi="Cambria" w:cs="Calibri"/>
          <w:i/>
          <w:iCs/>
          <w:color w:val="000000" w:themeColor="text1"/>
          <w:sz w:val="22"/>
          <w:szCs w:val="22"/>
          <w:lang w:val="en-GB"/>
        </w:rPr>
        <w:t>DHCR7</w:t>
      </w:r>
      <w:r w:rsidR="00E23A82" w:rsidRPr="001C35E2">
        <w:rPr>
          <w:rFonts w:ascii="Cambria" w:hAnsi="Cambria" w:cs="Calibri"/>
          <w:color w:val="000000" w:themeColor="text1"/>
          <w:sz w:val="22"/>
          <w:szCs w:val="22"/>
          <w:lang w:val="en-GB"/>
        </w:rPr>
        <w:t xml:space="preserve"> gene </w:t>
      </w:r>
      <w:r w:rsidR="00F57C99" w:rsidRPr="001C35E2">
        <w:rPr>
          <w:rFonts w:ascii="Cambria" w:hAnsi="Cambria" w:cs="Calibri"/>
          <w:color w:val="000000" w:themeColor="text1"/>
          <w:sz w:val="22"/>
          <w:szCs w:val="22"/>
          <w:lang w:val="en-GB"/>
        </w:rPr>
        <w:t>converts</w:t>
      </w:r>
      <w:r w:rsidR="00E23A82" w:rsidRPr="001C35E2">
        <w:rPr>
          <w:rFonts w:ascii="Cambria" w:hAnsi="Cambria" w:cs="Calibri"/>
          <w:color w:val="000000" w:themeColor="text1"/>
          <w:sz w:val="22"/>
          <w:szCs w:val="22"/>
          <w:lang w:val="en-GB"/>
        </w:rPr>
        <w:t xml:space="preserve"> 7-dehydrocholesterol to cholesterol, providing a substrate for vitamin</w:t>
      </w:r>
      <w:r w:rsidR="00F57C99" w:rsidRPr="001C35E2">
        <w:rPr>
          <w:rFonts w:ascii="Cambria" w:hAnsi="Cambria" w:cs="Calibri"/>
          <w:color w:val="000000" w:themeColor="text1"/>
          <w:sz w:val="22"/>
          <w:szCs w:val="22"/>
          <w:lang w:val="en-GB"/>
        </w:rPr>
        <w:t>-</w:t>
      </w:r>
      <w:r w:rsidR="00E23A82" w:rsidRPr="001C35E2">
        <w:rPr>
          <w:rFonts w:ascii="Cambria" w:hAnsi="Cambria" w:cs="Calibri"/>
          <w:color w:val="000000" w:themeColor="text1"/>
          <w:sz w:val="22"/>
          <w:szCs w:val="22"/>
          <w:lang w:val="en-GB"/>
        </w:rPr>
        <w:t xml:space="preserve">D production. </w:t>
      </w:r>
      <w:r w:rsidR="00F57C99" w:rsidRPr="001C35E2">
        <w:rPr>
          <w:rFonts w:ascii="Cambria" w:hAnsi="Cambria" w:cs="Calibri"/>
          <w:color w:val="000000" w:themeColor="text1"/>
          <w:sz w:val="22"/>
          <w:szCs w:val="22"/>
          <w:lang w:val="en-GB"/>
        </w:rPr>
        <w:t>3) r</w:t>
      </w:r>
      <w:r w:rsidR="00E23A82" w:rsidRPr="001C35E2">
        <w:rPr>
          <w:rFonts w:ascii="Cambria" w:hAnsi="Cambria" w:cs="Calibri"/>
          <w:color w:val="000000" w:themeColor="text1"/>
          <w:sz w:val="22"/>
          <w:szCs w:val="22"/>
          <w:lang w:val="en-GB"/>
        </w:rPr>
        <w:t>s10741657 near</w:t>
      </w:r>
      <w:r w:rsidR="009B7C26" w:rsidRPr="001C35E2">
        <w:rPr>
          <w:rFonts w:ascii="Cambria" w:hAnsi="Cambria" w:cs="Calibri"/>
          <w:color w:val="000000" w:themeColor="text1"/>
          <w:sz w:val="22"/>
          <w:szCs w:val="22"/>
          <w:lang w:val="en-GB"/>
        </w:rPr>
        <w:t xml:space="preserve"> the</w:t>
      </w:r>
      <w:r w:rsidR="00E23A82" w:rsidRPr="001C35E2">
        <w:rPr>
          <w:rFonts w:ascii="Cambria" w:hAnsi="Cambria" w:cs="Calibri"/>
          <w:color w:val="000000" w:themeColor="text1"/>
          <w:sz w:val="22"/>
          <w:szCs w:val="22"/>
          <w:lang w:val="en-GB"/>
        </w:rPr>
        <w:t> </w:t>
      </w:r>
      <w:r w:rsidR="00E23A82" w:rsidRPr="001C35E2">
        <w:rPr>
          <w:rFonts w:ascii="Cambria" w:hAnsi="Cambria" w:cs="Calibri"/>
          <w:i/>
          <w:iCs/>
          <w:color w:val="000000" w:themeColor="text1"/>
          <w:sz w:val="22"/>
          <w:szCs w:val="22"/>
          <w:lang w:val="en-GB"/>
        </w:rPr>
        <w:t>CYP2R1</w:t>
      </w:r>
      <w:r w:rsidR="009B7C26" w:rsidRPr="001C35E2">
        <w:rPr>
          <w:rFonts w:ascii="Cambria" w:hAnsi="Cambria" w:cs="Calibri"/>
          <w:color w:val="000000" w:themeColor="text1"/>
          <w:sz w:val="22"/>
          <w:szCs w:val="22"/>
          <w:lang w:val="en-GB"/>
        </w:rPr>
        <w:t xml:space="preserve"> gene, whic</w:t>
      </w:r>
      <w:r w:rsidR="002C2A25" w:rsidRPr="001C35E2">
        <w:rPr>
          <w:rFonts w:ascii="Cambria" w:hAnsi="Cambria" w:cs="Calibri"/>
          <w:color w:val="000000" w:themeColor="text1"/>
          <w:sz w:val="22"/>
          <w:szCs w:val="22"/>
          <w:lang w:val="en-GB"/>
        </w:rPr>
        <w:t>h</w:t>
      </w:r>
      <w:r w:rsidR="00E23A82" w:rsidRPr="001C35E2">
        <w:rPr>
          <w:rFonts w:ascii="Cambria" w:hAnsi="Cambria" w:cs="Calibri"/>
          <w:color w:val="000000" w:themeColor="text1"/>
          <w:sz w:val="22"/>
          <w:szCs w:val="22"/>
          <w:lang w:val="en-GB"/>
        </w:rPr>
        <w:t xml:space="preserve"> regulat</w:t>
      </w:r>
      <w:r w:rsidR="002C2A25" w:rsidRPr="001C35E2">
        <w:rPr>
          <w:rFonts w:ascii="Cambria" w:hAnsi="Cambria" w:cs="Calibri"/>
          <w:color w:val="000000" w:themeColor="text1"/>
          <w:sz w:val="22"/>
          <w:szCs w:val="22"/>
          <w:lang w:val="en-GB"/>
        </w:rPr>
        <w:t>es</w:t>
      </w:r>
      <w:r w:rsidR="00E23A82" w:rsidRPr="001C35E2">
        <w:rPr>
          <w:rFonts w:ascii="Cambria" w:hAnsi="Cambria" w:cs="Calibri"/>
          <w:color w:val="000000" w:themeColor="text1"/>
          <w:sz w:val="22"/>
          <w:szCs w:val="22"/>
          <w:lang w:val="en-GB"/>
        </w:rPr>
        <w:t xml:space="preserve"> </w:t>
      </w:r>
      <w:r w:rsidR="002C2A25" w:rsidRPr="001C35E2">
        <w:rPr>
          <w:rFonts w:ascii="Cambria" w:hAnsi="Cambria" w:cs="Calibri"/>
          <w:color w:val="000000" w:themeColor="text1"/>
          <w:sz w:val="22"/>
          <w:szCs w:val="22"/>
          <w:lang w:val="en-GB"/>
        </w:rPr>
        <w:t xml:space="preserve">vitamin-D synthesis </w:t>
      </w:r>
      <w:r w:rsidR="00CC4B4C" w:rsidRPr="001C35E2">
        <w:rPr>
          <w:rFonts w:ascii="Cambria" w:hAnsi="Cambria" w:cs="Calibri"/>
          <w:color w:val="000000" w:themeColor="text1"/>
          <w:sz w:val="22"/>
          <w:szCs w:val="22"/>
          <w:lang w:val="en-GB"/>
        </w:rPr>
        <w:t xml:space="preserve">through </w:t>
      </w:r>
      <w:r w:rsidR="00E23A82" w:rsidRPr="001C35E2">
        <w:rPr>
          <w:rFonts w:ascii="Cambria" w:hAnsi="Cambria" w:cs="Calibri"/>
          <w:color w:val="000000" w:themeColor="text1"/>
          <w:sz w:val="22"/>
          <w:szCs w:val="22"/>
          <w:lang w:val="en-GB"/>
        </w:rPr>
        <w:t>25-hydroxylation of vitamin</w:t>
      </w:r>
      <w:r w:rsidR="00CC4B4C" w:rsidRPr="001C35E2">
        <w:rPr>
          <w:rFonts w:ascii="Cambria" w:hAnsi="Cambria" w:cs="Calibri"/>
          <w:color w:val="000000" w:themeColor="text1"/>
          <w:sz w:val="22"/>
          <w:szCs w:val="22"/>
          <w:lang w:val="en-GB"/>
        </w:rPr>
        <w:t>-</w:t>
      </w:r>
      <w:r w:rsidR="00E23A82" w:rsidRPr="001C35E2">
        <w:rPr>
          <w:rFonts w:ascii="Cambria" w:hAnsi="Cambria" w:cs="Calibri"/>
          <w:color w:val="000000" w:themeColor="text1"/>
          <w:sz w:val="22"/>
          <w:szCs w:val="22"/>
          <w:lang w:val="en-GB"/>
        </w:rPr>
        <w:t>D in the liver.</w:t>
      </w:r>
      <w:r w:rsidR="00CC4B4C" w:rsidRPr="001C35E2">
        <w:rPr>
          <w:rFonts w:ascii="Cambria" w:hAnsi="Cambria" w:cs="Calibri"/>
          <w:color w:val="000000" w:themeColor="text1"/>
          <w:sz w:val="22"/>
          <w:szCs w:val="22"/>
          <w:lang w:val="en-GB"/>
        </w:rPr>
        <w:t xml:space="preserve"> 4) </w:t>
      </w:r>
      <w:r w:rsidR="00E23A82" w:rsidRPr="001C35E2">
        <w:rPr>
          <w:rFonts w:ascii="Cambria" w:hAnsi="Cambria" w:cs="Calibri"/>
          <w:color w:val="000000" w:themeColor="text1"/>
          <w:sz w:val="22"/>
          <w:szCs w:val="22"/>
          <w:lang w:val="en-GB"/>
        </w:rPr>
        <w:t>rs6013897 in</w:t>
      </w:r>
      <w:r w:rsidR="00CC4B4C" w:rsidRPr="001C35E2">
        <w:rPr>
          <w:rFonts w:ascii="Cambria" w:hAnsi="Cambria" w:cs="Calibri"/>
          <w:color w:val="000000" w:themeColor="text1"/>
          <w:sz w:val="22"/>
          <w:szCs w:val="22"/>
          <w:lang w:val="en-GB"/>
        </w:rPr>
        <w:t xml:space="preserve"> the gene</w:t>
      </w:r>
      <w:r w:rsidR="00E23A82" w:rsidRPr="001C35E2">
        <w:rPr>
          <w:rFonts w:ascii="Cambria" w:hAnsi="Cambria" w:cs="Calibri"/>
          <w:color w:val="000000" w:themeColor="text1"/>
          <w:sz w:val="22"/>
          <w:szCs w:val="22"/>
          <w:lang w:val="en-GB"/>
        </w:rPr>
        <w:t> </w:t>
      </w:r>
      <w:r w:rsidR="00E23A82" w:rsidRPr="001C35E2">
        <w:rPr>
          <w:rFonts w:ascii="Cambria" w:hAnsi="Cambria" w:cs="Calibri"/>
          <w:i/>
          <w:iCs/>
          <w:color w:val="000000" w:themeColor="text1"/>
          <w:sz w:val="22"/>
          <w:szCs w:val="22"/>
          <w:lang w:val="en-GB"/>
        </w:rPr>
        <w:t>CYP24A1</w:t>
      </w:r>
      <w:r w:rsidR="00CC4B4C" w:rsidRPr="001C35E2">
        <w:rPr>
          <w:rFonts w:ascii="Cambria" w:hAnsi="Cambria" w:cs="Calibri"/>
          <w:i/>
          <w:iCs/>
          <w:color w:val="000000" w:themeColor="text1"/>
          <w:sz w:val="22"/>
          <w:szCs w:val="22"/>
          <w:lang w:val="en-GB"/>
        </w:rPr>
        <w:t>,</w:t>
      </w:r>
      <w:r w:rsidR="00E23A82" w:rsidRPr="001C35E2">
        <w:rPr>
          <w:rFonts w:ascii="Cambria" w:hAnsi="Cambria" w:cs="Calibri"/>
          <w:color w:val="000000" w:themeColor="text1"/>
          <w:sz w:val="22"/>
          <w:szCs w:val="22"/>
          <w:lang w:val="en-GB"/>
        </w:rPr>
        <w:t> </w:t>
      </w:r>
      <w:r w:rsidR="00CC4B4C" w:rsidRPr="001C35E2">
        <w:rPr>
          <w:rFonts w:ascii="Cambria" w:hAnsi="Cambria" w:cs="Calibri"/>
          <w:color w:val="000000" w:themeColor="text1"/>
          <w:sz w:val="22"/>
          <w:szCs w:val="22"/>
          <w:lang w:val="en-GB"/>
        </w:rPr>
        <w:t xml:space="preserve">which </w:t>
      </w:r>
      <w:r w:rsidR="00E23A82" w:rsidRPr="001C35E2">
        <w:rPr>
          <w:rFonts w:ascii="Cambria" w:hAnsi="Cambria" w:cs="Calibri"/>
          <w:color w:val="000000" w:themeColor="text1"/>
          <w:sz w:val="22"/>
          <w:szCs w:val="22"/>
          <w:lang w:val="en-GB"/>
        </w:rPr>
        <w:t>inactivates the active form of vitamin</w:t>
      </w:r>
      <w:r w:rsidR="00950D21" w:rsidRPr="001C35E2">
        <w:rPr>
          <w:rFonts w:ascii="Cambria" w:hAnsi="Cambria" w:cs="Calibri"/>
          <w:color w:val="000000" w:themeColor="text1"/>
          <w:sz w:val="22"/>
          <w:szCs w:val="22"/>
          <w:lang w:val="en-GB"/>
        </w:rPr>
        <w:t>-</w:t>
      </w:r>
      <w:r w:rsidR="00E23A82" w:rsidRPr="001C35E2">
        <w:rPr>
          <w:rFonts w:ascii="Cambria" w:hAnsi="Cambria" w:cs="Calibri"/>
          <w:color w:val="000000" w:themeColor="text1"/>
          <w:sz w:val="22"/>
          <w:szCs w:val="22"/>
          <w:lang w:val="en-GB"/>
        </w:rPr>
        <w:t xml:space="preserve">D. </w:t>
      </w:r>
    </w:p>
    <w:p w14:paraId="5102F9C1" w14:textId="65476CF2" w:rsidR="0034085B" w:rsidRPr="001C35E2" w:rsidRDefault="0034085B" w:rsidP="00234700">
      <w:pPr>
        <w:pStyle w:val="NormalWeb"/>
        <w:shd w:val="clear" w:color="auto" w:fill="FFFFFF"/>
        <w:spacing w:after="0"/>
        <w:rPr>
          <w:rFonts w:ascii="Cambria" w:hAnsi="Cambria" w:cs="Calibri"/>
          <w:color w:val="000000" w:themeColor="text1"/>
          <w:sz w:val="22"/>
          <w:szCs w:val="22"/>
          <w:lang w:val="en-GB"/>
        </w:rPr>
      </w:pPr>
      <w:r w:rsidRPr="001C35E2">
        <w:rPr>
          <w:rFonts w:ascii="Cambria" w:hAnsi="Cambria" w:cs="Calibri"/>
          <w:color w:val="000000" w:themeColor="text1"/>
          <w:sz w:val="22"/>
          <w:szCs w:val="22"/>
          <w:lang w:val="en-GB"/>
        </w:rPr>
        <w:t>We searched for each of these SNPs in the MoBa sample. Where the specific genetic variant was not available, we searched for suitable proxies at r</w:t>
      </w:r>
      <w:r w:rsidRPr="001C35E2">
        <w:rPr>
          <w:rFonts w:ascii="Cambria" w:hAnsi="Cambria" w:cs="Calibri"/>
          <w:color w:val="000000" w:themeColor="text1"/>
          <w:sz w:val="22"/>
          <w:szCs w:val="22"/>
          <w:vertAlign w:val="superscript"/>
          <w:lang w:val="en-GB"/>
        </w:rPr>
        <w:t>2</w:t>
      </w:r>
      <w:r w:rsidRPr="001C35E2">
        <w:rPr>
          <w:rFonts w:ascii="Cambria" w:hAnsi="Cambria" w:cs="Calibri"/>
          <w:color w:val="000000" w:themeColor="text1"/>
          <w:sz w:val="22"/>
          <w:szCs w:val="22"/>
          <w:lang w:val="en-GB"/>
        </w:rPr>
        <w:t xml:space="preserve">&gt;0.8. All SNPs were available and passed QC with the exception of </w:t>
      </w:r>
      <w:r w:rsidR="00E23A82" w:rsidRPr="001C35E2">
        <w:rPr>
          <w:rFonts w:ascii="Cambria" w:hAnsi="Cambria" w:cs="Calibri"/>
          <w:color w:val="000000" w:themeColor="text1"/>
          <w:sz w:val="22"/>
          <w:szCs w:val="22"/>
          <w:lang w:val="en-GB"/>
        </w:rPr>
        <w:t>rs6013897</w:t>
      </w:r>
      <w:r w:rsidRPr="001C35E2">
        <w:rPr>
          <w:rFonts w:ascii="Cambria" w:hAnsi="Cambria" w:cs="Calibri"/>
          <w:color w:val="000000" w:themeColor="text1"/>
          <w:sz w:val="22"/>
          <w:szCs w:val="22"/>
          <w:lang w:val="en-GB"/>
        </w:rPr>
        <w:t xml:space="preserve">, for which no suitable proxies could be found. Given that only individual SNPs are available for analysis, we conducted Wald Ratios for each SNP individually and conducted an inverse-variance weighted meta-analysis. </w:t>
      </w:r>
    </w:p>
    <w:p w14:paraId="57B1864D" w14:textId="77777777" w:rsidR="00F57C99" w:rsidRPr="001C35E2" w:rsidRDefault="00F57C99" w:rsidP="00234700">
      <w:pPr>
        <w:pStyle w:val="NormalWeb"/>
        <w:shd w:val="clear" w:color="auto" w:fill="FFFFFF"/>
        <w:spacing w:after="0"/>
        <w:rPr>
          <w:rFonts w:ascii="Cambria" w:hAnsi="Cambria" w:cs="Calibri"/>
          <w:color w:val="000000" w:themeColor="text1"/>
          <w:sz w:val="22"/>
          <w:szCs w:val="22"/>
          <w:lang w:val="en-GB"/>
        </w:rPr>
      </w:pPr>
    </w:p>
    <w:p w14:paraId="40D7B389" w14:textId="5BEDB326" w:rsidR="0034085B" w:rsidRPr="001C35E2" w:rsidRDefault="0034085B" w:rsidP="00234700">
      <w:pPr>
        <w:pStyle w:val="NormalWeb"/>
        <w:shd w:val="clear" w:color="auto" w:fill="FFFFFF"/>
        <w:spacing w:after="0"/>
        <w:rPr>
          <w:rFonts w:ascii="Cambria" w:hAnsi="Cambria" w:cs="Calibri"/>
          <w:color w:val="000000" w:themeColor="text1"/>
          <w:sz w:val="22"/>
          <w:szCs w:val="22"/>
          <w:u w:val="single"/>
          <w:lang w:val="en-GB"/>
        </w:rPr>
      </w:pPr>
      <w:r w:rsidRPr="001C35E2">
        <w:rPr>
          <w:rFonts w:ascii="Cambria" w:hAnsi="Cambria" w:cs="Calibri"/>
          <w:color w:val="000000" w:themeColor="text1"/>
          <w:sz w:val="22"/>
          <w:szCs w:val="22"/>
          <w:u w:val="single"/>
          <w:lang w:val="en-GB"/>
        </w:rPr>
        <w:t>Results</w:t>
      </w:r>
    </w:p>
    <w:p w14:paraId="27214C7D" w14:textId="0007D9AB" w:rsidR="0034085B" w:rsidRPr="001C35E2" w:rsidRDefault="000161A2" w:rsidP="00234700">
      <w:pPr>
        <w:pStyle w:val="NormalWeb"/>
        <w:shd w:val="clear" w:color="auto" w:fill="FFFFFF"/>
        <w:spacing w:after="0"/>
        <w:rPr>
          <w:rFonts w:ascii="Cambria" w:hAnsi="Cambria" w:cs="Calibri"/>
          <w:color w:val="000000" w:themeColor="text1"/>
          <w:sz w:val="22"/>
          <w:szCs w:val="22"/>
          <w:lang w:val="en-GB"/>
        </w:rPr>
      </w:pPr>
      <w:r w:rsidRPr="001C35E2">
        <w:rPr>
          <w:rFonts w:ascii="Cambria" w:hAnsi="Cambria" w:cs="Calibri"/>
          <w:color w:val="000000" w:themeColor="text1"/>
          <w:sz w:val="22"/>
          <w:szCs w:val="22"/>
          <w:lang w:val="en-GB"/>
        </w:rPr>
        <w:t>For DHA, neither of the canonical SNPs were associated with any of the neurodevelopmental outcomes (see Figure S</w:t>
      </w:r>
      <w:r w:rsidR="006F7CE1" w:rsidRPr="001C35E2">
        <w:rPr>
          <w:rFonts w:ascii="Cambria" w:hAnsi="Cambria" w:cs="Calibri"/>
          <w:color w:val="000000" w:themeColor="text1"/>
          <w:sz w:val="22"/>
          <w:szCs w:val="22"/>
          <w:lang w:val="en-GB"/>
        </w:rPr>
        <w:t>9</w:t>
      </w:r>
      <w:r w:rsidRPr="001C35E2">
        <w:rPr>
          <w:rFonts w:ascii="Cambria" w:hAnsi="Cambria" w:cs="Calibri"/>
          <w:color w:val="000000" w:themeColor="text1"/>
          <w:sz w:val="22"/>
          <w:szCs w:val="22"/>
          <w:lang w:val="en-GB"/>
        </w:rPr>
        <w:t xml:space="preserve">).  </w:t>
      </w:r>
      <w:r w:rsidR="00E5510F" w:rsidRPr="001C35E2">
        <w:rPr>
          <w:rFonts w:ascii="Cambria" w:hAnsi="Cambria" w:cs="Calibri"/>
          <w:color w:val="000000" w:themeColor="text1"/>
          <w:sz w:val="22"/>
          <w:szCs w:val="22"/>
          <w:lang w:val="en-GB"/>
        </w:rPr>
        <w:t xml:space="preserve">For vitamin-D canonical SNPs, there was some weak evidence for an association between </w:t>
      </w:r>
      <w:r w:rsidR="00BF3A06" w:rsidRPr="001C35E2">
        <w:rPr>
          <w:rFonts w:ascii="Cambria" w:hAnsi="Cambria" w:cs="Calibri"/>
          <w:color w:val="000000" w:themeColor="text1"/>
          <w:sz w:val="22"/>
          <w:szCs w:val="22"/>
          <w:lang w:val="en-GB"/>
        </w:rPr>
        <w:t>r</w:t>
      </w:r>
      <w:r w:rsidR="00E23A82" w:rsidRPr="001C35E2">
        <w:rPr>
          <w:rFonts w:ascii="Cambria" w:hAnsi="Cambria" w:cs="Calibri"/>
          <w:color w:val="000000" w:themeColor="text1"/>
          <w:sz w:val="22"/>
          <w:szCs w:val="22"/>
          <w:lang w:val="en-GB"/>
        </w:rPr>
        <w:t>s2282679</w:t>
      </w:r>
      <w:r w:rsidR="00BF3A06" w:rsidRPr="001C35E2">
        <w:rPr>
          <w:rFonts w:ascii="Cambria" w:hAnsi="Cambria" w:cs="Calibri"/>
          <w:color w:val="000000" w:themeColor="text1"/>
          <w:sz w:val="22"/>
          <w:szCs w:val="22"/>
          <w:lang w:val="en-GB"/>
        </w:rPr>
        <w:t xml:space="preserve"> alleles and inattention at age 5 years, as well as total ADHD symptoms and </w:t>
      </w:r>
      <w:r w:rsidR="002F0369" w:rsidRPr="001C35E2">
        <w:rPr>
          <w:rFonts w:ascii="Cambria" w:hAnsi="Cambria" w:cs="Calibri"/>
          <w:color w:val="000000" w:themeColor="text1"/>
          <w:sz w:val="22"/>
          <w:szCs w:val="22"/>
          <w:lang w:val="en-GB"/>
        </w:rPr>
        <w:t>inattention at age 8 years (see Figure S</w:t>
      </w:r>
      <w:r w:rsidR="006F7CE1" w:rsidRPr="001C35E2">
        <w:rPr>
          <w:rFonts w:ascii="Cambria" w:hAnsi="Cambria" w:cs="Calibri"/>
          <w:color w:val="000000" w:themeColor="text1"/>
          <w:sz w:val="22"/>
          <w:szCs w:val="22"/>
          <w:lang w:val="en-GB"/>
        </w:rPr>
        <w:t>10</w:t>
      </w:r>
      <w:r w:rsidR="002F0369" w:rsidRPr="001C35E2">
        <w:rPr>
          <w:rFonts w:ascii="Cambria" w:hAnsi="Cambria" w:cs="Calibri"/>
          <w:color w:val="000000" w:themeColor="text1"/>
          <w:sz w:val="22"/>
          <w:szCs w:val="22"/>
          <w:lang w:val="en-GB"/>
        </w:rPr>
        <w:t xml:space="preserve">). These associations are weak, </w:t>
      </w:r>
      <w:r w:rsidR="00E9213A" w:rsidRPr="001C35E2">
        <w:rPr>
          <w:rFonts w:ascii="Cambria" w:hAnsi="Cambria" w:cs="Calibri"/>
          <w:color w:val="000000" w:themeColor="text1"/>
          <w:sz w:val="22"/>
          <w:szCs w:val="22"/>
          <w:lang w:val="en-GB"/>
        </w:rPr>
        <w:t xml:space="preserve">but they are less likely to be biased by parenting or lifestyle factors and more likely to suggest </w:t>
      </w:r>
      <w:r w:rsidR="00CA6238" w:rsidRPr="001C35E2">
        <w:rPr>
          <w:rFonts w:ascii="Cambria" w:hAnsi="Cambria" w:cs="Calibri"/>
          <w:color w:val="000000" w:themeColor="text1"/>
          <w:sz w:val="22"/>
          <w:szCs w:val="22"/>
          <w:lang w:val="en-GB"/>
        </w:rPr>
        <w:t xml:space="preserve">true causal effects of vitamin-D levels. </w:t>
      </w:r>
    </w:p>
    <w:p w14:paraId="3484EAF9" w14:textId="77777777" w:rsidR="00037286" w:rsidRPr="001C35E2" w:rsidRDefault="00037286" w:rsidP="00234700">
      <w:pPr>
        <w:pStyle w:val="NormalWeb"/>
        <w:shd w:val="clear" w:color="auto" w:fill="FFFFFF"/>
        <w:spacing w:after="0"/>
        <w:rPr>
          <w:rFonts w:ascii="Cambria" w:hAnsi="Cambria" w:cs="Calibri"/>
          <w:b/>
          <w:bCs/>
          <w:color w:val="000000" w:themeColor="text1"/>
          <w:sz w:val="22"/>
          <w:szCs w:val="22"/>
          <w:lang w:val="en-GB"/>
        </w:rPr>
      </w:pPr>
    </w:p>
    <w:p w14:paraId="0426375A" w14:textId="77777777" w:rsidR="00037286" w:rsidRPr="001C35E2" w:rsidRDefault="00037286" w:rsidP="00F5610C">
      <w:pPr>
        <w:pStyle w:val="NormalWeb"/>
        <w:shd w:val="clear" w:color="auto" w:fill="FFFFFF"/>
        <w:spacing w:after="0"/>
        <w:rPr>
          <w:rFonts w:ascii="Cambria" w:hAnsi="Cambria" w:cs="Calibri"/>
          <w:b/>
          <w:bCs/>
          <w:color w:val="000000" w:themeColor="text1"/>
          <w:sz w:val="22"/>
          <w:szCs w:val="22"/>
          <w:lang w:val="en-GB"/>
        </w:rPr>
      </w:pPr>
    </w:p>
    <w:p w14:paraId="0B13F49D" w14:textId="77777777" w:rsidR="00A1516B" w:rsidRPr="001C35E2" w:rsidRDefault="00A1516B">
      <w:pPr>
        <w:rPr>
          <w:rFonts w:ascii="Cambria" w:hAnsi="Cambria" w:cs="Calibri"/>
          <w:b/>
          <w:bCs/>
          <w:color w:val="000000" w:themeColor="text1"/>
          <w:sz w:val="22"/>
          <w:szCs w:val="22"/>
        </w:rPr>
      </w:pPr>
      <w:r w:rsidRPr="001C35E2">
        <w:rPr>
          <w:rFonts w:ascii="Cambria" w:hAnsi="Cambria" w:cs="Calibri"/>
          <w:b/>
          <w:bCs/>
          <w:color w:val="000000" w:themeColor="text1"/>
          <w:sz w:val="22"/>
          <w:szCs w:val="22"/>
        </w:rPr>
        <w:br w:type="page"/>
      </w:r>
    </w:p>
    <w:p w14:paraId="594A3D88" w14:textId="2D6B17A6" w:rsidR="00037286" w:rsidRPr="001C35E2" w:rsidRDefault="00037286" w:rsidP="00F5610C">
      <w:pPr>
        <w:pStyle w:val="NormalWeb"/>
        <w:shd w:val="clear" w:color="auto" w:fill="FFFFFF"/>
        <w:spacing w:after="0"/>
        <w:rPr>
          <w:rFonts w:ascii="Cambria" w:hAnsi="Cambria" w:cs="Calibri"/>
          <w:b/>
          <w:bCs/>
          <w:color w:val="000000" w:themeColor="text1"/>
          <w:sz w:val="22"/>
          <w:szCs w:val="22"/>
          <w:lang w:val="en-GB"/>
        </w:rPr>
      </w:pPr>
      <w:r w:rsidRPr="001C35E2">
        <w:rPr>
          <w:rFonts w:ascii="Cambria" w:hAnsi="Cambria" w:cs="Calibri"/>
          <w:b/>
          <w:bCs/>
          <w:color w:val="000000" w:themeColor="text1"/>
          <w:sz w:val="22"/>
          <w:szCs w:val="22"/>
          <w:lang w:val="en-GB"/>
        </w:rPr>
        <w:lastRenderedPageBreak/>
        <w:t xml:space="preserve">Note 5. </w:t>
      </w:r>
      <w:r w:rsidR="00E308A7" w:rsidRPr="001C35E2">
        <w:rPr>
          <w:rFonts w:ascii="Cambria" w:hAnsi="Cambria" w:cs="Calibri"/>
          <w:b/>
          <w:bCs/>
          <w:color w:val="000000" w:themeColor="text1"/>
          <w:sz w:val="22"/>
          <w:szCs w:val="22"/>
          <w:lang w:val="en-GB"/>
        </w:rPr>
        <w:t>MR Sensitivity analyses and testing the assumption of no horizontal pleiotropy</w:t>
      </w:r>
    </w:p>
    <w:p w14:paraId="7CFC6F98" w14:textId="77777777" w:rsidR="00FB5F61" w:rsidRPr="001C35E2" w:rsidRDefault="00FB5F61" w:rsidP="00037286">
      <w:pPr>
        <w:rPr>
          <w:rFonts w:ascii="Cambria" w:hAnsi="Cambria" w:cs="Arial"/>
          <w:color w:val="000000" w:themeColor="text1"/>
          <w:sz w:val="22"/>
          <w:szCs w:val="22"/>
        </w:rPr>
      </w:pPr>
    </w:p>
    <w:p w14:paraId="725231D1" w14:textId="57E6614B" w:rsidR="00F50842" w:rsidRPr="001C35E2" w:rsidRDefault="00FB5F61" w:rsidP="00F50842">
      <w:pPr>
        <w:rPr>
          <w:rFonts w:ascii="Cambria" w:hAnsi="Cambria" w:cs="Arial"/>
          <w:color w:val="000000" w:themeColor="text1"/>
          <w:sz w:val="22"/>
          <w:szCs w:val="22"/>
          <w:shd w:val="clear" w:color="auto" w:fill="FFFFFF"/>
        </w:rPr>
      </w:pPr>
      <w:r w:rsidRPr="001C35E2">
        <w:rPr>
          <w:rFonts w:ascii="Cambria" w:hAnsi="Cambria" w:cs="Arial"/>
          <w:color w:val="000000" w:themeColor="text1"/>
          <w:sz w:val="22"/>
          <w:szCs w:val="22"/>
        </w:rPr>
        <w:t>A</w:t>
      </w:r>
      <w:r w:rsidR="00037286" w:rsidRPr="001C35E2">
        <w:rPr>
          <w:rFonts w:ascii="Cambria" w:hAnsi="Cambria" w:cs="Arial"/>
          <w:color w:val="000000" w:themeColor="text1"/>
          <w:sz w:val="22"/>
          <w:szCs w:val="22"/>
        </w:rPr>
        <w:t>ssumptions 2 and 3</w:t>
      </w:r>
      <w:r w:rsidRPr="001C35E2">
        <w:rPr>
          <w:rFonts w:ascii="Cambria" w:hAnsi="Cambria" w:cs="Arial"/>
          <w:color w:val="000000" w:themeColor="text1"/>
          <w:sz w:val="22"/>
          <w:szCs w:val="22"/>
        </w:rPr>
        <w:t xml:space="preserve"> of Mendelian randomisation can be violated by the presence of horizontal pleiotropy – when a genetic instrument for the exposure is associated with the outcome through pathways other than via the exposure. W</w:t>
      </w:r>
      <w:r w:rsidR="00037286" w:rsidRPr="001C35E2">
        <w:rPr>
          <w:rFonts w:ascii="Cambria" w:hAnsi="Cambria" w:cs="Arial"/>
          <w:color w:val="000000" w:themeColor="text1"/>
          <w:sz w:val="22"/>
          <w:szCs w:val="22"/>
          <w:shd w:val="clear" w:color="auto" w:fill="FFFFFF"/>
        </w:rPr>
        <w:t>e conducted 3 additional sensitivity methods with different assumptions about the nature of possible pleiotropic effects</w:t>
      </w:r>
      <w:r w:rsidR="00E25E30" w:rsidRPr="001C35E2">
        <w:rPr>
          <w:rFonts w:ascii="Cambria" w:hAnsi="Cambria" w:cs="Arial"/>
          <w:color w:val="000000" w:themeColor="text1"/>
          <w:sz w:val="22"/>
          <w:szCs w:val="22"/>
          <w:shd w:val="clear" w:color="auto" w:fill="FFFFFF"/>
        </w:rPr>
        <w:t xml:space="preserve">. First, the </w:t>
      </w:r>
      <w:r w:rsidR="00037286" w:rsidRPr="001C35E2">
        <w:rPr>
          <w:rFonts w:ascii="Cambria" w:hAnsi="Cambria" w:cs="Arial"/>
          <w:color w:val="000000" w:themeColor="text1"/>
          <w:sz w:val="22"/>
          <w:szCs w:val="22"/>
          <w:shd w:val="clear" w:color="auto" w:fill="FFFFFF"/>
        </w:rPr>
        <w:t xml:space="preserve">weighted median </w:t>
      </w:r>
      <w:r w:rsidR="00E25E30" w:rsidRPr="001C35E2">
        <w:rPr>
          <w:rFonts w:ascii="Cambria" w:hAnsi="Cambria" w:cs="Arial"/>
          <w:color w:val="000000" w:themeColor="text1"/>
          <w:sz w:val="22"/>
          <w:szCs w:val="22"/>
          <w:shd w:val="clear" w:color="auto" w:fill="FFFFFF"/>
        </w:rPr>
        <w:t xml:space="preserve">method </w:t>
      </w:r>
      <w:r w:rsidR="00037286" w:rsidRPr="001C35E2">
        <w:rPr>
          <w:rFonts w:ascii="Cambria" w:hAnsi="Cambria" w:cs="Arial"/>
          <w:color w:val="000000" w:themeColor="text1"/>
          <w:sz w:val="22"/>
          <w:szCs w:val="22"/>
          <w:shd w:val="clear" w:color="auto" w:fill="FFFFFF"/>
        </w:rPr>
        <w:t>assumes at least 50% of the total weight of the instrument comes from valid variants</w:t>
      </w:r>
      <w:r w:rsidR="0000654D" w:rsidRPr="001C35E2">
        <w:rPr>
          <w:rFonts w:ascii="Cambria" w:hAnsi="Cambria" w:cs="Arial"/>
          <w:color w:val="000000" w:themeColor="text1"/>
          <w:sz w:val="22"/>
          <w:szCs w:val="22"/>
          <w:shd w:val="clear" w:color="auto" w:fill="FFFFFF"/>
        </w:rPr>
        <w:t xml:space="preserve"> </w:t>
      </w:r>
      <w:r w:rsidR="00037286" w:rsidRPr="001C35E2">
        <w:rPr>
          <w:rFonts w:ascii="Cambria" w:hAnsi="Cambria" w:cs="Arial"/>
          <w:color w:val="000000" w:themeColor="text1"/>
          <w:sz w:val="22"/>
          <w:szCs w:val="22"/>
          <w:shd w:val="clear" w:color="auto" w:fill="FFFFFF"/>
        </w:rPr>
        <w:fldChar w:fldCharType="begin"/>
      </w:r>
      <w:r w:rsidR="00713FAA" w:rsidRPr="001C35E2">
        <w:rPr>
          <w:rFonts w:ascii="Cambria" w:hAnsi="Cambria" w:cs="Arial"/>
          <w:color w:val="000000" w:themeColor="text1"/>
          <w:sz w:val="22"/>
          <w:szCs w:val="22"/>
          <w:shd w:val="clear" w:color="auto" w:fill="FFFFFF"/>
        </w:rPr>
        <w:instrText xml:space="preserve"> ADDIN ZOTERO_ITEM CSL_CITATION {"citationID":"ahdcjg3q1b","properties":{"formattedCitation":"(Bowden et al., 2016)","plainCitation":"(Bowden et al., 2016)","noteIndex":0},"citationItems":[{"id":720,"uris":["http://zotero.org/users/5402137/items/BRMH9N4N"],"itemData":{"id":720,"type":"article-journal","container-title":"Genetic epidemiology","issue":"4","page":"304–314","source":"Google Scholar","title":"Consistent estimation in Mendelian randomization with some invalid instruments using a weighted median estimator","volume":"40","author":[{"family":"Bowden","given":"Jack"},{"family":"Davey Smith","given":"George"},{"family":"Haycock","given":"Philip C."},{"family":"Burgess","given":"Stephen"}],"issued":{"date-parts":[["2016"]]}}}],"schema":"https://github.com/citation-style-language/schema/raw/master/csl-citation.json"} </w:instrText>
      </w:r>
      <w:r w:rsidR="00037286" w:rsidRPr="001C35E2">
        <w:rPr>
          <w:rFonts w:ascii="Cambria" w:hAnsi="Cambria" w:cs="Arial"/>
          <w:color w:val="000000" w:themeColor="text1"/>
          <w:sz w:val="22"/>
          <w:szCs w:val="22"/>
          <w:shd w:val="clear" w:color="auto" w:fill="FFFFFF"/>
        </w:rPr>
        <w:fldChar w:fldCharType="separate"/>
      </w:r>
      <w:r w:rsidR="0062285E" w:rsidRPr="001C35E2">
        <w:rPr>
          <w:rFonts w:ascii="Cambria" w:hAnsi="Cambria" w:cs="Times New Roman"/>
          <w:color w:val="000000"/>
          <w:sz w:val="22"/>
        </w:rPr>
        <w:t>(Bowden et al., 2016)</w:t>
      </w:r>
      <w:r w:rsidR="00037286" w:rsidRPr="001C35E2">
        <w:rPr>
          <w:rFonts w:ascii="Cambria" w:hAnsi="Cambria" w:cs="Arial"/>
          <w:color w:val="000000" w:themeColor="text1"/>
          <w:sz w:val="22"/>
          <w:szCs w:val="22"/>
          <w:shd w:val="clear" w:color="auto" w:fill="FFFFFF"/>
        </w:rPr>
        <w:fldChar w:fldCharType="end"/>
      </w:r>
      <w:r w:rsidR="00E25E30" w:rsidRPr="001C35E2">
        <w:rPr>
          <w:rFonts w:ascii="Cambria" w:hAnsi="Cambria" w:cs="Arial"/>
          <w:color w:val="000000" w:themeColor="text1"/>
          <w:sz w:val="22"/>
          <w:szCs w:val="22"/>
          <w:shd w:val="clear" w:color="auto" w:fill="FFFFFF"/>
        </w:rPr>
        <w:t>. Second</w:t>
      </w:r>
      <w:r w:rsidR="00037286" w:rsidRPr="001C35E2">
        <w:rPr>
          <w:rFonts w:ascii="Cambria" w:hAnsi="Cambria" w:cs="Arial"/>
          <w:color w:val="000000" w:themeColor="text1"/>
          <w:sz w:val="22"/>
          <w:szCs w:val="22"/>
          <w:shd w:val="clear" w:color="auto" w:fill="FFFFFF"/>
        </w:rPr>
        <w:t xml:space="preserve">, MR Egger </w:t>
      </w:r>
      <w:r w:rsidR="00E25E30" w:rsidRPr="001C35E2">
        <w:rPr>
          <w:rFonts w:ascii="Cambria" w:hAnsi="Cambria" w:cs="Arial"/>
          <w:color w:val="000000" w:themeColor="text1"/>
          <w:sz w:val="22"/>
          <w:szCs w:val="22"/>
          <w:shd w:val="clear" w:color="auto" w:fill="FFFFFF"/>
        </w:rPr>
        <w:t xml:space="preserve">which </w:t>
      </w:r>
      <w:r w:rsidR="00037286" w:rsidRPr="001C35E2">
        <w:rPr>
          <w:rFonts w:ascii="Cambria" w:hAnsi="Cambria" w:cs="Arial"/>
          <w:color w:val="000000" w:themeColor="text1"/>
          <w:sz w:val="22"/>
          <w:szCs w:val="22"/>
          <w:shd w:val="clear" w:color="auto" w:fill="FFFFFF"/>
        </w:rPr>
        <w:t>allows all genetic instruments to violate MR assumption 3</w:t>
      </w:r>
      <w:r w:rsidR="00E25E30" w:rsidRPr="001C35E2">
        <w:rPr>
          <w:rFonts w:ascii="Cambria" w:hAnsi="Cambria" w:cs="Arial"/>
          <w:color w:val="000000" w:themeColor="text1"/>
          <w:sz w:val="22"/>
          <w:szCs w:val="22"/>
          <w:shd w:val="clear" w:color="auto" w:fill="FFFFFF"/>
        </w:rPr>
        <w:t xml:space="preserve"> but makes the additional </w:t>
      </w:r>
      <w:r w:rsidR="00417299" w:rsidRPr="001C35E2">
        <w:rPr>
          <w:rFonts w:ascii="Cambria" w:hAnsi="Cambria" w:cs="Arial"/>
          <w:color w:val="000000" w:themeColor="text1"/>
          <w:sz w:val="22"/>
          <w:szCs w:val="22"/>
          <w:shd w:val="clear" w:color="auto" w:fill="FFFFFF"/>
        </w:rPr>
        <w:t>Instrument Strength Independent of Direct Effect (InSIDE) assumption. This assumption states that the association between the genetic instrument and exposure should not be correlated with path from the genetic instrument to the outcome that is independent of the exposure of interest</w:t>
      </w:r>
      <w:r w:rsidR="0000654D" w:rsidRPr="001C35E2">
        <w:rPr>
          <w:rFonts w:ascii="Cambria" w:hAnsi="Cambria" w:cs="Arial"/>
          <w:color w:val="000000" w:themeColor="text1"/>
          <w:sz w:val="22"/>
          <w:szCs w:val="22"/>
          <w:shd w:val="clear" w:color="auto" w:fill="FFFFFF"/>
        </w:rPr>
        <w:t xml:space="preserve"> </w:t>
      </w:r>
      <w:r w:rsidR="00037286" w:rsidRPr="001C35E2">
        <w:rPr>
          <w:rFonts w:ascii="Cambria" w:hAnsi="Cambria" w:cs="Arial"/>
          <w:color w:val="000000" w:themeColor="text1"/>
          <w:sz w:val="22"/>
          <w:szCs w:val="22"/>
          <w:shd w:val="clear" w:color="auto" w:fill="FFFFFF"/>
        </w:rPr>
        <w:fldChar w:fldCharType="begin"/>
      </w:r>
      <w:r w:rsidR="00713FAA" w:rsidRPr="001C35E2">
        <w:rPr>
          <w:rFonts w:ascii="Cambria" w:hAnsi="Cambria" w:cs="Arial"/>
          <w:color w:val="000000" w:themeColor="text1"/>
          <w:sz w:val="22"/>
          <w:szCs w:val="22"/>
          <w:shd w:val="clear" w:color="auto" w:fill="FFFFFF"/>
        </w:rPr>
        <w:instrText xml:space="preserve"> ADDIN ZOTERO_ITEM CSL_CITATION {"citationID":"a28u0v2goiv","properties":{"formattedCitation":"(Bowden et al., 2015)","plainCitation":"(Bowden et al., 2015)","noteIndex":0},"citationItems":[{"id":320,"uris":["http://zotero.org/users/5402137/items/B2KAWG6A"],"itemData":{"id":320,"type":"article-journal","container-title":"International journal of epidemiology","issue":"2","page":"512–525","source":"Google Scholar","title":"Mendelian randomization with invalid instruments: effect estimation and bias detection through Egger regression","title-short":"Mendelian randomization with invalid instruments","volume":"44","author":[{"family":"Bowden","given":"Jack"},{"family":"Davey Smith","given":"George"},{"family":"Burgess","given":"Stephen"}],"issued":{"date-parts":[["2015"]]}}}],"schema":"https://github.com/citation-style-language/schema/raw/master/csl-citation.json"} </w:instrText>
      </w:r>
      <w:r w:rsidR="00037286" w:rsidRPr="001C35E2">
        <w:rPr>
          <w:rFonts w:ascii="Cambria" w:hAnsi="Cambria" w:cs="Arial"/>
          <w:color w:val="000000" w:themeColor="text1"/>
          <w:sz w:val="22"/>
          <w:szCs w:val="22"/>
          <w:shd w:val="clear" w:color="auto" w:fill="FFFFFF"/>
        </w:rPr>
        <w:fldChar w:fldCharType="separate"/>
      </w:r>
      <w:r w:rsidR="0062285E" w:rsidRPr="001C35E2">
        <w:rPr>
          <w:rFonts w:ascii="Cambria" w:hAnsi="Cambria" w:cs="Times New Roman"/>
          <w:color w:val="000000"/>
          <w:sz w:val="22"/>
        </w:rPr>
        <w:t>(Bowden et al., 2015)</w:t>
      </w:r>
      <w:r w:rsidR="00037286" w:rsidRPr="001C35E2">
        <w:rPr>
          <w:rFonts w:ascii="Cambria" w:hAnsi="Cambria" w:cs="Arial"/>
          <w:color w:val="000000" w:themeColor="text1"/>
          <w:sz w:val="22"/>
          <w:szCs w:val="22"/>
          <w:shd w:val="clear" w:color="auto" w:fill="FFFFFF"/>
        </w:rPr>
        <w:fldChar w:fldCharType="end"/>
      </w:r>
      <w:r w:rsidR="00F50842" w:rsidRPr="001C35E2">
        <w:rPr>
          <w:rFonts w:ascii="Cambria" w:hAnsi="Cambria" w:cs="Arial"/>
          <w:color w:val="000000" w:themeColor="text1"/>
          <w:sz w:val="22"/>
          <w:szCs w:val="22"/>
          <w:shd w:val="clear" w:color="auto" w:fill="FFFFFF"/>
        </w:rPr>
        <w:t xml:space="preserve">. Third, we used the </w:t>
      </w:r>
      <w:r w:rsidR="00037286" w:rsidRPr="001C35E2">
        <w:rPr>
          <w:rFonts w:ascii="Cambria" w:hAnsi="Cambria" w:cs="Arial"/>
          <w:color w:val="000000" w:themeColor="text1"/>
          <w:sz w:val="22"/>
          <w:szCs w:val="22"/>
          <w:shd w:val="clear" w:color="auto" w:fill="FFFFFF"/>
        </w:rPr>
        <w:t xml:space="preserve">weighted mode </w:t>
      </w:r>
      <w:r w:rsidR="00F50842" w:rsidRPr="001C35E2">
        <w:rPr>
          <w:rFonts w:ascii="Cambria" w:hAnsi="Cambria" w:cs="Arial"/>
          <w:color w:val="000000" w:themeColor="text1"/>
          <w:sz w:val="22"/>
          <w:szCs w:val="22"/>
          <w:shd w:val="clear" w:color="auto" w:fill="FFFFFF"/>
        </w:rPr>
        <w:t xml:space="preserve">method, which </w:t>
      </w:r>
      <w:r w:rsidR="00037286" w:rsidRPr="001C35E2">
        <w:rPr>
          <w:rFonts w:ascii="Cambria" w:hAnsi="Cambria" w:cs="Arial"/>
          <w:color w:val="000000" w:themeColor="text1"/>
          <w:sz w:val="22"/>
          <w:szCs w:val="22"/>
          <w:shd w:val="clear" w:color="auto" w:fill="FFFFFF"/>
        </w:rPr>
        <w:t>assumes  the most common causal effect is consistent with the true causal effect</w:t>
      </w:r>
      <w:r w:rsidR="0000654D" w:rsidRPr="001C35E2">
        <w:rPr>
          <w:rFonts w:ascii="Cambria" w:hAnsi="Cambria" w:cs="Arial"/>
          <w:color w:val="000000" w:themeColor="text1"/>
          <w:sz w:val="22"/>
          <w:szCs w:val="22"/>
          <w:shd w:val="clear" w:color="auto" w:fill="FFFFFF"/>
        </w:rPr>
        <w:t xml:space="preserve"> </w:t>
      </w:r>
      <w:r w:rsidR="00037286" w:rsidRPr="001C35E2">
        <w:rPr>
          <w:rFonts w:ascii="Cambria" w:hAnsi="Cambria" w:cs="Arial"/>
          <w:color w:val="000000" w:themeColor="text1"/>
          <w:sz w:val="22"/>
          <w:szCs w:val="22"/>
          <w:shd w:val="clear" w:color="auto" w:fill="FFFFFF"/>
        </w:rPr>
        <w:fldChar w:fldCharType="begin"/>
      </w:r>
      <w:r w:rsidR="00713FAA" w:rsidRPr="001C35E2">
        <w:rPr>
          <w:rFonts w:ascii="Cambria" w:hAnsi="Cambria" w:cs="Arial"/>
          <w:color w:val="000000" w:themeColor="text1"/>
          <w:sz w:val="22"/>
          <w:szCs w:val="22"/>
          <w:shd w:val="clear" w:color="auto" w:fill="FFFFFF"/>
        </w:rPr>
        <w:instrText xml:space="preserve"> ADDIN ZOTERO_ITEM CSL_CITATION {"citationID":"a1pjdqp4nv6","properties":{"formattedCitation":"(Hartwig et al., 2017)","plainCitation":"(Hartwig et al., 2017)","noteIndex":0},"citationItems":[{"id":1092,"uris":["http://zotero.org/users/5402137/items/BNI482V9"],"itemData":{"id":1092,"type":"article-journal","abstract":"Background: Mendelian randomization (MR) is being increasingly used to strengthen causal inference in observational studies. Availability of summary data of genetic associations for a variety of phenotypes from large genome-wide association studies (GWAS) allows straightforward application of MR using summary data methods, typically in a two-sample design. In addition to the conventional inverse variance weighting (IVW) method, recently developed summary data MR methods, such as the MR-Egger and weighted median approaches, allow a relaxation of the instrumental variable assumptions.\nMethods: Here, a new method - the mode-based estimate (MBE) - is proposed to obtain a single causal effect estimate from multiple genetic instruments. The MBE is consistent when the largest number of similar (identical in infinite samples) individual-instrument causal effect estimates comes from valid instruments, even if the majority of instruments are invalid. We evaluate the performance of the method in simulations designed to mimic the two-sample summary data setting, and demonstrate its use by investigating the causal effect of plasma lipid fractions and urate levels on coronary heart disease risk.\nResults: The MBE presented less bias and lower type-I error rates than other methods under the null in many situations. Its power to detect a causal effect was smaller compared with the IVW and weighted median methods, but was larger than that of MR-Egger regression, with sample size requirements typically smaller than those available from GWAS consortia.\nConclusions: The MBE relaxes the instrumental variable assumptions, and should be used in combination with other approaches in sensitivity analyses.","container-title":"International Journal of Epidemiology","DOI":"10.1093/ije/dyx102","ISSN":"1464-3685","issue":"6","journalAbbreviation":"Int J Epidemiol","language":"eng","note":"PMID: 29040600\nPMCID: PMC5837715","page":"1985-1998","source":"PubMed","title":"Robust inference in summary data Mendelian randomization via the zero modal pleiotropy assumption","volume":"46","author":[{"family":"Hartwig","given":"Fernando Pires"},{"family":"Davey Smith","given":"George"},{"family":"Bowden","given":"Jack"}],"issued":{"date-parts":[["2017",12,1]]}}}],"schema":"https://github.com/citation-style-language/schema/raw/master/csl-citation.json"} </w:instrText>
      </w:r>
      <w:r w:rsidR="00037286" w:rsidRPr="001C35E2">
        <w:rPr>
          <w:rFonts w:ascii="Cambria" w:hAnsi="Cambria" w:cs="Arial"/>
          <w:color w:val="000000" w:themeColor="text1"/>
          <w:sz w:val="22"/>
          <w:szCs w:val="22"/>
          <w:shd w:val="clear" w:color="auto" w:fill="FFFFFF"/>
        </w:rPr>
        <w:fldChar w:fldCharType="separate"/>
      </w:r>
      <w:r w:rsidR="0062285E" w:rsidRPr="001C35E2">
        <w:rPr>
          <w:rFonts w:ascii="Cambria" w:hAnsi="Cambria" w:cs="Times New Roman"/>
          <w:color w:val="000000"/>
          <w:sz w:val="22"/>
        </w:rPr>
        <w:t>(Hartwig et al., 2017)</w:t>
      </w:r>
      <w:r w:rsidR="00037286" w:rsidRPr="001C35E2">
        <w:rPr>
          <w:rFonts w:ascii="Cambria" w:hAnsi="Cambria" w:cs="Arial"/>
          <w:color w:val="000000" w:themeColor="text1"/>
          <w:sz w:val="22"/>
          <w:szCs w:val="22"/>
          <w:shd w:val="clear" w:color="auto" w:fill="FFFFFF"/>
        </w:rPr>
        <w:fldChar w:fldCharType="end"/>
      </w:r>
      <w:r w:rsidR="00037286" w:rsidRPr="001C35E2">
        <w:rPr>
          <w:rFonts w:ascii="Cambria" w:hAnsi="Cambria" w:cs="Arial"/>
          <w:color w:val="000000" w:themeColor="text1"/>
          <w:sz w:val="22"/>
          <w:szCs w:val="22"/>
          <w:shd w:val="clear" w:color="auto" w:fill="FFFFFF"/>
        </w:rPr>
        <w:t xml:space="preserve">. </w:t>
      </w:r>
    </w:p>
    <w:p w14:paraId="0B808405" w14:textId="77777777" w:rsidR="00F50842" w:rsidRPr="001C35E2" w:rsidRDefault="00F50842" w:rsidP="00F50842">
      <w:pPr>
        <w:rPr>
          <w:rFonts w:ascii="Cambria" w:hAnsi="Cambria" w:cs="Arial"/>
          <w:color w:val="000000" w:themeColor="text1"/>
          <w:sz w:val="22"/>
          <w:szCs w:val="22"/>
          <w:shd w:val="clear" w:color="auto" w:fill="FFFFFF"/>
        </w:rPr>
      </w:pPr>
    </w:p>
    <w:p w14:paraId="788C4862" w14:textId="3E56FC42" w:rsidR="00037286" w:rsidRPr="001C35E2" w:rsidRDefault="00F50842" w:rsidP="00F50842">
      <w:pPr>
        <w:rPr>
          <w:rFonts w:ascii="Cambria" w:hAnsi="Cambria" w:cs="Arial"/>
          <w:color w:val="000000" w:themeColor="text1"/>
          <w:sz w:val="22"/>
          <w:szCs w:val="22"/>
          <w:shd w:val="clear" w:color="auto" w:fill="FFFFFF"/>
        </w:rPr>
      </w:pPr>
      <w:r w:rsidRPr="001C35E2">
        <w:rPr>
          <w:rFonts w:ascii="Cambria" w:hAnsi="Cambria" w:cs="Arial"/>
          <w:color w:val="000000" w:themeColor="text1"/>
          <w:sz w:val="22"/>
          <w:szCs w:val="22"/>
          <w:shd w:val="clear" w:color="auto" w:fill="FFFFFF"/>
        </w:rPr>
        <w:t xml:space="preserve">Given the different assumptions made by each method about the nature of pleiotropy, we would consider the strongest evidence of a causal effect to occur when </w:t>
      </w:r>
      <w:r w:rsidR="00E232BB" w:rsidRPr="001C35E2">
        <w:rPr>
          <w:rFonts w:ascii="Cambria" w:hAnsi="Cambria" w:cs="Arial"/>
          <w:color w:val="000000" w:themeColor="text1"/>
          <w:sz w:val="22"/>
          <w:szCs w:val="22"/>
          <w:shd w:val="clear" w:color="auto" w:fill="FFFFFF"/>
        </w:rPr>
        <w:t xml:space="preserve">there is evidence for an effect in the IVW analysis, and the three sensitivity methods find the same direction of effect with relatively consistent effect sizes. </w:t>
      </w:r>
      <w:r w:rsidR="0020112A" w:rsidRPr="001C35E2">
        <w:rPr>
          <w:rFonts w:ascii="Cambria" w:hAnsi="Cambria" w:cs="Arial"/>
          <w:color w:val="000000" w:themeColor="text1"/>
          <w:sz w:val="22"/>
          <w:szCs w:val="22"/>
          <w:shd w:val="clear" w:color="auto" w:fill="FFFFFF"/>
        </w:rPr>
        <w:t xml:space="preserve">Results for MR Egger and weighted mode in particular tend to be less precise given that these methods require additional power. </w:t>
      </w:r>
    </w:p>
    <w:p w14:paraId="0D87F14C" w14:textId="6E7B199E" w:rsidR="00037286" w:rsidRPr="001C35E2" w:rsidRDefault="00037286" w:rsidP="00F5610C">
      <w:pPr>
        <w:pStyle w:val="NormalWeb"/>
        <w:shd w:val="clear" w:color="auto" w:fill="FFFFFF"/>
        <w:spacing w:after="0"/>
        <w:rPr>
          <w:rFonts w:ascii="Cambria" w:hAnsi="Cambria" w:cs="Calibri"/>
          <w:b/>
          <w:bCs/>
          <w:color w:val="000000" w:themeColor="text1"/>
          <w:sz w:val="22"/>
          <w:szCs w:val="22"/>
          <w:lang w:val="en-GB"/>
        </w:rPr>
        <w:sectPr w:rsidR="00037286" w:rsidRPr="001C35E2">
          <w:footerReference w:type="even" r:id="rId11"/>
          <w:footerReference w:type="default" r:id="rId12"/>
          <w:pgSz w:w="11906" w:h="16838"/>
          <w:pgMar w:top="1440" w:right="1440" w:bottom="1440" w:left="1440" w:header="708" w:footer="708" w:gutter="0"/>
          <w:cols w:space="708"/>
          <w:docGrid w:linePitch="360"/>
        </w:sectPr>
      </w:pPr>
    </w:p>
    <w:p w14:paraId="3CA70014" w14:textId="10C366BA" w:rsidR="00F5610C" w:rsidRPr="001C35E2" w:rsidRDefault="00F5610C" w:rsidP="00F5610C">
      <w:pPr>
        <w:pStyle w:val="NormalWeb"/>
        <w:shd w:val="clear" w:color="auto" w:fill="FFFFFF"/>
        <w:spacing w:after="0"/>
        <w:rPr>
          <w:rFonts w:ascii="Cambria" w:hAnsi="Cambria" w:cs="Calibri"/>
          <w:b/>
          <w:bCs/>
          <w:color w:val="000000" w:themeColor="text1"/>
          <w:sz w:val="22"/>
          <w:szCs w:val="22"/>
          <w:lang w:val="en-GB"/>
        </w:rPr>
      </w:pPr>
      <w:r w:rsidRPr="001C35E2">
        <w:rPr>
          <w:rFonts w:ascii="Cambria" w:hAnsi="Cambria" w:cs="Calibri"/>
          <w:b/>
          <w:bCs/>
          <w:color w:val="000000" w:themeColor="text1"/>
          <w:sz w:val="22"/>
          <w:szCs w:val="22"/>
          <w:lang w:val="en-GB"/>
        </w:rPr>
        <w:lastRenderedPageBreak/>
        <w:t xml:space="preserve">Supplementary Note </w:t>
      </w:r>
      <w:r w:rsidR="00234700" w:rsidRPr="001C35E2">
        <w:rPr>
          <w:rFonts w:ascii="Cambria" w:hAnsi="Cambria" w:cs="Calibri"/>
          <w:b/>
          <w:bCs/>
          <w:color w:val="000000" w:themeColor="text1"/>
          <w:sz w:val="22"/>
          <w:szCs w:val="22"/>
          <w:lang w:val="en-GB"/>
        </w:rPr>
        <w:t>6</w:t>
      </w:r>
      <w:r w:rsidRPr="001C35E2">
        <w:rPr>
          <w:rFonts w:ascii="Cambria" w:hAnsi="Cambria" w:cs="Calibri"/>
          <w:b/>
          <w:bCs/>
          <w:color w:val="000000" w:themeColor="text1"/>
          <w:sz w:val="22"/>
          <w:szCs w:val="22"/>
          <w:lang w:val="en-GB"/>
        </w:rPr>
        <w:t>. Power Calculation</w:t>
      </w:r>
    </w:p>
    <w:p w14:paraId="244150D9" w14:textId="45909F6A" w:rsidR="00647618" w:rsidRPr="001C35E2" w:rsidRDefault="00647618" w:rsidP="00F5610C">
      <w:pPr>
        <w:rPr>
          <w:rFonts w:ascii="Cambria" w:hAnsi="Cambria" w:cs="Arial"/>
          <w:b/>
          <w:bCs/>
          <w:sz w:val="22"/>
          <w:szCs w:val="22"/>
        </w:rPr>
      </w:pPr>
    </w:p>
    <w:p w14:paraId="751415AE" w14:textId="03C3117C" w:rsidR="009818A5" w:rsidRPr="001C35E2" w:rsidRDefault="004639BA" w:rsidP="00F5610C">
      <w:pPr>
        <w:rPr>
          <w:rFonts w:ascii="Cambria" w:hAnsi="Cambria" w:cs="Arial"/>
          <w:sz w:val="22"/>
          <w:szCs w:val="22"/>
        </w:rPr>
      </w:pPr>
      <w:r w:rsidRPr="001C35E2">
        <w:rPr>
          <w:rFonts w:ascii="Cambria" w:hAnsi="Cambria" w:cs="Arial"/>
          <w:sz w:val="22"/>
          <w:szCs w:val="22"/>
        </w:rPr>
        <w:t>We assessed a range of genetic instruments for micronutrients which have previously been hypothesised to be associated with neurodevelopmental outcomes in child</w:t>
      </w:r>
      <w:r w:rsidR="00E07A4D" w:rsidRPr="001C35E2">
        <w:rPr>
          <w:rFonts w:ascii="Cambria" w:hAnsi="Cambria" w:cs="Arial"/>
          <w:sz w:val="22"/>
          <w:szCs w:val="22"/>
        </w:rPr>
        <w:t>ren</w:t>
      </w:r>
      <w:r w:rsidRPr="001C35E2">
        <w:rPr>
          <w:rFonts w:ascii="Cambria" w:hAnsi="Cambria" w:cs="Arial"/>
          <w:sz w:val="22"/>
          <w:szCs w:val="22"/>
        </w:rPr>
        <w:t>.</w:t>
      </w:r>
      <w:r w:rsidR="009818A5" w:rsidRPr="001C35E2">
        <w:rPr>
          <w:rFonts w:ascii="Cambria" w:hAnsi="Cambria" w:cs="Arial"/>
          <w:sz w:val="22"/>
          <w:szCs w:val="22"/>
        </w:rPr>
        <w:t xml:space="preserve"> To be suitable for MR analysis, we required that they have:</w:t>
      </w:r>
    </w:p>
    <w:p w14:paraId="58407F58" w14:textId="6D828182" w:rsidR="004639BA" w:rsidRPr="001C35E2" w:rsidRDefault="009818A5" w:rsidP="009818A5">
      <w:pPr>
        <w:pStyle w:val="ListParagraph"/>
        <w:numPr>
          <w:ilvl w:val="0"/>
          <w:numId w:val="1"/>
        </w:numPr>
        <w:rPr>
          <w:rFonts w:ascii="Cambria" w:hAnsi="Cambria" w:cs="Arial"/>
          <w:sz w:val="22"/>
          <w:szCs w:val="22"/>
        </w:rPr>
      </w:pPr>
      <w:r w:rsidRPr="001C35E2">
        <w:rPr>
          <w:rFonts w:ascii="Cambria" w:hAnsi="Cambria" w:cs="Arial"/>
          <w:sz w:val="22"/>
          <w:szCs w:val="22"/>
        </w:rPr>
        <w:t>At least 10 genome-wide significant SNPs</w:t>
      </w:r>
      <w:r w:rsidR="004639BA" w:rsidRPr="001C35E2">
        <w:rPr>
          <w:rFonts w:ascii="Cambria" w:hAnsi="Cambria" w:cs="Arial"/>
          <w:sz w:val="22"/>
          <w:szCs w:val="22"/>
        </w:rPr>
        <w:t xml:space="preserve"> </w:t>
      </w:r>
    </w:p>
    <w:p w14:paraId="42AF52A9" w14:textId="1F4F45B7" w:rsidR="009818A5" w:rsidRPr="001C35E2" w:rsidRDefault="004F27EB" w:rsidP="009818A5">
      <w:pPr>
        <w:pStyle w:val="ListParagraph"/>
        <w:numPr>
          <w:ilvl w:val="0"/>
          <w:numId w:val="1"/>
        </w:numPr>
        <w:rPr>
          <w:rFonts w:ascii="Cambria" w:hAnsi="Cambria" w:cs="Arial"/>
          <w:sz w:val="22"/>
          <w:szCs w:val="22"/>
        </w:rPr>
      </w:pPr>
      <w:r w:rsidRPr="001C35E2">
        <w:rPr>
          <w:rFonts w:ascii="Cambria" w:hAnsi="Cambria" w:cs="Arial"/>
          <w:sz w:val="22"/>
          <w:szCs w:val="22"/>
        </w:rPr>
        <w:t xml:space="preserve">Explained at least 3% of the variance in an independent sample. </w:t>
      </w:r>
    </w:p>
    <w:p w14:paraId="3F324AE2" w14:textId="53D65F78" w:rsidR="004F27EB" w:rsidRPr="001C35E2" w:rsidRDefault="0016523D" w:rsidP="009818A5">
      <w:pPr>
        <w:pStyle w:val="ListParagraph"/>
        <w:numPr>
          <w:ilvl w:val="0"/>
          <w:numId w:val="1"/>
        </w:numPr>
        <w:rPr>
          <w:rFonts w:ascii="Cambria" w:hAnsi="Cambria" w:cs="Arial"/>
          <w:sz w:val="22"/>
          <w:szCs w:val="22"/>
        </w:rPr>
      </w:pPr>
      <w:r w:rsidRPr="001C35E2">
        <w:rPr>
          <w:rFonts w:ascii="Cambria" w:hAnsi="Cambria" w:cs="Arial"/>
          <w:sz w:val="22"/>
          <w:szCs w:val="22"/>
        </w:rPr>
        <w:t xml:space="preserve">That full summary statistics were publicly available. </w:t>
      </w:r>
    </w:p>
    <w:p w14:paraId="6219604C" w14:textId="0B79D9E0" w:rsidR="0016523D" w:rsidRPr="001C35E2" w:rsidRDefault="0016523D" w:rsidP="009818A5">
      <w:pPr>
        <w:pStyle w:val="ListParagraph"/>
        <w:numPr>
          <w:ilvl w:val="0"/>
          <w:numId w:val="1"/>
        </w:numPr>
        <w:rPr>
          <w:rFonts w:ascii="Cambria" w:hAnsi="Cambria" w:cs="Arial"/>
          <w:sz w:val="22"/>
          <w:szCs w:val="22"/>
        </w:rPr>
      </w:pPr>
      <w:r w:rsidRPr="001C35E2">
        <w:rPr>
          <w:rFonts w:ascii="Cambria" w:hAnsi="Cambria" w:cs="Arial"/>
          <w:sz w:val="22"/>
          <w:szCs w:val="22"/>
        </w:rPr>
        <w:t>Ideally, that it was measured during pregnancy in the ALSPAC cohort so that we could assess the suitability of the instrument f</w:t>
      </w:r>
      <w:r w:rsidR="002E53F3" w:rsidRPr="001C35E2">
        <w:rPr>
          <w:rFonts w:ascii="Cambria" w:hAnsi="Cambria" w:cs="Arial"/>
          <w:sz w:val="22"/>
          <w:szCs w:val="22"/>
        </w:rPr>
        <w:t xml:space="preserve">or predicting nutrient levels in pregnant women. </w:t>
      </w:r>
    </w:p>
    <w:p w14:paraId="5CA82DC8" w14:textId="66BB3E91" w:rsidR="002E53F3" w:rsidRPr="001C35E2" w:rsidRDefault="002E53F3" w:rsidP="002E53F3">
      <w:pPr>
        <w:rPr>
          <w:rFonts w:ascii="Cambria" w:hAnsi="Cambria" w:cs="Arial"/>
          <w:sz w:val="22"/>
          <w:szCs w:val="22"/>
        </w:rPr>
      </w:pPr>
      <w:r w:rsidRPr="001C35E2">
        <w:rPr>
          <w:rFonts w:ascii="Cambria" w:hAnsi="Cambria" w:cs="Arial"/>
          <w:sz w:val="22"/>
          <w:szCs w:val="22"/>
        </w:rPr>
        <w:t xml:space="preserve">Each of the nutrients that we explored </w:t>
      </w:r>
      <w:r w:rsidR="00220E29" w:rsidRPr="001C35E2">
        <w:rPr>
          <w:rFonts w:ascii="Cambria" w:hAnsi="Cambria" w:cs="Arial"/>
          <w:sz w:val="22"/>
          <w:szCs w:val="22"/>
        </w:rPr>
        <w:t xml:space="preserve">are given in Table N1. Vitamin D and DHA were the only nutrients which met all of the inclusion criteria. </w:t>
      </w:r>
    </w:p>
    <w:p w14:paraId="722A8924" w14:textId="77777777" w:rsidR="004639BA" w:rsidRPr="001C35E2" w:rsidRDefault="004639BA" w:rsidP="00F5610C">
      <w:pPr>
        <w:rPr>
          <w:rFonts w:ascii="Cambria" w:hAnsi="Cambria" w:cs="Arial"/>
          <w:sz w:val="22"/>
          <w:szCs w:val="22"/>
        </w:rPr>
      </w:pPr>
    </w:p>
    <w:p w14:paraId="6DBAE132" w14:textId="40CA7D61" w:rsidR="00F5610C" w:rsidRPr="001C35E2" w:rsidRDefault="00F5610C" w:rsidP="00F5610C">
      <w:pPr>
        <w:rPr>
          <w:rFonts w:ascii="Cambria" w:hAnsi="Cambria" w:cs="Arial"/>
          <w:sz w:val="22"/>
          <w:szCs w:val="22"/>
        </w:rPr>
      </w:pPr>
      <w:r w:rsidRPr="001C35E2">
        <w:rPr>
          <w:rFonts w:ascii="Cambria" w:hAnsi="Cambria" w:cs="Arial"/>
          <w:b/>
          <w:bCs/>
          <w:sz w:val="22"/>
          <w:szCs w:val="22"/>
        </w:rPr>
        <w:t xml:space="preserve">Table </w:t>
      </w:r>
      <w:r w:rsidR="0016218A" w:rsidRPr="001C35E2">
        <w:rPr>
          <w:rFonts w:ascii="Cambria" w:hAnsi="Cambria" w:cs="Arial"/>
          <w:b/>
          <w:bCs/>
          <w:sz w:val="22"/>
          <w:szCs w:val="22"/>
        </w:rPr>
        <w:t>N</w:t>
      </w:r>
      <w:r w:rsidR="00B371E5" w:rsidRPr="001C35E2">
        <w:rPr>
          <w:rFonts w:ascii="Cambria" w:hAnsi="Cambria" w:cs="Arial"/>
          <w:b/>
          <w:bCs/>
          <w:sz w:val="22"/>
          <w:szCs w:val="22"/>
        </w:rPr>
        <w:t>2</w:t>
      </w:r>
      <w:r w:rsidRPr="001C35E2">
        <w:rPr>
          <w:rFonts w:ascii="Cambria" w:hAnsi="Cambria" w:cs="Arial"/>
          <w:b/>
          <w:bCs/>
          <w:sz w:val="22"/>
          <w:szCs w:val="22"/>
        </w:rPr>
        <w:t>.</w:t>
      </w:r>
      <w:r w:rsidRPr="001C35E2">
        <w:rPr>
          <w:rFonts w:ascii="Cambria" w:hAnsi="Cambria" w:cs="Arial"/>
          <w:sz w:val="22"/>
          <w:szCs w:val="22"/>
        </w:rPr>
        <w:t xml:space="preserve"> Overview of nutritional biomarkers with their respective genome-wide association studies (GWAS) and number of genetic variants to proxy for the respective nutrient</w:t>
      </w:r>
    </w:p>
    <w:p w14:paraId="355E2484" w14:textId="77777777" w:rsidR="00F5610C" w:rsidRPr="001C35E2" w:rsidRDefault="00F5610C" w:rsidP="00F5610C">
      <w:pPr>
        <w:rPr>
          <w:rFonts w:ascii="Cambria" w:hAnsi="Cambria" w:cs="Arial"/>
          <w:sz w:val="22"/>
          <w:szCs w:val="22"/>
        </w:rPr>
      </w:pPr>
    </w:p>
    <w:tbl>
      <w:tblPr>
        <w:tblStyle w:val="TableGrid"/>
        <w:tblW w:w="15027" w:type="dxa"/>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977"/>
        <w:gridCol w:w="709"/>
        <w:gridCol w:w="1275"/>
        <w:gridCol w:w="3240"/>
        <w:gridCol w:w="2714"/>
        <w:gridCol w:w="2410"/>
      </w:tblGrid>
      <w:tr w:rsidR="00F5610C" w:rsidRPr="001C35E2" w14:paraId="265181DD" w14:textId="77777777" w:rsidTr="0027134B">
        <w:tc>
          <w:tcPr>
            <w:tcW w:w="1702" w:type="dxa"/>
            <w:tcBorders>
              <w:bottom w:val="single" w:sz="4" w:space="0" w:color="auto"/>
            </w:tcBorders>
            <w:shd w:val="clear" w:color="auto" w:fill="E7E6E6" w:themeFill="background2"/>
          </w:tcPr>
          <w:p w14:paraId="77AB9E69" w14:textId="77777777" w:rsidR="00F5610C" w:rsidRPr="001C35E2" w:rsidRDefault="00F5610C" w:rsidP="00491261">
            <w:pPr>
              <w:rPr>
                <w:rFonts w:ascii="Cambria" w:hAnsi="Cambria" w:cs="Arial"/>
                <w:b/>
                <w:bCs/>
                <w:sz w:val="22"/>
                <w:szCs w:val="22"/>
              </w:rPr>
            </w:pPr>
            <w:r w:rsidRPr="001C35E2">
              <w:rPr>
                <w:rFonts w:ascii="Cambria" w:hAnsi="Cambria" w:cs="Arial"/>
                <w:b/>
                <w:bCs/>
                <w:sz w:val="22"/>
                <w:szCs w:val="22"/>
              </w:rPr>
              <w:t>Nutrient</w:t>
            </w:r>
          </w:p>
        </w:tc>
        <w:tc>
          <w:tcPr>
            <w:tcW w:w="2977" w:type="dxa"/>
            <w:tcBorders>
              <w:bottom w:val="single" w:sz="4" w:space="0" w:color="auto"/>
            </w:tcBorders>
            <w:shd w:val="clear" w:color="auto" w:fill="E7E6E6" w:themeFill="background2"/>
          </w:tcPr>
          <w:p w14:paraId="0DE926C5" w14:textId="77777777" w:rsidR="00F5610C" w:rsidRPr="001C35E2" w:rsidRDefault="00F5610C" w:rsidP="00491261">
            <w:pPr>
              <w:rPr>
                <w:rFonts w:ascii="Cambria" w:hAnsi="Cambria" w:cs="Arial"/>
                <w:b/>
                <w:bCs/>
                <w:sz w:val="22"/>
                <w:szCs w:val="22"/>
              </w:rPr>
            </w:pPr>
            <w:r w:rsidRPr="001C35E2">
              <w:rPr>
                <w:rFonts w:ascii="Cambria" w:hAnsi="Cambria" w:cs="Arial"/>
                <w:b/>
                <w:bCs/>
                <w:sz w:val="22"/>
                <w:szCs w:val="22"/>
              </w:rPr>
              <w:t>GWAS Study</w:t>
            </w:r>
          </w:p>
        </w:tc>
        <w:tc>
          <w:tcPr>
            <w:tcW w:w="709" w:type="dxa"/>
            <w:tcBorders>
              <w:bottom w:val="single" w:sz="4" w:space="0" w:color="auto"/>
            </w:tcBorders>
            <w:shd w:val="clear" w:color="auto" w:fill="E7E6E6" w:themeFill="background2"/>
          </w:tcPr>
          <w:p w14:paraId="44811A86" w14:textId="77777777" w:rsidR="00F5610C" w:rsidRPr="001C35E2" w:rsidRDefault="00F5610C" w:rsidP="00491261">
            <w:pPr>
              <w:rPr>
                <w:rFonts w:ascii="Cambria" w:hAnsi="Cambria" w:cs="Arial"/>
                <w:b/>
                <w:bCs/>
                <w:sz w:val="22"/>
                <w:szCs w:val="22"/>
              </w:rPr>
            </w:pPr>
            <w:r w:rsidRPr="001C35E2">
              <w:rPr>
                <w:rFonts w:ascii="Cambria" w:hAnsi="Cambria" w:cs="Arial"/>
                <w:b/>
                <w:bCs/>
                <w:sz w:val="22"/>
                <w:szCs w:val="22"/>
              </w:rPr>
              <w:t>N</w:t>
            </w:r>
            <w:r w:rsidRPr="001C35E2">
              <w:rPr>
                <w:rFonts w:ascii="Cambria" w:hAnsi="Cambria" w:cs="Arial"/>
                <w:b/>
                <w:bCs/>
                <w:sz w:val="22"/>
                <w:szCs w:val="22"/>
                <w:vertAlign w:val="subscript"/>
              </w:rPr>
              <w:t>SNP</w:t>
            </w:r>
          </w:p>
        </w:tc>
        <w:tc>
          <w:tcPr>
            <w:tcW w:w="1275" w:type="dxa"/>
            <w:tcBorders>
              <w:bottom w:val="single" w:sz="4" w:space="0" w:color="auto"/>
            </w:tcBorders>
            <w:shd w:val="clear" w:color="auto" w:fill="E7E6E6" w:themeFill="background2"/>
          </w:tcPr>
          <w:p w14:paraId="27E3610C" w14:textId="77777777" w:rsidR="00F5610C" w:rsidRPr="001C35E2" w:rsidRDefault="00F5610C" w:rsidP="00491261">
            <w:pPr>
              <w:rPr>
                <w:rFonts w:ascii="Cambria" w:hAnsi="Cambria" w:cs="Arial"/>
                <w:b/>
                <w:bCs/>
                <w:sz w:val="22"/>
                <w:szCs w:val="22"/>
              </w:rPr>
            </w:pPr>
            <w:r w:rsidRPr="001C35E2">
              <w:rPr>
                <w:rFonts w:ascii="Cambria" w:hAnsi="Cambria" w:cs="Arial"/>
                <w:b/>
                <w:bCs/>
                <w:sz w:val="22"/>
                <w:szCs w:val="22"/>
              </w:rPr>
              <w:t>% R2</w:t>
            </w:r>
          </w:p>
        </w:tc>
        <w:tc>
          <w:tcPr>
            <w:tcW w:w="3240" w:type="dxa"/>
            <w:tcBorders>
              <w:bottom w:val="single" w:sz="4" w:space="0" w:color="auto"/>
            </w:tcBorders>
            <w:shd w:val="clear" w:color="auto" w:fill="E7E6E6" w:themeFill="background2"/>
          </w:tcPr>
          <w:p w14:paraId="590EBF15" w14:textId="77777777" w:rsidR="00F5610C" w:rsidRPr="001C35E2" w:rsidRDefault="00F5610C" w:rsidP="00491261">
            <w:pPr>
              <w:rPr>
                <w:rFonts w:ascii="Cambria" w:hAnsi="Cambria" w:cs="Arial"/>
                <w:b/>
                <w:bCs/>
                <w:sz w:val="22"/>
                <w:szCs w:val="22"/>
              </w:rPr>
            </w:pPr>
            <w:r w:rsidRPr="001C35E2">
              <w:rPr>
                <w:rFonts w:ascii="Cambria" w:hAnsi="Cambria" w:cs="Arial"/>
                <w:b/>
                <w:bCs/>
                <w:sz w:val="22"/>
                <w:szCs w:val="22"/>
              </w:rPr>
              <w:t>Variance prediction sample</w:t>
            </w:r>
          </w:p>
        </w:tc>
        <w:tc>
          <w:tcPr>
            <w:tcW w:w="2714" w:type="dxa"/>
            <w:tcBorders>
              <w:bottom w:val="single" w:sz="4" w:space="0" w:color="auto"/>
            </w:tcBorders>
            <w:shd w:val="clear" w:color="auto" w:fill="E7E6E6" w:themeFill="background2"/>
          </w:tcPr>
          <w:p w14:paraId="25C56B89" w14:textId="77777777" w:rsidR="00F5610C" w:rsidRPr="001C35E2" w:rsidRDefault="00F5610C" w:rsidP="00491261">
            <w:pPr>
              <w:rPr>
                <w:rFonts w:ascii="Cambria" w:hAnsi="Cambria" w:cs="Arial"/>
                <w:b/>
                <w:bCs/>
                <w:sz w:val="22"/>
                <w:szCs w:val="22"/>
              </w:rPr>
            </w:pPr>
            <w:r w:rsidRPr="001C35E2">
              <w:rPr>
                <w:rFonts w:ascii="Cambria" w:hAnsi="Cambria" w:cs="Arial"/>
                <w:b/>
                <w:bCs/>
                <w:sz w:val="22"/>
                <w:szCs w:val="22"/>
              </w:rPr>
              <w:t>Full sumstats available</w:t>
            </w:r>
          </w:p>
        </w:tc>
        <w:tc>
          <w:tcPr>
            <w:tcW w:w="2410" w:type="dxa"/>
            <w:tcBorders>
              <w:bottom w:val="single" w:sz="4" w:space="0" w:color="auto"/>
            </w:tcBorders>
            <w:shd w:val="clear" w:color="auto" w:fill="E7E6E6" w:themeFill="background2"/>
          </w:tcPr>
          <w:p w14:paraId="21BB379F" w14:textId="7AA6FBA7" w:rsidR="00F5610C" w:rsidRPr="001C35E2" w:rsidRDefault="005B05C1" w:rsidP="00491261">
            <w:pPr>
              <w:rPr>
                <w:rFonts w:ascii="Cambria" w:hAnsi="Cambria" w:cs="Arial"/>
                <w:b/>
                <w:bCs/>
                <w:sz w:val="22"/>
                <w:szCs w:val="22"/>
              </w:rPr>
            </w:pPr>
            <w:r w:rsidRPr="001C35E2">
              <w:rPr>
                <w:rFonts w:ascii="Cambria" w:hAnsi="Cambria" w:cs="Arial"/>
                <w:b/>
                <w:bCs/>
                <w:sz w:val="22"/>
                <w:szCs w:val="22"/>
              </w:rPr>
              <w:t>Measured i</w:t>
            </w:r>
            <w:r w:rsidR="00F5610C" w:rsidRPr="001C35E2">
              <w:rPr>
                <w:rFonts w:ascii="Cambria" w:hAnsi="Cambria" w:cs="Arial"/>
                <w:b/>
                <w:bCs/>
                <w:sz w:val="22"/>
                <w:szCs w:val="22"/>
              </w:rPr>
              <w:t>n ALSPAC during pregnancy</w:t>
            </w:r>
          </w:p>
        </w:tc>
      </w:tr>
      <w:tr w:rsidR="00F5610C" w:rsidRPr="001C35E2" w14:paraId="7D95A7CC" w14:textId="77777777" w:rsidTr="005B05C1">
        <w:tc>
          <w:tcPr>
            <w:tcW w:w="1702" w:type="dxa"/>
            <w:tcBorders>
              <w:top w:val="single" w:sz="4" w:space="0" w:color="auto"/>
            </w:tcBorders>
            <w:shd w:val="clear" w:color="auto" w:fill="auto"/>
            <w:vAlign w:val="center"/>
          </w:tcPr>
          <w:p w14:paraId="1FEFD07B" w14:textId="77777777" w:rsidR="00F5610C" w:rsidRPr="001C35E2" w:rsidRDefault="00F5610C" w:rsidP="00491261">
            <w:pPr>
              <w:rPr>
                <w:rFonts w:ascii="Cambria" w:hAnsi="Cambria" w:cs="Arial"/>
                <w:sz w:val="22"/>
                <w:szCs w:val="22"/>
              </w:rPr>
            </w:pPr>
            <w:r w:rsidRPr="001C35E2">
              <w:rPr>
                <w:rFonts w:ascii="Cambria" w:hAnsi="Cambria" w:cs="Arial"/>
                <w:color w:val="000000" w:themeColor="text1"/>
                <w:sz w:val="22"/>
                <w:szCs w:val="22"/>
              </w:rPr>
              <w:t>Fasting Glucose</w:t>
            </w:r>
          </w:p>
        </w:tc>
        <w:tc>
          <w:tcPr>
            <w:tcW w:w="2977" w:type="dxa"/>
            <w:tcBorders>
              <w:top w:val="single" w:sz="4" w:space="0" w:color="auto"/>
            </w:tcBorders>
            <w:shd w:val="clear" w:color="auto" w:fill="auto"/>
            <w:vAlign w:val="center"/>
          </w:tcPr>
          <w:p w14:paraId="4E1DC651" w14:textId="33D39DCD" w:rsidR="00F5610C" w:rsidRPr="001C35E2" w:rsidRDefault="00016C1F" w:rsidP="00491261">
            <w:pPr>
              <w:rPr>
                <w:rFonts w:ascii="Cambria" w:hAnsi="Cambria" w:cs="Arial"/>
                <w:sz w:val="22"/>
                <w:szCs w:val="22"/>
              </w:rPr>
            </w:pPr>
            <w:r w:rsidRPr="001C35E2">
              <w:rPr>
                <w:rFonts w:ascii="Cambria" w:hAnsi="Cambria" w:cs="Arial"/>
                <w:color w:val="000000" w:themeColor="text1"/>
                <w:sz w:val="22"/>
                <w:szCs w:val="22"/>
              </w:rPr>
              <w:fldChar w:fldCharType="begin"/>
            </w:r>
            <w:r w:rsidR="00713FAA" w:rsidRPr="001C35E2">
              <w:rPr>
                <w:rFonts w:ascii="Cambria" w:hAnsi="Cambria" w:cs="Arial"/>
                <w:color w:val="000000" w:themeColor="text1"/>
                <w:sz w:val="22"/>
                <w:szCs w:val="22"/>
              </w:rPr>
              <w:instrText xml:space="preserve"> ADDIN ZOTERO_ITEM CSL_CITATION {"citationID":"arYt2JXO","properties":{"formattedCitation":"(Scott et al., 2012)","plainCitation":"(Scott et al., 2012)","noteIndex":0},"citationItems":[{"id":1249,"uris":["http://zotero.org/users/5402137/items/43MXI4DJ"],"itemData":{"id":1249,"type":"article-journal","container-title":"Nature genetics","issue":"9","note":"publisher: Nature Publishing Group","page":"991","source":"Google Scholar","title":"Large-scale association analyses identify new loci influencing glycemic traits and provide insight into the underlying biological pathways","volume":"44","author":[{"family":"Scott","given":"Robert A."},{"family":"Lagou","given":"Vasiliki"},{"family":"Welch","given":"Ryan P."},{"family":"Wheeler","given":"Eleanor"},{"family":"Montasser","given":"May E."},{"family":"Mägi","given":"Reedik"},{"family":"Strawbridge","given":"Rona J."},{"family":"Rehnberg","given":"Emil"},{"family":"Gustafsson","given":"Stefan"},{"family":"Kanoni","given":"Stavroula"}],"issued":{"date-parts":[["2012"]]}}}],"schema":"https://github.com/citation-style-language/schema/raw/master/csl-citation.json"} </w:instrText>
            </w:r>
            <w:r w:rsidRPr="001C35E2">
              <w:rPr>
                <w:rFonts w:ascii="Cambria" w:hAnsi="Cambria" w:cs="Arial"/>
                <w:color w:val="000000" w:themeColor="text1"/>
                <w:sz w:val="22"/>
                <w:szCs w:val="22"/>
              </w:rPr>
              <w:fldChar w:fldCharType="separate"/>
            </w:r>
            <w:r w:rsidR="0062285E" w:rsidRPr="001C35E2">
              <w:rPr>
                <w:rFonts w:ascii="Cambria" w:hAnsi="Cambria" w:cs="Times New Roman"/>
                <w:color w:val="000000"/>
                <w:sz w:val="22"/>
              </w:rPr>
              <w:t>(Scott et al., 2012)</w:t>
            </w:r>
            <w:r w:rsidRPr="001C35E2">
              <w:rPr>
                <w:rFonts w:ascii="Cambria" w:hAnsi="Cambria" w:cs="Arial"/>
                <w:color w:val="000000" w:themeColor="text1"/>
                <w:sz w:val="22"/>
                <w:szCs w:val="22"/>
              </w:rPr>
              <w:fldChar w:fldCharType="end"/>
            </w:r>
          </w:p>
        </w:tc>
        <w:tc>
          <w:tcPr>
            <w:tcW w:w="709" w:type="dxa"/>
            <w:tcBorders>
              <w:top w:val="single" w:sz="4" w:space="0" w:color="auto"/>
            </w:tcBorders>
            <w:shd w:val="clear" w:color="auto" w:fill="auto"/>
            <w:vAlign w:val="center"/>
          </w:tcPr>
          <w:p w14:paraId="674DDDC7" w14:textId="77777777" w:rsidR="00F5610C" w:rsidRPr="001C35E2" w:rsidRDefault="00F5610C" w:rsidP="00491261">
            <w:pPr>
              <w:rPr>
                <w:rFonts w:ascii="Cambria" w:hAnsi="Cambria" w:cs="Arial"/>
                <w:sz w:val="22"/>
                <w:szCs w:val="22"/>
              </w:rPr>
            </w:pPr>
            <w:r w:rsidRPr="001C35E2">
              <w:rPr>
                <w:rFonts w:ascii="Cambria" w:hAnsi="Cambria" w:cs="Arial"/>
                <w:sz w:val="22"/>
                <w:szCs w:val="22"/>
              </w:rPr>
              <w:t>36</w:t>
            </w:r>
          </w:p>
        </w:tc>
        <w:tc>
          <w:tcPr>
            <w:tcW w:w="1275" w:type="dxa"/>
            <w:tcBorders>
              <w:top w:val="single" w:sz="4" w:space="0" w:color="auto"/>
            </w:tcBorders>
            <w:shd w:val="clear" w:color="auto" w:fill="auto"/>
            <w:vAlign w:val="center"/>
          </w:tcPr>
          <w:p w14:paraId="3141F8A8" w14:textId="77777777" w:rsidR="00F5610C" w:rsidRPr="001C35E2" w:rsidRDefault="00F5610C" w:rsidP="00491261">
            <w:pPr>
              <w:rPr>
                <w:rFonts w:ascii="Cambria" w:hAnsi="Cambria" w:cs="Arial"/>
                <w:sz w:val="22"/>
                <w:szCs w:val="22"/>
              </w:rPr>
            </w:pPr>
            <w:r w:rsidRPr="001C35E2">
              <w:rPr>
                <w:rFonts w:ascii="Cambria" w:hAnsi="Cambria" w:cs="Arial"/>
                <w:sz w:val="22"/>
                <w:szCs w:val="22"/>
              </w:rPr>
              <w:t>4.8%</w:t>
            </w:r>
          </w:p>
        </w:tc>
        <w:tc>
          <w:tcPr>
            <w:tcW w:w="3240" w:type="dxa"/>
            <w:tcBorders>
              <w:top w:val="single" w:sz="4" w:space="0" w:color="auto"/>
            </w:tcBorders>
            <w:shd w:val="clear" w:color="auto" w:fill="auto"/>
          </w:tcPr>
          <w:p w14:paraId="4AED04F2" w14:textId="77777777" w:rsidR="00F5610C" w:rsidRPr="001C35E2" w:rsidRDefault="00F5610C" w:rsidP="00491261">
            <w:pPr>
              <w:rPr>
                <w:rFonts w:ascii="Cambria" w:hAnsi="Cambria" w:cs="Arial"/>
                <w:sz w:val="22"/>
                <w:szCs w:val="22"/>
              </w:rPr>
            </w:pPr>
            <w:r w:rsidRPr="001C35E2">
              <w:rPr>
                <w:rFonts w:ascii="Cambria" w:hAnsi="Cambria" w:cs="Arial"/>
                <w:sz w:val="22"/>
                <w:szCs w:val="22"/>
              </w:rPr>
              <w:t>Independent sample</w:t>
            </w:r>
          </w:p>
        </w:tc>
        <w:tc>
          <w:tcPr>
            <w:tcW w:w="2714" w:type="dxa"/>
            <w:tcBorders>
              <w:top w:val="single" w:sz="4" w:space="0" w:color="auto"/>
            </w:tcBorders>
            <w:shd w:val="clear" w:color="auto" w:fill="auto"/>
          </w:tcPr>
          <w:p w14:paraId="01E38F6F"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(at IEU Open GWAS)</w:t>
            </w:r>
          </w:p>
        </w:tc>
        <w:tc>
          <w:tcPr>
            <w:tcW w:w="2410" w:type="dxa"/>
            <w:tcBorders>
              <w:top w:val="single" w:sz="4" w:space="0" w:color="auto"/>
            </w:tcBorders>
            <w:shd w:val="clear" w:color="auto" w:fill="auto"/>
          </w:tcPr>
          <w:p w14:paraId="12024ECC" w14:textId="77777777" w:rsidR="00F5610C" w:rsidRPr="001C35E2" w:rsidRDefault="00F5610C" w:rsidP="00491261">
            <w:pPr>
              <w:rPr>
                <w:rFonts w:ascii="Cambria" w:hAnsi="Cambria" w:cs="Arial"/>
                <w:sz w:val="22"/>
                <w:szCs w:val="22"/>
              </w:rPr>
            </w:pPr>
            <w:r w:rsidRPr="001C35E2">
              <w:rPr>
                <w:rFonts w:ascii="Cambria" w:hAnsi="Cambria" w:cs="Arial"/>
                <w:sz w:val="22"/>
                <w:szCs w:val="22"/>
              </w:rPr>
              <w:t>Not in pregnancy</w:t>
            </w:r>
          </w:p>
        </w:tc>
      </w:tr>
      <w:tr w:rsidR="00F5610C" w:rsidRPr="001C35E2" w14:paraId="34E7211B" w14:textId="77777777" w:rsidTr="0027134B">
        <w:tc>
          <w:tcPr>
            <w:tcW w:w="1702" w:type="dxa"/>
            <w:shd w:val="clear" w:color="auto" w:fill="E7E6E6" w:themeFill="background2"/>
            <w:vAlign w:val="center"/>
          </w:tcPr>
          <w:p w14:paraId="71533D16" w14:textId="77777777" w:rsidR="00F5610C" w:rsidRPr="001C35E2" w:rsidRDefault="00F5610C" w:rsidP="00491261">
            <w:pPr>
              <w:rPr>
                <w:rFonts w:ascii="Cambria" w:hAnsi="Cambria" w:cs="Arial"/>
                <w:sz w:val="22"/>
                <w:szCs w:val="22"/>
              </w:rPr>
            </w:pPr>
            <w:r w:rsidRPr="001C35E2">
              <w:rPr>
                <w:rFonts w:ascii="Cambria" w:hAnsi="Cambria" w:cs="Arial"/>
                <w:sz w:val="22"/>
                <w:szCs w:val="22"/>
              </w:rPr>
              <w:t xml:space="preserve">DHA (Omega 3) </w:t>
            </w:r>
          </w:p>
        </w:tc>
        <w:tc>
          <w:tcPr>
            <w:tcW w:w="2977" w:type="dxa"/>
            <w:shd w:val="clear" w:color="auto" w:fill="E7E6E6" w:themeFill="background2"/>
            <w:vAlign w:val="center"/>
          </w:tcPr>
          <w:p w14:paraId="215B5820" w14:textId="77777777" w:rsidR="00F5610C" w:rsidRPr="001C35E2" w:rsidRDefault="00F5610C" w:rsidP="00491261">
            <w:pPr>
              <w:rPr>
                <w:rFonts w:ascii="Cambria" w:hAnsi="Cambria" w:cs="Arial"/>
                <w:sz w:val="22"/>
                <w:szCs w:val="22"/>
                <w:highlight w:val="red"/>
              </w:rPr>
            </w:pPr>
            <w:r w:rsidRPr="001C35E2">
              <w:rPr>
                <w:rFonts w:ascii="Cambria" w:hAnsi="Cambria" w:cs="Arial"/>
                <w:color w:val="000000" w:themeColor="text1"/>
                <w:sz w:val="22"/>
                <w:szCs w:val="22"/>
              </w:rPr>
              <w:t>IEU Open GWAS</w:t>
            </w:r>
          </w:p>
        </w:tc>
        <w:tc>
          <w:tcPr>
            <w:tcW w:w="709" w:type="dxa"/>
            <w:shd w:val="clear" w:color="auto" w:fill="E7E6E6" w:themeFill="background2"/>
            <w:vAlign w:val="center"/>
          </w:tcPr>
          <w:p w14:paraId="48508317" w14:textId="77777777" w:rsidR="00F5610C" w:rsidRPr="001C35E2" w:rsidRDefault="00F5610C" w:rsidP="00491261">
            <w:pPr>
              <w:rPr>
                <w:rFonts w:ascii="Cambria" w:hAnsi="Cambria" w:cs="Arial"/>
                <w:sz w:val="22"/>
                <w:szCs w:val="22"/>
                <w:highlight w:val="red"/>
              </w:rPr>
            </w:pPr>
            <w:r w:rsidRPr="001C35E2">
              <w:rPr>
                <w:rFonts w:ascii="Cambria" w:hAnsi="Cambria" w:cs="Arial"/>
                <w:sz w:val="22"/>
                <w:szCs w:val="22"/>
              </w:rPr>
              <w:t>32</w:t>
            </w:r>
          </w:p>
        </w:tc>
        <w:tc>
          <w:tcPr>
            <w:tcW w:w="1275" w:type="dxa"/>
            <w:shd w:val="clear" w:color="auto" w:fill="E7E6E6" w:themeFill="background2"/>
            <w:vAlign w:val="center"/>
          </w:tcPr>
          <w:p w14:paraId="53C1DD6D" w14:textId="77777777" w:rsidR="00F5610C" w:rsidRPr="001C35E2" w:rsidRDefault="00F5610C" w:rsidP="00491261">
            <w:pPr>
              <w:rPr>
                <w:rFonts w:ascii="Cambria" w:hAnsi="Cambria" w:cs="Arial"/>
                <w:sz w:val="22"/>
                <w:szCs w:val="22"/>
              </w:rPr>
            </w:pPr>
            <w:r w:rsidRPr="001C35E2">
              <w:rPr>
                <w:rFonts w:ascii="Cambria" w:hAnsi="Cambria" w:cs="Arial"/>
                <w:sz w:val="22"/>
                <w:szCs w:val="22"/>
              </w:rPr>
              <w:t>6.6%</w:t>
            </w:r>
          </w:p>
        </w:tc>
        <w:tc>
          <w:tcPr>
            <w:tcW w:w="3240" w:type="dxa"/>
            <w:shd w:val="clear" w:color="auto" w:fill="E7E6E6" w:themeFill="background2"/>
          </w:tcPr>
          <w:p w14:paraId="4F5870CB" w14:textId="77777777" w:rsidR="00F5610C" w:rsidRPr="001C35E2" w:rsidRDefault="00F5610C" w:rsidP="00491261">
            <w:pPr>
              <w:rPr>
                <w:rFonts w:ascii="Cambria" w:hAnsi="Cambria" w:cs="Arial"/>
                <w:sz w:val="22"/>
                <w:szCs w:val="22"/>
              </w:rPr>
            </w:pPr>
            <w:r w:rsidRPr="001C35E2">
              <w:rPr>
                <w:rFonts w:ascii="Cambria" w:hAnsi="Cambria" w:cs="Arial"/>
                <w:sz w:val="22"/>
                <w:szCs w:val="22"/>
              </w:rPr>
              <w:t>Calculated from summary stats</w:t>
            </w:r>
          </w:p>
        </w:tc>
        <w:tc>
          <w:tcPr>
            <w:tcW w:w="2714" w:type="dxa"/>
            <w:shd w:val="clear" w:color="auto" w:fill="E7E6E6" w:themeFill="background2"/>
          </w:tcPr>
          <w:p w14:paraId="0EEBFF8E"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(at IEU Open GWAS)</w:t>
            </w:r>
          </w:p>
        </w:tc>
        <w:tc>
          <w:tcPr>
            <w:tcW w:w="2410" w:type="dxa"/>
            <w:shd w:val="clear" w:color="auto" w:fill="E7E6E6" w:themeFill="background2"/>
          </w:tcPr>
          <w:p w14:paraId="0EB79BF8"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w:t>
            </w:r>
          </w:p>
        </w:tc>
      </w:tr>
      <w:tr w:rsidR="00F5610C" w:rsidRPr="001C35E2" w14:paraId="5E45A52D" w14:textId="77777777" w:rsidTr="005B05C1">
        <w:tc>
          <w:tcPr>
            <w:tcW w:w="1702" w:type="dxa"/>
            <w:shd w:val="clear" w:color="auto" w:fill="auto"/>
            <w:vAlign w:val="center"/>
          </w:tcPr>
          <w:p w14:paraId="21EDE280" w14:textId="77777777" w:rsidR="00F5610C" w:rsidRPr="001C35E2" w:rsidRDefault="00F5610C" w:rsidP="00491261">
            <w:pPr>
              <w:rPr>
                <w:rFonts w:ascii="Cambria" w:hAnsi="Cambria" w:cs="Arial"/>
                <w:sz w:val="22"/>
                <w:szCs w:val="22"/>
              </w:rPr>
            </w:pPr>
            <w:r w:rsidRPr="001C35E2">
              <w:rPr>
                <w:rFonts w:ascii="Cambria" w:hAnsi="Cambria" w:cs="Arial"/>
                <w:color w:val="000000" w:themeColor="text1"/>
                <w:sz w:val="22"/>
                <w:szCs w:val="22"/>
              </w:rPr>
              <w:t>Vitamin B12</w:t>
            </w:r>
          </w:p>
        </w:tc>
        <w:tc>
          <w:tcPr>
            <w:tcW w:w="2977" w:type="dxa"/>
            <w:shd w:val="clear" w:color="auto" w:fill="auto"/>
            <w:vAlign w:val="center"/>
          </w:tcPr>
          <w:p w14:paraId="3E170C3C" w14:textId="7BE72670" w:rsidR="00F5610C" w:rsidRPr="001C35E2" w:rsidRDefault="00D66941" w:rsidP="00491261">
            <w:pPr>
              <w:rPr>
                <w:rFonts w:ascii="Cambria" w:hAnsi="Cambria" w:cs="Arial"/>
                <w:sz w:val="22"/>
                <w:szCs w:val="22"/>
              </w:rPr>
            </w:pPr>
            <w:r w:rsidRPr="001C35E2">
              <w:rPr>
                <w:rFonts w:ascii="Cambria" w:hAnsi="Cambria" w:cs="Calibri"/>
                <w:color w:val="000000" w:themeColor="text1"/>
                <w:sz w:val="22"/>
                <w:szCs w:val="22"/>
                <w:shd w:val="clear" w:color="auto" w:fill="FFFFFF"/>
              </w:rPr>
              <w:fldChar w:fldCharType="begin"/>
            </w:r>
            <w:r w:rsidR="00713FAA" w:rsidRPr="001C35E2">
              <w:rPr>
                <w:rFonts w:ascii="Cambria" w:hAnsi="Cambria" w:cs="Calibri"/>
                <w:color w:val="000000" w:themeColor="text1"/>
                <w:sz w:val="22"/>
                <w:szCs w:val="22"/>
                <w:shd w:val="clear" w:color="auto" w:fill="FFFFFF"/>
              </w:rPr>
              <w:instrText xml:space="preserve"> ADDIN ZOTERO_ITEM CSL_CITATION {"citationID":"ENGTvAM3","properties":{"formattedCitation":"(Grarup et al., 2013)","plainCitation":"(Grarup et al., 2013)","noteIndex":0},"citationItems":[{"id":1237,"uris":["http://zotero.org/users/5402137/items/D767W2V4"],"itemData":{"id":1237,"type":"article-journal","abstract":"Genome-wide association studies have mainly relied on common HapMap sequence variations. Recently, sequencing approaches have allowed analysis of low frequency and rare variants in conjunction with common variants, thereby improving the search for functional variants and thus the understanding of the underlying biology of human traits and diseases. Here, we used a large Icelandic whole genome sequence dataset combined with Danish exome sequence data to gain insight into the genetic architecture of serum levels of vitamin B12 (B12) and folate. Up to 22.9 million sequence variants were analyzed in combined samples of 45,576 and 37,341 individuals with serum B12 and folate measurements, respectively. We found six novel loci associating with serum B12 (CD320, TCN2, ABCD4, MMAA, MMACHC) or folate levels (FOLR3) and confirmed seven loci for these traits (TCN1, FUT6, FUT2, CUBN, CLYBL, MUT, MTHFR). Conditional analyses established that four loci contain additional independent signals. Interestingly, 13 of the 18 identified variants were coding and 11 of the 13 target genes have known functions related to B12 and folate pathways. Contrary to epidemiological studies we did not find consistent association of the variants with cardiovascular diseases, cancers or Alzheimer's disease although some variants demonstrated pleiotropic effects. Although to some degree impeded by low statistical power for some of these conditions, these data suggest that sequence variants that contribute to the population diversity in serum B12 or folate levels do not modify the risk of developing these conditions. Yet, the study demonstrates the value of combining whole genome and exome sequencing approaches to ascertain the genetic and molecular architectures underlying quantitative trait associations.","container-title":"PLOS Genetics","DOI":"10.1371/journal.pgen.1003530","ISSN":"1553-7404","issue":"6","journalAbbreviation":"PLOS Genetics","language":"en","note":"publisher: Public Library of Science","page":"e1003530","source":"PLoS Journals","title":"Genetic Architecture of Vitamin B12 and Folate Levels Uncovered Applying Deeply Sequenced Large Datasets","volume":"9","author":[{"family":"Grarup","given":"Niels"},{"family":"Sulem","given":"Patrick"},{"family":"Sandholt","given":"Camilla H."},{"family":"Thorleifsson","given":"Gudmar"},{"family":"Ahluwalia","given":"Tarunveer S."},{"family":"Steinthorsdottir","given":"Valgerdur"},{"family":"Bjarnason","given":"Helgi"},{"family":"Gudbjartsson","given":"Daniel F."},{"family":"Magnusson","given":"Olafur T."},{"family":"Sparsø","given":"Thomas"},{"family":"Albrechtsen","given":"Anders"},{"family":"Kong","given":"Augustine"},{"family":"Masson","given":"Gisli"},{"family":"Tian","given":"Geng"},{"family":"Cao","given":"Hongzhi"},{"family":"Nie","given":"Chao"},{"family":"Kristiansen","given":"Karsten"},{"family":"Husemoen","given":"Lise Lotte"},{"family":"Thuesen","given":"Betina"},{"family":"Li","given":"Yingrui"},{"family":"Nielsen","given":"Rasmus"},{"family":"Linneberg","given":"Allan"},{"family":"Olafsson","given":"Isleifur"},{"family":"Eyjolfsson","given":"Gudmundur I."},{"family":"Jørgensen","given":"Torben"},{"family":"Wang","given":"Jun"},{"family":"Hansen","given":"Torben"},{"family":"Thorsteinsdottir","given":"Unnur"},{"family":"Stefánsson","given":"Kari"},{"family":"Pedersen","given":"Oluf"}],"issued":{"date-parts":[["2013",6,6]]}}}],"schema":"https://github.com/citation-style-language/schema/raw/master/csl-citation.json"} </w:instrText>
            </w:r>
            <w:r w:rsidRPr="001C35E2">
              <w:rPr>
                <w:rFonts w:ascii="Cambria" w:hAnsi="Cambria" w:cs="Calibri"/>
                <w:color w:val="000000" w:themeColor="text1"/>
                <w:sz w:val="22"/>
                <w:szCs w:val="22"/>
                <w:shd w:val="clear" w:color="auto" w:fill="FFFFFF"/>
              </w:rPr>
              <w:fldChar w:fldCharType="separate"/>
            </w:r>
            <w:r w:rsidR="0062285E" w:rsidRPr="001C35E2">
              <w:rPr>
                <w:rFonts w:ascii="Cambria" w:hAnsi="Cambria" w:cs="Times New Roman"/>
                <w:color w:val="000000"/>
                <w:sz w:val="22"/>
              </w:rPr>
              <w:t>(Grarup et al., 2013)</w:t>
            </w:r>
            <w:r w:rsidRPr="001C35E2">
              <w:rPr>
                <w:rFonts w:ascii="Cambria" w:hAnsi="Cambria" w:cs="Calibri"/>
                <w:color w:val="000000" w:themeColor="text1"/>
                <w:sz w:val="22"/>
                <w:szCs w:val="22"/>
                <w:shd w:val="clear" w:color="auto" w:fill="FFFFFF"/>
              </w:rPr>
              <w:fldChar w:fldCharType="end"/>
            </w:r>
          </w:p>
        </w:tc>
        <w:tc>
          <w:tcPr>
            <w:tcW w:w="709" w:type="dxa"/>
            <w:shd w:val="clear" w:color="auto" w:fill="auto"/>
            <w:vAlign w:val="center"/>
          </w:tcPr>
          <w:p w14:paraId="153D3B6E" w14:textId="77777777" w:rsidR="00F5610C" w:rsidRPr="001C35E2" w:rsidRDefault="00F5610C" w:rsidP="00491261">
            <w:pPr>
              <w:rPr>
                <w:rFonts w:ascii="Cambria" w:hAnsi="Cambria" w:cs="Arial"/>
                <w:sz w:val="22"/>
                <w:szCs w:val="22"/>
              </w:rPr>
            </w:pPr>
            <w:r w:rsidRPr="001C35E2">
              <w:rPr>
                <w:rFonts w:ascii="Cambria" w:hAnsi="Cambria" w:cs="Arial"/>
                <w:color w:val="000000" w:themeColor="text1"/>
                <w:sz w:val="22"/>
                <w:szCs w:val="22"/>
              </w:rPr>
              <w:t>11</w:t>
            </w:r>
          </w:p>
        </w:tc>
        <w:tc>
          <w:tcPr>
            <w:tcW w:w="1275" w:type="dxa"/>
            <w:shd w:val="clear" w:color="auto" w:fill="auto"/>
            <w:vAlign w:val="center"/>
          </w:tcPr>
          <w:p w14:paraId="691DB86F" w14:textId="77777777" w:rsidR="00F5610C" w:rsidRPr="001C35E2" w:rsidRDefault="00F5610C" w:rsidP="00491261">
            <w:pPr>
              <w:rPr>
                <w:rFonts w:ascii="Cambria" w:hAnsi="Cambria" w:cs="Arial"/>
                <w:sz w:val="22"/>
                <w:szCs w:val="22"/>
              </w:rPr>
            </w:pPr>
            <w:r w:rsidRPr="001C35E2">
              <w:rPr>
                <w:rFonts w:ascii="Cambria" w:hAnsi="Cambria" w:cs="Arial"/>
                <w:sz w:val="22"/>
                <w:szCs w:val="22"/>
              </w:rPr>
              <w:t>6.3%</w:t>
            </w:r>
          </w:p>
        </w:tc>
        <w:tc>
          <w:tcPr>
            <w:tcW w:w="3240" w:type="dxa"/>
            <w:shd w:val="clear" w:color="auto" w:fill="auto"/>
          </w:tcPr>
          <w:p w14:paraId="3439737C" w14:textId="77777777" w:rsidR="00F5610C" w:rsidRPr="001C35E2" w:rsidRDefault="00F5610C" w:rsidP="00491261">
            <w:pPr>
              <w:rPr>
                <w:rFonts w:ascii="Cambria" w:hAnsi="Cambria" w:cs="Arial"/>
                <w:sz w:val="22"/>
                <w:szCs w:val="22"/>
              </w:rPr>
            </w:pPr>
            <w:r w:rsidRPr="001C35E2">
              <w:rPr>
                <w:rFonts w:ascii="Cambria" w:hAnsi="Cambria" w:cs="Arial"/>
                <w:sz w:val="22"/>
                <w:szCs w:val="22"/>
              </w:rPr>
              <w:t>Calculated from summary stats</w:t>
            </w:r>
          </w:p>
        </w:tc>
        <w:tc>
          <w:tcPr>
            <w:tcW w:w="2714" w:type="dxa"/>
            <w:shd w:val="clear" w:color="auto" w:fill="auto"/>
          </w:tcPr>
          <w:p w14:paraId="1B102AE0" w14:textId="77777777" w:rsidR="00F5610C" w:rsidRPr="001C35E2" w:rsidRDefault="00F5610C" w:rsidP="00491261">
            <w:pPr>
              <w:rPr>
                <w:rFonts w:ascii="Cambria" w:hAnsi="Cambria" w:cs="Arial"/>
                <w:sz w:val="22"/>
                <w:szCs w:val="22"/>
              </w:rPr>
            </w:pPr>
            <w:r w:rsidRPr="001C35E2">
              <w:rPr>
                <w:rFonts w:ascii="Cambria" w:hAnsi="Cambria" w:cs="Arial"/>
                <w:sz w:val="22"/>
                <w:szCs w:val="22"/>
              </w:rPr>
              <w:t>Not obviously</w:t>
            </w:r>
          </w:p>
        </w:tc>
        <w:tc>
          <w:tcPr>
            <w:tcW w:w="2410" w:type="dxa"/>
            <w:shd w:val="clear" w:color="auto" w:fill="auto"/>
          </w:tcPr>
          <w:p w14:paraId="56498A26"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 diet diaries</w:t>
            </w:r>
          </w:p>
        </w:tc>
      </w:tr>
      <w:tr w:rsidR="00F5610C" w:rsidRPr="001C35E2" w14:paraId="1ABBC20B" w14:textId="77777777" w:rsidTr="0027134B">
        <w:tc>
          <w:tcPr>
            <w:tcW w:w="1702" w:type="dxa"/>
            <w:shd w:val="clear" w:color="auto" w:fill="E7E6E6" w:themeFill="background2"/>
            <w:vAlign w:val="center"/>
          </w:tcPr>
          <w:p w14:paraId="30DE933A"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Vitamin B12</w:t>
            </w:r>
          </w:p>
        </w:tc>
        <w:tc>
          <w:tcPr>
            <w:tcW w:w="2977" w:type="dxa"/>
            <w:shd w:val="clear" w:color="auto" w:fill="E7E6E6" w:themeFill="background2"/>
            <w:vAlign w:val="center"/>
          </w:tcPr>
          <w:p w14:paraId="65C2F6C7" w14:textId="03C18CEA" w:rsidR="00F5610C" w:rsidRPr="001C35E2" w:rsidRDefault="00D02810" w:rsidP="00491261">
            <w:pPr>
              <w:rPr>
                <w:rFonts w:ascii="Cambria" w:hAnsi="Cambria" w:cs="Calibri"/>
                <w:color w:val="000000" w:themeColor="text1"/>
                <w:sz w:val="22"/>
                <w:szCs w:val="22"/>
                <w:shd w:val="clear" w:color="auto" w:fill="FFFFFF"/>
              </w:rPr>
            </w:pPr>
            <w:r w:rsidRPr="001C35E2">
              <w:rPr>
                <w:rFonts w:ascii="Cambria" w:hAnsi="Cambria" w:cs="Arial"/>
                <w:color w:val="000000" w:themeColor="text1"/>
                <w:sz w:val="22"/>
                <w:szCs w:val="22"/>
              </w:rPr>
              <w:t>IEU Open GWAS (UKB only)</w:t>
            </w:r>
          </w:p>
        </w:tc>
        <w:tc>
          <w:tcPr>
            <w:tcW w:w="709" w:type="dxa"/>
            <w:shd w:val="clear" w:color="auto" w:fill="E7E6E6" w:themeFill="background2"/>
            <w:vAlign w:val="center"/>
          </w:tcPr>
          <w:p w14:paraId="038220EA"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0</w:t>
            </w:r>
          </w:p>
        </w:tc>
        <w:tc>
          <w:tcPr>
            <w:tcW w:w="1275" w:type="dxa"/>
            <w:shd w:val="clear" w:color="auto" w:fill="E7E6E6" w:themeFill="background2"/>
            <w:vAlign w:val="center"/>
          </w:tcPr>
          <w:p w14:paraId="323564B6" w14:textId="77777777" w:rsidR="00F5610C" w:rsidRPr="001C35E2" w:rsidRDefault="00F5610C" w:rsidP="00491261">
            <w:pPr>
              <w:rPr>
                <w:rFonts w:ascii="Cambria" w:hAnsi="Cambria" w:cs="Arial"/>
                <w:sz w:val="22"/>
                <w:szCs w:val="22"/>
              </w:rPr>
            </w:pPr>
            <w:r w:rsidRPr="001C35E2">
              <w:rPr>
                <w:rFonts w:ascii="Cambria" w:hAnsi="Cambria" w:cs="Arial"/>
                <w:sz w:val="22"/>
                <w:szCs w:val="22"/>
              </w:rPr>
              <w:t>-</w:t>
            </w:r>
          </w:p>
        </w:tc>
        <w:tc>
          <w:tcPr>
            <w:tcW w:w="3240" w:type="dxa"/>
            <w:shd w:val="clear" w:color="auto" w:fill="E7E6E6" w:themeFill="background2"/>
          </w:tcPr>
          <w:p w14:paraId="45655A55" w14:textId="77777777" w:rsidR="00F5610C" w:rsidRPr="001C35E2" w:rsidRDefault="00F5610C" w:rsidP="00491261">
            <w:pPr>
              <w:rPr>
                <w:rFonts w:ascii="Cambria" w:hAnsi="Cambria" w:cs="Arial"/>
                <w:sz w:val="22"/>
                <w:szCs w:val="22"/>
              </w:rPr>
            </w:pPr>
            <w:r w:rsidRPr="001C35E2">
              <w:rPr>
                <w:rFonts w:ascii="Cambria" w:hAnsi="Cambria" w:cs="Arial"/>
                <w:sz w:val="22"/>
                <w:szCs w:val="22"/>
              </w:rPr>
              <w:t>-</w:t>
            </w:r>
          </w:p>
        </w:tc>
        <w:tc>
          <w:tcPr>
            <w:tcW w:w="2714" w:type="dxa"/>
            <w:shd w:val="clear" w:color="auto" w:fill="E7E6E6" w:themeFill="background2"/>
          </w:tcPr>
          <w:p w14:paraId="5C473BE7"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(at IEU Open GWAS)</w:t>
            </w:r>
          </w:p>
        </w:tc>
        <w:tc>
          <w:tcPr>
            <w:tcW w:w="2410" w:type="dxa"/>
            <w:shd w:val="clear" w:color="auto" w:fill="E7E6E6" w:themeFill="background2"/>
          </w:tcPr>
          <w:p w14:paraId="33D202A2"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 diet diaries</w:t>
            </w:r>
          </w:p>
        </w:tc>
      </w:tr>
      <w:tr w:rsidR="00F5610C" w:rsidRPr="001C35E2" w14:paraId="6C72F2A9" w14:textId="77777777" w:rsidTr="005B05C1">
        <w:tc>
          <w:tcPr>
            <w:tcW w:w="1702" w:type="dxa"/>
            <w:shd w:val="clear" w:color="auto" w:fill="auto"/>
            <w:vAlign w:val="center"/>
          </w:tcPr>
          <w:p w14:paraId="300FD486" w14:textId="77777777" w:rsidR="00F5610C" w:rsidRPr="001C35E2" w:rsidRDefault="00F5610C" w:rsidP="00491261">
            <w:pPr>
              <w:rPr>
                <w:rFonts w:ascii="Cambria" w:hAnsi="Cambria" w:cs="Arial"/>
                <w:sz w:val="22"/>
                <w:szCs w:val="22"/>
              </w:rPr>
            </w:pPr>
            <w:r w:rsidRPr="001C35E2">
              <w:rPr>
                <w:rFonts w:ascii="Cambria" w:hAnsi="Cambria" w:cs="Arial"/>
                <w:color w:val="000000" w:themeColor="text1"/>
                <w:sz w:val="22"/>
                <w:szCs w:val="22"/>
              </w:rPr>
              <w:t>Vitamin D</w:t>
            </w:r>
          </w:p>
        </w:tc>
        <w:tc>
          <w:tcPr>
            <w:tcW w:w="2977" w:type="dxa"/>
            <w:shd w:val="clear" w:color="auto" w:fill="auto"/>
            <w:vAlign w:val="center"/>
          </w:tcPr>
          <w:p w14:paraId="6A58D8D1" w14:textId="010BBAD5" w:rsidR="00F5610C" w:rsidRPr="001C35E2" w:rsidRDefault="00D66941" w:rsidP="00491261">
            <w:pPr>
              <w:rPr>
                <w:rFonts w:ascii="Cambria" w:hAnsi="Cambria" w:cs="Arial"/>
                <w:sz w:val="22"/>
                <w:szCs w:val="22"/>
              </w:rPr>
            </w:pPr>
            <w:r w:rsidRPr="001C35E2">
              <w:rPr>
                <w:rFonts w:ascii="Cambria" w:hAnsi="Cambria" w:cs="Calibri"/>
                <w:color w:val="000000" w:themeColor="text1"/>
                <w:sz w:val="22"/>
                <w:szCs w:val="22"/>
                <w:shd w:val="clear" w:color="auto" w:fill="FFFFFF"/>
              </w:rPr>
              <w:fldChar w:fldCharType="begin"/>
            </w:r>
            <w:r w:rsidR="00713FAA" w:rsidRPr="001C35E2">
              <w:rPr>
                <w:rFonts w:ascii="Cambria" w:hAnsi="Cambria" w:cs="Calibri"/>
                <w:color w:val="000000" w:themeColor="text1"/>
                <w:sz w:val="22"/>
                <w:szCs w:val="22"/>
                <w:shd w:val="clear" w:color="auto" w:fill="FFFFFF"/>
              </w:rPr>
              <w:instrText xml:space="preserve"> ADDIN ZOTERO_ITEM CSL_CITATION {"citationID":"FEbxhy9U","properties":{"formattedCitation":"(Manousaki et al., 2020)","plainCitation":"(Manousaki et al., 2020)","noteIndex":0},"citationItems":[{"id":1224,"uris":["http://zotero.org/users/5402137/items/6HMP347F"],"itemData":{"id":1224,"type":"article-journal","abstract":"We aimed to increase our understanding of the genetic determinants of vitamin D levels by undertaking a large-scale genome-wide association study (GWAS) of serum 25 hydroxyvitamin D (25OHD). To do so, we used imputed genotypes from 401,460 white British UK Biobank participants with available 25OHD levels, retaining single-nucleotide polymorphisms (SNPs) with minor allele frequency (MAF) &gt; 0.1% and imputation quality score &gt; 0.3. We performed a linear mixed model GWAS on standardized log-transformed 25OHD, adjusting for age, sex, season of measurement, and vitamin D supplementation. These results were combined with those from a previous GWAS including 42,274 Europeans. In silico functional follow-up of the GWAS results was undertaken to identify enrichment in gene sets, pathways, and expression in tissues, and to investigate the partitioned heritability of 25OHD and its shared heritability with other traits. Using this approach, the SNP heritability of 25OHD was estimated to 16.1%. 138 conditionally independent SNPs were detected (p value &lt; 6.6 × 10-9) among which 53 had MAF &lt; 5%. Single variant association signals mapped to 69 distinct loci, among which 63 were previously unreported. We identified enrichment in hepatic and lipid metabolism gene pathways and enriched expression of the 25OHD genes in liver, skin, and gastrointestinal tissues. We observed partially shared heritability between 25OHD and socio-economic traits, a feature which may be mediated through time spent outdoors. Therefore, through a large 25OHD GWAS, we identified 63 loci that underline the contribution of genes outside the vitamin D canonical metabolic pathway to the genetic architecture of 25OHD.","container-title":"American Journal of Human Genetics","DOI":"10.1016/j.ajhg.2020.01.017","ISSN":"1537-6605","issue":"3","journalAbbreviation":"Am. J. Hum. Genet.","language":"eng","note":"PMID: 32059762\nPMCID: PMC7058824","page":"327-337","source":"PubMed","title":"Genome-wide Association Study for Vitamin D Levels Reveals 69 Independent Loci","volume":"106","author":[{"family":"Manousaki","given":"Despoina"},{"family":"Mitchell","given":"Ruth"},{"family":"Dudding","given":"Tom"},{"family":"Haworth","given":"Simon"},{"family":"Harroud","given":"Adil"},{"family":"Forgetta","given":"Vincenzo"},{"family":"Shah","given":"Rupal L."},{"family":"Luan","given":"Jian'an"},{"family":"Langenberg","given":"Claudia"},{"family":"Timpson","given":"Nicholas J."},{"family":"Richards","given":"J. Brent"}],"issued":{"date-parts":[["2020"]],"season":"05"}}}],"schema":"https://github.com/citation-style-language/schema/raw/master/csl-citation.json"} </w:instrText>
            </w:r>
            <w:r w:rsidRPr="001C35E2">
              <w:rPr>
                <w:rFonts w:ascii="Cambria" w:hAnsi="Cambria" w:cs="Calibri"/>
                <w:color w:val="000000" w:themeColor="text1"/>
                <w:sz w:val="22"/>
                <w:szCs w:val="22"/>
                <w:shd w:val="clear" w:color="auto" w:fill="FFFFFF"/>
              </w:rPr>
              <w:fldChar w:fldCharType="separate"/>
            </w:r>
            <w:r w:rsidR="0062285E" w:rsidRPr="001C35E2">
              <w:rPr>
                <w:rFonts w:ascii="Cambria" w:hAnsi="Cambria" w:cs="Times New Roman"/>
                <w:color w:val="000000"/>
                <w:sz w:val="22"/>
              </w:rPr>
              <w:t>(Manousaki et al., 2020)</w:t>
            </w:r>
            <w:r w:rsidRPr="001C35E2">
              <w:rPr>
                <w:rFonts w:ascii="Cambria" w:hAnsi="Cambria" w:cs="Calibri"/>
                <w:color w:val="000000" w:themeColor="text1"/>
                <w:sz w:val="22"/>
                <w:szCs w:val="22"/>
                <w:shd w:val="clear" w:color="auto" w:fill="FFFFFF"/>
              </w:rPr>
              <w:fldChar w:fldCharType="end"/>
            </w:r>
          </w:p>
        </w:tc>
        <w:tc>
          <w:tcPr>
            <w:tcW w:w="709" w:type="dxa"/>
            <w:shd w:val="clear" w:color="auto" w:fill="auto"/>
            <w:vAlign w:val="center"/>
          </w:tcPr>
          <w:p w14:paraId="6D82B658" w14:textId="77777777" w:rsidR="00F5610C" w:rsidRPr="001C35E2" w:rsidRDefault="00F5610C" w:rsidP="00491261">
            <w:pPr>
              <w:rPr>
                <w:rFonts w:ascii="Cambria" w:hAnsi="Cambria" w:cs="Arial"/>
                <w:sz w:val="22"/>
                <w:szCs w:val="22"/>
              </w:rPr>
            </w:pPr>
            <w:r w:rsidRPr="001C35E2">
              <w:rPr>
                <w:rFonts w:ascii="Cambria" w:hAnsi="Cambria" w:cs="Arial"/>
                <w:sz w:val="22"/>
                <w:szCs w:val="22"/>
              </w:rPr>
              <w:t>70</w:t>
            </w:r>
          </w:p>
        </w:tc>
        <w:tc>
          <w:tcPr>
            <w:tcW w:w="1275" w:type="dxa"/>
            <w:shd w:val="clear" w:color="auto" w:fill="auto"/>
            <w:vAlign w:val="center"/>
          </w:tcPr>
          <w:p w14:paraId="4A9A47CD" w14:textId="77777777" w:rsidR="00F5610C" w:rsidRPr="001C35E2" w:rsidRDefault="00F5610C" w:rsidP="00491261">
            <w:pPr>
              <w:rPr>
                <w:rFonts w:ascii="Cambria" w:hAnsi="Cambria" w:cs="Arial"/>
                <w:sz w:val="22"/>
                <w:szCs w:val="22"/>
              </w:rPr>
            </w:pPr>
            <w:r w:rsidRPr="001C35E2">
              <w:rPr>
                <w:rFonts w:ascii="Cambria" w:hAnsi="Cambria" w:cs="Arial"/>
                <w:sz w:val="22"/>
                <w:szCs w:val="22"/>
              </w:rPr>
              <w:t>3.1%</w:t>
            </w:r>
          </w:p>
        </w:tc>
        <w:tc>
          <w:tcPr>
            <w:tcW w:w="3240" w:type="dxa"/>
            <w:shd w:val="clear" w:color="auto" w:fill="auto"/>
          </w:tcPr>
          <w:p w14:paraId="1BC16ACD" w14:textId="77777777" w:rsidR="00F5610C" w:rsidRPr="001C35E2" w:rsidRDefault="00F5610C" w:rsidP="00491261">
            <w:pPr>
              <w:rPr>
                <w:rFonts w:ascii="Cambria" w:hAnsi="Cambria" w:cs="Arial"/>
                <w:sz w:val="22"/>
                <w:szCs w:val="22"/>
              </w:rPr>
            </w:pPr>
            <w:r w:rsidRPr="001C35E2">
              <w:rPr>
                <w:rFonts w:ascii="Cambria" w:hAnsi="Cambria" w:cs="Arial"/>
                <w:sz w:val="22"/>
                <w:szCs w:val="22"/>
              </w:rPr>
              <w:t>Independent sample</w:t>
            </w:r>
          </w:p>
        </w:tc>
        <w:tc>
          <w:tcPr>
            <w:tcW w:w="2714" w:type="dxa"/>
            <w:shd w:val="clear" w:color="auto" w:fill="auto"/>
          </w:tcPr>
          <w:p w14:paraId="662B0074"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w:t>
            </w:r>
          </w:p>
        </w:tc>
        <w:tc>
          <w:tcPr>
            <w:tcW w:w="2410" w:type="dxa"/>
            <w:shd w:val="clear" w:color="auto" w:fill="auto"/>
          </w:tcPr>
          <w:p w14:paraId="1ABD5502"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w:t>
            </w:r>
          </w:p>
        </w:tc>
      </w:tr>
      <w:tr w:rsidR="00F5610C" w:rsidRPr="001C35E2" w14:paraId="4F042D2D" w14:textId="77777777" w:rsidTr="0027134B">
        <w:trPr>
          <w:trHeight w:val="345"/>
        </w:trPr>
        <w:tc>
          <w:tcPr>
            <w:tcW w:w="1702" w:type="dxa"/>
            <w:shd w:val="clear" w:color="auto" w:fill="E7E6E6" w:themeFill="background2"/>
            <w:vAlign w:val="center"/>
          </w:tcPr>
          <w:p w14:paraId="10D41B6F"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Vitamin D</w:t>
            </w:r>
          </w:p>
        </w:tc>
        <w:tc>
          <w:tcPr>
            <w:tcW w:w="2977" w:type="dxa"/>
            <w:shd w:val="clear" w:color="auto" w:fill="E7E6E6" w:themeFill="background2"/>
            <w:vAlign w:val="center"/>
          </w:tcPr>
          <w:p w14:paraId="342D234D" w14:textId="78E4442C" w:rsidR="00F5610C" w:rsidRPr="001C35E2" w:rsidRDefault="00687FF5" w:rsidP="00491261">
            <w:pPr>
              <w:rPr>
                <w:rFonts w:ascii="Cambria" w:hAnsi="Cambria" w:cs="Calibri"/>
                <w:color w:val="000000" w:themeColor="text1"/>
                <w:sz w:val="22"/>
                <w:szCs w:val="22"/>
                <w:shd w:val="clear" w:color="auto" w:fill="FFFFFF"/>
              </w:rPr>
            </w:pPr>
            <w:r w:rsidRPr="001C35E2">
              <w:rPr>
                <w:rFonts w:ascii="Cambria" w:hAnsi="Cambria" w:cs="Calibri"/>
                <w:color w:val="000000" w:themeColor="text1"/>
              </w:rPr>
              <w:fldChar w:fldCharType="begin"/>
            </w:r>
            <w:r w:rsidR="00713FAA" w:rsidRPr="001C35E2">
              <w:rPr>
                <w:rFonts w:ascii="Cambria" w:hAnsi="Cambria" w:cs="Calibri"/>
                <w:color w:val="000000" w:themeColor="text1"/>
              </w:rPr>
              <w:instrText xml:space="preserve"> ADDIN ZOTERO_ITEM CSL_CITATION {"citationID":"xPKiPfKK","properties":{"formattedCitation":"(Revez et al., 2020)","plainCitation":"(Revez et al., 2020)","noteIndex":0},"citationItems":[{"id":3566,"uris":["http://zotero.org/users/5402137/items/DN7M4VD2"],"itemData":{"id":3566,"type":"article-journal","abstract":"Vitamin D deficiency is a candidate risk factor for a range of adverse health outcomes. In a genome-wide association study of 25 hydroxyvitamin D (25OHD) concentration in 417,580 Europeans we identify 143 independent loci in 112 1-Mb regions, providing insights into the physiology of vitamin D and implicating genes involved in lipid and lipoprotein metabolism, dermal tissue properties, and the sulphonation and glucuronidation of 25OHD. Mendelian randomization models find no robust evidence that 25OHD concentration has causal effects on candidate phenotypes (e.g. BMI, psychiatric disorders), but many phenotypes have (direct or indirect) causal effects on 25OHD concentration, clarifying the epidemiological relationship between 25OHD status and the health outcomes examined in this study.","container-title":"Nature Communications","DOI":"10.1038/s41467-020-15421-7","ISSN":"2041-1723","issue":"1","journalAbbreviation":"Nat Commun","language":"en","license":"2020 The Author(s)","note":"Bandiera_abtest: a\nCc_license_type: cc_by\nCg_type: Nature Research Journals\nnumber: 1\nPrimary_atype: Research\npublisher: Nature Publishing Group\nSubject_term: Calcium and vitamin D;Genome-wide association studies;Psychiatric disorders;Risk factors\nSubject_term_id: calcium-and-vitamin-d;genome-wide-association-studies;psychiatric-disorders;risk-factors","page":"1647","source":"www.nature.com","title":"Genome-wide association study identifies 143 loci associated with 25 hydroxyvitamin D concentration","volume":"11","author":[{"family":"Revez","given":"Joana A."},{"family":"Lin","given":"Tian"},{"family":"Qiao","given":"Zhen"},{"family":"Xue","given":"Angli"},{"family":"Holtz","given":"Yan"},{"family":"Zhu","given":"Zhihong"},{"family":"Zeng","given":"Jian"},{"family":"Wang","given":"Huanwei"},{"family":"Sidorenko","given":"Julia"},{"family":"Kemper","given":"Kathryn E."},{"family":"Vinkhuyzen","given":"Anna A. E."},{"family":"Frater","given":"Julanne"},{"family":"Eyles","given":"Darryl"},{"family":"Burne","given":"Thomas H. J."},{"family":"Mitchell","given":"Brittany"},{"family":"Martin","given":"Nicholas G."},{"family":"Zhu","given":"Gu"},{"family":"Visscher","given":"Peter M."},{"family":"Yang","given":"Jian"},{"family":"Wray","given":"Naomi R."},{"family":"McGrath","given":"John J."}],"issued":{"date-parts":[["2020",4,2]]}}}],"schema":"https://github.com/citation-style-language/schema/raw/master/csl-citation.json"} </w:instrText>
            </w:r>
            <w:r w:rsidRPr="001C35E2">
              <w:rPr>
                <w:rFonts w:ascii="Cambria" w:hAnsi="Cambria" w:cs="Calibri"/>
                <w:color w:val="000000" w:themeColor="text1"/>
              </w:rPr>
              <w:fldChar w:fldCharType="separate"/>
            </w:r>
            <w:r w:rsidR="0062285E" w:rsidRPr="001C35E2">
              <w:rPr>
                <w:rFonts w:ascii="Cambria" w:hAnsi="Cambria" w:cs="Times New Roman"/>
                <w:color w:val="000000"/>
              </w:rPr>
              <w:t>(Revez et al., 2020)</w:t>
            </w:r>
            <w:r w:rsidRPr="001C35E2">
              <w:rPr>
                <w:rFonts w:ascii="Cambria" w:hAnsi="Cambria" w:cs="Calibri"/>
                <w:color w:val="000000" w:themeColor="text1"/>
              </w:rPr>
              <w:fldChar w:fldCharType="end"/>
            </w:r>
          </w:p>
        </w:tc>
        <w:tc>
          <w:tcPr>
            <w:tcW w:w="709" w:type="dxa"/>
            <w:shd w:val="clear" w:color="auto" w:fill="E7E6E6" w:themeFill="background2"/>
            <w:vAlign w:val="center"/>
          </w:tcPr>
          <w:p w14:paraId="42B020BB"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111</w:t>
            </w:r>
          </w:p>
        </w:tc>
        <w:tc>
          <w:tcPr>
            <w:tcW w:w="1275" w:type="dxa"/>
            <w:shd w:val="clear" w:color="auto" w:fill="E7E6E6" w:themeFill="background2"/>
            <w:vAlign w:val="center"/>
          </w:tcPr>
          <w:p w14:paraId="79E48504" w14:textId="77777777" w:rsidR="00F5610C" w:rsidRPr="001C35E2" w:rsidRDefault="00F5610C" w:rsidP="00491261">
            <w:pPr>
              <w:rPr>
                <w:rFonts w:ascii="Cambria" w:hAnsi="Cambria" w:cs="Arial"/>
                <w:sz w:val="22"/>
                <w:szCs w:val="22"/>
              </w:rPr>
            </w:pPr>
            <w:r w:rsidRPr="001C35E2">
              <w:rPr>
                <w:rFonts w:ascii="Cambria" w:hAnsi="Cambria" w:cs="Arial"/>
                <w:sz w:val="22"/>
                <w:szCs w:val="22"/>
              </w:rPr>
              <w:t>3.4%</w:t>
            </w:r>
          </w:p>
        </w:tc>
        <w:tc>
          <w:tcPr>
            <w:tcW w:w="3240" w:type="dxa"/>
            <w:shd w:val="clear" w:color="auto" w:fill="E7E6E6" w:themeFill="background2"/>
          </w:tcPr>
          <w:p w14:paraId="4ECFD78C" w14:textId="77777777" w:rsidR="00F5610C" w:rsidRPr="001C35E2" w:rsidRDefault="00F5610C" w:rsidP="00491261">
            <w:pPr>
              <w:rPr>
                <w:rFonts w:ascii="Cambria" w:hAnsi="Cambria" w:cs="Arial"/>
                <w:sz w:val="22"/>
                <w:szCs w:val="22"/>
              </w:rPr>
            </w:pPr>
            <w:r w:rsidRPr="001C35E2">
              <w:rPr>
                <w:rFonts w:ascii="Cambria" w:hAnsi="Cambria" w:cs="Arial"/>
                <w:sz w:val="22"/>
                <w:szCs w:val="22"/>
              </w:rPr>
              <w:t>Calculated from summary stats</w:t>
            </w:r>
          </w:p>
        </w:tc>
        <w:tc>
          <w:tcPr>
            <w:tcW w:w="2714" w:type="dxa"/>
            <w:shd w:val="clear" w:color="auto" w:fill="E7E6E6" w:themeFill="background2"/>
          </w:tcPr>
          <w:p w14:paraId="168D01AF"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w:t>
            </w:r>
          </w:p>
        </w:tc>
        <w:tc>
          <w:tcPr>
            <w:tcW w:w="2410" w:type="dxa"/>
            <w:shd w:val="clear" w:color="auto" w:fill="E7E6E6" w:themeFill="background2"/>
          </w:tcPr>
          <w:p w14:paraId="3A8658A9"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w:t>
            </w:r>
          </w:p>
        </w:tc>
      </w:tr>
      <w:tr w:rsidR="00F5610C" w:rsidRPr="001C35E2" w14:paraId="28A959F0" w14:textId="77777777" w:rsidTr="005B05C1">
        <w:trPr>
          <w:trHeight w:val="345"/>
        </w:trPr>
        <w:tc>
          <w:tcPr>
            <w:tcW w:w="1702" w:type="dxa"/>
            <w:shd w:val="clear" w:color="auto" w:fill="auto"/>
            <w:vAlign w:val="center"/>
          </w:tcPr>
          <w:p w14:paraId="6E45F2C2" w14:textId="77777777" w:rsidR="00F5610C" w:rsidRPr="001C35E2" w:rsidRDefault="00F5610C" w:rsidP="00491261">
            <w:pPr>
              <w:rPr>
                <w:rFonts w:ascii="Cambria" w:hAnsi="Cambria" w:cs="Arial"/>
                <w:sz w:val="22"/>
                <w:szCs w:val="22"/>
              </w:rPr>
            </w:pPr>
            <w:r w:rsidRPr="001C35E2">
              <w:rPr>
                <w:rFonts w:ascii="Cambria" w:hAnsi="Cambria" w:cs="Arial"/>
                <w:color w:val="000000" w:themeColor="text1"/>
                <w:sz w:val="22"/>
                <w:szCs w:val="22"/>
              </w:rPr>
              <w:t>Folate</w:t>
            </w:r>
          </w:p>
        </w:tc>
        <w:tc>
          <w:tcPr>
            <w:tcW w:w="2977" w:type="dxa"/>
            <w:shd w:val="clear" w:color="auto" w:fill="auto"/>
            <w:vAlign w:val="center"/>
          </w:tcPr>
          <w:p w14:paraId="0C7EED66" w14:textId="779D0952" w:rsidR="00F5610C" w:rsidRPr="001C35E2" w:rsidRDefault="008803C4" w:rsidP="00491261">
            <w:pPr>
              <w:rPr>
                <w:rFonts w:ascii="Cambria" w:hAnsi="Cambria" w:cs="Arial"/>
                <w:sz w:val="22"/>
                <w:szCs w:val="22"/>
              </w:rPr>
            </w:pPr>
            <w:r w:rsidRPr="001C35E2">
              <w:rPr>
                <w:rFonts w:ascii="Cambria" w:hAnsi="Cambria" w:cs="Calibri"/>
                <w:color w:val="000000" w:themeColor="text1"/>
                <w:sz w:val="22"/>
                <w:szCs w:val="22"/>
                <w:shd w:val="clear" w:color="auto" w:fill="FFFFFF"/>
              </w:rPr>
              <w:fldChar w:fldCharType="begin"/>
            </w:r>
            <w:r w:rsidR="00713FAA" w:rsidRPr="001C35E2">
              <w:rPr>
                <w:rFonts w:ascii="Cambria" w:hAnsi="Cambria" w:cs="Calibri"/>
                <w:color w:val="000000" w:themeColor="text1"/>
                <w:sz w:val="22"/>
                <w:szCs w:val="22"/>
                <w:shd w:val="clear" w:color="auto" w:fill="FFFFFF"/>
              </w:rPr>
              <w:instrText xml:space="preserve"> ADDIN ZOTERO_ITEM CSL_CITATION {"citationID":"rb5voZXQ","properties":{"formattedCitation":"(Grarup et al., 2013)","plainCitation":"(Grarup et al., 2013)","noteIndex":0},"citationItems":[{"id":1237,"uris":["http://zotero.org/users/5402137/items/D767W2V4"],"itemData":{"id":1237,"type":"article-journal","abstract":"Genome-wide association studies have mainly relied on common HapMap sequence variations. Recently, sequencing approaches have allowed analysis of low frequency and rare variants in conjunction with common variants, thereby improving the search for functional variants and thus the understanding of the underlying biology of human traits and diseases. Here, we used a large Icelandic whole genome sequence dataset combined with Danish exome sequence data to gain insight into the genetic architecture of serum levels of vitamin B12 (B12) and folate. Up to 22.9 million sequence variants were analyzed in combined samples of 45,576 and 37,341 individuals with serum B12 and folate measurements, respectively. We found six novel loci associating with serum B12 (CD320, TCN2, ABCD4, MMAA, MMACHC) or folate levels (FOLR3) and confirmed seven loci for these traits (TCN1, FUT6, FUT2, CUBN, CLYBL, MUT, MTHFR). Conditional analyses established that four loci contain additional independent signals. Interestingly, 13 of the 18 identified variants were coding and 11 of the 13 target genes have known functions related to B12 and folate pathways. Contrary to epidemiological studies we did not find consistent association of the variants with cardiovascular diseases, cancers or Alzheimer's disease although some variants demonstrated pleiotropic effects. Although to some degree impeded by low statistical power for some of these conditions, these data suggest that sequence variants that contribute to the population diversity in serum B12 or folate levels do not modify the risk of developing these conditions. Yet, the study demonstrates the value of combining whole genome and exome sequencing approaches to ascertain the genetic and molecular architectures underlying quantitative trait associations.","container-title":"PLOS Genetics","DOI":"10.1371/journal.pgen.1003530","ISSN":"1553-7404","issue":"6","journalAbbreviation":"PLOS Genetics","language":"en","note":"publisher: Public Library of Science","page":"e1003530","source":"PLoS Journals","title":"Genetic Architecture of Vitamin B12 and Folate Levels Uncovered Applying Deeply Sequenced Large Datasets","volume":"9","author":[{"family":"Grarup","given":"Niels"},{"family":"Sulem","given":"Patrick"},{"family":"Sandholt","given":"Camilla H."},{"family":"Thorleifsson","given":"Gudmar"},{"family":"Ahluwalia","given":"Tarunveer S."},{"family":"Steinthorsdottir","given":"Valgerdur"},{"family":"Bjarnason","given":"Helgi"},{"family":"Gudbjartsson","given":"Daniel F."},{"family":"Magnusson","given":"Olafur T."},{"family":"Sparsø","given":"Thomas"},{"family":"Albrechtsen","given":"Anders"},{"family":"Kong","given":"Augustine"},{"family":"Masson","given":"Gisli"},{"family":"Tian","given":"Geng"},{"family":"Cao","given":"Hongzhi"},{"family":"Nie","given":"Chao"},{"family":"Kristiansen","given":"Karsten"},{"family":"Husemoen","given":"Lise Lotte"},{"family":"Thuesen","given":"Betina"},{"family":"Li","given":"Yingrui"},{"family":"Nielsen","given":"Rasmus"},{"family":"Linneberg","given":"Allan"},{"family":"Olafsson","given":"Isleifur"},{"family":"Eyjolfsson","given":"Gudmundur I."},{"family":"Jørgensen","given":"Torben"},{"family":"Wang","given":"Jun"},{"family":"Hansen","given":"Torben"},{"family":"Thorsteinsdottir","given":"Unnur"},{"family":"Stefánsson","given":"Kari"},{"family":"Pedersen","given":"Oluf"}],"issued":{"date-parts":[["2013",6,6]]}}}],"schema":"https://github.com/citation-style-language/schema/raw/master/csl-citation.json"} </w:instrText>
            </w:r>
            <w:r w:rsidRPr="001C35E2">
              <w:rPr>
                <w:rFonts w:ascii="Cambria" w:hAnsi="Cambria" w:cs="Calibri"/>
                <w:color w:val="000000" w:themeColor="text1"/>
                <w:sz w:val="22"/>
                <w:szCs w:val="22"/>
                <w:shd w:val="clear" w:color="auto" w:fill="FFFFFF"/>
              </w:rPr>
              <w:fldChar w:fldCharType="separate"/>
            </w:r>
            <w:r w:rsidR="0062285E" w:rsidRPr="001C35E2">
              <w:rPr>
                <w:rFonts w:ascii="Cambria" w:hAnsi="Cambria" w:cs="Times New Roman"/>
                <w:color w:val="000000"/>
                <w:sz w:val="22"/>
              </w:rPr>
              <w:t>(Grarup et al., 2013)</w:t>
            </w:r>
            <w:r w:rsidRPr="001C35E2">
              <w:rPr>
                <w:rFonts w:ascii="Cambria" w:hAnsi="Cambria" w:cs="Calibri"/>
                <w:color w:val="000000" w:themeColor="text1"/>
                <w:sz w:val="22"/>
                <w:szCs w:val="22"/>
                <w:shd w:val="clear" w:color="auto" w:fill="FFFFFF"/>
              </w:rPr>
              <w:fldChar w:fldCharType="end"/>
            </w:r>
          </w:p>
        </w:tc>
        <w:tc>
          <w:tcPr>
            <w:tcW w:w="709" w:type="dxa"/>
            <w:shd w:val="clear" w:color="auto" w:fill="auto"/>
            <w:vAlign w:val="center"/>
          </w:tcPr>
          <w:p w14:paraId="7C660B56" w14:textId="77777777" w:rsidR="00F5610C" w:rsidRPr="001C35E2" w:rsidRDefault="00F5610C" w:rsidP="00491261">
            <w:pPr>
              <w:rPr>
                <w:rFonts w:ascii="Cambria" w:hAnsi="Cambria" w:cs="Arial"/>
                <w:sz w:val="22"/>
                <w:szCs w:val="22"/>
              </w:rPr>
            </w:pPr>
            <w:r w:rsidRPr="001C35E2">
              <w:rPr>
                <w:rFonts w:ascii="Cambria" w:hAnsi="Cambria" w:cs="Arial"/>
                <w:color w:val="000000" w:themeColor="text1"/>
                <w:sz w:val="22"/>
                <w:szCs w:val="22"/>
              </w:rPr>
              <w:t>4</w:t>
            </w:r>
          </w:p>
        </w:tc>
        <w:tc>
          <w:tcPr>
            <w:tcW w:w="1275" w:type="dxa"/>
            <w:shd w:val="clear" w:color="auto" w:fill="auto"/>
            <w:vAlign w:val="center"/>
          </w:tcPr>
          <w:p w14:paraId="71CDE5AA" w14:textId="77777777" w:rsidR="00F5610C" w:rsidRPr="001C35E2" w:rsidRDefault="00F5610C" w:rsidP="00491261">
            <w:pPr>
              <w:rPr>
                <w:rFonts w:ascii="Cambria" w:hAnsi="Cambria" w:cs="Arial"/>
                <w:sz w:val="22"/>
                <w:szCs w:val="22"/>
              </w:rPr>
            </w:pPr>
            <w:r w:rsidRPr="001C35E2">
              <w:rPr>
                <w:rFonts w:ascii="Cambria" w:hAnsi="Cambria" w:cs="Arial"/>
                <w:sz w:val="22"/>
                <w:szCs w:val="22"/>
              </w:rPr>
              <w:t>1.0%</w:t>
            </w:r>
          </w:p>
        </w:tc>
        <w:tc>
          <w:tcPr>
            <w:tcW w:w="3240" w:type="dxa"/>
            <w:shd w:val="clear" w:color="auto" w:fill="auto"/>
          </w:tcPr>
          <w:p w14:paraId="02F09BAE" w14:textId="77777777" w:rsidR="00F5610C" w:rsidRPr="001C35E2" w:rsidRDefault="00F5610C" w:rsidP="00491261">
            <w:pPr>
              <w:rPr>
                <w:rFonts w:ascii="Cambria" w:hAnsi="Cambria" w:cs="Arial"/>
                <w:sz w:val="22"/>
                <w:szCs w:val="22"/>
              </w:rPr>
            </w:pPr>
            <w:r w:rsidRPr="001C35E2">
              <w:rPr>
                <w:rFonts w:ascii="Cambria" w:hAnsi="Cambria" w:cs="Arial"/>
                <w:sz w:val="22"/>
                <w:szCs w:val="22"/>
              </w:rPr>
              <w:t>Calculated from summary stats</w:t>
            </w:r>
          </w:p>
        </w:tc>
        <w:tc>
          <w:tcPr>
            <w:tcW w:w="2714" w:type="dxa"/>
            <w:shd w:val="clear" w:color="auto" w:fill="auto"/>
          </w:tcPr>
          <w:p w14:paraId="63910B7F" w14:textId="77777777" w:rsidR="00F5610C" w:rsidRPr="001C35E2" w:rsidRDefault="00F5610C" w:rsidP="00491261">
            <w:pPr>
              <w:rPr>
                <w:rFonts w:ascii="Cambria" w:hAnsi="Cambria" w:cs="Arial"/>
                <w:sz w:val="22"/>
                <w:szCs w:val="22"/>
              </w:rPr>
            </w:pPr>
            <w:r w:rsidRPr="001C35E2">
              <w:rPr>
                <w:rFonts w:ascii="Cambria" w:hAnsi="Cambria" w:cs="Arial"/>
                <w:sz w:val="22"/>
                <w:szCs w:val="22"/>
              </w:rPr>
              <w:t>Not obviously</w:t>
            </w:r>
          </w:p>
        </w:tc>
        <w:tc>
          <w:tcPr>
            <w:tcW w:w="2410" w:type="dxa"/>
            <w:shd w:val="clear" w:color="auto" w:fill="auto"/>
          </w:tcPr>
          <w:p w14:paraId="4E72E433"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 diet diaries</w:t>
            </w:r>
          </w:p>
        </w:tc>
      </w:tr>
      <w:tr w:rsidR="00F5610C" w:rsidRPr="001C35E2" w14:paraId="3DCC878E" w14:textId="77777777" w:rsidTr="0027134B">
        <w:trPr>
          <w:trHeight w:val="345"/>
        </w:trPr>
        <w:tc>
          <w:tcPr>
            <w:tcW w:w="1702" w:type="dxa"/>
            <w:shd w:val="clear" w:color="auto" w:fill="E7E6E6" w:themeFill="background2"/>
            <w:vAlign w:val="center"/>
          </w:tcPr>
          <w:p w14:paraId="03EC04C3"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Folate</w:t>
            </w:r>
          </w:p>
        </w:tc>
        <w:tc>
          <w:tcPr>
            <w:tcW w:w="2977" w:type="dxa"/>
            <w:shd w:val="clear" w:color="auto" w:fill="E7E6E6" w:themeFill="background2"/>
            <w:vAlign w:val="center"/>
          </w:tcPr>
          <w:p w14:paraId="107F65A4" w14:textId="77777777" w:rsidR="00F5610C" w:rsidRPr="001C35E2" w:rsidRDefault="00F5610C" w:rsidP="00491261">
            <w:pPr>
              <w:rPr>
                <w:rFonts w:ascii="Cambria" w:hAnsi="Cambria" w:cs="Calibri"/>
                <w:color w:val="000000" w:themeColor="text1"/>
                <w:sz w:val="22"/>
                <w:szCs w:val="22"/>
                <w:shd w:val="clear" w:color="auto" w:fill="FFFFFF"/>
              </w:rPr>
            </w:pPr>
            <w:r w:rsidRPr="001C35E2">
              <w:rPr>
                <w:rFonts w:ascii="Cambria" w:hAnsi="Cambria" w:cs="Arial"/>
                <w:color w:val="000000" w:themeColor="text1"/>
                <w:sz w:val="22"/>
                <w:szCs w:val="22"/>
              </w:rPr>
              <w:t>IEU Open GWAS (UKB only)</w:t>
            </w:r>
          </w:p>
        </w:tc>
        <w:tc>
          <w:tcPr>
            <w:tcW w:w="709" w:type="dxa"/>
            <w:shd w:val="clear" w:color="auto" w:fill="E7E6E6" w:themeFill="background2"/>
            <w:vAlign w:val="center"/>
          </w:tcPr>
          <w:p w14:paraId="026AEBEB"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1</w:t>
            </w:r>
          </w:p>
        </w:tc>
        <w:tc>
          <w:tcPr>
            <w:tcW w:w="1275" w:type="dxa"/>
            <w:shd w:val="clear" w:color="auto" w:fill="E7E6E6" w:themeFill="background2"/>
            <w:vAlign w:val="center"/>
          </w:tcPr>
          <w:p w14:paraId="5AE957B5" w14:textId="77777777" w:rsidR="00F5610C" w:rsidRPr="001C35E2" w:rsidRDefault="00F5610C" w:rsidP="00491261">
            <w:pPr>
              <w:rPr>
                <w:rFonts w:ascii="Cambria" w:hAnsi="Cambria" w:cs="Arial"/>
                <w:sz w:val="22"/>
                <w:szCs w:val="22"/>
              </w:rPr>
            </w:pPr>
            <w:r w:rsidRPr="001C35E2">
              <w:rPr>
                <w:rFonts w:ascii="Cambria" w:hAnsi="Cambria" w:cs="Arial"/>
                <w:sz w:val="22"/>
                <w:szCs w:val="22"/>
              </w:rPr>
              <w:t>-</w:t>
            </w:r>
          </w:p>
        </w:tc>
        <w:tc>
          <w:tcPr>
            <w:tcW w:w="3240" w:type="dxa"/>
            <w:shd w:val="clear" w:color="auto" w:fill="E7E6E6" w:themeFill="background2"/>
          </w:tcPr>
          <w:p w14:paraId="44D6A395" w14:textId="77777777" w:rsidR="00F5610C" w:rsidRPr="001C35E2" w:rsidRDefault="00F5610C" w:rsidP="00491261">
            <w:pPr>
              <w:rPr>
                <w:rFonts w:ascii="Cambria" w:hAnsi="Cambria" w:cs="Arial"/>
                <w:sz w:val="22"/>
                <w:szCs w:val="22"/>
              </w:rPr>
            </w:pPr>
            <w:r w:rsidRPr="001C35E2">
              <w:rPr>
                <w:rFonts w:ascii="Cambria" w:hAnsi="Cambria" w:cs="Arial"/>
                <w:sz w:val="22"/>
                <w:szCs w:val="22"/>
              </w:rPr>
              <w:t>-</w:t>
            </w:r>
          </w:p>
        </w:tc>
        <w:tc>
          <w:tcPr>
            <w:tcW w:w="2714" w:type="dxa"/>
            <w:shd w:val="clear" w:color="auto" w:fill="E7E6E6" w:themeFill="background2"/>
          </w:tcPr>
          <w:p w14:paraId="794E5A06"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(at IEU Open GWAS)</w:t>
            </w:r>
          </w:p>
        </w:tc>
        <w:tc>
          <w:tcPr>
            <w:tcW w:w="2410" w:type="dxa"/>
            <w:shd w:val="clear" w:color="auto" w:fill="E7E6E6" w:themeFill="background2"/>
          </w:tcPr>
          <w:p w14:paraId="4DE0A2A6"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 diet diaries</w:t>
            </w:r>
          </w:p>
        </w:tc>
      </w:tr>
      <w:tr w:rsidR="00F5610C" w:rsidRPr="001C35E2" w14:paraId="679959A8" w14:textId="77777777" w:rsidTr="00491261">
        <w:tc>
          <w:tcPr>
            <w:tcW w:w="1702" w:type="dxa"/>
            <w:vAlign w:val="center"/>
          </w:tcPr>
          <w:p w14:paraId="6A7936D6" w14:textId="77777777" w:rsidR="00F5610C" w:rsidRPr="001C35E2" w:rsidRDefault="00F5610C" w:rsidP="00491261">
            <w:pPr>
              <w:rPr>
                <w:rFonts w:ascii="Cambria" w:hAnsi="Cambria" w:cs="Arial"/>
                <w:sz w:val="22"/>
                <w:szCs w:val="22"/>
              </w:rPr>
            </w:pPr>
            <w:r w:rsidRPr="001C35E2">
              <w:rPr>
                <w:rFonts w:ascii="Cambria" w:hAnsi="Cambria" w:cs="Arial"/>
                <w:sz w:val="22"/>
                <w:szCs w:val="22"/>
              </w:rPr>
              <w:t>Iron</w:t>
            </w:r>
          </w:p>
        </w:tc>
        <w:tc>
          <w:tcPr>
            <w:tcW w:w="2977" w:type="dxa"/>
            <w:vAlign w:val="center"/>
          </w:tcPr>
          <w:p w14:paraId="4739B14B" w14:textId="0CF32DB0" w:rsidR="00F5610C" w:rsidRPr="001C35E2" w:rsidRDefault="008803C4" w:rsidP="00491261">
            <w:pPr>
              <w:rPr>
                <w:rFonts w:ascii="Cambria" w:hAnsi="Cambria" w:cs="Arial"/>
                <w:sz w:val="22"/>
                <w:szCs w:val="22"/>
              </w:rPr>
            </w:pPr>
            <w:r w:rsidRPr="001C35E2">
              <w:rPr>
                <w:rFonts w:ascii="Cambria" w:hAnsi="Cambria" w:cs="Arial"/>
                <w:sz w:val="22"/>
                <w:szCs w:val="22"/>
              </w:rPr>
              <w:fldChar w:fldCharType="begin"/>
            </w:r>
            <w:r w:rsidR="00713FAA" w:rsidRPr="001C35E2">
              <w:rPr>
                <w:rFonts w:ascii="Cambria" w:hAnsi="Cambria" w:cs="Arial"/>
                <w:sz w:val="22"/>
                <w:szCs w:val="22"/>
              </w:rPr>
              <w:instrText xml:space="preserve"> ADDIN ZOTERO_ITEM CSL_CITATION {"citationID":"prlJIy59","properties":{"formattedCitation":"(Benyamin et al., 2014)","plainCitation":"(Benyamin et al., 2014)","noteIndex":0},"citationItems":[{"id":1216,"uris":["http://zotero.org/users/5402137/items/U4WLVE8C"],"itemData":{"id":1216,"type":"article-journal","container-title":"Nature communications","issue":"1","note":"publisher: Nature Publishing Group","page":"1–11","source":"Google Scholar","title":"Novel loci affecting iron homeostasis and their effects in individuals at risk for hemochromatosis","volume":"5","author":[{"family":"Benyamin","given":"Beben"},{"family":"Esko","given":"Tonu"},{"family":"Ried","given":"Janina S."},{"family":"Radhakrishnan","given":"Aparna"},{"family":"Vermeulen","given":"Sita H."},{"family":"Traglia","given":"Michela"},{"family":"Gögele","given":"Martin"},{"family":"Anderson","given":"Denise"},{"family":"Broer","given":"Linda"},{"family":"Podmore","given":"Clara"}],"issued":{"date-parts":[["2014"]]}}}],"schema":"https://github.com/citation-style-language/schema/raw/master/csl-citation.json"} </w:instrText>
            </w:r>
            <w:r w:rsidRPr="001C35E2">
              <w:rPr>
                <w:rFonts w:ascii="Cambria" w:hAnsi="Cambria" w:cs="Arial"/>
                <w:sz w:val="22"/>
                <w:szCs w:val="22"/>
              </w:rPr>
              <w:fldChar w:fldCharType="separate"/>
            </w:r>
            <w:r w:rsidR="0062285E" w:rsidRPr="001C35E2">
              <w:rPr>
                <w:rFonts w:ascii="Cambria" w:hAnsi="Cambria" w:cs="Times New Roman"/>
                <w:sz w:val="22"/>
              </w:rPr>
              <w:t>(Benyamin et al., 2014)</w:t>
            </w:r>
            <w:r w:rsidRPr="001C35E2">
              <w:rPr>
                <w:rFonts w:ascii="Cambria" w:hAnsi="Cambria" w:cs="Arial"/>
                <w:sz w:val="22"/>
                <w:szCs w:val="22"/>
              </w:rPr>
              <w:fldChar w:fldCharType="end"/>
            </w:r>
          </w:p>
        </w:tc>
        <w:tc>
          <w:tcPr>
            <w:tcW w:w="709" w:type="dxa"/>
            <w:vAlign w:val="center"/>
          </w:tcPr>
          <w:p w14:paraId="0B536643" w14:textId="77777777" w:rsidR="00F5610C" w:rsidRPr="001C35E2" w:rsidRDefault="00F5610C" w:rsidP="00491261">
            <w:pPr>
              <w:rPr>
                <w:rFonts w:ascii="Cambria" w:hAnsi="Cambria" w:cs="Arial"/>
                <w:sz w:val="22"/>
                <w:szCs w:val="22"/>
              </w:rPr>
            </w:pPr>
            <w:r w:rsidRPr="001C35E2">
              <w:rPr>
                <w:rFonts w:ascii="Cambria" w:hAnsi="Cambria" w:cs="Arial"/>
                <w:color w:val="000000" w:themeColor="text1"/>
                <w:sz w:val="22"/>
                <w:szCs w:val="22"/>
              </w:rPr>
              <w:t>11</w:t>
            </w:r>
          </w:p>
        </w:tc>
        <w:tc>
          <w:tcPr>
            <w:tcW w:w="1275" w:type="dxa"/>
            <w:vAlign w:val="center"/>
          </w:tcPr>
          <w:p w14:paraId="1986CDEB" w14:textId="77777777" w:rsidR="00F5610C" w:rsidRPr="001C35E2" w:rsidRDefault="00F5610C" w:rsidP="00491261">
            <w:pPr>
              <w:rPr>
                <w:rFonts w:ascii="Cambria" w:hAnsi="Cambria" w:cs="Arial"/>
                <w:sz w:val="22"/>
                <w:szCs w:val="22"/>
              </w:rPr>
            </w:pPr>
            <w:r w:rsidRPr="001C35E2">
              <w:rPr>
                <w:rFonts w:ascii="Cambria" w:hAnsi="Cambria" w:cs="Arial"/>
                <w:sz w:val="22"/>
                <w:szCs w:val="22"/>
              </w:rPr>
              <w:t>3.4%</w:t>
            </w:r>
          </w:p>
        </w:tc>
        <w:tc>
          <w:tcPr>
            <w:tcW w:w="3240" w:type="dxa"/>
          </w:tcPr>
          <w:p w14:paraId="63965EFA" w14:textId="77777777" w:rsidR="00F5610C" w:rsidRPr="001C35E2" w:rsidRDefault="00F5610C" w:rsidP="00491261">
            <w:pPr>
              <w:rPr>
                <w:rFonts w:ascii="Cambria" w:hAnsi="Cambria" w:cs="Arial"/>
                <w:sz w:val="22"/>
                <w:szCs w:val="22"/>
              </w:rPr>
            </w:pPr>
            <w:r w:rsidRPr="001C35E2">
              <w:rPr>
                <w:rFonts w:ascii="Cambria" w:hAnsi="Cambria" w:cs="Arial"/>
                <w:sz w:val="22"/>
                <w:szCs w:val="22"/>
              </w:rPr>
              <w:t>Independent sample</w:t>
            </w:r>
          </w:p>
        </w:tc>
        <w:tc>
          <w:tcPr>
            <w:tcW w:w="2714" w:type="dxa"/>
          </w:tcPr>
          <w:p w14:paraId="1AC675EA"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(at IEU Open GWAS)</w:t>
            </w:r>
          </w:p>
        </w:tc>
        <w:tc>
          <w:tcPr>
            <w:tcW w:w="2410" w:type="dxa"/>
          </w:tcPr>
          <w:p w14:paraId="4AA6445C"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 diet diaries</w:t>
            </w:r>
          </w:p>
        </w:tc>
      </w:tr>
      <w:tr w:rsidR="00F5610C" w:rsidRPr="001C35E2" w14:paraId="6F757A2A" w14:textId="77777777" w:rsidTr="0027134B">
        <w:tc>
          <w:tcPr>
            <w:tcW w:w="1702" w:type="dxa"/>
            <w:shd w:val="clear" w:color="auto" w:fill="E7E6E6" w:themeFill="background2"/>
            <w:vAlign w:val="center"/>
          </w:tcPr>
          <w:p w14:paraId="011172E1" w14:textId="77777777" w:rsidR="00F5610C" w:rsidRPr="001C35E2" w:rsidRDefault="00F5610C" w:rsidP="00491261">
            <w:pPr>
              <w:rPr>
                <w:rFonts w:ascii="Cambria" w:hAnsi="Cambria" w:cs="Arial"/>
                <w:sz w:val="22"/>
                <w:szCs w:val="22"/>
              </w:rPr>
            </w:pPr>
            <w:r w:rsidRPr="001C35E2">
              <w:rPr>
                <w:rFonts w:ascii="Cambria" w:hAnsi="Cambria" w:cs="Arial"/>
                <w:sz w:val="22"/>
                <w:szCs w:val="22"/>
              </w:rPr>
              <w:t>Iron</w:t>
            </w:r>
          </w:p>
        </w:tc>
        <w:tc>
          <w:tcPr>
            <w:tcW w:w="2977" w:type="dxa"/>
            <w:shd w:val="clear" w:color="auto" w:fill="E7E6E6" w:themeFill="background2"/>
            <w:vAlign w:val="center"/>
          </w:tcPr>
          <w:p w14:paraId="1570C3FC" w14:textId="77777777" w:rsidR="00F5610C" w:rsidRPr="001C35E2" w:rsidRDefault="00F5610C" w:rsidP="00491261">
            <w:pPr>
              <w:rPr>
                <w:rFonts w:ascii="Cambria" w:hAnsi="Cambria" w:cs="Arial"/>
                <w:sz w:val="22"/>
                <w:szCs w:val="22"/>
              </w:rPr>
            </w:pPr>
            <w:r w:rsidRPr="001C35E2">
              <w:rPr>
                <w:rFonts w:ascii="Cambria" w:hAnsi="Cambria" w:cs="Arial"/>
                <w:color w:val="000000" w:themeColor="text1"/>
                <w:sz w:val="22"/>
                <w:szCs w:val="22"/>
              </w:rPr>
              <w:t>IEU Open GWAS (UKB only)</w:t>
            </w:r>
          </w:p>
        </w:tc>
        <w:tc>
          <w:tcPr>
            <w:tcW w:w="709" w:type="dxa"/>
            <w:shd w:val="clear" w:color="auto" w:fill="E7E6E6" w:themeFill="background2"/>
            <w:vAlign w:val="center"/>
          </w:tcPr>
          <w:p w14:paraId="221B4E67"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0</w:t>
            </w:r>
          </w:p>
        </w:tc>
        <w:tc>
          <w:tcPr>
            <w:tcW w:w="1275" w:type="dxa"/>
            <w:shd w:val="clear" w:color="auto" w:fill="E7E6E6" w:themeFill="background2"/>
            <w:vAlign w:val="center"/>
          </w:tcPr>
          <w:p w14:paraId="0C9B78B6" w14:textId="77777777" w:rsidR="00F5610C" w:rsidRPr="001C35E2" w:rsidRDefault="00F5610C" w:rsidP="00491261">
            <w:pPr>
              <w:rPr>
                <w:rFonts w:ascii="Cambria" w:hAnsi="Cambria" w:cs="Arial"/>
                <w:sz w:val="22"/>
                <w:szCs w:val="22"/>
              </w:rPr>
            </w:pPr>
            <w:r w:rsidRPr="001C35E2">
              <w:rPr>
                <w:rFonts w:ascii="Cambria" w:hAnsi="Cambria" w:cs="Arial"/>
                <w:sz w:val="22"/>
                <w:szCs w:val="22"/>
              </w:rPr>
              <w:t>-</w:t>
            </w:r>
          </w:p>
        </w:tc>
        <w:tc>
          <w:tcPr>
            <w:tcW w:w="3240" w:type="dxa"/>
            <w:shd w:val="clear" w:color="auto" w:fill="E7E6E6" w:themeFill="background2"/>
          </w:tcPr>
          <w:p w14:paraId="43728B30" w14:textId="77777777" w:rsidR="00F5610C" w:rsidRPr="001C35E2" w:rsidRDefault="00F5610C" w:rsidP="00491261">
            <w:pPr>
              <w:rPr>
                <w:rFonts w:ascii="Cambria" w:hAnsi="Cambria" w:cs="Arial"/>
                <w:sz w:val="22"/>
                <w:szCs w:val="22"/>
              </w:rPr>
            </w:pPr>
            <w:r w:rsidRPr="001C35E2">
              <w:rPr>
                <w:rFonts w:ascii="Cambria" w:hAnsi="Cambria" w:cs="Arial"/>
                <w:sz w:val="22"/>
                <w:szCs w:val="22"/>
              </w:rPr>
              <w:t>-</w:t>
            </w:r>
          </w:p>
        </w:tc>
        <w:tc>
          <w:tcPr>
            <w:tcW w:w="2714" w:type="dxa"/>
            <w:shd w:val="clear" w:color="auto" w:fill="E7E6E6" w:themeFill="background2"/>
          </w:tcPr>
          <w:p w14:paraId="1C5280F3"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(at IEU Open GWAS)</w:t>
            </w:r>
          </w:p>
        </w:tc>
        <w:tc>
          <w:tcPr>
            <w:tcW w:w="2410" w:type="dxa"/>
            <w:shd w:val="clear" w:color="auto" w:fill="E7E6E6" w:themeFill="background2"/>
          </w:tcPr>
          <w:p w14:paraId="2429B79B"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 diet diaries</w:t>
            </w:r>
          </w:p>
        </w:tc>
      </w:tr>
      <w:tr w:rsidR="00F5610C" w:rsidRPr="001C35E2" w14:paraId="6686043D" w14:textId="77777777" w:rsidTr="00491261">
        <w:tc>
          <w:tcPr>
            <w:tcW w:w="1702" w:type="dxa"/>
            <w:tcBorders>
              <w:bottom w:val="nil"/>
            </w:tcBorders>
            <w:vAlign w:val="center"/>
          </w:tcPr>
          <w:p w14:paraId="08DC9AB1" w14:textId="77777777" w:rsidR="00F5610C" w:rsidRPr="001C35E2" w:rsidRDefault="00F5610C" w:rsidP="00491261">
            <w:pPr>
              <w:rPr>
                <w:rFonts w:ascii="Cambria" w:hAnsi="Cambria" w:cs="Arial"/>
                <w:sz w:val="22"/>
                <w:szCs w:val="22"/>
              </w:rPr>
            </w:pPr>
            <w:r w:rsidRPr="001C35E2">
              <w:rPr>
                <w:rFonts w:ascii="Cambria" w:hAnsi="Cambria" w:cs="Arial"/>
                <w:color w:val="000000" w:themeColor="text1"/>
                <w:sz w:val="22"/>
                <w:szCs w:val="22"/>
              </w:rPr>
              <w:t>Calcium</w:t>
            </w:r>
          </w:p>
        </w:tc>
        <w:tc>
          <w:tcPr>
            <w:tcW w:w="2977" w:type="dxa"/>
            <w:tcBorders>
              <w:bottom w:val="nil"/>
            </w:tcBorders>
            <w:vAlign w:val="center"/>
          </w:tcPr>
          <w:p w14:paraId="12272E7A" w14:textId="5956082D" w:rsidR="00F5610C" w:rsidRPr="001C35E2" w:rsidRDefault="008803C4" w:rsidP="00491261">
            <w:pPr>
              <w:rPr>
                <w:rFonts w:ascii="Cambria" w:hAnsi="Cambria" w:cs="Arial"/>
                <w:sz w:val="22"/>
                <w:szCs w:val="22"/>
              </w:rPr>
            </w:pPr>
            <w:r w:rsidRPr="001C35E2">
              <w:rPr>
                <w:rFonts w:ascii="Cambria" w:hAnsi="Cambria" w:cs="Arial"/>
                <w:color w:val="000000" w:themeColor="text1"/>
                <w:sz w:val="22"/>
                <w:szCs w:val="22"/>
              </w:rPr>
              <w:fldChar w:fldCharType="begin"/>
            </w:r>
            <w:r w:rsidR="00713FAA" w:rsidRPr="001C35E2">
              <w:rPr>
                <w:rFonts w:ascii="Cambria" w:hAnsi="Cambria" w:cs="Arial"/>
                <w:color w:val="000000" w:themeColor="text1"/>
                <w:sz w:val="22"/>
                <w:szCs w:val="22"/>
              </w:rPr>
              <w:instrText xml:space="preserve"> ADDIN ZOTERO_ITEM CSL_CITATION {"citationID":"zrSLgCc1","properties":{"formattedCitation":"(O\\uc0\\u8217{}Seaghdha et al., 2013)","plainCitation":"(O’Seaghdha et al., 2013)","noteIndex":0},"citationItems":[{"id":1209,"uris":["http://zotero.org/users/5402137/items/W7XLZ6AR"],"itemData":{"id":1209,"type":"article-journal","abstract":"Calcium is vital to the normal functioning of multiple organ systems and its serum concentration is tightly regulated. Apart from CASR, the genes associated with serum calcium are largely unknown. We conducted a genome-wide association meta-analysis of 39,400 individuals from 17 population-based cohorts and investigated the 14 most strongly associated loci in ≤ 21,679 additional individuals. Seven loci (six new regions) in association with serum calcium were identified and replicated. Rs1570669 near CYP24A1 (P = 9.1E-12), rs10491003 upstream of GATA3 (P = 4.8E-09) and rs7481584 in CARS (P = 1.2E-10) implicate regions involved in Mendelian calcemic disorders: Rs1550532 in DGKD (P = 8.2E-11), also associated with bone density, and rs7336933 near DGKH/KIAA0564 (P = 9.1E-10) are near genes that encode distinct isoforms of diacylglycerol kinase. Rs780094 is in GCKR. We characterized the expression of these genes in gut, kidney, and bone, and demonstrate modulation of gene expression in bone in response to dietary calcium in mice. Our results shed new light on the genetics of calcium homeostasis.","container-title":"PLoS genetics","DOI":"10.1371/journal.pgen.1003796","ISSN":"1553-7404","issue":"9","journalAbbreviation":"PLoS Genet.","language":"eng","note":"PMID: 24068962\nPMCID: PMC3778004","page":"e1003796","source":"PubMed","title":"Meta-analysis of genome-wide association studies identifies six new Loci for serum calcium concentrations","volume":"9","author":[{"family":"O'Seaghdha","given":"Conall M."},{"family":"Wu","given":"Hongsheng"},{"family":"Yang","given":"Qiong"},{"family":"Kapur","given":"Karen"},{"family":"Guessous","given":"Idris"},{"family":"Zuber","given":"Annie Mercier"},{"family":"Köttgen","given":"Anna"},{"family":"Stoudmann","given":"Candice"},{"family":"Teumer","given":"Alexander"},{"family":"Kutalik","given":"Zoltán"},{"family":"Mangino","given":"Massimo"},{"family":"Dehghan","given":"Abbas"},{"family":"Zhang","given":"Weihua"},{"family":"Eiriksdottir","given":"Gudny"},{"family":"Li","given":"Guo"},{"family":"Tanaka","given":"Toshiko"},{"family":"Portas","given":"Laura"},{"family":"Lopez","given":"Lorna M."},{"family":"Hayward","given":"Caroline"},{"family":"Lohman","given":"Kurt"},{"family":"Matsuda","given":"Koichi"},{"family":"Padmanabhan","given":"Sandosh"},{"family":"Firsov","given":"Dmitri"},{"family":"Sorice","given":"Rossella"},{"family":"Ulivi","given":"Sheila"},{"family":"Brockhaus","given":"A. Catharina"},{"family":"Kleber","given":"Marcus E."},{"family":"Mahajan","given":"Anubha"},{"family":"Ernst","given":"Florian D."},{"family":"Gudnason","given":"Vilmundur"},{"family":"Launer","given":"Lenore J."},{"family":"Mace","given":"Aurelien"},{"family":"Boerwinckle","given":"Eric"},{"family":"Arking","given":"Dan E."},{"family":"Tanikawa","given":"Chizu"},{"family":"Nakamura","given":"Yusuke"},{"family":"Brown","given":"Morris J."},{"family":"Gaspoz","given":"Jean-Michel"},{"family":"Theler","given":"Jean-Marc"},{"family":"Siscovick","given":"David S."},{"family":"Psaty","given":"Bruce M."},{"family":"Bergmann","given":"Sven"},{"family":"Vollenweider","given":"Peter"},{"family":"Vitart","given":"Veronique"},{"family":"Wright","given":"Alan F."},{"family":"Zemunik","given":"Tatijana"},{"family":"Boban","given":"Mladen"},{"family":"Kolcic","given":"Ivana"},{"family":"Navarro","given":"Pau"},{"family":"Brown","given":"Edward M."},{"family":"Estrada","given":"Karol"},{"family":"Ding","given":"Jingzhong"},{"family":"Harris","given":"Tamara B."},{"family":"Bandinelli","given":"Stefania"},{"family":"Hernandez","given":"Dena"},{"family":"Singleton","given":"Andrew B."},{"family":"Girotto","given":"Giorgia"},{"family":"Ruggiero","given":"Daniela"},{"family":"Adamo","given":"Adamo Pio","non-dropping-particle":"d'"},{"family":"Robino","given":"Antonietta"},{"family":"Meitinger","given":"Thomas"},{"family":"Meisinger","given":"Christa"},{"family":"Davies","given":"Gail"},{"family":"Starr","given":"John M."},{"family":"Chambers","given":"John C."},{"family":"Boehm","given":"Bernhard O."},{"family":"Winkelmann","given":"Bernhard R."},{"family":"Huang","given":"Jie"},{"family":"Murgia","given":"Federico"},{"family":"Wild","given":"Sarah H."},{"family":"Campbell","given":"Harry"},{"family":"Morris","given":"Andrew P."},{"family":"Franco","given":"Oscar H."},{"family":"Hofman","given":"Albert"},{"family":"Uitterlinden","given":"Andre G."},{"family":"Rivadeneira","given":"Fernando"},{"family":"Völker","given":"Uwe"},{"family":"Hannemann","given":"Anke"},{"family":"Biffar","given":"Reiner"},{"family":"Hoffmann","given":"Wolfgang"},{"family":"Shin","given":"So-Youn"},{"family":"Lescuyer","given":"Pierre"},{"family":"Henry","given":"Hughes"},{"family":"Schurmann","given":"Claudia"},{"literal":"SUNLIGHT Consortium"},{"literal":"GEFOS Consortium"},{"family":"Munroe","given":"Patricia B."},{"family":"Gasparini","given":"Paolo"},{"family":"Pirastu","given":"Nicola"},{"family":"Ciullo","given":"Marina"},{"family":"Gieger","given":"Christian"},{"family":"März","given":"Winfried"},{"family":"Lind","given":"Lars"},{"family":"Spector","given":"Tim D."},{"family":"Smith","given":"Albert V."},{"family":"Rudan","given":"Igor"},{"family":"Wilson","given":"James F."},{"family":"Polasek","given":"Ozren"},{"family":"Deary","given":"Ian J."},{"family":"Pirastu","given":"Mario"},{"family":"Ferrucci","given":"Luigi"},{"family":"Liu","given":"Yongmei"},{"family":"Kestenbaum","given":"Bryan"},{"family":"Kooner","given":"Jaspal S."},{"family":"Witteman","given":"Jacqueline C. M."},{"family":"Nauck","given":"Matthias"},{"family":"Kao","given":"W. H. Linda"},{"family":"Wallaschofski","given":"Henri"},{"family":"Bonny","given":"Olivier"},{"family":"Fox","given":"Caroline S."},{"family":"Bochud","given":"Murielle"}],"issued":{"date-parts":[["2013"]]}}}],"schema":"https://github.com/citation-style-language/schema/raw/master/csl-citation.json"} </w:instrText>
            </w:r>
            <w:r w:rsidRPr="001C35E2">
              <w:rPr>
                <w:rFonts w:ascii="Cambria" w:hAnsi="Cambria" w:cs="Arial"/>
                <w:color w:val="000000" w:themeColor="text1"/>
                <w:sz w:val="22"/>
                <w:szCs w:val="22"/>
              </w:rPr>
              <w:fldChar w:fldCharType="separate"/>
            </w:r>
            <w:r w:rsidR="0062285E" w:rsidRPr="001C35E2">
              <w:rPr>
                <w:rFonts w:ascii="Cambria" w:hAnsi="Cambria" w:cs="Times New Roman"/>
                <w:color w:val="000000"/>
                <w:sz w:val="22"/>
              </w:rPr>
              <w:t>(O’Seaghdha et al., 2013)</w:t>
            </w:r>
            <w:r w:rsidRPr="001C35E2">
              <w:rPr>
                <w:rFonts w:ascii="Cambria" w:hAnsi="Cambria" w:cs="Arial"/>
                <w:color w:val="000000" w:themeColor="text1"/>
                <w:sz w:val="22"/>
                <w:szCs w:val="22"/>
              </w:rPr>
              <w:fldChar w:fldCharType="end"/>
            </w:r>
          </w:p>
        </w:tc>
        <w:tc>
          <w:tcPr>
            <w:tcW w:w="709" w:type="dxa"/>
            <w:tcBorders>
              <w:bottom w:val="nil"/>
            </w:tcBorders>
            <w:vAlign w:val="center"/>
          </w:tcPr>
          <w:p w14:paraId="042EBE50" w14:textId="77777777" w:rsidR="00F5610C" w:rsidRPr="001C35E2" w:rsidRDefault="00F5610C" w:rsidP="00491261">
            <w:pPr>
              <w:rPr>
                <w:rFonts w:ascii="Cambria" w:hAnsi="Cambria" w:cs="Arial"/>
                <w:sz w:val="22"/>
                <w:szCs w:val="22"/>
              </w:rPr>
            </w:pPr>
            <w:r w:rsidRPr="001C35E2">
              <w:rPr>
                <w:rFonts w:ascii="Cambria" w:hAnsi="Cambria" w:cs="Arial"/>
                <w:color w:val="000000" w:themeColor="text1"/>
                <w:sz w:val="22"/>
                <w:szCs w:val="22"/>
              </w:rPr>
              <w:t>7</w:t>
            </w:r>
          </w:p>
        </w:tc>
        <w:tc>
          <w:tcPr>
            <w:tcW w:w="1275" w:type="dxa"/>
            <w:tcBorders>
              <w:bottom w:val="nil"/>
            </w:tcBorders>
            <w:vAlign w:val="center"/>
          </w:tcPr>
          <w:p w14:paraId="1047BB30" w14:textId="77777777" w:rsidR="00F5610C" w:rsidRPr="001C35E2" w:rsidRDefault="00F5610C" w:rsidP="00491261">
            <w:pPr>
              <w:rPr>
                <w:rFonts w:ascii="Cambria" w:hAnsi="Cambria" w:cs="Arial"/>
                <w:sz w:val="22"/>
                <w:szCs w:val="22"/>
              </w:rPr>
            </w:pPr>
            <w:r w:rsidRPr="001C35E2">
              <w:rPr>
                <w:rFonts w:ascii="Cambria" w:hAnsi="Cambria" w:cs="Arial"/>
                <w:sz w:val="22"/>
                <w:szCs w:val="22"/>
              </w:rPr>
              <w:t>8.4%?</w:t>
            </w:r>
          </w:p>
        </w:tc>
        <w:tc>
          <w:tcPr>
            <w:tcW w:w="3240" w:type="dxa"/>
            <w:tcBorders>
              <w:bottom w:val="nil"/>
            </w:tcBorders>
          </w:tcPr>
          <w:p w14:paraId="2AE4D5CA" w14:textId="77777777" w:rsidR="00F5610C" w:rsidRPr="001C35E2" w:rsidRDefault="00F5610C" w:rsidP="00491261">
            <w:pPr>
              <w:rPr>
                <w:rFonts w:ascii="Cambria" w:hAnsi="Cambria" w:cs="Arial"/>
                <w:sz w:val="22"/>
                <w:szCs w:val="22"/>
              </w:rPr>
            </w:pPr>
            <w:r w:rsidRPr="001C35E2">
              <w:rPr>
                <w:rFonts w:ascii="Cambria" w:hAnsi="Cambria" w:cs="Arial"/>
                <w:sz w:val="22"/>
                <w:szCs w:val="22"/>
              </w:rPr>
              <w:t>Calculated from summary stats</w:t>
            </w:r>
          </w:p>
        </w:tc>
        <w:tc>
          <w:tcPr>
            <w:tcW w:w="2714" w:type="dxa"/>
            <w:tcBorders>
              <w:bottom w:val="nil"/>
            </w:tcBorders>
          </w:tcPr>
          <w:p w14:paraId="27EA6673" w14:textId="77777777" w:rsidR="00F5610C" w:rsidRPr="001C35E2" w:rsidRDefault="00F5610C" w:rsidP="00491261">
            <w:pPr>
              <w:rPr>
                <w:rFonts w:ascii="Cambria" w:hAnsi="Cambria" w:cs="Arial"/>
                <w:sz w:val="22"/>
                <w:szCs w:val="22"/>
              </w:rPr>
            </w:pPr>
            <w:r w:rsidRPr="001C35E2">
              <w:rPr>
                <w:rFonts w:ascii="Cambria" w:hAnsi="Cambria" w:cs="Arial"/>
                <w:sz w:val="22"/>
                <w:szCs w:val="22"/>
              </w:rPr>
              <w:t>Not obviously</w:t>
            </w:r>
          </w:p>
        </w:tc>
        <w:tc>
          <w:tcPr>
            <w:tcW w:w="2410" w:type="dxa"/>
            <w:tcBorders>
              <w:bottom w:val="nil"/>
            </w:tcBorders>
          </w:tcPr>
          <w:p w14:paraId="666908DD"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w:t>
            </w:r>
          </w:p>
        </w:tc>
      </w:tr>
      <w:tr w:rsidR="00F5610C" w:rsidRPr="001C35E2" w14:paraId="0760631B" w14:textId="77777777" w:rsidTr="0027134B">
        <w:tc>
          <w:tcPr>
            <w:tcW w:w="1702" w:type="dxa"/>
            <w:tcBorders>
              <w:bottom w:val="nil"/>
            </w:tcBorders>
            <w:shd w:val="clear" w:color="auto" w:fill="E7E6E6" w:themeFill="background2"/>
            <w:vAlign w:val="center"/>
          </w:tcPr>
          <w:p w14:paraId="3E5D7EF6"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Calcium</w:t>
            </w:r>
          </w:p>
        </w:tc>
        <w:tc>
          <w:tcPr>
            <w:tcW w:w="2977" w:type="dxa"/>
            <w:tcBorders>
              <w:bottom w:val="nil"/>
            </w:tcBorders>
            <w:shd w:val="clear" w:color="auto" w:fill="E7E6E6" w:themeFill="background2"/>
            <w:vAlign w:val="center"/>
          </w:tcPr>
          <w:p w14:paraId="23DC854D"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IEU Open GWAS (UKB only)</w:t>
            </w:r>
          </w:p>
        </w:tc>
        <w:tc>
          <w:tcPr>
            <w:tcW w:w="709" w:type="dxa"/>
            <w:tcBorders>
              <w:bottom w:val="nil"/>
            </w:tcBorders>
            <w:shd w:val="clear" w:color="auto" w:fill="E7E6E6" w:themeFill="background2"/>
            <w:vAlign w:val="center"/>
          </w:tcPr>
          <w:p w14:paraId="5DF29DF5"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0</w:t>
            </w:r>
          </w:p>
        </w:tc>
        <w:tc>
          <w:tcPr>
            <w:tcW w:w="1275" w:type="dxa"/>
            <w:tcBorders>
              <w:bottom w:val="nil"/>
            </w:tcBorders>
            <w:shd w:val="clear" w:color="auto" w:fill="E7E6E6" w:themeFill="background2"/>
            <w:vAlign w:val="center"/>
          </w:tcPr>
          <w:p w14:paraId="3FA2A8AE" w14:textId="77777777" w:rsidR="00F5610C" w:rsidRPr="001C35E2" w:rsidRDefault="00F5610C" w:rsidP="00491261">
            <w:pPr>
              <w:rPr>
                <w:rFonts w:ascii="Cambria" w:hAnsi="Cambria" w:cs="Arial"/>
                <w:sz w:val="22"/>
                <w:szCs w:val="22"/>
              </w:rPr>
            </w:pPr>
            <w:r w:rsidRPr="001C35E2">
              <w:rPr>
                <w:rFonts w:ascii="Cambria" w:hAnsi="Cambria" w:cs="Arial"/>
                <w:sz w:val="22"/>
                <w:szCs w:val="22"/>
              </w:rPr>
              <w:t>-</w:t>
            </w:r>
          </w:p>
        </w:tc>
        <w:tc>
          <w:tcPr>
            <w:tcW w:w="3240" w:type="dxa"/>
            <w:tcBorders>
              <w:bottom w:val="nil"/>
            </w:tcBorders>
            <w:shd w:val="clear" w:color="auto" w:fill="E7E6E6" w:themeFill="background2"/>
          </w:tcPr>
          <w:p w14:paraId="5E2DEB88" w14:textId="77777777" w:rsidR="00F5610C" w:rsidRPr="001C35E2" w:rsidRDefault="00F5610C" w:rsidP="00491261">
            <w:pPr>
              <w:rPr>
                <w:rFonts w:ascii="Cambria" w:hAnsi="Cambria" w:cs="Arial"/>
                <w:sz w:val="22"/>
                <w:szCs w:val="22"/>
              </w:rPr>
            </w:pPr>
            <w:r w:rsidRPr="001C35E2">
              <w:rPr>
                <w:rFonts w:ascii="Cambria" w:hAnsi="Cambria" w:cs="Arial"/>
                <w:sz w:val="22"/>
                <w:szCs w:val="22"/>
              </w:rPr>
              <w:t>-</w:t>
            </w:r>
          </w:p>
        </w:tc>
        <w:tc>
          <w:tcPr>
            <w:tcW w:w="2714" w:type="dxa"/>
            <w:tcBorders>
              <w:bottom w:val="nil"/>
            </w:tcBorders>
            <w:shd w:val="clear" w:color="auto" w:fill="E7E6E6" w:themeFill="background2"/>
          </w:tcPr>
          <w:p w14:paraId="22B1B5D2"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(at IEU Open GWAS)</w:t>
            </w:r>
          </w:p>
        </w:tc>
        <w:tc>
          <w:tcPr>
            <w:tcW w:w="2410" w:type="dxa"/>
            <w:tcBorders>
              <w:bottom w:val="nil"/>
            </w:tcBorders>
            <w:shd w:val="clear" w:color="auto" w:fill="E7E6E6" w:themeFill="background2"/>
          </w:tcPr>
          <w:p w14:paraId="169904F8"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w:t>
            </w:r>
          </w:p>
        </w:tc>
      </w:tr>
      <w:tr w:rsidR="00F5610C" w:rsidRPr="001C35E2" w14:paraId="251D4DF0" w14:textId="77777777" w:rsidTr="00491261">
        <w:tc>
          <w:tcPr>
            <w:tcW w:w="1702" w:type="dxa"/>
            <w:tcBorders>
              <w:top w:val="nil"/>
              <w:bottom w:val="single" w:sz="4" w:space="0" w:color="auto"/>
            </w:tcBorders>
            <w:vAlign w:val="center"/>
          </w:tcPr>
          <w:p w14:paraId="17C6C174"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Glutamine</w:t>
            </w:r>
          </w:p>
        </w:tc>
        <w:tc>
          <w:tcPr>
            <w:tcW w:w="2977" w:type="dxa"/>
            <w:tcBorders>
              <w:top w:val="nil"/>
              <w:bottom w:val="single" w:sz="4" w:space="0" w:color="auto"/>
            </w:tcBorders>
            <w:vAlign w:val="center"/>
          </w:tcPr>
          <w:p w14:paraId="3EF82CEC"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IEU Open GWAS</w:t>
            </w:r>
          </w:p>
        </w:tc>
        <w:tc>
          <w:tcPr>
            <w:tcW w:w="709" w:type="dxa"/>
            <w:tcBorders>
              <w:top w:val="nil"/>
              <w:bottom w:val="single" w:sz="4" w:space="0" w:color="auto"/>
            </w:tcBorders>
            <w:vAlign w:val="center"/>
          </w:tcPr>
          <w:p w14:paraId="51E032E6" w14:textId="77777777" w:rsidR="00F5610C" w:rsidRPr="001C35E2" w:rsidRDefault="00F5610C" w:rsidP="00491261">
            <w:pPr>
              <w:rPr>
                <w:rFonts w:ascii="Cambria" w:hAnsi="Cambria" w:cs="Arial"/>
                <w:color w:val="000000" w:themeColor="text1"/>
                <w:sz w:val="22"/>
                <w:szCs w:val="22"/>
              </w:rPr>
            </w:pPr>
            <w:r w:rsidRPr="001C35E2">
              <w:rPr>
                <w:rFonts w:ascii="Cambria" w:hAnsi="Cambria" w:cs="Arial"/>
                <w:color w:val="000000" w:themeColor="text1"/>
                <w:sz w:val="22"/>
                <w:szCs w:val="22"/>
              </w:rPr>
              <w:t>47</w:t>
            </w:r>
          </w:p>
        </w:tc>
        <w:tc>
          <w:tcPr>
            <w:tcW w:w="1275" w:type="dxa"/>
            <w:tcBorders>
              <w:top w:val="nil"/>
              <w:bottom w:val="single" w:sz="4" w:space="0" w:color="auto"/>
            </w:tcBorders>
            <w:vAlign w:val="center"/>
          </w:tcPr>
          <w:p w14:paraId="210D813E" w14:textId="77777777" w:rsidR="00F5610C" w:rsidRPr="001C35E2" w:rsidRDefault="00F5610C" w:rsidP="00491261">
            <w:pPr>
              <w:rPr>
                <w:rFonts w:ascii="Cambria" w:hAnsi="Cambria" w:cs="Arial"/>
                <w:sz w:val="22"/>
                <w:szCs w:val="22"/>
              </w:rPr>
            </w:pPr>
            <w:r w:rsidRPr="001C35E2">
              <w:rPr>
                <w:rFonts w:ascii="Cambria" w:hAnsi="Cambria" w:cs="Arial"/>
                <w:sz w:val="22"/>
                <w:szCs w:val="22"/>
              </w:rPr>
              <w:t>4.9%</w:t>
            </w:r>
          </w:p>
        </w:tc>
        <w:tc>
          <w:tcPr>
            <w:tcW w:w="3240" w:type="dxa"/>
            <w:tcBorders>
              <w:top w:val="nil"/>
              <w:bottom w:val="single" w:sz="4" w:space="0" w:color="auto"/>
            </w:tcBorders>
          </w:tcPr>
          <w:p w14:paraId="1E23D947" w14:textId="77777777" w:rsidR="00F5610C" w:rsidRPr="001C35E2" w:rsidRDefault="00F5610C" w:rsidP="00491261">
            <w:pPr>
              <w:rPr>
                <w:rFonts w:ascii="Cambria" w:hAnsi="Cambria" w:cs="Arial"/>
                <w:sz w:val="22"/>
                <w:szCs w:val="22"/>
              </w:rPr>
            </w:pPr>
            <w:r w:rsidRPr="001C35E2">
              <w:rPr>
                <w:rFonts w:ascii="Cambria" w:hAnsi="Cambria" w:cs="Arial"/>
                <w:sz w:val="22"/>
                <w:szCs w:val="22"/>
              </w:rPr>
              <w:t>Calculated from summary stats</w:t>
            </w:r>
          </w:p>
        </w:tc>
        <w:tc>
          <w:tcPr>
            <w:tcW w:w="2714" w:type="dxa"/>
            <w:tcBorders>
              <w:top w:val="nil"/>
              <w:bottom w:val="single" w:sz="4" w:space="0" w:color="auto"/>
            </w:tcBorders>
          </w:tcPr>
          <w:p w14:paraId="605343A5" w14:textId="77777777" w:rsidR="00F5610C" w:rsidRPr="001C35E2" w:rsidRDefault="00F5610C" w:rsidP="00491261">
            <w:pPr>
              <w:rPr>
                <w:rFonts w:ascii="Cambria" w:hAnsi="Cambria" w:cs="Arial"/>
                <w:sz w:val="22"/>
                <w:szCs w:val="22"/>
              </w:rPr>
            </w:pPr>
            <w:r w:rsidRPr="001C35E2">
              <w:rPr>
                <w:rFonts w:ascii="Cambria" w:hAnsi="Cambria" w:cs="Arial"/>
                <w:sz w:val="22"/>
                <w:szCs w:val="22"/>
              </w:rPr>
              <w:t>Yes (at IEU Open GWAS)</w:t>
            </w:r>
          </w:p>
        </w:tc>
        <w:tc>
          <w:tcPr>
            <w:tcW w:w="2410" w:type="dxa"/>
            <w:tcBorders>
              <w:top w:val="nil"/>
              <w:bottom w:val="single" w:sz="4" w:space="0" w:color="auto"/>
            </w:tcBorders>
          </w:tcPr>
          <w:p w14:paraId="7556FC63" w14:textId="77777777" w:rsidR="00F5610C" w:rsidRPr="001C35E2" w:rsidRDefault="00F5610C" w:rsidP="00491261">
            <w:pPr>
              <w:rPr>
                <w:rFonts w:ascii="Cambria" w:hAnsi="Cambria" w:cs="Arial"/>
                <w:sz w:val="22"/>
                <w:szCs w:val="22"/>
              </w:rPr>
            </w:pPr>
            <w:r w:rsidRPr="001C35E2">
              <w:rPr>
                <w:rFonts w:ascii="Cambria" w:hAnsi="Cambria" w:cs="Arial"/>
                <w:sz w:val="22"/>
                <w:szCs w:val="22"/>
              </w:rPr>
              <w:t>Not in pregnancy</w:t>
            </w:r>
          </w:p>
        </w:tc>
      </w:tr>
    </w:tbl>
    <w:p w14:paraId="7043C049" w14:textId="27E543D9" w:rsidR="00F5610C" w:rsidRPr="001C35E2" w:rsidRDefault="00F5610C" w:rsidP="00F5610C">
      <w:pPr>
        <w:pStyle w:val="NormalWeb"/>
        <w:shd w:val="clear" w:color="auto" w:fill="FFFFFF"/>
        <w:spacing w:after="0"/>
        <w:rPr>
          <w:rFonts w:ascii="Cambria" w:hAnsi="Cambria" w:cs="Arial"/>
          <w:color w:val="000000" w:themeColor="text1"/>
          <w:sz w:val="22"/>
          <w:szCs w:val="22"/>
          <w:lang w:val="en-GB"/>
        </w:rPr>
      </w:pPr>
      <w:r w:rsidRPr="001C35E2">
        <w:rPr>
          <w:rFonts w:ascii="Cambria" w:hAnsi="Cambria" w:cs="Arial"/>
          <w:color w:val="000000" w:themeColor="text1"/>
          <w:sz w:val="22"/>
          <w:szCs w:val="22"/>
          <w:lang w:val="en-GB"/>
        </w:rPr>
        <w:t>Note. N</w:t>
      </w:r>
      <w:r w:rsidRPr="001C35E2">
        <w:rPr>
          <w:rFonts w:ascii="Cambria" w:hAnsi="Cambria" w:cs="Arial"/>
          <w:color w:val="000000" w:themeColor="text1"/>
          <w:sz w:val="22"/>
          <w:szCs w:val="22"/>
          <w:vertAlign w:val="subscript"/>
          <w:lang w:val="en-GB"/>
        </w:rPr>
        <w:t>SNP</w:t>
      </w:r>
      <w:r w:rsidRPr="001C35E2">
        <w:rPr>
          <w:rFonts w:ascii="Cambria" w:hAnsi="Cambria" w:cs="Arial"/>
          <w:color w:val="000000" w:themeColor="text1"/>
          <w:sz w:val="22"/>
          <w:szCs w:val="22"/>
          <w:lang w:val="en-GB"/>
        </w:rPr>
        <w:t xml:space="preserve"> refers to the number of independent</w:t>
      </w:r>
      <w:r w:rsidR="005F60E8" w:rsidRPr="001C35E2">
        <w:rPr>
          <w:rFonts w:ascii="Cambria" w:hAnsi="Cambria" w:cs="Arial"/>
          <w:color w:val="000000" w:themeColor="text1"/>
          <w:sz w:val="22"/>
          <w:szCs w:val="22"/>
          <w:lang w:val="en-GB"/>
        </w:rPr>
        <w:t xml:space="preserve"> genome-wide significant SNPs</w:t>
      </w:r>
    </w:p>
    <w:p w14:paraId="72349106" w14:textId="77777777" w:rsidR="00F5610C" w:rsidRPr="001C35E2" w:rsidRDefault="00F5610C" w:rsidP="00F5610C">
      <w:pPr>
        <w:pStyle w:val="NormalWeb"/>
        <w:shd w:val="clear" w:color="auto" w:fill="FFFFFF"/>
        <w:spacing w:after="0"/>
        <w:rPr>
          <w:rFonts w:ascii="Cambria" w:hAnsi="Cambria" w:cs="Arial"/>
          <w:color w:val="000000" w:themeColor="text1"/>
          <w:sz w:val="22"/>
          <w:szCs w:val="22"/>
          <w:lang w:val="en-GB"/>
        </w:rPr>
      </w:pPr>
    </w:p>
    <w:p w14:paraId="65AC9195" w14:textId="2B38E68D" w:rsidR="00F5610C" w:rsidRPr="001C35E2" w:rsidRDefault="00F5610C" w:rsidP="00F5610C">
      <w:pPr>
        <w:pStyle w:val="NormalWeb"/>
        <w:shd w:val="clear" w:color="auto" w:fill="FFFFFF"/>
        <w:spacing w:after="0"/>
        <w:rPr>
          <w:rFonts w:ascii="Cambria" w:hAnsi="Cambria" w:cs="Arial"/>
          <w:color w:val="000000" w:themeColor="text1"/>
          <w:sz w:val="22"/>
          <w:szCs w:val="22"/>
          <w:lang w:val="en-GB"/>
        </w:rPr>
      </w:pPr>
      <w:r w:rsidRPr="001C35E2">
        <w:rPr>
          <w:rFonts w:ascii="Cambria" w:hAnsi="Cambria" w:cs="Arial"/>
          <w:color w:val="000000" w:themeColor="text1"/>
          <w:sz w:val="22"/>
          <w:szCs w:val="22"/>
          <w:lang w:val="en-GB"/>
        </w:rPr>
        <w:t>Based upon th</w:t>
      </w:r>
      <w:r w:rsidR="006A0F6F" w:rsidRPr="001C35E2">
        <w:rPr>
          <w:rFonts w:ascii="Cambria" w:hAnsi="Cambria" w:cs="Arial"/>
          <w:color w:val="000000" w:themeColor="text1"/>
          <w:sz w:val="22"/>
          <w:szCs w:val="22"/>
          <w:lang w:val="en-GB"/>
        </w:rPr>
        <w:t>ese estimates</w:t>
      </w:r>
      <w:r w:rsidRPr="001C35E2">
        <w:rPr>
          <w:rFonts w:ascii="Cambria" w:hAnsi="Cambria" w:cs="Arial"/>
          <w:color w:val="000000" w:themeColor="text1"/>
          <w:sz w:val="22"/>
          <w:szCs w:val="22"/>
          <w:lang w:val="en-GB"/>
        </w:rPr>
        <w:t>, we</w:t>
      </w:r>
      <w:r w:rsidR="006A0F6F" w:rsidRPr="001C35E2">
        <w:rPr>
          <w:rFonts w:ascii="Cambria" w:hAnsi="Cambria" w:cs="Arial"/>
          <w:color w:val="000000" w:themeColor="text1"/>
          <w:sz w:val="22"/>
          <w:szCs w:val="22"/>
          <w:lang w:val="en-GB"/>
        </w:rPr>
        <w:t xml:space="preserve"> conducted power calculations using the </w:t>
      </w:r>
      <w:r w:rsidR="00C97255" w:rsidRPr="001C35E2">
        <w:rPr>
          <w:rFonts w:ascii="Cambria" w:hAnsi="Cambria" w:cs="Arial"/>
          <w:color w:val="000000" w:themeColor="text1"/>
          <w:sz w:val="22"/>
          <w:szCs w:val="22"/>
          <w:lang w:val="en-GB"/>
        </w:rPr>
        <w:t>mRnd power calculator</w:t>
      </w:r>
      <w:r w:rsidR="0000654D" w:rsidRPr="001C35E2">
        <w:rPr>
          <w:rFonts w:ascii="Cambria" w:hAnsi="Cambria" w:cs="Arial"/>
          <w:color w:val="000000" w:themeColor="text1"/>
          <w:sz w:val="22"/>
          <w:szCs w:val="22"/>
          <w:lang w:val="en-GB"/>
        </w:rPr>
        <w:t xml:space="preserve"> </w:t>
      </w:r>
      <w:r w:rsidR="007706EB" w:rsidRPr="001C35E2">
        <w:rPr>
          <w:rFonts w:ascii="Cambria" w:hAnsi="Cambria" w:cs="Arial"/>
          <w:color w:val="000000" w:themeColor="text1"/>
          <w:sz w:val="22"/>
          <w:szCs w:val="22"/>
          <w:lang w:val="en-GB"/>
        </w:rPr>
        <w:fldChar w:fldCharType="begin"/>
      </w:r>
      <w:r w:rsidR="00713FAA" w:rsidRPr="001C35E2">
        <w:rPr>
          <w:rFonts w:ascii="Cambria" w:hAnsi="Cambria" w:cs="Arial"/>
          <w:color w:val="000000" w:themeColor="text1"/>
          <w:sz w:val="22"/>
          <w:szCs w:val="22"/>
          <w:lang w:val="en-GB"/>
        </w:rPr>
        <w:instrText xml:space="preserve"> ADDIN ZOTERO_ITEM CSL_CITATION {"citationID":"dpYJDfKX","properties":{"formattedCitation":"(Brion et al., 2013)","plainCitation":"(Brion et al., 2013)","noteIndex":0},"citationItems":[{"id":3687,"uris":["http://zotero.org/users/5402137/items/H56UYI5L"],"itemData":{"id":3687,"type":"article-journal","abstract":"In Mendelian randomization (MR) studies, where genetic variants are used as proxy measures for an exposure trait of interest, obtaining adequate statistical power is frequently a concern due to the small amount of variation in a phenotypic trait that is typically explained by genetic variants. A range of power estimates based on simulations and specific parameters for two-stage least squares (2SLS) MR analyses based on continuous variables has previously been published. However there are presently no specific equations or software tools one can implement for calculating power of a given MR study. Using asymptotic theory, we show that in the case of continuous variables and a single instrument, for example a single-nucleotide polymorphism (SNP) or multiple SNP predictor, statistical power for a fixed sample size is a function of two parameters: the proportion of variation in the exposure variable explained by the genetic predictor and the true causal association between the exposure and outcome variable. We demonstrate that power for 2SLS MR can be derived using the non-centrality parameter (NCP) of the statistical test that is employed to test whether the 2SLS regression coefficient is zero. We show that the previously published power estimates from simulations can be represented theoretically using this NCP-based approach, with similar estimates observed when the simulation-based estimates are compared with our NCP-based approach. General equations for calculating statistical power for 2SLS MR using the NCP are provided in this note, and we implement the calculations in a web-based application.","container-title":"International Journal of Epidemiology","DOI":"10.1093/ije/dyt179","ISSN":"0300-5771","issue":"5","journalAbbreviation":"International Journal of Epidemiology","page":"1497-1501","source":"Silverchair","title":"Calculating statistical power in Mendelian randomization studies","volume":"42","author":[{"family":"Brion","given":"Marie-Jo A"},{"family":"Shakhbazov","given":"Konstantin"},{"family":"Visscher","given":"Peter M"}],"issued":{"date-parts":[["2013",10,1]]}}}],"schema":"https://github.com/citation-style-language/schema/raw/master/csl-citation.json"} </w:instrText>
      </w:r>
      <w:r w:rsidR="007706EB" w:rsidRPr="001C35E2">
        <w:rPr>
          <w:rFonts w:ascii="Cambria" w:hAnsi="Cambria" w:cs="Arial"/>
          <w:color w:val="000000" w:themeColor="text1"/>
          <w:sz w:val="22"/>
          <w:szCs w:val="22"/>
          <w:lang w:val="en-GB"/>
        </w:rPr>
        <w:fldChar w:fldCharType="separate"/>
      </w:r>
      <w:r w:rsidR="0062285E" w:rsidRPr="001C35E2">
        <w:rPr>
          <w:rFonts w:ascii="Cambria" w:hAnsi="Cambria"/>
          <w:color w:val="000000"/>
          <w:sz w:val="22"/>
          <w:lang w:val="en-GB"/>
        </w:rPr>
        <w:t>(Brion et al., 2013)</w:t>
      </w:r>
      <w:r w:rsidR="007706EB" w:rsidRPr="001C35E2">
        <w:rPr>
          <w:rFonts w:ascii="Cambria" w:hAnsi="Cambria" w:cs="Arial"/>
          <w:color w:val="000000" w:themeColor="text1"/>
          <w:sz w:val="22"/>
          <w:szCs w:val="22"/>
          <w:lang w:val="en-GB"/>
        </w:rPr>
        <w:fldChar w:fldCharType="end"/>
      </w:r>
      <w:r w:rsidR="00D860AA" w:rsidRPr="001C35E2">
        <w:rPr>
          <w:rFonts w:ascii="Cambria" w:hAnsi="Cambria" w:cs="Arial"/>
          <w:color w:val="000000" w:themeColor="text1"/>
          <w:sz w:val="22"/>
          <w:szCs w:val="22"/>
          <w:lang w:val="en-GB"/>
        </w:rPr>
        <w:t xml:space="preserve">. We estimated that we </w:t>
      </w:r>
      <w:r w:rsidRPr="001C35E2">
        <w:rPr>
          <w:rFonts w:ascii="Cambria" w:hAnsi="Cambria" w:cs="Arial"/>
          <w:color w:val="000000" w:themeColor="text1"/>
          <w:sz w:val="22"/>
          <w:szCs w:val="22"/>
          <w:lang w:val="en-GB"/>
        </w:rPr>
        <w:t>would have 80% power to detect a</w:t>
      </w:r>
      <w:r w:rsidR="00D860AA" w:rsidRPr="001C35E2">
        <w:rPr>
          <w:rFonts w:ascii="Cambria" w:hAnsi="Cambria" w:cs="Arial"/>
          <w:color w:val="000000" w:themeColor="text1"/>
          <w:sz w:val="22"/>
          <w:szCs w:val="22"/>
          <w:lang w:val="en-GB"/>
        </w:rPr>
        <w:t xml:space="preserve"> </w:t>
      </w:r>
      <w:r w:rsidR="003303D8" w:rsidRPr="001C35E2">
        <w:rPr>
          <w:rFonts w:ascii="Cambria" w:hAnsi="Cambria" w:cs="Arial"/>
          <w:color w:val="000000" w:themeColor="text1"/>
          <w:sz w:val="22"/>
          <w:szCs w:val="22"/>
          <w:lang w:val="en-GB"/>
        </w:rPr>
        <w:t>standardized beta</w:t>
      </w:r>
      <w:r w:rsidRPr="001C35E2">
        <w:rPr>
          <w:rFonts w:ascii="Cambria" w:hAnsi="Cambria" w:cs="Arial"/>
          <w:color w:val="000000" w:themeColor="text1"/>
          <w:sz w:val="22"/>
          <w:szCs w:val="22"/>
          <w:lang w:val="en-GB"/>
        </w:rPr>
        <w:t xml:space="preserve"> effect </w:t>
      </w:r>
      <w:r w:rsidR="003303D8" w:rsidRPr="001C35E2">
        <w:rPr>
          <w:rFonts w:ascii="Cambria" w:hAnsi="Cambria" w:cs="Arial"/>
          <w:color w:val="000000" w:themeColor="text1"/>
          <w:sz w:val="22"/>
          <w:szCs w:val="22"/>
          <w:lang w:val="en-GB"/>
        </w:rPr>
        <w:t xml:space="preserve">size </w:t>
      </w:r>
      <w:r w:rsidRPr="001C35E2">
        <w:rPr>
          <w:rFonts w:ascii="Cambria" w:hAnsi="Cambria" w:cs="Arial"/>
          <w:color w:val="000000" w:themeColor="text1"/>
          <w:sz w:val="22"/>
          <w:szCs w:val="22"/>
          <w:lang w:val="en-GB"/>
        </w:rPr>
        <w:t>of</w:t>
      </w:r>
      <w:r w:rsidR="00DC45D7" w:rsidRPr="001C35E2">
        <w:rPr>
          <w:rFonts w:ascii="Cambria" w:hAnsi="Cambria" w:cs="Arial"/>
          <w:color w:val="000000" w:themeColor="text1"/>
          <w:sz w:val="22"/>
          <w:szCs w:val="22"/>
          <w:lang w:val="en-GB"/>
        </w:rPr>
        <w:t xml:space="preserve"> 0.092 for DHA and 0.133 for vitamin D (Table N</w:t>
      </w:r>
      <w:r w:rsidR="0000654D" w:rsidRPr="001C35E2">
        <w:rPr>
          <w:rFonts w:ascii="Cambria" w:hAnsi="Cambria" w:cs="Arial"/>
          <w:color w:val="000000" w:themeColor="text1"/>
          <w:sz w:val="22"/>
          <w:szCs w:val="22"/>
          <w:lang w:val="en-GB"/>
        </w:rPr>
        <w:t>3</w:t>
      </w:r>
      <w:r w:rsidR="00DC45D7" w:rsidRPr="001C35E2">
        <w:rPr>
          <w:rFonts w:ascii="Cambria" w:hAnsi="Cambria" w:cs="Arial"/>
          <w:color w:val="000000" w:themeColor="text1"/>
          <w:sz w:val="22"/>
          <w:szCs w:val="22"/>
          <w:lang w:val="en-GB"/>
        </w:rPr>
        <w:t xml:space="preserve">). </w:t>
      </w:r>
    </w:p>
    <w:p w14:paraId="0714919E" w14:textId="3B230316" w:rsidR="0027134B" w:rsidRPr="001C35E2" w:rsidRDefault="0027134B" w:rsidP="00F5610C">
      <w:pPr>
        <w:pStyle w:val="NormalWeb"/>
        <w:shd w:val="clear" w:color="auto" w:fill="FFFFFF"/>
        <w:spacing w:after="0"/>
        <w:rPr>
          <w:rFonts w:ascii="Cambria" w:hAnsi="Cambria" w:cs="Arial"/>
          <w:color w:val="000000" w:themeColor="text1"/>
          <w:sz w:val="22"/>
          <w:szCs w:val="22"/>
          <w:lang w:val="en-GB"/>
        </w:rPr>
      </w:pPr>
    </w:p>
    <w:p w14:paraId="2859EB74" w14:textId="2302E392" w:rsidR="00F5610C" w:rsidRPr="001C35E2" w:rsidRDefault="0027134B" w:rsidP="00F5610C">
      <w:pPr>
        <w:pStyle w:val="NormalWeb"/>
        <w:shd w:val="clear" w:color="auto" w:fill="FFFFFF"/>
        <w:spacing w:after="0"/>
        <w:rPr>
          <w:rFonts w:ascii="Cambria" w:hAnsi="Cambria" w:cs="Arial"/>
          <w:color w:val="000000" w:themeColor="text1"/>
          <w:sz w:val="22"/>
          <w:szCs w:val="22"/>
          <w:lang w:val="en-GB"/>
        </w:rPr>
      </w:pPr>
      <w:r w:rsidRPr="001C35E2">
        <w:rPr>
          <w:rFonts w:ascii="Cambria" w:hAnsi="Cambria" w:cs="Arial"/>
          <w:b/>
          <w:bCs/>
          <w:color w:val="000000" w:themeColor="text1"/>
          <w:sz w:val="22"/>
          <w:szCs w:val="22"/>
          <w:lang w:val="en-GB"/>
        </w:rPr>
        <w:t>Table N</w:t>
      </w:r>
      <w:r w:rsidR="00B371E5" w:rsidRPr="001C35E2">
        <w:rPr>
          <w:rFonts w:ascii="Cambria" w:hAnsi="Cambria" w:cs="Arial"/>
          <w:b/>
          <w:bCs/>
          <w:color w:val="000000" w:themeColor="text1"/>
          <w:sz w:val="22"/>
          <w:szCs w:val="22"/>
          <w:lang w:val="en-GB"/>
        </w:rPr>
        <w:t>3</w:t>
      </w:r>
      <w:r w:rsidRPr="001C35E2">
        <w:rPr>
          <w:rFonts w:ascii="Cambria" w:hAnsi="Cambria" w:cs="Arial"/>
          <w:b/>
          <w:bCs/>
          <w:color w:val="000000" w:themeColor="text1"/>
          <w:sz w:val="22"/>
          <w:szCs w:val="22"/>
          <w:lang w:val="en-GB"/>
        </w:rPr>
        <w:t>.</w:t>
      </w:r>
      <w:r w:rsidRPr="001C35E2">
        <w:rPr>
          <w:rFonts w:ascii="Cambria" w:hAnsi="Cambria" w:cs="Arial"/>
          <w:color w:val="000000" w:themeColor="text1"/>
          <w:sz w:val="22"/>
          <w:szCs w:val="22"/>
          <w:lang w:val="en-GB"/>
        </w:rPr>
        <w:t xml:space="preserve"> Estimated effect size we would have 80% power to detect. </w:t>
      </w:r>
    </w:p>
    <w:tbl>
      <w:tblPr>
        <w:tblW w:w="0" w:type="auto"/>
        <w:shd w:val="clear" w:color="auto" w:fill="FFFFFF"/>
        <w:tblCellMar>
          <w:top w:w="20" w:type="dxa"/>
          <w:left w:w="20" w:type="dxa"/>
          <w:bottom w:w="20" w:type="dxa"/>
          <w:right w:w="20" w:type="dxa"/>
        </w:tblCellMar>
        <w:tblLook w:val="04A0" w:firstRow="1" w:lastRow="0" w:firstColumn="1" w:lastColumn="0" w:noHBand="0" w:noVBand="1"/>
      </w:tblPr>
      <w:tblGrid>
        <w:gridCol w:w="1545"/>
        <w:gridCol w:w="2558"/>
        <w:gridCol w:w="1418"/>
        <w:gridCol w:w="2268"/>
        <w:gridCol w:w="2693"/>
        <w:gridCol w:w="2977"/>
      </w:tblGrid>
      <w:tr w:rsidR="00AA5503" w:rsidRPr="001C35E2" w14:paraId="47300C72" w14:textId="77777777" w:rsidTr="0027134B">
        <w:trPr>
          <w:trHeight w:val="315"/>
        </w:trPr>
        <w:tc>
          <w:tcPr>
            <w:tcW w:w="1545" w:type="dxa"/>
            <w:tcBorders>
              <w:top w:val="single" w:sz="4" w:space="0" w:color="auto"/>
              <w:bottom w:val="single" w:sz="4" w:space="0" w:color="auto"/>
            </w:tcBorders>
            <w:shd w:val="clear" w:color="auto" w:fill="FFFFFF"/>
          </w:tcPr>
          <w:p w14:paraId="172D9B38" w14:textId="77777777" w:rsidR="00AA5503" w:rsidRPr="001C35E2" w:rsidRDefault="00AA5503" w:rsidP="00491261">
            <w:pPr>
              <w:rPr>
                <w:rFonts w:ascii="Cambria" w:eastAsia="Times New Roman" w:hAnsi="Cambria" w:cs="Calibri"/>
                <w:color w:val="000000"/>
                <w:lang w:eastAsia="en-GB"/>
              </w:rPr>
            </w:pPr>
          </w:p>
        </w:tc>
        <w:tc>
          <w:tcPr>
            <w:tcW w:w="2558" w:type="dxa"/>
            <w:tcBorders>
              <w:top w:val="single" w:sz="4" w:space="0" w:color="auto"/>
              <w:bottom w:val="single" w:sz="4" w:space="0" w:color="auto"/>
            </w:tcBorders>
            <w:shd w:val="clear" w:color="auto" w:fill="FFFFFF"/>
            <w:vAlign w:val="center"/>
            <w:hideMark/>
          </w:tcPr>
          <w:p w14:paraId="1CAA9151" w14:textId="695FB19C" w:rsidR="00AA5503" w:rsidRPr="001C35E2" w:rsidRDefault="00AA5503" w:rsidP="00491261">
            <w:pPr>
              <w:rPr>
                <w:rFonts w:ascii="Cambria" w:eastAsia="Times New Roman" w:hAnsi="Cambria" w:cs="Calibri"/>
                <w:b/>
                <w:bCs/>
                <w:color w:val="000000"/>
                <w:lang w:eastAsia="en-GB"/>
              </w:rPr>
            </w:pPr>
            <w:r w:rsidRPr="001C35E2">
              <w:rPr>
                <w:rFonts w:ascii="Cambria" w:eastAsia="Times New Roman" w:hAnsi="Cambria" w:cs="Calibri"/>
                <w:b/>
                <w:bCs/>
                <w:color w:val="000000"/>
                <w:lang w:eastAsia="en-GB"/>
              </w:rPr>
              <w:br/>
              <w:t>GWAS</w:t>
            </w:r>
          </w:p>
        </w:tc>
        <w:tc>
          <w:tcPr>
            <w:tcW w:w="1418" w:type="dxa"/>
            <w:tcBorders>
              <w:top w:val="single" w:sz="4" w:space="0" w:color="auto"/>
              <w:bottom w:val="single" w:sz="4" w:space="0" w:color="auto"/>
            </w:tcBorders>
            <w:shd w:val="clear" w:color="auto" w:fill="FFFFFF"/>
            <w:vAlign w:val="center"/>
            <w:hideMark/>
          </w:tcPr>
          <w:p w14:paraId="5695918A" w14:textId="77777777" w:rsidR="00AA5503" w:rsidRPr="001C35E2" w:rsidRDefault="00AA5503" w:rsidP="00491261">
            <w:pPr>
              <w:rPr>
                <w:rFonts w:ascii="Cambria" w:eastAsia="Times New Roman" w:hAnsi="Cambria" w:cs="Calibri"/>
                <w:b/>
                <w:bCs/>
                <w:color w:val="000000"/>
                <w:lang w:eastAsia="en-GB"/>
              </w:rPr>
            </w:pPr>
            <w:r w:rsidRPr="001C35E2">
              <w:rPr>
                <w:rFonts w:ascii="Cambria" w:eastAsia="Times New Roman" w:hAnsi="Cambria" w:cs="Calibri"/>
                <w:b/>
                <w:bCs/>
                <w:color w:val="000000"/>
                <w:lang w:eastAsia="en-GB"/>
              </w:rPr>
              <w:t>N SNPs</w:t>
            </w:r>
          </w:p>
        </w:tc>
        <w:tc>
          <w:tcPr>
            <w:tcW w:w="2268" w:type="dxa"/>
            <w:tcBorders>
              <w:top w:val="single" w:sz="4" w:space="0" w:color="auto"/>
              <w:bottom w:val="single" w:sz="4" w:space="0" w:color="auto"/>
            </w:tcBorders>
            <w:shd w:val="clear" w:color="auto" w:fill="FFFFFF"/>
            <w:vAlign w:val="center"/>
            <w:hideMark/>
          </w:tcPr>
          <w:p w14:paraId="42FD2F0D" w14:textId="42822186" w:rsidR="00AA5503" w:rsidRPr="001C35E2" w:rsidRDefault="00AA5503" w:rsidP="00491261">
            <w:pPr>
              <w:rPr>
                <w:rFonts w:ascii="Cambria" w:eastAsia="Times New Roman" w:hAnsi="Cambria" w:cs="Calibri"/>
                <w:b/>
                <w:bCs/>
                <w:color w:val="000000"/>
                <w:lang w:eastAsia="en-GB"/>
              </w:rPr>
            </w:pPr>
            <w:r w:rsidRPr="001C35E2">
              <w:rPr>
                <w:rFonts w:ascii="Cambria" w:eastAsia="Times New Roman" w:hAnsi="Cambria" w:cs="Calibri"/>
                <w:b/>
                <w:bCs/>
                <w:color w:val="000000"/>
                <w:lang w:eastAsia="en-GB"/>
              </w:rPr>
              <w:t>Variance explained</w:t>
            </w:r>
            <w:r w:rsidR="00E764E8" w:rsidRPr="001C35E2">
              <w:rPr>
                <w:rFonts w:ascii="Cambria" w:eastAsia="Times New Roman" w:hAnsi="Cambria" w:cs="Calibri"/>
                <w:b/>
                <w:bCs/>
                <w:color w:val="000000"/>
                <w:lang w:eastAsia="en-GB"/>
              </w:rPr>
              <w:t xml:space="preserve"> in adults</w:t>
            </w:r>
          </w:p>
        </w:tc>
        <w:tc>
          <w:tcPr>
            <w:tcW w:w="2693" w:type="dxa"/>
            <w:tcBorders>
              <w:top w:val="single" w:sz="4" w:space="0" w:color="auto"/>
              <w:bottom w:val="single" w:sz="4" w:space="0" w:color="auto"/>
            </w:tcBorders>
            <w:shd w:val="clear" w:color="auto" w:fill="FFFFFF"/>
            <w:vAlign w:val="center"/>
            <w:hideMark/>
          </w:tcPr>
          <w:p w14:paraId="0602F059" w14:textId="2F281B17" w:rsidR="00AA5503" w:rsidRPr="001C35E2" w:rsidRDefault="00AA5503" w:rsidP="00491261">
            <w:pPr>
              <w:rPr>
                <w:rFonts w:ascii="Cambria" w:eastAsia="Times New Roman" w:hAnsi="Cambria" w:cs="Calibri"/>
                <w:b/>
                <w:bCs/>
                <w:color w:val="000000"/>
                <w:lang w:eastAsia="en-GB"/>
              </w:rPr>
            </w:pPr>
            <w:r w:rsidRPr="001C35E2">
              <w:rPr>
                <w:rFonts w:ascii="Cambria" w:eastAsia="Times New Roman" w:hAnsi="Cambria" w:cs="Calibri"/>
                <w:b/>
                <w:bCs/>
                <w:color w:val="000000"/>
                <w:lang w:eastAsia="en-GB"/>
              </w:rPr>
              <w:t>Age 3</w:t>
            </w:r>
            <w:r w:rsidRPr="001C35E2">
              <w:rPr>
                <w:rFonts w:ascii="Cambria" w:eastAsia="Times New Roman" w:hAnsi="Cambria" w:cs="Calibri"/>
                <w:b/>
                <w:bCs/>
                <w:color w:val="000000"/>
                <w:lang w:eastAsia="en-GB"/>
              </w:rPr>
              <w:br/>
              <w:t>N=</w:t>
            </w:r>
            <w:r w:rsidR="00AF40DA" w:rsidRPr="001C35E2">
              <w:rPr>
                <w:rFonts w:ascii="Cambria" w:eastAsia="Times New Roman" w:hAnsi="Cambria" w:cs="Calibri"/>
                <w:b/>
                <w:bCs/>
                <w:color w:val="000000"/>
                <w:lang w:eastAsia="en-GB"/>
              </w:rPr>
              <w:t>26,000</w:t>
            </w:r>
            <w:r w:rsidRPr="001C35E2">
              <w:rPr>
                <w:rFonts w:ascii="Cambria" w:eastAsia="Times New Roman" w:hAnsi="Cambria" w:cs="Calibri"/>
                <w:b/>
                <w:bCs/>
                <w:color w:val="000000"/>
                <w:lang w:eastAsia="en-GB"/>
              </w:rPr>
              <w:br/>
              <w:t>Minimum effect 80%</w:t>
            </w:r>
          </w:p>
        </w:tc>
        <w:tc>
          <w:tcPr>
            <w:tcW w:w="2977" w:type="dxa"/>
            <w:tcBorders>
              <w:top w:val="single" w:sz="4" w:space="0" w:color="auto"/>
              <w:bottom w:val="single" w:sz="4" w:space="0" w:color="auto"/>
            </w:tcBorders>
            <w:shd w:val="clear" w:color="auto" w:fill="FFFFFF"/>
            <w:vAlign w:val="center"/>
            <w:hideMark/>
          </w:tcPr>
          <w:p w14:paraId="39CB4C04" w14:textId="2F16E003" w:rsidR="00AA5503" w:rsidRPr="001C35E2" w:rsidRDefault="00AA5503" w:rsidP="00491261">
            <w:pPr>
              <w:rPr>
                <w:rFonts w:ascii="Cambria" w:eastAsia="Times New Roman" w:hAnsi="Cambria" w:cs="Calibri"/>
                <w:b/>
                <w:bCs/>
                <w:color w:val="000000"/>
                <w:lang w:eastAsia="en-GB"/>
              </w:rPr>
            </w:pPr>
            <w:r w:rsidRPr="001C35E2">
              <w:rPr>
                <w:rFonts w:ascii="Cambria" w:eastAsia="Times New Roman" w:hAnsi="Cambria" w:cs="Calibri"/>
                <w:b/>
                <w:bCs/>
                <w:color w:val="000000"/>
                <w:lang w:eastAsia="en-GB"/>
              </w:rPr>
              <w:t>Age 5/8</w:t>
            </w:r>
            <w:r w:rsidRPr="001C35E2">
              <w:rPr>
                <w:rFonts w:ascii="Cambria" w:eastAsia="Times New Roman" w:hAnsi="Cambria" w:cs="Calibri"/>
                <w:b/>
                <w:bCs/>
                <w:color w:val="000000"/>
                <w:lang w:eastAsia="en-GB"/>
              </w:rPr>
              <w:br/>
              <w:t>N=1</w:t>
            </w:r>
            <w:r w:rsidR="00BB7C0B" w:rsidRPr="001C35E2">
              <w:rPr>
                <w:rFonts w:ascii="Cambria" w:eastAsia="Times New Roman" w:hAnsi="Cambria" w:cs="Calibri"/>
                <w:b/>
                <w:bCs/>
                <w:color w:val="000000"/>
                <w:lang w:eastAsia="en-GB"/>
              </w:rPr>
              <w:t>8</w:t>
            </w:r>
            <w:r w:rsidRPr="001C35E2">
              <w:rPr>
                <w:rFonts w:ascii="Cambria" w:eastAsia="Times New Roman" w:hAnsi="Cambria" w:cs="Calibri"/>
                <w:b/>
                <w:bCs/>
                <w:color w:val="000000"/>
                <w:lang w:eastAsia="en-GB"/>
              </w:rPr>
              <w:t>,000</w:t>
            </w:r>
            <w:r w:rsidRPr="001C35E2">
              <w:rPr>
                <w:rFonts w:ascii="Cambria" w:eastAsia="Times New Roman" w:hAnsi="Cambria" w:cs="Calibri"/>
                <w:b/>
                <w:bCs/>
                <w:color w:val="000000"/>
                <w:lang w:eastAsia="en-GB"/>
              </w:rPr>
              <w:br/>
              <w:t>Minimum effect 80%</w:t>
            </w:r>
          </w:p>
        </w:tc>
      </w:tr>
      <w:tr w:rsidR="00F5610C" w:rsidRPr="001C35E2" w14:paraId="09C5E87C" w14:textId="77777777" w:rsidTr="00687FF5">
        <w:trPr>
          <w:trHeight w:val="315"/>
        </w:trPr>
        <w:tc>
          <w:tcPr>
            <w:tcW w:w="1545" w:type="dxa"/>
            <w:tcBorders>
              <w:top w:val="single" w:sz="4" w:space="0" w:color="auto"/>
            </w:tcBorders>
            <w:shd w:val="clear" w:color="auto" w:fill="E7E6E6" w:themeFill="background2"/>
            <w:vAlign w:val="center"/>
            <w:hideMark/>
          </w:tcPr>
          <w:p w14:paraId="195A46D6" w14:textId="77777777"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bdr w:val="none" w:sz="0" w:space="0" w:color="auto" w:frame="1"/>
                <w:lang w:eastAsia="en-GB"/>
              </w:rPr>
              <w:t>Vitamin</w:t>
            </w:r>
            <w:r w:rsidRPr="001C35E2">
              <w:rPr>
                <w:rFonts w:ascii="Cambria" w:eastAsia="Times New Roman" w:hAnsi="Cambria" w:cs="Calibri"/>
                <w:color w:val="000000"/>
                <w:lang w:eastAsia="en-GB"/>
              </w:rPr>
              <w:t> </w:t>
            </w:r>
            <w:r w:rsidRPr="001C35E2">
              <w:rPr>
                <w:rFonts w:ascii="Cambria" w:eastAsia="Times New Roman" w:hAnsi="Cambria" w:cs="Calibri"/>
                <w:color w:val="000000"/>
                <w:bdr w:val="none" w:sz="0" w:space="0" w:color="auto" w:frame="1"/>
                <w:lang w:eastAsia="en-GB"/>
              </w:rPr>
              <w:t>D</w:t>
            </w:r>
          </w:p>
        </w:tc>
        <w:tc>
          <w:tcPr>
            <w:tcW w:w="2558" w:type="dxa"/>
            <w:tcBorders>
              <w:top w:val="single" w:sz="4" w:space="0" w:color="auto"/>
            </w:tcBorders>
            <w:shd w:val="clear" w:color="auto" w:fill="E7E6E6" w:themeFill="background2"/>
            <w:vAlign w:val="center"/>
            <w:hideMark/>
          </w:tcPr>
          <w:p w14:paraId="375C35EB" w14:textId="77777777"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lang w:eastAsia="en-GB"/>
              </w:rPr>
              <w:t>Manousaki et al. (2020)</w:t>
            </w:r>
          </w:p>
        </w:tc>
        <w:tc>
          <w:tcPr>
            <w:tcW w:w="1418" w:type="dxa"/>
            <w:tcBorders>
              <w:top w:val="single" w:sz="4" w:space="0" w:color="auto"/>
            </w:tcBorders>
            <w:shd w:val="clear" w:color="auto" w:fill="E7E6E6" w:themeFill="background2"/>
            <w:vAlign w:val="center"/>
            <w:hideMark/>
          </w:tcPr>
          <w:p w14:paraId="678D385C" w14:textId="77777777"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lang w:eastAsia="en-GB"/>
              </w:rPr>
              <w:t>51</w:t>
            </w:r>
          </w:p>
        </w:tc>
        <w:tc>
          <w:tcPr>
            <w:tcW w:w="2268" w:type="dxa"/>
            <w:tcBorders>
              <w:top w:val="single" w:sz="4" w:space="0" w:color="auto"/>
            </w:tcBorders>
            <w:shd w:val="clear" w:color="auto" w:fill="E7E6E6" w:themeFill="background2"/>
            <w:vAlign w:val="center"/>
            <w:hideMark/>
          </w:tcPr>
          <w:p w14:paraId="2FB7FFE8" w14:textId="77777777"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lang w:eastAsia="en-GB"/>
              </w:rPr>
              <w:t>3.1%</w:t>
            </w:r>
          </w:p>
        </w:tc>
        <w:tc>
          <w:tcPr>
            <w:tcW w:w="2693" w:type="dxa"/>
            <w:tcBorders>
              <w:top w:val="single" w:sz="4" w:space="0" w:color="auto"/>
            </w:tcBorders>
            <w:shd w:val="clear" w:color="auto" w:fill="E7E6E6" w:themeFill="background2"/>
            <w:vAlign w:val="center"/>
            <w:hideMark/>
          </w:tcPr>
          <w:p w14:paraId="40E142FE" w14:textId="27B28526"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lang w:eastAsia="en-GB"/>
              </w:rPr>
              <w:t xml:space="preserve">Beta = </w:t>
            </w:r>
            <w:r w:rsidR="00340060" w:rsidRPr="001C35E2">
              <w:rPr>
                <w:rFonts w:ascii="Cambria" w:eastAsia="Times New Roman" w:hAnsi="Cambria" w:cs="Calibri"/>
                <w:color w:val="000000"/>
                <w:lang w:eastAsia="en-GB"/>
              </w:rPr>
              <w:t>0.10</w:t>
            </w:r>
          </w:p>
        </w:tc>
        <w:tc>
          <w:tcPr>
            <w:tcW w:w="2977" w:type="dxa"/>
            <w:tcBorders>
              <w:top w:val="single" w:sz="4" w:space="0" w:color="auto"/>
            </w:tcBorders>
            <w:shd w:val="clear" w:color="auto" w:fill="E7E6E6" w:themeFill="background2"/>
            <w:vAlign w:val="center"/>
            <w:hideMark/>
          </w:tcPr>
          <w:p w14:paraId="1CD3F0B4" w14:textId="251C2751"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lang w:eastAsia="en-GB"/>
              </w:rPr>
              <w:t>Beta=</w:t>
            </w:r>
            <w:r w:rsidR="004D0F85" w:rsidRPr="001C35E2">
              <w:rPr>
                <w:rFonts w:ascii="Cambria" w:eastAsia="Times New Roman" w:hAnsi="Cambria" w:cs="Calibri"/>
                <w:color w:val="000000"/>
                <w:lang w:eastAsia="en-GB"/>
              </w:rPr>
              <w:t xml:space="preserve"> </w:t>
            </w:r>
            <w:r w:rsidR="00BD1982" w:rsidRPr="001C35E2">
              <w:rPr>
                <w:rFonts w:ascii="Cambria" w:eastAsia="Times New Roman" w:hAnsi="Cambria" w:cs="Calibri"/>
                <w:color w:val="000000"/>
                <w:lang w:eastAsia="en-GB"/>
              </w:rPr>
              <w:t>0.12</w:t>
            </w:r>
          </w:p>
        </w:tc>
      </w:tr>
      <w:tr w:rsidR="00F5610C" w:rsidRPr="001C35E2" w14:paraId="291DD0E7" w14:textId="77777777" w:rsidTr="00BB32CC">
        <w:trPr>
          <w:trHeight w:val="315"/>
        </w:trPr>
        <w:tc>
          <w:tcPr>
            <w:tcW w:w="1545" w:type="dxa"/>
            <w:tcBorders>
              <w:bottom w:val="single" w:sz="4" w:space="0" w:color="auto"/>
            </w:tcBorders>
            <w:shd w:val="clear" w:color="auto" w:fill="FFFFFF"/>
            <w:vAlign w:val="center"/>
            <w:hideMark/>
          </w:tcPr>
          <w:p w14:paraId="08748E47" w14:textId="77777777"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bdr w:val="none" w:sz="0" w:space="0" w:color="auto" w:frame="1"/>
                <w:lang w:eastAsia="en-GB"/>
              </w:rPr>
              <w:t>D</w:t>
            </w:r>
            <w:r w:rsidRPr="001C35E2">
              <w:rPr>
                <w:rFonts w:ascii="Cambria" w:eastAsia="Times New Roman" w:hAnsi="Cambria" w:cs="Calibri"/>
                <w:color w:val="000000"/>
                <w:lang w:eastAsia="en-GB"/>
              </w:rPr>
              <w:t>HA</w:t>
            </w:r>
          </w:p>
        </w:tc>
        <w:tc>
          <w:tcPr>
            <w:tcW w:w="2558" w:type="dxa"/>
            <w:tcBorders>
              <w:bottom w:val="single" w:sz="4" w:space="0" w:color="auto"/>
            </w:tcBorders>
            <w:shd w:val="clear" w:color="auto" w:fill="FFFFFF"/>
            <w:vAlign w:val="center"/>
            <w:hideMark/>
          </w:tcPr>
          <w:p w14:paraId="7A82FA3A" w14:textId="77777777"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lang w:eastAsia="en-GB"/>
              </w:rPr>
              <w:t>IEU GWAS</w:t>
            </w:r>
          </w:p>
        </w:tc>
        <w:tc>
          <w:tcPr>
            <w:tcW w:w="1418" w:type="dxa"/>
            <w:tcBorders>
              <w:bottom w:val="single" w:sz="4" w:space="0" w:color="auto"/>
            </w:tcBorders>
            <w:shd w:val="clear" w:color="auto" w:fill="FFFFFF"/>
            <w:vAlign w:val="center"/>
            <w:hideMark/>
          </w:tcPr>
          <w:p w14:paraId="0DC68B5E" w14:textId="77777777"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lang w:eastAsia="en-GB"/>
              </w:rPr>
              <w:t>32</w:t>
            </w:r>
          </w:p>
        </w:tc>
        <w:tc>
          <w:tcPr>
            <w:tcW w:w="2268" w:type="dxa"/>
            <w:tcBorders>
              <w:bottom w:val="single" w:sz="4" w:space="0" w:color="auto"/>
            </w:tcBorders>
            <w:shd w:val="clear" w:color="auto" w:fill="FFFFFF"/>
            <w:vAlign w:val="center"/>
            <w:hideMark/>
          </w:tcPr>
          <w:p w14:paraId="14DD5836" w14:textId="77777777"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lang w:eastAsia="en-GB"/>
              </w:rPr>
              <w:t>6.6%</w:t>
            </w:r>
          </w:p>
        </w:tc>
        <w:tc>
          <w:tcPr>
            <w:tcW w:w="2693" w:type="dxa"/>
            <w:tcBorders>
              <w:bottom w:val="single" w:sz="4" w:space="0" w:color="auto"/>
            </w:tcBorders>
            <w:shd w:val="clear" w:color="auto" w:fill="FFFFFF"/>
            <w:vAlign w:val="center"/>
            <w:hideMark/>
          </w:tcPr>
          <w:p w14:paraId="0A8DD8E7" w14:textId="58544816"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lang w:eastAsia="en-GB"/>
              </w:rPr>
              <w:t>Beta = </w:t>
            </w:r>
            <w:r w:rsidR="007136DB" w:rsidRPr="001C35E2">
              <w:rPr>
                <w:rFonts w:ascii="Cambria" w:eastAsia="Times New Roman" w:hAnsi="Cambria" w:cs="Calibri"/>
                <w:color w:val="000000"/>
                <w:lang w:eastAsia="en-GB"/>
              </w:rPr>
              <w:t>0.07</w:t>
            </w:r>
          </w:p>
        </w:tc>
        <w:tc>
          <w:tcPr>
            <w:tcW w:w="2977" w:type="dxa"/>
            <w:tcBorders>
              <w:bottom w:val="single" w:sz="4" w:space="0" w:color="auto"/>
            </w:tcBorders>
            <w:shd w:val="clear" w:color="auto" w:fill="FFFFFF"/>
            <w:vAlign w:val="center"/>
            <w:hideMark/>
          </w:tcPr>
          <w:p w14:paraId="7EC6BBC1" w14:textId="0FDE5551" w:rsidR="00F5610C" w:rsidRPr="001C35E2" w:rsidRDefault="00F5610C" w:rsidP="00491261">
            <w:pPr>
              <w:rPr>
                <w:rFonts w:ascii="Cambria" w:eastAsia="Times New Roman" w:hAnsi="Cambria" w:cs="Calibri"/>
                <w:color w:val="000000"/>
                <w:lang w:eastAsia="en-GB"/>
              </w:rPr>
            </w:pPr>
            <w:r w:rsidRPr="001C35E2">
              <w:rPr>
                <w:rFonts w:ascii="Cambria" w:eastAsia="Times New Roman" w:hAnsi="Cambria" w:cs="Calibri"/>
                <w:color w:val="000000"/>
                <w:lang w:eastAsia="en-GB"/>
              </w:rPr>
              <w:t>Beta = </w:t>
            </w:r>
            <w:r w:rsidR="007136DB" w:rsidRPr="001C35E2">
              <w:rPr>
                <w:rFonts w:ascii="Cambria" w:eastAsia="Times New Roman" w:hAnsi="Cambria" w:cs="Calibri"/>
                <w:color w:val="000000"/>
                <w:lang w:eastAsia="en-GB"/>
              </w:rPr>
              <w:t>0.08</w:t>
            </w:r>
          </w:p>
        </w:tc>
      </w:tr>
      <w:tr w:rsidR="00BB32CC" w:rsidRPr="001C35E2" w14:paraId="7A7CE6CB" w14:textId="77777777" w:rsidTr="00BB32CC">
        <w:trPr>
          <w:trHeight w:val="315"/>
        </w:trPr>
        <w:tc>
          <w:tcPr>
            <w:tcW w:w="1545" w:type="dxa"/>
            <w:tcBorders>
              <w:top w:val="single" w:sz="4" w:space="0" w:color="auto"/>
              <w:bottom w:val="single" w:sz="4" w:space="0" w:color="auto"/>
            </w:tcBorders>
            <w:shd w:val="clear" w:color="auto" w:fill="D9D9D9" w:themeFill="background1" w:themeFillShade="D9"/>
            <w:vAlign w:val="center"/>
          </w:tcPr>
          <w:p w14:paraId="2A29792A" w14:textId="77777777" w:rsidR="00BB32CC" w:rsidRPr="001C35E2" w:rsidRDefault="00BB32CC" w:rsidP="00BB32CC">
            <w:pPr>
              <w:rPr>
                <w:rFonts w:ascii="Cambria" w:eastAsia="Times New Roman" w:hAnsi="Cambria" w:cs="Calibri"/>
                <w:color w:val="000000"/>
                <w:bdr w:val="none" w:sz="0" w:space="0" w:color="auto" w:frame="1"/>
                <w:lang w:eastAsia="en-GB"/>
              </w:rPr>
            </w:pPr>
          </w:p>
        </w:tc>
        <w:tc>
          <w:tcPr>
            <w:tcW w:w="2558" w:type="dxa"/>
            <w:tcBorders>
              <w:top w:val="single" w:sz="4" w:space="0" w:color="auto"/>
              <w:bottom w:val="single" w:sz="4" w:space="0" w:color="auto"/>
            </w:tcBorders>
            <w:shd w:val="clear" w:color="auto" w:fill="D9D9D9" w:themeFill="background1" w:themeFillShade="D9"/>
            <w:vAlign w:val="center"/>
          </w:tcPr>
          <w:p w14:paraId="1419FD8D" w14:textId="2A29BD7E" w:rsidR="00BB32CC" w:rsidRPr="001C35E2" w:rsidRDefault="00BB32CC" w:rsidP="00BB32CC">
            <w:pPr>
              <w:rPr>
                <w:rFonts w:ascii="Cambria" w:eastAsia="Times New Roman" w:hAnsi="Cambria" w:cs="Calibri"/>
                <w:color w:val="000000"/>
                <w:lang w:eastAsia="en-GB"/>
              </w:rPr>
            </w:pPr>
            <w:r w:rsidRPr="001C35E2">
              <w:rPr>
                <w:rFonts w:ascii="Cambria" w:eastAsia="Times New Roman" w:hAnsi="Cambria" w:cs="Calibri"/>
                <w:b/>
                <w:bCs/>
                <w:color w:val="000000"/>
                <w:lang w:eastAsia="en-GB"/>
              </w:rPr>
              <w:br/>
              <w:t>GWAS</w:t>
            </w:r>
          </w:p>
        </w:tc>
        <w:tc>
          <w:tcPr>
            <w:tcW w:w="1418" w:type="dxa"/>
            <w:tcBorders>
              <w:top w:val="single" w:sz="4" w:space="0" w:color="auto"/>
              <w:bottom w:val="single" w:sz="4" w:space="0" w:color="auto"/>
            </w:tcBorders>
            <w:shd w:val="clear" w:color="auto" w:fill="D9D9D9" w:themeFill="background1" w:themeFillShade="D9"/>
            <w:vAlign w:val="center"/>
          </w:tcPr>
          <w:p w14:paraId="4420D407" w14:textId="1E575255" w:rsidR="00BB32CC" w:rsidRPr="001C35E2" w:rsidRDefault="00BB32CC" w:rsidP="00BB32CC">
            <w:pPr>
              <w:rPr>
                <w:rFonts w:ascii="Cambria" w:eastAsia="Times New Roman" w:hAnsi="Cambria" w:cs="Calibri"/>
                <w:color w:val="000000"/>
                <w:lang w:eastAsia="en-GB"/>
              </w:rPr>
            </w:pPr>
            <w:r w:rsidRPr="001C35E2">
              <w:rPr>
                <w:rFonts w:ascii="Cambria" w:eastAsia="Times New Roman" w:hAnsi="Cambria" w:cs="Calibri"/>
                <w:b/>
                <w:bCs/>
                <w:color w:val="000000"/>
                <w:lang w:eastAsia="en-GB"/>
              </w:rPr>
              <w:t>N SNPs</w:t>
            </w:r>
          </w:p>
        </w:tc>
        <w:tc>
          <w:tcPr>
            <w:tcW w:w="2268" w:type="dxa"/>
            <w:tcBorders>
              <w:top w:val="single" w:sz="4" w:space="0" w:color="auto"/>
              <w:bottom w:val="single" w:sz="4" w:space="0" w:color="auto"/>
            </w:tcBorders>
            <w:shd w:val="clear" w:color="auto" w:fill="D9D9D9" w:themeFill="background1" w:themeFillShade="D9"/>
            <w:vAlign w:val="center"/>
          </w:tcPr>
          <w:p w14:paraId="3A72E729" w14:textId="720FA15E" w:rsidR="00BB32CC" w:rsidRPr="001C35E2" w:rsidRDefault="00BB32CC" w:rsidP="00BB32CC">
            <w:pPr>
              <w:rPr>
                <w:rFonts w:ascii="Cambria" w:eastAsia="Times New Roman" w:hAnsi="Cambria" w:cs="Calibri"/>
                <w:color w:val="000000"/>
                <w:lang w:eastAsia="en-GB"/>
              </w:rPr>
            </w:pPr>
            <w:r w:rsidRPr="001C35E2">
              <w:rPr>
                <w:rFonts w:ascii="Cambria" w:eastAsia="Times New Roman" w:hAnsi="Cambria" w:cs="Calibri"/>
                <w:b/>
                <w:bCs/>
                <w:color w:val="000000"/>
                <w:lang w:eastAsia="en-GB"/>
              </w:rPr>
              <w:t>Variance explained in pregnancy</w:t>
            </w:r>
          </w:p>
        </w:tc>
        <w:tc>
          <w:tcPr>
            <w:tcW w:w="2693" w:type="dxa"/>
            <w:tcBorders>
              <w:top w:val="single" w:sz="4" w:space="0" w:color="auto"/>
              <w:bottom w:val="single" w:sz="4" w:space="0" w:color="auto"/>
            </w:tcBorders>
            <w:shd w:val="clear" w:color="auto" w:fill="D9D9D9" w:themeFill="background1" w:themeFillShade="D9"/>
            <w:vAlign w:val="center"/>
          </w:tcPr>
          <w:p w14:paraId="651AE8D5" w14:textId="34C087D3" w:rsidR="00BB32CC" w:rsidRPr="001C35E2" w:rsidRDefault="00BB32CC" w:rsidP="00BB32CC">
            <w:pPr>
              <w:rPr>
                <w:rFonts w:ascii="Cambria" w:eastAsia="Times New Roman" w:hAnsi="Cambria" w:cs="Calibri"/>
                <w:color w:val="000000"/>
                <w:lang w:eastAsia="en-GB"/>
              </w:rPr>
            </w:pPr>
            <w:r w:rsidRPr="001C35E2">
              <w:rPr>
                <w:rFonts w:ascii="Cambria" w:eastAsia="Times New Roman" w:hAnsi="Cambria" w:cs="Calibri"/>
                <w:b/>
                <w:bCs/>
                <w:color w:val="000000"/>
                <w:lang w:eastAsia="en-GB"/>
              </w:rPr>
              <w:t>Age 3</w:t>
            </w:r>
            <w:r w:rsidRPr="001C35E2">
              <w:rPr>
                <w:rFonts w:ascii="Cambria" w:eastAsia="Times New Roman" w:hAnsi="Cambria" w:cs="Calibri"/>
                <w:b/>
                <w:bCs/>
                <w:color w:val="000000"/>
                <w:lang w:eastAsia="en-GB"/>
              </w:rPr>
              <w:br/>
              <w:t>N=26,000</w:t>
            </w:r>
            <w:r w:rsidRPr="001C35E2">
              <w:rPr>
                <w:rFonts w:ascii="Cambria" w:eastAsia="Times New Roman" w:hAnsi="Cambria" w:cs="Calibri"/>
                <w:b/>
                <w:bCs/>
                <w:color w:val="000000"/>
                <w:lang w:eastAsia="en-GB"/>
              </w:rPr>
              <w:br/>
              <w:t>Minimum effect 80%</w:t>
            </w:r>
          </w:p>
        </w:tc>
        <w:tc>
          <w:tcPr>
            <w:tcW w:w="2977" w:type="dxa"/>
            <w:tcBorders>
              <w:top w:val="single" w:sz="4" w:space="0" w:color="auto"/>
              <w:bottom w:val="single" w:sz="4" w:space="0" w:color="auto"/>
            </w:tcBorders>
            <w:shd w:val="clear" w:color="auto" w:fill="D9D9D9" w:themeFill="background1" w:themeFillShade="D9"/>
            <w:vAlign w:val="center"/>
          </w:tcPr>
          <w:p w14:paraId="54632485" w14:textId="59276931" w:rsidR="00BB32CC" w:rsidRPr="001C35E2" w:rsidRDefault="00BB32CC" w:rsidP="00BB32CC">
            <w:pPr>
              <w:rPr>
                <w:rFonts w:ascii="Cambria" w:eastAsia="Times New Roman" w:hAnsi="Cambria" w:cs="Calibri"/>
                <w:color w:val="000000"/>
                <w:lang w:eastAsia="en-GB"/>
              </w:rPr>
            </w:pPr>
            <w:r w:rsidRPr="001C35E2">
              <w:rPr>
                <w:rFonts w:ascii="Cambria" w:eastAsia="Times New Roman" w:hAnsi="Cambria" w:cs="Calibri"/>
                <w:b/>
                <w:bCs/>
                <w:color w:val="000000"/>
                <w:lang w:eastAsia="en-GB"/>
              </w:rPr>
              <w:t>Age 5/8</w:t>
            </w:r>
            <w:r w:rsidRPr="001C35E2">
              <w:rPr>
                <w:rFonts w:ascii="Cambria" w:eastAsia="Times New Roman" w:hAnsi="Cambria" w:cs="Calibri"/>
                <w:b/>
                <w:bCs/>
                <w:color w:val="000000"/>
                <w:lang w:eastAsia="en-GB"/>
              </w:rPr>
              <w:br/>
              <w:t>N=18,000</w:t>
            </w:r>
            <w:r w:rsidRPr="001C35E2">
              <w:rPr>
                <w:rFonts w:ascii="Cambria" w:eastAsia="Times New Roman" w:hAnsi="Cambria" w:cs="Calibri"/>
                <w:b/>
                <w:bCs/>
                <w:color w:val="000000"/>
                <w:lang w:eastAsia="en-GB"/>
              </w:rPr>
              <w:br/>
              <w:t>Minimum effect 80%</w:t>
            </w:r>
          </w:p>
        </w:tc>
      </w:tr>
      <w:tr w:rsidR="00BB32CC" w:rsidRPr="001C35E2" w14:paraId="7D0B5B95" w14:textId="77777777" w:rsidTr="00F46404">
        <w:trPr>
          <w:trHeight w:val="315"/>
        </w:trPr>
        <w:tc>
          <w:tcPr>
            <w:tcW w:w="1545" w:type="dxa"/>
            <w:tcBorders>
              <w:top w:val="single" w:sz="4" w:space="0" w:color="auto"/>
            </w:tcBorders>
            <w:shd w:val="clear" w:color="auto" w:fill="FFFFFF"/>
            <w:vAlign w:val="center"/>
          </w:tcPr>
          <w:p w14:paraId="7B16E9A8" w14:textId="27F0B059" w:rsidR="00BB32CC" w:rsidRPr="001C35E2" w:rsidRDefault="00BB32CC" w:rsidP="00BB32CC">
            <w:pPr>
              <w:rPr>
                <w:rFonts w:ascii="Cambria" w:eastAsia="Times New Roman" w:hAnsi="Cambria" w:cs="Calibri"/>
                <w:color w:val="000000"/>
                <w:bdr w:val="none" w:sz="0" w:space="0" w:color="auto" w:frame="1"/>
                <w:lang w:eastAsia="en-GB"/>
              </w:rPr>
            </w:pPr>
            <w:r w:rsidRPr="001C35E2">
              <w:rPr>
                <w:rFonts w:ascii="Cambria" w:eastAsia="Times New Roman" w:hAnsi="Cambria" w:cs="Calibri"/>
                <w:color w:val="000000"/>
                <w:bdr w:val="none" w:sz="0" w:space="0" w:color="auto" w:frame="1"/>
                <w:lang w:eastAsia="en-GB"/>
              </w:rPr>
              <w:t>Vitamin</w:t>
            </w:r>
            <w:r w:rsidRPr="001C35E2">
              <w:rPr>
                <w:rFonts w:ascii="Cambria" w:eastAsia="Times New Roman" w:hAnsi="Cambria" w:cs="Calibri"/>
                <w:color w:val="000000"/>
                <w:lang w:eastAsia="en-GB"/>
              </w:rPr>
              <w:t> </w:t>
            </w:r>
            <w:r w:rsidRPr="001C35E2">
              <w:rPr>
                <w:rFonts w:ascii="Cambria" w:eastAsia="Times New Roman" w:hAnsi="Cambria" w:cs="Calibri"/>
                <w:color w:val="000000"/>
                <w:bdr w:val="none" w:sz="0" w:space="0" w:color="auto" w:frame="1"/>
                <w:lang w:eastAsia="en-GB"/>
              </w:rPr>
              <w:t>D</w:t>
            </w:r>
          </w:p>
        </w:tc>
        <w:tc>
          <w:tcPr>
            <w:tcW w:w="2558" w:type="dxa"/>
            <w:tcBorders>
              <w:top w:val="single" w:sz="4" w:space="0" w:color="auto"/>
            </w:tcBorders>
            <w:shd w:val="clear" w:color="auto" w:fill="FFFFFF"/>
            <w:vAlign w:val="center"/>
          </w:tcPr>
          <w:p w14:paraId="390EC113" w14:textId="57AA1CE0" w:rsidR="00BB32CC" w:rsidRPr="001C35E2" w:rsidRDefault="00BB32CC" w:rsidP="00BB32CC">
            <w:pPr>
              <w:rPr>
                <w:rFonts w:ascii="Cambria" w:eastAsia="Times New Roman" w:hAnsi="Cambria" w:cs="Calibri"/>
                <w:color w:val="000000"/>
                <w:lang w:eastAsia="en-GB"/>
              </w:rPr>
            </w:pPr>
            <w:r w:rsidRPr="001C35E2">
              <w:rPr>
                <w:rFonts w:ascii="Cambria" w:eastAsia="Times New Roman" w:hAnsi="Cambria" w:cs="Calibri"/>
                <w:color w:val="000000"/>
                <w:lang w:eastAsia="en-GB"/>
              </w:rPr>
              <w:t>Manousaki et al. (2020)</w:t>
            </w:r>
          </w:p>
        </w:tc>
        <w:tc>
          <w:tcPr>
            <w:tcW w:w="1418" w:type="dxa"/>
            <w:tcBorders>
              <w:top w:val="single" w:sz="4" w:space="0" w:color="auto"/>
            </w:tcBorders>
            <w:shd w:val="clear" w:color="auto" w:fill="FFFFFF"/>
            <w:vAlign w:val="center"/>
          </w:tcPr>
          <w:p w14:paraId="0611D73D" w14:textId="34228F59" w:rsidR="00BB32CC" w:rsidRPr="001C35E2" w:rsidRDefault="00BB32CC" w:rsidP="00BB32CC">
            <w:pPr>
              <w:rPr>
                <w:rFonts w:ascii="Cambria" w:eastAsia="Times New Roman" w:hAnsi="Cambria" w:cs="Calibri"/>
                <w:color w:val="000000"/>
                <w:lang w:eastAsia="en-GB"/>
              </w:rPr>
            </w:pPr>
            <w:r w:rsidRPr="001C35E2">
              <w:rPr>
                <w:rFonts w:ascii="Cambria" w:eastAsia="Times New Roman" w:hAnsi="Cambria" w:cs="Calibri"/>
                <w:color w:val="000000"/>
                <w:lang w:eastAsia="en-GB"/>
              </w:rPr>
              <w:t>51</w:t>
            </w:r>
          </w:p>
        </w:tc>
        <w:tc>
          <w:tcPr>
            <w:tcW w:w="2268" w:type="dxa"/>
            <w:tcBorders>
              <w:top w:val="single" w:sz="4" w:space="0" w:color="auto"/>
            </w:tcBorders>
            <w:shd w:val="clear" w:color="auto" w:fill="FFFFFF"/>
            <w:vAlign w:val="center"/>
          </w:tcPr>
          <w:p w14:paraId="757AF0C2" w14:textId="65B9A3B6" w:rsidR="00BB32CC" w:rsidRPr="001C35E2" w:rsidRDefault="0088712A" w:rsidP="00BB32CC">
            <w:pPr>
              <w:rPr>
                <w:rFonts w:ascii="Cambria" w:eastAsia="Times New Roman" w:hAnsi="Cambria" w:cs="Calibri"/>
                <w:color w:val="000000"/>
                <w:lang w:eastAsia="en-GB"/>
              </w:rPr>
            </w:pPr>
            <w:r w:rsidRPr="001C35E2">
              <w:rPr>
                <w:rFonts w:ascii="Cambria" w:hAnsi="Cambria" w:cs="Arial"/>
                <w:sz w:val="22"/>
                <w:szCs w:val="22"/>
              </w:rPr>
              <w:t xml:space="preserve">1.35% </w:t>
            </w:r>
            <w:r w:rsidR="00ED4AB2" w:rsidRPr="001C35E2">
              <w:rPr>
                <w:rFonts w:ascii="Cambria" w:hAnsi="Cambria" w:cs="Arial"/>
                <w:sz w:val="22"/>
                <w:szCs w:val="22"/>
              </w:rPr>
              <w:fldChar w:fldCharType="begin"/>
            </w:r>
            <w:r w:rsidR="00713FAA" w:rsidRPr="001C35E2">
              <w:rPr>
                <w:rFonts w:ascii="Cambria" w:hAnsi="Cambria" w:cs="Arial"/>
                <w:sz w:val="22"/>
                <w:szCs w:val="22"/>
              </w:rPr>
              <w:instrText xml:space="preserve"> ADDIN ZOTERO_ITEM CSL_CITATION {"citationID":"1iKiUlFP","properties":{"formattedCitation":"(Madley-Dowd et al., 2022)","plainCitation":"(Madley-Dowd et al., 2022)","noteIndex":0},"citationItems":[{"id":4014,"uris":["http://zotero.org/users/5402137/items/24GUQHKL"],"itemData":{"id":4014,"type":"article-journal","abstract":"There has been a growing interest in the association between maternal levels of vitamin D during pregnancy and offspring autism. However, whether any associations reflect causal effects is still inconclusive.","container-title":"Molecular Autism","DOI":"10.1186/s13229-022-00523-4","ISSN":"2040-2392","issue":"1","journalAbbreviation":"Molecular Autism","page":"44","source":"BioMed Central","title":"Maternal vitamin D during pregnancy and offspring autism and autism-associated traits: a prospective cohort study","title-short":"Maternal vitamin D during pregnancy and offspring autism and autism-associated traits","volume":"13","author":[{"family":"Madley-Dowd","given":"Paul"},{"family":"Dardani","given":"Christina"},{"family":"Wootton","given":"Robyn E."},{"family":"Dack","given":"Kyle"},{"family":"Palmer","given":"Tom"},{"family":"Thurston","given":"Rupert"},{"family":"Havdahl","given":"Alexandra"},{"family":"Golding","given":"Jean"},{"family":"Lawlor","given":"Deborah"},{"family":"Rai","given":"Dheeraj"}],"issued":{"date-parts":[["2022",11,12]]}}}],"schema":"https://github.com/citation-style-language/schema/raw/master/csl-citation.json"} </w:instrText>
            </w:r>
            <w:r w:rsidR="00ED4AB2" w:rsidRPr="001C35E2">
              <w:rPr>
                <w:rFonts w:ascii="Cambria" w:hAnsi="Cambria" w:cs="Arial"/>
                <w:sz w:val="22"/>
                <w:szCs w:val="22"/>
              </w:rPr>
              <w:fldChar w:fldCharType="separate"/>
            </w:r>
            <w:r w:rsidR="0062285E" w:rsidRPr="001C35E2">
              <w:rPr>
                <w:rFonts w:ascii="Cambria" w:hAnsi="Cambria" w:cs="Times New Roman"/>
                <w:sz w:val="22"/>
              </w:rPr>
              <w:t>(Madley-Dowd et al., 2022)</w:t>
            </w:r>
            <w:r w:rsidR="00ED4AB2" w:rsidRPr="001C35E2">
              <w:rPr>
                <w:rFonts w:ascii="Cambria" w:hAnsi="Cambria" w:cs="Arial"/>
                <w:sz w:val="22"/>
                <w:szCs w:val="22"/>
              </w:rPr>
              <w:fldChar w:fldCharType="end"/>
            </w:r>
          </w:p>
        </w:tc>
        <w:tc>
          <w:tcPr>
            <w:tcW w:w="2693" w:type="dxa"/>
            <w:tcBorders>
              <w:top w:val="single" w:sz="4" w:space="0" w:color="auto"/>
            </w:tcBorders>
            <w:shd w:val="clear" w:color="auto" w:fill="FFFFFF"/>
            <w:vAlign w:val="center"/>
          </w:tcPr>
          <w:p w14:paraId="08734C20" w14:textId="12972069" w:rsidR="00BB32CC" w:rsidRPr="001C35E2" w:rsidRDefault="00762A24" w:rsidP="00BB32CC">
            <w:pPr>
              <w:rPr>
                <w:rFonts w:ascii="Cambria" w:eastAsia="Times New Roman" w:hAnsi="Cambria" w:cs="Calibri"/>
                <w:color w:val="000000"/>
                <w:lang w:eastAsia="en-GB"/>
              </w:rPr>
            </w:pPr>
            <w:r w:rsidRPr="001C35E2">
              <w:rPr>
                <w:rFonts w:ascii="Cambria" w:eastAsia="Times New Roman" w:hAnsi="Cambria" w:cs="Calibri"/>
                <w:color w:val="000000"/>
                <w:lang w:eastAsia="en-GB"/>
              </w:rPr>
              <w:t xml:space="preserve">Beta = </w:t>
            </w:r>
            <w:r w:rsidR="00BC0410" w:rsidRPr="001C35E2">
              <w:rPr>
                <w:rFonts w:ascii="Cambria" w:eastAsia="Times New Roman" w:hAnsi="Cambria" w:cs="Calibri"/>
                <w:color w:val="000000"/>
                <w:lang w:eastAsia="en-GB"/>
              </w:rPr>
              <w:t>0.15</w:t>
            </w:r>
          </w:p>
        </w:tc>
        <w:tc>
          <w:tcPr>
            <w:tcW w:w="2977" w:type="dxa"/>
            <w:tcBorders>
              <w:top w:val="single" w:sz="4" w:space="0" w:color="auto"/>
            </w:tcBorders>
            <w:shd w:val="clear" w:color="auto" w:fill="FFFFFF"/>
            <w:vAlign w:val="center"/>
          </w:tcPr>
          <w:p w14:paraId="4A3C0EAA" w14:textId="6D05FDDB" w:rsidR="00BB32CC" w:rsidRPr="001C35E2" w:rsidRDefault="005A3295" w:rsidP="00BB32CC">
            <w:pPr>
              <w:rPr>
                <w:rFonts w:ascii="Cambria" w:eastAsia="Times New Roman" w:hAnsi="Cambria" w:cs="Calibri"/>
                <w:color w:val="000000"/>
                <w:lang w:eastAsia="en-GB"/>
              </w:rPr>
            </w:pPr>
            <w:r w:rsidRPr="001C35E2">
              <w:rPr>
                <w:rFonts w:ascii="Cambria" w:eastAsia="Times New Roman" w:hAnsi="Cambria" w:cs="Calibri"/>
                <w:color w:val="000000"/>
                <w:lang w:eastAsia="en-GB"/>
              </w:rPr>
              <w:t xml:space="preserve">Beta = </w:t>
            </w:r>
            <w:r w:rsidR="00C601DC" w:rsidRPr="001C35E2">
              <w:rPr>
                <w:rFonts w:ascii="Cambria" w:eastAsia="Times New Roman" w:hAnsi="Cambria" w:cs="Calibri"/>
                <w:color w:val="000000"/>
                <w:lang w:eastAsia="en-GB"/>
              </w:rPr>
              <w:t>0.18</w:t>
            </w:r>
          </w:p>
        </w:tc>
      </w:tr>
      <w:tr w:rsidR="00BB32CC" w:rsidRPr="001C35E2" w14:paraId="64DA1C59" w14:textId="77777777" w:rsidTr="00F46404">
        <w:trPr>
          <w:trHeight w:val="315"/>
        </w:trPr>
        <w:tc>
          <w:tcPr>
            <w:tcW w:w="1545" w:type="dxa"/>
            <w:tcBorders>
              <w:bottom w:val="single" w:sz="4" w:space="0" w:color="auto"/>
            </w:tcBorders>
            <w:shd w:val="clear" w:color="auto" w:fill="FFFFFF"/>
            <w:vAlign w:val="center"/>
          </w:tcPr>
          <w:p w14:paraId="512F6A22" w14:textId="2CE2183C" w:rsidR="00BB32CC" w:rsidRPr="001C35E2" w:rsidRDefault="00BB32CC" w:rsidP="00BB32CC">
            <w:pPr>
              <w:rPr>
                <w:rFonts w:ascii="Cambria" w:eastAsia="Times New Roman" w:hAnsi="Cambria" w:cs="Calibri"/>
                <w:color w:val="000000"/>
                <w:bdr w:val="none" w:sz="0" w:space="0" w:color="auto" w:frame="1"/>
                <w:lang w:eastAsia="en-GB"/>
              </w:rPr>
            </w:pPr>
            <w:r w:rsidRPr="001C35E2">
              <w:rPr>
                <w:rFonts w:ascii="Cambria" w:eastAsia="Times New Roman" w:hAnsi="Cambria" w:cs="Calibri"/>
                <w:color w:val="000000"/>
                <w:bdr w:val="none" w:sz="0" w:space="0" w:color="auto" w:frame="1"/>
                <w:lang w:eastAsia="en-GB"/>
              </w:rPr>
              <w:t>D</w:t>
            </w:r>
            <w:r w:rsidRPr="001C35E2">
              <w:rPr>
                <w:rFonts w:ascii="Cambria" w:eastAsia="Times New Roman" w:hAnsi="Cambria" w:cs="Calibri"/>
                <w:color w:val="000000"/>
                <w:lang w:eastAsia="en-GB"/>
              </w:rPr>
              <w:t>HA</w:t>
            </w:r>
          </w:p>
        </w:tc>
        <w:tc>
          <w:tcPr>
            <w:tcW w:w="2558" w:type="dxa"/>
            <w:tcBorders>
              <w:bottom w:val="single" w:sz="4" w:space="0" w:color="auto"/>
            </w:tcBorders>
            <w:shd w:val="clear" w:color="auto" w:fill="FFFFFF"/>
            <w:vAlign w:val="center"/>
          </w:tcPr>
          <w:p w14:paraId="230779D0" w14:textId="78C87389" w:rsidR="00BB32CC" w:rsidRPr="001C35E2" w:rsidRDefault="00BB32CC" w:rsidP="00BB32CC">
            <w:pPr>
              <w:rPr>
                <w:rFonts w:ascii="Cambria" w:eastAsia="Times New Roman" w:hAnsi="Cambria" w:cs="Calibri"/>
                <w:color w:val="000000"/>
                <w:lang w:eastAsia="en-GB"/>
              </w:rPr>
            </w:pPr>
            <w:r w:rsidRPr="001C35E2">
              <w:rPr>
                <w:rFonts w:ascii="Cambria" w:eastAsia="Times New Roman" w:hAnsi="Cambria" w:cs="Calibri"/>
                <w:color w:val="000000"/>
                <w:lang w:eastAsia="en-GB"/>
              </w:rPr>
              <w:t>IEU GWAS</w:t>
            </w:r>
          </w:p>
        </w:tc>
        <w:tc>
          <w:tcPr>
            <w:tcW w:w="1418" w:type="dxa"/>
            <w:tcBorders>
              <w:bottom w:val="single" w:sz="4" w:space="0" w:color="auto"/>
            </w:tcBorders>
            <w:shd w:val="clear" w:color="auto" w:fill="FFFFFF"/>
            <w:vAlign w:val="center"/>
          </w:tcPr>
          <w:p w14:paraId="70D8E3C5" w14:textId="3D054262" w:rsidR="00BB32CC" w:rsidRPr="001C35E2" w:rsidRDefault="00BB32CC" w:rsidP="00BB32CC">
            <w:pPr>
              <w:rPr>
                <w:rFonts w:ascii="Cambria" w:eastAsia="Times New Roman" w:hAnsi="Cambria" w:cs="Calibri"/>
                <w:color w:val="000000"/>
                <w:lang w:eastAsia="en-GB"/>
              </w:rPr>
            </w:pPr>
            <w:r w:rsidRPr="001C35E2">
              <w:rPr>
                <w:rFonts w:ascii="Cambria" w:eastAsia="Times New Roman" w:hAnsi="Cambria" w:cs="Calibri"/>
                <w:color w:val="000000"/>
                <w:lang w:eastAsia="en-GB"/>
              </w:rPr>
              <w:t>32</w:t>
            </w:r>
          </w:p>
        </w:tc>
        <w:tc>
          <w:tcPr>
            <w:tcW w:w="2268" w:type="dxa"/>
            <w:tcBorders>
              <w:bottom w:val="single" w:sz="4" w:space="0" w:color="auto"/>
            </w:tcBorders>
            <w:shd w:val="clear" w:color="auto" w:fill="FFFFFF"/>
            <w:vAlign w:val="center"/>
          </w:tcPr>
          <w:p w14:paraId="4BA6FA25" w14:textId="78A44118" w:rsidR="00BB32CC" w:rsidRPr="001C35E2" w:rsidRDefault="00BB32CC" w:rsidP="00BB32CC">
            <w:pPr>
              <w:rPr>
                <w:rFonts w:ascii="Cambria" w:eastAsia="Times New Roman" w:hAnsi="Cambria" w:cs="Calibri"/>
                <w:color w:val="000000"/>
                <w:lang w:eastAsia="en-GB"/>
              </w:rPr>
            </w:pPr>
            <w:r w:rsidRPr="001C35E2">
              <w:rPr>
                <w:rFonts w:ascii="Cambria" w:eastAsia="Times New Roman" w:hAnsi="Cambria" w:cs="Times New Roman"/>
                <w:color w:val="000000" w:themeColor="text1"/>
                <w:lang w:eastAsia="en-GB"/>
              </w:rPr>
              <w:t>0.85% (see Note 2)</w:t>
            </w:r>
          </w:p>
        </w:tc>
        <w:tc>
          <w:tcPr>
            <w:tcW w:w="2693" w:type="dxa"/>
            <w:tcBorders>
              <w:bottom w:val="single" w:sz="4" w:space="0" w:color="auto"/>
            </w:tcBorders>
            <w:shd w:val="clear" w:color="auto" w:fill="FFFFFF"/>
            <w:vAlign w:val="center"/>
          </w:tcPr>
          <w:p w14:paraId="5FD747C3" w14:textId="3C7285FE" w:rsidR="00BB32CC" w:rsidRPr="001C35E2" w:rsidRDefault="00094658" w:rsidP="00BB32CC">
            <w:pPr>
              <w:rPr>
                <w:rFonts w:ascii="Cambria" w:eastAsia="Times New Roman" w:hAnsi="Cambria" w:cs="Calibri"/>
                <w:color w:val="000000"/>
                <w:lang w:eastAsia="en-GB"/>
              </w:rPr>
            </w:pPr>
            <w:r w:rsidRPr="001C35E2">
              <w:rPr>
                <w:rFonts w:ascii="Cambria" w:eastAsia="Times New Roman" w:hAnsi="Cambria" w:cs="Calibri"/>
                <w:color w:val="000000"/>
                <w:lang w:eastAsia="en-GB"/>
              </w:rPr>
              <w:t>Beta =</w:t>
            </w:r>
            <w:r w:rsidR="00FD4D82" w:rsidRPr="001C35E2">
              <w:rPr>
                <w:rFonts w:ascii="Cambria" w:hAnsi="Cambria"/>
              </w:rPr>
              <w:t xml:space="preserve"> </w:t>
            </w:r>
            <w:r w:rsidR="00FD4D82" w:rsidRPr="001C35E2">
              <w:rPr>
                <w:rFonts w:ascii="Cambria" w:eastAsia="Times New Roman" w:hAnsi="Cambria" w:cs="Calibri"/>
                <w:color w:val="000000"/>
                <w:lang w:eastAsia="en-GB"/>
              </w:rPr>
              <w:t>0.19</w:t>
            </w:r>
          </w:p>
        </w:tc>
        <w:tc>
          <w:tcPr>
            <w:tcW w:w="2977" w:type="dxa"/>
            <w:tcBorders>
              <w:bottom w:val="single" w:sz="4" w:space="0" w:color="auto"/>
            </w:tcBorders>
            <w:shd w:val="clear" w:color="auto" w:fill="FFFFFF"/>
            <w:vAlign w:val="center"/>
          </w:tcPr>
          <w:p w14:paraId="60E8FA60" w14:textId="46AE0638" w:rsidR="00BB32CC" w:rsidRPr="001C35E2" w:rsidRDefault="00094658" w:rsidP="00BB32CC">
            <w:pPr>
              <w:rPr>
                <w:rFonts w:ascii="Cambria" w:eastAsia="Times New Roman" w:hAnsi="Cambria" w:cs="Calibri"/>
                <w:color w:val="000000"/>
                <w:lang w:eastAsia="en-GB"/>
              </w:rPr>
            </w:pPr>
            <w:r w:rsidRPr="001C35E2">
              <w:rPr>
                <w:rFonts w:ascii="Cambria" w:eastAsia="Times New Roman" w:hAnsi="Cambria" w:cs="Calibri"/>
                <w:color w:val="000000"/>
                <w:lang w:eastAsia="en-GB"/>
              </w:rPr>
              <w:t>Beta =</w:t>
            </w:r>
            <w:r w:rsidR="00FD4D82" w:rsidRPr="001C35E2">
              <w:rPr>
                <w:rFonts w:ascii="Cambria" w:eastAsia="Times New Roman" w:hAnsi="Cambria" w:cs="Calibri"/>
                <w:color w:val="000000"/>
                <w:lang w:eastAsia="en-GB"/>
              </w:rPr>
              <w:t xml:space="preserve"> 0.23</w:t>
            </w:r>
          </w:p>
        </w:tc>
      </w:tr>
    </w:tbl>
    <w:p w14:paraId="77E3F612" w14:textId="24378460" w:rsidR="000C0EB5" w:rsidRPr="001C35E2" w:rsidRDefault="000C0EB5" w:rsidP="00F5610C">
      <w:pPr>
        <w:rPr>
          <w:rFonts w:ascii="Cambria" w:eastAsia="Times New Roman" w:hAnsi="Cambria" w:cs="Times New Roman"/>
          <w:lang w:eastAsia="en-GB"/>
        </w:rPr>
      </w:pPr>
    </w:p>
    <w:p w14:paraId="00DE26E7" w14:textId="680B73E5" w:rsidR="004D0F85" w:rsidRPr="001C35E2" w:rsidRDefault="004D0F85" w:rsidP="00F5610C">
      <w:pPr>
        <w:rPr>
          <w:rFonts w:ascii="Cambria" w:eastAsia="Times New Roman" w:hAnsi="Cambria" w:cs="Times New Roman"/>
          <w:lang w:eastAsia="en-GB"/>
        </w:rPr>
      </w:pPr>
      <w:r w:rsidRPr="001C35E2">
        <w:rPr>
          <w:rFonts w:ascii="Cambria" w:eastAsia="Times New Roman" w:hAnsi="Cambria" w:cs="Times New Roman"/>
          <w:lang w:eastAsia="en-GB"/>
        </w:rPr>
        <w:t xml:space="preserve">These estimates were calculated using the mRnd power calculator for </w:t>
      </w:r>
      <w:r w:rsidR="008D35B0" w:rsidRPr="001C35E2">
        <w:rPr>
          <w:rFonts w:ascii="Cambria" w:eastAsia="Times New Roman" w:hAnsi="Cambria" w:cs="Times New Roman"/>
          <w:lang w:eastAsia="en-GB"/>
        </w:rPr>
        <w:t>Mendelian randomisation</w:t>
      </w:r>
      <w:r w:rsidR="0000654D" w:rsidRPr="001C35E2">
        <w:rPr>
          <w:rFonts w:ascii="Cambria" w:eastAsia="Times New Roman" w:hAnsi="Cambria" w:cs="Times New Roman"/>
          <w:lang w:eastAsia="en-GB"/>
        </w:rPr>
        <w:t xml:space="preserve"> </w:t>
      </w:r>
      <w:r w:rsidR="00E764E8" w:rsidRPr="001C35E2">
        <w:rPr>
          <w:rFonts w:ascii="Cambria" w:eastAsia="Times New Roman" w:hAnsi="Cambria" w:cs="Times New Roman"/>
          <w:lang w:eastAsia="en-GB"/>
        </w:rPr>
        <w:fldChar w:fldCharType="begin"/>
      </w:r>
      <w:r w:rsidR="00713FAA" w:rsidRPr="001C35E2">
        <w:rPr>
          <w:rFonts w:ascii="Cambria" w:eastAsia="Times New Roman" w:hAnsi="Cambria" w:cs="Times New Roman"/>
          <w:lang w:eastAsia="en-GB"/>
        </w:rPr>
        <w:instrText xml:space="preserve"> ADDIN ZOTERO_ITEM CSL_CITATION {"citationID":"4U8aAfEJ","properties":{"formattedCitation":"(Brion et al., 2013)","plainCitation":"(Brion et al., 2013)","noteIndex":0},"citationItems":[{"id":3687,"uris":["http://zotero.org/users/5402137/items/H56UYI5L"],"itemData":{"id":3687,"type":"article-journal","abstract":"In Mendelian randomization (MR) studies, where genetic variants are used as proxy measures for an exposure trait of interest, obtaining adequate statistical power is frequently a concern due to the small amount of variation in a phenotypic trait that is typically explained by genetic variants. A range of power estimates based on simulations and specific parameters for two-stage least squares (2SLS) MR analyses based on continuous variables has previously been published. However there are presently no specific equations or software tools one can implement for calculating power of a given MR study. Using asymptotic theory, we show that in the case of continuous variables and a single instrument, for example a single-nucleotide polymorphism (SNP) or multiple SNP predictor, statistical power for a fixed sample size is a function of two parameters: the proportion of variation in the exposure variable explained by the genetic predictor and the true causal association between the exposure and outcome variable. We demonstrate that power for 2SLS MR can be derived using the non-centrality parameter (NCP) of the statistical test that is employed to test whether the 2SLS regression coefficient is zero. We show that the previously published power estimates from simulations can be represented theoretically using this NCP-based approach, with similar estimates observed when the simulation-based estimates are compared with our NCP-based approach. General equations for calculating statistical power for 2SLS MR using the NCP are provided in this note, and we implement the calculations in a web-based application.","container-title":"International Journal of Epidemiology","DOI":"10.1093/ije/dyt179","ISSN":"0300-5771","issue":"5","journalAbbreviation":"International Journal of Epidemiology","page":"1497-1501","source":"Silverchair","title":"Calculating statistical power in Mendelian randomization studies","volume":"42","author":[{"family":"Brion","given":"Marie-Jo A"},{"family":"Shakhbazov","given":"Konstantin"},{"family":"Visscher","given":"Peter M"}],"issued":{"date-parts":[["2013",10,1]]}}}],"schema":"https://github.com/citation-style-language/schema/raw/master/csl-citation.json"} </w:instrText>
      </w:r>
      <w:r w:rsidR="00E764E8" w:rsidRPr="001C35E2">
        <w:rPr>
          <w:rFonts w:ascii="Cambria" w:eastAsia="Times New Roman" w:hAnsi="Cambria" w:cs="Times New Roman"/>
          <w:lang w:eastAsia="en-GB"/>
        </w:rPr>
        <w:fldChar w:fldCharType="separate"/>
      </w:r>
      <w:r w:rsidR="0062285E" w:rsidRPr="001C35E2">
        <w:rPr>
          <w:rFonts w:ascii="Cambria" w:hAnsi="Cambria" w:cs="Times New Roman"/>
        </w:rPr>
        <w:t>(Brion et al., 2013)</w:t>
      </w:r>
      <w:r w:rsidR="00E764E8" w:rsidRPr="001C35E2">
        <w:rPr>
          <w:rFonts w:ascii="Cambria" w:eastAsia="Times New Roman" w:hAnsi="Cambria" w:cs="Times New Roman"/>
          <w:lang w:eastAsia="en-GB"/>
        </w:rPr>
        <w:fldChar w:fldCharType="end"/>
      </w:r>
      <w:r w:rsidR="00E764E8" w:rsidRPr="001C35E2">
        <w:rPr>
          <w:rFonts w:ascii="Cambria" w:eastAsia="Times New Roman" w:hAnsi="Cambria" w:cs="Times New Roman"/>
          <w:lang w:eastAsia="en-GB"/>
        </w:rPr>
        <w:t>.</w:t>
      </w:r>
    </w:p>
    <w:p w14:paraId="5953C8A0" w14:textId="1641E55D" w:rsidR="000C0EB5" w:rsidRPr="001C35E2" w:rsidRDefault="000C0EB5" w:rsidP="00F5610C">
      <w:pPr>
        <w:rPr>
          <w:rFonts w:ascii="Cambria" w:eastAsia="Times New Roman" w:hAnsi="Cambria" w:cs="Times New Roman"/>
          <w:lang w:eastAsia="en-GB"/>
        </w:rPr>
        <w:sectPr w:rsidR="000C0EB5" w:rsidRPr="001C35E2" w:rsidSect="000C0EB5">
          <w:pgSz w:w="16817" w:h="11901" w:orient="landscape"/>
          <w:pgMar w:top="1440" w:right="1440" w:bottom="1440" w:left="1440" w:header="709" w:footer="709" w:gutter="0"/>
          <w:cols w:space="708"/>
          <w:docGrid w:linePitch="360"/>
        </w:sectPr>
      </w:pPr>
      <w:r w:rsidRPr="001C35E2">
        <w:rPr>
          <w:rFonts w:ascii="Cambria" w:eastAsia="Times New Roman" w:hAnsi="Cambria" w:cs="Times New Roman"/>
          <w:lang w:eastAsia="en-GB"/>
        </w:rPr>
        <w:br w:type="page"/>
      </w:r>
    </w:p>
    <w:p w14:paraId="1928BD72" w14:textId="77777777" w:rsidR="00934AF3" w:rsidRPr="001C35E2" w:rsidRDefault="00934AF3" w:rsidP="00934AF3">
      <w:pPr>
        <w:rPr>
          <w:rFonts w:ascii="Cambria" w:hAnsi="Cambria" w:cs="Arial"/>
          <w:color w:val="000000" w:themeColor="text1"/>
          <w:shd w:val="clear" w:color="auto" w:fill="FFFFFF"/>
        </w:rPr>
      </w:pPr>
    </w:p>
    <w:p w14:paraId="10CDEDC3" w14:textId="77777777" w:rsidR="00934AF3" w:rsidRPr="001C35E2" w:rsidRDefault="00934AF3" w:rsidP="008E5149">
      <w:pPr>
        <w:rPr>
          <w:rFonts w:ascii="Cambria" w:hAnsi="Cambria"/>
        </w:rPr>
      </w:pPr>
    </w:p>
    <w:p w14:paraId="03442F24" w14:textId="164967B9" w:rsidR="008E5149" w:rsidRPr="001C35E2" w:rsidRDefault="008E5149">
      <w:pPr>
        <w:rPr>
          <w:rFonts w:ascii="Cambria" w:hAnsi="Cambria"/>
          <w:b/>
          <w:bCs/>
        </w:rPr>
      </w:pPr>
      <w:r w:rsidRPr="001C35E2">
        <w:rPr>
          <w:rFonts w:ascii="Cambria" w:hAnsi="Cambria"/>
          <w:b/>
          <w:bCs/>
        </w:rPr>
        <w:br w:type="page"/>
      </w:r>
    </w:p>
    <w:p w14:paraId="506B229B" w14:textId="5F2A10A3" w:rsidR="00F5610C" w:rsidRPr="001C35E2" w:rsidRDefault="000C0EB5" w:rsidP="00F5610C">
      <w:pPr>
        <w:rPr>
          <w:rFonts w:ascii="Cambria" w:eastAsia="Times New Roman" w:hAnsi="Cambria" w:cs="Times New Roman"/>
          <w:b/>
          <w:bCs/>
          <w:lang w:eastAsia="en-GB"/>
        </w:rPr>
      </w:pPr>
      <w:r w:rsidRPr="001C35E2">
        <w:rPr>
          <w:rFonts w:ascii="Cambria" w:eastAsia="Times New Roman" w:hAnsi="Cambria" w:cs="Times New Roman"/>
          <w:b/>
          <w:bCs/>
          <w:lang w:eastAsia="en-GB"/>
        </w:rPr>
        <w:lastRenderedPageBreak/>
        <w:t>References</w:t>
      </w:r>
    </w:p>
    <w:p w14:paraId="6BCD1B3F" w14:textId="77777777" w:rsidR="004E7A4F" w:rsidRPr="001C35E2" w:rsidRDefault="004E7A4F" w:rsidP="00F5610C">
      <w:pPr>
        <w:rPr>
          <w:rFonts w:ascii="Cambria" w:eastAsia="Times New Roman" w:hAnsi="Cambria" w:cs="Times New Roman"/>
          <w:b/>
          <w:bCs/>
          <w:lang w:eastAsia="en-GB"/>
        </w:rPr>
      </w:pPr>
    </w:p>
    <w:p w14:paraId="55AD7D86" w14:textId="77777777" w:rsidR="004B6902" w:rsidRPr="004B6902" w:rsidRDefault="004E1B55" w:rsidP="004B6902">
      <w:pPr>
        <w:pStyle w:val="Bibliography"/>
        <w:rPr>
          <w:rFonts w:ascii="Cambria" w:hAnsi="Cambria"/>
          <w:color w:val="000000"/>
          <w:sz w:val="22"/>
        </w:rPr>
      </w:pPr>
      <w:r w:rsidRPr="001C35E2">
        <w:rPr>
          <w:rFonts w:ascii="Cambria" w:hAnsi="Cambria" w:cs="Calibri"/>
          <w:b/>
          <w:bCs/>
          <w:color w:val="000000" w:themeColor="text1"/>
          <w:sz w:val="22"/>
          <w:szCs w:val="22"/>
        </w:rPr>
        <w:fldChar w:fldCharType="begin"/>
      </w:r>
      <w:r w:rsidR="0062285E" w:rsidRPr="001C35E2">
        <w:rPr>
          <w:rFonts w:ascii="Cambria" w:hAnsi="Cambria" w:cs="Calibri"/>
          <w:b/>
          <w:bCs/>
          <w:color w:val="000000" w:themeColor="text1"/>
          <w:sz w:val="22"/>
          <w:szCs w:val="22"/>
        </w:rPr>
        <w:instrText xml:space="preserve"> ADDIN ZOTERO_BIBL {"uncited":[],"omitted":[],"custom":[]} CSL_BIBLIOGRAPHY </w:instrText>
      </w:r>
      <w:r w:rsidRPr="001C35E2">
        <w:rPr>
          <w:rFonts w:ascii="Cambria" w:hAnsi="Cambria" w:cs="Calibri"/>
          <w:b/>
          <w:bCs/>
          <w:color w:val="000000" w:themeColor="text1"/>
          <w:sz w:val="22"/>
          <w:szCs w:val="22"/>
        </w:rPr>
        <w:fldChar w:fldCharType="separate"/>
      </w:r>
      <w:r w:rsidR="004B6902" w:rsidRPr="004B6902">
        <w:rPr>
          <w:rFonts w:ascii="Cambria" w:hAnsi="Cambria"/>
          <w:color w:val="000000"/>
          <w:sz w:val="22"/>
        </w:rPr>
        <w:t xml:space="preserve">Achenbach, T. M., &amp; Edelbrock, C. S. (1983). </w:t>
      </w:r>
      <w:r w:rsidR="004B6902" w:rsidRPr="004B6902">
        <w:rPr>
          <w:rFonts w:ascii="Cambria" w:hAnsi="Cambria"/>
          <w:i/>
          <w:iCs/>
          <w:color w:val="000000"/>
          <w:sz w:val="22"/>
        </w:rPr>
        <w:t>Manual for the child behaviour checklist and revised child behaviour profile.</w:t>
      </w:r>
      <w:r w:rsidR="004B6902" w:rsidRPr="004B6902">
        <w:rPr>
          <w:rFonts w:ascii="Cambria" w:hAnsi="Cambria"/>
          <w:color w:val="000000"/>
          <w:sz w:val="22"/>
        </w:rPr>
        <w:t xml:space="preserve"> 393–405.</w:t>
      </w:r>
    </w:p>
    <w:p w14:paraId="7BB56C6C"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American Psychiatric Association, A. (1980). </w:t>
      </w:r>
      <w:r w:rsidRPr="004B6902">
        <w:rPr>
          <w:rFonts w:ascii="Cambria" w:hAnsi="Cambria"/>
          <w:i/>
          <w:iCs/>
          <w:color w:val="000000"/>
          <w:sz w:val="22"/>
        </w:rPr>
        <w:t>Diagnostic and statistical manual of mental disorders</w:t>
      </w:r>
      <w:r w:rsidRPr="004B6902">
        <w:rPr>
          <w:rFonts w:ascii="Cambria" w:hAnsi="Cambria"/>
          <w:color w:val="000000"/>
          <w:sz w:val="22"/>
        </w:rPr>
        <w:t xml:space="preserve"> (Vol. 3). American Psychiatric Association Washington, DC.</w:t>
      </w:r>
    </w:p>
    <w:p w14:paraId="7A0D56E7"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Benyamin, B., Esko, T., Ried, J. S., Radhakrishnan, A., Vermeulen, S. H., Traglia, M., Gögele, M., Anderson, D., Broer, L., &amp; Podmore, C. (2014). Novel loci affecting iron homeostasis and their effects in individuals at risk for hemochromatosis. </w:t>
      </w:r>
      <w:r w:rsidRPr="004B6902">
        <w:rPr>
          <w:rFonts w:ascii="Cambria" w:hAnsi="Cambria"/>
          <w:i/>
          <w:iCs/>
          <w:color w:val="000000"/>
          <w:sz w:val="22"/>
        </w:rPr>
        <w:t>Nature Communications</w:t>
      </w:r>
      <w:r w:rsidRPr="004B6902">
        <w:rPr>
          <w:rFonts w:ascii="Cambria" w:hAnsi="Cambria"/>
          <w:color w:val="000000"/>
          <w:sz w:val="22"/>
        </w:rPr>
        <w:t xml:space="preserve">, </w:t>
      </w:r>
      <w:r w:rsidRPr="004B6902">
        <w:rPr>
          <w:rFonts w:ascii="Cambria" w:hAnsi="Cambria"/>
          <w:i/>
          <w:iCs/>
          <w:color w:val="000000"/>
          <w:sz w:val="22"/>
        </w:rPr>
        <w:t>5</w:t>
      </w:r>
      <w:r w:rsidRPr="004B6902">
        <w:rPr>
          <w:rFonts w:ascii="Cambria" w:hAnsi="Cambria"/>
          <w:color w:val="000000"/>
          <w:sz w:val="22"/>
        </w:rPr>
        <w:t>(1), 1–11.</w:t>
      </w:r>
    </w:p>
    <w:p w14:paraId="6CCBDCDE"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Borges, M.-C., Haycock, P., Zheng, J., Hemani, G., Howe, L. J., Schmidt, A. F., Staley, J. R., Lumbers, R. T., Henry, A., Lemaitre, R. N., Gaunt, T. R., Holmes, M. V., Davey Smith, G., Hingorani, A. D., &amp; Lawlor, D. A. (2022). The impact of fatty acids biosynthesis on the risk of cardiovascular diseases in Europeans and East Asians: A Mendelian randomization study. </w:t>
      </w:r>
      <w:r w:rsidRPr="004B6902">
        <w:rPr>
          <w:rFonts w:ascii="Cambria" w:hAnsi="Cambria"/>
          <w:i/>
          <w:iCs/>
          <w:color w:val="000000"/>
          <w:sz w:val="22"/>
        </w:rPr>
        <w:t>Human Molecular Genetics</w:t>
      </w:r>
      <w:r w:rsidRPr="004B6902">
        <w:rPr>
          <w:rFonts w:ascii="Cambria" w:hAnsi="Cambria"/>
          <w:color w:val="000000"/>
          <w:sz w:val="22"/>
        </w:rPr>
        <w:t xml:space="preserve">, </w:t>
      </w:r>
      <w:r w:rsidRPr="004B6902">
        <w:rPr>
          <w:rFonts w:ascii="Cambria" w:hAnsi="Cambria"/>
          <w:i/>
          <w:iCs/>
          <w:color w:val="000000"/>
          <w:sz w:val="22"/>
        </w:rPr>
        <w:t>31</w:t>
      </w:r>
      <w:r w:rsidRPr="004B6902">
        <w:rPr>
          <w:rFonts w:ascii="Cambria" w:hAnsi="Cambria"/>
          <w:color w:val="000000"/>
          <w:sz w:val="22"/>
        </w:rPr>
        <w:t>(23), 4034–4054. https://doi.org/10.1093/hmg/ddac153</w:t>
      </w:r>
    </w:p>
    <w:p w14:paraId="63E521B7"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Bowden, J., Davey Smith, G., &amp; Burgess, S. (2015). Mendelian randomization with invalid instruments: Effect estimation and bias detection through Egger regression. </w:t>
      </w:r>
      <w:r w:rsidRPr="004B6902">
        <w:rPr>
          <w:rFonts w:ascii="Cambria" w:hAnsi="Cambria"/>
          <w:i/>
          <w:iCs/>
          <w:color w:val="000000"/>
          <w:sz w:val="22"/>
        </w:rPr>
        <w:t>International Journal of Epidemiology</w:t>
      </w:r>
      <w:r w:rsidRPr="004B6902">
        <w:rPr>
          <w:rFonts w:ascii="Cambria" w:hAnsi="Cambria"/>
          <w:color w:val="000000"/>
          <w:sz w:val="22"/>
        </w:rPr>
        <w:t xml:space="preserve">, </w:t>
      </w:r>
      <w:r w:rsidRPr="004B6902">
        <w:rPr>
          <w:rFonts w:ascii="Cambria" w:hAnsi="Cambria"/>
          <w:i/>
          <w:iCs/>
          <w:color w:val="000000"/>
          <w:sz w:val="22"/>
        </w:rPr>
        <w:t>44</w:t>
      </w:r>
      <w:r w:rsidRPr="004B6902">
        <w:rPr>
          <w:rFonts w:ascii="Cambria" w:hAnsi="Cambria"/>
          <w:color w:val="000000"/>
          <w:sz w:val="22"/>
        </w:rPr>
        <w:t>(2), 512–525.</w:t>
      </w:r>
    </w:p>
    <w:p w14:paraId="684B4710"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Bowden, J., Davey Smith, G., Haycock, P. C., &amp; Burgess, S. (2016). Consistent estimation in Mendelian randomization with some invalid instruments using a weighted median estimator. </w:t>
      </w:r>
      <w:r w:rsidRPr="004B6902">
        <w:rPr>
          <w:rFonts w:ascii="Cambria" w:hAnsi="Cambria"/>
          <w:i/>
          <w:iCs/>
          <w:color w:val="000000"/>
          <w:sz w:val="22"/>
        </w:rPr>
        <w:t>Genetic Epidemiology</w:t>
      </w:r>
      <w:r w:rsidRPr="004B6902">
        <w:rPr>
          <w:rFonts w:ascii="Cambria" w:hAnsi="Cambria"/>
          <w:color w:val="000000"/>
          <w:sz w:val="22"/>
        </w:rPr>
        <w:t xml:space="preserve">, </w:t>
      </w:r>
      <w:r w:rsidRPr="004B6902">
        <w:rPr>
          <w:rFonts w:ascii="Cambria" w:hAnsi="Cambria"/>
          <w:i/>
          <w:iCs/>
          <w:color w:val="000000"/>
          <w:sz w:val="22"/>
        </w:rPr>
        <w:t>40</w:t>
      </w:r>
      <w:r w:rsidRPr="004B6902">
        <w:rPr>
          <w:rFonts w:ascii="Cambria" w:hAnsi="Cambria"/>
          <w:color w:val="000000"/>
          <w:sz w:val="22"/>
        </w:rPr>
        <w:t>(4), 304–314.</w:t>
      </w:r>
    </w:p>
    <w:p w14:paraId="2AF22BFF"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Boyd, A., Golding, J., Macleod, J., Lawlor, D. A., Fraser, A., Henderson, J., Molloy, L., Ness, A., Ring, S., &amp; Davey Smith, G. (2013). Cohort profile: The ‘children of the 90s’—the index offspring of the Avon Longitudinal Study of Parents and Children. </w:t>
      </w:r>
      <w:r w:rsidRPr="004B6902">
        <w:rPr>
          <w:rFonts w:ascii="Cambria" w:hAnsi="Cambria"/>
          <w:i/>
          <w:iCs/>
          <w:color w:val="000000"/>
          <w:sz w:val="22"/>
        </w:rPr>
        <w:t>International Journal of Epidemiology</w:t>
      </w:r>
      <w:r w:rsidRPr="004B6902">
        <w:rPr>
          <w:rFonts w:ascii="Cambria" w:hAnsi="Cambria"/>
          <w:color w:val="000000"/>
          <w:sz w:val="22"/>
        </w:rPr>
        <w:t xml:space="preserve">, </w:t>
      </w:r>
      <w:r w:rsidRPr="004B6902">
        <w:rPr>
          <w:rFonts w:ascii="Cambria" w:hAnsi="Cambria"/>
          <w:i/>
          <w:iCs/>
          <w:color w:val="000000"/>
          <w:sz w:val="22"/>
        </w:rPr>
        <w:t>42</w:t>
      </w:r>
      <w:r w:rsidRPr="004B6902">
        <w:rPr>
          <w:rFonts w:ascii="Cambria" w:hAnsi="Cambria"/>
          <w:color w:val="000000"/>
          <w:sz w:val="22"/>
        </w:rPr>
        <w:t>(1), 111–127.</w:t>
      </w:r>
    </w:p>
    <w:p w14:paraId="278EA0CB"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lastRenderedPageBreak/>
        <w:t xml:space="preserve">Brion, M.-J. A., Shakhbazov, K., &amp; Visscher, P. M. (2013). Calculating statistical power in Mendelian randomization studies. </w:t>
      </w:r>
      <w:r w:rsidRPr="004B6902">
        <w:rPr>
          <w:rFonts w:ascii="Cambria" w:hAnsi="Cambria"/>
          <w:i/>
          <w:iCs/>
          <w:color w:val="000000"/>
          <w:sz w:val="22"/>
        </w:rPr>
        <w:t>International Journal of Epidemiology</w:t>
      </w:r>
      <w:r w:rsidRPr="004B6902">
        <w:rPr>
          <w:rFonts w:ascii="Cambria" w:hAnsi="Cambria"/>
          <w:color w:val="000000"/>
          <w:sz w:val="22"/>
        </w:rPr>
        <w:t xml:space="preserve">, </w:t>
      </w:r>
      <w:r w:rsidRPr="004B6902">
        <w:rPr>
          <w:rFonts w:ascii="Cambria" w:hAnsi="Cambria"/>
          <w:i/>
          <w:iCs/>
          <w:color w:val="000000"/>
          <w:sz w:val="22"/>
        </w:rPr>
        <w:t>42</w:t>
      </w:r>
      <w:r w:rsidRPr="004B6902">
        <w:rPr>
          <w:rFonts w:ascii="Cambria" w:hAnsi="Cambria"/>
          <w:color w:val="000000"/>
          <w:sz w:val="22"/>
        </w:rPr>
        <w:t>(5), 1497–1501. https://doi.org/10.1093/ije/dyt179</w:t>
      </w:r>
    </w:p>
    <w:p w14:paraId="25BB4658"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Elsworth, B., Lyon, M., Alexander, T., Liu, Y., Matthews, P., Hallett, J., Bates, P., Palmer, T., Haberland, V., Davey Smith, G., Zheng, J., Haycock, P., Gaunt, T. R., &amp; Hemani, G. (2020). The MRC IEU OpenGWAS data infrastructure. </w:t>
      </w:r>
      <w:r w:rsidRPr="004B6902">
        <w:rPr>
          <w:rFonts w:ascii="Cambria" w:hAnsi="Cambria"/>
          <w:i/>
          <w:iCs/>
          <w:color w:val="000000"/>
          <w:sz w:val="22"/>
        </w:rPr>
        <w:t>bioRxiv</w:t>
      </w:r>
      <w:r w:rsidRPr="004B6902">
        <w:rPr>
          <w:rFonts w:ascii="Cambria" w:hAnsi="Cambria"/>
          <w:color w:val="000000"/>
          <w:sz w:val="22"/>
        </w:rPr>
        <w:t>, 2020.08.10.244293. https://doi.org/10.1101/2020.08.10.244293</w:t>
      </w:r>
    </w:p>
    <w:p w14:paraId="1C865318"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Fraser, A., Macdonald-Wallis, C., Tilling, K., Boyd, A., Golding, J., Davey Smith, G., Henderson, J., Macleod, J., Molloy, L., &amp; Ness, A. (2012). Cohort profile: The Avon Longitudinal Study of Parents and Children: ALSPAC mothers cohort. </w:t>
      </w:r>
      <w:r w:rsidRPr="004B6902">
        <w:rPr>
          <w:rFonts w:ascii="Cambria" w:hAnsi="Cambria"/>
          <w:i/>
          <w:iCs/>
          <w:color w:val="000000"/>
          <w:sz w:val="22"/>
        </w:rPr>
        <w:t>International Journal of Epidemiology</w:t>
      </w:r>
      <w:r w:rsidRPr="004B6902">
        <w:rPr>
          <w:rFonts w:ascii="Cambria" w:hAnsi="Cambria"/>
          <w:color w:val="000000"/>
          <w:sz w:val="22"/>
        </w:rPr>
        <w:t xml:space="preserve">, </w:t>
      </w:r>
      <w:r w:rsidRPr="004B6902">
        <w:rPr>
          <w:rFonts w:ascii="Cambria" w:hAnsi="Cambria"/>
          <w:i/>
          <w:iCs/>
          <w:color w:val="000000"/>
          <w:sz w:val="22"/>
        </w:rPr>
        <w:t>42</w:t>
      </w:r>
      <w:r w:rsidRPr="004B6902">
        <w:rPr>
          <w:rFonts w:ascii="Cambria" w:hAnsi="Cambria"/>
          <w:color w:val="000000"/>
          <w:sz w:val="22"/>
        </w:rPr>
        <w:t>(1), 97–110.</w:t>
      </w:r>
    </w:p>
    <w:p w14:paraId="682E913D"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Grarup, N., Sulem, P., Sandholt, C. H., Thorleifsson, G., Ahluwalia, T. S., Steinthorsdottir, V., Bjarnason, H., Gudbjartsson, D. F., Magnusson, O. T., Sparsø, T., Albrechtsen, A., Kong, A., Masson, G., Tian, G., Cao, H., Nie, C., Kristiansen, K., Husemoen, L. L., Thuesen, B., … Pedersen, O. (2013). Genetic Architecture of Vitamin B12 and Folate Levels Uncovered Applying Deeply Sequenced Large Datasets. </w:t>
      </w:r>
      <w:r w:rsidRPr="004B6902">
        <w:rPr>
          <w:rFonts w:ascii="Cambria" w:hAnsi="Cambria"/>
          <w:i/>
          <w:iCs/>
          <w:color w:val="000000"/>
          <w:sz w:val="22"/>
        </w:rPr>
        <w:t>PLOS Genetics</w:t>
      </w:r>
      <w:r w:rsidRPr="004B6902">
        <w:rPr>
          <w:rFonts w:ascii="Cambria" w:hAnsi="Cambria"/>
          <w:color w:val="000000"/>
          <w:sz w:val="22"/>
        </w:rPr>
        <w:t xml:space="preserve">, </w:t>
      </w:r>
      <w:r w:rsidRPr="004B6902">
        <w:rPr>
          <w:rFonts w:ascii="Cambria" w:hAnsi="Cambria"/>
          <w:i/>
          <w:iCs/>
          <w:color w:val="000000"/>
          <w:sz w:val="22"/>
        </w:rPr>
        <w:t>9</w:t>
      </w:r>
      <w:r w:rsidRPr="004B6902">
        <w:rPr>
          <w:rFonts w:ascii="Cambria" w:hAnsi="Cambria"/>
          <w:color w:val="000000"/>
          <w:sz w:val="22"/>
        </w:rPr>
        <w:t>(6), e1003530. https://doi.org/10.1371/journal.pgen.1003530</w:t>
      </w:r>
    </w:p>
    <w:p w14:paraId="5D86C2FA"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Hartwig, F. P., Davey Smith, G., &amp; Bowden, J. (2017). Robust inference in summary data Mendelian randomization via the zero modal pleiotropy assumption. </w:t>
      </w:r>
      <w:r w:rsidRPr="004B6902">
        <w:rPr>
          <w:rFonts w:ascii="Cambria" w:hAnsi="Cambria"/>
          <w:i/>
          <w:iCs/>
          <w:color w:val="000000"/>
          <w:sz w:val="22"/>
        </w:rPr>
        <w:t>International Journal of Epidemiology</w:t>
      </w:r>
      <w:r w:rsidRPr="004B6902">
        <w:rPr>
          <w:rFonts w:ascii="Cambria" w:hAnsi="Cambria"/>
          <w:color w:val="000000"/>
          <w:sz w:val="22"/>
        </w:rPr>
        <w:t xml:space="preserve">, </w:t>
      </w:r>
      <w:r w:rsidRPr="004B6902">
        <w:rPr>
          <w:rFonts w:ascii="Cambria" w:hAnsi="Cambria"/>
          <w:i/>
          <w:iCs/>
          <w:color w:val="000000"/>
          <w:sz w:val="22"/>
        </w:rPr>
        <w:t>46</w:t>
      </w:r>
      <w:r w:rsidRPr="004B6902">
        <w:rPr>
          <w:rFonts w:ascii="Cambria" w:hAnsi="Cambria"/>
          <w:color w:val="000000"/>
          <w:sz w:val="22"/>
        </w:rPr>
        <w:t>(6), 1985–1998. https://doi.org/10.1093/ije/dyx102</w:t>
      </w:r>
    </w:p>
    <w:p w14:paraId="15F2C74A"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Madley-Dowd, P., Dardani, C., Wootton, R. E., Dack, K., Palmer, T., Thurston, R., Havdahl, A., Golding, J., Lawlor, D., &amp; Rai, D. (2022). Maternal vitamin D during pregnancy and offspring autism and autism-associated traits: A prospective cohort study. </w:t>
      </w:r>
      <w:r w:rsidRPr="004B6902">
        <w:rPr>
          <w:rFonts w:ascii="Cambria" w:hAnsi="Cambria"/>
          <w:i/>
          <w:iCs/>
          <w:color w:val="000000"/>
          <w:sz w:val="22"/>
        </w:rPr>
        <w:t>Molecular Autism</w:t>
      </w:r>
      <w:r w:rsidRPr="004B6902">
        <w:rPr>
          <w:rFonts w:ascii="Cambria" w:hAnsi="Cambria"/>
          <w:color w:val="000000"/>
          <w:sz w:val="22"/>
        </w:rPr>
        <w:t xml:space="preserve">, </w:t>
      </w:r>
      <w:r w:rsidRPr="004B6902">
        <w:rPr>
          <w:rFonts w:ascii="Cambria" w:hAnsi="Cambria"/>
          <w:i/>
          <w:iCs/>
          <w:color w:val="000000"/>
          <w:sz w:val="22"/>
        </w:rPr>
        <w:t>13</w:t>
      </w:r>
      <w:r w:rsidRPr="004B6902">
        <w:rPr>
          <w:rFonts w:ascii="Cambria" w:hAnsi="Cambria"/>
          <w:color w:val="000000"/>
          <w:sz w:val="22"/>
        </w:rPr>
        <w:t>(1), 44. https://doi.org/10.1186/s13229-022-00523-4</w:t>
      </w:r>
    </w:p>
    <w:p w14:paraId="1DD42CE3"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Manousaki, D., Mitchell, R., Dudding, T., Haworth, S., Harroud, A., Forgetta, V., Shah, R. L., Luan, J., Langenberg, C., Timpson, N. J., &amp; Richards, J. B. (2020). Genome-wide Association Study </w:t>
      </w:r>
      <w:r w:rsidRPr="004B6902">
        <w:rPr>
          <w:rFonts w:ascii="Cambria" w:hAnsi="Cambria"/>
          <w:color w:val="000000"/>
          <w:sz w:val="22"/>
        </w:rPr>
        <w:lastRenderedPageBreak/>
        <w:t xml:space="preserve">for Vitamin D Levels Reveals 69 Independent Loci. </w:t>
      </w:r>
      <w:r w:rsidRPr="004B6902">
        <w:rPr>
          <w:rFonts w:ascii="Cambria" w:hAnsi="Cambria"/>
          <w:i/>
          <w:iCs/>
          <w:color w:val="000000"/>
          <w:sz w:val="22"/>
        </w:rPr>
        <w:t>American Journal of Human Genetics</w:t>
      </w:r>
      <w:r w:rsidRPr="004B6902">
        <w:rPr>
          <w:rFonts w:ascii="Cambria" w:hAnsi="Cambria"/>
          <w:color w:val="000000"/>
          <w:sz w:val="22"/>
        </w:rPr>
        <w:t xml:space="preserve">, </w:t>
      </w:r>
      <w:r w:rsidRPr="004B6902">
        <w:rPr>
          <w:rFonts w:ascii="Cambria" w:hAnsi="Cambria"/>
          <w:i/>
          <w:iCs/>
          <w:color w:val="000000"/>
          <w:sz w:val="22"/>
        </w:rPr>
        <w:t>106</w:t>
      </w:r>
      <w:r w:rsidRPr="004B6902">
        <w:rPr>
          <w:rFonts w:ascii="Cambria" w:hAnsi="Cambria"/>
          <w:color w:val="000000"/>
          <w:sz w:val="22"/>
        </w:rPr>
        <w:t>(3), 327–337. https://doi.org/10.1016/j.ajhg.2020.01.017</w:t>
      </w:r>
    </w:p>
    <w:p w14:paraId="6FCAD37C"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Mokry, L. E., Ross, S., Ahmad, O. S., Forgetta, V., Smith, G. D., Goltzman, D., Leong, A., Greenwood, C. M. T., Thanassoulis, G., &amp; Richards, J. B. (2015). Vitamin D and Risk of Multiple Sclerosis: A Mendelian Randomization Study. </w:t>
      </w:r>
      <w:r w:rsidRPr="004B6902">
        <w:rPr>
          <w:rFonts w:ascii="Cambria" w:hAnsi="Cambria"/>
          <w:i/>
          <w:iCs/>
          <w:color w:val="000000"/>
          <w:sz w:val="22"/>
        </w:rPr>
        <w:t>PLoS Medicine</w:t>
      </w:r>
      <w:r w:rsidRPr="004B6902">
        <w:rPr>
          <w:rFonts w:ascii="Cambria" w:hAnsi="Cambria"/>
          <w:color w:val="000000"/>
          <w:sz w:val="22"/>
        </w:rPr>
        <w:t xml:space="preserve">, </w:t>
      </w:r>
      <w:r w:rsidRPr="004B6902">
        <w:rPr>
          <w:rFonts w:ascii="Cambria" w:hAnsi="Cambria"/>
          <w:i/>
          <w:iCs/>
          <w:color w:val="000000"/>
          <w:sz w:val="22"/>
        </w:rPr>
        <w:t>12</w:t>
      </w:r>
      <w:r w:rsidRPr="004B6902">
        <w:rPr>
          <w:rFonts w:ascii="Cambria" w:hAnsi="Cambria"/>
          <w:color w:val="000000"/>
          <w:sz w:val="22"/>
        </w:rPr>
        <w:t>(8), e1001866. https://doi.org/10.1371/journal.pmed.1001866</w:t>
      </w:r>
    </w:p>
    <w:p w14:paraId="53201FC7"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O’Seaghdha, C. M., Wu, H., Yang, Q., Kapur, K., Guessous, I., Zuber, A. M., Köttgen, A., Stoudmann, C., Teumer, A., Kutalik, Z., Mangino, M., Dehghan, A., Zhang, W., Eiriksdottir, G., Li, G., Tanaka, T., Portas, L., Lopez, L. M., Hayward, C., … Bochud, M. (2013). Meta-analysis of genome-wide association studies identifies six new Loci for serum calcium concentrations. </w:t>
      </w:r>
      <w:r w:rsidRPr="004B6902">
        <w:rPr>
          <w:rFonts w:ascii="Cambria" w:hAnsi="Cambria"/>
          <w:i/>
          <w:iCs/>
          <w:color w:val="000000"/>
          <w:sz w:val="22"/>
        </w:rPr>
        <w:t>PLoS Genetics</w:t>
      </w:r>
      <w:r w:rsidRPr="004B6902">
        <w:rPr>
          <w:rFonts w:ascii="Cambria" w:hAnsi="Cambria"/>
          <w:color w:val="000000"/>
          <w:sz w:val="22"/>
        </w:rPr>
        <w:t xml:space="preserve">, </w:t>
      </w:r>
      <w:r w:rsidRPr="004B6902">
        <w:rPr>
          <w:rFonts w:ascii="Cambria" w:hAnsi="Cambria"/>
          <w:i/>
          <w:iCs/>
          <w:color w:val="000000"/>
          <w:sz w:val="22"/>
        </w:rPr>
        <w:t>9</w:t>
      </w:r>
      <w:r w:rsidRPr="004B6902">
        <w:rPr>
          <w:rFonts w:ascii="Cambria" w:hAnsi="Cambria"/>
          <w:color w:val="000000"/>
          <w:sz w:val="22"/>
        </w:rPr>
        <w:t>(9), e1003796. https://doi.org/10.1371/journal.pgen.1003796</w:t>
      </w:r>
    </w:p>
    <w:p w14:paraId="126FE625"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Purcell, S., Neale, B., Todd-Brown, K., Thomas, L., Ferreira, M. A., Bender, D., Maller, J., Sklar, P., De Bakker, P. I., Daly, M. J., &amp; others. (2007). PLINK: A tool set for whole-genome association and population-based linkage analyses. </w:t>
      </w:r>
      <w:r w:rsidRPr="004B6902">
        <w:rPr>
          <w:rFonts w:ascii="Cambria" w:hAnsi="Cambria"/>
          <w:i/>
          <w:iCs/>
          <w:color w:val="000000"/>
          <w:sz w:val="22"/>
        </w:rPr>
        <w:t>The American Journal of Human Genetics</w:t>
      </w:r>
      <w:r w:rsidRPr="004B6902">
        <w:rPr>
          <w:rFonts w:ascii="Cambria" w:hAnsi="Cambria"/>
          <w:color w:val="000000"/>
          <w:sz w:val="22"/>
        </w:rPr>
        <w:t xml:space="preserve">, </w:t>
      </w:r>
      <w:r w:rsidRPr="004B6902">
        <w:rPr>
          <w:rFonts w:ascii="Cambria" w:hAnsi="Cambria"/>
          <w:i/>
          <w:iCs/>
          <w:color w:val="000000"/>
          <w:sz w:val="22"/>
        </w:rPr>
        <w:t>81</w:t>
      </w:r>
      <w:r w:rsidRPr="004B6902">
        <w:rPr>
          <w:rFonts w:ascii="Cambria" w:hAnsi="Cambria"/>
          <w:color w:val="000000"/>
          <w:sz w:val="22"/>
        </w:rPr>
        <w:t>(3), 559–575.</w:t>
      </w:r>
    </w:p>
    <w:p w14:paraId="69DCCC8A"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Revez, J. A., Lin, T., Qiao, Z., Xue, A., Holtz, Y., Zhu, Z., Zeng, J., Wang, H., Sidorenko, J., Kemper, K. E., Vinkhuyzen, A. A. E., Frater, J., Eyles, D., Burne, T. H. J., Mitchell, B., Martin, N. G., Zhu, G., Visscher, P. M., Yang, J., … McGrath, J. J. (2020). Genome-wide association study identifies 143 loci associated with 25 hydroxyvitamin D concentration. </w:t>
      </w:r>
      <w:r w:rsidRPr="004B6902">
        <w:rPr>
          <w:rFonts w:ascii="Cambria" w:hAnsi="Cambria"/>
          <w:i/>
          <w:iCs/>
          <w:color w:val="000000"/>
          <w:sz w:val="22"/>
        </w:rPr>
        <w:t>Nature Communications</w:t>
      </w:r>
      <w:r w:rsidRPr="004B6902">
        <w:rPr>
          <w:rFonts w:ascii="Cambria" w:hAnsi="Cambria"/>
          <w:color w:val="000000"/>
          <w:sz w:val="22"/>
        </w:rPr>
        <w:t xml:space="preserve">, </w:t>
      </w:r>
      <w:r w:rsidRPr="004B6902">
        <w:rPr>
          <w:rFonts w:ascii="Cambria" w:hAnsi="Cambria"/>
          <w:i/>
          <w:iCs/>
          <w:color w:val="000000"/>
          <w:sz w:val="22"/>
        </w:rPr>
        <w:t>11</w:t>
      </w:r>
      <w:r w:rsidRPr="004B6902">
        <w:rPr>
          <w:rFonts w:ascii="Cambria" w:hAnsi="Cambria"/>
          <w:color w:val="000000"/>
          <w:sz w:val="22"/>
        </w:rPr>
        <w:t>(1), 1647. https://doi.org/10.1038/s41467-020-15421-7</w:t>
      </w:r>
    </w:p>
    <w:p w14:paraId="569FC5B0"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Rutter, M., Bailey, A., &amp; Lord, C. (2003). SCQ. </w:t>
      </w:r>
      <w:r w:rsidRPr="004B6902">
        <w:rPr>
          <w:rFonts w:ascii="Cambria" w:hAnsi="Cambria"/>
          <w:i/>
          <w:iCs/>
          <w:color w:val="000000"/>
          <w:sz w:val="22"/>
        </w:rPr>
        <w:t>The Social Communication Questionnaire. Torrance, CA: Western Psychological Services</w:t>
      </w:r>
      <w:r w:rsidRPr="004B6902">
        <w:rPr>
          <w:rFonts w:ascii="Cambria" w:hAnsi="Cambria"/>
          <w:color w:val="000000"/>
          <w:sz w:val="22"/>
        </w:rPr>
        <w:t>. http://conteudos.renartlivros.com.br/2P5900/Extracto%20del%20manual%20SCQ.pdf</w:t>
      </w:r>
    </w:p>
    <w:p w14:paraId="4A6FDEEF"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Scott, R. A., Lagou, V., Welch, R. P., Wheeler, E., Montasser, M. E., Mägi, R., Strawbridge, R. J., Rehnberg, E., Gustafsson, S., &amp; Kanoni, S. (2012). Large-scale association analyses </w:t>
      </w:r>
      <w:r w:rsidRPr="004B6902">
        <w:rPr>
          <w:rFonts w:ascii="Cambria" w:hAnsi="Cambria"/>
          <w:color w:val="000000"/>
          <w:sz w:val="22"/>
        </w:rPr>
        <w:lastRenderedPageBreak/>
        <w:t xml:space="preserve">identify new loci influencing glycemic traits and provide insight into the underlying biological pathways. </w:t>
      </w:r>
      <w:r w:rsidRPr="004B6902">
        <w:rPr>
          <w:rFonts w:ascii="Cambria" w:hAnsi="Cambria"/>
          <w:i/>
          <w:iCs/>
          <w:color w:val="000000"/>
          <w:sz w:val="22"/>
        </w:rPr>
        <w:t>Nature Genetics</w:t>
      </w:r>
      <w:r w:rsidRPr="004B6902">
        <w:rPr>
          <w:rFonts w:ascii="Cambria" w:hAnsi="Cambria"/>
          <w:color w:val="000000"/>
          <w:sz w:val="22"/>
        </w:rPr>
        <w:t xml:space="preserve">, </w:t>
      </w:r>
      <w:r w:rsidRPr="004B6902">
        <w:rPr>
          <w:rFonts w:ascii="Cambria" w:hAnsi="Cambria"/>
          <w:i/>
          <w:iCs/>
          <w:color w:val="000000"/>
          <w:sz w:val="22"/>
        </w:rPr>
        <w:t>44</w:t>
      </w:r>
      <w:r w:rsidRPr="004B6902">
        <w:rPr>
          <w:rFonts w:ascii="Cambria" w:hAnsi="Cambria"/>
          <w:color w:val="000000"/>
          <w:sz w:val="22"/>
        </w:rPr>
        <w:t>(9), 991.</w:t>
      </w:r>
    </w:p>
    <w:p w14:paraId="40C8432D"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Silva, R. R., Alpert, M., Pouget, E., Silva, V., Trosper, S., Reyes, K., &amp; Dummit, S. (2005). A rating scale for disruptive behavior disorders, based on the DSM-IV item pool. </w:t>
      </w:r>
      <w:r w:rsidRPr="004B6902">
        <w:rPr>
          <w:rFonts w:ascii="Cambria" w:hAnsi="Cambria"/>
          <w:i/>
          <w:iCs/>
          <w:color w:val="000000"/>
          <w:sz w:val="22"/>
        </w:rPr>
        <w:t>The Psychiatric Quarterly</w:t>
      </w:r>
      <w:r w:rsidRPr="004B6902">
        <w:rPr>
          <w:rFonts w:ascii="Cambria" w:hAnsi="Cambria"/>
          <w:color w:val="000000"/>
          <w:sz w:val="22"/>
        </w:rPr>
        <w:t xml:space="preserve">, </w:t>
      </w:r>
      <w:r w:rsidRPr="004B6902">
        <w:rPr>
          <w:rFonts w:ascii="Cambria" w:hAnsi="Cambria"/>
          <w:i/>
          <w:iCs/>
          <w:color w:val="000000"/>
          <w:sz w:val="22"/>
        </w:rPr>
        <w:t>76</w:t>
      </w:r>
      <w:r w:rsidRPr="004B6902">
        <w:rPr>
          <w:rFonts w:ascii="Cambria" w:hAnsi="Cambria"/>
          <w:color w:val="000000"/>
          <w:sz w:val="22"/>
        </w:rPr>
        <w:t>(4), 327–339. https://doi.org/10.1007/s11126-005-4966-x</w:t>
      </w:r>
    </w:p>
    <w:p w14:paraId="5DC5F2B5" w14:textId="77777777" w:rsidR="004B6902" w:rsidRPr="004B6902" w:rsidRDefault="004B6902" w:rsidP="004B6902">
      <w:pPr>
        <w:pStyle w:val="Bibliography"/>
        <w:rPr>
          <w:rFonts w:ascii="Cambria" w:hAnsi="Cambria"/>
          <w:color w:val="000000"/>
          <w:sz w:val="22"/>
        </w:rPr>
      </w:pPr>
      <w:r w:rsidRPr="004B6902">
        <w:rPr>
          <w:rFonts w:ascii="Cambria" w:hAnsi="Cambria"/>
          <w:color w:val="000000"/>
          <w:sz w:val="22"/>
        </w:rPr>
        <w:t xml:space="preserve">Squires, J., Potter, L., &amp; Bricker, D. (1995). </w:t>
      </w:r>
      <w:r w:rsidRPr="004B6902">
        <w:rPr>
          <w:rFonts w:ascii="Cambria" w:hAnsi="Cambria"/>
          <w:i/>
          <w:iCs/>
          <w:color w:val="000000"/>
          <w:sz w:val="22"/>
        </w:rPr>
        <w:t>The ASQ user’s guide for the Ages &amp; Stages Questionnaires: A parent-completed, child-monitoring system.</w:t>
      </w:r>
      <w:r w:rsidRPr="004B6902">
        <w:rPr>
          <w:rFonts w:ascii="Cambria" w:hAnsi="Cambria"/>
          <w:color w:val="000000"/>
          <w:sz w:val="22"/>
        </w:rPr>
        <w:t xml:space="preserve"> Paul H Brookes Publishing. https://psycnet.apa.org/record/1997-36683-000</w:t>
      </w:r>
    </w:p>
    <w:p w14:paraId="7F640DAA" w14:textId="79BA800E" w:rsidR="00F5610C" w:rsidRPr="001C35E2" w:rsidRDefault="004E1B55" w:rsidP="00F5610C">
      <w:pPr>
        <w:pStyle w:val="NormalWeb"/>
        <w:shd w:val="clear" w:color="auto" w:fill="FFFFFF"/>
        <w:spacing w:after="0"/>
        <w:rPr>
          <w:rFonts w:ascii="Cambria" w:hAnsi="Cambria" w:cs="Calibri"/>
          <w:b/>
          <w:bCs/>
          <w:color w:val="000000" w:themeColor="text1"/>
          <w:sz w:val="22"/>
          <w:szCs w:val="22"/>
          <w:lang w:val="en-GB"/>
        </w:rPr>
      </w:pPr>
      <w:r w:rsidRPr="001C35E2">
        <w:rPr>
          <w:rFonts w:ascii="Cambria" w:hAnsi="Cambria" w:cs="Calibri"/>
          <w:b/>
          <w:bCs/>
          <w:color w:val="000000" w:themeColor="text1"/>
          <w:sz w:val="22"/>
          <w:szCs w:val="22"/>
          <w:lang w:val="en-GB"/>
        </w:rPr>
        <w:fldChar w:fldCharType="end"/>
      </w:r>
    </w:p>
    <w:p w14:paraId="3C6D4026" w14:textId="77777777" w:rsidR="00F5610C" w:rsidRPr="001C35E2" w:rsidRDefault="00F5610C" w:rsidP="00F5610C">
      <w:pPr>
        <w:pStyle w:val="NormalWeb"/>
        <w:shd w:val="clear" w:color="auto" w:fill="FFFFFF"/>
        <w:spacing w:after="0"/>
        <w:rPr>
          <w:rFonts w:ascii="Cambria" w:hAnsi="Cambria" w:cs="Calibri"/>
          <w:color w:val="000000" w:themeColor="text1"/>
          <w:sz w:val="22"/>
          <w:szCs w:val="22"/>
          <w:lang w:val="en-GB"/>
        </w:rPr>
      </w:pPr>
    </w:p>
    <w:p w14:paraId="38CD409C" w14:textId="17752FD3" w:rsidR="00F5610C" w:rsidRPr="001C35E2" w:rsidRDefault="00F5610C">
      <w:pPr>
        <w:rPr>
          <w:rFonts w:ascii="Cambria" w:hAnsi="Cambria"/>
        </w:rPr>
      </w:pPr>
    </w:p>
    <w:sectPr w:rsidR="00F5610C" w:rsidRPr="001C35E2" w:rsidSect="000C0EB5">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4853" w14:textId="77777777" w:rsidR="00E556FE" w:rsidRDefault="00E556FE" w:rsidP="00D5081F">
      <w:r>
        <w:separator/>
      </w:r>
    </w:p>
  </w:endnote>
  <w:endnote w:type="continuationSeparator" w:id="0">
    <w:p w14:paraId="660D3789" w14:textId="77777777" w:rsidR="00E556FE" w:rsidRDefault="00E556FE" w:rsidP="00D5081F">
      <w:r>
        <w:continuationSeparator/>
      </w:r>
    </w:p>
  </w:endnote>
  <w:endnote w:type="continuationNotice" w:id="1">
    <w:p w14:paraId="58CA7A22" w14:textId="77777777" w:rsidR="00E556FE" w:rsidRDefault="00E55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233532"/>
      <w:docPartObj>
        <w:docPartGallery w:val="Page Numbers (Bottom of Page)"/>
        <w:docPartUnique/>
      </w:docPartObj>
    </w:sdtPr>
    <w:sdtEndPr>
      <w:rPr>
        <w:rStyle w:val="PageNumber"/>
      </w:rPr>
    </w:sdtEndPr>
    <w:sdtContent>
      <w:p w14:paraId="1971D9AC" w14:textId="1DC838E3" w:rsidR="00D5081F" w:rsidRDefault="00D5081F" w:rsidP="00F242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EEF675" w14:textId="77777777" w:rsidR="00D5081F" w:rsidRDefault="00D5081F" w:rsidP="00D508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3523660"/>
      <w:docPartObj>
        <w:docPartGallery w:val="Page Numbers (Bottom of Page)"/>
        <w:docPartUnique/>
      </w:docPartObj>
    </w:sdtPr>
    <w:sdtEndPr>
      <w:rPr>
        <w:rStyle w:val="PageNumber"/>
      </w:rPr>
    </w:sdtEndPr>
    <w:sdtContent>
      <w:p w14:paraId="64672CC9" w14:textId="25416240" w:rsidR="00D5081F" w:rsidRDefault="00D5081F" w:rsidP="00F242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BA47F3" w14:textId="77777777" w:rsidR="00D5081F" w:rsidRDefault="00D5081F" w:rsidP="00D508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B030" w14:textId="77777777" w:rsidR="00E556FE" w:rsidRDefault="00E556FE" w:rsidP="00D5081F">
      <w:r>
        <w:separator/>
      </w:r>
    </w:p>
  </w:footnote>
  <w:footnote w:type="continuationSeparator" w:id="0">
    <w:p w14:paraId="19CBC6AA" w14:textId="77777777" w:rsidR="00E556FE" w:rsidRDefault="00E556FE" w:rsidP="00D5081F">
      <w:r>
        <w:continuationSeparator/>
      </w:r>
    </w:p>
  </w:footnote>
  <w:footnote w:type="continuationNotice" w:id="1">
    <w:p w14:paraId="137D488B" w14:textId="77777777" w:rsidR="00E556FE" w:rsidRDefault="00E556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52A4B"/>
    <w:multiLevelType w:val="hybridMultilevel"/>
    <w:tmpl w:val="902EA0FC"/>
    <w:lvl w:ilvl="0" w:tplc="90A240C4">
      <w:start w:val="1"/>
      <w:numFmt w:val="bullet"/>
      <w:lvlText w:val="•"/>
      <w:lvlJc w:val="left"/>
      <w:pPr>
        <w:tabs>
          <w:tab w:val="num" w:pos="720"/>
        </w:tabs>
        <w:ind w:left="720" w:hanging="360"/>
      </w:pPr>
      <w:rPr>
        <w:rFonts w:ascii="Arial" w:hAnsi="Arial" w:hint="default"/>
      </w:rPr>
    </w:lvl>
    <w:lvl w:ilvl="1" w:tplc="166ECC4E" w:tentative="1">
      <w:start w:val="1"/>
      <w:numFmt w:val="bullet"/>
      <w:lvlText w:val="•"/>
      <w:lvlJc w:val="left"/>
      <w:pPr>
        <w:tabs>
          <w:tab w:val="num" w:pos="1440"/>
        </w:tabs>
        <w:ind w:left="1440" w:hanging="360"/>
      </w:pPr>
      <w:rPr>
        <w:rFonts w:ascii="Arial" w:hAnsi="Arial" w:hint="default"/>
      </w:rPr>
    </w:lvl>
    <w:lvl w:ilvl="2" w:tplc="7BB06E40" w:tentative="1">
      <w:start w:val="1"/>
      <w:numFmt w:val="bullet"/>
      <w:lvlText w:val="•"/>
      <w:lvlJc w:val="left"/>
      <w:pPr>
        <w:tabs>
          <w:tab w:val="num" w:pos="2160"/>
        </w:tabs>
        <w:ind w:left="2160" w:hanging="360"/>
      </w:pPr>
      <w:rPr>
        <w:rFonts w:ascii="Arial" w:hAnsi="Arial" w:hint="default"/>
      </w:rPr>
    </w:lvl>
    <w:lvl w:ilvl="3" w:tplc="E8D2449C" w:tentative="1">
      <w:start w:val="1"/>
      <w:numFmt w:val="bullet"/>
      <w:lvlText w:val="•"/>
      <w:lvlJc w:val="left"/>
      <w:pPr>
        <w:tabs>
          <w:tab w:val="num" w:pos="2880"/>
        </w:tabs>
        <w:ind w:left="2880" w:hanging="360"/>
      </w:pPr>
      <w:rPr>
        <w:rFonts w:ascii="Arial" w:hAnsi="Arial" w:hint="default"/>
      </w:rPr>
    </w:lvl>
    <w:lvl w:ilvl="4" w:tplc="95EE4546" w:tentative="1">
      <w:start w:val="1"/>
      <w:numFmt w:val="bullet"/>
      <w:lvlText w:val="•"/>
      <w:lvlJc w:val="left"/>
      <w:pPr>
        <w:tabs>
          <w:tab w:val="num" w:pos="3600"/>
        </w:tabs>
        <w:ind w:left="3600" w:hanging="360"/>
      </w:pPr>
      <w:rPr>
        <w:rFonts w:ascii="Arial" w:hAnsi="Arial" w:hint="default"/>
      </w:rPr>
    </w:lvl>
    <w:lvl w:ilvl="5" w:tplc="EC02BD46" w:tentative="1">
      <w:start w:val="1"/>
      <w:numFmt w:val="bullet"/>
      <w:lvlText w:val="•"/>
      <w:lvlJc w:val="left"/>
      <w:pPr>
        <w:tabs>
          <w:tab w:val="num" w:pos="4320"/>
        </w:tabs>
        <w:ind w:left="4320" w:hanging="360"/>
      </w:pPr>
      <w:rPr>
        <w:rFonts w:ascii="Arial" w:hAnsi="Arial" w:hint="default"/>
      </w:rPr>
    </w:lvl>
    <w:lvl w:ilvl="6" w:tplc="D4822C98" w:tentative="1">
      <w:start w:val="1"/>
      <w:numFmt w:val="bullet"/>
      <w:lvlText w:val="•"/>
      <w:lvlJc w:val="left"/>
      <w:pPr>
        <w:tabs>
          <w:tab w:val="num" w:pos="5040"/>
        </w:tabs>
        <w:ind w:left="5040" w:hanging="360"/>
      </w:pPr>
      <w:rPr>
        <w:rFonts w:ascii="Arial" w:hAnsi="Arial" w:hint="default"/>
      </w:rPr>
    </w:lvl>
    <w:lvl w:ilvl="7" w:tplc="3836E170" w:tentative="1">
      <w:start w:val="1"/>
      <w:numFmt w:val="bullet"/>
      <w:lvlText w:val="•"/>
      <w:lvlJc w:val="left"/>
      <w:pPr>
        <w:tabs>
          <w:tab w:val="num" w:pos="5760"/>
        </w:tabs>
        <w:ind w:left="5760" w:hanging="360"/>
      </w:pPr>
      <w:rPr>
        <w:rFonts w:ascii="Arial" w:hAnsi="Arial" w:hint="default"/>
      </w:rPr>
    </w:lvl>
    <w:lvl w:ilvl="8" w:tplc="4296CC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9030A2"/>
    <w:multiLevelType w:val="hybridMultilevel"/>
    <w:tmpl w:val="C700D92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 w15:restartNumberingAfterBreak="0">
    <w:nsid w:val="2B040272"/>
    <w:multiLevelType w:val="hybridMultilevel"/>
    <w:tmpl w:val="1C648272"/>
    <w:lvl w:ilvl="0" w:tplc="F8768568">
      <w:start w:val="1"/>
      <w:numFmt w:val="bullet"/>
      <w:lvlText w:val="•"/>
      <w:lvlJc w:val="left"/>
      <w:pPr>
        <w:tabs>
          <w:tab w:val="num" w:pos="720"/>
        </w:tabs>
        <w:ind w:left="720" w:hanging="360"/>
      </w:pPr>
      <w:rPr>
        <w:rFonts w:ascii="Arial" w:hAnsi="Arial" w:hint="default"/>
      </w:rPr>
    </w:lvl>
    <w:lvl w:ilvl="1" w:tplc="5476B242" w:tentative="1">
      <w:start w:val="1"/>
      <w:numFmt w:val="bullet"/>
      <w:lvlText w:val="•"/>
      <w:lvlJc w:val="left"/>
      <w:pPr>
        <w:tabs>
          <w:tab w:val="num" w:pos="1440"/>
        </w:tabs>
        <w:ind w:left="1440" w:hanging="360"/>
      </w:pPr>
      <w:rPr>
        <w:rFonts w:ascii="Arial" w:hAnsi="Arial" w:hint="default"/>
      </w:rPr>
    </w:lvl>
    <w:lvl w:ilvl="2" w:tplc="FC5637E2" w:tentative="1">
      <w:start w:val="1"/>
      <w:numFmt w:val="bullet"/>
      <w:lvlText w:val="•"/>
      <w:lvlJc w:val="left"/>
      <w:pPr>
        <w:tabs>
          <w:tab w:val="num" w:pos="2160"/>
        </w:tabs>
        <w:ind w:left="2160" w:hanging="360"/>
      </w:pPr>
      <w:rPr>
        <w:rFonts w:ascii="Arial" w:hAnsi="Arial" w:hint="default"/>
      </w:rPr>
    </w:lvl>
    <w:lvl w:ilvl="3" w:tplc="42EA80D0" w:tentative="1">
      <w:start w:val="1"/>
      <w:numFmt w:val="bullet"/>
      <w:lvlText w:val="•"/>
      <w:lvlJc w:val="left"/>
      <w:pPr>
        <w:tabs>
          <w:tab w:val="num" w:pos="2880"/>
        </w:tabs>
        <w:ind w:left="2880" w:hanging="360"/>
      </w:pPr>
      <w:rPr>
        <w:rFonts w:ascii="Arial" w:hAnsi="Arial" w:hint="default"/>
      </w:rPr>
    </w:lvl>
    <w:lvl w:ilvl="4" w:tplc="20527166" w:tentative="1">
      <w:start w:val="1"/>
      <w:numFmt w:val="bullet"/>
      <w:lvlText w:val="•"/>
      <w:lvlJc w:val="left"/>
      <w:pPr>
        <w:tabs>
          <w:tab w:val="num" w:pos="3600"/>
        </w:tabs>
        <w:ind w:left="3600" w:hanging="360"/>
      </w:pPr>
      <w:rPr>
        <w:rFonts w:ascii="Arial" w:hAnsi="Arial" w:hint="default"/>
      </w:rPr>
    </w:lvl>
    <w:lvl w:ilvl="5" w:tplc="DC7613E2" w:tentative="1">
      <w:start w:val="1"/>
      <w:numFmt w:val="bullet"/>
      <w:lvlText w:val="•"/>
      <w:lvlJc w:val="left"/>
      <w:pPr>
        <w:tabs>
          <w:tab w:val="num" w:pos="4320"/>
        </w:tabs>
        <w:ind w:left="4320" w:hanging="360"/>
      </w:pPr>
      <w:rPr>
        <w:rFonts w:ascii="Arial" w:hAnsi="Arial" w:hint="default"/>
      </w:rPr>
    </w:lvl>
    <w:lvl w:ilvl="6" w:tplc="0302B980" w:tentative="1">
      <w:start w:val="1"/>
      <w:numFmt w:val="bullet"/>
      <w:lvlText w:val="•"/>
      <w:lvlJc w:val="left"/>
      <w:pPr>
        <w:tabs>
          <w:tab w:val="num" w:pos="5040"/>
        </w:tabs>
        <w:ind w:left="5040" w:hanging="360"/>
      </w:pPr>
      <w:rPr>
        <w:rFonts w:ascii="Arial" w:hAnsi="Arial" w:hint="default"/>
      </w:rPr>
    </w:lvl>
    <w:lvl w:ilvl="7" w:tplc="16BA25F0" w:tentative="1">
      <w:start w:val="1"/>
      <w:numFmt w:val="bullet"/>
      <w:lvlText w:val="•"/>
      <w:lvlJc w:val="left"/>
      <w:pPr>
        <w:tabs>
          <w:tab w:val="num" w:pos="5760"/>
        </w:tabs>
        <w:ind w:left="5760" w:hanging="360"/>
      </w:pPr>
      <w:rPr>
        <w:rFonts w:ascii="Arial" w:hAnsi="Arial" w:hint="default"/>
      </w:rPr>
    </w:lvl>
    <w:lvl w:ilvl="8" w:tplc="C13E2000" w:tentative="1">
      <w:start w:val="1"/>
      <w:numFmt w:val="bullet"/>
      <w:lvlText w:val="•"/>
      <w:lvlJc w:val="left"/>
      <w:pPr>
        <w:tabs>
          <w:tab w:val="num" w:pos="6480"/>
        </w:tabs>
        <w:ind w:left="6480" w:hanging="360"/>
      </w:pPr>
      <w:rPr>
        <w:rFonts w:ascii="Arial" w:hAnsi="Arial" w:hint="default"/>
      </w:rPr>
    </w:lvl>
  </w:abstractNum>
  <w:num w:numId="1" w16cid:durableId="1231423825">
    <w:abstractNumId w:val="1"/>
  </w:num>
  <w:num w:numId="2" w16cid:durableId="1396971086">
    <w:abstractNumId w:val="0"/>
  </w:num>
  <w:num w:numId="3" w16cid:durableId="1705329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0C"/>
    <w:rsid w:val="00001AFE"/>
    <w:rsid w:val="0000654D"/>
    <w:rsid w:val="00014539"/>
    <w:rsid w:val="00014E6D"/>
    <w:rsid w:val="000161A2"/>
    <w:rsid w:val="00016C1F"/>
    <w:rsid w:val="00033FE7"/>
    <w:rsid w:val="00037147"/>
    <w:rsid w:val="00037286"/>
    <w:rsid w:val="000549CA"/>
    <w:rsid w:val="0006465F"/>
    <w:rsid w:val="00065941"/>
    <w:rsid w:val="000742AD"/>
    <w:rsid w:val="00082826"/>
    <w:rsid w:val="00093D0B"/>
    <w:rsid w:val="00094658"/>
    <w:rsid w:val="000A2A32"/>
    <w:rsid w:val="000C0EB5"/>
    <w:rsid w:val="000C71E0"/>
    <w:rsid w:val="000E43F8"/>
    <w:rsid w:val="000E6B6C"/>
    <w:rsid w:val="001078C7"/>
    <w:rsid w:val="00107FDD"/>
    <w:rsid w:val="001375E5"/>
    <w:rsid w:val="00145940"/>
    <w:rsid w:val="00153E60"/>
    <w:rsid w:val="0015581B"/>
    <w:rsid w:val="0015718C"/>
    <w:rsid w:val="0016218A"/>
    <w:rsid w:val="0016523D"/>
    <w:rsid w:val="00175ED7"/>
    <w:rsid w:val="00187A68"/>
    <w:rsid w:val="001B66B5"/>
    <w:rsid w:val="001C35E2"/>
    <w:rsid w:val="001D1FA5"/>
    <w:rsid w:val="001E17BA"/>
    <w:rsid w:val="001F5CC1"/>
    <w:rsid w:val="0020112A"/>
    <w:rsid w:val="00211F2C"/>
    <w:rsid w:val="00220E29"/>
    <w:rsid w:val="00234700"/>
    <w:rsid w:val="0023770A"/>
    <w:rsid w:val="002409A4"/>
    <w:rsid w:val="00246F21"/>
    <w:rsid w:val="00256CE2"/>
    <w:rsid w:val="00270E79"/>
    <w:rsid w:val="0027134B"/>
    <w:rsid w:val="00274197"/>
    <w:rsid w:val="00296B38"/>
    <w:rsid w:val="002B0CF7"/>
    <w:rsid w:val="002C2A25"/>
    <w:rsid w:val="002E53F3"/>
    <w:rsid w:val="002F0369"/>
    <w:rsid w:val="002F2630"/>
    <w:rsid w:val="00301EC0"/>
    <w:rsid w:val="003303D8"/>
    <w:rsid w:val="00333B22"/>
    <w:rsid w:val="00340060"/>
    <w:rsid w:val="0034085B"/>
    <w:rsid w:val="00390EB8"/>
    <w:rsid w:val="003B58A3"/>
    <w:rsid w:val="003D02D7"/>
    <w:rsid w:val="003E1604"/>
    <w:rsid w:val="00417299"/>
    <w:rsid w:val="00426985"/>
    <w:rsid w:val="004353A1"/>
    <w:rsid w:val="00441ED2"/>
    <w:rsid w:val="004524FB"/>
    <w:rsid w:val="00454DD5"/>
    <w:rsid w:val="004639BA"/>
    <w:rsid w:val="00474726"/>
    <w:rsid w:val="00475382"/>
    <w:rsid w:val="00485D52"/>
    <w:rsid w:val="004A179A"/>
    <w:rsid w:val="004B6902"/>
    <w:rsid w:val="004D0F85"/>
    <w:rsid w:val="004E1B55"/>
    <w:rsid w:val="004E4848"/>
    <w:rsid w:val="004E7A4F"/>
    <w:rsid w:val="004F16E5"/>
    <w:rsid w:val="004F27EB"/>
    <w:rsid w:val="004F4F5A"/>
    <w:rsid w:val="00511E28"/>
    <w:rsid w:val="005175C7"/>
    <w:rsid w:val="00526F9A"/>
    <w:rsid w:val="00527514"/>
    <w:rsid w:val="005364BC"/>
    <w:rsid w:val="00536F38"/>
    <w:rsid w:val="00560B49"/>
    <w:rsid w:val="005669C5"/>
    <w:rsid w:val="0056744D"/>
    <w:rsid w:val="005919BE"/>
    <w:rsid w:val="005A0E5D"/>
    <w:rsid w:val="005A3295"/>
    <w:rsid w:val="005B05C1"/>
    <w:rsid w:val="005B15C7"/>
    <w:rsid w:val="005B4A7F"/>
    <w:rsid w:val="005C447A"/>
    <w:rsid w:val="005D5613"/>
    <w:rsid w:val="005F60E8"/>
    <w:rsid w:val="006037C5"/>
    <w:rsid w:val="0062285E"/>
    <w:rsid w:val="00634E7C"/>
    <w:rsid w:val="00647618"/>
    <w:rsid w:val="00667D7A"/>
    <w:rsid w:val="00687FF5"/>
    <w:rsid w:val="006A0F6F"/>
    <w:rsid w:val="006B19C0"/>
    <w:rsid w:val="006B659A"/>
    <w:rsid w:val="006C0461"/>
    <w:rsid w:val="006C57EB"/>
    <w:rsid w:val="006F7CE1"/>
    <w:rsid w:val="007136DB"/>
    <w:rsid w:val="00713FAA"/>
    <w:rsid w:val="00732627"/>
    <w:rsid w:val="00745264"/>
    <w:rsid w:val="0075527C"/>
    <w:rsid w:val="00762A24"/>
    <w:rsid w:val="007648B5"/>
    <w:rsid w:val="00767133"/>
    <w:rsid w:val="007706EB"/>
    <w:rsid w:val="00774BED"/>
    <w:rsid w:val="007A5AB0"/>
    <w:rsid w:val="007B7227"/>
    <w:rsid w:val="007C602C"/>
    <w:rsid w:val="007E13E3"/>
    <w:rsid w:val="007E667C"/>
    <w:rsid w:val="00801F01"/>
    <w:rsid w:val="00844F8C"/>
    <w:rsid w:val="008803C4"/>
    <w:rsid w:val="0088712A"/>
    <w:rsid w:val="008909BF"/>
    <w:rsid w:val="008B0300"/>
    <w:rsid w:val="008C163C"/>
    <w:rsid w:val="008D35B0"/>
    <w:rsid w:val="008D63BC"/>
    <w:rsid w:val="008D6F91"/>
    <w:rsid w:val="008E2D10"/>
    <w:rsid w:val="008E5149"/>
    <w:rsid w:val="00901554"/>
    <w:rsid w:val="00912BAB"/>
    <w:rsid w:val="00934AF3"/>
    <w:rsid w:val="00950D21"/>
    <w:rsid w:val="00956352"/>
    <w:rsid w:val="009565EF"/>
    <w:rsid w:val="0096614E"/>
    <w:rsid w:val="009777B3"/>
    <w:rsid w:val="0098095B"/>
    <w:rsid w:val="009818A5"/>
    <w:rsid w:val="009900A9"/>
    <w:rsid w:val="00992D5C"/>
    <w:rsid w:val="009B7C26"/>
    <w:rsid w:val="009C141D"/>
    <w:rsid w:val="009C636A"/>
    <w:rsid w:val="009D60F6"/>
    <w:rsid w:val="00A1044D"/>
    <w:rsid w:val="00A123E4"/>
    <w:rsid w:val="00A1516B"/>
    <w:rsid w:val="00A2426F"/>
    <w:rsid w:val="00A32E58"/>
    <w:rsid w:val="00A361BD"/>
    <w:rsid w:val="00A53BC1"/>
    <w:rsid w:val="00A57A46"/>
    <w:rsid w:val="00A77E36"/>
    <w:rsid w:val="00AA3ED9"/>
    <w:rsid w:val="00AA5503"/>
    <w:rsid w:val="00AA582E"/>
    <w:rsid w:val="00AA7643"/>
    <w:rsid w:val="00AB3A95"/>
    <w:rsid w:val="00AB7061"/>
    <w:rsid w:val="00AC1780"/>
    <w:rsid w:val="00AC3264"/>
    <w:rsid w:val="00AC5DBA"/>
    <w:rsid w:val="00AC6147"/>
    <w:rsid w:val="00AE317A"/>
    <w:rsid w:val="00AE368C"/>
    <w:rsid w:val="00AF0BA8"/>
    <w:rsid w:val="00AF40DA"/>
    <w:rsid w:val="00B051A7"/>
    <w:rsid w:val="00B15687"/>
    <w:rsid w:val="00B2326C"/>
    <w:rsid w:val="00B365D4"/>
    <w:rsid w:val="00B371E5"/>
    <w:rsid w:val="00B45D1A"/>
    <w:rsid w:val="00B45FD6"/>
    <w:rsid w:val="00B6764D"/>
    <w:rsid w:val="00B7434E"/>
    <w:rsid w:val="00B74582"/>
    <w:rsid w:val="00B831EB"/>
    <w:rsid w:val="00BB092C"/>
    <w:rsid w:val="00BB32CC"/>
    <w:rsid w:val="00BB7C0B"/>
    <w:rsid w:val="00BC0410"/>
    <w:rsid w:val="00BC0AFD"/>
    <w:rsid w:val="00BD1982"/>
    <w:rsid w:val="00BD6588"/>
    <w:rsid w:val="00BD7B77"/>
    <w:rsid w:val="00BE5F85"/>
    <w:rsid w:val="00BF3A06"/>
    <w:rsid w:val="00C1521E"/>
    <w:rsid w:val="00C1773C"/>
    <w:rsid w:val="00C27406"/>
    <w:rsid w:val="00C52E0D"/>
    <w:rsid w:val="00C601DC"/>
    <w:rsid w:val="00C75C62"/>
    <w:rsid w:val="00C918F5"/>
    <w:rsid w:val="00C93AFF"/>
    <w:rsid w:val="00C97255"/>
    <w:rsid w:val="00C97E7C"/>
    <w:rsid w:val="00CA38FF"/>
    <w:rsid w:val="00CA6238"/>
    <w:rsid w:val="00CB6CFB"/>
    <w:rsid w:val="00CC4B4C"/>
    <w:rsid w:val="00CD4919"/>
    <w:rsid w:val="00CD7FB8"/>
    <w:rsid w:val="00CF7634"/>
    <w:rsid w:val="00D02810"/>
    <w:rsid w:val="00D07CF2"/>
    <w:rsid w:val="00D422BB"/>
    <w:rsid w:val="00D45DF9"/>
    <w:rsid w:val="00D5081F"/>
    <w:rsid w:val="00D56A8C"/>
    <w:rsid w:val="00D66941"/>
    <w:rsid w:val="00D752E4"/>
    <w:rsid w:val="00D860AA"/>
    <w:rsid w:val="00D90C77"/>
    <w:rsid w:val="00DA6FF0"/>
    <w:rsid w:val="00DB13D0"/>
    <w:rsid w:val="00DC45D7"/>
    <w:rsid w:val="00DC6E4F"/>
    <w:rsid w:val="00DC7678"/>
    <w:rsid w:val="00DD5B5B"/>
    <w:rsid w:val="00E07A4D"/>
    <w:rsid w:val="00E232BB"/>
    <w:rsid w:val="00E23A82"/>
    <w:rsid w:val="00E23F62"/>
    <w:rsid w:val="00E25E30"/>
    <w:rsid w:val="00E27843"/>
    <w:rsid w:val="00E308A7"/>
    <w:rsid w:val="00E46083"/>
    <w:rsid w:val="00E5510F"/>
    <w:rsid w:val="00E556FE"/>
    <w:rsid w:val="00E764E8"/>
    <w:rsid w:val="00E85ACE"/>
    <w:rsid w:val="00E85ED0"/>
    <w:rsid w:val="00E86762"/>
    <w:rsid w:val="00E914DB"/>
    <w:rsid w:val="00E9213A"/>
    <w:rsid w:val="00ED4AB2"/>
    <w:rsid w:val="00ED7421"/>
    <w:rsid w:val="00EE423A"/>
    <w:rsid w:val="00EE6A3C"/>
    <w:rsid w:val="00EF3F33"/>
    <w:rsid w:val="00F009B4"/>
    <w:rsid w:val="00F05D03"/>
    <w:rsid w:val="00F10D34"/>
    <w:rsid w:val="00F140D7"/>
    <w:rsid w:val="00F2666A"/>
    <w:rsid w:val="00F269F7"/>
    <w:rsid w:val="00F46404"/>
    <w:rsid w:val="00F50842"/>
    <w:rsid w:val="00F5610C"/>
    <w:rsid w:val="00F57C99"/>
    <w:rsid w:val="00F72C75"/>
    <w:rsid w:val="00F8229E"/>
    <w:rsid w:val="00FA5542"/>
    <w:rsid w:val="00FB5F61"/>
    <w:rsid w:val="00FD4D82"/>
    <w:rsid w:val="00FE59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6C13"/>
  <w15:chartTrackingRefBased/>
  <w15:docId w15:val="{8DB59D9A-9296-044E-A5FA-252BCF7E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610C"/>
    <w:rPr>
      <w:sz w:val="16"/>
      <w:szCs w:val="16"/>
    </w:rPr>
  </w:style>
  <w:style w:type="paragraph" w:styleId="CommentText">
    <w:name w:val="annotation text"/>
    <w:basedOn w:val="Normal"/>
    <w:link w:val="CommentTextChar"/>
    <w:uiPriority w:val="99"/>
    <w:unhideWhenUsed/>
    <w:rsid w:val="00F5610C"/>
    <w:pPr>
      <w:spacing w:after="160"/>
    </w:pPr>
    <w:rPr>
      <w:sz w:val="20"/>
      <w:szCs w:val="20"/>
      <w:lang w:val="nb-NO"/>
    </w:rPr>
  </w:style>
  <w:style w:type="character" w:customStyle="1" w:styleId="CommentTextChar">
    <w:name w:val="Comment Text Char"/>
    <w:basedOn w:val="DefaultParagraphFont"/>
    <w:link w:val="CommentText"/>
    <w:uiPriority w:val="99"/>
    <w:rsid w:val="00F5610C"/>
    <w:rPr>
      <w:sz w:val="20"/>
      <w:szCs w:val="20"/>
      <w:lang w:val="nb-NO"/>
    </w:rPr>
  </w:style>
  <w:style w:type="paragraph" w:styleId="NormalWeb">
    <w:name w:val="Normal (Web)"/>
    <w:basedOn w:val="Normal"/>
    <w:uiPriority w:val="99"/>
    <w:unhideWhenUsed/>
    <w:rsid w:val="00F5610C"/>
    <w:pPr>
      <w:spacing w:after="160" w:line="259" w:lineRule="auto"/>
    </w:pPr>
    <w:rPr>
      <w:rFonts w:ascii="Times New Roman" w:hAnsi="Times New Roman" w:cs="Times New Roman"/>
      <w:lang w:val="nb-NO"/>
    </w:rPr>
  </w:style>
  <w:style w:type="paragraph" w:styleId="Footer">
    <w:name w:val="footer"/>
    <w:basedOn w:val="Normal"/>
    <w:link w:val="FooterChar"/>
    <w:uiPriority w:val="99"/>
    <w:unhideWhenUsed/>
    <w:rsid w:val="00D5081F"/>
    <w:pPr>
      <w:tabs>
        <w:tab w:val="center" w:pos="4680"/>
        <w:tab w:val="right" w:pos="9360"/>
      </w:tabs>
    </w:pPr>
  </w:style>
  <w:style w:type="character" w:customStyle="1" w:styleId="FooterChar">
    <w:name w:val="Footer Char"/>
    <w:basedOn w:val="DefaultParagraphFont"/>
    <w:link w:val="Footer"/>
    <w:uiPriority w:val="99"/>
    <w:rsid w:val="00D5081F"/>
  </w:style>
  <w:style w:type="character" w:styleId="PageNumber">
    <w:name w:val="page number"/>
    <w:basedOn w:val="DefaultParagraphFont"/>
    <w:uiPriority w:val="99"/>
    <w:semiHidden/>
    <w:unhideWhenUsed/>
    <w:rsid w:val="00D5081F"/>
  </w:style>
  <w:style w:type="paragraph" w:styleId="CommentSubject">
    <w:name w:val="annotation subject"/>
    <w:basedOn w:val="CommentText"/>
    <w:next w:val="CommentText"/>
    <w:link w:val="CommentSubjectChar"/>
    <w:uiPriority w:val="99"/>
    <w:semiHidden/>
    <w:unhideWhenUsed/>
    <w:rsid w:val="006C0461"/>
    <w:pPr>
      <w:spacing w:after="0"/>
    </w:pPr>
    <w:rPr>
      <w:b/>
      <w:bCs/>
    </w:rPr>
  </w:style>
  <w:style w:type="character" w:customStyle="1" w:styleId="CommentSubjectChar">
    <w:name w:val="Comment Subject Char"/>
    <w:basedOn w:val="CommentTextChar"/>
    <w:link w:val="CommentSubject"/>
    <w:uiPriority w:val="99"/>
    <w:semiHidden/>
    <w:rsid w:val="006C0461"/>
    <w:rPr>
      <w:b/>
      <w:bCs/>
      <w:sz w:val="20"/>
      <w:szCs w:val="20"/>
      <w:lang w:val="nb-NO"/>
    </w:rPr>
  </w:style>
  <w:style w:type="paragraph" w:styleId="Bibliography">
    <w:name w:val="Bibliography"/>
    <w:basedOn w:val="Normal"/>
    <w:next w:val="Normal"/>
    <w:uiPriority w:val="37"/>
    <w:unhideWhenUsed/>
    <w:rsid w:val="004E1B55"/>
    <w:pPr>
      <w:tabs>
        <w:tab w:val="left" w:pos="260"/>
      </w:tabs>
      <w:spacing w:line="480" w:lineRule="auto"/>
      <w:ind w:left="720" w:hanging="720"/>
    </w:pPr>
  </w:style>
  <w:style w:type="paragraph" w:styleId="ListParagraph">
    <w:name w:val="List Paragraph"/>
    <w:basedOn w:val="Normal"/>
    <w:uiPriority w:val="34"/>
    <w:qFormat/>
    <w:rsid w:val="009818A5"/>
    <w:pPr>
      <w:ind w:left="720"/>
      <w:contextualSpacing/>
    </w:pPr>
  </w:style>
  <w:style w:type="paragraph" w:styleId="Revision">
    <w:name w:val="Revision"/>
    <w:hidden/>
    <w:uiPriority w:val="99"/>
    <w:semiHidden/>
    <w:rsid w:val="00485D52"/>
  </w:style>
  <w:style w:type="character" w:styleId="Hyperlink">
    <w:name w:val="Hyperlink"/>
    <w:basedOn w:val="DefaultParagraphFont"/>
    <w:uiPriority w:val="99"/>
    <w:unhideWhenUsed/>
    <w:rsid w:val="00C52E0D"/>
    <w:rPr>
      <w:color w:val="0563C1" w:themeColor="hyperlink"/>
      <w:u w:val="single"/>
    </w:rPr>
  </w:style>
  <w:style w:type="character" w:styleId="UnresolvedMention">
    <w:name w:val="Unresolved Mention"/>
    <w:basedOn w:val="DefaultParagraphFont"/>
    <w:uiPriority w:val="99"/>
    <w:semiHidden/>
    <w:unhideWhenUsed/>
    <w:rsid w:val="00C52E0D"/>
    <w:rPr>
      <w:color w:val="605E5C"/>
      <w:shd w:val="clear" w:color="auto" w:fill="E1DFDD"/>
    </w:rPr>
  </w:style>
  <w:style w:type="character" w:styleId="FollowedHyperlink">
    <w:name w:val="FollowedHyperlink"/>
    <w:basedOn w:val="DefaultParagraphFont"/>
    <w:uiPriority w:val="99"/>
    <w:semiHidden/>
    <w:unhideWhenUsed/>
    <w:rsid w:val="009565EF"/>
    <w:rPr>
      <w:color w:val="954F72" w:themeColor="followedHyperlink"/>
      <w:u w:val="single"/>
    </w:rPr>
  </w:style>
  <w:style w:type="paragraph" w:styleId="Header">
    <w:name w:val="header"/>
    <w:basedOn w:val="Normal"/>
    <w:link w:val="HeaderChar"/>
    <w:uiPriority w:val="99"/>
    <w:semiHidden/>
    <w:unhideWhenUsed/>
    <w:rsid w:val="0098095B"/>
    <w:pPr>
      <w:tabs>
        <w:tab w:val="center" w:pos="4513"/>
        <w:tab w:val="right" w:pos="9026"/>
      </w:tabs>
    </w:pPr>
  </w:style>
  <w:style w:type="character" w:customStyle="1" w:styleId="HeaderChar">
    <w:name w:val="Header Char"/>
    <w:basedOn w:val="DefaultParagraphFont"/>
    <w:link w:val="Header"/>
    <w:uiPriority w:val="99"/>
    <w:semiHidden/>
    <w:rsid w:val="0098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6544">
      <w:bodyDiv w:val="1"/>
      <w:marLeft w:val="0"/>
      <w:marRight w:val="0"/>
      <w:marTop w:val="0"/>
      <w:marBottom w:val="0"/>
      <w:divBdr>
        <w:top w:val="none" w:sz="0" w:space="0" w:color="auto"/>
        <w:left w:val="none" w:sz="0" w:space="0" w:color="auto"/>
        <w:bottom w:val="none" w:sz="0" w:space="0" w:color="auto"/>
        <w:right w:val="none" w:sz="0" w:space="0" w:color="auto"/>
      </w:divBdr>
    </w:div>
    <w:div w:id="146869820">
      <w:bodyDiv w:val="1"/>
      <w:marLeft w:val="0"/>
      <w:marRight w:val="0"/>
      <w:marTop w:val="0"/>
      <w:marBottom w:val="0"/>
      <w:divBdr>
        <w:top w:val="none" w:sz="0" w:space="0" w:color="auto"/>
        <w:left w:val="none" w:sz="0" w:space="0" w:color="auto"/>
        <w:bottom w:val="none" w:sz="0" w:space="0" w:color="auto"/>
        <w:right w:val="none" w:sz="0" w:space="0" w:color="auto"/>
      </w:divBdr>
    </w:div>
    <w:div w:id="380521796">
      <w:bodyDiv w:val="1"/>
      <w:marLeft w:val="0"/>
      <w:marRight w:val="0"/>
      <w:marTop w:val="0"/>
      <w:marBottom w:val="0"/>
      <w:divBdr>
        <w:top w:val="none" w:sz="0" w:space="0" w:color="auto"/>
        <w:left w:val="none" w:sz="0" w:space="0" w:color="auto"/>
        <w:bottom w:val="none" w:sz="0" w:space="0" w:color="auto"/>
        <w:right w:val="none" w:sz="0" w:space="0" w:color="auto"/>
      </w:divBdr>
      <w:divsChild>
        <w:div w:id="1653674266">
          <w:marLeft w:val="0"/>
          <w:marRight w:val="0"/>
          <w:marTop w:val="0"/>
          <w:marBottom w:val="0"/>
          <w:divBdr>
            <w:top w:val="none" w:sz="0" w:space="0" w:color="auto"/>
            <w:left w:val="none" w:sz="0" w:space="0" w:color="auto"/>
            <w:bottom w:val="none" w:sz="0" w:space="0" w:color="auto"/>
            <w:right w:val="none" w:sz="0" w:space="0" w:color="auto"/>
          </w:divBdr>
          <w:divsChild>
            <w:div w:id="1942563949">
              <w:marLeft w:val="0"/>
              <w:marRight w:val="0"/>
              <w:marTop w:val="0"/>
              <w:marBottom w:val="0"/>
              <w:divBdr>
                <w:top w:val="none" w:sz="0" w:space="0" w:color="auto"/>
                <w:left w:val="none" w:sz="0" w:space="0" w:color="auto"/>
                <w:bottom w:val="none" w:sz="0" w:space="0" w:color="auto"/>
                <w:right w:val="none" w:sz="0" w:space="0" w:color="auto"/>
              </w:divBdr>
              <w:divsChild>
                <w:div w:id="906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6770">
      <w:bodyDiv w:val="1"/>
      <w:marLeft w:val="0"/>
      <w:marRight w:val="0"/>
      <w:marTop w:val="0"/>
      <w:marBottom w:val="0"/>
      <w:divBdr>
        <w:top w:val="none" w:sz="0" w:space="0" w:color="auto"/>
        <w:left w:val="none" w:sz="0" w:space="0" w:color="auto"/>
        <w:bottom w:val="none" w:sz="0" w:space="0" w:color="auto"/>
        <w:right w:val="none" w:sz="0" w:space="0" w:color="auto"/>
      </w:divBdr>
      <w:divsChild>
        <w:div w:id="542912885">
          <w:marLeft w:val="360"/>
          <w:marRight w:val="0"/>
          <w:marTop w:val="200"/>
          <w:marBottom w:val="0"/>
          <w:divBdr>
            <w:top w:val="none" w:sz="0" w:space="0" w:color="auto"/>
            <w:left w:val="none" w:sz="0" w:space="0" w:color="auto"/>
            <w:bottom w:val="none" w:sz="0" w:space="0" w:color="auto"/>
            <w:right w:val="none" w:sz="0" w:space="0" w:color="auto"/>
          </w:divBdr>
        </w:div>
        <w:div w:id="1733503236">
          <w:marLeft w:val="360"/>
          <w:marRight w:val="0"/>
          <w:marTop w:val="200"/>
          <w:marBottom w:val="0"/>
          <w:divBdr>
            <w:top w:val="none" w:sz="0" w:space="0" w:color="auto"/>
            <w:left w:val="none" w:sz="0" w:space="0" w:color="auto"/>
            <w:bottom w:val="none" w:sz="0" w:space="0" w:color="auto"/>
            <w:right w:val="none" w:sz="0" w:space="0" w:color="auto"/>
          </w:divBdr>
        </w:div>
        <w:div w:id="2025281576">
          <w:marLeft w:val="360"/>
          <w:marRight w:val="0"/>
          <w:marTop w:val="200"/>
          <w:marBottom w:val="0"/>
          <w:divBdr>
            <w:top w:val="none" w:sz="0" w:space="0" w:color="auto"/>
            <w:left w:val="none" w:sz="0" w:space="0" w:color="auto"/>
            <w:bottom w:val="none" w:sz="0" w:space="0" w:color="auto"/>
            <w:right w:val="none" w:sz="0" w:space="0" w:color="auto"/>
          </w:divBdr>
        </w:div>
        <w:div w:id="1668972467">
          <w:marLeft w:val="360"/>
          <w:marRight w:val="0"/>
          <w:marTop w:val="200"/>
          <w:marBottom w:val="0"/>
          <w:divBdr>
            <w:top w:val="none" w:sz="0" w:space="0" w:color="auto"/>
            <w:left w:val="none" w:sz="0" w:space="0" w:color="auto"/>
            <w:bottom w:val="none" w:sz="0" w:space="0" w:color="auto"/>
            <w:right w:val="none" w:sz="0" w:space="0" w:color="auto"/>
          </w:divBdr>
        </w:div>
      </w:divsChild>
    </w:div>
    <w:div w:id="620965841">
      <w:bodyDiv w:val="1"/>
      <w:marLeft w:val="0"/>
      <w:marRight w:val="0"/>
      <w:marTop w:val="0"/>
      <w:marBottom w:val="0"/>
      <w:divBdr>
        <w:top w:val="none" w:sz="0" w:space="0" w:color="auto"/>
        <w:left w:val="none" w:sz="0" w:space="0" w:color="auto"/>
        <w:bottom w:val="none" w:sz="0" w:space="0" w:color="auto"/>
        <w:right w:val="none" w:sz="0" w:space="0" w:color="auto"/>
      </w:divBdr>
    </w:div>
    <w:div w:id="663320268">
      <w:bodyDiv w:val="1"/>
      <w:marLeft w:val="0"/>
      <w:marRight w:val="0"/>
      <w:marTop w:val="0"/>
      <w:marBottom w:val="0"/>
      <w:divBdr>
        <w:top w:val="none" w:sz="0" w:space="0" w:color="auto"/>
        <w:left w:val="none" w:sz="0" w:space="0" w:color="auto"/>
        <w:bottom w:val="none" w:sz="0" w:space="0" w:color="auto"/>
        <w:right w:val="none" w:sz="0" w:space="0" w:color="auto"/>
      </w:divBdr>
    </w:div>
    <w:div w:id="693269893">
      <w:bodyDiv w:val="1"/>
      <w:marLeft w:val="0"/>
      <w:marRight w:val="0"/>
      <w:marTop w:val="0"/>
      <w:marBottom w:val="0"/>
      <w:divBdr>
        <w:top w:val="none" w:sz="0" w:space="0" w:color="auto"/>
        <w:left w:val="none" w:sz="0" w:space="0" w:color="auto"/>
        <w:bottom w:val="none" w:sz="0" w:space="0" w:color="auto"/>
        <w:right w:val="none" w:sz="0" w:space="0" w:color="auto"/>
      </w:divBdr>
    </w:div>
    <w:div w:id="734545337">
      <w:bodyDiv w:val="1"/>
      <w:marLeft w:val="0"/>
      <w:marRight w:val="0"/>
      <w:marTop w:val="0"/>
      <w:marBottom w:val="0"/>
      <w:divBdr>
        <w:top w:val="none" w:sz="0" w:space="0" w:color="auto"/>
        <w:left w:val="none" w:sz="0" w:space="0" w:color="auto"/>
        <w:bottom w:val="none" w:sz="0" w:space="0" w:color="auto"/>
        <w:right w:val="none" w:sz="0" w:space="0" w:color="auto"/>
      </w:divBdr>
    </w:div>
    <w:div w:id="779495222">
      <w:bodyDiv w:val="1"/>
      <w:marLeft w:val="0"/>
      <w:marRight w:val="0"/>
      <w:marTop w:val="0"/>
      <w:marBottom w:val="0"/>
      <w:divBdr>
        <w:top w:val="none" w:sz="0" w:space="0" w:color="auto"/>
        <w:left w:val="none" w:sz="0" w:space="0" w:color="auto"/>
        <w:bottom w:val="none" w:sz="0" w:space="0" w:color="auto"/>
        <w:right w:val="none" w:sz="0" w:space="0" w:color="auto"/>
      </w:divBdr>
      <w:divsChild>
        <w:div w:id="940722496">
          <w:marLeft w:val="0"/>
          <w:marRight w:val="0"/>
          <w:marTop w:val="0"/>
          <w:marBottom w:val="0"/>
          <w:divBdr>
            <w:top w:val="none" w:sz="0" w:space="0" w:color="auto"/>
            <w:left w:val="none" w:sz="0" w:space="0" w:color="auto"/>
            <w:bottom w:val="none" w:sz="0" w:space="0" w:color="auto"/>
            <w:right w:val="none" w:sz="0" w:space="0" w:color="auto"/>
          </w:divBdr>
          <w:divsChild>
            <w:div w:id="2039235553">
              <w:marLeft w:val="0"/>
              <w:marRight w:val="0"/>
              <w:marTop w:val="0"/>
              <w:marBottom w:val="0"/>
              <w:divBdr>
                <w:top w:val="none" w:sz="0" w:space="0" w:color="auto"/>
                <w:left w:val="none" w:sz="0" w:space="0" w:color="auto"/>
                <w:bottom w:val="none" w:sz="0" w:space="0" w:color="auto"/>
                <w:right w:val="none" w:sz="0" w:space="0" w:color="auto"/>
              </w:divBdr>
              <w:divsChild>
                <w:div w:id="10524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7425">
      <w:bodyDiv w:val="1"/>
      <w:marLeft w:val="0"/>
      <w:marRight w:val="0"/>
      <w:marTop w:val="0"/>
      <w:marBottom w:val="0"/>
      <w:divBdr>
        <w:top w:val="none" w:sz="0" w:space="0" w:color="auto"/>
        <w:left w:val="none" w:sz="0" w:space="0" w:color="auto"/>
        <w:bottom w:val="none" w:sz="0" w:space="0" w:color="auto"/>
        <w:right w:val="none" w:sz="0" w:space="0" w:color="auto"/>
      </w:divBdr>
      <w:divsChild>
        <w:div w:id="583805783">
          <w:marLeft w:val="360"/>
          <w:marRight w:val="0"/>
          <w:marTop w:val="200"/>
          <w:marBottom w:val="0"/>
          <w:divBdr>
            <w:top w:val="none" w:sz="0" w:space="0" w:color="auto"/>
            <w:left w:val="none" w:sz="0" w:space="0" w:color="auto"/>
            <w:bottom w:val="none" w:sz="0" w:space="0" w:color="auto"/>
            <w:right w:val="none" w:sz="0" w:space="0" w:color="auto"/>
          </w:divBdr>
        </w:div>
        <w:div w:id="1160734858">
          <w:marLeft w:val="360"/>
          <w:marRight w:val="0"/>
          <w:marTop w:val="200"/>
          <w:marBottom w:val="0"/>
          <w:divBdr>
            <w:top w:val="none" w:sz="0" w:space="0" w:color="auto"/>
            <w:left w:val="none" w:sz="0" w:space="0" w:color="auto"/>
            <w:bottom w:val="none" w:sz="0" w:space="0" w:color="auto"/>
            <w:right w:val="none" w:sz="0" w:space="0" w:color="auto"/>
          </w:divBdr>
        </w:div>
        <w:div w:id="1319962439">
          <w:marLeft w:val="360"/>
          <w:marRight w:val="0"/>
          <w:marTop w:val="200"/>
          <w:marBottom w:val="0"/>
          <w:divBdr>
            <w:top w:val="none" w:sz="0" w:space="0" w:color="auto"/>
            <w:left w:val="none" w:sz="0" w:space="0" w:color="auto"/>
            <w:bottom w:val="none" w:sz="0" w:space="0" w:color="auto"/>
            <w:right w:val="none" w:sz="0" w:space="0" w:color="auto"/>
          </w:divBdr>
        </w:div>
      </w:divsChild>
    </w:div>
    <w:div w:id="903639023">
      <w:bodyDiv w:val="1"/>
      <w:marLeft w:val="0"/>
      <w:marRight w:val="0"/>
      <w:marTop w:val="0"/>
      <w:marBottom w:val="0"/>
      <w:divBdr>
        <w:top w:val="none" w:sz="0" w:space="0" w:color="auto"/>
        <w:left w:val="none" w:sz="0" w:space="0" w:color="auto"/>
        <w:bottom w:val="none" w:sz="0" w:space="0" w:color="auto"/>
        <w:right w:val="none" w:sz="0" w:space="0" w:color="auto"/>
      </w:divBdr>
    </w:div>
    <w:div w:id="1244143266">
      <w:bodyDiv w:val="1"/>
      <w:marLeft w:val="0"/>
      <w:marRight w:val="0"/>
      <w:marTop w:val="0"/>
      <w:marBottom w:val="0"/>
      <w:divBdr>
        <w:top w:val="none" w:sz="0" w:space="0" w:color="auto"/>
        <w:left w:val="none" w:sz="0" w:space="0" w:color="auto"/>
        <w:bottom w:val="none" w:sz="0" w:space="0" w:color="auto"/>
        <w:right w:val="none" w:sz="0" w:space="0" w:color="auto"/>
      </w:divBdr>
      <w:divsChild>
        <w:div w:id="99499236">
          <w:marLeft w:val="360"/>
          <w:marRight w:val="0"/>
          <w:marTop w:val="200"/>
          <w:marBottom w:val="0"/>
          <w:divBdr>
            <w:top w:val="none" w:sz="0" w:space="0" w:color="auto"/>
            <w:left w:val="none" w:sz="0" w:space="0" w:color="auto"/>
            <w:bottom w:val="none" w:sz="0" w:space="0" w:color="auto"/>
            <w:right w:val="none" w:sz="0" w:space="0" w:color="auto"/>
          </w:divBdr>
        </w:div>
        <w:div w:id="456800211">
          <w:marLeft w:val="360"/>
          <w:marRight w:val="0"/>
          <w:marTop w:val="200"/>
          <w:marBottom w:val="0"/>
          <w:divBdr>
            <w:top w:val="none" w:sz="0" w:space="0" w:color="auto"/>
            <w:left w:val="none" w:sz="0" w:space="0" w:color="auto"/>
            <w:bottom w:val="none" w:sz="0" w:space="0" w:color="auto"/>
            <w:right w:val="none" w:sz="0" w:space="0" w:color="auto"/>
          </w:divBdr>
        </w:div>
        <w:div w:id="1190023400">
          <w:marLeft w:val="360"/>
          <w:marRight w:val="0"/>
          <w:marTop w:val="200"/>
          <w:marBottom w:val="0"/>
          <w:divBdr>
            <w:top w:val="none" w:sz="0" w:space="0" w:color="auto"/>
            <w:left w:val="none" w:sz="0" w:space="0" w:color="auto"/>
            <w:bottom w:val="none" w:sz="0" w:space="0" w:color="auto"/>
            <w:right w:val="none" w:sz="0" w:space="0" w:color="auto"/>
          </w:divBdr>
        </w:div>
        <w:div w:id="1574781361">
          <w:marLeft w:val="360"/>
          <w:marRight w:val="0"/>
          <w:marTop w:val="200"/>
          <w:marBottom w:val="0"/>
          <w:divBdr>
            <w:top w:val="none" w:sz="0" w:space="0" w:color="auto"/>
            <w:left w:val="none" w:sz="0" w:space="0" w:color="auto"/>
            <w:bottom w:val="none" w:sz="0" w:space="0" w:color="auto"/>
            <w:right w:val="none" w:sz="0" w:space="0" w:color="auto"/>
          </w:divBdr>
        </w:div>
      </w:divsChild>
    </w:div>
    <w:div w:id="1248609736">
      <w:bodyDiv w:val="1"/>
      <w:marLeft w:val="0"/>
      <w:marRight w:val="0"/>
      <w:marTop w:val="0"/>
      <w:marBottom w:val="0"/>
      <w:divBdr>
        <w:top w:val="none" w:sz="0" w:space="0" w:color="auto"/>
        <w:left w:val="none" w:sz="0" w:space="0" w:color="auto"/>
        <w:bottom w:val="none" w:sz="0" w:space="0" w:color="auto"/>
        <w:right w:val="none" w:sz="0" w:space="0" w:color="auto"/>
      </w:divBdr>
    </w:div>
    <w:div w:id="1433669930">
      <w:bodyDiv w:val="1"/>
      <w:marLeft w:val="0"/>
      <w:marRight w:val="0"/>
      <w:marTop w:val="0"/>
      <w:marBottom w:val="0"/>
      <w:divBdr>
        <w:top w:val="none" w:sz="0" w:space="0" w:color="auto"/>
        <w:left w:val="none" w:sz="0" w:space="0" w:color="auto"/>
        <w:bottom w:val="none" w:sz="0" w:space="0" w:color="auto"/>
        <w:right w:val="none" w:sz="0" w:space="0" w:color="auto"/>
      </w:divBdr>
      <w:divsChild>
        <w:div w:id="445008826">
          <w:marLeft w:val="0"/>
          <w:marRight w:val="0"/>
          <w:marTop w:val="0"/>
          <w:marBottom w:val="0"/>
          <w:divBdr>
            <w:top w:val="none" w:sz="0" w:space="0" w:color="auto"/>
            <w:left w:val="none" w:sz="0" w:space="0" w:color="auto"/>
            <w:bottom w:val="none" w:sz="0" w:space="0" w:color="auto"/>
            <w:right w:val="none" w:sz="0" w:space="0" w:color="auto"/>
          </w:divBdr>
        </w:div>
        <w:div w:id="717321111">
          <w:marLeft w:val="0"/>
          <w:marRight w:val="0"/>
          <w:marTop w:val="0"/>
          <w:marBottom w:val="0"/>
          <w:divBdr>
            <w:top w:val="none" w:sz="0" w:space="0" w:color="auto"/>
            <w:left w:val="none" w:sz="0" w:space="0" w:color="auto"/>
            <w:bottom w:val="none" w:sz="0" w:space="0" w:color="auto"/>
            <w:right w:val="none" w:sz="0" w:space="0" w:color="auto"/>
          </w:divBdr>
        </w:div>
        <w:div w:id="349452305">
          <w:marLeft w:val="0"/>
          <w:marRight w:val="0"/>
          <w:marTop w:val="0"/>
          <w:marBottom w:val="0"/>
          <w:divBdr>
            <w:top w:val="none" w:sz="0" w:space="0" w:color="auto"/>
            <w:left w:val="none" w:sz="0" w:space="0" w:color="auto"/>
            <w:bottom w:val="none" w:sz="0" w:space="0" w:color="auto"/>
            <w:right w:val="none" w:sz="0" w:space="0" w:color="auto"/>
          </w:divBdr>
        </w:div>
        <w:div w:id="129595289">
          <w:marLeft w:val="0"/>
          <w:marRight w:val="0"/>
          <w:marTop w:val="0"/>
          <w:marBottom w:val="0"/>
          <w:divBdr>
            <w:top w:val="none" w:sz="0" w:space="0" w:color="auto"/>
            <w:left w:val="none" w:sz="0" w:space="0" w:color="auto"/>
            <w:bottom w:val="none" w:sz="0" w:space="0" w:color="auto"/>
            <w:right w:val="none" w:sz="0" w:space="0" w:color="auto"/>
          </w:divBdr>
        </w:div>
        <w:div w:id="1522666361">
          <w:marLeft w:val="0"/>
          <w:marRight w:val="0"/>
          <w:marTop w:val="0"/>
          <w:marBottom w:val="0"/>
          <w:divBdr>
            <w:top w:val="none" w:sz="0" w:space="0" w:color="auto"/>
            <w:left w:val="none" w:sz="0" w:space="0" w:color="auto"/>
            <w:bottom w:val="none" w:sz="0" w:space="0" w:color="auto"/>
            <w:right w:val="none" w:sz="0" w:space="0" w:color="auto"/>
          </w:divBdr>
        </w:div>
        <w:div w:id="761221164">
          <w:marLeft w:val="0"/>
          <w:marRight w:val="0"/>
          <w:marTop w:val="0"/>
          <w:marBottom w:val="0"/>
          <w:divBdr>
            <w:top w:val="none" w:sz="0" w:space="0" w:color="auto"/>
            <w:left w:val="none" w:sz="0" w:space="0" w:color="auto"/>
            <w:bottom w:val="none" w:sz="0" w:space="0" w:color="auto"/>
            <w:right w:val="none" w:sz="0" w:space="0" w:color="auto"/>
          </w:divBdr>
        </w:div>
        <w:div w:id="1201942372">
          <w:marLeft w:val="0"/>
          <w:marRight w:val="0"/>
          <w:marTop w:val="0"/>
          <w:marBottom w:val="0"/>
          <w:divBdr>
            <w:top w:val="none" w:sz="0" w:space="0" w:color="auto"/>
            <w:left w:val="none" w:sz="0" w:space="0" w:color="auto"/>
            <w:bottom w:val="none" w:sz="0" w:space="0" w:color="auto"/>
            <w:right w:val="none" w:sz="0" w:space="0" w:color="auto"/>
          </w:divBdr>
        </w:div>
        <w:div w:id="466823936">
          <w:marLeft w:val="0"/>
          <w:marRight w:val="0"/>
          <w:marTop w:val="0"/>
          <w:marBottom w:val="0"/>
          <w:divBdr>
            <w:top w:val="none" w:sz="0" w:space="0" w:color="auto"/>
            <w:left w:val="none" w:sz="0" w:space="0" w:color="auto"/>
            <w:bottom w:val="none" w:sz="0" w:space="0" w:color="auto"/>
            <w:right w:val="none" w:sz="0" w:space="0" w:color="auto"/>
          </w:divBdr>
        </w:div>
        <w:div w:id="1136950983">
          <w:marLeft w:val="0"/>
          <w:marRight w:val="0"/>
          <w:marTop w:val="0"/>
          <w:marBottom w:val="0"/>
          <w:divBdr>
            <w:top w:val="none" w:sz="0" w:space="0" w:color="auto"/>
            <w:left w:val="none" w:sz="0" w:space="0" w:color="auto"/>
            <w:bottom w:val="none" w:sz="0" w:space="0" w:color="auto"/>
            <w:right w:val="none" w:sz="0" w:space="0" w:color="auto"/>
          </w:divBdr>
        </w:div>
      </w:divsChild>
    </w:div>
    <w:div w:id="1551529534">
      <w:bodyDiv w:val="1"/>
      <w:marLeft w:val="0"/>
      <w:marRight w:val="0"/>
      <w:marTop w:val="0"/>
      <w:marBottom w:val="0"/>
      <w:divBdr>
        <w:top w:val="none" w:sz="0" w:space="0" w:color="auto"/>
        <w:left w:val="none" w:sz="0" w:space="0" w:color="auto"/>
        <w:bottom w:val="none" w:sz="0" w:space="0" w:color="auto"/>
        <w:right w:val="none" w:sz="0" w:space="0" w:color="auto"/>
      </w:divBdr>
      <w:divsChild>
        <w:div w:id="1828128234">
          <w:marLeft w:val="0"/>
          <w:marRight w:val="0"/>
          <w:marTop w:val="0"/>
          <w:marBottom w:val="0"/>
          <w:divBdr>
            <w:top w:val="none" w:sz="0" w:space="0" w:color="auto"/>
            <w:left w:val="none" w:sz="0" w:space="0" w:color="auto"/>
            <w:bottom w:val="none" w:sz="0" w:space="0" w:color="auto"/>
            <w:right w:val="none" w:sz="0" w:space="0" w:color="auto"/>
          </w:divBdr>
          <w:divsChild>
            <w:div w:id="76169827">
              <w:marLeft w:val="0"/>
              <w:marRight w:val="0"/>
              <w:marTop w:val="0"/>
              <w:marBottom w:val="0"/>
              <w:divBdr>
                <w:top w:val="none" w:sz="0" w:space="0" w:color="auto"/>
                <w:left w:val="none" w:sz="0" w:space="0" w:color="auto"/>
                <w:bottom w:val="none" w:sz="0" w:space="0" w:color="auto"/>
                <w:right w:val="none" w:sz="0" w:space="0" w:color="auto"/>
              </w:divBdr>
              <w:divsChild>
                <w:div w:id="13980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stol.ac.uk/alspac/researchers/our-da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15996</Words>
  <Characters>91180</Characters>
  <Application>Microsoft Office Word</Application>
  <DocSecurity>0</DocSecurity>
  <Lines>759</Lines>
  <Paragraphs>213</Paragraphs>
  <ScaleCrop>false</ScaleCrop>
  <Company/>
  <LinksUpToDate>false</LinksUpToDate>
  <CharactersWithSpaces>106963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Wootton</dc:creator>
  <cp:keywords/>
  <dc:description/>
  <cp:lastModifiedBy>Robyn Wootton</cp:lastModifiedBy>
  <cp:revision>2</cp:revision>
  <dcterms:created xsi:type="dcterms:W3CDTF">2024-05-14T14:34:00Z</dcterms:created>
  <dcterms:modified xsi:type="dcterms:W3CDTF">2024-05-14T14:34:00Z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id="IsL8S3RZ"/&gt;&lt;style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ies>
</file>