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Pr>
      <w:sdt>
        <w:sdtPr>
          <w:rPr>
            <w:b/>
            <w:bCs/>
          </w:rPr>
          <w:alias w:val="Title:"/>
          <w:tag w:val="Title:"/>
          <w:id w:val="726351117"/>
          <w:placeholder>
            <w:docPart w:val="2847296FBC5E4E2B92FFA2C204D91FC9"/>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Content>
          <w:r>
            <w:rPr>
              <w:b/>
              <w:bCs/>
            </w:rPr>
            <w:t>Supplementary Material</w:t>
          </w:r>
          <w:r>
            <w:rPr>
              <w:b/>
              <w:bCs/>
            </w:rPr>
            <w:br/>
          </w:r>
          <w:r>
            <w:rPr>
              <w:b/>
              <w:bCs/>
            </w:rPr>
            <w:br/>
            <w:t>Executive functions in psychopathy: A meta-analysis of inhibition, planning, shifting, and working memory performance</w:t>
          </w:r>
        </w:sdtContent>
      </w:sdt>
    </w:p>
    <w:p>
      <w:pPr>
        <w:pStyle w:val="Title2"/>
      </w:pPr>
    </w:p>
    <w:p>
      <w:pPr>
        <w:pStyle w:val="Title2"/>
        <w:rPr>
          <w:vertAlign w:val="superscript"/>
          <w:lang w:val="de-DE"/>
        </w:rPr>
      </w:pPr>
      <w:r>
        <w:rPr>
          <w:lang w:val="de-DE"/>
        </w:rPr>
        <w:t>Matthias Burghart</w:t>
      </w:r>
      <w:r>
        <w:rPr>
          <w:vertAlign w:val="superscript"/>
          <w:lang w:val="de-DE"/>
        </w:rPr>
        <w:t>1,2</w:t>
      </w:r>
      <w:r>
        <w:rPr>
          <w:lang w:val="de-DE"/>
        </w:rPr>
        <w:t>, Sergej Schmidt</w:t>
      </w:r>
      <w:r>
        <w:rPr>
          <w:vertAlign w:val="superscript"/>
          <w:lang w:val="de-DE"/>
        </w:rPr>
        <w:t>1</w:t>
      </w:r>
      <w:r>
        <w:rPr>
          <w:lang w:val="de-DE"/>
        </w:rPr>
        <w:t>, Daniela Mier</w:t>
      </w:r>
      <w:r>
        <w:rPr>
          <w:vertAlign w:val="superscript"/>
          <w:lang w:val="de-DE"/>
        </w:rPr>
        <w:t>1</w:t>
      </w:r>
    </w:p>
    <w:p>
      <w:pPr>
        <w:pStyle w:val="Title2"/>
      </w:pPr>
      <w:r>
        <w:rPr>
          <w:vertAlign w:val="superscript"/>
        </w:rPr>
        <w:t>1</w:t>
      </w:r>
      <w:r>
        <w:t>Department of Psychology, University of Konstanz, Konstanz, Germany</w:t>
      </w:r>
    </w:p>
    <w:p>
      <w:pPr>
        <w:pStyle w:val="Title2"/>
      </w:pPr>
      <w:r>
        <w:rPr>
          <w:vertAlign w:val="superscript"/>
        </w:rPr>
        <w:t>2</w:t>
      </w:r>
      <w:r>
        <w:t>Max Planck Institute for the Study of Crime, Security and Law, Freiburg, Germany</w:t>
      </w:r>
    </w:p>
    <w:p>
      <w:pPr>
        <w:pStyle w:val="Title2"/>
      </w:pPr>
    </w:p>
    <w:p>
      <w:pPr>
        <w:pStyle w:val="Title2"/>
      </w:pPr>
    </w:p>
    <w:p>
      <w:pPr>
        <w:pStyle w:val="Title2"/>
      </w:pPr>
    </w:p>
    <w:p>
      <w:pPr>
        <w:pStyle w:val="Title2"/>
      </w:pPr>
    </w:p>
    <w:p>
      <w:pPr>
        <w:pStyle w:val="Title2"/>
      </w:pPr>
      <w:sdt>
        <w:sdtPr>
          <w:alias w:val="Author Note:"/>
          <w:tag w:val="Author Note:"/>
          <w:id w:val="266668659"/>
          <w:placeholder>
            <w:docPart w:val="EA8EBDF9129F411C97D0C12804A94A1A"/>
          </w:placeholder>
          <w:temporary/>
          <w:showingPlcHdr/>
          <w15:appearance w15:val="hidden"/>
        </w:sdtPr>
        <w:sdtContent>
          <w:r>
            <w:rPr>
              <w:b/>
              <w:bCs/>
            </w:rPr>
            <w:t>Author Note</w:t>
          </w:r>
        </w:sdtContent>
      </w:sdt>
    </w:p>
    <w:p>
      <w:pPr>
        <w:rPr>
          <w:rStyle w:val="Hyperlink"/>
        </w:rPr>
      </w:pPr>
      <w:r>
        <w:t xml:space="preserve">Matthias Burghart </w:t>
      </w:r>
      <w:r>
        <w:rPr>
          <w:noProof/>
        </w:rPr>
        <w:drawing>
          <wp:inline distT="0" distB="0" distL="0" distR="0">
            <wp:extent cx="156845" cy="1568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t xml:space="preserve"> </w:t>
      </w:r>
      <w:hyperlink r:id="rId10" w:history="1">
        <w:r>
          <w:rPr>
            <w:rStyle w:val="Hyperlink"/>
          </w:rPr>
          <w:t>https://orcid.org/0000-0001-7300-1846</w:t>
        </w:r>
      </w:hyperlink>
    </w:p>
    <w:p>
      <w:pPr>
        <w:rPr>
          <w:lang w:val="de-DE"/>
        </w:rPr>
      </w:pPr>
      <w:r>
        <w:rPr>
          <w:lang w:val="de-DE"/>
        </w:rPr>
        <w:t xml:space="preserve">Sergej Schmidt </w:t>
      </w:r>
      <w:r>
        <w:rPr>
          <w:noProof/>
          <w:lang w:val="de-DE" w:eastAsia="de-DE"/>
        </w:rPr>
        <w:drawing>
          <wp:inline distT="0" distB="0" distL="0" distR="0">
            <wp:extent cx="156845" cy="1568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lang w:val="de-DE"/>
        </w:rPr>
        <w:t xml:space="preserve"> </w:t>
      </w:r>
      <w:hyperlink r:id="rId11" w:history="1">
        <w:r>
          <w:rPr>
            <w:rStyle w:val="Hyperlink"/>
            <w:lang w:val="de-DE"/>
          </w:rPr>
          <w:t>https://orcid.org/0000-0003-2398-2732</w:t>
        </w:r>
      </w:hyperlink>
    </w:p>
    <w:p>
      <w:pPr>
        <w:rPr>
          <w:color w:val="5F5F5F" w:themeColor="hyperlink"/>
          <w:u w:val="single"/>
          <w:lang w:val="pl-PL"/>
        </w:rPr>
      </w:pPr>
      <w:r>
        <w:rPr>
          <w:lang w:val="pl-PL"/>
        </w:rPr>
        <w:t xml:space="preserve">Daniela Mier </w:t>
      </w:r>
      <w:r>
        <w:rPr>
          <w:noProof/>
        </w:rPr>
        <w:drawing>
          <wp:inline distT="0" distB="0" distL="0" distR="0">
            <wp:extent cx="156845" cy="1568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845" cy="156845"/>
                    </a:xfrm>
                    <a:prstGeom prst="rect">
                      <a:avLst/>
                    </a:prstGeom>
                    <a:noFill/>
                    <a:ln>
                      <a:noFill/>
                    </a:ln>
                  </pic:spPr>
                </pic:pic>
              </a:graphicData>
            </a:graphic>
          </wp:inline>
        </w:drawing>
      </w:r>
      <w:r>
        <w:rPr>
          <w:lang w:val="pl-PL"/>
        </w:rPr>
        <w:t xml:space="preserve"> </w:t>
      </w:r>
      <w:hyperlink r:id="rId12" w:history="1">
        <w:r>
          <w:rPr>
            <w:rStyle w:val="Hyperlink"/>
            <w:lang w:val="pl-PL"/>
          </w:rPr>
          <w:t>https://orcid.org/0000-0003-2518-7492</w:t>
        </w:r>
      </w:hyperlink>
    </w:p>
    <w:p>
      <w:r>
        <w:t xml:space="preserve">Correspondence concerning this article should be addressed to Matthias Burghart, Max Planck Institute for the Study of Crime, Security and Law, </w:t>
      </w:r>
      <w:proofErr w:type="spellStart"/>
      <w:r>
        <w:t>Günterstalstraße</w:t>
      </w:r>
      <w:proofErr w:type="spellEnd"/>
      <w:r>
        <w:t xml:space="preserve"> 73, Freiburg </w:t>
      </w:r>
      <w:proofErr w:type="spellStart"/>
      <w:r>
        <w:t>im</w:t>
      </w:r>
      <w:proofErr w:type="spellEnd"/>
      <w:r>
        <w:t xml:space="preserve"> Br., Germany. Email: </w:t>
      </w:r>
      <w:r>
        <w:rPr>
          <w:u w:val="single"/>
        </w:rPr>
        <w:t>m.burghart@csl.mpg.de</w:t>
      </w:r>
      <w:r>
        <w:br w:type="page"/>
      </w:r>
    </w:p>
    <w:p>
      <w:pPr>
        <w:pStyle w:val="TableFigure"/>
        <w:rPr>
          <w:b/>
          <w:bCs/>
        </w:rPr>
      </w:pPr>
      <w:r>
        <w:rPr>
          <w:b/>
          <w:bCs/>
        </w:rPr>
        <w:lastRenderedPageBreak/>
        <w:t>Supplementary Table 1</w:t>
      </w:r>
    </w:p>
    <w:p>
      <w:pPr>
        <w:pStyle w:val="TableFigure"/>
        <w:spacing w:after="120"/>
        <w:rPr>
          <w:i/>
          <w:iCs/>
          <w:lang w:val="en-GB"/>
        </w:rPr>
      </w:pPr>
      <w:r>
        <w:rPr>
          <w:i/>
          <w:iCs/>
          <w:lang w:val="en-GB"/>
        </w:rPr>
        <w:t>Search terms used in our systematic literature search</w:t>
      </w:r>
    </w:p>
    <w:tbl>
      <w:tblPr>
        <w:tblStyle w:val="APAReport"/>
        <w:tblW w:w="5000" w:type="pct"/>
        <w:tblLook w:val="04A0" w:firstRow="1" w:lastRow="0" w:firstColumn="1" w:lastColumn="0" w:noHBand="0" w:noVBand="1"/>
      </w:tblPr>
      <w:tblGrid>
        <w:gridCol w:w="4680"/>
        <w:gridCol w:w="4680"/>
      </w:tblGrid>
      <w:tr>
        <w:trPr>
          <w:cnfStyle w:val="100000000000" w:firstRow="1" w:lastRow="0" w:firstColumn="0" w:lastColumn="0" w:oddVBand="0" w:evenVBand="0" w:oddHBand="0" w:evenHBand="0" w:firstRowFirstColumn="0" w:firstRowLastColumn="0" w:lastRowFirstColumn="0" w:lastRowLastColumn="0"/>
          <w:trHeight w:val="337"/>
        </w:trPr>
        <w:tc>
          <w:tcPr>
            <w:tcW w:w="2500" w:type="pct"/>
            <w:vAlign w:val="center"/>
          </w:tcPr>
          <w:p>
            <w:pPr>
              <w:rPr>
                <w:b/>
                <w:bCs/>
              </w:rPr>
            </w:pPr>
            <w:r>
              <w:rPr>
                <w:b/>
                <w:bCs/>
              </w:rPr>
              <w:t>Databases searched</w:t>
            </w:r>
          </w:p>
        </w:tc>
        <w:tc>
          <w:tcPr>
            <w:tcW w:w="2500" w:type="pct"/>
            <w:vAlign w:val="center"/>
          </w:tcPr>
          <w:p>
            <w:pPr>
              <w:ind w:left="720" w:hanging="720"/>
              <w:rPr>
                <w:b/>
                <w:bCs/>
              </w:rPr>
            </w:pPr>
            <w:r>
              <w:rPr>
                <w:b/>
                <w:bCs/>
              </w:rPr>
              <w:t>Search terms</w:t>
            </w:r>
          </w:p>
        </w:tc>
      </w:tr>
      <w:tr>
        <w:trPr>
          <w:trHeight w:val="2643"/>
        </w:trPr>
        <w:tc>
          <w:tcPr>
            <w:tcW w:w="2500" w:type="pct"/>
          </w:tcPr>
          <w:p>
            <w:pPr>
              <w:spacing w:before="60"/>
            </w:pPr>
            <w:r>
              <w:t>PsychInfo, PubMed, Web of Science</w:t>
            </w:r>
          </w:p>
        </w:tc>
        <w:tc>
          <w:tcPr>
            <w:tcW w:w="2500" w:type="pct"/>
          </w:tcPr>
          <w:p>
            <w:pPr>
              <w:spacing w:before="60"/>
            </w:pPr>
            <w:r>
              <w:t>(</w:t>
            </w:r>
            <w:proofErr w:type="gramStart"/>
            <w:r>
              <w:rPr>
                <w:i/>
                <w:iCs/>
              </w:rPr>
              <w:t>psychopathy</w:t>
            </w:r>
            <w:proofErr w:type="gramEnd"/>
            <w:r>
              <w:t xml:space="preserve"> OR </w:t>
            </w:r>
            <w:r>
              <w:rPr>
                <w:i/>
                <w:iCs/>
              </w:rPr>
              <w:t>psychopath</w:t>
            </w:r>
            <w:r>
              <w:t xml:space="preserve"> OR </w:t>
            </w:r>
            <w:r>
              <w:rPr>
                <w:i/>
                <w:iCs/>
              </w:rPr>
              <w:t>psychopathic</w:t>
            </w:r>
            <w:r>
              <w:t xml:space="preserve"> OR </w:t>
            </w:r>
            <w:proofErr w:type="spellStart"/>
            <w:r>
              <w:rPr>
                <w:i/>
                <w:iCs/>
              </w:rPr>
              <w:t>pcl</w:t>
            </w:r>
            <w:proofErr w:type="spellEnd"/>
            <w:r>
              <w:t xml:space="preserve">) </w:t>
            </w:r>
          </w:p>
          <w:p>
            <w:pPr>
              <w:spacing w:before="60"/>
            </w:pPr>
            <w:r>
              <w:t xml:space="preserve">AND </w:t>
            </w:r>
          </w:p>
          <w:p>
            <w:pPr>
              <w:spacing w:before="60"/>
            </w:pPr>
            <w:r>
              <w:t>(</w:t>
            </w:r>
            <w:proofErr w:type="gramStart"/>
            <w:r>
              <w:rPr>
                <w:i/>
                <w:iCs/>
              </w:rPr>
              <w:t>executive</w:t>
            </w:r>
            <w:proofErr w:type="gramEnd"/>
            <w:r>
              <w:rPr>
                <w:i/>
                <w:iCs/>
              </w:rPr>
              <w:t xml:space="preserve"> function</w:t>
            </w:r>
            <w:r>
              <w:t xml:space="preserve"> OR </w:t>
            </w:r>
            <w:r>
              <w:rPr>
                <w:i/>
                <w:iCs/>
              </w:rPr>
              <w:t>executive dysfunction</w:t>
            </w:r>
            <w:r>
              <w:t xml:space="preserve"> OR </w:t>
            </w:r>
            <w:r>
              <w:rPr>
                <w:i/>
                <w:iCs/>
              </w:rPr>
              <w:t>executive functioning</w:t>
            </w:r>
            <w:r>
              <w:t xml:space="preserve"> OR </w:t>
            </w:r>
            <w:r>
              <w:rPr>
                <w:i/>
                <w:iCs/>
              </w:rPr>
              <w:t>executive functions</w:t>
            </w:r>
            <w:r>
              <w:t xml:space="preserve"> OR </w:t>
            </w:r>
            <w:r>
              <w:rPr>
                <w:i/>
                <w:iCs/>
              </w:rPr>
              <w:t>cognitive flexibility</w:t>
            </w:r>
            <w:r>
              <w:t xml:space="preserve"> OR </w:t>
            </w:r>
            <w:r>
              <w:rPr>
                <w:i/>
                <w:iCs/>
              </w:rPr>
              <w:t>working memory</w:t>
            </w:r>
            <w:r>
              <w:t xml:space="preserve"> OR </w:t>
            </w:r>
            <w:r>
              <w:rPr>
                <w:i/>
                <w:iCs/>
              </w:rPr>
              <w:t>inhibition</w:t>
            </w:r>
            <w:r>
              <w:t xml:space="preserve"> OR </w:t>
            </w:r>
            <w:r>
              <w:rPr>
                <w:i/>
                <w:iCs/>
              </w:rPr>
              <w:t>cognitive control</w:t>
            </w:r>
            <w:r>
              <w:t xml:space="preserve"> OR </w:t>
            </w:r>
            <w:r>
              <w:rPr>
                <w:i/>
                <w:iCs/>
              </w:rPr>
              <w:t>planning</w:t>
            </w:r>
            <w:r>
              <w:t xml:space="preserve"> OR </w:t>
            </w:r>
            <w:r>
              <w:rPr>
                <w:i/>
                <w:iCs/>
              </w:rPr>
              <w:t>shifting</w:t>
            </w:r>
            <w:r>
              <w:t>)</w:t>
            </w:r>
          </w:p>
        </w:tc>
      </w:tr>
    </w:tbl>
    <w:p>
      <w:pPr>
        <w:pStyle w:val="TableFigure"/>
        <w:spacing w:after="120"/>
      </w:pPr>
    </w:p>
    <w:p>
      <w:pPr>
        <w:rPr>
          <w:b/>
          <w:bCs/>
        </w:rPr>
      </w:pPr>
      <w:r>
        <w:rPr>
          <w:b/>
          <w:bCs/>
        </w:rPr>
        <w:br w:type="page"/>
      </w:r>
    </w:p>
    <w:p>
      <w:pPr>
        <w:pStyle w:val="TableFigure"/>
        <w:rPr>
          <w:b/>
          <w:bCs/>
        </w:rPr>
      </w:pPr>
      <w:r>
        <w:rPr>
          <w:b/>
          <w:bCs/>
        </w:rPr>
        <w:lastRenderedPageBreak/>
        <w:t>Supplementary Table 2</w:t>
      </w:r>
    </w:p>
    <w:p>
      <w:pPr>
        <w:pStyle w:val="TableFigure"/>
        <w:spacing w:after="120"/>
        <w:rPr>
          <w:i/>
          <w:iCs/>
          <w:lang w:val="en-GB"/>
        </w:rPr>
      </w:pPr>
      <w:r>
        <w:rPr>
          <w:i/>
          <w:iCs/>
          <w:lang w:val="en-GB"/>
        </w:rPr>
        <w:t>Categorization of psychopathy subscales as interpersonal/affective or lifestyle/antisocial traits</w:t>
      </w:r>
    </w:p>
    <w:tbl>
      <w:tblPr>
        <w:tblStyle w:val="APAReport"/>
        <w:tblW w:w="5000" w:type="pct"/>
        <w:tblLook w:val="04A0" w:firstRow="1" w:lastRow="0" w:firstColumn="1" w:lastColumn="0" w:noHBand="0" w:noVBand="1"/>
      </w:tblPr>
      <w:tblGrid>
        <w:gridCol w:w="3261"/>
        <w:gridCol w:w="3259"/>
        <w:gridCol w:w="2840"/>
      </w:tblGrid>
      <w:tr>
        <w:trPr>
          <w:cnfStyle w:val="100000000000" w:firstRow="1" w:lastRow="0" w:firstColumn="0" w:lastColumn="0" w:oddVBand="0" w:evenVBand="0" w:oddHBand="0" w:evenHBand="0" w:firstRowFirstColumn="0" w:firstRowLastColumn="0" w:lastRowFirstColumn="0" w:lastRowLastColumn="0"/>
          <w:trHeight w:val="337"/>
        </w:trPr>
        <w:tc>
          <w:tcPr>
            <w:tcW w:w="1742" w:type="pct"/>
            <w:vAlign w:val="center"/>
          </w:tcPr>
          <w:p>
            <w:pPr>
              <w:rPr>
                <w:b/>
                <w:bCs/>
              </w:rPr>
            </w:pPr>
            <w:r>
              <w:rPr>
                <w:b/>
                <w:bCs/>
              </w:rPr>
              <w:t>Psychopathy Measure</w:t>
            </w:r>
          </w:p>
        </w:tc>
        <w:tc>
          <w:tcPr>
            <w:tcW w:w="1741" w:type="pct"/>
            <w:vAlign w:val="center"/>
          </w:tcPr>
          <w:p>
            <w:pPr>
              <w:ind w:left="720" w:hanging="720"/>
              <w:rPr>
                <w:b/>
                <w:bCs/>
              </w:rPr>
            </w:pPr>
            <w:r>
              <w:rPr>
                <w:b/>
                <w:bCs/>
              </w:rPr>
              <w:t>Subscale</w:t>
            </w:r>
          </w:p>
        </w:tc>
        <w:tc>
          <w:tcPr>
            <w:tcW w:w="1517" w:type="pct"/>
            <w:vAlign w:val="center"/>
          </w:tcPr>
          <w:p>
            <w:pPr>
              <w:ind w:left="720" w:hanging="720"/>
              <w:rPr>
                <w:b/>
                <w:bCs/>
              </w:rPr>
            </w:pPr>
            <w:r>
              <w:rPr>
                <w:b/>
                <w:bCs/>
              </w:rPr>
              <w:t>Categorization</w:t>
            </w:r>
          </w:p>
        </w:tc>
      </w:tr>
      <w:tr>
        <w:tc>
          <w:tcPr>
            <w:tcW w:w="1742" w:type="pct"/>
          </w:tcPr>
          <w:p>
            <w:pPr>
              <w:spacing w:before="60"/>
            </w:pPr>
            <w:r>
              <w:t>PCL-R / PCL:SV</w:t>
            </w:r>
          </w:p>
        </w:tc>
        <w:tc>
          <w:tcPr>
            <w:tcW w:w="1741" w:type="pct"/>
          </w:tcPr>
          <w:p>
            <w:pPr>
              <w:spacing w:before="60"/>
            </w:pPr>
            <w:r>
              <w:t>Facet 1</w:t>
            </w:r>
          </w:p>
        </w:tc>
        <w:tc>
          <w:tcPr>
            <w:tcW w:w="1517" w:type="pct"/>
          </w:tcPr>
          <w:p>
            <w:pPr>
              <w:spacing w:before="60"/>
            </w:pPr>
            <w:r>
              <w:t>I/A</w:t>
            </w:r>
          </w:p>
        </w:tc>
      </w:tr>
      <w:tr>
        <w:tc>
          <w:tcPr>
            <w:tcW w:w="1742" w:type="pct"/>
          </w:tcPr>
          <w:p>
            <w:pPr>
              <w:spacing w:before="60"/>
            </w:pPr>
          </w:p>
        </w:tc>
        <w:tc>
          <w:tcPr>
            <w:tcW w:w="1741" w:type="pct"/>
          </w:tcPr>
          <w:p>
            <w:pPr>
              <w:spacing w:before="60"/>
            </w:pPr>
            <w:r>
              <w:t>Facet 2</w:t>
            </w:r>
          </w:p>
        </w:tc>
        <w:tc>
          <w:tcPr>
            <w:tcW w:w="1517" w:type="pct"/>
          </w:tcPr>
          <w:p>
            <w:pPr>
              <w:spacing w:before="60"/>
            </w:pPr>
            <w:r>
              <w:t>I/A</w:t>
            </w:r>
          </w:p>
        </w:tc>
      </w:tr>
      <w:tr>
        <w:tc>
          <w:tcPr>
            <w:tcW w:w="1742" w:type="pct"/>
          </w:tcPr>
          <w:p>
            <w:pPr>
              <w:spacing w:before="60"/>
            </w:pPr>
          </w:p>
        </w:tc>
        <w:tc>
          <w:tcPr>
            <w:tcW w:w="1741" w:type="pct"/>
          </w:tcPr>
          <w:p>
            <w:pPr>
              <w:spacing w:before="60"/>
            </w:pPr>
            <w:r>
              <w:t>Facet 3</w:t>
            </w:r>
          </w:p>
        </w:tc>
        <w:tc>
          <w:tcPr>
            <w:tcW w:w="1517" w:type="pct"/>
          </w:tcPr>
          <w:p>
            <w:pPr>
              <w:spacing w:before="60"/>
            </w:pPr>
            <w:r>
              <w:t>L/A</w:t>
            </w:r>
          </w:p>
        </w:tc>
      </w:tr>
      <w:tr>
        <w:tc>
          <w:tcPr>
            <w:tcW w:w="1742" w:type="pct"/>
          </w:tcPr>
          <w:p>
            <w:pPr>
              <w:spacing w:before="60"/>
            </w:pPr>
          </w:p>
        </w:tc>
        <w:tc>
          <w:tcPr>
            <w:tcW w:w="1741" w:type="pct"/>
          </w:tcPr>
          <w:p>
            <w:pPr>
              <w:spacing w:before="60"/>
            </w:pPr>
            <w:r>
              <w:t>Facet 4</w:t>
            </w:r>
          </w:p>
        </w:tc>
        <w:tc>
          <w:tcPr>
            <w:tcW w:w="1517" w:type="pct"/>
          </w:tcPr>
          <w:p>
            <w:pPr>
              <w:spacing w:before="60"/>
            </w:pPr>
            <w:r>
              <w:t>L/A</w:t>
            </w:r>
          </w:p>
        </w:tc>
      </w:tr>
      <w:tr>
        <w:tc>
          <w:tcPr>
            <w:tcW w:w="1742" w:type="pct"/>
          </w:tcPr>
          <w:p>
            <w:pPr>
              <w:spacing w:before="120"/>
            </w:pPr>
            <w:r>
              <w:t>SRP</w:t>
            </w:r>
          </w:p>
        </w:tc>
        <w:tc>
          <w:tcPr>
            <w:tcW w:w="1741" w:type="pct"/>
          </w:tcPr>
          <w:p>
            <w:pPr>
              <w:spacing w:before="120"/>
            </w:pPr>
            <w:r>
              <w:t>Antisocial Behaviour</w:t>
            </w:r>
          </w:p>
        </w:tc>
        <w:tc>
          <w:tcPr>
            <w:tcW w:w="1517" w:type="pct"/>
          </w:tcPr>
          <w:p>
            <w:pPr>
              <w:spacing w:before="120"/>
            </w:pPr>
            <w:r>
              <w:t>L/A</w:t>
            </w:r>
          </w:p>
        </w:tc>
      </w:tr>
      <w:tr>
        <w:tc>
          <w:tcPr>
            <w:tcW w:w="1742" w:type="pct"/>
          </w:tcPr>
          <w:p>
            <w:pPr>
              <w:spacing w:before="60"/>
            </w:pPr>
          </w:p>
        </w:tc>
        <w:tc>
          <w:tcPr>
            <w:tcW w:w="1741" w:type="pct"/>
          </w:tcPr>
          <w:p>
            <w:pPr>
              <w:spacing w:before="60"/>
            </w:pPr>
            <w:r>
              <w:t>Pathological Lying</w:t>
            </w:r>
          </w:p>
        </w:tc>
        <w:tc>
          <w:tcPr>
            <w:tcW w:w="1517" w:type="pct"/>
          </w:tcPr>
          <w:p>
            <w:pPr>
              <w:spacing w:before="60"/>
            </w:pPr>
            <w:r>
              <w:t>I/A</w:t>
            </w:r>
          </w:p>
        </w:tc>
      </w:tr>
      <w:tr>
        <w:tc>
          <w:tcPr>
            <w:tcW w:w="1742" w:type="pct"/>
          </w:tcPr>
          <w:p>
            <w:pPr>
              <w:spacing w:before="60"/>
            </w:pPr>
          </w:p>
        </w:tc>
        <w:tc>
          <w:tcPr>
            <w:tcW w:w="1741" w:type="pct"/>
          </w:tcPr>
          <w:p>
            <w:pPr>
              <w:spacing w:before="60"/>
            </w:pPr>
            <w:r>
              <w:t>Erratic Lifestyle</w:t>
            </w:r>
          </w:p>
        </w:tc>
        <w:tc>
          <w:tcPr>
            <w:tcW w:w="1517" w:type="pct"/>
          </w:tcPr>
          <w:p>
            <w:pPr>
              <w:spacing w:before="60"/>
            </w:pPr>
            <w:r>
              <w:t>L/A</w:t>
            </w:r>
          </w:p>
        </w:tc>
      </w:tr>
      <w:tr>
        <w:tc>
          <w:tcPr>
            <w:tcW w:w="1742" w:type="pct"/>
          </w:tcPr>
          <w:p>
            <w:pPr>
              <w:spacing w:before="60"/>
            </w:pPr>
          </w:p>
        </w:tc>
        <w:tc>
          <w:tcPr>
            <w:tcW w:w="1741" w:type="pct"/>
          </w:tcPr>
          <w:p>
            <w:pPr>
              <w:spacing w:before="60"/>
            </w:pPr>
            <w:r>
              <w:t>Callous Affect</w:t>
            </w:r>
          </w:p>
        </w:tc>
        <w:tc>
          <w:tcPr>
            <w:tcW w:w="1517" w:type="pct"/>
          </w:tcPr>
          <w:p>
            <w:pPr>
              <w:spacing w:before="60"/>
            </w:pPr>
            <w:r>
              <w:t>I/A</w:t>
            </w:r>
          </w:p>
        </w:tc>
      </w:tr>
      <w:tr>
        <w:tc>
          <w:tcPr>
            <w:tcW w:w="1742" w:type="pct"/>
          </w:tcPr>
          <w:p>
            <w:pPr>
              <w:spacing w:before="120"/>
            </w:pPr>
            <w:r>
              <w:t>PPI(-R)</w:t>
            </w:r>
          </w:p>
        </w:tc>
        <w:tc>
          <w:tcPr>
            <w:tcW w:w="1741" w:type="pct"/>
          </w:tcPr>
          <w:p>
            <w:pPr>
              <w:spacing w:before="120"/>
            </w:pPr>
            <w:r>
              <w:t>Fearless Dominance</w:t>
            </w:r>
          </w:p>
        </w:tc>
        <w:tc>
          <w:tcPr>
            <w:tcW w:w="1517" w:type="pct"/>
          </w:tcPr>
          <w:p>
            <w:pPr>
              <w:spacing w:before="120"/>
            </w:pPr>
            <w:r>
              <w:t>I/A</w:t>
            </w:r>
          </w:p>
        </w:tc>
      </w:tr>
      <w:tr>
        <w:tc>
          <w:tcPr>
            <w:tcW w:w="1742" w:type="pct"/>
          </w:tcPr>
          <w:p>
            <w:pPr>
              <w:spacing w:before="60"/>
            </w:pPr>
          </w:p>
        </w:tc>
        <w:tc>
          <w:tcPr>
            <w:tcW w:w="1741" w:type="pct"/>
          </w:tcPr>
          <w:p>
            <w:pPr>
              <w:spacing w:before="60"/>
            </w:pPr>
            <w:r>
              <w:t>Coldheartedness</w:t>
            </w:r>
          </w:p>
        </w:tc>
        <w:tc>
          <w:tcPr>
            <w:tcW w:w="1517" w:type="pct"/>
          </w:tcPr>
          <w:p>
            <w:pPr>
              <w:spacing w:before="60"/>
            </w:pPr>
            <w:r>
              <w:t>I/A</w:t>
            </w:r>
          </w:p>
        </w:tc>
      </w:tr>
      <w:tr>
        <w:tc>
          <w:tcPr>
            <w:tcW w:w="1742" w:type="pct"/>
          </w:tcPr>
          <w:p>
            <w:pPr>
              <w:spacing w:before="60"/>
            </w:pPr>
          </w:p>
        </w:tc>
        <w:tc>
          <w:tcPr>
            <w:tcW w:w="1741" w:type="pct"/>
          </w:tcPr>
          <w:p>
            <w:pPr>
              <w:spacing w:before="60"/>
            </w:pPr>
            <w:r>
              <w:t>Impulsivity</w:t>
            </w:r>
          </w:p>
        </w:tc>
        <w:tc>
          <w:tcPr>
            <w:tcW w:w="1517" w:type="pct"/>
          </w:tcPr>
          <w:p>
            <w:pPr>
              <w:spacing w:before="60"/>
            </w:pPr>
            <w:r>
              <w:t>L/A</w:t>
            </w:r>
          </w:p>
        </w:tc>
      </w:tr>
      <w:tr>
        <w:tc>
          <w:tcPr>
            <w:tcW w:w="1742" w:type="pct"/>
          </w:tcPr>
          <w:p>
            <w:pPr>
              <w:spacing w:before="120"/>
            </w:pPr>
            <w:r>
              <w:t>LSRP</w:t>
            </w:r>
          </w:p>
        </w:tc>
        <w:tc>
          <w:tcPr>
            <w:tcW w:w="1741" w:type="pct"/>
          </w:tcPr>
          <w:p>
            <w:pPr>
              <w:spacing w:before="120"/>
            </w:pPr>
            <w:r>
              <w:t>Primary Psychopathy</w:t>
            </w:r>
          </w:p>
        </w:tc>
        <w:tc>
          <w:tcPr>
            <w:tcW w:w="1517" w:type="pct"/>
          </w:tcPr>
          <w:p>
            <w:pPr>
              <w:spacing w:before="120"/>
            </w:pPr>
            <w:r>
              <w:t>I/A</w:t>
            </w:r>
          </w:p>
        </w:tc>
      </w:tr>
      <w:tr>
        <w:tc>
          <w:tcPr>
            <w:tcW w:w="1742" w:type="pct"/>
          </w:tcPr>
          <w:p>
            <w:pPr>
              <w:spacing w:before="60"/>
            </w:pPr>
          </w:p>
        </w:tc>
        <w:tc>
          <w:tcPr>
            <w:tcW w:w="1741" w:type="pct"/>
          </w:tcPr>
          <w:p>
            <w:pPr>
              <w:spacing w:before="60"/>
            </w:pPr>
            <w:r>
              <w:t>Secondary Psychopathy</w:t>
            </w:r>
          </w:p>
        </w:tc>
        <w:tc>
          <w:tcPr>
            <w:tcW w:w="1517" w:type="pct"/>
          </w:tcPr>
          <w:p>
            <w:pPr>
              <w:spacing w:before="60"/>
            </w:pPr>
            <w:r>
              <w:t>L/A</w:t>
            </w:r>
          </w:p>
        </w:tc>
      </w:tr>
      <w:tr>
        <w:tc>
          <w:tcPr>
            <w:tcW w:w="1742" w:type="pct"/>
          </w:tcPr>
          <w:p>
            <w:pPr>
              <w:spacing w:before="120"/>
            </w:pPr>
            <w:r>
              <w:t>TriPM</w:t>
            </w:r>
          </w:p>
        </w:tc>
        <w:tc>
          <w:tcPr>
            <w:tcW w:w="1741" w:type="pct"/>
          </w:tcPr>
          <w:p>
            <w:pPr>
              <w:spacing w:before="120"/>
            </w:pPr>
            <w:r>
              <w:t>Boldness</w:t>
            </w:r>
          </w:p>
        </w:tc>
        <w:tc>
          <w:tcPr>
            <w:tcW w:w="1517" w:type="pct"/>
          </w:tcPr>
          <w:p>
            <w:pPr>
              <w:spacing w:before="120"/>
            </w:pPr>
            <w:r>
              <w:t>I/A</w:t>
            </w:r>
          </w:p>
        </w:tc>
      </w:tr>
      <w:tr>
        <w:tc>
          <w:tcPr>
            <w:tcW w:w="1742" w:type="pct"/>
          </w:tcPr>
          <w:p>
            <w:pPr>
              <w:spacing w:before="60"/>
            </w:pPr>
          </w:p>
        </w:tc>
        <w:tc>
          <w:tcPr>
            <w:tcW w:w="1741" w:type="pct"/>
          </w:tcPr>
          <w:p>
            <w:pPr>
              <w:spacing w:before="60"/>
            </w:pPr>
            <w:r>
              <w:t>Meanness</w:t>
            </w:r>
          </w:p>
        </w:tc>
        <w:tc>
          <w:tcPr>
            <w:tcW w:w="1517" w:type="pct"/>
          </w:tcPr>
          <w:p>
            <w:pPr>
              <w:spacing w:before="60"/>
            </w:pPr>
            <w:r>
              <w:t>I/A</w:t>
            </w:r>
          </w:p>
        </w:tc>
      </w:tr>
      <w:tr>
        <w:tc>
          <w:tcPr>
            <w:tcW w:w="1742" w:type="pct"/>
          </w:tcPr>
          <w:p>
            <w:pPr>
              <w:spacing w:before="60"/>
            </w:pPr>
          </w:p>
        </w:tc>
        <w:tc>
          <w:tcPr>
            <w:tcW w:w="1741" w:type="pct"/>
          </w:tcPr>
          <w:p>
            <w:pPr>
              <w:spacing w:before="60"/>
            </w:pPr>
            <w:r>
              <w:t>Disinhibition</w:t>
            </w:r>
          </w:p>
        </w:tc>
        <w:tc>
          <w:tcPr>
            <w:tcW w:w="1517" w:type="pct"/>
          </w:tcPr>
          <w:p>
            <w:pPr>
              <w:spacing w:before="60"/>
            </w:pPr>
            <w:r>
              <w:t>L/A</w:t>
            </w:r>
          </w:p>
        </w:tc>
      </w:tr>
    </w:tbl>
    <w:p>
      <w:pPr>
        <w:pStyle w:val="TableFigure"/>
        <w:spacing w:after="120"/>
      </w:pPr>
      <w:r>
        <w:rPr>
          <w:i/>
          <w:iCs/>
        </w:rPr>
        <w:t>Note</w:t>
      </w:r>
      <w:r>
        <w:t xml:space="preserve">. </w:t>
      </w:r>
      <w:bookmarkStart w:id="0" w:name="_Hlk118908442"/>
      <w:r>
        <w:t>PCL-R / PCL:SV = Psychopathy Checklist – Revised / Psychopathy Checklist: Screening Version; SRP = Self Report Psychopathy Scale; PPI(-R) = Psychopathic Personality Inventory (– Revised); LSRP = Levenson Self-Report Psychopathy Scale; TriPM = Triarchic Psychopathy Measure; I/A = Interpersonal/Affective; L/A = Lifestyle/Antisocial.</w:t>
      </w:r>
    </w:p>
    <w:p>
      <w:pPr>
        <w:pStyle w:val="TableFigure"/>
        <w:spacing w:after="120"/>
        <w:rPr>
          <w:rFonts w:ascii="Times New Roman" w:eastAsia="Calibri" w:hAnsi="Times New Roman" w:cs="Times New Roman"/>
        </w:rPr>
      </w:pPr>
      <w:r>
        <w:t xml:space="preserve">This table was adapted from Gillespie et al. </w:t>
      </w:r>
      <w:r>
        <w:fldChar w:fldCharType="begin"/>
      </w:r>
      <w:r>
        <w:instrText xml:space="preserve"> ADDIN ZOTERO_ITEM CSL_CITATION {"citationID":"6VnVu2x1","properties":{"formattedCitation":"(2022)","plainCitation":"(2022)","noteIndex":0},"citationItems":[{"id":5682,"uris":["http://zotero.org/users/5731299/items/DMP63PKK"],"itemData":{"id":5682,"type":"article-journal","abstract":"Traditional and more modern conceptualizations of psychopathy cite problems with impulse control. However, the extent to which these problems represent a cardinal feature of the disorder has been debated. In this study, we conducted a preregistered systematic review and meta-analysis, searching Embase, Medline, PsycINFO, and PubMed, for studies from inception to January 6th, 2022. We included 21 studies, published between 2009 and 2021, that reported on the relationship of psychopathy with performance on the go/no-go or stop signal task. A multilevel random-effects meta-analysis, including 43 effect sizes from 17 studies (total N = 1394), showed a significant pooled association between psychopathy and response inhibition r = − 0.143 (95 % CI: − 0.250 to − 0.034). The relatively small effect size, although statistically significant, calls in to question the extent to which difficulties in response inhibition should be considered a cardinal feature of psychopathic personality. The strength of the relationship did not significantly differ between non-criminal and criminal samples, gender, task type, tasks with or without an affective component, or by psychopathy trait dimension.","container-title":"Neuroscience &amp; Biobehavioral Reviews","DOI":"10.1016/j.neubiorev.2022.104868","ISSN":"01497634","journalAbbreviation":"Neuroscience &amp; Biobehavioral Reviews","language":"en","page":"104868","source":"DOI.org (Crossref)","title":"Psychopathy and response inhibition: A meta-analysis of go/no-go and stop signal task performance","title-short":"Psychopathy and response inhibition","volume":"142","author":[{"family":"Gillespie","given":"Steven M."},{"family":"Lee","given":"Jessica"},{"family":"Williams","given":"Rachael"},{"family":"Jones","given":"Andrew"}],"issued":{"date-parts":[["2022",11]]},"citation-key":"gillespiePsychopathyResponseInhibition2022"},"label":"page","suppress-author":true}],"schema":"https://github.com/citation-style-language/schema/raw/master/csl-citation.json"} </w:instrText>
      </w:r>
      <w:r>
        <w:fldChar w:fldCharType="separate"/>
      </w:r>
      <w:r>
        <w:rPr>
          <w:rFonts w:ascii="Times New Roman" w:hAnsi="Times New Roman" w:cs="Times New Roman"/>
        </w:rPr>
        <w:t>(2022)</w:t>
      </w:r>
      <w:r>
        <w:fldChar w:fldCharType="end"/>
      </w:r>
      <w:r>
        <w:t>.</w:t>
      </w:r>
    </w:p>
    <w:bookmarkEnd w:id="0"/>
    <w:p>
      <w:pPr>
        <w:pStyle w:val="TableFigure"/>
        <w:spacing w:after="120"/>
      </w:pPr>
    </w:p>
    <w:p>
      <w:pPr>
        <w:rPr>
          <w:rFonts w:asciiTheme="majorHAnsi" w:eastAsiaTheme="majorEastAsia" w:hAnsiTheme="majorHAnsi" w:cstheme="majorBidi"/>
          <w:b/>
          <w:bCs/>
        </w:rPr>
      </w:pPr>
      <w:r>
        <w:br w:type="page"/>
      </w:r>
    </w:p>
    <w:p>
      <w:pPr>
        <w:pStyle w:val="TableFigure"/>
        <w:rPr>
          <w:b/>
          <w:bCs/>
        </w:rPr>
      </w:pPr>
      <w:r>
        <w:rPr>
          <w:b/>
          <w:bCs/>
        </w:rPr>
        <w:lastRenderedPageBreak/>
        <w:t>Supplementary Table 3</w:t>
      </w:r>
    </w:p>
    <w:p>
      <w:pPr>
        <w:pStyle w:val="TableFigure"/>
        <w:keepNext/>
        <w:keepLines/>
        <w:spacing w:after="120"/>
        <w:rPr>
          <w:i/>
          <w:iCs/>
        </w:rPr>
      </w:pPr>
      <w:r>
        <w:rPr>
          <w:i/>
          <w:iCs/>
        </w:rPr>
        <w:t>Results of multilevel models (Cohen’s d) for each neuropsychological task (with n &gt; 1), sorted by effect size</w:t>
      </w:r>
    </w:p>
    <w:tbl>
      <w:tblPr>
        <w:tblStyle w:val="APAReport"/>
        <w:tblW w:w="5000" w:type="pct"/>
        <w:tblLook w:val="04A0" w:firstRow="1" w:lastRow="0" w:firstColumn="1" w:lastColumn="0" w:noHBand="0" w:noVBand="1"/>
      </w:tblPr>
      <w:tblGrid>
        <w:gridCol w:w="4536"/>
        <w:gridCol w:w="1277"/>
        <w:gridCol w:w="1368"/>
        <w:gridCol w:w="2179"/>
      </w:tblGrid>
      <w:tr>
        <w:trPr>
          <w:cnfStyle w:val="100000000000" w:firstRow="1" w:lastRow="0" w:firstColumn="0" w:lastColumn="0" w:oddVBand="0" w:evenVBand="0" w:oddHBand="0" w:evenHBand="0" w:firstRowFirstColumn="0" w:firstRowLastColumn="0" w:lastRowFirstColumn="0" w:lastRowLastColumn="0"/>
          <w:trHeight w:val="337"/>
        </w:trPr>
        <w:tc>
          <w:tcPr>
            <w:tcW w:w="2423" w:type="pct"/>
            <w:vAlign w:val="center"/>
          </w:tcPr>
          <w:p>
            <w:pPr>
              <w:rPr>
                <w:b/>
                <w:bCs/>
              </w:rPr>
            </w:pPr>
            <w:r>
              <w:rPr>
                <w:b/>
                <w:bCs/>
              </w:rPr>
              <w:t>EF Task</w:t>
            </w:r>
          </w:p>
        </w:tc>
        <w:tc>
          <w:tcPr>
            <w:tcW w:w="682" w:type="pct"/>
            <w:vAlign w:val="center"/>
          </w:tcPr>
          <w:p>
            <w:pPr>
              <w:keepNext/>
              <w:keepLines/>
              <w:ind w:left="720" w:hanging="720"/>
              <w:rPr>
                <w:b/>
                <w:bCs/>
                <w:i/>
                <w:iCs/>
              </w:rPr>
            </w:pPr>
            <w:r>
              <w:rPr>
                <w:b/>
                <w:bCs/>
                <w:i/>
                <w:iCs/>
              </w:rPr>
              <w:t>n</w:t>
            </w:r>
          </w:p>
        </w:tc>
        <w:tc>
          <w:tcPr>
            <w:tcW w:w="731" w:type="pct"/>
            <w:vAlign w:val="center"/>
          </w:tcPr>
          <w:p>
            <w:pPr>
              <w:keepNext/>
              <w:keepLines/>
              <w:ind w:left="720" w:hanging="720"/>
              <w:rPr>
                <w:b/>
                <w:bCs/>
                <w:i/>
                <w:iCs/>
              </w:rPr>
            </w:pPr>
            <w:r>
              <w:rPr>
                <w:b/>
                <w:bCs/>
                <w:i/>
                <w:iCs/>
              </w:rPr>
              <w:t>k</w:t>
            </w:r>
          </w:p>
        </w:tc>
        <w:tc>
          <w:tcPr>
            <w:tcW w:w="1164" w:type="pct"/>
            <w:vAlign w:val="center"/>
          </w:tcPr>
          <w:p>
            <w:pPr>
              <w:keepNext/>
              <w:keepLines/>
              <w:rPr>
                <w:b/>
                <w:bCs/>
              </w:rPr>
            </w:pPr>
            <w:r>
              <w:rPr>
                <w:b/>
                <w:bCs/>
                <w:i/>
                <w:iCs/>
              </w:rPr>
              <w:t>d</w:t>
            </w:r>
            <w:r>
              <w:rPr>
                <w:b/>
                <w:bCs/>
              </w:rPr>
              <w:t xml:space="preserve"> [95% CI]</w:t>
            </w:r>
          </w:p>
        </w:tc>
      </w:tr>
      <w:tr>
        <w:trPr>
          <w:trHeight w:val="397"/>
        </w:trPr>
        <w:tc>
          <w:tcPr>
            <w:tcW w:w="2423" w:type="pct"/>
            <w:vAlign w:val="center"/>
          </w:tcPr>
          <w:p>
            <w:r>
              <w:t>Tower of London</w:t>
            </w:r>
          </w:p>
        </w:tc>
        <w:tc>
          <w:tcPr>
            <w:tcW w:w="682" w:type="pct"/>
            <w:vAlign w:val="center"/>
          </w:tcPr>
          <w:p>
            <w:r>
              <w:t>3</w:t>
            </w:r>
          </w:p>
        </w:tc>
        <w:tc>
          <w:tcPr>
            <w:tcW w:w="731" w:type="pct"/>
            <w:vAlign w:val="center"/>
          </w:tcPr>
          <w:p>
            <w:r>
              <w:t>19</w:t>
            </w:r>
          </w:p>
        </w:tc>
        <w:tc>
          <w:tcPr>
            <w:tcW w:w="1164" w:type="pct"/>
            <w:vAlign w:val="center"/>
          </w:tcPr>
          <w:p>
            <w:r>
              <w:t>–1.03 [–1.83, –.</w:t>
            </w:r>
            <w:proofErr w:type="gramStart"/>
            <w:r>
              <w:t>23]</w:t>
            </w:r>
            <w:r>
              <w:rPr>
                <w:vertAlign w:val="superscript"/>
              </w:rPr>
              <w:t>*</w:t>
            </w:r>
            <w:proofErr w:type="gramEnd"/>
          </w:p>
        </w:tc>
      </w:tr>
      <w:tr>
        <w:trPr>
          <w:trHeight w:val="397"/>
        </w:trPr>
        <w:tc>
          <w:tcPr>
            <w:tcW w:w="2423" w:type="pct"/>
            <w:vAlign w:val="center"/>
          </w:tcPr>
          <w:p>
            <w:r>
              <w:t>Porteus Maze</w:t>
            </w:r>
          </w:p>
        </w:tc>
        <w:tc>
          <w:tcPr>
            <w:tcW w:w="682" w:type="pct"/>
            <w:vAlign w:val="center"/>
          </w:tcPr>
          <w:p>
            <w:r>
              <w:t>4</w:t>
            </w:r>
          </w:p>
        </w:tc>
        <w:tc>
          <w:tcPr>
            <w:tcW w:w="731" w:type="pct"/>
            <w:vAlign w:val="center"/>
          </w:tcPr>
          <w:p>
            <w:r>
              <w:t>6</w:t>
            </w:r>
          </w:p>
        </w:tc>
        <w:tc>
          <w:tcPr>
            <w:tcW w:w="1164" w:type="pct"/>
            <w:vAlign w:val="center"/>
          </w:tcPr>
          <w:p>
            <w:r>
              <w:t>–.61 [–1.28, .06]</w:t>
            </w:r>
          </w:p>
        </w:tc>
      </w:tr>
      <w:tr>
        <w:trPr>
          <w:trHeight w:val="397"/>
        </w:trPr>
        <w:tc>
          <w:tcPr>
            <w:tcW w:w="2423" w:type="pct"/>
            <w:vAlign w:val="center"/>
          </w:tcPr>
          <w:p>
            <w:proofErr w:type="spellStart"/>
            <w:r>
              <w:t>GoStop</w:t>
            </w:r>
            <w:proofErr w:type="spellEnd"/>
            <w:r>
              <w:t xml:space="preserve"> Impulsivity Paradigm</w:t>
            </w:r>
          </w:p>
        </w:tc>
        <w:tc>
          <w:tcPr>
            <w:tcW w:w="682" w:type="pct"/>
            <w:vAlign w:val="center"/>
          </w:tcPr>
          <w:p>
            <w:r>
              <w:t>2</w:t>
            </w:r>
          </w:p>
        </w:tc>
        <w:tc>
          <w:tcPr>
            <w:tcW w:w="731" w:type="pct"/>
            <w:vAlign w:val="center"/>
          </w:tcPr>
          <w:p>
            <w:r>
              <w:t>2</w:t>
            </w:r>
          </w:p>
        </w:tc>
        <w:tc>
          <w:tcPr>
            <w:tcW w:w="1164" w:type="pct"/>
            <w:vAlign w:val="center"/>
          </w:tcPr>
          <w:p>
            <w:r>
              <w:t>–.34 [–.73, .04]</w:t>
            </w:r>
          </w:p>
        </w:tc>
      </w:tr>
      <w:tr>
        <w:trPr>
          <w:trHeight w:val="397"/>
        </w:trPr>
        <w:tc>
          <w:tcPr>
            <w:tcW w:w="2423" w:type="pct"/>
            <w:vAlign w:val="center"/>
          </w:tcPr>
          <w:p>
            <w:r>
              <w:t>Go/No-Go</w:t>
            </w:r>
          </w:p>
        </w:tc>
        <w:tc>
          <w:tcPr>
            <w:tcW w:w="682" w:type="pct"/>
            <w:vAlign w:val="center"/>
          </w:tcPr>
          <w:p>
            <w:r>
              <w:t>9</w:t>
            </w:r>
          </w:p>
        </w:tc>
        <w:tc>
          <w:tcPr>
            <w:tcW w:w="731" w:type="pct"/>
            <w:vAlign w:val="center"/>
          </w:tcPr>
          <w:p>
            <w:r>
              <w:t>21</w:t>
            </w:r>
          </w:p>
        </w:tc>
        <w:tc>
          <w:tcPr>
            <w:tcW w:w="1164" w:type="pct"/>
            <w:vAlign w:val="center"/>
          </w:tcPr>
          <w:p>
            <w:pPr>
              <w:rPr>
                <w:vertAlign w:val="superscript"/>
              </w:rPr>
            </w:pPr>
            <w:r>
              <w:t>–.25 [–.49, –.</w:t>
            </w:r>
            <w:proofErr w:type="gramStart"/>
            <w:r>
              <w:t>01]</w:t>
            </w:r>
            <w:r>
              <w:rPr>
                <w:vertAlign w:val="superscript"/>
              </w:rPr>
              <w:t>*</w:t>
            </w:r>
            <w:proofErr w:type="gramEnd"/>
          </w:p>
        </w:tc>
      </w:tr>
      <w:tr>
        <w:trPr>
          <w:trHeight w:val="397"/>
        </w:trPr>
        <w:tc>
          <w:tcPr>
            <w:tcW w:w="2423" w:type="pct"/>
            <w:vAlign w:val="center"/>
          </w:tcPr>
          <w:p>
            <w:r>
              <w:t>Keep Track</w:t>
            </w:r>
          </w:p>
        </w:tc>
        <w:tc>
          <w:tcPr>
            <w:tcW w:w="682" w:type="pct"/>
            <w:vAlign w:val="center"/>
          </w:tcPr>
          <w:p>
            <w:r>
              <w:t>2</w:t>
            </w:r>
          </w:p>
        </w:tc>
        <w:tc>
          <w:tcPr>
            <w:tcW w:w="731" w:type="pct"/>
            <w:vAlign w:val="center"/>
          </w:tcPr>
          <w:p>
            <w:r>
              <w:t>2</w:t>
            </w:r>
          </w:p>
        </w:tc>
        <w:tc>
          <w:tcPr>
            <w:tcW w:w="1164" w:type="pct"/>
            <w:vAlign w:val="center"/>
          </w:tcPr>
          <w:p>
            <w:r>
              <w:t>–.23 [–.49, .03]</w:t>
            </w:r>
          </w:p>
        </w:tc>
      </w:tr>
      <w:tr>
        <w:trPr>
          <w:trHeight w:val="397"/>
        </w:trPr>
        <w:tc>
          <w:tcPr>
            <w:tcW w:w="2423" w:type="pct"/>
            <w:vAlign w:val="center"/>
          </w:tcPr>
          <w:p>
            <w:r>
              <w:t>Letter Memory</w:t>
            </w:r>
          </w:p>
        </w:tc>
        <w:tc>
          <w:tcPr>
            <w:tcW w:w="682" w:type="pct"/>
            <w:vAlign w:val="center"/>
          </w:tcPr>
          <w:p>
            <w:r>
              <w:t>2</w:t>
            </w:r>
          </w:p>
        </w:tc>
        <w:tc>
          <w:tcPr>
            <w:tcW w:w="731" w:type="pct"/>
            <w:vAlign w:val="center"/>
          </w:tcPr>
          <w:p>
            <w:r>
              <w:t>2</w:t>
            </w:r>
          </w:p>
        </w:tc>
        <w:tc>
          <w:tcPr>
            <w:tcW w:w="1164" w:type="pct"/>
            <w:vAlign w:val="center"/>
          </w:tcPr>
          <w:p>
            <w:r>
              <w:t>–.22 [–.50, .06]</w:t>
            </w:r>
          </w:p>
        </w:tc>
      </w:tr>
      <w:tr>
        <w:trPr>
          <w:trHeight w:val="397"/>
        </w:trPr>
        <w:tc>
          <w:tcPr>
            <w:tcW w:w="2423" w:type="pct"/>
            <w:vAlign w:val="center"/>
          </w:tcPr>
          <w:p>
            <w:r>
              <w:t>Flanker Task</w:t>
            </w:r>
          </w:p>
        </w:tc>
        <w:tc>
          <w:tcPr>
            <w:tcW w:w="682" w:type="pct"/>
            <w:vAlign w:val="center"/>
          </w:tcPr>
          <w:p>
            <w:r>
              <w:t>2</w:t>
            </w:r>
          </w:p>
        </w:tc>
        <w:tc>
          <w:tcPr>
            <w:tcW w:w="731" w:type="pct"/>
            <w:vAlign w:val="center"/>
          </w:tcPr>
          <w:p>
            <w:r>
              <w:t>7</w:t>
            </w:r>
          </w:p>
        </w:tc>
        <w:tc>
          <w:tcPr>
            <w:tcW w:w="1164" w:type="pct"/>
            <w:vAlign w:val="center"/>
          </w:tcPr>
          <w:p>
            <w:r>
              <w:t xml:space="preserve">–.16 [–.40, .07] </w:t>
            </w:r>
          </w:p>
        </w:tc>
      </w:tr>
      <w:tr>
        <w:trPr>
          <w:trHeight w:val="397"/>
        </w:trPr>
        <w:tc>
          <w:tcPr>
            <w:tcW w:w="2423" w:type="pct"/>
            <w:vAlign w:val="center"/>
          </w:tcPr>
          <w:p>
            <w:r>
              <w:t>Color Word Inference Test (D-KEFS)</w:t>
            </w:r>
          </w:p>
        </w:tc>
        <w:tc>
          <w:tcPr>
            <w:tcW w:w="682" w:type="pct"/>
            <w:vAlign w:val="center"/>
          </w:tcPr>
          <w:p>
            <w:r>
              <w:t>2</w:t>
            </w:r>
          </w:p>
        </w:tc>
        <w:tc>
          <w:tcPr>
            <w:tcW w:w="731" w:type="pct"/>
            <w:vAlign w:val="center"/>
          </w:tcPr>
          <w:p>
            <w:r>
              <w:t>5</w:t>
            </w:r>
          </w:p>
        </w:tc>
        <w:tc>
          <w:tcPr>
            <w:tcW w:w="1164" w:type="pct"/>
            <w:vAlign w:val="center"/>
          </w:tcPr>
          <w:p>
            <w:pPr>
              <w:rPr>
                <w:vertAlign w:val="superscript"/>
              </w:rPr>
            </w:pPr>
            <w:r>
              <w:t>–.15 [–.29, –.</w:t>
            </w:r>
            <w:proofErr w:type="gramStart"/>
            <w:r>
              <w:t>01]</w:t>
            </w:r>
            <w:r>
              <w:rPr>
                <w:vertAlign w:val="superscript"/>
              </w:rPr>
              <w:t>*</w:t>
            </w:r>
            <w:proofErr w:type="gramEnd"/>
          </w:p>
        </w:tc>
      </w:tr>
      <w:tr>
        <w:trPr>
          <w:trHeight w:val="397"/>
        </w:trPr>
        <w:tc>
          <w:tcPr>
            <w:tcW w:w="2423" w:type="pct"/>
            <w:vAlign w:val="center"/>
          </w:tcPr>
          <w:p>
            <w:r>
              <w:t>Trail Making Test</w:t>
            </w:r>
          </w:p>
        </w:tc>
        <w:tc>
          <w:tcPr>
            <w:tcW w:w="682" w:type="pct"/>
            <w:vAlign w:val="center"/>
          </w:tcPr>
          <w:p>
            <w:r>
              <w:t>6</w:t>
            </w:r>
          </w:p>
        </w:tc>
        <w:tc>
          <w:tcPr>
            <w:tcW w:w="731" w:type="pct"/>
            <w:vAlign w:val="center"/>
          </w:tcPr>
          <w:p>
            <w:r>
              <w:t>7</w:t>
            </w:r>
          </w:p>
        </w:tc>
        <w:tc>
          <w:tcPr>
            <w:tcW w:w="1164" w:type="pct"/>
            <w:vAlign w:val="center"/>
          </w:tcPr>
          <w:p>
            <w:r>
              <w:t>–.15 [–.34, .03]</w:t>
            </w:r>
          </w:p>
        </w:tc>
      </w:tr>
      <w:tr>
        <w:trPr>
          <w:trHeight w:val="397"/>
        </w:trPr>
        <w:tc>
          <w:tcPr>
            <w:tcW w:w="2423" w:type="pct"/>
            <w:vAlign w:val="center"/>
          </w:tcPr>
          <w:p>
            <w:r>
              <w:t>Wisconsin Card Sorting Test</w:t>
            </w:r>
          </w:p>
        </w:tc>
        <w:tc>
          <w:tcPr>
            <w:tcW w:w="682" w:type="pct"/>
            <w:vAlign w:val="center"/>
          </w:tcPr>
          <w:p>
            <w:r>
              <w:t>9</w:t>
            </w:r>
          </w:p>
        </w:tc>
        <w:tc>
          <w:tcPr>
            <w:tcW w:w="731" w:type="pct"/>
            <w:vAlign w:val="center"/>
          </w:tcPr>
          <w:p>
            <w:r>
              <w:t>31</w:t>
            </w:r>
          </w:p>
        </w:tc>
        <w:tc>
          <w:tcPr>
            <w:tcW w:w="1164" w:type="pct"/>
            <w:vAlign w:val="center"/>
          </w:tcPr>
          <w:p>
            <w:r>
              <w:t>–.11 [–.39, .17]</w:t>
            </w:r>
          </w:p>
        </w:tc>
      </w:tr>
      <w:tr>
        <w:trPr>
          <w:trHeight w:val="397"/>
        </w:trPr>
        <w:tc>
          <w:tcPr>
            <w:tcW w:w="2423" w:type="pct"/>
            <w:vAlign w:val="center"/>
          </w:tcPr>
          <w:p>
            <w:r>
              <w:t>Digit Span</w:t>
            </w:r>
          </w:p>
        </w:tc>
        <w:tc>
          <w:tcPr>
            <w:tcW w:w="682" w:type="pct"/>
            <w:vAlign w:val="center"/>
          </w:tcPr>
          <w:p>
            <w:r>
              <w:t>4</w:t>
            </w:r>
          </w:p>
        </w:tc>
        <w:tc>
          <w:tcPr>
            <w:tcW w:w="731" w:type="pct"/>
            <w:vAlign w:val="center"/>
          </w:tcPr>
          <w:p>
            <w:r>
              <w:t>5</w:t>
            </w:r>
          </w:p>
        </w:tc>
        <w:tc>
          <w:tcPr>
            <w:tcW w:w="1164" w:type="pct"/>
            <w:vAlign w:val="center"/>
          </w:tcPr>
          <w:p>
            <w:r>
              <w:t>–.07 [–.26, .12]</w:t>
            </w:r>
          </w:p>
        </w:tc>
      </w:tr>
      <w:tr>
        <w:trPr>
          <w:trHeight w:val="397"/>
        </w:trPr>
        <w:tc>
          <w:tcPr>
            <w:tcW w:w="2423" w:type="pct"/>
            <w:vAlign w:val="center"/>
          </w:tcPr>
          <w:p>
            <w:r>
              <w:t>Stroop Task</w:t>
            </w:r>
          </w:p>
        </w:tc>
        <w:tc>
          <w:tcPr>
            <w:tcW w:w="682" w:type="pct"/>
            <w:vAlign w:val="center"/>
          </w:tcPr>
          <w:p>
            <w:r>
              <w:t>9</w:t>
            </w:r>
          </w:p>
        </w:tc>
        <w:tc>
          <w:tcPr>
            <w:tcW w:w="731" w:type="pct"/>
            <w:vAlign w:val="center"/>
          </w:tcPr>
          <w:p>
            <w:r>
              <w:t>44</w:t>
            </w:r>
          </w:p>
        </w:tc>
        <w:tc>
          <w:tcPr>
            <w:tcW w:w="1164" w:type="pct"/>
            <w:vAlign w:val="center"/>
          </w:tcPr>
          <w:p>
            <w:r>
              <w:t>–.04 [–.22, .14]</w:t>
            </w:r>
          </w:p>
        </w:tc>
      </w:tr>
      <w:tr>
        <w:trPr>
          <w:trHeight w:val="397"/>
        </w:trPr>
        <w:tc>
          <w:tcPr>
            <w:tcW w:w="2423" w:type="pct"/>
            <w:vAlign w:val="center"/>
          </w:tcPr>
          <w:p>
            <w:r>
              <w:t>Spatial Working Memory</w:t>
            </w:r>
          </w:p>
        </w:tc>
        <w:tc>
          <w:tcPr>
            <w:tcW w:w="682" w:type="pct"/>
            <w:vAlign w:val="center"/>
          </w:tcPr>
          <w:p>
            <w:r>
              <w:t>2</w:t>
            </w:r>
          </w:p>
        </w:tc>
        <w:tc>
          <w:tcPr>
            <w:tcW w:w="731" w:type="pct"/>
            <w:vAlign w:val="center"/>
          </w:tcPr>
          <w:p>
            <w:r>
              <w:t>3</w:t>
            </w:r>
          </w:p>
        </w:tc>
        <w:tc>
          <w:tcPr>
            <w:tcW w:w="1164" w:type="pct"/>
            <w:vAlign w:val="center"/>
          </w:tcPr>
          <w:p>
            <w:r>
              <w:t>–.04 [–.52, .43]</w:t>
            </w:r>
          </w:p>
        </w:tc>
      </w:tr>
      <w:tr>
        <w:trPr>
          <w:trHeight w:val="397"/>
        </w:trPr>
        <w:tc>
          <w:tcPr>
            <w:tcW w:w="2423" w:type="pct"/>
            <w:vAlign w:val="center"/>
          </w:tcPr>
          <w:p>
            <w:r>
              <w:t>Number-Letter Task</w:t>
            </w:r>
          </w:p>
        </w:tc>
        <w:tc>
          <w:tcPr>
            <w:tcW w:w="682" w:type="pct"/>
            <w:vAlign w:val="center"/>
          </w:tcPr>
          <w:p>
            <w:r>
              <w:t>2</w:t>
            </w:r>
          </w:p>
        </w:tc>
        <w:tc>
          <w:tcPr>
            <w:tcW w:w="731" w:type="pct"/>
            <w:vAlign w:val="center"/>
          </w:tcPr>
          <w:p>
            <w:r>
              <w:t>2</w:t>
            </w:r>
          </w:p>
        </w:tc>
        <w:tc>
          <w:tcPr>
            <w:tcW w:w="1164" w:type="pct"/>
            <w:vAlign w:val="center"/>
          </w:tcPr>
          <w:p>
            <w:r>
              <w:t>.00 [–.14, .13]</w:t>
            </w:r>
          </w:p>
        </w:tc>
      </w:tr>
      <w:tr>
        <w:trPr>
          <w:trHeight w:val="397"/>
        </w:trPr>
        <w:tc>
          <w:tcPr>
            <w:tcW w:w="2423" w:type="pct"/>
            <w:vAlign w:val="center"/>
          </w:tcPr>
          <w:p>
            <w:r>
              <w:t>Intra/Extradimensional Set Shifting</w:t>
            </w:r>
          </w:p>
        </w:tc>
        <w:tc>
          <w:tcPr>
            <w:tcW w:w="682" w:type="pct"/>
            <w:vAlign w:val="center"/>
          </w:tcPr>
          <w:p>
            <w:r>
              <w:t>4</w:t>
            </w:r>
          </w:p>
        </w:tc>
        <w:tc>
          <w:tcPr>
            <w:tcW w:w="731" w:type="pct"/>
            <w:vAlign w:val="center"/>
          </w:tcPr>
          <w:p>
            <w:r>
              <w:t>7</w:t>
            </w:r>
          </w:p>
        </w:tc>
        <w:tc>
          <w:tcPr>
            <w:tcW w:w="1164" w:type="pct"/>
            <w:vAlign w:val="center"/>
          </w:tcPr>
          <w:p>
            <w:r>
              <w:t>.05 [–.13, .24]</w:t>
            </w:r>
          </w:p>
        </w:tc>
      </w:tr>
      <w:tr>
        <w:trPr>
          <w:trHeight w:val="397"/>
        </w:trPr>
        <w:tc>
          <w:tcPr>
            <w:tcW w:w="2423" w:type="pct"/>
            <w:vAlign w:val="center"/>
          </w:tcPr>
          <w:p>
            <w:r>
              <w:t>Stockings of Cambridge</w:t>
            </w:r>
          </w:p>
        </w:tc>
        <w:tc>
          <w:tcPr>
            <w:tcW w:w="682" w:type="pct"/>
            <w:vAlign w:val="center"/>
          </w:tcPr>
          <w:p>
            <w:r>
              <w:t>2</w:t>
            </w:r>
          </w:p>
        </w:tc>
        <w:tc>
          <w:tcPr>
            <w:tcW w:w="731" w:type="pct"/>
            <w:vAlign w:val="center"/>
          </w:tcPr>
          <w:p>
            <w:r>
              <w:t>5</w:t>
            </w:r>
          </w:p>
        </w:tc>
        <w:tc>
          <w:tcPr>
            <w:tcW w:w="1164" w:type="pct"/>
            <w:vAlign w:val="center"/>
          </w:tcPr>
          <w:p>
            <w:r>
              <w:t>.07 [–.14, .28]</w:t>
            </w:r>
          </w:p>
        </w:tc>
      </w:tr>
      <w:tr>
        <w:trPr>
          <w:trHeight w:val="397"/>
        </w:trPr>
        <w:tc>
          <w:tcPr>
            <w:tcW w:w="2423" w:type="pct"/>
            <w:vAlign w:val="center"/>
          </w:tcPr>
          <w:p>
            <w:r>
              <w:t>Stop Signal Task</w:t>
            </w:r>
          </w:p>
        </w:tc>
        <w:tc>
          <w:tcPr>
            <w:tcW w:w="682" w:type="pct"/>
            <w:vAlign w:val="center"/>
          </w:tcPr>
          <w:p>
            <w:r>
              <w:t>6</w:t>
            </w:r>
          </w:p>
        </w:tc>
        <w:tc>
          <w:tcPr>
            <w:tcW w:w="731" w:type="pct"/>
            <w:vAlign w:val="center"/>
          </w:tcPr>
          <w:p>
            <w:r>
              <w:t>11</w:t>
            </w:r>
          </w:p>
        </w:tc>
        <w:tc>
          <w:tcPr>
            <w:tcW w:w="1164" w:type="pct"/>
            <w:vAlign w:val="center"/>
          </w:tcPr>
          <w:p>
            <w:r>
              <w:t>.09 [–.14, .31]</w:t>
            </w:r>
          </w:p>
        </w:tc>
      </w:tr>
    </w:tbl>
    <w:p>
      <w:pPr>
        <w:pStyle w:val="TableFigure"/>
        <w:keepNext/>
        <w:keepLines/>
        <w:spacing w:after="120"/>
      </w:pPr>
      <w:r>
        <w:rPr>
          <w:i/>
          <w:iCs/>
        </w:rPr>
        <w:t>Note</w:t>
      </w:r>
      <w:r>
        <w:t xml:space="preserve">. EF = executive function; </w:t>
      </w:r>
      <w:r>
        <w:rPr>
          <w:i/>
          <w:iCs/>
        </w:rPr>
        <w:t>n</w:t>
      </w:r>
      <w:r>
        <w:t xml:space="preserve"> = number of studies; </w:t>
      </w:r>
      <w:r>
        <w:rPr>
          <w:i/>
          <w:iCs/>
        </w:rPr>
        <w:t>k</w:t>
      </w:r>
      <w:r>
        <w:t xml:space="preserve"> = number of effect sizes; </w:t>
      </w:r>
      <w:r>
        <w:rPr>
          <w:i/>
          <w:iCs/>
        </w:rPr>
        <w:t>d</w:t>
      </w:r>
      <w:r>
        <w:t xml:space="preserve"> = Cohen’s </w:t>
      </w:r>
      <w:r>
        <w:rPr>
          <w:i/>
          <w:iCs/>
        </w:rPr>
        <w:t>d</w:t>
      </w:r>
      <w:r>
        <w:t xml:space="preserve">; CI = confidence interval; </w:t>
      </w:r>
      <w:r>
        <w:rPr>
          <w:rFonts w:ascii="Times New Roman" w:eastAsia="Calibri" w:hAnsi="Times New Roman" w:cs="Times New Roman"/>
          <w:vertAlign w:val="superscript"/>
        </w:rPr>
        <w:t>***</w:t>
      </w:r>
      <w:r>
        <w:rPr>
          <w:rFonts w:ascii="Times New Roman" w:eastAsia="Calibri" w:hAnsi="Times New Roman" w:cs="Times New Roman"/>
        </w:rPr>
        <w:t xml:space="preserve"> </w:t>
      </w:r>
      <w:r>
        <w:rPr>
          <w:rFonts w:ascii="Times New Roman" w:eastAsia="Calibri" w:hAnsi="Times New Roman" w:cs="Times New Roman"/>
          <w:i/>
          <w:iCs/>
        </w:rPr>
        <w:t>p</w:t>
      </w:r>
      <w:r>
        <w:rPr>
          <w:rFonts w:ascii="Times New Roman" w:eastAsia="Calibri" w:hAnsi="Times New Roman" w:cs="Times New Roman"/>
        </w:rPr>
        <w:t xml:space="preserve"> &lt; .001; </w:t>
      </w:r>
      <w:r>
        <w:rPr>
          <w:rFonts w:ascii="Times New Roman" w:eastAsia="Calibri" w:hAnsi="Times New Roman" w:cs="Times New Roman"/>
          <w:vertAlign w:val="superscript"/>
        </w:rPr>
        <w:t>**</w:t>
      </w:r>
      <w:r>
        <w:rPr>
          <w:rFonts w:ascii="Times New Roman" w:eastAsia="Calibri" w:hAnsi="Times New Roman" w:cs="Times New Roman"/>
        </w:rPr>
        <w:t xml:space="preserve"> </w:t>
      </w:r>
      <w:r>
        <w:rPr>
          <w:rFonts w:ascii="Times New Roman" w:eastAsia="Calibri" w:hAnsi="Times New Roman" w:cs="Times New Roman"/>
          <w:i/>
          <w:iCs/>
        </w:rPr>
        <w:t>p</w:t>
      </w:r>
      <w:r>
        <w:rPr>
          <w:rFonts w:ascii="Times New Roman" w:eastAsia="Calibri" w:hAnsi="Times New Roman" w:cs="Times New Roman"/>
        </w:rPr>
        <w:t xml:space="preserve"> &lt; .01; </w:t>
      </w:r>
      <w:r>
        <w:rPr>
          <w:rFonts w:ascii="Times New Roman" w:eastAsia="Calibri" w:hAnsi="Times New Roman" w:cs="Times New Roman"/>
          <w:vertAlign w:val="superscript"/>
        </w:rPr>
        <w:t>*</w:t>
      </w:r>
      <w:r>
        <w:rPr>
          <w:rFonts w:ascii="Times New Roman" w:eastAsia="Calibri" w:hAnsi="Times New Roman" w:cs="Times New Roman"/>
        </w:rPr>
        <w:t xml:space="preserve"> </w:t>
      </w:r>
      <w:r>
        <w:rPr>
          <w:rFonts w:ascii="Times New Roman" w:eastAsia="Calibri" w:hAnsi="Times New Roman" w:cs="Times New Roman"/>
          <w:i/>
          <w:iCs/>
        </w:rPr>
        <w:t xml:space="preserve">p </w:t>
      </w:r>
      <w:r>
        <w:rPr>
          <w:rFonts w:ascii="Times New Roman" w:eastAsia="Calibri" w:hAnsi="Times New Roman" w:cs="Times New Roman"/>
        </w:rPr>
        <w:t>&lt; .05.</w:t>
      </w:r>
    </w:p>
    <w:p>
      <w:pPr>
        <w:rPr>
          <w:rFonts w:asciiTheme="majorHAnsi" w:eastAsiaTheme="majorEastAsia" w:hAnsiTheme="majorHAnsi" w:cstheme="majorBidi"/>
          <w:b/>
          <w:bCs/>
        </w:rPr>
      </w:pPr>
    </w:p>
    <w:p>
      <w:pPr>
        <w:rPr>
          <w:rFonts w:asciiTheme="majorHAnsi" w:eastAsiaTheme="majorEastAsia" w:hAnsiTheme="majorHAnsi" w:cstheme="majorBidi"/>
          <w:b/>
          <w:bCs/>
        </w:rPr>
      </w:pPr>
      <w:r>
        <w:br w:type="page"/>
      </w:r>
    </w:p>
    <w:p>
      <w:pPr>
        <w:ind w:firstLine="0"/>
        <w:rPr>
          <w:b/>
          <w:bCs/>
        </w:rPr>
      </w:pPr>
      <w:r>
        <w:rPr>
          <w:b/>
          <w:bCs/>
        </w:rPr>
        <w:lastRenderedPageBreak/>
        <w:t>Supplementary Figure 1</w:t>
      </w:r>
    </w:p>
    <w:p>
      <w:pPr>
        <w:ind w:firstLine="0"/>
        <w:rPr>
          <w:i/>
          <w:iCs/>
          <w:lang w:val="en-GB"/>
        </w:rPr>
      </w:pPr>
      <w:r>
        <w:rPr>
          <w:i/>
          <w:iCs/>
          <w:lang w:val="en-GB"/>
        </w:rPr>
        <w:t>Funnel plot for each executive function domain</w:t>
      </w:r>
    </w:p>
    <w:p>
      <w:pPr>
        <w:ind w:firstLine="0"/>
        <w:rPr>
          <w:i/>
          <w:iCs/>
          <w:lang w:val="en-GB"/>
        </w:rPr>
      </w:pPr>
      <w:r>
        <w:rPr>
          <w:i/>
          <w:iCs/>
          <w:noProof/>
          <w:lang w:val="de-DE" w:eastAsia="de-DE"/>
        </w:rPr>
        <w:drawing>
          <wp:inline distT="0" distB="0" distL="0" distR="0">
            <wp:extent cx="5939790" cy="5376545"/>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39790" cy="5376545"/>
                    </a:xfrm>
                    <a:prstGeom prst="rect">
                      <a:avLst/>
                    </a:prstGeom>
                    <a:noFill/>
                    <a:ln>
                      <a:noFill/>
                    </a:ln>
                  </pic:spPr>
                </pic:pic>
              </a:graphicData>
            </a:graphic>
          </wp:inline>
        </w:drawing>
      </w:r>
    </w:p>
    <w:p>
      <w:pPr>
        <w:pStyle w:val="TableFigure"/>
      </w:pPr>
      <w:r>
        <w:rPr>
          <w:i/>
          <w:iCs/>
        </w:rPr>
        <w:t>Note</w:t>
      </w:r>
      <w:r>
        <w:t>. Points of the same color represent dependent effect sizes. The colors can only be interpreted within a funnel plot and not across them.</w:t>
      </w:r>
    </w:p>
    <w:p>
      <w:pPr>
        <w:ind w:firstLine="0"/>
        <w:rPr>
          <w:rFonts w:asciiTheme="majorHAnsi" w:eastAsiaTheme="majorEastAsia" w:hAnsiTheme="majorHAnsi" w:cstheme="majorBidi"/>
          <w:b/>
          <w:bCs/>
        </w:rPr>
      </w:pPr>
    </w:p>
    <w:p>
      <w:pPr>
        <w:pStyle w:val="Heading1"/>
      </w:pPr>
      <w:r>
        <w:lastRenderedPageBreak/>
        <w:t>References</w:t>
      </w:r>
    </w:p>
    <w:p>
      <w:pPr>
        <w:pStyle w:val="Bibliography"/>
      </w:pPr>
      <w:r>
        <w:fldChar w:fldCharType="begin"/>
      </w:r>
      <w:r>
        <w:instrText xml:space="preserve"> ADDIN ZOTERO_BIBL {"uncited":[],"omitted":[],"custom":[]} CSL_BIBLIOGRAPHY </w:instrText>
      </w:r>
      <w:r>
        <w:fldChar w:fldCharType="separate"/>
      </w:r>
      <w:r>
        <w:t xml:space="preserve">Gillespie, S. M., Lee, J., Williams, R., &amp; Jones, A. (2022). Psychopathy and response inhibition: A meta-analysis of go/no-go and stop signal task performance. </w:t>
      </w:r>
      <w:r>
        <w:rPr>
          <w:i/>
          <w:iCs/>
        </w:rPr>
        <w:t>Neuroscience &amp; Biobehavioral Reviews</w:t>
      </w:r>
      <w:r>
        <w:t xml:space="preserve">, </w:t>
      </w:r>
      <w:r>
        <w:rPr>
          <w:i/>
          <w:iCs/>
        </w:rPr>
        <w:t>142</w:t>
      </w:r>
      <w:r>
        <w:t>, 104868. https://doi.org/10.1016/j.neubiorev.2022.104868</w:t>
      </w:r>
    </w:p>
    <w:p>
      <w:r>
        <w:fldChar w:fldCharType="end"/>
      </w:r>
    </w:p>
    <w:p>
      <w:pPr>
        <w:pStyle w:val="TableFigure"/>
        <w:spacing w:after="120"/>
      </w:pPr>
    </w:p>
    <w:sectPr>
      <w:headerReference w:type="default" r:id="rId14"/>
      <w:headerReference w:type="first" r:id="rId15"/>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p/>
  </w:endnote>
  <w:endnote w:type="continuationSeparator" w:id="0">
    <w:p>
      <w:pPr>
        <w:spacing w:line="240" w:lineRule="auto"/>
      </w:pPr>
      <w:r>
        <w:continuationSeparator/>
      </w: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p/>
  </w:footnote>
  <w:footnote w:type="continuationSeparator" w:id="0">
    <w:p>
      <w:pPr>
        <w:spacing w:line="240" w:lineRule="auto"/>
      </w:pPr>
      <w:r>
        <w:continuationSeparator/>
      </w:r>
    </w:p>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880726"/>
      <w:docPartObj>
        <w:docPartGallery w:val="Page Numbers (Top of Page)"/>
        <w:docPartUnique/>
      </w:docPartObj>
    </w:sdtPr>
    <w:sdtContent>
      <w:p>
        <w:pPr>
          <w:pStyle w:val="Header"/>
          <w:jc w:val="right"/>
        </w:pPr>
        <w:r>
          <w:fldChar w:fldCharType="begin"/>
        </w:r>
        <w:r>
          <w:instrText>PAGE   \* MERGEFORMAT</w:instrText>
        </w:r>
        <w:r>
          <w:fldChar w:fldCharType="separate"/>
        </w:r>
        <w:r>
          <w:rPr>
            <w:lang w:val="de-DE"/>
          </w:rPr>
          <w:t>2</w:t>
        </w:r>
        <w:r>
          <w:fldChar w:fldCharType="end"/>
        </w:r>
      </w:p>
    </w:sdtContent>
  </w:sdt>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650355"/>
      <w:docPartObj>
        <w:docPartGallery w:val="Page Numbers (Top of Page)"/>
        <w:docPartUnique/>
      </w:docPartObj>
    </w:sdtPr>
    <w:sdtContent>
      <w:p>
        <w:pPr>
          <w:pStyle w:val="Header"/>
          <w:jc w:val="right"/>
        </w:pPr>
        <w:r>
          <w:fldChar w:fldCharType="begin"/>
        </w:r>
        <w:r>
          <w:instrText>PAGE   \* MERGEFORMAT</w:instrText>
        </w:r>
        <w:r>
          <w:fldChar w:fldCharType="separate"/>
        </w:r>
        <w:r>
          <w:rPr>
            <w:lang w:val="de-DE"/>
          </w:rPr>
          <w:t>2</w:t>
        </w:r>
        <w:r>
          <w:fldChar w:fldCharType="end"/>
        </w:r>
      </w:p>
    </w:sdtContent>
  </w:sdt>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15E168B"/>
    <w:multiLevelType w:val="hybridMultilevel"/>
    <w:tmpl w:val="914239C0"/>
    <w:lvl w:ilvl="0" w:tplc="1C34758A">
      <w:numFmt w:val="bullet"/>
      <w:lvlText w:val="-"/>
      <w:lvlJc w:val="left"/>
      <w:pPr>
        <w:ind w:left="1080" w:hanging="360"/>
      </w:pPr>
      <w:rPr>
        <w:rFonts w:ascii="Times New Roman" w:eastAsiaTheme="minorEastAsia"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A4978CD"/>
    <w:multiLevelType w:val="hybridMultilevel"/>
    <w:tmpl w:val="32404B6E"/>
    <w:lvl w:ilvl="0" w:tplc="1C34758A">
      <w:numFmt w:val="bullet"/>
      <w:lvlText w:val="-"/>
      <w:lvlJc w:val="left"/>
      <w:pPr>
        <w:ind w:left="1800" w:hanging="360"/>
      </w:pPr>
      <w:rPr>
        <w:rFonts w:ascii="Times New Roman" w:eastAsiaTheme="minorEastAsia"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F2D1F5C"/>
    <w:multiLevelType w:val="hybridMultilevel"/>
    <w:tmpl w:val="83BEB68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2F534E97"/>
    <w:multiLevelType w:val="hybridMultilevel"/>
    <w:tmpl w:val="9D8C8DF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 w15:restartNumberingAfterBreak="0">
    <w:nsid w:val="44A23B53"/>
    <w:multiLevelType w:val="hybridMultilevel"/>
    <w:tmpl w:val="51C68484"/>
    <w:lvl w:ilvl="0" w:tplc="3C0CF0E0">
      <w:start w:val="14"/>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993557C"/>
    <w:multiLevelType w:val="hybridMultilevel"/>
    <w:tmpl w:val="84BCB128"/>
    <w:lvl w:ilvl="0" w:tplc="03F41824">
      <w:numFmt w:val="bullet"/>
      <w:lvlText w:val="-"/>
      <w:lvlJc w:val="left"/>
      <w:pPr>
        <w:ind w:left="1080" w:hanging="360"/>
      </w:pPr>
      <w:rPr>
        <w:rFonts w:ascii="Times New Roman" w:eastAsiaTheme="minorEastAsia"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9E6AB0"/>
    <w:multiLevelType w:val="multilevel"/>
    <w:tmpl w:val="413AD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70BC2534"/>
    <w:multiLevelType w:val="hybridMultilevel"/>
    <w:tmpl w:val="F5AC607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F81003"/>
    <w:multiLevelType w:val="hybridMultilevel"/>
    <w:tmpl w:val="C70212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21"/>
  </w:num>
  <w:num w:numId="13">
    <w:abstractNumId w:val="17"/>
  </w:num>
  <w:num w:numId="14">
    <w:abstractNumId w:val="16"/>
  </w:num>
  <w:num w:numId="15">
    <w:abstractNumId w:val="19"/>
  </w:num>
  <w:num w:numId="16">
    <w:abstractNumId w:val="20"/>
  </w:num>
  <w:num w:numId="17">
    <w:abstractNumId w:val="10"/>
  </w:num>
  <w:num w:numId="18">
    <w:abstractNumId w:val="11"/>
  </w:num>
  <w:num w:numId="19">
    <w:abstractNumId w:val="22"/>
  </w:num>
  <w:num w:numId="20">
    <w:abstractNumId w:val="18"/>
  </w:num>
  <w:num w:numId="21">
    <w:abstractNumId w:val="12"/>
  </w:num>
  <w:num w:numId="22">
    <w:abstractNumId w:val="13"/>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D47FA-D37F-4C91-B2FB-7D6AEF11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22"/>
      <w:szCs w:val="16"/>
    </w:rPr>
  </w:style>
  <w:style w:type="character" w:customStyle="1" w:styleId="BodyText3Char">
    <w:name w:val="Body Text 3 Char"/>
    <w:basedOn w:val="DefaultParagraphFont"/>
    <w:link w:val="BodyText3"/>
    <w:uiPriority w:val="99"/>
    <w:semiHidden/>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Pr>
      <w:kern w:val="24"/>
      <w:sz w:val="22"/>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2"/>
      <w:szCs w:val="20"/>
    </w:rPr>
  </w:style>
  <w:style w:type="character" w:customStyle="1" w:styleId="CommentTextChar">
    <w:name w:val="Comment Text Char"/>
    <w:basedOn w:val="DefaultParagraphFont"/>
    <w:link w:val="CommentText"/>
    <w:uiPriority w:val="99"/>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2"/>
      <w:szCs w:val="20"/>
    </w:rPr>
  </w:style>
  <w:style w:type="character" w:customStyle="1" w:styleId="FootnoteTextChar">
    <w:name w:val="Footnote Text Char"/>
    <w:basedOn w:val="DefaultParagraphFont"/>
    <w:link w:val="FootnoteText"/>
    <w:uiPriority w:val="99"/>
    <w:semiHidden/>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pPr>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Pr>
      <w:sz w:val="22"/>
      <w:szCs w:val="16"/>
    </w:rPr>
  </w:style>
  <w:style w:type="paragraph" w:styleId="EndnoteText">
    <w:name w:val="endnote text"/>
    <w:basedOn w:val="Normal"/>
    <w:link w:val="EndnoteTextChar"/>
    <w:uiPriority w:val="99"/>
    <w:semiHidden/>
    <w:unhideWhenUsed/>
    <w:qFormat/>
    <w:pPr>
      <w:spacing w:line="240" w:lineRule="auto"/>
    </w:pPr>
    <w:rPr>
      <w:sz w:val="22"/>
      <w:szCs w:val="20"/>
    </w:rPr>
  </w:style>
  <w:style w:type="character" w:customStyle="1" w:styleId="EndnoteTextChar">
    <w:name w:val="Endnote Text Char"/>
    <w:basedOn w:val="DefaultParagraphFont"/>
    <w:link w:val="EndnoteText"/>
    <w:uiPriority w:val="99"/>
    <w:semiHidden/>
    <w:rPr>
      <w:kern w:val="24"/>
      <w:sz w:val="22"/>
      <w:szCs w:val="20"/>
    </w:rPr>
  </w:style>
  <w:style w:type="character" w:styleId="HTMLCode">
    <w:name w:val="HTML Code"/>
    <w:basedOn w:val="DefaultParagraphFont"/>
    <w:uiPriority w:val="99"/>
    <w:semiHidden/>
    <w:unhideWhenUsed/>
    <w:rPr>
      <w:rFonts w:ascii="Consolas" w:hAnsi="Consolas"/>
      <w:sz w:val="22"/>
      <w:szCs w:val="20"/>
    </w:rPr>
  </w:style>
  <w:style w:type="character" w:styleId="HTMLKeyboard">
    <w:name w:val="HTML Keyboard"/>
    <w:basedOn w:val="DefaultParagraphFont"/>
    <w:uiPriority w:val="99"/>
    <w:semiHidden/>
    <w:unhideWhenUsed/>
    <w:rPr>
      <w:rFonts w:ascii="Consolas" w:hAnsi="Consolas"/>
      <w:sz w:val="22"/>
      <w:szCs w:val="20"/>
    </w:rPr>
  </w:style>
  <w:style w:type="character" w:styleId="HTMLTypewriter">
    <w:name w:val="HTML Typewriter"/>
    <w:basedOn w:val="DefaultParagraphFont"/>
    <w:uiPriority w:val="99"/>
    <w:semiHidden/>
    <w:unhideWhenUsed/>
    <w:rPr>
      <w:rFonts w:ascii="Consolas" w:hAnsi="Consolas"/>
      <w:sz w:val="22"/>
      <w:szCs w:val="20"/>
    </w:rPr>
  </w:style>
  <w:style w:type="character" w:styleId="IntenseEmphasis">
    <w:name w:val="Intense Emphasis"/>
    <w:basedOn w:val="DefaultParagraphFont"/>
    <w:uiPriority w:val="21"/>
    <w:semiHidden/>
    <w:unhideWhenUsed/>
    <w:qFormat/>
    <w:rPr>
      <w:i/>
      <w:iCs/>
      <w:color w:val="373737" w:themeColor="accent1" w:themeShade="40"/>
    </w:rPr>
  </w:style>
  <w:style w:type="character" w:styleId="IntenseReference">
    <w:name w:val="Intense Reference"/>
    <w:basedOn w:val="DefaultParagraphFont"/>
    <w:uiPriority w:val="32"/>
    <w:semiHidden/>
    <w:unhideWhenUsed/>
    <w:qFormat/>
    <w:rPr>
      <w:b/>
      <w:bCs/>
      <w:caps w:val="0"/>
      <w:smallCaps/>
      <w:color w:val="595959" w:themeColor="text1" w:themeTint="A6"/>
      <w:spacing w:val="5"/>
    </w:rPr>
  </w:style>
  <w:style w:type="paragraph" w:styleId="TOCHeading">
    <w:name w:val="TOC Heading"/>
    <w:basedOn w:val="Heading1"/>
    <w:next w:val="Normal"/>
    <w:uiPriority w:val="39"/>
    <w:semiHidden/>
    <w:unhideWhenUsed/>
    <w:qFormat/>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Pr>
      <w:color w:val="595959" w:themeColor="text1" w:themeTint="A6"/>
      <w:u w:val="single"/>
    </w:rPr>
  </w:style>
  <w:style w:type="paragraph" w:customStyle="1" w:styleId="Title2">
    <w:name w:val="Title 2"/>
    <w:basedOn w:val="Normal"/>
    <w:uiPriority w:val="1"/>
    <w:qFormat/>
    <w:pPr>
      <w:ind w:firstLine="0"/>
      <w:jc w:val="center"/>
    </w:pPr>
  </w:style>
  <w:style w:type="character" w:styleId="Hyperlink">
    <w:name w:val="Hyperlink"/>
    <w:basedOn w:val="DefaultParagraphFont"/>
    <w:uiPriority w:val="99"/>
    <w:unhideWhenUsed/>
    <w:rPr>
      <w:color w:val="5F5F5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Revision">
    <w:name w:val="Revision"/>
    <w:hidden/>
    <w:uiPriority w:val="99"/>
    <w:semiHidden/>
    <w:pPr>
      <w:spacing w:line="240" w:lineRule="auto"/>
      <w:ind w:firstLine="0"/>
    </w:pPr>
    <w:rPr>
      <w:kern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785">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397675009">
      <w:bodyDiv w:val="1"/>
      <w:marLeft w:val="0"/>
      <w:marRight w:val="0"/>
      <w:marTop w:val="0"/>
      <w:marBottom w:val="0"/>
      <w:divBdr>
        <w:top w:val="none" w:sz="0" w:space="0" w:color="auto"/>
        <w:left w:val="none" w:sz="0" w:space="0" w:color="auto"/>
        <w:bottom w:val="none" w:sz="0" w:space="0" w:color="auto"/>
        <w:right w:val="none" w:sz="0" w:space="0" w:color="auto"/>
      </w:divBdr>
      <w:divsChild>
        <w:div w:id="2023582965">
          <w:marLeft w:val="0"/>
          <w:marRight w:val="0"/>
          <w:marTop w:val="0"/>
          <w:marBottom w:val="0"/>
          <w:divBdr>
            <w:top w:val="none" w:sz="0" w:space="0" w:color="auto"/>
            <w:left w:val="none" w:sz="0" w:space="0" w:color="auto"/>
            <w:bottom w:val="none" w:sz="0" w:space="0" w:color="auto"/>
            <w:right w:val="none" w:sz="0" w:space="0" w:color="auto"/>
          </w:divBdr>
        </w:div>
        <w:div w:id="357320442">
          <w:marLeft w:val="0"/>
          <w:marRight w:val="0"/>
          <w:marTop w:val="0"/>
          <w:marBottom w:val="0"/>
          <w:divBdr>
            <w:top w:val="none" w:sz="0" w:space="0" w:color="auto"/>
            <w:left w:val="none" w:sz="0" w:space="0" w:color="auto"/>
            <w:bottom w:val="none" w:sz="0" w:space="0" w:color="auto"/>
            <w:right w:val="none" w:sz="0" w:space="0" w:color="auto"/>
          </w:divBdr>
        </w:div>
        <w:div w:id="222376693">
          <w:marLeft w:val="0"/>
          <w:marRight w:val="0"/>
          <w:marTop w:val="0"/>
          <w:marBottom w:val="0"/>
          <w:divBdr>
            <w:top w:val="none" w:sz="0" w:space="0" w:color="auto"/>
            <w:left w:val="none" w:sz="0" w:space="0" w:color="auto"/>
            <w:bottom w:val="none" w:sz="0" w:space="0" w:color="auto"/>
            <w:right w:val="none" w:sz="0" w:space="0" w:color="auto"/>
          </w:divBdr>
        </w:div>
        <w:div w:id="1746611282">
          <w:marLeft w:val="0"/>
          <w:marRight w:val="0"/>
          <w:marTop w:val="0"/>
          <w:marBottom w:val="0"/>
          <w:divBdr>
            <w:top w:val="none" w:sz="0" w:space="0" w:color="auto"/>
            <w:left w:val="none" w:sz="0" w:space="0" w:color="auto"/>
            <w:bottom w:val="none" w:sz="0" w:space="0" w:color="auto"/>
            <w:right w:val="none" w:sz="0" w:space="0" w:color="auto"/>
          </w:divBdr>
        </w:div>
        <w:div w:id="1547914049">
          <w:marLeft w:val="0"/>
          <w:marRight w:val="0"/>
          <w:marTop w:val="0"/>
          <w:marBottom w:val="0"/>
          <w:divBdr>
            <w:top w:val="none" w:sz="0" w:space="0" w:color="auto"/>
            <w:left w:val="none" w:sz="0" w:space="0" w:color="auto"/>
            <w:bottom w:val="none" w:sz="0" w:space="0" w:color="auto"/>
            <w:right w:val="none" w:sz="0" w:space="0" w:color="auto"/>
          </w:divBdr>
        </w:div>
      </w:divsChild>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700479637">
      <w:bodyDiv w:val="1"/>
      <w:marLeft w:val="0"/>
      <w:marRight w:val="0"/>
      <w:marTop w:val="0"/>
      <w:marBottom w:val="0"/>
      <w:divBdr>
        <w:top w:val="none" w:sz="0" w:space="0" w:color="auto"/>
        <w:left w:val="none" w:sz="0" w:space="0" w:color="auto"/>
        <w:bottom w:val="none" w:sz="0" w:space="0" w:color="auto"/>
        <w:right w:val="none" w:sz="0" w:space="0" w:color="auto"/>
      </w:divBdr>
      <w:divsChild>
        <w:div w:id="1052341600">
          <w:marLeft w:val="0"/>
          <w:marRight w:val="0"/>
          <w:marTop w:val="0"/>
          <w:marBottom w:val="0"/>
          <w:divBdr>
            <w:top w:val="none" w:sz="0" w:space="0" w:color="auto"/>
            <w:left w:val="none" w:sz="0" w:space="0" w:color="auto"/>
            <w:bottom w:val="none" w:sz="0" w:space="0" w:color="auto"/>
            <w:right w:val="none" w:sz="0" w:space="0" w:color="auto"/>
          </w:divBdr>
        </w:div>
        <w:div w:id="204224163">
          <w:marLeft w:val="0"/>
          <w:marRight w:val="0"/>
          <w:marTop w:val="0"/>
          <w:marBottom w:val="0"/>
          <w:divBdr>
            <w:top w:val="none" w:sz="0" w:space="0" w:color="auto"/>
            <w:left w:val="none" w:sz="0" w:space="0" w:color="auto"/>
            <w:bottom w:val="none" w:sz="0" w:space="0" w:color="auto"/>
            <w:right w:val="none" w:sz="0" w:space="0" w:color="auto"/>
          </w:divBdr>
        </w:div>
        <w:div w:id="629943667">
          <w:marLeft w:val="0"/>
          <w:marRight w:val="0"/>
          <w:marTop w:val="0"/>
          <w:marBottom w:val="0"/>
          <w:divBdr>
            <w:top w:val="none" w:sz="0" w:space="0" w:color="auto"/>
            <w:left w:val="none" w:sz="0" w:space="0" w:color="auto"/>
            <w:bottom w:val="none" w:sz="0" w:space="0" w:color="auto"/>
            <w:right w:val="none" w:sz="0" w:space="0" w:color="auto"/>
          </w:divBdr>
        </w:div>
        <w:div w:id="536701620">
          <w:marLeft w:val="0"/>
          <w:marRight w:val="0"/>
          <w:marTop w:val="0"/>
          <w:marBottom w:val="0"/>
          <w:divBdr>
            <w:top w:val="none" w:sz="0" w:space="0" w:color="auto"/>
            <w:left w:val="none" w:sz="0" w:space="0" w:color="auto"/>
            <w:bottom w:val="none" w:sz="0" w:space="0" w:color="auto"/>
            <w:right w:val="none" w:sz="0" w:space="0" w:color="auto"/>
          </w:divBdr>
        </w:div>
        <w:div w:id="270824043">
          <w:marLeft w:val="0"/>
          <w:marRight w:val="0"/>
          <w:marTop w:val="0"/>
          <w:marBottom w:val="0"/>
          <w:divBdr>
            <w:top w:val="none" w:sz="0" w:space="0" w:color="auto"/>
            <w:left w:val="none" w:sz="0" w:space="0" w:color="auto"/>
            <w:bottom w:val="none" w:sz="0" w:space="0" w:color="auto"/>
            <w:right w:val="none" w:sz="0" w:space="0" w:color="auto"/>
          </w:divBdr>
        </w:div>
      </w:divsChild>
    </w:div>
    <w:div w:id="725763558">
      <w:bodyDiv w:val="1"/>
      <w:marLeft w:val="0"/>
      <w:marRight w:val="0"/>
      <w:marTop w:val="0"/>
      <w:marBottom w:val="0"/>
      <w:divBdr>
        <w:top w:val="none" w:sz="0" w:space="0" w:color="auto"/>
        <w:left w:val="none" w:sz="0" w:space="0" w:color="auto"/>
        <w:bottom w:val="none" w:sz="0" w:space="0" w:color="auto"/>
        <w:right w:val="none" w:sz="0" w:space="0" w:color="auto"/>
      </w:divBdr>
      <w:divsChild>
        <w:div w:id="1710375386">
          <w:marLeft w:val="0"/>
          <w:marRight w:val="0"/>
          <w:marTop w:val="0"/>
          <w:marBottom w:val="0"/>
          <w:divBdr>
            <w:top w:val="none" w:sz="0" w:space="0" w:color="auto"/>
            <w:left w:val="none" w:sz="0" w:space="0" w:color="auto"/>
            <w:bottom w:val="none" w:sz="0" w:space="0" w:color="auto"/>
            <w:right w:val="none" w:sz="0" w:space="0" w:color="auto"/>
          </w:divBdr>
        </w:div>
        <w:div w:id="1788697723">
          <w:marLeft w:val="0"/>
          <w:marRight w:val="0"/>
          <w:marTop w:val="0"/>
          <w:marBottom w:val="0"/>
          <w:divBdr>
            <w:top w:val="none" w:sz="0" w:space="0" w:color="auto"/>
            <w:left w:val="none" w:sz="0" w:space="0" w:color="auto"/>
            <w:bottom w:val="none" w:sz="0" w:space="0" w:color="auto"/>
            <w:right w:val="none" w:sz="0" w:space="0" w:color="auto"/>
          </w:divBdr>
        </w:div>
        <w:div w:id="1877694332">
          <w:marLeft w:val="0"/>
          <w:marRight w:val="0"/>
          <w:marTop w:val="0"/>
          <w:marBottom w:val="0"/>
          <w:divBdr>
            <w:top w:val="none" w:sz="0" w:space="0" w:color="auto"/>
            <w:left w:val="none" w:sz="0" w:space="0" w:color="auto"/>
            <w:bottom w:val="none" w:sz="0" w:space="0" w:color="auto"/>
            <w:right w:val="none" w:sz="0" w:space="0" w:color="auto"/>
          </w:divBdr>
        </w:div>
        <w:div w:id="1335498962">
          <w:marLeft w:val="0"/>
          <w:marRight w:val="0"/>
          <w:marTop w:val="0"/>
          <w:marBottom w:val="0"/>
          <w:divBdr>
            <w:top w:val="none" w:sz="0" w:space="0" w:color="auto"/>
            <w:left w:val="none" w:sz="0" w:space="0" w:color="auto"/>
            <w:bottom w:val="none" w:sz="0" w:space="0" w:color="auto"/>
            <w:right w:val="none" w:sz="0" w:space="0" w:color="auto"/>
          </w:divBdr>
        </w:div>
        <w:div w:id="989600748">
          <w:marLeft w:val="0"/>
          <w:marRight w:val="0"/>
          <w:marTop w:val="0"/>
          <w:marBottom w:val="0"/>
          <w:divBdr>
            <w:top w:val="none" w:sz="0" w:space="0" w:color="auto"/>
            <w:left w:val="none" w:sz="0" w:space="0" w:color="auto"/>
            <w:bottom w:val="none" w:sz="0" w:space="0" w:color="auto"/>
            <w:right w:val="none" w:sz="0" w:space="0" w:color="auto"/>
          </w:divBdr>
        </w:div>
        <w:div w:id="983004890">
          <w:marLeft w:val="0"/>
          <w:marRight w:val="0"/>
          <w:marTop w:val="0"/>
          <w:marBottom w:val="0"/>
          <w:divBdr>
            <w:top w:val="none" w:sz="0" w:space="0" w:color="auto"/>
            <w:left w:val="none" w:sz="0" w:space="0" w:color="auto"/>
            <w:bottom w:val="none" w:sz="0" w:space="0" w:color="auto"/>
            <w:right w:val="none" w:sz="0" w:space="0" w:color="auto"/>
          </w:divBdr>
        </w:div>
      </w:divsChild>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08637648">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31581918">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096366134">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orcid.org/0000-0003-2518-7492"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2398-2732"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orcid.org/0000-0001-7300-1846"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ias\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47296FBC5E4E2B92FFA2C204D91FC9"/>
        <w:category>
          <w:name w:val="General"/>
          <w:gallery w:val="placeholder"/>
        </w:category>
        <w:types>
          <w:type w:val="bbPlcHdr"/>
        </w:types>
        <w:behaviors>
          <w:behavior w:val="content"/>
        </w:behaviors>
        <w:guid w:val="{122FE99B-EE6F-46C0-8555-891F49535B5F}"/>
      </w:docPartPr>
      <w:docPartBody>
        <w:p>
          <w:pPr>
            <w:pStyle w:val="2847296FBC5E4E2B92FFA2C204D91FC9"/>
          </w:pPr>
          <w:r>
            <w:t>[Title Here, up to 12 Words, on One to Two Lines]</w:t>
          </w:r>
        </w:p>
      </w:docPartBody>
    </w:docPart>
    <w:docPart>
      <w:docPartPr>
        <w:name w:val="EA8EBDF9129F411C97D0C12804A94A1A"/>
        <w:category>
          <w:name w:val="General"/>
          <w:gallery w:val="placeholder"/>
        </w:category>
        <w:types>
          <w:type w:val="bbPlcHdr"/>
        </w:types>
        <w:behaviors>
          <w:behavior w:val="content"/>
        </w:behaviors>
        <w:guid w:val="{82D86D62-C062-40AB-81A4-08830C3C118D}"/>
      </w:docPartPr>
      <w:docPartBody>
        <w:p>
          <w:pPr>
            <w:pStyle w:val="EA8EBDF9129F411C97D0C12804A94A1A"/>
          </w:pPr>
          <w:r>
            <w:t>Author Note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47296FBC5E4E2B92FFA2C204D91FC9">
    <w:name w:val="2847296FBC5E4E2B92FFA2C204D91FC9"/>
  </w:style>
  <w:style w:type="character" w:styleId="Emphasis">
    <w:name w:val="Emphasis"/>
    <w:basedOn w:val="DefaultParagraphFont"/>
    <w:uiPriority w:val="4"/>
    <w:unhideWhenUsed/>
    <w:qFormat/>
    <w:rPr>
      <w:i/>
      <w:iCs/>
    </w:rPr>
  </w:style>
  <w:style w:type="character" w:styleId="PlaceholderText">
    <w:name w:val="Placeholder Text"/>
    <w:basedOn w:val="DefaultParagraphFont"/>
    <w:uiPriority w:val="99"/>
    <w:semiHidden/>
    <w:rPr>
      <w:color w:val="808080"/>
    </w:rPr>
  </w:style>
  <w:style w:type="paragraph" w:customStyle="1" w:styleId="EA8EBDF9129F411C97D0C12804A94A1A">
    <w:name w:val="EA8EBDF9129F411C97D0C12804A9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Executive function in psychopathy</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DBADFB-1DDD-494B-BD57-A57FFC80C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0</TotalTime>
  <Pages>6</Pages>
  <Words>838</Words>
  <Characters>5281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Supplementary Material
Executive functions in psychopathy: A meta-analysis of inhibition, planning, shifting, and working memory performance</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
Executive functions in psychopathy: A meta-analysis of inhibition, planning, shifting, and working memory performance</dc:title>
  <dc:subject/>
  <dc:creator>Matthias</dc:creator>
  <cp:keywords/>
  <dc:description/>
  <cp:lastModifiedBy>Burghart, Matthias</cp:lastModifiedBy>
  <cp:revision>788</cp:revision>
  <dcterms:created xsi:type="dcterms:W3CDTF">2022-11-03T08:44:00Z</dcterms:created>
  <dcterms:modified xsi:type="dcterms:W3CDTF">2024-04-24T15:51:00Z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id="9wPc0Uqw"/&gt;&lt;style id="http://www.zotero.org/styles/apa" locale="en-US" hasBibliography="1" bibliographyStyleHasBeenSet="1"/&gt;&lt;prefs&gt;&lt;pref name="fieldType" value="Field"/&gt;&lt;/prefs&gt;&lt;/data&gt;</vt:lpwstr>
  </property>
</Properties>
</file>