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4B5D4" w14:textId="77777777" w:rsidR="003A2E2B" w:rsidRPr="00CD2660" w:rsidRDefault="003A2E2B" w:rsidP="00CF2891">
      <w:pPr>
        <w:spacing w:after="160" w:line="480" w:lineRule="auto"/>
        <w:jc w:val="center"/>
        <w:rPr>
          <w:rFonts w:ascii="Times New Roman" w:eastAsia="Calibri" w:hAnsi="Times New Roman" w:cs="Times New Roman"/>
          <w:b/>
          <w:bCs/>
        </w:rPr>
      </w:pPr>
      <w:r w:rsidRPr="00CD2660">
        <w:rPr>
          <w:rFonts w:ascii="Times New Roman" w:eastAsia="Calibri" w:hAnsi="Times New Roman" w:cs="Times New Roman"/>
          <w:b/>
          <w:bCs/>
        </w:rPr>
        <w:t>Supplementary Materials</w:t>
      </w:r>
    </w:p>
    <w:p w14:paraId="51A04FE5" w14:textId="77777777" w:rsidR="003A2E2B" w:rsidRPr="00CD2660" w:rsidRDefault="003A2E2B" w:rsidP="00CF2891">
      <w:pPr>
        <w:spacing w:after="160" w:line="480" w:lineRule="auto"/>
        <w:jc w:val="center"/>
        <w:rPr>
          <w:rFonts w:ascii="Times New Roman" w:eastAsia="Calibri" w:hAnsi="Times New Roman" w:cs="Times New Roman"/>
          <w:b/>
          <w:bCs/>
        </w:rPr>
      </w:pPr>
      <w:r w:rsidRPr="00CD2660">
        <w:rPr>
          <w:rFonts w:ascii="Times New Roman" w:eastAsia="Calibri" w:hAnsi="Times New Roman" w:cs="Times New Roman"/>
          <w:b/>
          <w:bCs/>
        </w:rPr>
        <w:t>Materials and Methods</w:t>
      </w:r>
    </w:p>
    <w:p w14:paraId="0E25E1C8" w14:textId="77777777" w:rsidR="003A2E2B" w:rsidRPr="00CD2660" w:rsidRDefault="003A2E2B" w:rsidP="00CD019C">
      <w:pPr>
        <w:spacing w:after="160" w:line="480" w:lineRule="auto"/>
        <w:rPr>
          <w:rFonts w:ascii="Times New Roman" w:eastAsia="Calibri" w:hAnsi="Times New Roman" w:cs="Times New Roman"/>
          <w:i/>
          <w:iCs/>
        </w:rPr>
      </w:pPr>
      <w:r w:rsidRPr="00CD2660">
        <w:rPr>
          <w:rFonts w:ascii="Times New Roman" w:eastAsia="Calibri" w:hAnsi="Times New Roman" w:cs="Times New Roman"/>
          <w:i/>
          <w:iCs/>
        </w:rPr>
        <w:t>Participants</w:t>
      </w:r>
    </w:p>
    <w:p w14:paraId="5E53641C" w14:textId="77777777" w:rsidR="003A2E2B" w:rsidRPr="00CD2660" w:rsidRDefault="003A2E2B" w:rsidP="00CD019C">
      <w:pPr>
        <w:spacing w:after="160" w:line="480" w:lineRule="auto"/>
        <w:ind w:firstLine="720"/>
        <w:rPr>
          <w:rFonts w:ascii="Times New Roman" w:eastAsia="Calibri" w:hAnsi="Times New Roman" w:cs="Times New Roman"/>
        </w:rPr>
      </w:pPr>
      <w:r w:rsidRPr="00CD2660">
        <w:rPr>
          <w:rFonts w:ascii="Times New Roman" w:eastAsia="Calibri" w:hAnsi="Times New Roman" w:cs="Times New Roman"/>
        </w:rPr>
        <w:t>Exclusion criteria for patients were major active medical or neurological problems; past or current major psychiatric illness (e.g., bipolar disorder, schizophrenia); active suicidal ideation or non-suicidal self-injury in the last 6 months; use of psychotropic medication in the 6 weeks prior to study entry or during the study; cognitive dysfunction (e.g., traumatic brain injury, dementia, intellectual disability); pervasive developmental disorder (e.g., autism, learning disability); substance abuse or dependence in the last 6 months; contraindications for functional magnetic resonance imaging (fMRI) (e.g., ferrous metal, pregnancy, claustrophobia); and a positive toxicology test before the MRI scan.</w:t>
      </w:r>
    </w:p>
    <w:p w14:paraId="403477B0" w14:textId="77777777" w:rsidR="003A2E2B" w:rsidRPr="00CD2660" w:rsidRDefault="003A2E2B" w:rsidP="00CD019C">
      <w:pPr>
        <w:spacing w:after="160" w:line="480" w:lineRule="auto"/>
        <w:rPr>
          <w:rFonts w:ascii="Times New Roman" w:eastAsia="Calibri" w:hAnsi="Times New Roman" w:cs="Times New Roman"/>
          <w:i/>
          <w:iCs/>
        </w:rPr>
      </w:pPr>
      <w:r w:rsidRPr="00CD2660">
        <w:rPr>
          <w:rFonts w:ascii="Times New Roman" w:eastAsia="Calibri" w:hAnsi="Times New Roman" w:cs="Times New Roman"/>
          <w:i/>
          <w:iCs/>
        </w:rPr>
        <w:t>Treatment Procedures</w:t>
      </w:r>
    </w:p>
    <w:p w14:paraId="37E07BE5" w14:textId="327CBFE0" w:rsidR="003A2E2B" w:rsidRPr="00CD2660" w:rsidRDefault="003A2E2B" w:rsidP="00CD019C">
      <w:pPr>
        <w:spacing w:after="160" w:line="480" w:lineRule="auto"/>
        <w:ind w:firstLine="720"/>
        <w:rPr>
          <w:rFonts w:ascii="Times New Roman" w:eastAsia="Calibri" w:hAnsi="Times New Roman" w:cs="Times New Roman"/>
        </w:rPr>
      </w:pPr>
      <w:r w:rsidRPr="00CD2660">
        <w:rPr>
          <w:rFonts w:ascii="Times New Roman" w:eastAsia="Calibri" w:hAnsi="Times New Roman" w:cs="Times New Roman"/>
        </w:rPr>
        <w:t xml:space="preserve">Patients randomized to CBT received manualized treatment for SAD or MDD that was consistent with their principal diagnosis (e.g., </w:t>
      </w:r>
      <w:sdt>
        <w:sdtPr>
          <w:rPr>
            <w:rFonts w:ascii="Times New Roman" w:eastAsia="Calibri" w:hAnsi="Times New Roman" w:cs="Times New Roman"/>
            <w:color w:val="000000"/>
          </w:rPr>
          <w:tag w:val="MENDELEY_CITATION_v3_eyJjaXRhdGlvbklEIjoiTUVOREVMRVlfQ0lUQVRJT05fYzEyOWI4ZmEtOWZmYi00NTEyLWI4YzctNjZlNGU2MzQ1OTU4IiwicHJvcGVydGllcyI6eyJub3RlSW5kZXgiOjB9LCJpc0VkaXRlZCI6ZmFsc2UsIm1hbnVhbE92ZXJyaWRlIjp7ImNpdGVwcm9jVGV4dCI6IihCZWNrLCBSdXNoLCBTaGF3LCAmIzM4OyBFbWVyeSwgMTk3OTsgSG9wZSwgSGVpbWJlcmcsICYjMzg7IFR1cmssIDIwMDY7IE1hcnRlbGwsIERpbWlkamlhbiwgJiMzODsgSGVybWFuLUR1bm4sIDIwMTApIiwiaXNNYW51YWxseU92ZXJyaWRkZW4iOnRydWUsIm1hbnVhbE92ZXJyaWRlVGV4dCI6IkJlY2sgZXQgYWwuLCAxOTc5OyBIb3BlIGV0IGFsLiwgMjAwNjsgTWFydGVsbCBldCBhbC4sIDIwMTApIn0sImNpdGF0aW9uSXRlbXMiOlt7ImlkIjoiOTMxZGRkNDgtYzIyNy01Y2M1LWI1ZTQtNTMyNmUwYmE3ODY2IiwiaXRlbURhdGEiOnsiYXV0aG9yIjpbeyJkcm9wcGluZy1wYXJ0aWNsZSI6IiIsImZhbWlseSI6IkJlY2siLCJnaXZlbiI6IkEuIFQuIiwibm9uLWRyb3BwaW5nLXBhcnRpY2xlIjoiIiwicGFyc2UtbmFtZXMiOmZhbHNlLCJzdWZmaXgiOiIifSx7ImRyb3BwaW5nLXBhcnRpY2xlIjoiIiwiZmFtaWx5IjoiUnVzaCIsImdpdmVuIjoiQS4gSi4iLCJub24tZHJvcHBpbmctcGFydGljbGUiOiIiLCJwYXJzZS1uYW1lcyI6ZmFsc2UsInN1ZmZpeCI6IiJ9LHsiZHJvcHBpbmctcGFydGljbGUiOiIiLCJmYW1pbHkiOiJTaGF3IiwiZ2l2ZW4iOiJCLiBGLiIsIm5vbi1kcm9wcGluZy1wYXJ0aWNsZSI6IiIsInBhcnNlLW5hbWVzIjpmYWxzZSwic3VmZml4IjoiIn0seyJkcm9wcGluZy1wYXJ0aWNsZSI6IiIsImZhbWlseSI6IkVtZXJ5IiwiZ2l2ZW4iOiJHLiIsIm5vbi1kcm9wcGluZy1wYXJ0aWNsZSI6IiIsInBhcnNlLW5hbWVzIjpmYWxzZSwic3VmZml4IjoiIn1dLCJpZCI6IjkzMWRkZDQ4LWMyMjctNWNjNS1iNWU0LTUzMjZlMGJhNzg2NiIsImlzc3VlZCI6eyJkYXRlLXBhcnRzIjpbWyIxOTc5Il1dfSwicHVibGlzaGVyIjoiR3VpbGZvcmQgUHJlc3MiLCJ0aXRsZSI6IkNvZ25pdGl2ZSB0aGVyYXB5IG9mIGRlcHJlc3Npb24iLCJ0eXBlIjoiYm9vayIsImNvbnRhaW5lci10aXRsZS1zaG9ydCI6IiJ9LCJ1cmlzIjpbImh0dHA6Ly93d3cubWVuZGVsZXkuY29tL2RvY3VtZW50cy8/dXVpZD0wNDFmYmQwMS05ODIxLTRkZjctODY0MC1jODQ1MmM2NDFhZjIiXSwiaXNUZW1wb3JhcnkiOmZhbHNlLCJsZWdhY3lEZXNrdG9wSWQiOiIwNDFmYmQwMS05ODIxLTRkZjctODY0MC1jODQ1MmM2NDFhZjIifSx7ImlkIjoiM2QwZjVlOWItNTI2ZC01MDJhLWI0MzEtMWNlMTFiYjU4OWYwIiwiaXRlbURhdGEiOnsiYWJzdHJhY3QiOiJJbnRyb2R1Y3Rpb24gYW5kIHRyZWF0bWVudCBjb25zaWRlcmF0aW9ucyAtLSBTdXBwbGVtZW50YWwgaW5mb3JtYXRpb24gb24gc29jaWFsIGFueGlldHkgLS0gQXNzZXNzbWVudCAtLSBPdmVydmlldyBvZiB0aGUgY291cnNlIG9mIHRyZWF0bWVudCAtLSBQc3ljaG9lZHVjYXRpb24sIHBhcnQgMSA6IGJhY2tncm91bmQgb24gc29jaWFsIGFueGlldHkgLS0gUHN5Y2hvZWR1Y2F0aW9uLCBwYXJ0IDIgOiB1bmRlcnN0YW5kaW5nIHRoZSBuYXR1cmUgb2Ygc29jaWFsIGFueGlldHkgLS0gUHN5Y2hvZWR1Y2F0aW9uLCBwYXJ0IDMgOiBldGlvbG9neSBhbmQgdHJlYXRtZW50IHJhdGlvbmFsZSAtLSBQc3ljaG9lZHVjYXRpb24sIHBhcnQgNCA6IGZlYXIgYW5kIGF2b2lkYW5jZSBoaWVyYXJjaHkgYW5kIHNlbGYtbW9uaXRvcmluZyAtLSBDb2duaXRpdmUgcmVzdHJ1Y3R1cmluZywgcGFydCAxIDogaWRlbnRpZnlpbmcgYXV0b21hdGljIHRob3VnaHRzIC0tIENvZ25pdGl2ZSByZXN0cnVjdHVyaW5nLCBwYXJ0IDIgOiBjaGFsbGVuZ2luZyBhdXRvbWF0aWMgdGhvdWdodHMgLS0gRXhwb3N1cmUgYW5kIGNvZ25pdGl2ZSByZXN0cnVjdHVyaW5nLCBwYXJ0IDEgOiBmaXJzdCBleHBvc3VyZSAtLSBFeHBvc3VyZSBhbmQgY29nbml0aXZlIHJlc3RydWN0dXJpbmcsIHBhcnQgMiA6IG9uZ29pbmcgZXhwb3N1cmUgLS0gRXhwb3N1cmUgYW5kIGNvZ25pdGl2ZSByZXN0cnVjdHVyaW5nLCBwYXJ0IDMgOiBvYnNlcnZhdGlvbmFsIGZlYXJzIChvcHRpb25hbCkgLS0gRXhwb3N1cmUgYW5kIGNvZ25pdGl2ZSByZXN0cnVjdHVyaW5nLCBwYXJ0IDQgOiBjb252ZXJzYXRpb24gZmVhcnMgKG9wdGlvbmFsKSAtLSBFeHBvc3VyZSBhbmQgY29nbml0aXZlIHJlc3RydWN0dXJpbmcsIHBhcnQgNSA6IHB1YmxpYyBzcGVha2luZyBmZWFycyAob3B0aW9uYWwpIC0tIEFkdmFuY2VkIGNvZ25pdGl2ZSByZXN0cnVjdHVyaW5nIC0tIFRlcm1pbmF0aW9uLiIsImF1dGhvciI6W3siZHJvcHBpbmctcGFydGljbGUiOiIiLCJmYW1pbHkiOiJIb3BlIiwiZ2l2ZW4iOiJEIEEiLCJub24tZHJvcHBpbmctcGFydGljbGUiOiIiLCJwYXJzZS1uYW1lcyI6ZmFsc2UsInN1ZmZpeCI6IiJ9LHsiZHJvcHBpbmctcGFydGljbGUiOiIiLCJmYW1pbHkiOiJIZWltYmVyZyIsImdpdmVuIjoiUiBHIiwibm9uLWRyb3BwaW5nLXBhcnRpY2xlIjoiIiwicGFyc2UtbmFtZXMiOmZhbHNlLCJzdWZmaXgiOiIifSx7ImRyb3BwaW5nLXBhcnRpY2xlIjoiIiwiZmFtaWx5IjoiVHVyayIsImdpdmVuIjoiQyBMIiwibm9uLWRyb3BwaW5nLXBhcnRpY2xlIjoiIiwicGFyc2UtbmFtZXMiOmZhbHNlLCJzdWZmaXgiOiIifV0sImlkIjoiM2QwZjVlOWItNTI2ZC01MDJhLWI0MzEtMWNlMTFiYjU4OWYwIiwiaXNzdWVkIjp7ImRhdGUtcGFydHMiOltbIjIwMDYiXV19LCJwdWJsaXNoZXIiOiJPeGZvcmQgVW5pdmVyc2l0eSBQcmVzcyIsInRpdGxlIjoiTWFuYWdpbmcgc29jaWFsIGFueGlldHk6IEEgY29nbml0aXZlLWJlaGF2aW9yYWwgdGhlcmFweSBhcHByb2FjaCIsInR5cGUiOiJib29rIiwiY29udGFpbmVyLXRpdGxlLXNob3J0IjoiIn0sInVyaXMiOlsiaHR0cDovL3d3dy5tZW5kZWxleS5jb20vZG9jdW1lbnRzLz91dWlkPWQ4OTEwNjI0LTQwZDgtNGE1Ny1hOTFmLTJjZTlhZmM1ODE1NiJdLCJpc1RlbXBvcmFyeSI6ZmFsc2UsImxlZ2FjeURlc2t0b3BJZCI6ImQ4OTEwNjI0LTQwZDgtNGE1Ny1hOTFmLTJjZTlhZmM1ODE1NiJ9LHsiaWQiOiI2NTE2ODhkYS1iODMzLTUyMmYtOTg0Ny05NTk0YmJlOGQ5MjAiLCJpdGVtRGF0YSI6eyJhYnN0cmFjdCI6IkZyb20gbGVhZGluZyBleHBlcnRzIGluIGJlaGF2aW9yYWwgYWN0aXZhdGlvbiByZXNlYXJjaCBhbmQgY2xpbmljYWwgcHJhY3RpY2UsIHRoaXMgdm9sdW1lIHByZXNlbnRzIGFuIGVtcGlyaWNhbGx5IHRlc3RlZCBhcHByb2FjaCBmb3IgaGVscGluZyBjbGllbnRzIG92ZXJjb21lIGRlcHJlc3Npb24gYnkgYmVjb21pbmcgYWN0aXZlIGFuZCBlbmdhZ2VkIGluIHRoZWlyIG93biBsaXZlcy4gQmVoYXZpb3JhbCBhY3RpdmF0aW9uIGlzIGEgc3RhbmQtYWxvbmUgdHJlYXRtZW50IHdob3NlIHByaW5jaXBsZXMgY2FuIGJlIGludGVncmF0ZWQgZWFzaWx5IHdpdGggb3RoZXIgYXBwcm9hY2hlcyB0aGF0IHRoZXJhcGlzdHMgYWxyZWFkeSB1c2UuIEd1aWRlbGluZXMgYXJlIHByZXNlbnRlZCBmb3IgaWRlbnRpZnlpbmcgaW5kaXZpZHVhbGl6ZWQgdHJlYXRtZW50IHRhcmdldHMsIG1vbml0b3JpbmcgYW5kIHNjaGVkdWxpbmcgXCJhbnRpZGVwcmVzc2FudFwiIGFjdGl2aXRpZXMtLWV4cGVyaWVuY2VzIHRoYXQgYXJlIGxpa2VseSB0byBiZSByZXdhcmRpbmcgYW5kIHBsZWFzdXJhYmxlLS1hbmQgZGVjcmVhc2luZyBhdm9pZGFuY2UgYW5kIHJ1bWluYXRpdmUgdGhpbmtpbmcuIFJpY2ggY2xpbmljYWwgaWxsdXN0cmF0aW9ucyBpbmNsdWRlIGFuIGV4dGVuZGVkIGNhc2UgZXhhbXBsZSB0aGF0IHJ1bnMgdGhyb3VnaG91dCB0aGUgYm9vay4iLCJhdXRob3IiOlt7ImRyb3BwaW5nLXBhcnRpY2xlIjoiIiwiZmFtaWx5IjoiTWFydGVsbCIsImdpdmVuIjoiQ2hyaXN0b3BoZXIgUi4iLCJub24tZHJvcHBpbmctcGFydGljbGUiOiIiLCJwYXJzZS1uYW1lcyI6ZmFsc2UsInN1ZmZpeCI6IiJ9LHsiZHJvcHBpbmctcGFydGljbGUiOiIiLCJmYW1pbHkiOiJEaW1pZGppYW4iLCJnaXZlbiI6IlNvbmEiLCJub24tZHJvcHBpbmctcGFydGljbGUiOiIiLCJwYXJzZS1uYW1lcyI6ZmFsc2UsInN1ZmZpeCI6IiJ9LHsiZHJvcHBpbmctcGFydGljbGUiOiIiLCJmYW1pbHkiOiJIZXJtYW4tRHVubiIsImdpdmVuIjoiUnV0aCIsIm5vbi1kcm9wcGluZy1wYXJ0aWNsZSI6IiIsInBhcnNlLW5hbWVzIjpmYWxzZSwic3VmZml4IjoiIn1dLCJpZCI6IjY1MTY4OGRhLWI4MzMtNTIyZi05ODQ3LTk1OTRiYmU4ZDkyMCIsImlzc3VlZCI6eyJkYXRlLXBhcnRzIjpbWyIyMDEwIl1dfSwicHVibGlzaGVyIjoiR3VpbGZvcmQgUHJlc3MiLCJ0aXRsZSI6IkJlaGF2aW9yYWwgQWN0aXZhdGlvbiBmb3IgRGVwcmVzc2lvbjogQSBDbGluaWNpYW4ncyBHdWlkZSIsInR5cGUiOiJib29rIiwiY29udGFpbmVyLXRpdGxlLXNob3J0IjoiIn0sInVyaXMiOlsiaHR0cDovL3d3dy5tZW5kZWxleS5jb20vZG9jdW1lbnRzLz91dWlkPWZjMzM0NzkzLWQ2ZmQtNDc0NC04ZTBjLWU3MTliZDZhOTBhZiJdLCJpc1RlbXBvcmFyeSI6ZmFsc2UsImxlZ2FjeURlc2t0b3BJZCI6ImZjMzM0NzkzLWQ2ZmQtNDc0NC04ZTBjLWU3MTliZDZhOTBhZiJ9XX0="/>
          <w:id w:val="-360590276"/>
          <w:placeholder>
            <w:docPart w:val="DefaultPlaceholder_-1854013440"/>
          </w:placeholder>
        </w:sdtPr>
        <w:sdtEndPr>
          <w:rPr>
            <w:rFonts w:eastAsiaTheme="minorHAnsi"/>
          </w:rPr>
        </w:sdtEndPr>
        <w:sdtContent>
          <w:r w:rsidR="00E005B7" w:rsidRPr="00E005B7">
            <w:rPr>
              <w:rFonts w:ascii="Times New Roman" w:hAnsi="Times New Roman" w:cs="Times New Roman"/>
              <w:color w:val="000000"/>
            </w:rPr>
            <w:t>Beck et al., 1979; Hope et al., 2006; Martell et al., 2010)</w:t>
          </w:r>
        </w:sdtContent>
      </w:sdt>
      <w:r w:rsidRPr="00CD2660">
        <w:rPr>
          <w:rFonts w:ascii="Times New Roman" w:eastAsia="Calibri" w:hAnsi="Times New Roman" w:cs="Times New Roman"/>
        </w:rPr>
        <w:t xml:space="preserve">. CBT treatment included psychoeducation, cognitive restructuring, behavioral activation (for MDD), in vivo exposures (for SAD), and relapse prevention. ST resembled client-centered therapy (e.g., </w:t>
      </w:r>
      <w:sdt>
        <w:sdtPr>
          <w:rPr>
            <w:rFonts w:ascii="Times New Roman" w:eastAsia="Calibri" w:hAnsi="Times New Roman" w:cs="Times New Roman"/>
            <w:color w:val="000000"/>
          </w:rPr>
          <w:tag w:val="MENDELEY_CITATION_v3_eyJjaXRhdGlvbklEIjoiTUVOREVMRVlfQ0lUQVRJT05fMzFlMzJjNWItNzRmOS00YjhhLWJlZmItZTI2YmYwODQ4ZGI5IiwicHJvcGVydGllcyI6eyJub3RlSW5kZXgiOjB9LCJpc0VkaXRlZCI6ZmFsc2UsIm1hbnVhbE92ZXJyaWRlIjp7ImNpdGVwcm9jVGV4dCI6IihNYXJrb3dpdHosIE1hbmJlciwgJiMzODsgUm9zZW4sIDIwMDg7IFJvZ2VycywgMTk0NikiLCJpc01hbnVhbGx5T3ZlcnJpZGRlbiI6dHJ1ZSwibWFudWFsT3ZlcnJpZGVUZXh0IjoiTWFya293aXR6IGV0IGFsLiwgMjAwODsgUm9nZXJzLCAxOTQ2KSJ9LCJjaXRhdGlvbkl0ZW1zIjpbeyJpZCI6ImM1ZWViZjM3LWExY2UtNTQzMC1iNmViLTk1MTM1ODQ0ODczMCIsIml0ZW1EYXRhIjp7IkRPSSI6IjEwLjExNzYvYXBwaS5wc3ljaG90aGVyYXB5LjIwMDguNjIuMS42NyIsIklTU04iOiIwMDAyOTU2NCIsIlBNSUQiOiIxODQ2MTg0NCIsImFic3RyYWN0IjoiVGhlcmUgaXMgbGl0dGxlIHJlc2VhcmNoIGFkZHJlc3Npbmcgc3VwcG9ydGl2ZSBwc3ljaG90aGVyYXB5IHRyYWluaW5nLiBUaGlzIGFydGljbGUgZGVzY3JpYmVzIHRyYWluaW5nIGNsaW5pY2lhbnMgaW4gYSBmb3JtIG9mIGJyaWVmIHN1cHBvcnRpdmUgcHN5Y2hvdGhlcmFweSAoQlNQKSBmb3IgYSBtdWx0aXNpdGUgZGVwcmVzc2lvbiBzdHVkeSwgYW5kIHJlcG9ydHMgb24gYSBzdXJ2ZXkgb2YgdGhlcmFwaXN0IGF0dGl0dWRlcyB0b3dhcmQgQlNQLiBXZSBoeXBvdGhlc2l6ZWQgdGhhdCB3aGlsZSBtb3N0IHRoZXJhcGlzdHMgd291bGQgcmVwb3J0IGFjY2xpbWF0aW5nIHRvIEJTUCwgY29nbml0aXZlLWJlaGF2aW9yYWwgdGhlcmFweSAoQ0JUKS10cmFpbmVkIHRoZXJhcGlzdHMgd291bGQgcmVwb3J0IGdyZWF0ZXIgZnJ1c3RyYXRpb24gd2l0aCBCU1AuIFNpeHRlZW4gKDg5JSkgb2YgMTggdGhlcmFwaXN0cyBjb21wbGV0ZWQgYSBicmllZiBxdWVzdGlvbm5haXJlLiBUaGVyYXBpc3RzIHJlcG9ydGVkIGdhaW5pbmcgY29tZm9ydCB3aXRoIHN1cHBvcnRpdmUgY29uY2VwdHMgYW5kIGludGVydmVudGlvbnMuIFRoZXJhcGlzdHMgd2l0aCBjb2duaXRpdmUgYmVoYXZpb3IgdGhlcmFweSBvcmllbnRhdGlvbnMgZGlkIG5vdCByZXBvcnQgc2lnbmlmaWNhbnRseSBncmVhdGVyIGZydXN0cmF0aW9uIHdpdGggaW50ZXJ2ZW50aW9uIHJlc3RyaWN0aW9ucy4gQWxsIHByYWN0aXRpb25lcnMgaW5kaWNhdGVkIHRoZXkgd2VyZSBhbHJlYWR5IHVzaW5nIG9yIHdlcmUgcGxhbm5pbmcgdG8gdXNlIEJTUCBvdXRzaWRlIHRoZSBzdHVkeSwgYW5kIHRoYXQgQlNQIHRyYWluaW5nIGhhZCBhbHRlcmVkIHRoZWlyIGFwcHJlY2lhdGlvbiBvZiBwc3ljaG90aGVyYXB5LiBNb3N0IHN0dWR5IHRoZXJhcGlzdHMgbGFja2VkIHByaW9yIHN1cHBvcnRpdmUgdGhlcmFweSB0cmFpbmluZyBidXQgcmVwb3J0ZWQgYWRhcHRpbmcgdG8gQlNQIGFuZCBhcHByZWNpYXRpbmcgaXRzIHN0cmVuZ3RocyBhbmQgbGltaXRhdGlvbnMuIiwiYXV0aG9yIjpbeyJkcm9wcGluZy1wYXJ0aWNsZSI6IiIsImZhbWlseSI6Ik1hcmtvd2l0eiIsImdpdmVuIjoiSm9obiBDLiIsIm5vbi1kcm9wcGluZy1wYXJ0aWNsZSI6IiIsInBhcnNlLW5hbWVzIjpmYWxzZSwic3VmZml4IjoiIn0seyJkcm9wcGluZy1wYXJ0aWNsZSI6IiIsImZhbWlseSI6Ik1hbmJlciIsImdpdmVuIjoiUmFjaGVsIiwibm9uLWRyb3BwaW5nLXBhcnRpY2xlIjoiIiwicGFyc2UtbmFtZXMiOmZhbHNlLCJzdWZmaXgiOiIifSx7ImRyb3BwaW5nLXBhcnRpY2xlIjoiIiwiZmFtaWx5IjoiUm9zZW4iLCJnaXZlbiI6IlBoeWxsaXMiLCJub24tZHJvcHBpbmctcGFydGljbGUiOiIiLCJwYXJzZS1uYW1lcyI6ZmFsc2UsInN1ZmZpeCI6IiJ9XSwiY29udGFpbmVyLXRpdGxlIjoiQW1lcmljYW4gSm91cm5hbCBvZiBQc3ljaG90aGVyYXB5IiwiaWQiOiJjNWVlYmYzNy1hMWNlLTU0MzAtYjZlYi05NTEzNTg0NDg3MzAiLCJpc3N1ZSI6IjEiLCJpc3N1ZWQiOnsiZGF0ZS1wYXJ0cyI6W1siMjAwOCJdXX0sInBhZ2UiOiI2Ny04MSIsInRpdGxlIjoiVGhlcmFwaXN0cycgcmVzcG9uc2VzIHRvIHRyYWluaW5nIGluIGJyaWVmIHN1cHBvcnRpdmUgcHN5Y2hvdGhlcmFweSIsInR5cGUiOiJhcnRpY2xlLWpvdXJuYWwiLCJ2b2x1bWUiOiI2MiIsImNvbnRhaW5lci10aXRsZS1zaG9ydCI6IkFtIEogUHN5Y2hvdGhlciJ9LCJ1cmlzIjpbImh0dHA6Ly93d3cubWVuZGVsZXkuY29tL2RvY3VtZW50cy8/dXVpZD02YzQ5ZjJhMy1hNDIzLTRjYTAtOTc2Yi1hYmM0NjI3NzczYzYiXSwiaXNUZW1wb3JhcnkiOmZhbHNlLCJsZWdhY3lEZXNrdG9wSWQiOiI2YzQ5ZjJhMy1hNDIzLTRjYTAtOTc2Yi1hYmM0NjI3NzczYzYifSx7ImlkIjoiNTM5Njg2MjMtZjcxNC01ZGQzLWEwYTUtMzFkODE5NzViZmViIiwiaXRlbURhdGEiOnsiRE9JIjoiMTAuMTAzNy9oMDA2MDg2NiIsIklTU04iOiIwMDAzMDY2WCIsImF1dGhvciI6W3siZHJvcHBpbmctcGFydGljbGUiOiIiLCJmYW1pbHkiOiJSb2dlcnMiLCJnaXZlbiI6IkMuIFIuIiwibm9uLWRyb3BwaW5nLXBhcnRpY2xlIjoiIiwicGFyc2UtbmFtZXMiOmZhbHNlLCJzdWZmaXgiOiIifV0sImNvbnRhaW5lci10aXRsZSI6IlRoZSBBbWVyaWNhbiBQc3ljaG9sb2dpc3QiLCJpZCI6IjUzOTY4NjIzLWY3MTQtNWRkMy1hMGE1LTMxZDgxOTc1YmZlYiIsImlzc3VlIjoiMTAiLCJpc3N1ZWQiOnsiZGF0ZS1wYXJ0cyI6W1siMTk0NiJdXX0sInBhZ2UiOiI0MTUtNDIyIiwidGl0bGUiOiJTaWduaWZpY2FudCBhc3BlY3RzIG9mIGNsaWVudC1jZW50ZXJlZCB0aGVyYXB5IiwidHlwZSI6ImFydGljbGUtam91cm5hbCIsInZvbHVtZSI6IjEiLCJjb250YWluZXItdGl0bGUtc2hvcnQiOiJBbSBQc3ljaG9sIn0sInVyaXMiOlsiaHR0cDovL3d3dy5tZW5kZWxleS5jb20vZG9jdW1lbnRzLz91dWlkPTRjMDgyNjkzLWUzNGEtNGUwZi04OTJiLTdiMDc2NTc3M2VhNSJdLCJpc1RlbXBvcmFyeSI6ZmFsc2UsImxlZ2FjeURlc2t0b3BJZCI6IjRjMDgyNjkzLWUzNGEtNGUwZi04OTJiLTdiMDc2NTc3M2VhNSJ9XX0="/>
          <w:id w:val="-70968451"/>
          <w:placeholder>
            <w:docPart w:val="DefaultPlaceholder_-1854013440"/>
          </w:placeholder>
        </w:sdtPr>
        <w:sdtEndPr>
          <w:rPr>
            <w:rFonts w:eastAsiaTheme="minorHAnsi"/>
          </w:rPr>
        </w:sdtEndPr>
        <w:sdtContent>
          <w:r w:rsidR="00E005B7" w:rsidRPr="00E005B7">
            <w:rPr>
              <w:rFonts w:ascii="Times New Roman" w:hAnsi="Times New Roman" w:cs="Times New Roman"/>
              <w:color w:val="000000"/>
            </w:rPr>
            <w:t>Markowitz et al., 2008; Rogers, 1946)</w:t>
          </w:r>
        </w:sdtContent>
      </w:sdt>
      <w:r w:rsidRPr="00CD2660">
        <w:rPr>
          <w:rFonts w:ascii="Times New Roman" w:eastAsia="Calibri" w:hAnsi="Times New Roman" w:cs="Times New Roman"/>
        </w:rPr>
        <w:t xml:space="preserve"> and emphasized reflective listening and elicitation of affect as appropriate. </w:t>
      </w:r>
    </w:p>
    <w:p w14:paraId="39FDDBAE" w14:textId="6DCC6765" w:rsidR="003A2E2B" w:rsidRPr="00CD2660" w:rsidRDefault="003A2E2B" w:rsidP="00CD019C">
      <w:pPr>
        <w:spacing w:after="160" w:line="480" w:lineRule="auto"/>
        <w:ind w:firstLine="720"/>
        <w:rPr>
          <w:rFonts w:ascii="Times New Roman" w:eastAsia="Calibri" w:hAnsi="Times New Roman" w:cs="Times New Roman"/>
        </w:rPr>
      </w:pPr>
      <w:r w:rsidRPr="00CD2660">
        <w:rPr>
          <w:rFonts w:ascii="Times New Roman" w:eastAsia="Calibri" w:hAnsi="Times New Roman" w:cs="Times New Roman"/>
        </w:rPr>
        <w:t xml:space="preserve">Psychotherapy sessions were taped to assess treatment fidelity, and 15% of taped sessions were randomly selected and rated by assessors blinded to treatment arm using the Cognitive Therapy Rating Scale (CTRS; </w:t>
      </w:r>
      <w:sdt>
        <w:sdtPr>
          <w:rPr>
            <w:rFonts w:ascii="Times New Roman" w:eastAsia="Calibri" w:hAnsi="Times New Roman" w:cs="Times New Roman"/>
            <w:color w:val="000000"/>
          </w:rPr>
          <w:tag w:val="MENDELEY_CITATION_v3_eyJjaXRhdGlvbklEIjoiTUVOREVMRVlfQ0lUQVRJT05fY2E3NTQ1ZmMtMDAwOC00MmM0LWFiMzAtY2I5Y2VjNWRlNGZkIiwicHJvcGVydGllcyI6eyJub3RlSW5kZXgiOjB9LCJpc0VkaXRlZCI6ZmFsc2UsIm1hbnVhbE92ZXJyaWRlIjp7ImNpdGVwcm9jVGV4dCI6IihZb3VuZyAmIzM4OyBCZWNrLCAxOTgwKSIsImlzTWFudWFsbHlPdmVycmlkZGVuIjp0cnVlLCJtYW51YWxPdmVycmlkZVRleHQiOiJZb3VuZyAmIEJlY2ssIDE5ODApIn0sImNpdGF0aW9uSXRlbXMiOlt7ImlkIjoiN2Y2YTBkZmYtYmU2Mi01NWUwLThiNzYtYzJiZmJkZTU3MTY1IiwiaXRlbURhdGEiOnsiYWJzdHJhY3QiOiIyIEdlbmVyYWwgSW5zdHJ1Y3Rpb25zIHRvIFJhdGVycyAxLiBUaGUgbW9zdCBzZXJpb3VzIHByb2JsZW0gd2UgaGF2ZSBvYnNlcnZlZCBpbiByYXRlcnMgaXMgYSBcImhhbG8gZWZmZWN0XCIuIFdoZW4gdGhlIHJhdGVyIHRoaW5rcyB0aGUgdGhlcmFwaXN0IGlzIGdvb2QsIGhlL3NoZSB0ZW5kcyB0byByYXRlIHRoZSB0aGVyYXBpc3QgaGlnaCBvbiBhbGwgY2F0ZWdvcmllcy4gVGhlIHJldmVyc2UgaXMgdHJ1ZSB3aGVuIHRoZSByYXRlciBiZWxpZXZlcyB0aGUgc2Vzc2lvbiBpcyBiYWQuIE9uZSBvZiB0aGUgbW9zdCBpbXBvcnRhbnQgZnVuY3Rpb25zIG9mIHRoZSBDb2duaXRpdmUgVGhlcmFweSBTY2FsZSBpcyB0byBpZGVudGlmeSB0aGUgdGhlcmFwaXN0J3Mgc3BlY2lmaWMgc3RyZW5ndGhzIGFuZCB3ZWFrbmVzc2VzLiBJdCBpcyByYXJlIHRvIGZpbmQgYSB0aGVyYXBpc3Qgd2hvIGlzIHVuaWZvcm1seSBnb29kIG9yIGJhZC4gSXQgbWF5IGJlIGhlbHBmdWwsIHRoZXJlZm9yZSwgZm9yIHJhdGVycyB0byBsaXN0IHBvc2l0aXZlIGFuZCBuZWdhdGl2ZSBvYnNlcnZhdGlvbnMgYXMgdGhleSBsaXN0ZW4gdG8gYSBzZXNzaW9uLCByYXRoZXIgdGhhbiBjb25jZW50cmF0ZSBvbiBmb3JtaW5nIG9uZSBnbG9iYWwgaW1wcmVzc2lvbi4gMi4gQSBzZWNvbmQgcHJvYmxlbSBpcyB0aGUgdGVuZGVuY3kgb2Ygc29tZSByYXRlcnMgdG8gcmVseSBzb2xlbHkgb24gdGhlaXIgb3duIG5vdGlvbnMgb2Ygd2hhdCBhIHBhcnRpY3VsYXIgc2NhbGUgcG9pbnQgbWVhbnMgKGUuZy4sIDQgaXMgYXZlcmFnZSkgYW5kIHRvIGRpc3JlZ2FyZCB0aGUgZGVzY3JpcHRpb25zIHByb3ZpZGVkIG9uIHRoZSBmb3JtLiBUaGUgcHJvYmxlbSB3aXRoIHRoaXMgaXMgdGhhdCB3ZSBlYWNoIGF0dGFjaCBpZGlvc3luY3JhdGljIG1lYW5pbmdzIHRvIHBhcnRpY3VsYXIgbnVtYmVycyBvbiB0aGUgNi1wb2ludCBzY2FsZS4gVGhlIG1vc3QgY3JpdGljYWwgcmF0ZXJzIGFzc2lnbiBhIDEgd2hlbmV2ZXIgdGhlIHRoZXJhcGlzdCBpcyBcInVuc2F0aXNmYWN0b3J5XCIsIHdoaWxlIHRoZSBtb3N0IGdlbmVyb3VzIHJhdGVycyBhc3NpZ24gYSA1IHdoZW4gdGhlIHRoZXJhcGlzdCBoYXMgbWVyZWx5IFwiZG9uZSBhIGdvb2Qgam9iXCIgb3IgXCJ0cmllZCBoYXJkXCIuIFRoZSBkZXNjcmlwdGlvbnMgb24gdGhlIHNjYWxlIHNob3VsZCBoZWxwIHRvIGluc3VyZSBtb3JlIHVuaWZvcm1pdHkgYWNyb3NzIHJhdGVycy4gVGhlcmVmb3JlLCB3ZSB1cmdlIHlvdSB0byBiYXNlIHlvdXIgbnVtZXJpY2FsIHJhdGluZ3Mgb24gdGhlIGRlc2NyaXB0aW9ucyBwcm92aWRlZCB3aGVuZXZlciBwb3NzaWJsZS4gRG8gbm90IGJlIGNvbmNlcm5lZCBpZiB0aGUgcmVzdWx0aW5nIG51bWVyaWNhbCBzY29yZSBkb2VzIG5vdCBtYXRjaCB5b3VyIG92ZXJhbGwgXCJndXQgZmVlbGluZ1wiIGFib3V0IHRoZSB0aGVyYXBpc3QuIChBZnRlciBhbGwsIHlvdSBhcmUgZnJlZSB0byBleHByZXNzIHlvdXIgXCJndXQgZmVlbGluZ1wiIGluIHRoZSBvdmVyYWxsIHJhdGluZyBvbiB0aGUgZmlyc3QgcGFnZS4pIFRoZSBvbmx5IGV4Y2VwdGlvbiBzaG91bGQgYmUgaW4gc2Vzc2lvbnMgd2hlcmUgdGhlIGRlc2NyaXB0aW9ucyBkbyBub3Qgc2VlbSB0byBkZXNjcmliZSB0aGUgc3BlY2lmaWMgdGhlcmFwaXN0IHByb2JsZW1zIGFuZCBiZWhhdmlvcnMgeW91IG9ic2VydmVkLiBXaGVuIHRoaXMgaXMgdGhlIGNhc2UsIGRpc3JlZ2FyZCB0aGUgc3BlY2lmaWMgZGVzY3JpcHRpb25zIGFuZCByZWx5IG9uIHRoZSBtb3JlIGdlbmVyYWwgc2NhbGUgZGVzY3JpcHRpb25zIHN1cHBsaWVkIGluIHRoZSBkaXJlY3Rpb25zLiBXaXRoIHRoZXNlIGV4Y2VwdGlvbnMsIGl0IHdvdWxkIGJlIGhlbHBmdWwgaWYgcmF0ZXJzIG5vdGVkIHdoeSB0aGUgZGVzY3JpcHRpb25zIGRpZCBub3Qgc2VlbSB0byBhcHBseSwgc28gdGhlIHNjYWxlIGNhbiBiZSByZWZpbmVkIGluIHRoZSBmdXR1cmUuIDEuIEFHRU5EQSBPYmplY3RpdmU6IEJlY2F1c2UgY29nbml0aXZlIHRoZXJhcHkgaXMgYSByZWxhdGl2ZWx5IHNob3J0LXRlcm0sIHByb2JsZW0tc29sdmluZyB0aGVyYXB5LCB0aGUgbGltaXRlZCB0aW1lIGF2YWlsYWJsZSBmb3IgZWFjaCBpbnRlcnZpZXcgbXVzdCBiZSB1c2VkIGp1ZGljaW91c2x5LiBBdCB0aGUgYmVnaW5uaW5nIG9mIGVhY2ggc2Vzc2lvbiwgdGhlIHRoZXJhcGlzdCBhbmQgcGF0aWVudCB0b2dldGhlciBlc3RhYmxpc2ggYW4gYWdlbmRhIHdpdGggc3BlY2lmaWMgdGFyZ2V0IHByb2JsZW1zIHRvIGZvY3VzIG9uIGR1cmluZyBlYWNoIHNlc3Npb24uIFRoZSBhZ2VuZGEgaGVscHMgaW5zdXJlIHRoYXQgdGhlIG1vc3QgcGVydGluZW50IGlzc3VlcyBhcmUgYWRkcmVzc2VkIGluIGFuIGVmZmljaWVudCBtYW5uZXIuIEJhY2tncm91bmQgTWF0ZXJpYWw6IENvZ25pdGl2ZSBUaGVyYXB5IG9mIERlcHJlc3Npb24sIHBwLiA3Ny03OCwgOTMtOTgsIDE2Ny0yMDg7IENvZ25pdGl2ZSBUaGVyYXB5IGFuZCB0aGUgRW1v4oCmIiwiYXV0aG9yIjpbeyJkcm9wcGluZy1wYXJ0aWNsZSI6IiIsImZhbWlseSI6IllvdW5nIiwiZ2l2ZW4iOiJKZWZmcmV5Iiwibm9uLWRyb3BwaW5nLXBhcnRpY2xlIjoiIiwicGFyc2UtbmFtZXMiOmZhbHNlLCJzdWZmaXgiOiIifSx7ImRyb3BwaW5nLXBhcnRpY2xlIjoiIiwiZmFtaWx5IjoiQmVjayIsImdpdmVuIjoiQWFyb24gVCIsIm5vbi1kcm9wcGluZy1wYXJ0aWNsZSI6IiIsInBhcnNlLW5hbWVzIjpmYWxzZSwic3VmZml4IjoiIn1dLCJpZCI6IjdmNmEwZGZmLWJlNjItNTVlMC04Yjc2LWMyYmZiZGU1NzE2NSIsImlzc3VlZCI6eyJkYXRlLXBhcnRzIjpbWyIxOTgwIl1dfSwicHVibGlzaGVyLXBsYWNlIjoiUGhpbGFkZWxwaGlhIiwidGl0bGUiOiJDb2duaXRpdmUgVGhlcmFweSBSYXRpbmcgU2NhbGUiLCJ0eXBlIjoicmVwb3J0IiwiY29udGFpbmVyLXRpdGxlLXNob3J0IjoiIn0sInVyaXMiOlsiaHR0cDovL3d3dy5tZW5kZWxleS5jb20vZG9jdW1lbnRzLz91dWlkPTFlMzJkM2Q2LWFiZTAtMzZhYy1hMjQxLTM3NWYzNmVjNDhjYiJdLCJpc1RlbXBvcmFyeSI6ZmFsc2UsImxlZ2FjeURlc2t0b3BJZCI6IjFlMzJkM2Q2LWFiZTAtMzZhYy1hMjQxLTM3NWYzNmVjNDhjYiJ9XX0="/>
          <w:id w:val="-18084745"/>
          <w:placeholder>
            <w:docPart w:val="DefaultPlaceholder_-1854013440"/>
          </w:placeholder>
        </w:sdtPr>
        <w:sdtEndPr>
          <w:rPr>
            <w:rFonts w:eastAsiaTheme="minorHAnsi"/>
          </w:rPr>
        </w:sdtEndPr>
        <w:sdtContent>
          <w:r w:rsidR="00E005B7">
            <w:rPr>
              <w:rFonts w:eastAsia="Times New Roman"/>
            </w:rPr>
            <w:t>Young &amp; Beck, 1980)</w:t>
          </w:r>
        </w:sdtContent>
      </w:sdt>
      <w:r w:rsidRPr="00CD2660">
        <w:rPr>
          <w:rFonts w:ascii="Times New Roman" w:eastAsia="Calibri" w:hAnsi="Times New Roman" w:cs="Times New Roman"/>
        </w:rPr>
        <w:t xml:space="preserve">. The CTRS is an observer-rated measure of CBT fidelity with excellent psychometric properties </w:t>
      </w:r>
      <w:sdt>
        <w:sdtPr>
          <w:rPr>
            <w:rFonts w:ascii="Times New Roman" w:eastAsia="Calibri" w:hAnsi="Times New Roman" w:cs="Times New Roman"/>
            <w:color w:val="000000"/>
          </w:rPr>
          <w:tag w:val="MENDELEY_CITATION_v3_eyJjaXRhdGlvbklEIjoiTUVOREVMRVlfQ0lUQVRJT05fYzJkZTVjMzctMmM5NS00Njk3LWFjYzEtNzVkZWVmM2I2YmIzIiwicHJvcGVydGllcyI6eyJub3RlSW5kZXgiOjB9LCJpc0VkaXRlZCI6ZmFsc2UsIm1hbnVhbE92ZXJyaWRlIjp7ImNpdGVwcm9jVGV4dCI6IihEb2Jzb24sIFNoYXcsICYjMzg7IFZhbGxpcywgMTk4NTsgVmFsbGlzLCBTaGF3LCAmIzM4OyBEb2Jzb24sIDE5ODYpIiwiaXNNYW51YWxseU92ZXJyaWRkZW4iOmZhbHNlLCJtYW51YWxPdmVycmlkZVRleHQiOiIifSwiY2l0YXRpb25JdGVtcyI6W3siaWQiOiJiMGY2MWRmYS1mOGMyLTU5MDAtOGY4Ni1kYTdlZTAxZTk4MjUiLCJpdGVtRGF0YSI6eyJET0kiOiIxMC4xMTExL2ouMjA0NC04MjYwLjE5ODUudGIwMDY2Mi54IiwiSVNTTiI6IjAxNDQ2NjU3IiwiUE1JRCI6IjQwNzQ5OTAiLCJhYnN0cmFjdCI6IlRoaXMgc3R1ZHkgaW52ZXN0aWdhdGVzIHNvbWUgb2YgdGhlIHBzeWNob21ldHJpYyBwcm9wZXJ0aWVzIG9mIHRoZSBDb2duaXRpdmUgVGhlcmFweSBTY2FsZSAoQ1RTKSB1c2luZyBhIHNhbXBsZSBvZiBleHBlcmllbmNlZCBwc3ljaG90aGVyYXBpc3RzLiBGb3VyIHJhdGVycywgZXhwZXJpZW5jZWQgaW4gY29nbml0aXZlIHRoZXJhcHksIHJhdGVkIGEgdG90YWwgb2YgMjEgaW5kZXBlbmRlbnQsIHZpZGVvdGFwZWQgcHN5Y2hvdGhlcmFweSBzZXNzaW9ucywgYW5kIHByb3ZpZGVkIHJhdGluZ3MgYWxvbmcgdGhlIGRpbWVuc2lvbnMgb2YgdGhlcmFwaXN0IGNvbXBldGVuY2UgbWVhc3VyZWQgYnkgdGhlIENUUy4gQW5hbHlzZXMgaW5jbHVkZWQgaXRlbSBpbnRlcmNvcnJlbGF0aW9ucywgaXRlbS10b3RhbCBjb3JyZWxhdGlvbnMsIGFuZCB0d28gYXNzZXNzbWVudHMgb2YgaW50ZXItcmF0ZXIgcmVsaWFiaWxpdHkuIEludGVyLXJhdGVyIHJlbGlhYmlsaXRpZXMgc2hvd2VkIGEgc2lnbmlmaWNhbnQgcG9zaXRpdmUgY29ycmVsYXRpb24gZm9yIGFsbCBpdGVtcyBvZiB0aGUgQ1RTIGFuZCB0aGUgaW50ZXJuYWwgcmVsaWFiaWxpdHkgd2FzIHN0cm9uZy4gVGhlIHBvdGVudGlhbCBvZiB0aGUgQ1RTIHRvIGFkZHJlc3MgYm90aCB0aGUgY29tcGV0ZW5jeSBvZiBjb2duaXRpdmUgdGhlcmFwaXN0cyBhbmQgdHJhaW5lZXMgaXMgZGlzY3Vzc2VkLiIsImF1dGhvciI6W3siZHJvcHBpbmctcGFydGljbGUiOiIiLCJmYW1pbHkiOiJEb2Jzb24iLCJnaXZlbiI6IksuIFMuIiwibm9uLWRyb3BwaW5nLXBhcnRpY2xlIjoiIiwicGFyc2UtbmFtZXMiOmZhbHNlLCJzdWZmaXgiOiIifSx7ImRyb3BwaW5nLXBhcnRpY2xlIjoiIiwiZmFtaWx5IjoiU2hhdyIsImdpdmVuIjoiQi4gRi4iLCJub24tZHJvcHBpbmctcGFydGljbGUiOiIiLCJwYXJzZS1uYW1lcyI6ZmFsc2UsInN1ZmZpeCI6IiJ9LHsiZHJvcHBpbmctcGFydGljbGUiOiIiLCJmYW1pbHkiOiJWYWxsaXMiLCJnaXZlbiI6IlQuIE0uIiwibm9uLWRyb3BwaW5nLXBhcnRpY2xlIjoiIiwicGFyc2UtbmFtZXMiOmZhbHNlLCJzdWZmaXgiOiIifV0sImNvbnRhaW5lci10aXRsZSI6IkJyaXRpc2ggSm91cm5hbCBvZiBDbGluaWNhbCBQc3ljaG9sb2d5IiwiaWQiOiJiMGY2MWRmYS1mOGMyLTU5MDAtOGY4Ni1kYTdlZTAxZTk4MjUiLCJpc3N1ZSI6IjQiLCJpc3N1ZWQiOnsiZGF0ZS1wYXJ0cyI6W1siMTk4NSIsIjExIiwiMSJdXX0sInBhZ2UiOiIyOTUtMzAwIiwicHVibGlzaGVyIjoiSm9obiBXaWxleSAmIFNvbnMsIEx0ZCIsInRpdGxlIjoiUmVsaWFiaWxpdHkgb2YgYSBtZWFzdXJlIG9mIHRoZSBxdWFsaXR5IG9mIGNvZ25pdGl2ZSB0aGVyYXB5IiwidHlwZSI6ImFydGljbGUtam91cm5hbCIsInZvbHVtZSI6IjI0IiwiY29udGFpbmVyLXRpdGxlLXNob3J0IjoiIn0sInVyaXMiOlsiaHR0cDovL3d3dy5tZW5kZWxleS5jb20vZG9jdW1lbnRzLz91dWlkPTgxZTBlODQyLTMzY2YtMzNjMy1hOTU5LTNhMjcyODA0ZWQ1YyJdLCJpc1RlbXBvcmFyeSI6ZmFsc2UsImxlZ2FjeURlc2t0b3BJZCI6IjgxZTBlODQyLTMzY2YtMzNjMy1hOTU5LTNhMjcyODA0ZWQ1YyJ9LHsiaWQiOiJhZjE2OTQ4NC0wNTllLTVkOTItOTk4Yi03ZTQ3ZmJmYjNlMGUiLCJpdGVtRGF0YSI6eyJET0kiOiIxMC4xMDM3LzAwMjItMDA2WC41NC4zLjM4MSIsIklTU04iOiIwMDIyMDA2WCIsIlBNSUQiOiIzNzIyNTY3IiwiYWJzdHJhY3QiOiJUaGUgQ29nbml0aXZlIFRoZXJhcHkgU2NhbGUgKENUUzsgWW91bmcgJiBCZWNrLCAxOTgwKSB3YXMgZGV2ZWxvcGVkIHRvIGV2YWx1YXRlIHRoZXJhcGlzdCBjb21wZXRlbmNlIGluIGNvZ25pdGl2ZSB0aGVyYXB5IGZvciBkZXByZXNzaW9uLiBQcmVsaW1pbmFyeSBkYXRhIG9uIHRoZSBwc3ljaG9tZXRyaWMgcHJvcGVydGllcyBvZiB0aGUgc2NhbGUgaGF2ZSBiZWVuIGVuY291cmFnaW5nIGJ1dCBub3Qgd2l0aG91dCBwcm9ibGVtcy4gSW4gdGhpcyBhcnRpY2xlLCB3ZSBwcmVzZW50IGRhdGEgb24gdGhlIGludGVycmF0ZXIgcmVsaWFiaWxpdHksIGludGVybmFsIGNvbnNpc3RlbmN5LCBmYWN0b3Igc3RydWN0dXJlLCBhbmQgZGlzY3JpbWluYW50IHZhbGlkaXR5IG9mIHRoZSBzY2FsZS4gVG8gb3ZlcmNvbWUgbWV0aG9kb2xvZ2ljYWwgcHJvYmxlbXMgd2l0aCBwcmV2aW91cyB3b3JrLCBleHBlcnQgcmF0ZXJzIHdlcmUgdXNlZCwgYWxsIHNlc3Npb25zIGV2YWx1YXRlZCB3ZXJlIGNvZ25pdGl2ZSB0aGVyYXB5IHNlc3Npb25zLCBhbmQgYSBtb3JlIGFkZXF1YXRlIHN0YXRpc3RpY2FsIGRlc2lnbiB3YXMgdXNlZC4gUmVzdWx0cyBpbmRpY2F0ZSB0aGF0IHRoZSBDVFMgY2FuIGJlIHVzZWQgd2l0aCBvbmx5IG1vZGVyYXRlIGludGVycmF0ZXIgcmVsaWFiaWxpdHkgYnV0IHRoYXQgYWdncmVnYXRpb24gY2FuIGJlIHVzZWQgdG8gaW5jcmVhc2UgcmVsaWFiaWxpdHkuIFRoZSBDVFMgaXMgaGlnaGx5IGhvbW9nZW5lb3VzIGFuZCBwcm92aWRlcyBhIHJlbGF0aXZlbHkgdW5kaWZmZXJlbnRpYXRlZCBhc3Nlc3NtZW50IG9mIHRoZXJhcGlzdCBwZXJmb3JtYW5jZSwgYXQgbGVhc3Qgd2hlbiB1c2VkIHdpdGggdGhlcmFwaXN0cyBmb2xsb3dpbmcgdGhlIGNvZ25pdGl2ZSB0aGVyYXB5IHByb3RvY29sLiBUaGUgc2NhbGUgaXMsIGhvd2V2ZXIsIHNlbnNpdGl2ZSB0byB2YXJpYXRpb25zIGluIHRoZSBxdWFsaXR5IG9mIHRoZXJhcHkuIMKpIDE5ODYgQW1lcmljYW4gUHN5Y2hvbG9naWNhbCBBc3NvY2lhdGlvbi4iLCJhdXRob3IiOlt7ImRyb3BwaW5nLXBhcnRpY2xlIjoiIiwiZmFtaWx5IjoiVmFsbGlzIiwiZ2l2ZW4iOiJULiBNaWNoYWVsIiwibm9uLWRyb3BwaW5nLXBhcnRpY2xlIjoiIiwicGFyc2UtbmFtZXMiOmZhbHNlLCJzdWZmaXgiOiIifSx7ImRyb3BwaW5nLXBhcnRpY2xlIjoiIiwiZmFtaWx5IjoiU2hhdyIsImdpdmVuIjoiQnJpYW4gRi4iLCJub24tZHJvcHBpbmctcGFydGljbGUiOiIiLCJwYXJzZS1uYW1lcyI6ZmFsc2UsInN1ZmZpeCI6IiJ9LHsiZHJvcHBpbmctcGFydGljbGUiOiIiLCJmYW1pbHkiOiJEb2Jzb24iLCJnaXZlbiI6IktlaXRoIFMuIiwibm9uLWRyb3BwaW5nLXBhcnRpY2xlIjoiIiwicGFyc2UtbmFtZXMiOmZhbHNlLCJzdWZmaXgiOiIifV0sImNvbnRhaW5lci10aXRsZSI6IkpvdXJuYWwgb2YgQ29uc3VsdGluZyBhbmQgQ2xpbmljYWwgUHN5Y2hvbG9neSIsImlkIjoiYWYxNjk0ODQtMDU5ZS01ZDkyLTk5OGItN2U0N2ZiZmIzZTBlIiwiaXNzdWUiOiIzIiwiaXNzdWVkIjp7ImRhdGUtcGFydHMiOltbIjE5ODYiLCI2Il1dfSwicGFnZSI6IjM4MS0zODUiLCJ0aXRsZSI6IlRoZSBjb2duaXRpdmUgdGhlcmFweSBzY2FsZTogUHN5Y2hvbWV0cmljIHByb3BlcnRpZXMiLCJ0eXBlIjoiYXJ0aWNsZS1qb3VybmFsIiwidm9sdW1lIjoiNTQiLCJjb250YWluZXItdGl0bGUtc2hvcnQiOiJKIENvbnN1bHQgQ2xpbiBQc3ljaG9sIn0sInVyaXMiOlsiaHR0cDovL3d3dy5tZW5kZWxleS5jb20vZG9jdW1lbnRzLz91dWlkPWFlNTJkYWUxLTg0MGQtNDUwZC05OWUzLWMwMTkyODkzMjk0MCJdLCJpc1RlbXBvcmFyeSI6ZmFsc2UsImxlZ2FjeURlc2t0b3BJZCI6ImFlNTJkYWUxLTg0MGQtNDUwZC05OWUzLWMwMTkyODkzMjk0MCJ9XX0="/>
          <w:id w:val="-589537319"/>
          <w:placeholder>
            <w:docPart w:val="DefaultPlaceholder_-1854013440"/>
          </w:placeholder>
        </w:sdtPr>
        <w:sdtEndPr>
          <w:rPr>
            <w:rFonts w:eastAsiaTheme="minorHAnsi"/>
          </w:rPr>
        </w:sdtEndPr>
        <w:sdtContent>
          <w:r w:rsidR="00E005B7">
            <w:rPr>
              <w:rFonts w:eastAsia="Times New Roman"/>
            </w:rPr>
            <w:t xml:space="preserve">(Dobson, Shaw, &amp; Vallis, 1985; Vallis, Shaw, </w:t>
          </w:r>
          <w:r w:rsidR="00E005B7">
            <w:rPr>
              <w:rFonts w:eastAsia="Times New Roman"/>
            </w:rPr>
            <w:lastRenderedPageBreak/>
            <w:t>&amp; Dobson, 1986)</w:t>
          </w:r>
        </w:sdtContent>
      </w:sdt>
      <w:r w:rsidRPr="00CD2660">
        <w:rPr>
          <w:rFonts w:ascii="Times New Roman" w:eastAsia="Calibri" w:hAnsi="Times New Roman" w:cs="Times New Roman"/>
        </w:rPr>
        <w:t xml:space="preserve"> that assesses clinicians’ general psychotherapy skills (e.g., empathy) as well as the extent to which they utilize CBT-specific strategies (e.g., methods to alter maladaptive cognitions and behaviors) during treatment sessions. Given that CBT strategies are a core component of CBT but are explicitly not used in ST, clinician CTRS scores should be significantly higher when providing CBT versus ST. An independent t-test revealed average CTRS total score was higher in the CBT arm (</w:t>
      </w:r>
      <w:r w:rsidRPr="00CD2660">
        <w:rPr>
          <w:rFonts w:ascii="Times New Roman" w:eastAsia="Calibri" w:hAnsi="Times New Roman" w:cs="Times New Roman"/>
          <w:i/>
          <w:iCs/>
        </w:rPr>
        <w:t>Mean</w:t>
      </w:r>
      <w:r w:rsidRPr="00CD2660">
        <w:rPr>
          <w:rFonts w:ascii="Times New Roman" w:eastAsia="Calibri" w:hAnsi="Times New Roman" w:cs="Times New Roman"/>
        </w:rPr>
        <w:t xml:space="preserve"> = 43.03, </w:t>
      </w:r>
      <w:r w:rsidRPr="00CD2660">
        <w:rPr>
          <w:rFonts w:ascii="Times New Roman" w:eastAsia="Calibri" w:hAnsi="Times New Roman" w:cs="Times New Roman"/>
          <w:i/>
          <w:iCs/>
        </w:rPr>
        <w:t>SD</w:t>
      </w:r>
      <w:r w:rsidRPr="00CD2660">
        <w:rPr>
          <w:rFonts w:ascii="Times New Roman" w:eastAsia="Calibri" w:hAnsi="Times New Roman" w:cs="Times New Roman"/>
        </w:rPr>
        <w:t xml:space="preserve"> = 7.55) than the ST arm (</w:t>
      </w:r>
      <w:r w:rsidRPr="00CD2660">
        <w:rPr>
          <w:rFonts w:ascii="Times New Roman" w:eastAsia="Calibri" w:hAnsi="Times New Roman" w:cs="Times New Roman"/>
          <w:i/>
          <w:iCs/>
        </w:rPr>
        <w:t>Mean</w:t>
      </w:r>
      <w:r w:rsidRPr="00CD2660">
        <w:rPr>
          <w:rFonts w:ascii="Times New Roman" w:eastAsia="Calibri" w:hAnsi="Times New Roman" w:cs="Times New Roman"/>
        </w:rPr>
        <w:t xml:space="preserve"> = 16.58, </w:t>
      </w:r>
      <w:r w:rsidRPr="00CD2660">
        <w:rPr>
          <w:rFonts w:ascii="Times New Roman" w:eastAsia="Calibri" w:hAnsi="Times New Roman" w:cs="Times New Roman"/>
          <w:i/>
          <w:iCs/>
        </w:rPr>
        <w:t>SD</w:t>
      </w:r>
      <w:r w:rsidRPr="00CD2660">
        <w:rPr>
          <w:rFonts w:ascii="Times New Roman" w:eastAsia="Calibri" w:hAnsi="Times New Roman" w:cs="Times New Roman"/>
        </w:rPr>
        <w:t xml:space="preserve"> = 6.34), </w:t>
      </w:r>
      <w:proofErr w:type="gramStart"/>
      <w:r w:rsidRPr="00CD2660">
        <w:rPr>
          <w:rFonts w:ascii="Times New Roman" w:eastAsia="Calibri" w:hAnsi="Times New Roman" w:cs="Times New Roman"/>
          <w:i/>
          <w:iCs/>
        </w:rPr>
        <w:t>t</w:t>
      </w:r>
      <w:r w:rsidRPr="00CD2660">
        <w:rPr>
          <w:rFonts w:ascii="Times New Roman" w:eastAsia="Calibri" w:hAnsi="Times New Roman" w:cs="Times New Roman"/>
        </w:rPr>
        <w:t>(</w:t>
      </w:r>
      <w:proofErr w:type="gramEnd"/>
      <w:r w:rsidRPr="00CD2660">
        <w:rPr>
          <w:rFonts w:ascii="Times New Roman" w:eastAsia="Calibri" w:hAnsi="Times New Roman" w:cs="Times New Roman"/>
        </w:rPr>
        <w:t xml:space="preserve">125) = 21.43, p &lt; 0.001, </w:t>
      </w:r>
      <w:proofErr w:type="spellStart"/>
      <w:r w:rsidRPr="00CD2660">
        <w:rPr>
          <w:rFonts w:ascii="Times New Roman" w:eastAsia="Calibri" w:hAnsi="Times New Roman" w:cs="Times New Roman"/>
          <w:i/>
          <w:iCs/>
        </w:rPr>
        <w:t>r</w:t>
      </w:r>
      <w:r w:rsidRPr="00CD2660">
        <w:rPr>
          <w:rFonts w:ascii="Times New Roman" w:eastAsia="Calibri" w:hAnsi="Times New Roman" w:cs="Times New Roman"/>
          <w:i/>
          <w:iCs/>
          <w:vertAlign w:val="subscript"/>
        </w:rPr>
        <w:t>effect</w:t>
      </w:r>
      <w:proofErr w:type="spellEnd"/>
      <w:r w:rsidRPr="00CD2660">
        <w:rPr>
          <w:rFonts w:ascii="Times New Roman" w:eastAsia="Calibri" w:hAnsi="Times New Roman" w:cs="Times New Roman"/>
          <w:i/>
          <w:iCs/>
          <w:vertAlign w:val="subscript"/>
        </w:rPr>
        <w:t xml:space="preserve"> size</w:t>
      </w:r>
      <w:r w:rsidRPr="00CD2660">
        <w:rPr>
          <w:rFonts w:ascii="Times New Roman" w:eastAsia="Calibri" w:hAnsi="Times New Roman" w:cs="Times New Roman"/>
        </w:rPr>
        <w:t xml:space="preserve"> = .89) indicting fidelity was acceptable.</w:t>
      </w:r>
    </w:p>
    <w:p w14:paraId="5AE173BB" w14:textId="77777777" w:rsidR="003A2E2B" w:rsidRPr="00CD2660" w:rsidRDefault="003A2E2B" w:rsidP="00CF2891">
      <w:pPr>
        <w:spacing w:after="160" w:line="480" w:lineRule="auto"/>
        <w:rPr>
          <w:rFonts w:ascii="Times New Roman" w:eastAsia="Calibri" w:hAnsi="Times New Roman" w:cs="Times New Roman"/>
          <w:i/>
          <w:iCs/>
        </w:rPr>
      </w:pPr>
      <w:r w:rsidRPr="00CD2660">
        <w:rPr>
          <w:rFonts w:ascii="Times New Roman" w:eastAsia="Calibri" w:hAnsi="Times New Roman" w:cs="Times New Roman"/>
          <w:i/>
          <w:iCs/>
        </w:rPr>
        <w:t>Diagnosis-Specific Symptom Outcome Measure</w:t>
      </w:r>
    </w:p>
    <w:p w14:paraId="1621BEC1" w14:textId="77777777" w:rsidR="003A2E2B" w:rsidRPr="00CD2660" w:rsidRDefault="003A2E2B" w:rsidP="00677903">
      <w:pPr>
        <w:spacing w:line="480" w:lineRule="auto"/>
        <w:ind w:firstLine="720"/>
        <w:rPr>
          <w:rFonts w:ascii="Times New Roman" w:hAnsi="Times New Roman" w:cs="Times New Roman"/>
        </w:rPr>
      </w:pPr>
      <w:r w:rsidRPr="00CD2660">
        <w:rPr>
          <w:rFonts w:ascii="Times New Roman" w:hAnsi="Times New Roman" w:cs="Times New Roman"/>
        </w:rPr>
        <w:t xml:space="preserve">Consistent with the decision to examine diagnosis-specific symptoms as a marker of treatment response, patient HAMD and LSAS scores were negatively correlated at baseline, </w:t>
      </w:r>
      <w:bookmarkStart w:id="0" w:name="OLE_LINK46"/>
      <w:r w:rsidRPr="00CD2660">
        <w:rPr>
          <w:rFonts w:ascii="Times New Roman" w:hAnsi="Times New Roman" w:cs="Times New Roman"/>
          <w:i/>
          <w:iCs/>
        </w:rPr>
        <w:t xml:space="preserve">r = </w:t>
      </w:r>
      <w:r w:rsidRPr="00CD2660">
        <w:rPr>
          <w:rFonts w:ascii="Times New Roman" w:hAnsi="Times New Roman" w:cs="Times New Roman"/>
        </w:rPr>
        <w:t xml:space="preserve">-.37, </w:t>
      </w:r>
      <w:r w:rsidRPr="00CD2660">
        <w:rPr>
          <w:rFonts w:ascii="Times New Roman" w:hAnsi="Times New Roman" w:cs="Times New Roman"/>
          <w:i/>
          <w:iCs/>
        </w:rPr>
        <w:t xml:space="preserve">p = </w:t>
      </w:r>
      <w:r w:rsidRPr="00CD2660">
        <w:rPr>
          <w:rFonts w:ascii="Times New Roman" w:hAnsi="Times New Roman" w:cs="Times New Roman"/>
        </w:rPr>
        <w:t xml:space="preserve">.001, which is consistent with the fact that patients </w:t>
      </w:r>
      <w:r w:rsidRPr="00CD2660">
        <w:rPr>
          <w:rFonts w:ascii="Times New Roman" w:eastAsia="Times New Roman" w:hAnsi="Times New Roman" w:cs="Times New Roman"/>
          <w:shd w:val="clear" w:color="auto" w:fill="FFFFFF"/>
        </w:rPr>
        <w:t xml:space="preserve">with SAD were not permitted to have clinically elevated levels of MDD symptoms, and vice versa. Patient HAMD and LSAS scores were </w:t>
      </w:r>
      <w:bookmarkEnd w:id="0"/>
      <w:r w:rsidRPr="00CD2660">
        <w:rPr>
          <w:rFonts w:ascii="Times New Roman" w:hAnsi="Times New Roman" w:cs="Times New Roman"/>
        </w:rPr>
        <w:t xml:space="preserve">not correlated post-treatment, </w:t>
      </w:r>
      <w:r w:rsidRPr="00CD2660">
        <w:rPr>
          <w:rFonts w:ascii="Times New Roman" w:hAnsi="Times New Roman" w:cs="Times New Roman"/>
          <w:i/>
          <w:iCs/>
        </w:rPr>
        <w:t xml:space="preserve">r = </w:t>
      </w:r>
      <w:r w:rsidRPr="00CD2660">
        <w:rPr>
          <w:rFonts w:ascii="Times New Roman" w:hAnsi="Times New Roman" w:cs="Times New Roman"/>
        </w:rPr>
        <w:t xml:space="preserve">.21, </w:t>
      </w:r>
      <w:r w:rsidRPr="00CD2660">
        <w:rPr>
          <w:rFonts w:ascii="Times New Roman" w:hAnsi="Times New Roman" w:cs="Times New Roman"/>
          <w:i/>
          <w:iCs/>
        </w:rPr>
        <w:t xml:space="preserve">p = </w:t>
      </w:r>
      <w:r w:rsidRPr="00CD2660">
        <w:rPr>
          <w:rFonts w:ascii="Times New Roman" w:hAnsi="Times New Roman" w:cs="Times New Roman"/>
        </w:rPr>
        <w:t xml:space="preserve">.07. </w:t>
      </w:r>
    </w:p>
    <w:p w14:paraId="279FA238" w14:textId="77777777" w:rsidR="003A2E2B" w:rsidRPr="00CD2660" w:rsidRDefault="003A2E2B" w:rsidP="001130FC">
      <w:pPr>
        <w:spacing w:line="480" w:lineRule="auto"/>
        <w:ind w:firstLine="720"/>
        <w:rPr>
          <w:rFonts w:ascii="Times New Roman" w:hAnsi="Times New Roman" w:cs="Times New Roman"/>
        </w:rPr>
      </w:pPr>
      <w:r w:rsidRPr="00CD2660">
        <w:rPr>
          <w:rFonts w:ascii="Times New Roman" w:hAnsi="Times New Roman" w:cs="Times New Roman"/>
        </w:rPr>
        <w:t>Within the specific patient groups, HAMD and LSAS scores were not correlated for SAD patients at baseline,</w:t>
      </w:r>
      <w:r w:rsidRPr="00CD2660">
        <w:rPr>
          <w:rFonts w:ascii="Times New Roman" w:hAnsi="Times New Roman" w:cs="Times New Roman"/>
          <w:i/>
          <w:iCs/>
        </w:rPr>
        <w:t xml:space="preserve"> r = </w:t>
      </w:r>
      <w:r w:rsidRPr="00CD2660">
        <w:rPr>
          <w:rFonts w:ascii="Times New Roman" w:hAnsi="Times New Roman" w:cs="Times New Roman"/>
        </w:rPr>
        <w:t xml:space="preserve">.04, </w:t>
      </w:r>
      <w:r w:rsidRPr="00CD2660">
        <w:rPr>
          <w:rFonts w:ascii="Times New Roman" w:hAnsi="Times New Roman" w:cs="Times New Roman"/>
          <w:i/>
          <w:iCs/>
        </w:rPr>
        <w:t xml:space="preserve">p = </w:t>
      </w:r>
      <w:r w:rsidRPr="00CD2660">
        <w:rPr>
          <w:rFonts w:ascii="Times New Roman" w:hAnsi="Times New Roman" w:cs="Times New Roman"/>
        </w:rPr>
        <w:t>.84, or post-treatment,</w:t>
      </w:r>
      <w:r w:rsidRPr="00CD2660">
        <w:rPr>
          <w:rFonts w:ascii="Times New Roman" w:hAnsi="Times New Roman" w:cs="Times New Roman"/>
          <w:i/>
          <w:iCs/>
        </w:rPr>
        <w:t xml:space="preserve"> r = </w:t>
      </w:r>
      <w:r w:rsidRPr="00CD2660">
        <w:rPr>
          <w:rFonts w:ascii="Times New Roman" w:hAnsi="Times New Roman" w:cs="Times New Roman"/>
        </w:rPr>
        <w:t xml:space="preserve">.23, </w:t>
      </w:r>
      <w:r w:rsidRPr="00CD2660">
        <w:rPr>
          <w:rFonts w:ascii="Times New Roman" w:hAnsi="Times New Roman" w:cs="Times New Roman"/>
          <w:i/>
          <w:iCs/>
        </w:rPr>
        <w:t xml:space="preserve">p = </w:t>
      </w:r>
      <w:r w:rsidRPr="00CD2660">
        <w:rPr>
          <w:rFonts w:ascii="Times New Roman" w:hAnsi="Times New Roman" w:cs="Times New Roman"/>
        </w:rPr>
        <w:t xml:space="preserve">.20. Additionally, HAMD and LSAS scores were also not correlated for MDD patients at baseline, </w:t>
      </w:r>
      <w:r w:rsidRPr="00CD2660">
        <w:rPr>
          <w:rFonts w:ascii="Times New Roman" w:hAnsi="Times New Roman" w:cs="Times New Roman"/>
          <w:i/>
          <w:iCs/>
        </w:rPr>
        <w:t xml:space="preserve">r = </w:t>
      </w:r>
      <w:r w:rsidRPr="00CD2660">
        <w:rPr>
          <w:rFonts w:ascii="Times New Roman" w:hAnsi="Times New Roman" w:cs="Times New Roman"/>
        </w:rPr>
        <w:t xml:space="preserve">.05, </w:t>
      </w:r>
      <w:r w:rsidRPr="00CD2660">
        <w:rPr>
          <w:rFonts w:ascii="Times New Roman" w:hAnsi="Times New Roman" w:cs="Times New Roman"/>
          <w:i/>
          <w:iCs/>
        </w:rPr>
        <w:t xml:space="preserve">p = </w:t>
      </w:r>
      <w:r w:rsidRPr="00CD2660">
        <w:rPr>
          <w:rFonts w:ascii="Times New Roman" w:hAnsi="Times New Roman" w:cs="Times New Roman"/>
        </w:rPr>
        <w:t xml:space="preserve">.77, though they were correlated post-treatment, </w:t>
      </w:r>
      <w:r w:rsidRPr="00CD2660">
        <w:rPr>
          <w:rFonts w:ascii="Times New Roman" w:hAnsi="Times New Roman" w:cs="Times New Roman"/>
          <w:i/>
          <w:iCs/>
        </w:rPr>
        <w:t xml:space="preserve">r = </w:t>
      </w:r>
      <w:r w:rsidRPr="00CD2660">
        <w:rPr>
          <w:rFonts w:ascii="Times New Roman" w:hAnsi="Times New Roman" w:cs="Times New Roman"/>
        </w:rPr>
        <w:t xml:space="preserve">.41, </w:t>
      </w:r>
      <w:r w:rsidRPr="00CD2660">
        <w:rPr>
          <w:rFonts w:ascii="Times New Roman" w:hAnsi="Times New Roman" w:cs="Times New Roman"/>
          <w:i/>
          <w:iCs/>
        </w:rPr>
        <w:t xml:space="preserve">p = </w:t>
      </w:r>
      <w:r w:rsidRPr="00CD2660">
        <w:rPr>
          <w:rFonts w:ascii="Times New Roman" w:hAnsi="Times New Roman" w:cs="Times New Roman"/>
        </w:rPr>
        <w:t>.007.</w:t>
      </w:r>
    </w:p>
    <w:p w14:paraId="321F0959" w14:textId="77777777" w:rsidR="003A2E2B" w:rsidRPr="00CD2660" w:rsidRDefault="003A2E2B" w:rsidP="00CF2891">
      <w:pPr>
        <w:spacing w:after="160" w:line="480" w:lineRule="auto"/>
        <w:rPr>
          <w:rFonts w:ascii="Times New Roman" w:eastAsia="Calibri" w:hAnsi="Times New Roman" w:cs="Times New Roman"/>
          <w:i/>
          <w:iCs/>
        </w:rPr>
      </w:pPr>
      <w:r w:rsidRPr="00CD2660">
        <w:rPr>
          <w:rFonts w:ascii="Times New Roman" w:eastAsia="Calibri" w:hAnsi="Times New Roman" w:cs="Times New Roman"/>
          <w:i/>
          <w:iCs/>
        </w:rPr>
        <w:t>fMRI Data Collection and Preprocessing</w:t>
      </w:r>
    </w:p>
    <w:p w14:paraId="6BB66E5A" w14:textId="77777777" w:rsidR="003A2E2B" w:rsidRPr="00CD2660" w:rsidRDefault="003A2E2B" w:rsidP="00245DBD">
      <w:pPr>
        <w:spacing w:line="480" w:lineRule="auto"/>
        <w:ind w:firstLine="720"/>
        <w:rPr>
          <w:rFonts w:ascii="Times New Roman" w:hAnsi="Times New Roman" w:cs="Times New Roman"/>
        </w:rPr>
      </w:pPr>
      <w:r w:rsidRPr="00CD2660">
        <w:rPr>
          <w:rFonts w:ascii="Times New Roman" w:hAnsi="Times New Roman" w:cs="Times New Roman"/>
        </w:rPr>
        <w:t xml:space="preserve">Blood oxygen-level dependent (BOLD) functional images were acquired using a gradient-echo echo-planar imaging sequence with the following parameters: repetition time (TR)=2 s, echo time (TE)=25 </w:t>
      </w:r>
      <w:proofErr w:type="spellStart"/>
      <w:r w:rsidRPr="00CD2660">
        <w:rPr>
          <w:rFonts w:ascii="Times New Roman" w:hAnsi="Times New Roman" w:cs="Times New Roman"/>
        </w:rPr>
        <w:t>ms</w:t>
      </w:r>
      <w:proofErr w:type="spellEnd"/>
      <w:r w:rsidRPr="00CD2660">
        <w:rPr>
          <w:rFonts w:ascii="Times New Roman" w:hAnsi="Times New Roman" w:cs="Times New Roman"/>
        </w:rPr>
        <w:t xml:space="preserve">, flip angle=90⁰, field of view=22 × 22 cm, acquisition matrix 64 × 64; 44 axial, 3-mm-thick slices with no gap. The first 4 volumes from each run were </w:t>
      </w:r>
      <w:r w:rsidRPr="00CD2660">
        <w:rPr>
          <w:rFonts w:ascii="Times New Roman" w:hAnsi="Times New Roman" w:cs="Times New Roman"/>
        </w:rPr>
        <w:lastRenderedPageBreak/>
        <w:t xml:space="preserve">discarded to allow for T1 equilibration effects. For anatomical localization, a high-resolution, T1-weighted volumetric anatomical scan was acquired. </w:t>
      </w:r>
    </w:p>
    <w:p w14:paraId="50B4566D" w14:textId="77777777" w:rsidR="003A2E2B" w:rsidRPr="00CD2660" w:rsidRDefault="003A2E2B" w:rsidP="00245DBD">
      <w:pPr>
        <w:spacing w:line="480" w:lineRule="auto"/>
        <w:ind w:firstLine="720"/>
        <w:rPr>
          <w:rFonts w:ascii="Times New Roman" w:hAnsi="Times New Roman" w:cs="Times New Roman"/>
        </w:rPr>
      </w:pPr>
      <w:r w:rsidRPr="00CD2660">
        <w:rPr>
          <w:rFonts w:ascii="Times New Roman" w:hAnsi="Times New Roman" w:cs="Times New Roman"/>
        </w:rPr>
        <w:t>Conventional preprocessing steps were used in Statistical Parametric Mapping (SPM12) software package (</w:t>
      </w:r>
      <w:proofErr w:type="spellStart"/>
      <w:r w:rsidRPr="00CD2660">
        <w:rPr>
          <w:rFonts w:ascii="Times New Roman" w:hAnsi="Times New Roman" w:cs="Times New Roman"/>
        </w:rPr>
        <w:t>Wellcome</w:t>
      </w:r>
      <w:proofErr w:type="spellEnd"/>
      <w:r w:rsidRPr="00CD2660">
        <w:rPr>
          <w:rFonts w:ascii="Times New Roman" w:hAnsi="Times New Roman" w:cs="Times New Roman"/>
        </w:rPr>
        <w:t xml:space="preserve"> Trust Centre for Neuroimaging, London www.fil.ion.ucl.ac.uk/spm). Images were temporally corrected to account for differences in slice time collection, spatially realigned to the first image of the first run, </w:t>
      </w:r>
      <w:proofErr w:type="spellStart"/>
      <w:r w:rsidRPr="00CD2660">
        <w:rPr>
          <w:rFonts w:ascii="Times New Roman" w:hAnsi="Times New Roman" w:cs="Times New Roman"/>
        </w:rPr>
        <w:t>coregistered</w:t>
      </w:r>
      <w:proofErr w:type="spellEnd"/>
      <w:r w:rsidRPr="00CD2660">
        <w:rPr>
          <w:rFonts w:ascii="Times New Roman" w:hAnsi="Times New Roman" w:cs="Times New Roman"/>
        </w:rPr>
        <w:t xml:space="preserve"> to the anatomical, normalized to a Montreal Neurological Institute (MNI) space using warping based on the anatomical, resampled to 2 × 2 × 2 mm voxels, and smoothed with an 8 mm isotropic Gaussian kernel. All participants were required to have no movement greater than 3-mm in any direction for analysis.</w:t>
      </w:r>
    </w:p>
    <w:p w14:paraId="31646472" w14:textId="77777777" w:rsidR="003A2E2B" w:rsidRPr="00CD2660" w:rsidRDefault="003A2E2B" w:rsidP="002E35CB">
      <w:pPr>
        <w:spacing w:line="480" w:lineRule="auto"/>
        <w:ind w:firstLine="720"/>
        <w:rPr>
          <w:rFonts w:ascii="Times New Roman" w:hAnsi="Times New Roman" w:cs="Times New Roman"/>
        </w:rPr>
      </w:pPr>
      <w:r w:rsidRPr="00CD2660">
        <w:rPr>
          <w:rFonts w:ascii="Times New Roman" w:hAnsi="Times New Roman" w:cs="Times New Roman"/>
        </w:rPr>
        <w:t>A general linear model identifying the Look Neutral, Look Negative, and Reappraise Negative blocks was applied to the time series, convolved with the canonical hemodynamic response function and with a 128 s high-pass filter. First level models included 6 motion parameters as nuisance regressors.</w:t>
      </w:r>
    </w:p>
    <w:p w14:paraId="736E42E0" w14:textId="77777777" w:rsidR="003A2E2B" w:rsidRPr="00CD2660" w:rsidRDefault="003A2E2B" w:rsidP="00CF2891">
      <w:pPr>
        <w:spacing w:after="160" w:line="480" w:lineRule="auto"/>
        <w:rPr>
          <w:rFonts w:ascii="Times New Roman" w:eastAsia="Calibri" w:hAnsi="Times New Roman" w:cs="Times New Roman"/>
        </w:rPr>
      </w:pPr>
      <w:r w:rsidRPr="00CD2660">
        <w:rPr>
          <w:rFonts w:ascii="Times New Roman" w:eastAsia="Calibri" w:hAnsi="Times New Roman" w:cs="Times New Roman"/>
          <w:i/>
          <w:iCs/>
        </w:rPr>
        <w:t>Brain Mask Construction</w:t>
      </w:r>
    </w:p>
    <w:p w14:paraId="680886EE" w14:textId="63F82DF9" w:rsidR="003A2E2B" w:rsidRPr="00CD2660" w:rsidRDefault="003A2E2B" w:rsidP="00CF2891">
      <w:pPr>
        <w:spacing w:after="160" w:line="480" w:lineRule="auto"/>
        <w:rPr>
          <w:rFonts w:ascii="Times New Roman" w:eastAsia="Calibri" w:hAnsi="Times New Roman" w:cs="Times New Roman"/>
        </w:rPr>
      </w:pPr>
      <w:r w:rsidRPr="00CD2660">
        <w:rPr>
          <w:rFonts w:ascii="Times New Roman" w:eastAsia="Calibri" w:hAnsi="Times New Roman" w:cs="Times New Roman"/>
        </w:rPr>
        <w:tab/>
        <w:t xml:space="preserve">An anatomy-based </w:t>
      </w:r>
      <w:proofErr w:type="spellStart"/>
      <w:r w:rsidRPr="00CD2660">
        <w:rPr>
          <w:rFonts w:ascii="Times New Roman" w:eastAsia="Calibri" w:hAnsi="Times New Roman" w:cs="Times New Roman"/>
        </w:rPr>
        <w:t>fronto</w:t>
      </w:r>
      <w:proofErr w:type="spellEnd"/>
      <w:r w:rsidRPr="00CD2660">
        <w:rPr>
          <w:rFonts w:ascii="Times New Roman" w:eastAsia="Calibri" w:hAnsi="Times New Roman" w:cs="Times New Roman"/>
        </w:rPr>
        <w:t>-temporal mask was created and applied to all second-level models in SPM12. Specifically</w:t>
      </w:r>
      <w:r w:rsidR="000E3F8C" w:rsidRPr="00CD2660">
        <w:rPr>
          <w:rFonts w:ascii="Times New Roman" w:eastAsia="Calibri" w:hAnsi="Times New Roman" w:cs="Times New Roman"/>
        </w:rPr>
        <w:t>,</w:t>
      </w:r>
      <w:r w:rsidRPr="00CD2660">
        <w:rPr>
          <w:rFonts w:ascii="Times New Roman" w:eastAsia="Calibri" w:hAnsi="Times New Roman" w:cs="Times New Roman"/>
        </w:rPr>
        <w:t xml:space="preserve"> the mask comprised brain regions shown to consistently engage during situation-focused reappraisal of negative stimuli </w:t>
      </w:r>
      <w:sdt>
        <w:sdtPr>
          <w:rPr>
            <w:rFonts w:ascii="Times New Roman" w:eastAsia="Calibri" w:hAnsi="Times New Roman" w:cs="Times New Roman"/>
            <w:color w:val="000000"/>
          </w:rPr>
          <w:tag w:val="MENDELEY_CITATION_v3_eyJjaXRhdGlvbklEIjoiTUVOREVMRVlfQ0lUQVRJT05fMTJkMzk2MjgtYzI4ZS00ODIzLTk1NTctNWE2NWI4YTljMzg5IiwicHJvcGVydGllcyI6eyJub3RlSW5kZXgiOjB9LCJpc0VkaXRlZCI6ZmFsc2UsIm1hbnVhbE92ZXJyaWRlIjp7ImNpdGVwcm9jVGV4dCI6IihNZXNzaW5hLCBCaWFuY28sIFNhbWJpbiwgJiMzODsgVml2aWFuaSwgMjAxNSkiLCJpc01hbnVhbGx5T3ZlcnJpZGRlbiI6ZmFsc2UsIm1hbnVhbE92ZXJyaWRlVGV4dCI6IiJ9LCJjaXRhdGlvbkl0ZW1zIjpbeyJpZCI6IjMwMDdiZDRmLTAxY2YtNTRmOS1iMjRmLWI2ZTAxOTgyZWM1MSIsIml0ZW1EYXRhIjp7IklTQk4iOiIxNjY0LTEwNzgiLCJhYnN0cmFjdCI6Ik5ldXJvaW1hZ2luZyBpbnZlc3RpZ2F0aW9ucyBoYXZlIGlkZW50aWZpZWQgdGhlIG5ldXJhbCBjb3JyZWxhdGVzIG9mIHJlYXBwcmFpc2FsIGluIGV4ZWN1dGl2ZSBhcmVhcy4gVGhlc2UgZmluZGluZ3MgaGF2ZSBiZWVuIGludGVycHJldGVkIGFzIGV2aWRlbmNlIGZvciByZWNydWl0bWVudCBvZiBjb250cm9sbGVkIHByb2Nlc3NlcywgYXQgdGhlIGV4cGVuc2Ugb2YgYXV0b21hdGljIHByb2Nlc3NlcyB3aGVuIHJlc3BvbmRpbmcgdG8gZW1vdGlvbmFsIHN0aW11bGkuIEhvd2V2ZXIsIGFjdGl2YXRpb24gb2Ygc2VtYW50aWMgYXJlYXMgaGFzIGFsc28gYmVlbiByZXBvcnRlZC4gVGhlIGFpbSBvZiB0aGUgcHJlc2VudCB3b3JrIHdhcyB0byBhZGRyZXNzIHRoZSBpc3N1ZSBvZiB0aGUgaW1wb3J0YW5jZSBvZiBzZW1hbnRpYyBhcmVhcyBpbiBlbW90aW9uIHJlZ3VsYXRpb24gYnkgY29tcGFyaW5nIHJlY3J1aXRtZW50IG9mIGV4ZWN1dGl2ZSBhbmQgc2VtYW50aWMgbmV1cmFsIHN1YnN0cmF0ZXMgaW4gc3R1ZGllcyBpbnZlc3RpZ2F0aW5nIGRpZmZlcmVudCByZWFwcHJhaXNhbCBzdHJhdGVnaWVzLiBXaXRoIHRoaXMgYWltLCB3ZSByZXZpZXdlZCBuZXVyb2ltYWdpbmcgc3R1ZGllcyBvbiByZWFwcHJhaXNhbCBhbmQgd2UgY2xhc3NpZmllZCB0aGVtIGluIHR3byBtYWluIGNhdGVnb3JpZXM6IHJlYXBwcmFpc2FsIG9mIHN0aW11bGkgKFJTKSBhbmQgcmVhcHByYWlzYWwgdmlhIHBlcnNwZWN0aXZlIHRha2luZyAoUlBUKS4gV2UgYXBwbGllZCBhIGNvb3JkaW5hdGUtYmFzZWQgbWV0YS1hbmFseXNpcyB0byBzdW1tYXJpemUgdGhlIHJlc3VsdHMgb2YgZk1SSSBzdHVkaWVzIG9uIGRpZmZlcmVudCByZWFwcHJhaXNhbCBzdHJhdGVnaWVzLiBPdXIgcmVzdWx0cyBzaG93ZWQgdGhhdCByZWFwcHJhaXNhbCwgd2hlbiBjb25zaWRlcmVkIHJlZ2FyZGxlc3Mgb2YgdGhlIHNwZWNpZmljIGluc3RydWN0aW9uIHVzZWQgaW4gdGhlIHN0dWRpZXMsIGludm9sdmVkIGJvdGggZXhlY3V0aXZlIGFuZCBzZW1hbnRpYyBhcmVhcyBvZiB0aGUgYnJhaW4uIFdoZW4gY29uc2lkZXJpbmcgZGlmZmVyZW50IHJlYXBwcmFpc2FsIHN0cmF0ZWdpZXMgc2VwYXJhdGVseSwgaW4gY29udHJhc3QsIHdlIGZvdW5kIGFyZWFzIGFzc29jaWF0ZWQgd2l0aCBleGVjdXRpdmUgZnVuY3Rpb24gdG8gYmUgcHJvbWluZW50bHkgcmVjcnVpdGVkIGJ5IFJTLCBldmVuIGlmIGFsc28gc2VtYW50aWMgYXJlYXMgd2VyZSBhY3RpdmF0ZWQuIEluc3RlYWQsIGluIFJQVCB0aGUgbW9zdCBpbXBvcnRhbnQgY2x1c3RlcnMgb2YgYnJhaW4gYWN0aXZpdHkgd2VyZSBmb3VuZCBpbiBwYXJpZXRhbCBhbmQgdGVtcG9yYWwgc2VtYW50aWMgYXJlYXMsIHdpdGhvdXQgc2lnbmlmaWNhbnQgY2x1c3RlcnMgaW4gZXhlY3V0aXZlIGFyZWFzLiBUaGVzZSByZXN1bHRzIGluZGljYXRlIHRoYXQgbW9kdWxhdGlvbiBvZiBhY3Rpdml0eSBpbiBzZW1hbnRpYyBhcmVhcyBtYXkgY29uc3RpdHV0ZSBhbiBpbXBvcnRhbnQgYXNwZWN0IG9mIGVtb3Rpb24gcmVndWxhdGlvbiBpbiByZWFwcHJhaXNhbCwgc3VnZ2VzdGluZyB0aGF0IHNlbWFudGljIHByb2Nlc3NlcyBtYXkgYmUgbW9yZSBpbXBvcnRhbnQgdG8gdW5kZXJzdGFuZCB0aGUgbWVjaGFuaXNtIG9mIGVtb3Rpb24gcmVndWxhdGlvbiB0aGFuIHByZXZpb3VzbHkgdGhvdWdodC4iLCJhdXRob3IiOlt7ImRyb3BwaW5nLXBhcnRpY2xlIjoiIiwiZmFtaWx5IjoiTWVzc2luYSIsImdpdmVuIjoiSXJlbmUiLCJub24tZHJvcHBpbmctcGFydGljbGUiOiIiLCJwYXJzZS1uYW1lcyI6ZmFsc2UsInN1ZmZpeCI6IiJ9LHsiZHJvcHBpbmctcGFydGljbGUiOiIiLCJmYW1pbHkiOiJCaWFuY28iLCJnaXZlbiI6IlNpbW9uZSIsIm5vbi1kcm9wcGluZy1wYXJ0aWNsZSI6IiIsInBhcnNlLW5hbWVzIjpmYWxzZSwic3VmZml4IjoiIn0seyJkcm9wcGluZy1wYXJ0aWNsZSI6IiIsImZhbWlseSI6IlNhbWJpbiIsImdpdmVuIjoiTWFyY28iLCJub24tZHJvcHBpbmctcGFydGljbGUiOiIiLCJwYXJzZS1uYW1lcyI6ZmFsc2UsInN1ZmZpeCI6IiJ9LHsiZHJvcHBpbmctcGFydGljbGUiOiIiLCJmYW1pbHkiOiJWaXZpYW5pIiwiZ2l2ZW4iOiJSb2JlcnRvIiwibm9uLWRyb3BwaW5nLXBhcnRpY2xlIjoiIiwicGFyc2UtbmFtZXMiOmZhbHNlLCJzdWZmaXgiOiIifV0sImNvbnRhaW5lci10aXRsZSI6IkZyb250aWVycyBpbiBQc3ljaG9sb2d5IiwiaWQiOiIzMDA3YmQ0Zi0wMWNmLTU0ZjktYjI0Zi1iNmUwMTk4MmVjNTEiLCJpc3N1ZWQiOnsiZGF0ZS1wYXJ0cyI6W1siMjAxNSJdXX0sInRpdGxlIjoiRXhlY3V0aXZlIGFuZCBzZW1hbnRpYyBwcm9jZXNzZXMgaW4gcmVhcHByYWlzYWwgb2YgbmVnYXRpdmUgc3RpbXVsaTogaW5zaWdodHMgZnJvbSBhIG1ldGEtYW5hbHlzaXMgb2YgbmV1cm9pbWFnaW5nIHN0dWRpZXMiLCJ0eXBlIjoiYXJ0aWNsZS1qb3VybmFsIiwidm9sdW1lIjoiNiIsImNvbnRhaW5lci10aXRsZS1zaG9ydCI6IkZyb250IFBzeWNob2wifSwidXJpcyI6WyJodHRwOi8vd3d3Lm1lbmRlbGV5LmNvbS9kb2N1bWVudHMvP3V1aWQ9MGQ4YTJmNDctZGVlMS00ZjQyLWEzYTEtNzNkOGNiMTRhNTZiIl0sImlzVGVtcG9yYXJ5IjpmYWxzZSwibGVnYWN5RGVza3RvcElkIjoiMGQ4YTJmNDctZGVlMS00ZjQyLWEzYTEtNzNkOGNiMTRhNTZiIn1dfQ=="/>
          <w:id w:val="-948932622"/>
          <w:placeholder>
            <w:docPart w:val="DefaultPlaceholder_-1854013440"/>
          </w:placeholder>
        </w:sdtPr>
        <w:sdtEndPr>
          <w:rPr>
            <w:rFonts w:eastAsiaTheme="minorHAnsi"/>
          </w:rPr>
        </w:sdtEndPr>
        <w:sdtContent>
          <w:r w:rsidR="00E005B7">
            <w:rPr>
              <w:rFonts w:eastAsia="Times New Roman"/>
            </w:rPr>
            <w:t xml:space="preserve">(Messina, Bianco, </w:t>
          </w:r>
          <w:proofErr w:type="spellStart"/>
          <w:r w:rsidR="00E005B7">
            <w:rPr>
              <w:rFonts w:eastAsia="Times New Roman"/>
            </w:rPr>
            <w:t>Sambin</w:t>
          </w:r>
          <w:proofErr w:type="spellEnd"/>
          <w:r w:rsidR="00E005B7">
            <w:rPr>
              <w:rFonts w:eastAsia="Times New Roman"/>
            </w:rPr>
            <w:t>, &amp; Viviani, 2015)</w:t>
          </w:r>
        </w:sdtContent>
      </w:sdt>
      <w:r w:rsidRPr="00CD2660">
        <w:rPr>
          <w:rFonts w:ascii="Times New Roman" w:eastAsia="Calibri" w:hAnsi="Times New Roman" w:cs="Times New Roman"/>
        </w:rPr>
        <w:t xml:space="preserve">. Therefore, the following bilateral regions based on AAL 3 </w:t>
      </w:r>
      <w:sdt>
        <w:sdtPr>
          <w:rPr>
            <w:rFonts w:ascii="Times New Roman" w:eastAsia="Calibri" w:hAnsi="Times New Roman" w:cs="Times New Roman"/>
            <w:color w:val="000000"/>
          </w:rPr>
          <w:tag w:val="MENDELEY_CITATION_v3_eyJjaXRhdGlvbklEIjoiTUVOREVMRVlfQ0lUQVRJT05fMmRiYmU1M2MtMzBlNy00NTMxLTk3NDQtOTVmY2ZjZTQ4MzU5IiwicHJvcGVydGllcyI6eyJub3RlSW5kZXgiOjB9LCJpc0VkaXRlZCI6ZmFsc2UsIm1hbnVhbE92ZXJyaWRlIjp7ImNpdGVwcm9jVGV4dCI6IihSb2xscywgSHVhbmcsIExpbiwgRmVuZywgJiMzODsgSm9saW90LCAyMDIwKSIsImlzTWFudWFsbHlPdmVycmlkZGVuIjpmYWxzZSwibWFudWFsT3ZlcnJpZGVUZXh0IjoiIn0sImNpdGF0aW9uSXRlbXMiOlt7ImlkIjoiNzEzZjU4OTQtZWUyNi01NjQwLWFjYTItZmFmZjA1MjlkNDk0IiwiaXRlbURhdGEiOnsiRE9JIjoiMTAuMTAxNi9qLm5ldXJvaW1hZ2UuMjAxOS4xMTYxODkiLCJhdXRob3IiOlt7ImRyb3BwaW5nLXBhcnRpY2xlIjoiIiwiZmFtaWx5IjoiUm9sbHMiLCJnaXZlbiI6IkUuIFQuIiwibm9uLWRyb3BwaW5nLXBhcnRpY2xlIjoiIiwicGFyc2UtbmFtZXMiOmZhbHNlLCJzdWZmaXgiOiIifSx7ImRyb3BwaW5nLXBhcnRpY2xlIjoiIiwiZmFtaWx5IjoiSHVhbmciLCJnaXZlbiI6IkMuIEMuIiwibm9uLWRyb3BwaW5nLXBhcnRpY2xlIjoiIiwicGFyc2UtbmFtZXMiOmZhbHNlLCJzdWZmaXgiOiIifSx7ImRyb3BwaW5nLXBhcnRpY2xlIjoiIiwiZmFtaWx5IjoiTGluIiwiZ2l2ZW4iOiJDLiBQLiIsIm5vbi1kcm9wcGluZy1wYXJ0aWNsZSI6IiIsInBhcnNlLW5hbWVzIjpmYWxzZSwic3VmZml4IjoiIn0seyJkcm9wcGluZy1wYXJ0aWNsZSI6IiIsImZhbWlseSI6IkZlbmciLCJnaXZlbiI6IkouIiwibm9uLWRyb3BwaW5nLXBhcnRpY2xlIjoiIiwicGFyc2UtbmFtZXMiOmZhbHNlLCJzdWZmaXgiOiIifSx7ImRyb3BwaW5nLXBhcnRpY2xlIjoiIiwiZmFtaWx5IjoiSm9saW90IiwiZ2l2ZW4iOiJNLiIsIm5vbi1kcm9wcGluZy1wYXJ0aWNsZSI6IiIsInBhcnNlLW5hbWVzIjpmYWxzZSwic3VmZml4IjoiIn1dLCJjb250YWluZXItdGl0bGUiOiJOZXVyb2ltYWdlIiwiaWQiOiI3MTNmNTg5NC1lZTI2LTU2NDAtYWNhMi1mYWZmMDUyOWQ0OTQiLCJpc3N1ZWQiOnsiZGF0ZS1wYXJ0cyI6W1siMjAyMCJdXX0sInBhZ2UiOiIxMTYxODkiLCJ0aXRsZSI6IkF1dG9tYXRlZCBhbmF0b21pY2FsIGxhYmVsbGluZyBhdGxhcyAzIiwidHlwZSI6ImFydGljbGUtam91cm5hbCIsInZvbHVtZSI6IjIwNiIsImNvbnRhaW5lci10aXRsZS1zaG9ydCI6Ik5ldXJvaW1hZ2UifSwidXJpcyI6WyJodHRwOi8vd3d3Lm1lbmRlbGV5LmNvbS9kb2N1bWVudHMvP3V1aWQ9NzRjNzU1MTYtNGU0My00NzM5LTlhOWQtMmU3NmUzOWQyNjFhIl0sImlzVGVtcG9yYXJ5IjpmYWxzZSwibGVnYWN5RGVza3RvcElkIjoiNzRjNzU1MTYtNGU0My00NzM5LTlhOWQtMmU3NmUzOWQyNjFhIn1dfQ=="/>
          <w:id w:val="-394668983"/>
          <w:placeholder>
            <w:docPart w:val="DefaultPlaceholder_-1854013440"/>
          </w:placeholder>
        </w:sdtPr>
        <w:sdtEndPr>
          <w:rPr>
            <w:rFonts w:eastAsiaTheme="minorHAnsi"/>
          </w:rPr>
        </w:sdtEndPr>
        <w:sdtContent>
          <w:r w:rsidR="00E005B7">
            <w:rPr>
              <w:rFonts w:eastAsia="Times New Roman"/>
            </w:rPr>
            <w:t>(Rolls, Huang, Lin, Feng, &amp; Joliot, 2020)</w:t>
          </w:r>
        </w:sdtContent>
      </w:sdt>
      <w:r w:rsidRPr="00CD2660">
        <w:rPr>
          <w:rFonts w:ascii="Times New Roman" w:eastAsia="Calibri" w:hAnsi="Times New Roman" w:cs="Times New Roman"/>
        </w:rPr>
        <w:t xml:space="preserve"> were combined to create the mask (volume = 383,816 mm</w:t>
      </w:r>
      <w:r w:rsidRPr="00CD2660">
        <w:rPr>
          <w:rFonts w:ascii="Times New Roman" w:eastAsia="Calibri" w:hAnsi="Times New Roman" w:cs="Times New Roman"/>
          <w:vertAlign w:val="superscript"/>
        </w:rPr>
        <w:t>3</w:t>
      </w:r>
      <w:r w:rsidRPr="00CD2660">
        <w:rPr>
          <w:rFonts w:ascii="Times New Roman" w:eastAsia="Calibri" w:hAnsi="Times New Roman" w:cs="Times New Roman"/>
        </w:rPr>
        <w:t xml:space="preserve">): superior frontal gyrus (medial and dorsolateral portions), middle frontal gyrus (i.e., dorsolateral prefrontal cortex), inferior frontal gyrus comprising opercular, triangular, and pars orbitalis portions (i.e., </w:t>
      </w:r>
      <w:r w:rsidRPr="00CD2660">
        <w:rPr>
          <w:rFonts w:ascii="Times New Roman" w:eastAsia="Calibri" w:hAnsi="Times New Roman" w:cs="Times New Roman"/>
        </w:rPr>
        <w:lastRenderedPageBreak/>
        <w:t xml:space="preserve">ventrolateral prefrontal cortex), </w:t>
      </w:r>
      <w:proofErr w:type="spellStart"/>
      <w:r w:rsidRPr="00CD2660">
        <w:rPr>
          <w:rFonts w:ascii="Times New Roman" w:eastAsia="Calibri" w:hAnsi="Times New Roman" w:cs="Times New Roman"/>
        </w:rPr>
        <w:t>supracallosal</w:t>
      </w:r>
      <w:proofErr w:type="spellEnd"/>
      <w:r w:rsidRPr="00CD2660">
        <w:rPr>
          <w:rFonts w:ascii="Times New Roman" w:eastAsia="Calibri" w:hAnsi="Times New Roman" w:cs="Times New Roman"/>
        </w:rPr>
        <w:t xml:space="preserve"> anterior cingulate cortex, middle cingulate (anterior to y = 0), angular gyrus, and middle temporal gyrus. </w:t>
      </w:r>
    </w:p>
    <w:p w14:paraId="2A2D4688" w14:textId="77777777" w:rsidR="003A2E2B" w:rsidRPr="00CD2660" w:rsidRDefault="003A2E2B" w:rsidP="00E331D5">
      <w:pPr>
        <w:spacing w:after="160" w:line="480" w:lineRule="auto"/>
        <w:jc w:val="center"/>
        <w:rPr>
          <w:rFonts w:ascii="Times New Roman" w:eastAsia="Calibri" w:hAnsi="Times New Roman" w:cs="Times New Roman"/>
        </w:rPr>
      </w:pPr>
      <w:r w:rsidRPr="00CD2660">
        <w:rPr>
          <w:rFonts w:ascii="Times New Roman" w:eastAsia="Calibri" w:hAnsi="Times New Roman" w:cs="Times New Roman"/>
          <w:b/>
          <w:bCs/>
        </w:rPr>
        <w:t>Results</w:t>
      </w:r>
    </w:p>
    <w:p w14:paraId="25F7A2BA" w14:textId="77777777" w:rsidR="003A2E2B" w:rsidRPr="00CD2660" w:rsidRDefault="003A2E2B" w:rsidP="00E331D5">
      <w:pPr>
        <w:spacing w:after="160" w:line="480" w:lineRule="auto"/>
        <w:rPr>
          <w:rFonts w:ascii="Times New Roman" w:eastAsia="Calibri" w:hAnsi="Times New Roman" w:cs="Times New Roman"/>
          <w:i/>
          <w:iCs/>
        </w:rPr>
      </w:pPr>
      <w:r w:rsidRPr="00CD2660">
        <w:rPr>
          <w:rFonts w:ascii="Times New Roman" w:eastAsia="Calibri" w:hAnsi="Times New Roman" w:cs="Times New Roman"/>
          <w:i/>
          <w:iCs/>
        </w:rPr>
        <w:t>Behavioral Performance</w:t>
      </w:r>
    </w:p>
    <w:p w14:paraId="282A92D0" w14:textId="775618BE" w:rsidR="003A2E2B" w:rsidRPr="00CD2660" w:rsidRDefault="003A2E2B" w:rsidP="001F036E">
      <w:pPr>
        <w:spacing w:line="480" w:lineRule="auto"/>
        <w:ind w:firstLine="720"/>
        <w:rPr>
          <w:rFonts w:ascii="Times New Roman" w:hAnsi="Times New Roman" w:cs="Times New Roman"/>
        </w:rPr>
      </w:pPr>
      <w:r w:rsidRPr="00CD2660">
        <w:rPr>
          <w:rFonts w:ascii="Times New Roman" w:hAnsi="Times New Roman" w:cs="Times New Roman"/>
        </w:rPr>
        <w:t xml:space="preserve">A 2 (Treatment </w:t>
      </w:r>
      <w:r w:rsidR="00A179D8" w:rsidRPr="00CD2660">
        <w:rPr>
          <w:rFonts w:ascii="Times New Roman" w:hAnsi="Times New Roman" w:cs="Times New Roman"/>
        </w:rPr>
        <w:t>A</w:t>
      </w:r>
      <w:r w:rsidRPr="00CD2660">
        <w:rPr>
          <w:rFonts w:ascii="Times New Roman" w:hAnsi="Times New Roman" w:cs="Times New Roman"/>
        </w:rPr>
        <w:t xml:space="preserve">rm: CBT, ST) x 3 (Condition: Look Neutral, Look Negative, Reappraise Negative) mixed ANOVA with repeated measures for the last factor was conducted to verify participants followed instructions and to ensure there were no differences in reappraisal facility in participants before randomization to CBT or ST. Results showed a main effect of Condition, </w:t>
      </w:r>
      <w:r w:rsidRPr="00CD2660">
        <w:rPr>
          <w:rFonts w:ascii="Times New Roman" w:hAnsi="Times New Roman" w:cs="Times New Roman"/>
          <w:i/>
          <w:iCs/>
        </w:rPr>
        <w:t>F</w:t>
      </w:r>
      <w:r w:rsidRPr="00CD2660">
        <w:rPr>
          <w:rFonts w:ascii="Times New Roman" w:hAnsi="Times New Roman" w:cs="Times New Roman"/>
        </w:rPr>
        <w:t xml:space="preserve">(2, 72) = 214.93, </w:t>
      </w:r>
      <w:r w:rsidRPr="00CD2660">
        <w:rPr>
          <w:rFonts w:ascii="Times New Roman" w:hAnsi="Times New Roman" w:cs="Times New Roman"/>
          <w:i/>
          <w:iCs/>
        </w:rPr>
        <w:t>p</w:t>
      </w:r>
      <w:r w:rsidRPr="00CD2660">
        <w:rPr>
          <w:rFonts w:ascii="Times New Roman" w:hAnsi="Times New Roman" w:cs="Times New Roman"/>
        </w:rPr>
        <w:t xml:space="preserve"> &lt; .001. Pairwise comparisons with a Bonferroni correction indicated affective state significantly differed between each of the conditions (all </w:t>
      </w:r>
      <w:proofErr w:type="spellStart"/>
      <w:r w:rsidRPr="00CD2660">
        <w:rPr>
          <w:rFonts w:ascii="Times New Roman" w:hAnsi="Times New Roman" w:cs="Times New Roman"/>
          <w:i/>
          <w:iCs/>
        </w:rPr>
        <w:t>p</w:t>
      </w:r>
      <w:r w:rsidRPr="00CD2660">
        <w:rPr>
          <w:rFonts w:ascii="Times New Roman" w:hAnsi="Times New Roman" w:cs="Times New Roman"/>
        </w:rPr>
        <w:t>s</w:t>
      </w:r>
      <w:proofErr w:type="spellEnd"/>
      <w:r w:rsidRPr="00CD2660">
        <w:rPr>
          <w:rFonts w:ascii="Times New Roman" w:hAnsi="Times New Roman" w:cs="Times New Roman"/>
        </w:rPr>
        <w:t xml:space="preserve"> &lt; .001), such that patients reported the lowest levels of negative emotion in the Look Neutral condition (</w:t>
      </w:r>
      <w:r w:rsidRPr="00CD2660">
        <w:rPr>
          <w:rFonts w:ascii="Times New Roman" w:hAnsi="Times New Roman" w:cs="Times New Roman"/>
          <w:i/>
          <w:iCs/>
        </w:rPr>
        <w:t xml:space="preserve">Mean </w:t>
      </w:r>
      <w:r w:rsidRPr="00CD2660">
        <w:rPr>
          <w:rFonts w:ascii="Times New Roman" w:hAnsi="Times New Roman" w:cs="Times New Roman"/>
        </w:rPr>
        <w:t xml:space="preserve">= 1.17, </w:t>
      </w:r>
      <w:r w:rsidRPr="00CD2660">
        <w:rPr>
          <w:rFonts w:ascii="Times New Roman" w:hAnsi="Times New Roman" w:cs="Times New Roman"/>
          <w:i/>
          <w:iCs/>
        </w:rPr>
        <w:t>SE</w:t>
      </w:r>
      <w:r w:rsidRPr="00CD2660">
        <w:rPr>
          <w:rFonts w:ascii="Times New Roman" w:hAnsi="Times New Roman" w:cs="Times New Roman"/>
        </w:rPr>
        <w:t xml:space="preserve"> = 0.36), followed by the Reappraise Negative (</w:t>
      </w:r>
      <w:r w:rsidRPr="00CD2660">
        <w:rPr>
          <w:rFonts w:ascii="Times New Roman" w:hAnsi="Times New Roman" w:cs="Times New Roman"/>
          <w:i/>
          <w:iCs/>
        </w:rPr>
        <w:t>Mean</w:t>
      </w:r>
      <w:r w:rsidRPr="00CD2660">
        <w:rPr>
          <w:rFonts w:ascii="Times New Roman" w:hAnsi="Times New Roman" w:cs="Times New Roman"/>
        </w:rPr>
        <w:t xml:space="preserve"> = 2.42, </w:t>
      </w:r>
      <w:r w:rsidRPr="00CD2660">
        <w:rPr>
          <w:rFonts w:ascii="Times New Roman" w:hAnsi="Times New Roman" w:cs="Times New Roman"/>
          <w:i/>
          <w:iCs/>
        </w:rPr>
        <w:t>SE</w:t>
      </w:r>
      <w:r w:rsidRPr="00CD2660">
        <w:rPr>
          <w:rFonts w:ascii="Times New Roman" w:hAnsi="Times New Roman" w:cs="Times New Roman"/>
        </w:rPr>
        <w:t xml:space="preserve"> = .090), and the Look Negative (</w:t>
      </w:r>
      <w:r w:rsidRPr="00CD2660">
        <w:rPr>
          <w:rFonts w:ascii="Times New Roman" w:hAnsi="Times New Roman" w:cs="Times New Roman"/>
          <w:i/>
          <w:iCs/>
        </w:rPr>
        <w:t>Mean</w:t>
      </w:r>
      <w:r w:rsidRPr="00CD2660">
        <w:rPr>
          <w:rFonts w:ascii="Times New Roman" w:hAnsi="Times New Roman" w:cs="Times New Roman"/>
        </w:rPr>
        <w:t xml:space="preserve"> = 2.91, </w:t>
      </w:r>
      <w:r w:rsidRPr="00CD2660">
        <w:rPr>
          <w:rFonts w:ascii="Times New Roman" w:hAnsi="Times New Roman" w:cs="Times New Roman"/>
          <w:i/>
          <w:iCs/>
        </w:rPr>
        <w:t>SE</w:t>
      </w:r>
      <w:r w:rsidRPr="00CD2660">
        <w:rPr>
          <w:rFonts w:ascii="Times New Roman" w:hAnsi="Times New Roman" w:cs="Times New Roman"/>
        </w:rPr>
        <w:t xml:space="preserve"> = .093) conditions. As expected, there was no main effect of Arm or a Condition </w:t>
      </w:r>
      <w:r w:rsidRPr="00CD2660">
        <w:rPr>
          <w:rFonts w:ascii="Times New Roman" w:hAnsi="Times New Roman" w:cs="Times New Roman"/>
        </w:rPr>
        <w:sym w:font="Symbol" w:char="F0B4"/>
      </w:r>
      <w:r w:rsidRPr="00CD2660">
        <w:rPr>
          <w:rFonts w:ascii="Times New Roman" w:hAnsi="Times New Roman" w:cs="Times New Roman"/>
        </w:rPr>
        <w:t xml:space="preserve"> Arm interaction (all </w:t>
      </w:r>
      <w:proofErr w:type="spellStart"/>
      <w:r w:rsidRPr="00CD2660">
        <w:rPr>
          <w:rFonts w:ascii="Times New Roman" w:hAnsi="Times New Roman" w:cs="Times New Roman"/>
          <w:i/>
          <w:iCs/>
        </w:rPr>
        <w:t>p</w:t>
      </w:r>
      <w:r w:rsidRPr="00CD2660">
        <w:rPr>
          <w:rFonts w:ascii="Times New Roman" w:hAnsi="Times New Roman" w:cs="Times New Roman"/>
        </w:rPr>
        <w:t>s</w:t>
      </w:r>
      <w:proofErr w:type="spellEnd"/>
      <w:r w:rsidRPr="00CD2660">
        <w:rPr>
          <w:rFonts w:ascii="Times New Roman" w:hAnsi="Times New Roman" w:cs="Times New Roman"/>
        </w:rPr>
        <w:t xml:space="preserve"> &gt; .81).</w:t>
      </w:r>
    </w:p>
    <w:p w14:paraId="044EF5DB" w14:textId="77777777" w:rsidR="003A2E2B" w:rsidRPr="00CD2660" w:rsidRDefault="003A2E2B" w:rsidP="00FB2FE5">
      <w:pPr>
        <w:spacing w:line="480" w:lineRule="auto"/>
        <w:rPr>
          <w:rFonts w:ascii="Times New Roman" w:hAnsi="Times New Roman" w:cs="Times New Roman"/>
          <w:i/>
          <w:iCs/>
        </w:rPr>
      </w:pPr>
      <w:bookmarkStart w:id="1" w:name="OLE_LINK26"/>
      <w:r w:rsidRPr="00CD2660">
        <w:rPr>
          <w:rFonts w:ascii="Times New Roman" w:hAnsi="Times New Roman" w:cs="Times New Roman"/>
          <w:i/>
          <w:iCs/>
        </w:rPr>
        <w:t>Overlap of Significant Clusters with Voxels Sensitive to Task Effects</w:t>
      </w:r>
    </w:p>
    <w:p w14:paraId="643A8030" w14:textId="692E0E3F" w:rsidR="003A2E2B" w:rsidRPr="00CD2660" w:rsidRDefault="003A2E2B" w:rsidP="00FB2FE5">
      <w:pPr>
        <w:spacing w:line="480" w:lineRule="auto"/>
        <w:rPr>
          <w:rFonts w:ascii="Times New Roman" w:hAnsi="Times New Roman" w:cs="Times New Roman"/>
        </w:rPr>
      </w:pPr>
      <w:r w:rsidRPr="00CD2660">
        <w:rPr>
          <w:rFonts w:ascii="Times New Roman" w:hAnsi="Times New Roman" w:cs="Times New Roman"/>
          <w:i/>
          <w:iCs/>
        </w:rPr>
        <w:tab/>
      </w:r>
      <w:r w:rsidRPr="00CD2660">
        <w:rPr>
          <w:rFonts w:ascii="Times New Roman" w:hAnsi="Times New Roman" w:cs="Times New Roman"/>
        </w:rPr>
        <w:t xml:space="preserve">To confirm that significant clusters overlapped with voxels that were sensitive to the primary contrast of interest (Reappraise Negative &gt; Look Negative), models in SPM were reconducted such that evaluation of significant clusters of brain activity identified in our primary analyses were further constrained to voxels that were sensitive to task effects using a voxel threshold of </w:t>
      </w:r>
      <w:r w:rsidRPr="00CD2660">
        <w:rPr>
          <w:rFonts w:ascii="Times New Roman" w:hAnsi="Times New Roman" w:cs="Times New Roman"/>
          <w:i/>
          <w:iCs/>
        </w:rPr>
        <w:t>p</w:t>
      </w:r>
      <w:r w:rsidRPr="00CD2660">
        <w:rPr>
          <w:rFonts w:ascii="Times New Roman" w:hAnsi="Times New Roman" w:cs="Times New Roman"/>
        </w:rPr>
        <w:t xml:space="preserve"> &lt; .005. </w:t>
      </w:r>
    </w:p>
    <w:p w14:paraId="3354A308" w14:textId="5EAED4D2" w:rsidR="003A2E2B" w:rsidRPr="00CD2660" w:rsidRDefault="003A2E2B" w:rsidP="003356EE">
      <w:pPr>
        <w:spacing w:line="480" w:lineRule="auto"/>
        <w:ind w:firstLine="720"/>
        <w:rPr>
          <w:rFonts w:ascii="Times New Roman" w:hAnsi="Times New Roman" w:cs="Times New Roman"/>
        </w:rPr>
      </w:pPr>
      <w:r w:rsidRPr="00CD2660">
        <w:rPr>
          <w:rFonts w:ascii="Times New Roman" w:hAnsi="Times New Roman" w:cs="Times New Roman"/>
        </w:rPr>
        <w:t xml:space="preserve">First, we examined the bilateral clusters of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activation that significantly corresponded with the </w:t>
      </w:r>
      <w:bookmarkStart w:id="2" w:name="OLE_LINK39"/>
      <w:r w:rsidRPr="00CD2660">
        <w:rPr>
          <w:rFonts w:ascii="Times New Roman" w:hAnsi="Times New Roman" w:cs="Times New Roman"/>
        </w:rPr>
        <w:t xml:space="preserve">Slope </w:t>
      </w:r>
      <w:r w:rsidRPr="00CD2660">
        <w:rPr>
          <w:rFonts w:ascii="Times New Roman" w:hAnsi="Times New Roman" w:cs="Times New Roman"/>
        </w:rPr>
        <w:sym w:font="Symbol" w:char="F0B4"/>
      </w:r>
      <w:r w:rsidRPr="00CD2660">
        <w:rPr>
          <w:rFonts w:ascii="Times New Roman" w:hAnsi="Times New Roman" w:cs="Times New Roman"/>
        </w:rPr>
        <w:t xml:space="preserve"> Arm interaction for the model examining trajectories of </w:t>
      </w:r>
      <w:r w:rsidRPr="00CD2660">
        <w:rPr>
          <w:rFonts w:ascii="Times New Roman" w:hAnsi="Times New Roman" w:cs="Times New Roman"/>
        </w:rPr>
        <w:lastRenderedPageBreak/>
        <w:t>diagnosis-specific symptoms.</w:t>
      </w:r>
      <w:bookmarkEnd w:id="2"/>
      <w:r w:rsidRPr="00CD2660">
        <w:rPr>
          <w:rFonts w:ascii="Times New Roman" w:hAnsi="Times New Roman" w:cs="Times New Roman"/>
        </w:rPr>
        <w:t xml:space="preserve"> Results indicated that </w:t>
      </w:r>
      <w:proofErr w:type="gramStart"/>
      <w:r w:rsidRPr="00CD2660">
        <w:rPr>
          <w:rFonts w:ascii="Times New Roman" w:hAnsi="Times New Roman" w:cs="Times New Roman"/>
        </w:rPr>
        <w:t>the majority of</w:t>
      </w:r>
      <w:proofErr w:type="gramEnd"/>
      <w:r w:rsidRPr="00CD2660">
        <w:rPr>
          <w:rFonts w:ascii="Times New Roman" w:hAnsi="Times New Roman" w:cs="Times New Roman"/>
        </w:rPr>
        <w:t xml:space="preserve"> voxels within both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clusters were also sensitive to the Reappraise Negative &gt; Look Negative contrast of interest </w:t>
      </w:r>
      <w:bookmarkStart w:id="3" w:name="OLE_LINK29"/>
      <w:r w:rsidRPr="00CD2660">
        <w:rPr>
          <w:rFonts w:ascii="Times New Roman" w:hAnsi="Times New Roman" w:cs="Times New Roman"/>
        </w:rPr>
        <w:t>(right peak [40, 12, 14], k=435 voxels, z=3.63, p&lt;.001,</w:t>
      </w:r>
      <w:r w:rsidRPr="00CD2660">
        <w:rPr>
          <w:rFonts w:ascii="Times New Roman" w:hAnsi="Times New Roman" w:cs="Times New Roman"/>
          <w:i/>
          <w:iCs/>
        </w:rPr>
        <w:t xml:space="preserve"> </w:t>
      </w:r>
      <w:proofErr w:type="spellStart"/>
      <w:r w:rsidRPr="00CD2660">
        <w:rPr>
          <w:rFonts w:ascii="Times New Roman" w:hAnsi="Times New Roman" w:cs="Times New Roman"/>
          <w:i/>
          <w:iCs/>
        </w:rPr>
        <w:t>r</w:t>
      </w:r>
      <w:r w:rsidRPr="00CD2660">
        <w:rPr>
          <w:rFonts w:ascii="Times New Roman" w:hAnsi="Times New Roman" w:cs="Times New Roman"/>
          <w:i/>
          <w:iCs/>
          <w:vertAlign w:val="subscript"/>
        </w:rPr>
        <w:t>effect</w:t>
      </w:r>
      <w:proofErr w:type="spellEnd"/>
      <w:r w:rsidRPr="00CD2660">
        <w:rPr>
          <w:rFonts w:ascii="Times New Roman" w:hAnsi="Times New Roman" w:cs="Times New Roman"/>
          <w:i/>
          <w:iCs/>
          <w:vertAlign w:val="subscript"/>
        </w:rPr>
        <w:t xml:space="preserve"> size</w:t>
      </w:r>
      <w:r w:rsidRPr="00CD2660">
        <w:rPr>
          <w:rFonts w:ascii="Times New Roman" w:hAnsi="Times New Roman" w:cs="Times New Roman"/>
        </w:rPr>
        <w:t xml:space="preserve"> = </w:t>
      </w:r>
      <w:r w:rsidR="003778FF" w:rsidRPr="00CD2660">
        <w:rPr>
          <w:rFonts w:ascii="Times New Roman" w:hAnsi="Times New Roman" w:cs="Times New Roman"/>
        </w:rPr>
        <w:t>.42</w:t>
      </w:r>
      <w:r w:rsidRPr="00CD2660">
        <w:rPr>
          <w:rFonts w:ascii="Times New Roman" w:hAnsi="Times New Roman" w:cs="Times New Roman"/>
        </w:rPr>
        <w:t xml:space="preserve">; </w:t>
      </w:r>
      <w:bookmarkEnd w:id="3"/>
      <w:r w:rsidRPr="00CD2660">
        <w:rPr>
          <w:rFonts w:ascii="Times New Roman" w:hAnsi="Times New Roman" w:cs="Times New Roman"/>
        </w:rPr>
        <w:t xml:space="preserve">left peak [-34, 22, 12], k=301 voxels, z=3.44, p&lt;.001, </w:t>
      </w:r>
      <w:bookmarkStart w:id="4" w:name="OLE_LINK15"/>
      <w:proofErr w:type="spellStart"/>
      <w:r w:rsidRPr="00CD2660">
        <w:rPr>
          <w:rFonts w:ascii="Times New Roman" w:hAnsi="Times New Roman" w:cs="Times New Roman"/>
          <w:i/>
          <w:iCs/>
        </w:rPr>
        <w:t>r</w:t>
      </w:r>
      <w:r w:rsidRPr="00CD2660">
        <w:rPr>
          <w:rFonts w:ascii="Times New Roman" w:hAnsi="Times New Roman" w:cs="Times New Roman"/>
          <w:i/>
          <w:iCs/>
          <w:vertAlign w:val="subscript"/>
        </w:rPr>
        <w:t>effect</w:t>
      </w:r>
      <w:proofErr w:type="spellEnd"/>
      <w:r w:rsidRPr="00CD2660">
        <w:rPr>
          <w:rFonts w:ascii="Times New Roman" w:hAnsi="Times New Roman" w:cs="Times New Roman"/>
          <w:i/>
          <w:iCs/>
          <w:vertAlign w:val="subscript"/>
        </w:rPr>
        <w:t xml:space="preserve"> size</w:t>
      </w:r>
      <w:r w:rsidRPr="00CD2660">
        <w:rPr>
          <w:rFonts w:ascii="Times New Roman" w:hAnsi="Times New Roman" w:cs="Times New Roman"/>
        </w:rPr>
        <w:t xml:space="preserve"> = </w:t>
      </w:r>
      <w:r w:rsidR="003778FF" w:rsidRPr="00CD2660">
        <w:rPr>
          <w:rFonts w:ascii="Times New Roman" w:hAnsi="Times New Roman" w:cs="Times New Roman"/>
        </w:rPr>
        <w:t>.39</w:t>
      </w:r>
      <w:bookmarkEnd w:id="4"/>
      <w:r w:rsidRPr="00CD2660">
        <w:rPr>
          <w:rFonts w:ascii="Times New Roman" w:hAnsi="Times New Roman" w:cs="Times New Roman"/>
        </w:rPr>
        <w:t xml:space="preserve">). </w:t>
      </w:r>
    </w:p>
    <w:p w14:paraId="50FF2B78" w14:textId="085B36D3" w:rsidR="003A2E2B" w:rsidRPr="00CD2660" w:rsidRDefault="003A2E2B" w:rsidP="001130FC">
      <w:pPr>
        <w:spacing w:line="480" w:lineRule="auto"/>
        <w:ind w:firstLine="720"/>
        <w:rPr>
          <w:rFonts w:ascii="Times New Roman" w:hAnsi="Times New Roman" w:cs="Times New Roman"/>
        </w:rPr>
      </w:pPr>
      <w:r w:rsidRPr="00CD2660">
        <w:rPr>
          <w:rFonts w:ascii="Times New Roman" w:hAnsi="Times New Roman" w:cs="Times New Roman"/>
        </w:rPr>
        <w:t>Second, we confirmed the extent to which the left prefrontal cluster that was significantly predicted by the main effect of reappraisal change trajectory overlapped with task-sensitive voxels. Results indicated that 83 voxels from this significant cluster overlapped with task-sensitive voxels (first peak [-30, 52, 24], k=79 voxels, z=2.90, p=.002; second peak [-44, 32, 22], k=4 voxels, z=2.72, p=.003), the majority of which were located within the dorsolateral superior frontal gyrus (k=79).</w:t>
      </w:r>
    </w:p>
    <w:p w14:paraId="683371F5" w14:textId="77777777" w:rsidR="003A2E2B" w:rsidRPr="00CD2660" w:rsidRDefault="003A2E2B" w:rsidP="00FB2FE5">
      <w:pPr>
        <w:spacing w:line="480" w:lineRule="auto"/>
        <w:rPr>
          <w:rFonts w:ascii="Times New Roman" w:hAnsi="Times New Roman" w:cs="Times New Roman"/>
          <w:i/>
          <w:iCs/>
        </w:rPr>
      </w:pPr>
      <w:bookmarkStart w:id="5" w:name="OLE_LINK53"/>
      <w:r w:rsidRPr="00CD2660">
        <w:rPr>
          <w:rFonts w:ascii="Times New Roman" w:hAnsi="Times New Roman" w:cs="Times New Roman"/>
          <w:i/>
          <w:iCs/>
        </w:rPr>
        <w:t>Specificity of Findings to Reappraisal versus Affective Processing</w:t>
      </w:r>
    </w:p>
    <w:bookmarkEnd w:id="1"/>
    <w:bookmarkEnd w:id="5"/>
    <w:p w14:paraId="18A7BC44" w14:textId="77777777" w:rsidR="003A2E2B" w:rsidRPr="00CD2660" w:rsidRDefault="003A2E2B" w:rsidP="00FB2FE5">
      <w:pPr>
        <w:spacing w:line="480" w:lineRule="auto"/>
        <w:rPr>
          <w:rFonts w:ascii="Times New Roman" w:hAnsi="Times New Roman" w:cs="Times New Roman"/>
        </w:rPr>
      </w:pPr>
      <w:r w:rsidRPr="00CD2660">
        <w:rPr>
          <w:rFonts w:ascii="Times New Roman" w:hAnsi="Times New Roman" w:cs="Times New Roman"/>
        </w:rPr>
        <w:tab/>
        <w:t xml:space="preserve">Given that significant clusters identified within the context of the Reappraise Negative &gt; Look Negative contrast may have been driven by individual differences in neural activation during either reappraisal (i.e., Reappraise Negative) or basic affective processing (i.e., Look Negative), additional analyses were conducted to aid in interpretation of findings. Specifically, spherical ROIs for significant clusters in primary analyses were extracted for the Reappraise Negative &gt; Look Neutral and Look Negative &gt; Look Neutral contrasts and were submitted to partial correlations in SPSS to confirm main findings. </w:t>
      </w:r>
    </w:p>
    <w:p w14:paraId="75EE44A2" w14:textId="24B21073" w:rsidR="003A2E2B" w:rsidRPr="00CD2660" w:rsidRDefault="003A2E2B" w:rsidP="00B2754F">
      <w:pPr>
        <w:spacing w:line="480" w:lineRule="auto"/>
        <w:rPr>
          <w:rFonts w:ascii="Times New Roman" w:hAnsi="Times New Roman" w:cs="Times New Roman"/>
        </w:rPr>
      </w:pPr>
      <w:r w:rsidRPr="00CD2660">
        <w:rPr>
          <w:rFonts w:ascii="Times New Roman" w:hAnsi="Times New Roman" w:cs="Times New Roman"/>
        </w:rPr>
        <w:tab/>
      </w:r>
      <w:bookmarkStart w:id="6" w:name="OLE_LINK44"/>
      <w:r w:rsidRPr="00CD2660">
        <w:rPr>
          <w:rFonts w:ascii="Times New Roman" w:hAnsi="Times New Roman" w:cs="Times New Roman"/>
          <w:u w:val="single"/>
        </w:rPr>
        <w:t>Reappraise Negative &gt; Look Neutral.</w:t>
      </w:r>
      <w:r w:rsidRPr="00CD2660">
        <w:rPr>
          <w:rFonts w:ascii="Times New Roman" w:hAnsi="Times New Roman" w:cs="Times New Roman"/>
        </w:rPr>
        <w:tab/>
        <w:t xml:space="preserve"> </w:t>
      </w:r>
      <w:bookmarkStart w:id="7" w:name="OLE_LINK54"/>
      <w:bookmarkStart w:id="8" w:name="OLE_LINK55"/>
      <w:bookmarkEnd w:id="6"/>
      <w:r w:rsidRPr="00CD2660">
        <w:rPr>
          <w:rFonts w:ascii="Times New Roman" w:hAnsi="Times New Roman" w:cs="Times New Roman"/>
        </w:rPr>
        <w:t xml:space="preserve">We first examined the clusters that were significant for the Slope </w:t>
      </w:r>
      <w:r w:rsidRPr="00CD2660">
        <w:rPr>
          <w:rFonts w:ascii="Times New Roman" w:hAnsi="Times New Roman" w:cs="Times New Roman"/>
        </w:rPr>
        <w:sym w:font="Symbol" w:char="F0B4"/>
      </w:r>
      <w:r w:rsidRPr="00CD2660">
        <w:rPr>
          <w:rFonts w:ascii="Times New Roman" w:hAnsi="Times New Roman" w:cs="Times New Roman"/>
        </w:rPr>
        <w:t xml:space="preserve"> Arm interaction for the model examining trajectories of diagnosis-specific symptoms. Follow-up partial correlations indicated that for patients assigned to CBT, the association between trajectories of diagnosis-specific symptom reduction and baseline neural activation was approaching significance for the </w:t>
      </w:r>
      <w:r w:rsidR="009F4B7A" w:rsidRPr="00CD2660">
        <w:rPr>
          <w:rFonts w:ascii="Times New Roman" w:hAnsi="Times New Roman" w:cs="Times New Roman"/>
        </w:rPr>
        <w:t xml:space="preserve">right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bookmarkStart w:id="9" w:name="OLE_LINK43"/>
      <w:r w:rsidRPr="00CD2660">
        <w:rPr>
          <w:rFonts w:ascii="Times New Roman" w:hAnsi="Times New Roman" w:cs="Times New Roman"/>
          <w:i/>
          <w:iCs/>
        </w:rPr>
        <w:t>r</w:t>
      </w:r>
      <w:r w:rsidRPr="00CD2660">
        <w:rPr>
          <w:rFonts w:ascii="Times New Roman" w:hAnsi="Times New Roman" w:cs="Times New Roman"/>
        </w:rPr>
        <w:t xml:space="preserve">=.30, </w:t>
      </w:r>
      <w:r w:rsidRPr="00CD2660">
        <w:rPr>
          <w:rFonts w:ascii="Times New Roman" w:hAnsi="Times New Roman" w:cs="Times New Roman"/>
          <w:i/>
          <w:iCs/>
        </w:rPr>
        <w:t>p</w:t>
      </w:r>
      <w:r w:rsidRPr="00CD2660">
        <w:rPr>
          <w:rFonts w:ascii="Times New Roman" w:hAnsi="Times New Roman" w:cs="Times New Roman"/>
        </w:rPr>
        <w:t>=.0</w:t>
      </w:r>
      <w:bookmarkEnd w:id="9"/>
      <w:r w:rsidR="009F4B7A" w:rsidRPr="00CD2660">
        <w:rPr>
          <w:rFonts w:ascii="Times New Roman" w:hAnsi="Times New Roman" w:cs="Times New Roman"/>
        </w:rPr>
        <w:t>68</w:t>
      </w:r>
      <w:r w:rsidRPr="00CD2660">
        <w:rPr>
          <w:rFonts w:ascii="Times New Roman" w:hAnsi="Times New Roman" w:cs="Times New Roman"/>
        </w:rPr>
        <w:t xml:space="preserve">, but was not </w:t>
      </w:r>
      <w:r w:rsidRPr="00CD2660">
        <w:rPr>
          <w:rFonts w:ascii="Times New Roman" w:hAnsi="Times New Roman" w:cs="Times New Roman"/>
        </w:rPr>
        <w:lastRenderedPageBreak/>
        <w:t xml:space="preserve">significant for </w:t>
      </w:r>
      <w:r w:rsidR="009F4B7A" w:rsidRPr="00CD2660">
        <w:rPr>
          <w:rFonts w:ascii="Times New Roman" w:hAnsi="Times New Roman" w:cs="Times New Roman"/>
        </w:rPr>
        <w:t xml:space="preserve">left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r w:rsidRPr="00CD2660">
        <w:rPr>
          <w:rFonts w:ascii="Times New Roman" w:hAnsi="Times New Roman" w:cs="Times New Roman"/>
          <w:i/>
          <w:iCs/>
        </w:rPr>
        <w:t>r</w:t>
      </w:r>
      <w:r w:rsidRPr="00CD2660">
        <w:rPr>
          <w:rFonts w:ascii="Times New Roman" w:hAnsi="Times New Roman" w:cs="Times New Roman"/>
        </w:rPr>
        <w:t xml:space="preserve">=.25, </w:t>
      </w:r>
      <w:r w:rsidRPr="00CD2660">
        <w:rPr>
          <w:rFonts w:ascii="Times New Roman" w:hAnsi="Times New Roman" w:cs="Times New Roman"/>
          <w:i/>
          <w:iCs/>
        </w:rPr>
        <w:t>p</w:t>
      </w:r>
      <w:r w:rsidRPr="00CD2660">
        <w:rPr>
          <w:rFonts w:ascii="Times New Roman" w:hAnsi="Times New Roman" w:cs="Times New Roman"/>
        </w:rPr>
        <w:t>=.13</w:t>
      </w:r>
      <w:r w:rsidR="009F4B7A" w:rsidRPr="00CD2660">
        <w:rPr>
          <w:rFonts w:ascii="Times New Roman" w:hAnsi="Times New Roman" w:cs="Times New Roman"/>
        </w:rPr>
        <w:t>5</w:t>
      </w:r>
      <w:r w:rsidRPr="00CD2660">
        <w:rPr>
          <w:rFonts w:ascii="Times New Roman" w:hAnsi="Times New Roman" w:cs="Times New Roman"/>
        </w:rPr>
        <w:t>. For patients randomized to ST, steeper trajectories of diagnosis-specific symptom reduction were associated with greater baseline activation of the</w:t>
      </w:r>
      <w:r w:rsidR="009F4B7A" w:rsidRPr="00CD2660">
        <w:rPr>
          <w:rFonts w:ascii="Times New Roman" w:hAnsi="Times New Roman" w:cs="Times New Roman"/>
        </w:rPr>
        <w:t xml:space="preserve"> right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bookmarkStart w:id="10" w:name="OLE_LINK42"/>
      <w:r w:rsidRPr="00CD2660">
        <w:rPr>
          <w:rFonts w:ascii="Times New Roman" w:hAnsi="Times New Roman" w:cs="Times New Roman"/>
          <w:i/>
          <w:iCs/>
        </w:rPr>
        <w:t>r</w:t>
      </w:r>
      <w:r w:rsidRPr="00CD2660">
        <w:rPr>
          <w:rFonts w:ascii="Times New Roman" w:hAnsi="Times New Roman" w:cs="Times New Roman"/>
        </w:rPr>
        <w:t>=-.3</w:t>
      </w:r>
      <w:r w:rsidR="009F4B7A" w:rsidRPr="00CD2660">
        <w:rPr>
          <w:rFonts w:ascii="Times New Roman" w:hAnsi="Times New Roman" w:cs="Times New Roman"/>
        </w:rPr>
        <w:t>5</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=.0</w:t>
      </w:r>
      <w:r w:rsidR="009F4B7A" w:rsidRPr="00CD2660">
        <w:rPr>
          <w:rFonts w:ascii="Times New Roman" w:hAnsi="Times New Roman" w:cs="Times New Roman"/>
        </w:rPr>
        <w:t>49</w:t>
      </w:r>
      <w:r w:rsidRPr="00CD2660">
        <w:rPr>
          <w:rFonts w:ascii="Times New Roman" w:hAnsi="Times New Roman" w:cs="Times New Roman"/>
        </w:rPr>
        <w:t xml:space="preserve">, </w:t>
      </w:r>
      <w:bookmarkEnd w:id="10"/>
      <w:r w:rsidRPr="00CD2660">
        <w:rPr>
          <w:rFonts w:ascii="Times New Roman" w:hAnsi="Times New Roman" w:cs="Times New Roman"/>
        </w:rPr>
        <w:t>but not</w:t>
      </w:r>
      <w:r w:rsidR="009F4B7A" w:rsidRPr="00CD2660">
        <w:rPr>
          <w:rFonts w:ascii="Times New Roman" w:hAnsi="Times New Roman" w:cs="Times New Roman"/>
        </w:rPr>
        <w:t xml:space="preserve"> left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bookmarkStart w:id="11" w:name="OLE_LINK45"/>
      <w:r w:rsidRPr="00CD2660">
        <w:rPr>
          <w:rFonts w:ascii="Times New Roman" w:hAnsi="Times New Roman" w:cs="Times New Roman"/>
          <w:i/>
          <w:iCs/>
        </w:rPr>
        <w:t>r</w:t>
      </w:r>
      <w:r w:rsidRPr="00CD2660">
        <w:rPr>
          <w:rFonts w:ascii="Times New Roman" w:hAnsi="Times New Roman" w:cs="Times New Roman"/>
        </w:rPr>
        <w:t>=-.2</w:t>
      </w:r>
      <w:r w:rsidR="009F4B7A" w:rsidRPr="00CD2660">
        <w:rPr>
          <w:rFonts w:ascii="Times New Roman" w:hAnsi="Times New Roman" w:cs="Times New Roman"/>
        </w:rPr>
        <w:t>6</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=.1</w:t>
      </w:r>
      <w:r w:rsidR="009F4B7A" w:rsidRPr="00CD2660">
        <w:rPr>
          <w:rFonts w:ascii="Times New Roman" w:hAnsi="Times New Roman" w:cs="Times New Roman"/>
        </w:rPr>
        <w:t>50</w:t>
      </w:r>
      <w:bookmarkEnd w:id="11"/>
      <w:r w:rsidRPr="00CD2660">
        <w:rPr>
          <w:rFonts w:ascii="Times New Roman" w:hAnsi="Times New Roman" w:cs="Times New Roman"/>
        </w:rPr>
        <w:t xml:space="preserve">. </w:t>
      </w:r>
    </w:p>
    <w:p w14:paraId="50CBE313" w14:textId="4DD4C31D" w:rsidR="003A2E2B" w:rsidRPr="00CD2660" w:rsidRDefault="003A2E2B" w:rsidP="00B2754F">
      <w:pPr>
        <w:spacing w:line="480" w:lineRule="auto"/>
        <w:rPr>
          <w:rFonts w:ascii="Times New Roman" w:hAnsi="Times New Roman" w:cs="Times New Roman"/>
        </w:rPr>
      </w:pPr>
      <w:r w:rsidRPr="00CD2660">
        <w:rPr>
          <w:rFonts w:ascii="Times New Roman" w:hAnsi="Times New Roman" w:cs="Times New Roman"/>
        </w:rPr>
        <w:tab/>
        <w:t xml:space="preserve">Regarding the main effect of trajectories of reappraisal improvement and neural activation, partial correlation indicated that greater trajectories of self-reported reappraisal improvement were associated with less baseline activation of left </w:t>
      </w:r>
      <w:proofErr w:type="spellStart"/>
      <w:r w:rsidRPr="00CD2660">
        <w:rPr>
          <w:rFonts w:ascii="Times New Roman" w:hAnsi="Times New Roman" w:cs="Times New Roman"/>
        </w:rPr>
        <w:t>dlPFC</w:t>
      </w:r>
      <w:proofErr w:type="spellEnd"/>
      <w:r w:rsidRPr="00CD2660">
        <w:rPr>
          <w:rFonts w:ascii="Times New Roman" w:hAnsi="Times New Roman" w:cs="Times New Roman"/>
        </w:rPr>
        <w:t xml:space="preserve">, </w:t>
      </w:r>
      <w:r w:rsidRPr="00CD2660">
        <w:rPr>
          <w:rFonts w:ascii="Times New Roman" w:hAnsi="Times New Roman" w:cs="Times New Roman"/>
          <w:i/>
          <w:iCs/>
        </w:rPr>
        <w:t>r</w:t>
      </w:r>
      <w:r w:rsidRPr="00CD2660">
        <w:rPr>
          <w:rFonts w:ascii="Times New Roman" w:hAnsi="Times New Roman" w:cs="Times New Roman"/>
        </w:rPr>
        <w:t>=-.2</w:t>
      </w:r>
      <w:r w:rsidR="009F4B7A" w:rsidRPr="00CD2660">
        <w:rPr>
          <w:rFonts w:ascii="Times New Roman" w:hAnsi="Times New Roman" w:cs="Times New Roman"/>
        </w:rPr>
        <w:t>7</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=.0</w:t>
      </w:r>
      <w:r w:rsidR="009F4B7A" w:rsidRPr="00CD2660">
        <w:rPr>
          <w:rFonts w:ascii="Times New Roman" w:hAnsi="Times New Roman" w:cs="Times New Roman"/>
        </w:rPr>
        <w:t>24</w:t>
      </w:r>
      <w:r w:rsidRPr="00CD2660">
        <w:rPr>
          <w:rFonts w:ascii="Times New Roman" w:hAnsi="Times New Roman" w:cs="Times New Roman"/>
        </w:rPr>
        <w:t>.</w:t>
      </w:r>
    </w:p>
    <w:bookmarkEnd w:id="7"/>
    <w:bookmarkEnd w:id="8"/>
    <w:p w14:paraId="38D34338" w14:textId="70038E34" w:rsidR="003A2E2B" w:rsidRPr="00CD2660" w:rsidRDefault="003A2E2B" w:rsidP="00290AA3">
      <w:pPr>
        <w:spacing w:line="480" w:lineRule="auto"/>
        <w:ind w:firstLine="720"/>
        <w:rPr>
          <w:rFonts w:ascii="Times New Roman" w:hAnsi="Times New Roman" w:cs="Times New Roman"/>
        </w:rPr>
      </w:pPr>
      <w:r w:rsidRPr="00CD2660">
        <w:rPr>
          <w:rFonts w:ascii="Times New Roman" w:hAnsi="Times New Roman" w:cs="Times New Roman"/>
          <w:u w:val="single"/>
        </w:rPr>
        <w:t>Look Negative &gt; Look Neutral.</w:t>
      </w:r>
      <w:r w:rsidRPr="00CD2660">
        <w:rPr>
          <w:rFonts w:ascii="Times New Roman" w:hAnsi="Times New Roman" w:cs="Times New Roman"/>
        </w:rPr>
        <w:t xml:space="preserve"> Follow-up partial correlations conducted separately for patients assigned to either CBT or ST revealed no significant associations between trajectories of diagnosis-specific treatment improvement and baseline activation of either right or left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r w:rsidR="009F4B7A" w:rsidRPr="00CD2660">
        <w:rPr>
          <w:rFonts w:ascii="Times New Roman" w:hAnsi="Times New Roman" w:cs="Times New Roman"/>
        </w:rPr>
        <w:t>|</w:t>
      </w:r>
      <w:proofErr w:type="spellStart"/>
      <w:r w:rsidRPr="00CD2660">
        <w:rPr>
          <w:rFonts w:ascii="Times New Roman" w:hAnsi="Times New Roman" w:cs="Times New Roman"/>
          <w:i/>
          <w:iCs/>
        </w:rPr>
        <w:t>r</w:t>
      </w:r>
      <w:r w:rsidR="009F4B7A" w:rsidRPr="00CD2660">
        <w:rPr>
          <w:rFonts w:ascii="Times New Roman" w:hAnsi="Times New Roman" w:cs="Times New Roman"/>
          <w:i/>
          <w:iCs/>
        </w:rPr>
        <w:t>|</w:t>
      </w:r>
      <w:r w:rsidRPr="00CD2660">
        <w:rPr>
          <w:rFonts w:ascii="Times New Roman" w:hAnsi="Times New Roman" w:cs="Times New Roman"/>
        </w:rPr>
        <w:t>s</w:t>
      </w:r>
      <w:proofErr w:type="spellEnd"/>
      <w:r w:rsidRPr="00CD2660">
        <w:rPr>
          <w:rFonts w:ascii="Times New Roman" w:hAnsi="Times New Roman" w:cs="Times New Roman"/>
        </w:rPr>
        <w:t xml:space="preserve"> = .</w:t>
      </w:r>
      <w:r w:rsidR="009F4B7A" w:rsidRPr="00CD2660">
        <w:rPr>
          <w:rFonts w:ascii="Times New Roman" w:hAnsi="Times New Roman" w:cs="Times New Roman"/>
        </w:rPr>
        <w:t>02</w:t>
      </w:r>
      <w:r w:rsidRPr="00CD2660">
        <w:rPr>
          <w:rFonts w:ascii="Times New Roman" w:hAnsi="Times New Roman" w:cs="Times New Roman"/>
        </w:rPr>
        <w:t xml:space="preserve"> – .1</w:t>
      </w:r>
      <w:r w:rsidR="009F4B7A" w:rsidRPr="00CD2660">
        <w:rPr>
          <w:rFonts w:ascii="Times New Roman" w:hAnsi="Times New Roman" w:cs="Times New Roman"/>
        </w:rPr>
        <w:t>4</w:t>
      </w:r>
      <w:r w:rsidRPr="00CD2660">
        <w:rPr>
          <w:rFonts w:ascii="Times New Roman" w:hAnsi="Times New Roman" w:cs="Times New Roman"/>
        </w:rPr>
        <w:t xml:space="preserve">, </w:t>
      </w:r>
      <w:proofErr w:type="spellStart"/>
      <w:r w:rsidRPr="00CD2660">
        <w:rPr>
          <w:rFonts w:ascii="Times New Roman" w:hAnsi="Times New Roman" w:cs="Times New Roman"/>
          <w:i/>
          <w:iCs/>
        </w:rPr>
        <w:t>p</w:t>
      </w:r>
      <w:r w:rsidRPr="00CD2660">
        <w:rPr>
          <w:rFonts w:ascii="Times New Roman" w:hAnsi="Times New Roman" w:cs="Times New Roman"/>
        </w:rPr>
        <w:t>s</w:t>
      </w:r>
      <w:proofErr w:type="spellEnd"/>
      <w:r w:rsidRPr="00CD2660">
        <w:rPr>
          <w:rFonts w:ascii="Times New Roman" w:hAnsi="Times New Roman" w:cs="Times New Roman"/>
        </w:rPr>
        <w:t xml:space="preserve"> = .</w:t>
      </w:r>
      <w:r w:rsidR="009F4B7A" w:rsidRPr="00CD2660">
        <w:rPr>
          <w:rFonts w:ascii="Times New Roman" w:hAnsi="Times New Roman" w:cs="Times New Roman"/>
        </w:rPr>
        <w:t>412</w:t>
      </w:r>
      <w:r w:rsidRPr="00CD2660">
        <w:rPr>
          <w:rFonts w:ascii="Times New Roman" w:hAnsi="Times New Roman" w:cs="Times New Roman"/>
        </w:rPr>
        <w:t xml:space="preserve"> – .92</w:t>
      </w:r>
      <w:r w:rsidR="009F4B7A" w:rsidRPr="00CD2660">
        <w:rPr>
          <w:rFonts w:ascii="Times New Roman" w:hAnsi="Times New Roman" w:cs="Times New Roman"/>
        </w:rPr>
        <w:t>5</w:t>
      </w:r>
      <w:r w:rsidRPr="00CD2660">
        <w:rPr>
          <w:rFonts w:ascii="Times New Roman" w:hAnsi="Times New Roman" w:cs="Times New Roman"/>
        </w:rPr>
        <w:t xml:space="preserve">). </w:t>
      </w:r>
    </w:p>
    <w:p w14:paraId="29B83BE1" w14:textId="2D5F4B94" w:rsidR="003A2E2B" w:rsidRPr="00CD2660" w:rsidRDefault="003A2E2B" w:rsidP="00290AA3">
      <w:pPr>
        <w:spacing w:line="480" w:lineRule="auto"/>
        <w:ind w:firstLine="720"/>
        <w:rPr>
          <w:rFonts w:ascii="Times New Roman" w:hAnsi="Times New Roman" w:cs="Times New Roman"/>
        </w:rPr>
      </w:pPr>
      <w:r w:rsidRPr="00CD2660">
        <w:rPr>
          <w:rFonts w:ascii="Times New Roman" w:hAnsi="Times New Roman" w:cs="Times New Roman"/>
        </w:rPr>
        <w:t xml:space="preserve">Similarly, the partial correlation examining the association between trajectories of self-reported reappraisal improvement and baseline activation of the left </w:t>
      </w:r>
      <w:proofErr w:type="spellStart"/>
      <w:r w:rsidRPr="00CD2660">
        <w:rPr>
          <w:rFonts w:ascii="Times New Roman" w:hAnsi="Times New Roman" w:cs="Times New Roman"/>
        </w:rPr>
        <w:t>dlPFC</w:t>
      </w:r>
      <w:proofErr w:type="spellEnd"/>
      <w:r w:rsidRPr="00CD2660">
        <w:rPr>
          <w:rFonts w:ascii="Times New Roman" w:hAnsi="Times New Roman" w:cs="Times New Roman"/>
        </w:rPr>
        <w:t xml:space="preserve"> was not significant, </w:t>
      </w:r>
      <w:r w:rsidRPr="00CD2660">
        <w:rPr>
          <w:rFonts w:ascii="Times New Roman" w:hAnsi="Times New Roman" w:cs="Times New Roman"/>
          <w:i/>
          <w:iCs/>
        </w:rPr>
        <w:t>r</w:t>
      </w:r>
      <w:r w:rsidRPr="00CD2660">
        <w:rPr>
          <w:rFonts w:ascii="Times New Roman" w:hAnsi="Times New Roman" w:cs="Times New Roman"/>
        </w:rPr>
        <w:t>=.1</w:t>
      </w:r>
      <w:r w:rsidR="009F4B7A" w:rsidRPr="00CD2660">
        <w:rPr>
          <w:rFonts w:ascii="Times New Roman" w:hAnsi="Times New Roman" w:cs="Times New Roman"/>
        </w:rPr>
        <w:t>3</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w:t>
      </w:r>
      <w:r w:rsidR="009F4B7A" w:rsidRPr="00CD2660">
        <w:rPr>
          <w:rFonts w:ascii="Times New Roman" w:hAnsi="Times New Roman" w:cs="Times New Roman"/>
        </w:rPr>
        <w:t>281</w:t>
      </w:r>
      <w:r w:rsidRPr="00CD2660">
        <w:rPr>
          <w:rFonts w:ascii="Times New Roman" w:hAnsi="Times New Roman" w:cs="Times New Roman"/>
        </w:rPr>
        <w:t>.</w:t>
      </w:r>
    </w:p>
    <w:p w14:paraId="1BDE0141" w14:textId="77777777" w:rsidR="003A2E2B" w:rsidRPr="00CD2660" w:rsidRDefault="003A2E2B" w:rsidP="00501F09">
      <w:pPr>
        <w:spacing w:line="480" w:lineRule="auto"/>
        <w:rPr>
          <w:rFonts w:ascii="Times New Roman" w:hAnsi="Times New Roman" w:cs="Times New Roman"/>
          <w:i/>
          <w:iCs/>
        </w:rPr>
      </w:pPr>
      <w:r w:rsidRPr="00CD2660">
        <w:rPr>
          <w:rFonts w:ascii="Times New Roman" w:hAnsi="Times New Roman" w:cs="Times New Roman"/>
          <w:i/>
          <w:iCs/>
        </w:rPr>
        <w:t>Exploratory Analyses.</w:t>
      </w:r>
    </w:p>
    <w:p w14:paraId="2EE2DE46" w14:textId="4DFB5419" w:rsidR="003A2E2B" w:rsidRPr="00CD2660" w:rsidRDefault="003A2E2B" w:rsidP="00501F09">
      <w:pPr>
        <w:spacing w:line="480" w:lineRule="auto"/>
        <w:rPr>
          <w:rFonts w:ascii="Times New Roman" w:hAnsi="Times New Roman" w:cs="Times New Roman"/>
        </w:rPr>
      </w:pPr>
      <w:r w:rsidRPr="00CD2660">
        <w:rPr>
          <w:rFonts w:ascii="Times New Roman" w:hAnsi="Times New Roman" w:cs="Times New Roman"/>
        </w:rPr>
        <w:tab/>
        <w:t xml:space="preserve">This study was significantly underpowered to test further moderation by participant diagnosis, particularly within the context of treatment arm differences </w:t>
      </w:r>
      <w:r w:rsidR="009F4B7A" w:rsidRPr="00CD2660">
        <w:rPr>
          <w:rFonts w:ascii="Times New Roman" w:hAnsi="Times New Roman" w:cs="Times New Roman"/>
        </w:rPr>
        <w:t>(</w:t>
      </w:r>
      <w:r w:rsidRPr="00CD2660">
        <w:rPr>
          <w:rFonts w:ascii="Times New Roman" w:hAnsi="Times New Roman" w:cs="Times New Roman"/>
        </w:rPr>
        <w:t xml:space="preserve">MDD patients randomized to CBT: </w:t>
      </w:r>
      <w:r w:rsidRPr="00CD2660">
        <w:rPr>
          <w:rFonts w:ascii="Times New Roman" w:hAnsi="Times New Roman" w:cs="Times New Roman"/>
          <w:i/>
          <w:iCs/>
        </w:rPr>
        <w:t>n</w:t>
      </w:r>
      <w:r w:rsidRPr="00CD2660">
        <w:rPr>
          <w:rFonts w:ascii="Times New Roman" w:hAnsi="Times New Roman" w:cs="Times New Roman"/>
        </w:rPr>
        <w:t xml:space="preserve"> = </w:t>
      </w:r>
      <w:r w:rsidR="009F4B7A" w:rsidRPr="00CD2660">
        <w:rPr>
          <w:rFonts w:ascii="Times New Roman" w:hAnsi="Times New Roman" w:cs="Times New Roman"/>
        </w:rPr>
        <w:t>22;</w:t>
      </w:r>
      <w:r w:rsidRPr="00CD2660">
        <w:rPr>
          <w:rFonts w:ascii="Times New Roman" w:hAnsi="Times New Roman" w:cs="Times New Roman"/>
        </w:rPr>
        <w:t xml:space="preserve"> MDD and ST patients: </w:t>
      </w:r>
      <w:r w:rsidRPr="00CD2660">
        <w:rPr>
          <w:rFonts w:ascii="Times New Roman" w:hAnsi="Times New Roman" w:cs="Times New Roman"/>
          <w:i/>
          <w:iCs/>
        </w:rPr>
        <w:t xml:space="preserve">n </w:t>
      </w:r>
      <w:r w:rsidRPr="00CD2660">
        <w:rPr>
          <w:rFonts w:ascii="Times New Roman" w:hAnsi="Times New Roman" w:cs="Times New Roman"/>
        </w:rPr>
        <w:t xml:space="preserve">= </w:t>
      </w:r>
      <w:r w:rsidR="009F4B7A" w:rsidRPr="00CD2660">
        <w:rPr>
          <w:rFonts w:ascii="Times New Roman" w:hAnsi="Times New Roman" w:cs="Times New Roman"/>
        </w:rPr>
        <w:t>19;</w:t>
      </w:r>
      <w:r w:rsidRPr="00CD2660">
        <w:rPr>
          <w:rFonts w:ascii="Times New Roman" w:hAnsi="Times New Roman" w:cs="Times New Roman"/>
        </w:rPr>
        <w:t xml:space="preserve"> SAD and CBT patients: </w:t>
      </w:r>
      <w:r w:rsidRPr="00CD2660">
        <w:rPr>
          <w:rFonts w:ascii="Times New Roman" w:hAnsi="Times New Roman" w:cs="Times New Roman"/>
          <w:i/>
          <w:iCs/>
        </w:rPr>
        <w:t>n</w:t>
      </w:r>
      <w:r w:rsidRPr="00CD2660">
        <w:rPr>
          <w:rFonts w:ascii="Times New Roman" w:hAnsi="Times New Roman" w:cs="Times New Roman"/>
        </w:rPr>
        <w:t xml:space="preserve"> = </w:t>
      </w:r>
      <w:r w:rsidR="009F4B7A" w:rsidRPr="00CD2660">
        <w:rPr>
          <w:rFonts w:ascii="Times New Roman" w:hAnsi="Times New Roman" w:cs="Times New Roman"/>
        </w:rPr>
        <w:t xml:space="preserve">18; SAD and ST: </w:t>
      </w:r>
      <w:r w:rsidR="009F4B7A" w:rsidRPr="00CD2660">
        <w:rPr>
          <w:rFonts w:ascii="Times New Roman" w:hAnsi="Times New Roman" w:cs="Times New Roman"/>
          <w:i/>
          <w:iCs/>
        </w:rPr>
        <w:t xml:space="preserve">n </w:t>
      </w:r>
      <w:r w:rsidR="009F4B7A" w:rsidRPr="00CD2660">
        <w:rPr>
          <w:rFonts w:ascii="Times New Roman" w:hAnsi="Times New Roman" w:cs="Times New Roman"/>
        </w:rPr>
        <w:t>= 16).</w:t>
      </w:r>
      <w:r w:rsidRPr="00CD2660">
        <w:rPr>
          <w:rFonts w:ascii="Times New Roman" w:hAnsi="Times New Roman" w:cs="Times New Roman"/>
        </w:rPr>
        <w:t xml:space="preserve"> However, exploratory analyses were conducted to examine whether primary findings regarding </w:t>
      </w:r>
      <w:r w:rsidR="008E64C7" w:rsidRPr="00CD2660">
        <w:rPr>
          <w:rFonts w:ascii="Times New Roman" w:hAnsi="Times New Roman" w:cs="Times New Roman"/>
        </w:rPr>
        <w:t xml:space="preserve">associations between baseline </w:t>
      </w:r>
      <w:r w:rsidRPr="00CD2660">
        <w:rPr>
          <w:rFonts w:ascii="Times New Roman" w:hAnsi="Times New Roman" w:cs="Times New Roman"/>
        </w:rPr>
        <w:t xml:space="preserve">neural </w:t>
      </w:r>
      <w:r w:rsidR="008E64C7" w:rsidRPr="00CD2660">
        <w:rPr>
          <w:rFonts w:ascii="Times New Roman" w:hAnsi="Times New Roman" w:cs="Times New Roman"/>
        </w:rPr>
        <w:t xml:space="preserve">activation and </w:t>
      </w:r>
      <w:r w:rsidR="004D6D38" w:rsidRPr="00CD2660">
        <w:rPr>
          <w:rFonts w:ascii="Times New Roman" w:hAnsi="Times New Roman" w:cs="Times New Roman"/>
        </w:rPr>
        <w:t>trajectories</w:t>
      </w:r>
      <w:r w:rsidRPr="00CD2660">
        <w:rPr>
          <w:rFonts w:ascii="Times New Roman" w:hAnsi="Times New Roman" w:cs="Times New Roman"/>
        </w:rPr>
        <w:t xml:space="preserve"> of clinical improvement were maintained when examining the MDD and SAD groups separately. </w:t>
      </w:r>
    </w:p>
    <w:p w14:paraId="5075FE18" w14:textId="38E5391F" w:rsidR="003A2E2B" w:rsidRPr="00CD2660" w:rsidRDefault="003A2E2B" w:rsidP="00FF6622">
      <w:pPr>
        <w:spacing w:line="480" w:lineRule="auto"/>
        <w:rPr>
          <w:rFonts w:ascii="Times New Roman" w:hAnsi="Times New Roman" w:cs="Times New Roman"/>
        </w:rPr>
      </w:pPr>
      <w:r w:rsidRPr="00CD2660">
        <w:rPr>
          <w:rFonts w:ascii="Times New Roman" w:hAnsi="Times New Roman" w:cs="Times New Roman"/>
        </w:rPr>
        <w:tab/>
      </w:r>
      <w:bookmarkStart w:id="12" w:name="OLE_LINK57"/>
      <w:bookmarkStart w:id="13" w:name="OLE_LINK58"/>
      <w:r w:rsidRPr="00CD2660">
        <w:rPr>
          <w:rFonts w:ascii="Times New Roman" w:hAnsi="Times New Roman" w:cs="Times New Roman"/>
          <w:u w:val="single"/>
        </w:rPr>
        <w:t>MDD Patient Group.</w:t>
      </w:r>
      <w:r w:rsidRPr="00CD2660">
        <w:rPr>
          <w:rFonts w:ascii="Times New Roman" w:hAnsi="Times New Roman" w:cs="Times New Roman"/>
        </w:rPr>
        <w:t xml:space="preserve"> Focusing first on findings for diagnosis-specific symptom improvement, exploratory partial correlations indicated that for MDD patients assigned to CBT, trajectories of diagnosis-specific symptom reduction were not associated with baseline activation </w:t>
      </w:r>
      <w:r w:rsidRPr="00CD2660">
        <w:rPr>
          <w:rFonts w:ascii="Times New Roman" w:hAnsi="Times New Roman" w:cs="Times New Roman"/>
        </w:rPr>
        <w:lastRenderedPageBreak/>
        <w:t xml:space="preserve">of the left, </w:t>
      </w:r>
      <w:r w:rsidRPr="00CD2660">
        <w:rPr>
          <w:rFonts w:ascii="Times New Roman" w:hAnsi="Times New Roman" w:cs="Times New Roman"/>
          <w:i/>
          <w:iCs/>
        </w:rPr>
        <w:t>r</w:t>
      </w:r>
      <w:r w:rsidRPr="00CD2660">
        <w:rPr>
          <w:rFonts w:ascii="Times New Roman" w:hAnsi="Times New Roman" w:cs="Times New Roman"/>
        </w:rPr>
        <w:t xml:space="preserve">=-.12, </w:t>
      </w:r>
      <w:r w:rsidRPr="00CD2660">
        <w:rPr>
          <w:rFonts w:ascii="Times New Roman" w:hAnsi="Times New Roman" w:cs="Times New Roman"/>
          <w:i/>
          <w:iCs/>
        </w:rPr>
        <w:t>p</w:t>
      </w:r>
      <w:r w:rsidRPr="00CD2660">
        <w:rPr>
          <w:rFonts w:ascii="Times New Roman" w:hAnsi="Times New Roman" w:cs="Times New Roman"/>
        </w:rPr>
        <w:t>=.6</w:t>
      </w:r>
      <w:r w:rsidR="0076065F" w:rsidRPr="00CD2660">
        <w:rPr>
          <w:rFonts w:ascii="Times New Roman" w:hAnsi="Times New Roman" w:cs="Times New Roman"/>
        </w:rPr>
        <w:t>38</w:t>
      </w:r>
      <w:r w:rsidRPr="00CD2660">
        <w:rPr>
          <w:rFonts w:ascii="Times New Roman" w:hAnsi="Times New Roman" w:cs="Times New Roman"/>
        </w:rPr>
        <w:t xml:space="preserve">, or right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r w:rsidRPr="00CD2660">
        <w:rPr>
          <w:rFonts w:ascii="Times New Roman" w:hAnsi="Times New Roman" w:cs="Times New Roman"/>
          <w:i/>
          <w:iCs/>
        </w:rPr>
        <w:t>r</w:t>
      </w:r>
      <w:r w:rsidRPr="00CD2660">
        <w:rPr>
          <w:rFonts w:ascii="Times New Roman" w:hAnsi="Times New Roman" w:cs="Times New Roman"/>
        </w:rPr>
        <w:t>=-.0</w:t>
      </w:r>
      <w:r w:rsidR="0076065F" w:rsidRPr="00CD2660">
        <w:rPr>
          <w:rFonts w:ascii="Times New Roman" w:hAnsi="Times New Roman" w:cs="Times New Roman"/>
        </w:rPr>
        <w:t>8</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=.7</w:t>
      </w:r>
      <w:r w:rsidR="0076065F" w:rsidRPr="00CD2660">
        <w:rPr>
          <w:rFonts w:ascii="Times New Roman" w:hAnsi="Times New Roman" w:cs="Times New Roman"/>
        </w:rPr>
        <w:t>48</w:t>
      </w:r>
      <w:r w:rsidRPr="00CD2660">
        <w:rPr>
          <w:rFonts w:ascii="Times New Roman" w:hAnsi="Times New Roman" w:cs="Times New Roman"/>
        </w:rPr>
        <w:t xml:space="preserve">. Similarly, trajectories of diagnosis-specific symptom reduction were not associated with left, </w:t>
      </w:r>
      <w:r w:rsidRPr="00CD2660">
        <w:rPr>
          <w:rFonts w:ascii="Times New Roman" w:hAnsi="Times New Roman" w:cs="Times New Roman"/>
          <w:i/>
          <w:iCs/>
        </w:rPr>
        <w:t>r</w:t>
      </w:r>
      <w:r w:rsidRPr="00CD2660">
        <w:rPr>
          <w:rFonts w:ascii="Times New Roman" w:hAnsi="Times New Roman" w:cs="Times New Roman"/>
        </w:rPr>
        <w:t>=-.4</w:t>
      </w:r>
      <w:r w:rsidR="0076065F" w:rsidRPr="00CD2660">
        <w:rPr>
          <w:rFonts w:ascii="Times New Roman" w:hAnsi="Times New Roman" w:cs="Times New Roman"/>
        </w:rPr>
        <w:t>0</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w:t>
      </w:r>
      <w:r w:rsidR="0076065F" w:rsidRPr="00CD2660">
        <w:rPr>
          <w:rFonts w:ascii="Times New Roman" w:hAnsi="Times New Roman" w:cs="Times New Roman"/>
        </w:rPr>
        <w:t>124</w:t>
      </w:r>
      <w:r w:rsidRPr="00CD2660">
        <w:rPr>
          <w:rFonts w:ascii="Times New Roman" w:hAnsi="Times New Roman" w:cs="Times New Roman"/>
        </w:rPr>
        <w:t xml:space="preserve">, or right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r w:rsidRPr="00CD2660">
        <w:rPr>
          <w:rFonts w:ascii="Times New Roman" w:hAnsi="Times New Roman" w:cs="Times New Roman"/>
          <w:i/>
          <w:iCs/>
        </w:rPr>
        <w:t>r</w:t>
      </w:r>
      <w:r w:rsidRPr="00CD2660">
        <w:rPr>
          <w:rFonts w:ascii="Times New Roman" w:hAnsi="Times New Roman" w:cs="Times New Roman"/>
        </w:rPr>
        <w:t>=-.2</w:t>
      </w:r>
      <w:r w:rsidR="0076065F" w:rsidRPr="00CD2660">
        <w:rPr>
          <w:rFonts w:ascii="Times New Roman" w:hAnsi="Times New Roman" w:cs="Times New Roman"/>
        </w:rPr>
        <w:t>6</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w:t>
      </w:r>
      <w:r w:rsidR="0076065F" w:rsidRPr="00CD2660">
        <w:rPr>
          <w:rFonts w:ascii="Times New Roman" w:hAnsi="Times New Roman" w:cs="Times New Roman"/>
        </w:rPr>
        <w:t>330</w:t>
      </w:r>
      <w:r w:rsidRPr="00CD2660">
        <w:rPr>
          <w:rFonts w:ascii="Times New Roman" w:hAnsi="Times New Roman" w:cs="Times New Roman"/>
        </w:rPr>
        <w:t xml:space="preserve">, for patients assigned to ST. </w:t>
      </w:r>
    </w:p>
    <w:p w14:paraId="59A1B050" w14:textId="77EA1464" w:rsidR="003A2E2B" w:rsidRPr="00CD2660" w:rsidRDefault="003A2E2B" w:rsidP="008A5A13">
      <w:pPr>
        <w:spacing w:line="480" w:lineRule="auto"/>
        <w:rPr>
          <w:rFonts w:ascii="Times New Roman" w:hAnsi="Times New Roman" w:cs="Times New Roman"/>
          <w:i/>
          <w:iCs/>
        </w:rPr>
      </w:pPr>
      <w:r w:rsidRPr="00CD2660">
        <w:rPr>
          <w:rFonts w:ascii="Times New Roman" w:hAnsi="Times New Roman" w:cs="Times New Roman"/>
        </w:rPr>
        <w:tab/>
        <w:t xml:space="preserve">However, findings regarding the prediction of reappraisal trajectories were maintained for patients in the MDD group, such that greater trajectories of reappraisal improvement were associated with less baseline activation of the left </w:t>
      </w:r>
      <w:proofErr w:type="spellStart"/>
      <w:r w:rsidRPr="00CD2660">
        <w:rPr>
          <w:rFonts w:ascii="Times New Roman" w:hAnsi="Times New Roman" w:cs="Times New Roman"/>
        </w:rPr>
        <w:t>dlPFC</w:t>
      </w:r>
      <w:proofErr w:type="spellEnd"/>
      <w:r w:rsidRPr="00CD2660">
        <w:rPr>
          <w:rFonts w:ascii="Times New Roman" w:hAnsi="Times New Roman" w:cs="Times New Roman"/>
        </w:rPr>
        <w:t xml:space="preserve">, </w:t>
      </w:r>
      <w:r w:rsidRPr="00CD2660">
        <w:rPr>
          <w:rFonts w:ascii="Times New Roman" w:hAnsi="Times New Roman" w:cs="Times New Roman"/>
          <w:i/>
          <w:iCs/>
        </w:rPr>
        <w:t>r</w:t>
      </w:r>
      <w:r w:rsidRPr="00CD2660">
        <w:rPr>
          <w:rFonts w:ascii="Times New Roman" w:hAnsi="Times New Roman" w:cs="Times New Roman"/>
        </w:rPr>
        <w:t>=-.4</w:t>
      </w:r>
      <w:r w:rsidR="0076065F" w:rsidRPr="00CD2660">
        <w:rPr>
          <w:rFonts w:ascii="Times New Roman" w:hAnsi="Times New Roman" w:cs="Times New Roman"/>
        </w:rPr>
        <w:t>5</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=.00</w:t>
      </w:r>
      <w:r w:rsidR="0076065F" w:rsidRPr="00CD2660">
        <w:rPr>
          <w:rFonts w:ascii="Times New Roman" w:hAnsi="Times New Roman" w:cs="Times New Roman"/>
        </w:rPr>
        <w:t>4</w:t>
      </w:r>
      <w:r w:rsidRPr="00CD2660">
        <w:rPr>
          <w:rFonts w:ascii="Times New Roman" w:hAnsi="Times New Roman" w:cs="Times New Roman"/>
        </w:rPr>
        <w:t>.</w:t>
      </w:r>
      <w:bookmarkEnd w:id="12"/>
      <w:bookmarkEnd w:id="13"/>
    </w:p>
    <w:p w14:paraId="2AF5E5D9" w14:textId="781F4349" w:rsidR="003A2E2B" w:rsidRPr="00CD2660" w:rsidRDefault="003A2E2B" w:rsidP="001130FC">
      <w:pPr>
        <w:spacing w:line="480" w:lineRule="auto"/>
        <w:ind w:firstLine="720"/>
        <w:rPr>
          <w:rFonts w:ascii="Times New Roman" w:hAnsi="Times New Roman" w:cs="Times New Roman"/>
        </w:rPr>
      </w:pPr>
      <w:r w:rsidRPr="00CD2660">
        <w:rPr>
          <w:rFonts w:ascii="Times New Roman" w:hAnsi="Times New Roman" w:cs="Times New Roman"/>
          <w:u w:val="single"/>
        </w:rPr>
        <w:t>SAD Patient Group.</w:t>
      </w:r>
      <w:r w:rsidRPr="00CD2660">
        <w:rPr>
          <w:rFonts w:ascii="Times New Roman" w:hAnsi="Times New Roman" w:cs="Times New Roman"/>
        </w:rPr>
        <w:t xml:space="preserve"> Exploratory partial correlations indicated that for SAD patients assigned to CBT, steeper trajectories of diagnosis-specific symptom reduction were associated with less baseline activation of the left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r w:rsidRPr="00CD2660">
        <w:rPr>
          <w:rFonts w:ascii="Times New Roman" w:hAnsi="Times New Roman" w:cs="Times New Roman"/>
          <w:i/>
          <w:iCs/>
        </w:rPr>
        <w:t>r</w:t>
      </w:r>
      <w:r w:rsidRPr="00CD2660">
        <w:rPr>
          <w:rFonts w:ascii="Times New Roman" w:hAnsi="Times New Roman" w:cs="Times New Roman"/>
        </w:rPr>
        <w:t xml:space="preserve">=.60, </w:t>
      </w:r>
      <w:r w:rsidRPr="00CD2660">
        <w:rPr>
          <w:rFonts w:ascii="Times New Roman" w:hAnsi="Times New Roman" w:cs="Times New Roman"/>
          <w:i/>
          <w:iCs/>
        </w:rPr>
        <w:t>p</w:t>
      </w:r>
      <w:r w:rsidRPr="00CD2660">
        <w:rPr>
          <w:rFonts w:ascii="Times New Roman" w:hAnsi="Times New Roman" w:cs="Times New Roman"/>
        </w:rPr>
        <w:t>=.01</w:t>
      </w:r>
      <w:r w:rsidR="0076065F" w:rsidRPr="00CD2660">
        <w:rPr>
          <w:rFonts w:ascii="Times New Roman" w:hAnsi="Times New Roman" w:cs="Times New Roman"/>
        </w:rPr>
        <w:t>9</w:t>
      </w:r>
      <w:r w:rsidRPr="00CD2660">
        <w:rPr>
          <w:rFonts w:ascii="Times New Roman" w:hAnsi="Times New Roman" w:cs="Times New Roman"/>
        </w:rPr>
        <w:t xml:space="preserve">, but not the right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r w:rsidRPr="00CD2660">
        <w:rPr>
          <w:rFonts w:ascii="Times New Roman" w:hAnsi="Times New Roman" w:cs="Times New Roman"/>
          <w:i/>
          <w:iCs/>
        </w:rPr>
        <w:t>r</w:t>
      </w:r>
      <w:r w:rsidRPr="00CD2660">
        <w:rPr>
          <w:rFonts w:ascii="Times New Roman" w:hAnsi="Times New Roman" w:cs="Times New Roman"/>
        </w:rPr>
        <w:t>=.4</w:t>
      </w:r>
      <w:r w:rsidR="0076065F" w:rsidRPr="00CD2660">
        <w:rPr>
          <w:rFonts w:ascii="Times New Roman" w:hAnsi="Times New Roman" w:cs="Times New Roman"/>
        </w:rPr>
        <w:t>1</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=.12</w:t>
      </w:r>
      <w:r w:rsidR="0076065F" w:rsidRPr="00CD2660">
        <w:rPr>
          <w:rFonts w:ascii="Times New Roman" w:hAnsi="Times New Roman" w:cs="Times New Roman"/>
        </w:rPr>
        <w:t>8</w:t>
      </w:r>
      <w:r w:rsidRPr="00CD2660">
        <w:rPr>
          <w:rFonts w:ascii="Times New Roman" w:hAnsi="Times New Roman" w:cs="Times New Roman"/>
        </w:rPr>
        <w:t xml:space="preserve">. However, for SAD patients assigned to ST, steeper trajectories of diagnosis-specific symptom reduction were associated with greater baseline activation of the right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r w:rsidRPr="00CD2660">
        <w:rPr>
          <w:rFonts w:ascii="Times New Roman" w:hAnsi="Times New Roman" w:cs="Times New Roman"/>
          <w:i/>
          <w:iCs/>
        </w:rPr>
        <w:t>r</w:t>
      </w:r>
      <w:r w:rsidRPr="00CD2660">
        <w:rPr>
          <w:rFonts w:ascii="Times New Roman" w:hAnsi="Times New Roman" w:cs="Times New Roman"/>
        </w:rPr>
        <w:t>=-.5</w:t>
      </w:r>
      <w:r w:rsidR="0076065F" w:rsidRPr="00CD2660">
        <w:rPr>
          <w:rFonts w:ascii="Times New Roman" w:hAnsi="Times New Roman" w:cs="Times New Roman"/>
        </w:rPr>
        <w:t>8</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=.0</w:t>
      </w:r>
      <w:r w:rsidR="0076065F" w:rsidRPr="00CD2660">
        <w:rPr>
          <w:rFonts w:ascii="Times New Roman" w:hAnsi="Times New Roman" w:cs="Times New Roman"/>
        </w:rPr>
        <w:t>39</w:t>
      </w:r>
      <w:r w:rsidRPr="00CD2660">
        <w:rPr>
          <w:rFonts w:ascii="Times New Roman" w:hAnsi="Times New Roman" w:cs="Times New Roman"/>
        </w:rPr>
        <w:t xml:space="preserve">, but not the left </w:t>
      </w:r>
      <w:proofErr w:type="spellStart"/>
      <w:r w:rsidRPr="00CD2660">
        <w:rPr>
          <w:rFonts w:ascii="Times New Roman" w:hAnsi="Times New Roman" w:cs="Times New Roman"/>
        </w:rPr>
        <w:t>vlPFC</w:t>
      </w:r>
      <w:proofErr w:type="spellEnd"/>
      <w:r w:rsidRPr="00CD2660">
        <w:rPr>
          <w:rFonts w:ascii="Times New Roman" w:hAnsi="Times New Roman" w:cs="Times New Roman"/>
        </w:rPr>
        <w:t xml:space="preserve">, </w:t>
      </w:r>
      <w:r w:rsidRPr="00CD2660">
        <w:rPr>
          <w:rFonts w:ascii="Times New Roman" w:hAnsi="Times New Roman" w:cs="Times New Roman"/>
          <w:i/>
          <w:iCs/>
        </w:rPr>
        <w:t>r</w:t>
      </w:r>
      <w:r w:rsidRPr="00CD2660">
        <w:rPr>
          <w:rFonts w:ascii="Times New Roman" w:hAnsi="Times New Roman" w:cs="Times New Roman"/>
        </w:rPr>
        <w:t>=-.</w:t>
      </w:r>
      <w:r w:rsidR="0076065F" w:rsidRPr="00CD2660">
        <w:rPr>
          <w:rFonts w:ascii="Times New Roman" w:hAnsi="Times New Roman" w:cs="Times New Roman"/>
        </w:rPr>
        <w:t>28</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w:t>
      </w:r>
      <w:r w:rsidR="0076065F" w:rsidRPr="00CD2660">
        <w:rPr>
          <w:rFonts w:ascii="Times New Roman" w:hAnsi="Times New Roman" w:cs="Times New Roman"/>
        </w:rPr>
        <w:t>364</w:t>
      </w:r>
      <w:r w:rsidRPr="00CD2660">
        <w:rPr>
          <w:rFonts w:ascii="Times New Roman" w:hAnsi="Times New Roman" w:cs="Times New Roman"/>
        </w:rPr>
        <w:t xml:space="preserve">. </w:t>
      </w:r>
    </w:p>
    <w:p w14:paraId="367F882E" w14:textId="620D3AEC" w:rsidR="003A2E2B" w:rsidRPr="00CD2660" w:rsidRDefault="003A2E2B" w:rsidP="008A5A13">
      <w:pPr>
        <w:spacing w:line="480" w:lineRule="auto"/>
        <w:rPr>
          <w:rFonts w:ascii="Times New Roman" w:hAnsi="Times New Roman" w:cs="Times New Roman"/>
          <w:i/>
          <w:iCs/>
        </w:rPr>
      </w:pPr>
      <w:r w:rsidRPr="00CD2660">
        <w:rPr>
          <w:rFonts w:ascii="Times New Roman" w:hAnsi="Times New Roman" w:cs="Times New Roman"/>
        </w:rPr>
        <w:tab/>
        <w:t xml:space="preserve">Regarding the finding for neural predictors of reappraisal improvement, greater trajectories of reappraisal improvement were associated with less baseline activation of the left </w:t>
      </w:r>
      <w:proofErr w:type="spellStart"/>
      <w:r w:rsidRPr="00CD2660">
        <w:rPr>
          <w:rFonts w:ascii="Times New Roman" w:hAnsi="Times New Roman" w:cs="Times New Roman"/>
        </w:rPr>
        <w:t>dlPFC</w:t>
      </w:r>
      <w:proofErr w:type="spellEnd"/>
      <w:r w:rsidRPr="00CD2660">
        <w:rPr>
          <w:rFonts w:ascii="Times New Roman" w:hAnsi="Times New Roman" w:cs="Times New Roman"/>
        </w:rPr>
        <w:t xml:space="preserve"> for SAD patients, </w:t>
      </w:r>
      <w:r w:rsidRPr="00CD2660">
        <w:rPr>
          <w:rFonts w:ascii="Times New Roman" w:hAnsi="Times New Roman" w:cs="Times New Roman"/>
          <w:i/>
          <w:iCs/>
        </w:rPr>
        <w:t>r</w:t>
      </w:r>
      <w:r w:rsidRPr="00CD2660">
        <w:rPr>
          <w:rFonts w:ascii="Times New Roman" w:hAnsi="Times New Roman" w:cs="Times New Roman"/>
        </w:rPr>
        <w:t>=-.3</w:t>
      </w:r>
      <w:r w:rsidR="0076065F" w:rsidRPr="00CD2660">
        <w:rPr>
          <w:rFonts w:ascii="Times New Roman" w:hAnsi="Times New Roman" w:cs="Times New Roman"/>
        </w:rPr>
        <w:t>8</w:t>
      </w:r>
      <w:r w:rsidRPr="00CD2660">
        <w:rPr>
          <w:rFonts w:ascii="Times New Roman" w:hAnsi="Times New Roman" w:cs="Times New Roman"/>
        </w:rPr>
        <w:t xml:space="preserve">, </w:t>
      </w:r>
      <w:r w:rsidRPr="00CD2660">
        <w:rPr>
          <w:rFonts w:ascii="Times New Roman" w:hAnsi="Times New Roman" w:cs="Times New Roman"/>
          <w:i/>
          <w:iCs/>
        </w:rPr>
        <w:t>p</w:t>
      </w:r>
      <w:r w:rsidRPr="00CD2660">
        <w:rPr>
          <w:rFonts w:ascii="Times New Roman" w:hAnsi="Times New Roman" w:cs="Times New Roman"/>
        </w:rPr>
        <w:t>=.03</w:t>
      </w:r>
      <w:r w:rsidR="0076065F" w:rsidRPr="00CD2660">
        <w:rPr>
          <w:rFonts w:ascii="Times New Roman" w:hAnsi="Times New Roman" w:cs="Times New Roman"/>
        </w:rPr>
        <w:t>6</w:t>
      </w:r>
      <w:r w:rsidRPr="00CD2660">
        <w:rPr>
          <w:rFonts w:ascii="Times New Roman" w:hAnsi="Times New Roman" w:cs="Times New Roman"/>
        </w:rPr>
        <w:t>.</w:t>
      </w:r>
    </w:p>
    <w:p w14:paraId="55981816" w14:textId="77777777" w:rsidR="003A2E2B" w:rsidRPr="00CD2660" w:rsidRDefault="003A2E2B" w:rsidP="001130FC">
      <w:pPr>
        <w:spacing w:line="480" w:lineRule="auto"/>
        <w:rPr>
          <w:rFonts w:ascii="Times New Roman" w:hAnsi="Times New Roman" w:cs="Times New Roman"/>
          <w:i/>
          <w:iCs/>
        </w:rPr>
      </w:pPr>
    </w:p>
    <w:p w14:paraId="3FDE15AF" w14:textId="77777777" w:rsidR="003A2E2B" w:rsidRPr="00CD2660" w:rsidRDefault="003A2E2B" w:rsidP="001130FC">
      <w:pPr>
        <w:spacing w:line="480" w:lineRule="auto"/>
        <w:ind w:firstLine="720"/>
        <w:rPr>
          <w:rFonts w:ascii="Times New Roman" w:eastAsia="Calibri" w:hAnsi="Times New Roman" w:cs="Times New Roman"/>
        </w:rPr>
      </w:pPr>
      <w:r w:rsidRPr="00CD2660">
        <w:rPr>
          <w:rFonts w:ascii="Times New Roman" w:eastAsia="Calibri" w:hAnsi="Times New Roman" w:cs="Times New Roman"/>
        </w:rPr>
        <w:br w:type="page"/>
      </w:r>
    </w:p>
    <w:p w14:paraId="45F2AD38" w14:textId="77777777" w:rsidR="003A2E2B" w:rsidRPr="00CD2660" w:rsidRDefault="003A2E2B" w:rsidP="003A2E2B">
      <w:pPr>
        <w:spacing w:after="160" w:line="480" w:lineRule="auto"/>
        <w:jc w:val="center"/>
        <w:rPr>
          <w:rFonts w:ascii="Times New Roman" w:eastAsia="Calibri" w:hAnsi="Times New Roman" w:cs="Times New Roman"/>
          <w:b/>
          <w:bCs/>
        </w:rPr>
      </w:pPr>
      <w:r w:rsidRPr="00CD2660">
        <w:rPr>
          <w:rFonts w:ascii="Times New Roman" w:eastAsia="Calibri" w:hAnsi="Times New Roman" w:cs="Times New Roman"/>
          <w:b/>
          <w:bCs/>
        </w:rPr>
        <w:lastRenderedPageBreak/>
        <w:t>References</w:t>
      </w:r>
    </w:p>
    <w:sdt>
      <w:sdtPr>
        <w:rPr>
          <w:rFonts w:ascii="Times New Roman" w:hAnsi="Times New Roman" w:cs="Times New Roman"/>
        </w:rPr>
        <w:tag w:val="MENDELEY_BIBLIOGRAPHY"/>
        <w:id w:val="437185201"/>
        <w:placeholder>
          <w:docPart w:val="DefaultPlaceholder_-1854013440"/>
        </w:placeholder>
      </w:sdtPr>
      <w:sdtContent>
        <w:p w14:paraId="001FA1E2" w14:textId="77777777" w:rsidR="00E005B7" w:rsidRDefault="00E005B7">
          <w:pPr>
            <w:autoSpaceDE w:val="0"/>
            <w:autoSpaceDN w:val="0"/>
            <w:ind w:hanging="480"/>
            <w:divId w:val="1593733804"/>
            <w:rPr>
              <w:rFonts w:eastAsia="Times New Roman"/>
            </w:rPr>
          </w:pPr>
          <w:r>
            <w:rPr>
              <w:rFonts w:eastAsia="Times New Roman"/>
            </w:rPr>
            <w:t xml:space="preserve">Beck, A. T., Rush, A. J., Shaw, B. F., &amp; Emery, G. (1979). </w:t>
          </w:r>
          <w:r>
            <w:rPr>
              <w:rFonts w:eastAsia="Times New Roman"/>
              <w:i/>
              <w:iCs/>
            </w:rPr>
            <w:t>Cognitive therapy of depression</w:t>
          </w:r>
          <w:r>
            <w:rPr>
              <w:rFonts w:eastAsia="Times New Roman"/>
            </w:rPr>
            <w:t>. Guilford Press.</w:t>
          </w:r>
        </w:p>
        <w:p w14:paraId="58920489" w14:textId="77777777" w:rsidR="00E005B7" w:rsidRDefault="00E005B7">
          <w:pPr>
            <w:autoSpaceDE w:val="0"/>
            <w:autoSpaceDN w:val="0"/>
            <w:ind w:hanging="480"/>
            <w:divId w:val="1016156553"/>
            <w:rPr>
              <w:rFonts w:eastAsia="Times New Roman"/>
            </w:rPr>
          </w:pPr>
          <w:r>
            <w:rPr>
              <w:rFonts w:eastAsia="Times New Roman"/>
            </w:rPr>
            <w:t xml:space="preserve">Dobson, K. S., Shaw, B. F., &amp; Vallis, T. M. (1985). Reliability of a measure of the quality of cognitive therapy. </w:t>
          </w:r>
          <w:r>
            <w:rPr>
              <w:rFonts w:eastAsia="Times New Roman"/>
              <w:i/>
              <w:iCs/>
            </w:rPr>
            <w:t>British Journal of Clinical Psychology</w:t>
          </w:r>
          <w:r>
            <w:rPr>
              <w:rFonts w:eastAsia="Times New Roman"/>
            </w:rPr>
            <w:t xml:space="preserve">, </w:t>
          </w:r>
          <w:r>
            <w:rPr>
              <w:rFonts w:eastAsia="Times New Roman"/>
              <w:i/>
              <w:iCs/>
            </w:rPr>
            <w:t>24</w:t>
          </w:r>
          <w:r>
            <w:rPr>
              <w:rFonts w:eastAsia="Times New Roman"/>
            </w:rPr>
            <w:t>(4), 295–300. https://doi.org/10.1111/j.2044-8260.1985.tb00662.x</w:t>
          </w:r>
        </w:p>
        <w:p w14:paraId="74C4E6C4" w14:textId="77777777" w:rsidR="00E005B7" w:rsidRDefault="00E005B7">
          <w:pPr>
            <w:autoSpaceDE w:val="0"/>
            <w:autoSpaceDN w:val="0"/>
            <w:ind w:hanging="480"/>
            <w:divId w:val="1086607177"/>
            <w:rPr>
              <w:rFonts w:eastAsia="Times New Roman"/>
            </w:rPr>
          </w:pPr>
          <w:r>
            <w:rPr>
              <w:rFonts w:eastAsia="Times New Roman"/>
            </w:rPr>
            <w:t xml:space="preserve">Hope, D. A., Heimberg, R. G., &amp; Turk, C. L. (2006). </w:t>
          </w:r>
          <w:r>
            <w:rPr>
              <w:rFonts w:eastAsia="Times New Roman"/>
              <w:i/>
              <w:iCs/>
            </w:rPr>
            <w:t>Managing social anxiety: A cognitive-behavioral therapy approach</w:t>
          </w:r>
          <w:r>
            <w:rPr>
              <w:rFonts w:eastAsia="Times New Roman"/>
            </w:rPr>
            <w:t>. Oxford University Press.</w:t>
          </w:r>
        </w:p>
        <w:p w14:paraId="40D5E41D" w14:textId="77777777" w:rsidR="00E005B7" w:rsidRDefault="00E005B7">
          <w:pPr>
            <w:autoSpaceDE w:val="0"/>
            <w:autoSpaceDN w:val="0"/>
            <w:ind w:hanging="480"/>
            <w:divId w:val="227500845"/>
            <w:rPr>
              <w:rFonts w:eastAsia="Times New Roman"/>
            </w:rPr>
          </w:pPr>
          <w:r>
            <w:rPr>
              <w:rFonts w:eastAsia="Times New Roman"/>
            </w:rPr>
            <w:t xml:space="preserve">Markowitz, J. C., Manber, R., &amp; Rosen, P. (2008). Therapists’ responses to training in brief supportive psychotherapy. </w:t>
          </w:r>
          <w:r>
            <w:rPr>
              <w:rFonts w:eastAsia="Times New Roman"/>
              <w:i/>
              <w:iCs/>
            </w:rPr>
            <w:t>American Journal of Psychotherapy</w:t>
          </w:r>
          <w:r>
            <w:rPr>
              <w:rFonts w:eastAsia="Times New Roman"/>
            </w:rPr>
            <w:t xml:space="preserve">, </w:t>
          </w:r>
          <w:r>
            <w:rPr>
              <w:rFonts w:eastAsia="Times New Roman"/>
              <w:i/>
              <w:iCs/>
            </w:rPr>
            <w:t>62</w:t>
          </w:r>
          <w:r>
            <w:rPr>
              <w:rFonts w:eastAsia="Times New Roman"/>
            </w:rPr>
            <w:t>(1), 67–81. https://doi.org/10.1176/appi.psychotherapy.2008.62.1.67</w:t>
          </w:r>
        </w:p>
        <w:p w14:paraId="689D1090" w14:textId="77777777" w:rsidR="00E005B7" w:rsidRDefault="00E005B7">
          <w:pPr>
            <w:autoSpaceDE w:val="0"/>
            <w:autoSpaceDN w:val="0"/>
            <w:ind w:hanging="480"/>
            <w:divId w:val="453795473"/>
            <w:rPr>
              <w:rFonts w:eastAsia="Times New Roman"/>
            </w:rPr>
          </w:pPr>
          <w:r>
            <w:rPr>
              <w:rFonts w:eastAsia="Times New Roman"/>
            </w:rPr>
            <w:t xml:space="preserve">Martell, C. R., Dimidjian, S., &amp; Herman-Dunn, R. (2010). </w:t>
          </w:r>
          <w:r>
            <w:rPr>
              <w:rFonts w:eastAsia="Times New Roman"/>
              <w:i/>
              <w:iCs/>
            </w:rPr>
            <w:t>Behavioral Activation for Depression: A Clinician’s Guide</w:t>
          </w:r>
          <w:r>
            <w:rPr>
              <w:rFonts w:eastAsia="Times New Roman"/>
            </w:rPr>
            <w:t>. Guilford Press.</w:t>
          </w:r>
        </w:p>
        <w:p w14:paraId="6C9150F5" w14:textId="77777777" w:rsidR="00E005B7" w:rsidRDefault="00E005B7">
          <w:pPr>
            <w:autoSpaceDE w:val="0"/>
            <w:autoSpaceDN w:val="0"/>
            <w:ind w:hanging="480"/>
            <w:divId w:val="77748168"/>
            <w:rPr>
              <w:rFonts w:eastAsia="Times New Roman"/>
            </w:rPr>
          </w:pPr>
          <w:r>
            <w:rPr>
              <w:rFonts w:eastAsia="Times New Roman"/>
            </w:rPr>
            <w:t xml:space="preserve">Messina, I., Bianco, S., </w:t>
          </w:r>
          <w:proofErr w:type="spellStart"/>
          <w:r>
            <w:rPr>
              <w:rFonts w:eastAsia="Times New Roman"/>
            </w:rPr>
            <w:t>Sambin</w:t>
          </w:r>
          <w:proofErr w:type="spellEnd"/>
          <w:r>
            <w:rPr>
              <w:rFonts w:eastAsia="Times New Roman"/>
            </w:rPr>
            <w:t xml:space="preserve">, M., &amp; Viviani, R. (2015). Executive and semantic processes in reappraisal of negative stimuli: insights from a meta-analysis of neuroimaging studies. </w:t>
          </w:r>
          <w:r>
            <w:rPr>
              <w:rFonts w:eastAsia="Times New Roman"/>
              <w:i/>
              <w:iCs/>
            </w:rPr>
            <w:t>Frontiers in Psychology</w:t>
          </w:r>
          <w:r>
            <w:rPr>
              <w:rFonts w:eastAsia="Times New Roman"/>
            </w:rPr>
            <w:t xml:space="preserve">, </w:t>
          </w:r>
          <w:r>
            <w:rPr>
              <w:rFonts w:eastAsia="Times New Roman"/>
              <w:i/>
              <w:iCs/>
            </w:rPr>
            <w:t>6</w:t>
          </w:r>
          <w:r>
            <w:rPr>
              <w:rFonts w:eastAsia="Times New Roman"/>
            </w:rPr>
            <w:t>.</w:t>
          </w:r>
        </w:p>
        <w:p w14:paraId="1DDBAF62" w14:textId="77777777" w:rsidR="00E005B7" w:rsidRDefault="00E005B7">
          <w:pPr>
            <w:autoSpaceDE w:val="0"/>
            <w:autoSpaceDN w:val="0"/>
            <w:ind w:hanging="480"/>
            <w:divId w:val="1046949931"/>
            <w:rPr>
              <w:rFonts w:eastAsia="Times New Roman"/>
            </w:rPr>
          </w:pPr>
          <w:r>
            <w:rPr>
              <w:rFonts w:eastAsia="Times New Roman"/>
            </w:rPr>
            <w:t xml:space="preserve">Rogers, C. R. (1946). Significant aspects of client-centered therapy. </w:t>
          </w:r>
          <w:r>
            <w:rPr>
              <w:rFonts w:eastAsia="Times New Roman"/>
              <w:i/>
              <w:iCs/>
            </w:rPr>
            <w:t>The American Psychologist</w:t>
          </w:r>
          <w:r>
            <w:rPr>
              <w:rFonts w:eastAsia="Times New Roman"/>
            </w:rPr>
            <w:t xml:space="preserve">, </w:t>
          </w:r>
          <w:r>
            <w:rPr>
              <w:rFonts w:eastAsia="Times New Roman"/>
              <w:i/>
              <w:iCs/>
            </w:rPr>
            <w:t>1</w:t>
          </w:r>
          <w:r>
            <w:rPr>
              <w:rFonts w:eastAsia="Times New Roman"/>
            </w:rPr>
            <w:t>(10), 415–422. https://doi.org/10.1037/h0060866</w:t>
          </w:r>
        </w:p>
        <w:p w14:paraId="0FE3F721" w14:textId="77777777" w:rsidR="00E005B7" w:rsidRDefault="00E005B7">
          <w:pPr>
            <w:autoSpaceDE w:val="0"/>
            <w:autoSpaceDN w:val="0"/>
            <w:ind w:hanging="480"/>
            <w:divId w:val="162668937"/>
            <w:rPr>
              <w:rFonts w:eastAsia="Times New Roman"/>
            </w:rPr>
          </w:pPr>
          <w:r>
            <w:rPr>
              <w:rFonts w:eastAsia="Times New Roman"/>
            </w:rPr>
            <w:t xml:space="preserve">Rolls, E. T., Huang, C. C., Lin, C. P., Feng, J., &amp; Joliot, M. (2020). Automated anatomical labelling atlas 3. </w:t>
          </w:r>
          <w:r>
            <w:rPr>
              <w:rFonts w:eastAsia="Times New Roman"/>
              <w:i/>
              <w:iCs/>
            </w:rPr>
            <w:t>Neuroimage</w:t>
          </w:r>
          <w:r>
            <w:rPr>
              <w:rFonts w:eastAsia="Times New Roman"/>
            </w:rPr>
            <w:t xml:space="preserve">, </w:t>
          </w:r>
          <w:r>
            <w:rPr>
              <w:rFonts w:eastAsia="Times New Roman"/>
              <w:i/>
              <w:iCs/>
            </w:rPr>
            <w:t>206</w:t>
          </w:r>
          <w:r>
            <w:rPr>
              <w:rFonts w:eastAsia="Times New Roman"/>
            </w:rPr>
            <w:t>, 116189. https://doi.org/10.1016/j.neuroimage.2019.116189</w:t>
          </w:r>
        </w:p>
        <w:p w14:paraId="378C6D21" w14:textId="77777777" w:rsidR="00E005B7" w:rsidRDefault="00E005B7">
          <w:pPr>
            <w:autoSpaceDE w:val="0"/>
            <w:autoSpaceDN w:val="0"/>
            <w:ind w:hanging="480"/>
            <w:divId w:val="494272784"/>
            <w:rPr>
              <w:rFonts w:eastAsia="Times New Roman"/>
            </w:rPr>
          </w:pPr>
          <w:r>
            <w:rPr>
              <w:rFonts w:eastAsia="Times New Roman"/>
            </w:rPr>
            <w:t xml:space="preserve">Vallis, T. M., Shaw, B. F., &amp; Dobson, K. S. (1986). The cognitive therapy scale: Psychometric properties. </w:t>
          </w:r>
          <w:r>
            <w:rPr>
              <w:rFonts w:eastAsia="Times New Roman"/>
              <w:i/>
              <w:iCs/>
            </w:rPr>
            <w:t>Journal of Consulting and Clinical Psychology</w:t>
          </w:r>
          <w:r>
            <w:rPr>
              <w:rFonts w:eastAsia="Times New Roman"/>
            </w:rPr>
            <w:t xml:space="preserve">, </w:t>
          </w:r>
          <w:r>
            <w:rPr>
              <w:rFonts w:eastAsia="Times New Roman"/>
              <w:i/>
              <w:iCs/>
            </w:rPr>
            <w:t>54</w:t>
          </w:r>
          <w:r>
            <w:rPr>
              <w:rFonts w:eastAsia="Times New Roman"/>
            </w:rPr>
            <w:t>(3), 381–385. https://doi.org/10.1037/0022-006X.54.3.381</w:t>
          </w:r>
        </w:p>
        <w:p w14:paraId="2143510C" w14:textId="77777777" w:rsidR="00E005B7" w:rsidRDefault="00E005B7">
          <w:pPr>
            <w:autoSpaceDE w:val="0"/>
            <w:autoSpaceDN w:val="0"/>
            <w:ind w:hanging="480"/>
            <w:divId w:val="456290564"/>
            <w:rPr>
              <w:rFonts w:eastAsia="Times New Roman"/>
            </w:rPr>
          </w:pPr>
          <w:r>
            <w:rPr>
              <w:rFonts w:eastAsia="Times New Roman"/>
            </w:rPr>
            <w:t xml:space="preserve">Young, J., &amp; Beck, A. T. (1980). </w:t>
          </w:r>
          <w:r>
            <w:rPr>
              <w:rFonts w:eastAsia="Times New Roman"/>
              <w:i/>
              <w:iCs/>
            </w:rPr>
            <w:t>Cognitive Therapy Rating Scale</w:t>
          </w:r>
          <w:r>
            <w:rPr>
              <w:rFonts w:eastAsia="Times New Roman"/>
            </w:rPr>
            <w:t>. Philadelphia.</w:t>
          </w:r>
        </w:p>
        <w:p w14:paraId="09EC2499" w14:textId="2E890CD5" w:rsidR="003A2E2B" w:rsidRPr="00CD2660" w:rsidRDefault="00E005B7" w:rsidP="003A2E2B">
          <w:pPr>
            <w:spacing w:line="480" w:lineRule="auto"/>
            <w:rPr>
              <w:rFonts w:ascii="Times New Roman" w:hAnsi="Times New Roman" w:cs="Times New Roman"/>
            </w:rPr>
          </w:pPr>
          <w:r>
            <w:rPr>
              <w:rFonts w:eastAsia="Times New Roman"/>
            </w:rPr>
            <w:t> </w:t>
          </w:r>
        </w:p>
      </w:sdtContent>
    </w:sdt>
    <w:p w14:paraId="2BBEC43F" w14:textId="77777777" w:rsidR="003A2E2B" w:rsidRPr="00CD2660" w:rsidRDefault="003A2E2B" w:rsidP="003A2E2B">
      <w:pPr>
        <w:spacing w:line="480" w:lineRule="auto"/>
        <w:rPr>
          <w:rFonts w:ascii="Times New Roman" w:eastAsia="Calibri" w:hAnsi="Times New Roman" w:cs="Times New Roman"/>
          <w:sz w:val="22"/>
          <w:szCs w:val="22"/>
        </w:rPr>
      </w:pPr>
      <w:r w:rsidRPr="00CD2660">
        <w:rPr>
          <w:rFonts w:ascii="Times New Roman" w:eastAsia="Calibri" w:hAnsi="Times New Roman" w:cs="Times New Roman"/>
          <w:sz w:val="22"/>
          <w:szCs w:val="22"/>
        </w:rPr>
        <w:br w:type="page"/>
      </w:r>
    </w:p>
    <w:p w14:paraId="4344C099" w14:textId="50C18958" w:rsidR="003A2E2B" w:rsidRPr="00CD2660" w:rsidRDefault="003A2E2B" w:rsidP="00736AFD">
      <w:pPr>
        <w:spacing w:line="276" w:lineRule="auto"/>
        <w:rPr>
          <w:rFonts w:ascii="Times New Roman" w:eastAsia="Calibri" w:hAnsi="Times New Roman" w:cs="Times New Roman"/>
          <w:sz w:val="22"/>
          <w:szCs w:val="22"/>
        </w:rPr>
      </w:pPr>
      <w:r w:rsidRPr="00CD2660">
        <w:rPr>
          <w:rFonts w:ascii="Times New Roman" w:eastAsia="Calibri" w:hAnsi="Times New Roman" w:cs="Times New Roman"/>
          <w:sz w:val="22"/>
          <w:szCs w:val="22"/>
        </w:rPr>
        <w:lastRenderedPageBreak/>
        <w:t>Supplementary Table 1</w:t>
      </w:r>
      <w:r w:rsidRPr="00CD2660">
        <w:rPr>
          <w:rFonts w:ascii="Times New Roman" w:eastAsia="Calibri" w:hAnsi="Times New Roman" w:cs="Times New Roman"/>
          <w:i/>
          <w:iCs/>
          <w:sz w:val="22"/>
          <w:szCs w:val="22"/>
        </w:rPr>
        <w:br/>
        <w:t>Intent to Treat Analysis</w:t>
      </w: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890"/>
        <w:gridCol w:w="1890"/>
        <w:gridCol w:w="1980"/>
      </w:tblGrid>
      <w:tr w:rsidR="00CD2660" w:rsidRPr="00CD2660" w14:paraId="2860AECC" w14:textId="77777777" w:rsidTr="00AA1E9D">
        <w:tc>
          <w:tcPr>
            <w:tcW w:w="3420" w:type="dxa"/>
            <w:tcBorders>
              <w:bottom w:val="single" w:sz="4" w:space="0" w:color="auto"/>
            </w:tcBorders>
          </w:tcPr>
          <w:p w14:paraId="3F9D7E35" w14:textId="77777777" w:rsidR="003A2E2B" w:rsidRPr="00CD2660" w:rsidRDefault="003A2E2B" w:rsidP="008467B8">
            <w:pPr>
              <w:rPr>
                <w:rFonts w:ascii="Times New Roman" w:eastAsia="Calibri" w:hAnsi="Times New Roman" w:cs="Times New Roman"/>
              </w:rPr>
            </w:pPr>
          </w:p>
        </w:tc>
        <w:tc>
          <w:tcPr>
            <w:tcW w:w="1890" w:type="dxa"/>
            <w:tcBorders>
              <w:bottom w:val="single" w:sz="4" w:space="0" w:color="auto"/>
            </w:tcBorders>
            <w:vAlign w:val="center"/>
          </w:tcPr>
          <w:p w14:paraId="17FF7BD1" w14:textId="77777777" w:rsidR="003A2E2B" w:rsidRPr="00CD2660" w:rsidRDefault="003A2E2B" w:rsidP="008467B8">
            <w:pPr>
              <w:jc w:val="center"/>
              <w:rPr>
                <w:rFonts w:ascii="Times New Roman" w:eastAsia="Calibri" w:hAnsi="Times New Roman" w:cs="Times New Roman"/>
              </w:rPr>
            </w:pPr>
            <w:r w:rsidRPr="00CD2660">
              <w:rPr>
                <w:rFonts w:ascii="Times New Roman" w:eastAsia="Calibri" w:hAnsi="Times New Roman" w:cs="Times New Roman"/>
              </w:rPr>
              <w:t xml:space="preserve">Treatment Completers </w:t>
            </w:r>
          </w:p>
          <w:p w14:paraId="3F3DBC1F" w14:textId="77777777" w:rsidR="003A2E2B" w:rsidRPr="00CD2660" w:rsidRDefault="003A2E2B" w:rsidP="008467B8">
            <w:pPr>
              <w:jc w:val="center"/>
              <w:rPr>
                <w:rFonts w:ascii="Times New Roman" w:eastAsia="Calibri" w:hAnsi="Times New Roman" w:cs="Times New Roman"/>
              </w:rPr>
            </w:pPr>
            <w:r w:rsidRPr="00CD2660">
              <w:rPr>
                <w:rFonts w:ascii="Times New Roman" w:eastAsia="Calibri" w:hAnsi="Times New Roman" w:cs="Times New Roman"/>
              </w:rPr>
              <w:t>(</w:t>
            </w:r>
            <w:r w:rsidRPr="00CD2660">
              <w:rPr>
                <w:rFonts w:ascii="Times New Roman" w:eastAsia="Calibri" w:hAnsi="Times New Roman" w:cs="Times New Roman"/>
                <w:i/>
                <w:iCs/>
              </w:rPr>
              <w:t>n</w:t>
            </w:r>
            <w:r w:rsidRPr="00CD2660">
              <w:rPr>
                <w:rFonts w:ascii="Times New Roman" w:eastAsia="Calibri" w:hAnsi="Times New Roman" w:cs="Times New Roman"/>
              </w:rPr>
              <w:t xml:space="preserve"> = 95)</w:t>
            </w:r>
          </w:p>
        </w:tc>
        <w:tc>
          <w:tcPr>
            <w:tcW w:w="1890" w:type="dxa"/>
            <w:tcBorders>
              <w:bottom w:val="single" w:sz="4" w:space="0" w:color="auto"/>
            </w:tcBorders>
            <w:vAlign w:val="center"/>
          </w:tcPr>
          <w:p w14:paraId="3E66B7C5" w14:textId="77777777" w:rsidR="003A2E2B" w:rsidRPr="00CD2660" w:rsidRDefault="003A2E2B" w:rsidP="008467B8">
            <w:pPr>
              <w:jc w:val="center"/>
              <w:rPr>
                <w:rFonts w:ascii="Times New Roman" w:eastAsia="Calibri" w:hAnsi="Times New Roman" w:cs="Times New Roman"/>
              </w:rPr>
            </w:pPr>
            <w:r w:rsidRPr="00CD2660">
              <w:rPr>
                <w:rFonts w:ascii="Times New Roman" w:eastAsia="Calibri" w:hAnsi="Times New Roman" w:cs="Times New Roman"/>
              </w:rPr>
              <w:t xml:space="preserve">Treatment </w:t>
            </w:r>
            <w:proofErr w:type="gramStart"/>
            <w:r w:rsidRPr="00CD2660">
              <w:rPr>
                <w:rFonts w:ascii="Times New Roman" w:eastAsia="Calibri" w:hAnsi="Times New Roman" w:cs="Times New Roman"/>
              </w:rPr>
              <w:t>Non-Completers</w:t>
            </w:r>
            <w:proofErr w:type="gramEnd"/>
          </w:p>
          <w:p w14:paraId="05A4D77D" w14:textId="77777777" w:rsidR="003A2E2B" w:rsidRPr="00CD2660" w:rsidRDefault="003A2E2B" w:rsidP="008467B8">
            <w:pPr>
              <w:jc w:val="center"/>
              <w:rPr>
                <w:rFonts w:ascii="Times New Roman" w:eastAsia="Calibri" w:hAnsi="Times New Roman" w:cs="Times New Roman"/>
              </w:rPr>
            </w:pPr>
            <w:r w:rsidRPr="00CD2660">
              <w:rPr>
                <w:rFonts w:ascii="Times New Roman" w:eastAsia="Calibri" w:hAnsi="Times New Roman" w:cs="Times New Roman"/>
              </w:rPr>
              <w:t>(</w:t>
            </w:r>
            <w:r w:rsidRPr="00CD2660">
              <w:rPr>
                <w:rFonts w:ascii="Times New Roman" w:eastAsia="Calibri" w:hAnsi="Times New Roman" w:cs="Times New Roman"/>
                <w:i/>
                <w:iCs/>
              </w:rPr>
              <w:t>n</w:t>
            </w:r>
            <w:r w:rsidRPr="00CD2660">
              <w:rPr>
                <w:rFonts w:ascii="Times New Roman" w:eastAsia="Calibri" w:hAnsi="Times New Roman" w:cs="Times New Roman"/>
              </w:rPr>
              <w:t xml:space="preserve"> = 22)</w:t>
            </w:r>
          </w:p>
        </w:tc>
        <w:tc>
          <w:tcPr>
            <w:tcW w:w="1980" w:type="dxa"/>
            <w:tcBorders>
              <w:bottom w:val="single" w:sz="4" w:space="0" w:color="auto"/>
            </w:tcBorders>
            <w:vAlign w:val="center"/>
          </w:tcPr>
          <w:p w14:paraId="1FEB7E80" w14:textId="77777777" w:rsidR="003A2E2B" w:rsidRPr="00CD2660" w:rsidRDefault="003A2E2B" w:rsidP="008467B8">
            <w:pPr>
              <w:jc w:val="center"/>
              <w:rPr>
                <w:rFonts w:ascii="Times New Roman" w:eastAsia="Calibri" w:hAnsi="Times New Roman" w:cs="Times New Roman"/>
              </w:rPr>
            </w:pPr>
            <w:r w:rsidRPr="00CD2660">
              <w:rPr>
                <w:rFonts w:ascii="Times New Roman" w:eastAsia="Calibri" w:hAnsi="Times New Roman" w:cs="Times New Roman"/>
                <w:i/>
                <w:iCs/>
              </w:rPr>
              <w:t>t/</w:t>
            </w:r>
            <w:r w:rsidRPr="00CD2660">
              <w:rPr>
                <w:rFonts w:ascii="Times New Roman" w:eastAsia="Calibri" w:hAnsi="Times New Roman" w:cs="Times New Roman"/>
                <w:i/>
                <w:iCs/>
              </w:rPr>
              <w:sym w:font="Symbol" w:char="F063"/>
            </w:r>
            <w:r w:rsidRPr="00CD2660">
              <w:rPr>
                <w:rFonts w:ascii="Times New Roman" w:eastAsia="Calibri" w:hAnsi="Times New Roman" w:cs="Times New Roman"/>
                <w:i/>
                <w:iCs/>
                <w:vertAlign w:val="superscript"/>
              </w:rPr>
              <w:t>2</w:t>
            </w:r>
          </w:p>
        </w:tc>
      </w:tr>
      <w:tr w:rsidR="00CD2660" w:rsidRPr="00CD2660" w14:paraId="1C78D817" w14:textId="77777777" w:rsidTr="00AA1E9D">
        <w:trPr>
          <w:trHeight w:val="432"/>
        </w:trPr>
        <w:tc>
          <w:tcPr>
            <w:tcW w:w="3420" w:type="dxa"/>
            <w:tcBorders>
              <w:top w:val="single" w:sz="4" w:space="0" w:color="auto"/>
              <w:bottom w:val="single" w:sz="4" w:space="0" w:color="auto"/>
            </w:tcBorders>
            <w:tcMar>
              <w:top w:w="29" w:type="dxa"/>
              <w:left w:w="115" w:type="dxa"/>
              <w:bottom w:w="29" w:type="dxa"/>
              <w:right w:w="115" w:type="dxa"/>
            </w:tcMar>
            <w:vAlign w:val="center"/>
          </w:tcPr>
          <w:p w14:paraId="201E87BA" w14:textId="77777777" w:rsidR="003A2E2B" w:rsidRPr="00CD2660" w:rsidRDefault="003A2E2B" w:rsidP="008467B8">
            <w:pPr>
              <w:rPr>
                <w:rFonts w:ascii="Times New Roman" w:eastAsia="Calibri" w:hAnsi="Times New Roman" w:cs="Times New Roman"/>
              </w:rPr>
            </w:pPr>
            <w:r w:rsidRPr="00CD2660">
              <w:rPr>
                <w:rFonts w:ascii="Times New Roman" w:eastAsia="Calibri" w:hAnsi="Times New Roman" w:cs="Times New Roman"/>
              </w:rPr>
              <w:t>Demographics</w:t>
            </w:r>
          </w:p>
        </w:tc>
        <w:tc>
          <w:tcPr>
            <w:tcW w:w="1890" w:type="dxa"/>
            <w:tcBorders>
              <w:top w:val="single" w:sz="4" w:space="0" w:color="auto"/>
              <w:bottom w:val="single" w:sz="4" w:space="0" w:color="auto"/>
            </w:tcBorders>
            <w:tcMar>
              <w:top w:w="29" w:type="dxa"/>
              <w:left w:w="115" w:type="dxa"/>
              <w:bottom w:w="29" w:type="dxa"/>
              <w:right w:w="115" w:type="dxa"/>
            </w:tcMar>
            <w:vAlign w:val="center"/>
          </w:tcPr>
          <w:p w14:paraId="4E49A636" w14:textId="77777777" w:rsidR="003A2E2B" w:rsidRPr="00CD2660" w:rsidRDefault="003A2E2B" w:rsidP="008467B8">
            <w:pPr>
              <w:jc w:val="center"/>
              <w:rPr>
                <w:rFonts w:ascii="Times New Roman" w:eastAsia="Calibri" w:hAnsi="Times New Roman" w:cs="Times New Roman"/>
              </w:rPr>
            </w:pPr>
          </w:p>
        </w:tc>
        <w:tc>
          <w:tcPr>
            <w:tcW w:w="1890" w:type="dxa"/>
            <w:tcBorders>
              <w:top w:val="single" w:sz="4" w:space="0" w:color="auto"/>
              <w:bottom w:val="single" w:sz="4" w:space="0" w:color="auto"/>
            </w:tcBorders>
            <w:tcMar>
              <w:top w:w="29" w:type="dxa"/>
              <w:left w:w="115" w:type="dxa"/>
              <w:bottom w:w="29" w:type="dxa"/>
              <w:right w:w="115" w:type="dxa"/>
            </w:tcMar>
            <w:vAlign w:val="center"/>
          </w:tcPr>
          <w:p w14:paraId="7A7A55EE" w14:textId="77777777" w:rsidR="003A2E2B" w:rsidRPr="00CD2660" w:rsidRDefault="003A2E2B" w:rsidP="008467B8">
            <w:pPr>
              <w:jc w:val="center"/>
              <w:rPr>
                <w:rFonts w:ascii="Times New Roman" w:eastAsia="Calibri" w:hAnsi="Times New Roman" w:cs="Times New Roman"/>
              </w:rPr>
            </w:pPr>
          </w:p>
        </w:tc>
        <w:tc>
          <w:tcPr>
            <w:tcW w:w="1980" w:type="dxa"/>
            <w:tcBorders>
              <w:top w:val="single" w:sz="4" w:space="0" w:color="auto"/>
              <w:bottom w:val="single" w:sz="4" w:space="0" w:color="auto"/>
            </w:tcBorders>
            <w:tcMar>
              <w:top w:w="29" w:type="dxa"/>
              <w:left w:w="115" w:type="dxa"/>
              <w:bottom w:w="29" w:type="dxa"/>
              <w:right w:w="115" w:type="dxa"/>
            </w:tcMar>
            <w:vAlign w:val="center"/>
          </w:tcPr>
          <w:p w14:paraId="423F9661" w14:textId="77777777" w:rsidR="003A2E2B" w:rsidRPr="00CD2660" w:rsidRDefault="003A2E2B" w:rsidP="008467B8">
            <w:pPr>
              <w:jc w:val="center"/>
              <w:rPr>
                <w:rFonts w:ascii="Times New Roman" w:eastAsia="Calibri" w:hAnsi="Times New Roman" w:cs="Times New Roman"/>
              </w:rPr>
            </w:pPr>
          </w:p>
        </w:tc>
      </w:tr>
      <w:tr w:rsidR="00CD2660" w:rsidRPr="00CD2660" w14:paraId="1E37A7C0" w14:textId="77777777" w:rsidTr="00AA1E9D">
        <w:trPr>
          <w:trHeight w:val="288"/>
        </w:trPr>
        <w:tc>
          <w:tcPr>
            <w:tcW w:w="3420" w:type="dxa"/>
            <w:tcBorders>
              <w:top w:val="single" w:sz="4" w:space="0" w:color="auto"/>
            </w:tcBorders>
            <w:vAlign w:val="center"/>
          </w:tcPr>
          <w:p w14:paraId="63069D74" w14:textId="77777777" w:rsidR="003A2E2B" w:rsidRPr="00CD2660" w:rsidRDefault="003A2E2B" w:rsidP="008467B8">
            <w:pPr>
              <w:ind w:left="161"/>
              <w:rPr>
                <w:rFonts w:ascii="Times New Roman" w:eastAsia="Calibri" w:hAnsi="Times New Roman" w:cs="Times New Roman"/>
              </w:rPr>
            </w:pPr>
            <w:r w:rsidRPr="00CD2660">
              <w:rPr>
                <w:rFonts w:ascii="Times New Roman" w:eastAsia="Calibri" w:hAnsi="Times New Roman" w:cs="Times New Roman"/>
              </w:rPr>
              <w:t>Age</w:t>
            </w:r>
          </w:p>
        </w:tc>
        <w:tc>
          <w:tcPr>
            <w:tcW w:w="1890" w:type="dxa"/>
            <w:tcBorders>
              <w:top w:val="single" w:sz="4" w:space="0" w:color="auto"/>
            </w:tcBorders>
            <w:vAlign w:val="center"/>
          </w:tcPr>
          <w:p w14:paraId="0FD366B3" w14:textId="77777777" w:rsidR="003A2E2B" w:rsidRPr="00CD2660" w:rsidRDefault="003A2E2B" w:rsidP="008467B8">
            <w:pPr>
              <w:jc w:val="center"/>
              <w:rPr>
                <w:rFonts w:ascii="Times New Roman" w:eastAsia="Calibri" w:hAnsi="Times New Roman" w:cs="Times New Roman"/>
              </w:rPr>
            </w:pPr>
            <w:r w:rsidRPr="00CD2660">
              <w:rPr>
                <w:rFonts w:ascii="Times New Roman" w:eastAsia="Calibri" w:hAnsi="Times New Roman" w:cs="Times New Roman"/>
              </w:rPr>
              <w:t>28.28 (9.54)</w:t>
            </w:r>
          </w:p>
        </w:tc>
        <w:tc>
          <w:tcPr>
            <w:tcW w:w="1890" w:type="dxa"/>
            <w:tcBorders>
              <w:top w:val="single" w:sz="4" w:space="0" w:color="auto"/>
            </w:tcBorders>
            <w:vAlign w:val="center"/>
          </w:tcPr>
          <w:p w14:paraId="3C17A8A9" w14:textId="77777777" w:rsidR="003A2E2B" w:rsidRPr="00CD2660" w:rsidRDefault="003A2E2B" w:rsidP="008467B8">
            <w:pPr>
              <w:jc w:val="center"/>
              <w:rPr>
                <w:rFonts w:ascii="Times New Roman" w:eastAsia="Calibri" w:hAnsi="Times New Roman" w:cs="Times New Roman"/>
              </w:rPr>
            </w:pPr>
            <w:r w:rsidRPr="00CD2660">
              <w:rPr>
                <w:rFonts w:ascii="Times New Roman" w:eastAsia="Calibri" w:hAnsi="Times New Roman" w:cs="Times New Roman"/>
              </w:rPr>
              <w:t>25.27 (6.39)</w:t>
            </w:r>
          </w:p>
        </w:tc>
        <w:tc>
          <w:tcPr>
            <w:tcW w:w="1980" w:type="dxa"/>
            <w:tcBorders>
              <w:top w:val="single" w:sz="4" w:space="0" w:color="auto"/>
            </w:tcBorders>
            <w:vAlign w:val="center"/>
          </w:tcPr>
          <w:p w14:paraId="72AE27BE" w14:textId="77777777" w:rsidR="003A2E2B" w:rsidRPr="00CD2660" w:rsidRDefault="003A2E2B" w:rsidP="008467B8">
            <w:pPr>
              <w:jc w:val="center"/>
              <w:rPr>
                <w:rFonts w:ascii="Times New Roman" w:eastAsia="Calibri" w:hAnsi="Times New Roman" w:cs="Times New Roman"/>
              </w:rPr>
            </w:pPr>
            <w:r w:rsidRPr="00CD2660">
              <w:rPr>
                <w:rFonts w:ascii="Times New Roman" w:eastAsia="Calibri" w:hAnsi="Times New Roman" w:cs="Times New Roman"/>
              </w:rPr>
              <w:t>t = -1.41, p = .16</w:t>
            </w:r>
          </w:p>
        </w:tc>
      </w:tr>
      <w:tr w:rsidR="00CD2660" w:rsidRPr="00CD2660" w14:paraId="64ED8E0A" w14:textId="77777777" w:rsidTr="00AA1E9D">
        <w:trPr>
          <w:trHeight w:val="288"/>
        </w:trPr>
        <w:tc>
          <w:tcPr>
            <w:tcW w:w="3420" w:type="dxa"/>
            <w:vAlign w:val="center"/>
          </w:tcPr>
          <w:p w14:paraId="582B30D0" w14:textId="77777777" w:rsidR="003A2E2B" w:rsidRPr="00CD2660" w:rsidRDefault="003A2E2B" w:rsidP="0015380F">
            <w:pPr>
              <w:ind w:left="161"/>
              <w:rPr>
                <w:rFonts w:ascii="Times New Roman" w:eastAsia="Calibri" w:hAnsi="Times New Roman" w:cs="Times New Roman"/>
              </w:rPr>
            </w:pPr>
            <w:r w:rsidRPr="00CD2660">
              <w:rPr>
                <w:rFonts w:ascii="Times New Roman" w:eastAsia="Calibri" w:hAnsi="Times New Roman" w:cs="Times New Roman"/>
              </w:rPr>
              <w:t>Sex</w:t>
            </w:r>
          </w:p>
        </w:tc>
        <w:tc>
          <w:tcPr>
            <w:tcW w:w="1890" w:type="dxa"/>
            <w:vAlign w:val="center"/>
          </w:tcPr>
          <w:p w14:paraId="0BFC8105" w14:textId="77777777" w:rsidR="003A2E2B" w:rsidRPr="00CD2660" w:rsidRDefault="003A2E2B" w:rsidP="0015380F">
            <w:pPr>
              <w:jc w:val="center"/>
              <w:rPr>
                <w:rFonts w:ascii="Times New Roman" w:eastAsia="Calibri" w:hAnsi="Times New Roman" w:cs="Times New Roman"/>
              </w:rPr>
            </w:pPr>
          </w:p>
        </w:tc>
        <w:tc>
          <w:tcPr>
            <w:tcW w:w="1890" w:type="dxa"/>
            <w:vAlign w:val="center"/>
          </w:tcPr>
          <w:p w14:paraId="70EE4E0B" w14:textId="77777777" w:rsidR="003A2E2B" w:rsidRPr="00CD2660" w:rsidRDefault="003A2E2B" w:rsidP="0015380F">
            <w:pPr>
              <w:jc w:val="center"/>
              <w:rPr>
                <w:rFonts w:ascii="Times New Roman" w:eastAsia="Calibri" w:hAnsi="Times New Roman" w:cs="Times New Roman"/>
              </w:rPr>
            </w:pPr>
          </w:p>
        </w:tc>
        <w:tc>
          <w:tcPr>
            <w:tcW w:w="1980" w:type="dxa"/>
            <w:vAlign w:val="center"/>
          </w:tcPr>
          <w:p w14:paraId="0134E2CD"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sym w:font="Symbol" w:char="F063"/>
            </w:r>
            <w:r w:rsidRPr="00CD2660">
              <w:rPr>
                <w:rFonts w:ascii="Times New Roman" w:eastAsia="Calibri" w:hAnsi="Times New Roman" w:cs="Times New Roman"/>
                <w:vertAlign w:val="superscript"/>
              </w:rPr>
              <w:t>2</w:t>
            </w:r>
            <w:r w:rsidRPr="00CD2660">
              <w:rPr>
                <w:rFonts w:ascii="Times New Roman" w:eastAsia="Calibri" w:hAnsi="Times New Roman" w:cs="Times New Roman"/>
              </w:rPr>
              <w:t xml:space="preserve"> = 1.06, p = .59</w:t>
            </w:r>
          </w:p>
        </w:tc>
      </w:tr>
      <w:tr w:rsidR="00CD2660" w:rsidRPr="00CD2660" w14:paraId="7D8993E3" w14:textId="77777777" w:rsidTr="00AA1E9D">
        <w:trPr>
          <w:trHeight w:val="288"/>
        </w:trPr>
        <w:tc>
          <w:tcPr>
            <w:tcW w:w="3420" w:type="dxa"/>
            <w:vAlign w:val="center"/>
          </w:tcPr>
          <w:p w14:paraId="086EFEFD"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Female</w:t>
            </w:r>
          </w:p>
        </w:tc>
        <w:tc>
          <w:tcPr>
            <w:tcW w:w="1890" w:type="dxa"/>
            <w:vAlign w:val="center"/>
          </w:tcPr>
          <w:p w14:paraId="2538D753"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68.4%</w:t>
            </w:r>
          </w:p>
        </w:tc>
        <w:tc>
          <w:tcPr>
            <w:tcW w:w="1890" w:type="dxa"/>
            <w:vAlign w:val="center"/>
          </w:tcPr>
          <w:p w14:paraId="10A95376"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59.1%</w:t>
            </w:r>
          </w:p>
        </w:tc>
        <w:tc>
          <w:tcPr>
            <w:tcW w:w="1980" w:type="dxa"/>
            <w:vAlign w:val="center"/>
          </w:tcPr>
          <w:p w14:paraId="4AF39435" w14:textId="77777777" w:rsidR="003A2E2B" w:rsidRPr="00CD2660" w:rsidRDefault="003A2E2B" w:rsidP="0015380F">
            <w:pPr>
              <w:jc w:val="center"/>
              <w:rPr>
                <w:rFonts w:ascii="Times New Roman" w:eastAsia="Calibri" w:hAnsi="Times New Roman" w:cs="Times New Roman"/>
                <w:highlight w:val="yellow"/>
              </w:rPr>
            </w:pPr>
          </w:p>
        </w:tc>
      </w:tr>
      <w:tr w:rsidR="00CD2660" w:rsidRPr="00CD2660" w14:paraId="154468A5" w14:textId="77777777" w:rsidTr="00AA1E9D">
        <w:trPr>
          <w:trHeight w:val="288"/>
        </w:trPr>
        <w:tc>
          <w:tcPr>
            <w:tcW w:w="3420" w:type="dxa"/>
            <w:vAlign w:val="center"/>
          </w:tcPr>
          <w:p w14:paraId="21FB551E"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Male</w:t>
            </w:r>
          </w:p>
        </w:tc>
        <w:tc>
          <w:tcPr>
            <w:tcW w:w="1890" w:type="dxa"/>
            <w:vAlign w:val="center"/>
          </w:tcPr>
          <w:p w14:paraId="41FD17DF"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30.5%</w:t>
            </w:r>
          </w:p>
        </w:tc>
        <w:tc>
          <w:tcPr>
            <w:tcW w:w="1890" w:type="dxa"/>
            <w:vAlign w:val="center"/>
          </w:tcPr>
          <w:p w14:paraId="258993CA"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40.9%</w:t>
            </w:r>
          </w:p>
        </w:tc>
        <w:tc>
          <w:tcPr>
            <w:tcW w:w="1980" w:type="dxa"/>
            <w:vAlign w:val="center"/>
          </w:tcPr>
          <w:p w14:paraId="29F774B1" w14:textId="77777777" w:rsidR="003A2E2B" w:rsidRPr="00CD2660" w:rsidRDefault="003A2E2B" w:rsidP="0015380F">
            <w:pPr>
              <w:jc w:val="center"/>
              <w:rPr>
                <w:rFonts w:ascii="Times New Roman" w:eastAsia="Calibri" w:hAnsi="Times New Roman" w:cs="Times New Roman"/>
                <w:highlight w:val="yellow"/>
              </w:rPr>
            </w:pPr>
          </w:p>
        </w:tc>
      </w:tr>
      <w:tr w:rsidR="00CD2660" w:rsidRPr="00CD2660" w14:paraId="653FA373" w14:textId="77777777" w:rsidTr="00AA1E9D">
        <w:trPr>
          <w:trHeight w:val="288"/>
        </w:trPr>
        <w:tc>
          <w:tcPr>
            <w:tcW w:w="3420" w:type="dxa"/>
            <w:tcBorders>
              <w:bottom w:val="nil"/>
            </w:tcBorders>
            <w:vAlign w:val="center"/>
          </w:tcPr>
          <w:p w14:paraId="7C6F3A36" w14:textId="77777777" w:rsidR="003A2E2B" w:rsidRPr="00CD2660" w:rsidRDefault="003A2E2B" w:rsidP="0015380F">
            <w:pPr>
              <w:ind w:left="697" w:hanging="354"/>
              <w:rPr>
                <w:rFonts w:ascii="Times New Roman" w:eastAsia="Calibri" w:hAnsi="Times New Roman" w:cs="Times New Roman"/>
              </w:rPr>
            </w:pPr>
            <w:r w:rsidRPr="00CD2660">
              <w:rPr>
                <w:rFonts w:ascii="Times New Roman" w:eastAsia="Calibri" w:hAnsi="Times New Roman" w:cs="Times New Roman"/>
              </w:rPr>
              <w:t>Not Reported</w:t>
            </w:r>
          </w:p>
        </w:tc>
        <w:tc>
          <w:tcPr>
            <w:tcW w:w="1890" w:type="dxa"/>
            <w:tcBorders>
              <w:bottom w:val="nil"/>
            </w:tcBorders>
            <w:shd w:val="clear" w:color="auto" w:fill="auto"/>
            <w:vAlign w:val="center"/>
          </w:tcPr>
          <w:p w14:paraId="52191344"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1.1%</w:t>
            </w:r>
          </w:p>
        </w:tc>
        <w:tc>
          <w:tcPr>
            <w:tcW w:w="1890" w:type="dxa"/>
            <w:tcBorders>
              <w:bottom w:val="nil"/>
            </w:tcBorders>
            <w:vAlign w:val="center"/>
          </w:tcPr>
          <w:p w14:paraId="2704F60A"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0.0%</w:t>
            </w:r>
          </w:p>
        </w:tc>
        <w:tc>
          <w:tcPr>
            <w:tcW w:w="1980" w:type="dxa"/>
            <w:tcBorders>
              <w:bottom w:val="nil"/>
            </w:tcBorders>
            <w:vAlign w:val="center"/>
          </w:tcPr>
          <w:p w14:paraId="045FAB6A" w14:textId="77777777" w:rsidR="003A2E2B" w:rsidRPr="00CD2660" w:rsidRDefault="003A2E2B" w:rsidP="0015380F">
            <w:pPr>
              <w:jc w:val="center"/>
              <w:rPr>
                <w:rFonts w:ascii="Times New Roman" w:eastAsia="Calibri" w:hAnsi="Times New Roman" w:cs="Times New Roman"/>
                <w:highlight w:val="yellow"/>
              </w:rPr>
            </w:pPr>
          </w:p>
        </w:tc>
      </w:tr>
      <w:tr w:rsidR="00CD2660" w:rsidRPr="00CD2660" w14:paraId="340E6A32" w14:textId="77777777" w:rsidTr="00AA1E9D">
        <w:trPr>
          <w:trHeight w:val="288"/>
        </w:trPr>
        <w:tc>
          <w:tcPr>
            <w:tcW w:w="3420" w:type="dxa"/>
            <w:tcBorders>
              <w:bottom w:val="nil"/>
            </w:tcBorders>
            <w:vAlign w:val="center"/>
          </w:tcPr>
          <w:p w14:paraId="556E577B" w14:textId="2FA7F5E9" w:rsidR="003A2E2B" w:rsidRPr="00CD2660" w:rsidRDefault="003A2E2B" w:rsidP="0015380F">
            <w:pPr>
              <w:ind w:left="427" w:right="-103" w:hanging="266"/>
              <w:rPr>
                <w:rFonts w:ascii="Times New Roman" w:eastAsia="Calibri" w:hAnsi="Times New Roman" w:cs="Times New Roman"/>
              </w:rPr>
            </w:pPr>
            <w:bookmarkStart w:id="14" w:name="_Hlk73866883"/>
            <w:r w:rsidRPr="00CD2660">
              <w:rPr>
                <w:rFonts w:ascii="Times New Roman" w:eastAsia="Calibri" w:hAnsi="Times New Roman" w:cs="Times New Roman"/>
              </w:rPr>
              <w:t>Ethnicity (Hispanic or Latino)</w:t>
            </w:r>
          </w:p>
        </w:tc>
        <w:tc>
          <w:tcPr>
            <w:tcW w:w="1890" w:type="dxa"/>
            <w:tcBorders>
              <w:bottom w:val="nil"/>
            </w:tcBorders>
            <w:vAlign w:val="center"/>
          </w:tcPr>
          <w:p w14:paraId="051EE852"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29.5%</w:t>
            </w:r>
          </w:p>
        </w:tc>
        <w:tc>
          <w:tcPr>
            <w:tcW w:w="1890" w:type="dxa"/>
            <w:tcBorders>
              <w:bottom w:val="nil"/>
            </w:tcBorders>
            <w:vAlign w:val="center"/>
          </w:tcPr>
          <w:p w14:paraId="0DC35514"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27.3%</w:t>
            </w:r>
          </w:p>
        </w:tc>
        <w:tc>
          <w:tcPr>
            <w:tcW w:w="1980" w:type="dxa"/>
            <w:tcBorders>
              <w:bottom w:val="nil"/>
            </w:tcBorders>
            <w:vAlign w:val="center"/>
          </w:tcPr>
          <w:p w14:paraId="19A39817" w14:textId="77777777" w:rsidR="003A2E2B" w:rsidRPr="00CD2660" w:rsidRDefault="003A2E2B" w:rsidP="0015380F">
            <w:pPr>
              <w:jc w:val="center"/>
              <w:rPr>
                <w:rFonts w:ascii="Times New Roman" w:eastAsia="Calibri" w:hAnsi="Times New Roman" w:cs="Times New Roman"/>
              </w:rPr>
            </w:pPr>
            <w:bookmarkStart w:id="15" w:name="_Hlk73866893"/>
            <w:r w:rsidRPr="00CD2660">
              <w:rPr>
                <w:rFonts w:ascii="Times New Roman" w:eastAsia="Calibri" w:hAnsi="Times New Roman" w:cs="Times New Roman"/>
              </w:rPr>
              <w:sym w:font="Symbol" w:char="F063"/>
            </w:r>
            <w:bookmarkEnd w:id="15"/>
            <w:r w:rsidRPr="00CD2660">
              <w:rPr>
                <w:rFonts w:ascii="Times New Roman" w:eastAsia="Calibri" w:hAnsi="Times New Roman" w:cs="Times New Roman"/>
                <w:vertAlign w:val="superscript"/>
              </w:rPr>
              <w:t>2</w:t>
            </w:r>
            <w:r w:rsidRPr="00CD2660">
              <w:rPr>
                <w:rFonts w:ascii="Times New Roman" w:eastAsia="Calibri" w:hAnsi="Times New Roman" w:cs="Times New Roman"/>
              </w:rPr>
              <w:t xml:space="preserve"> = 0.04, p = .84</w:t>
            </w:r>
          </w:p>
        </w:tc>
      </w:tr>
      <w:bookmarkEnd w:id="14"/>
      <w:tr w:rsidR="00CD2660" w:rsidRPr="00CD2660" w14:paraId="21405EC3" w14:textId="77777777" w:rsidTr="00AA1E9D">
        <w:trPr>
          <w:trHeight w:val="288"/>
        </w:trPr>
        <w:tc>
          <w:tcPr>
            <w:tcW w:w="3420" w:type="dxa"/>
            <w:tcBorders>
              <w:top w:val="nil"/>
              <w:bottom w:val="nil"/>
            </w:tcBorders>
            <w:vAlign w:val="center"/>
          </w:tcPr>
          <w:p w14:paraId="280CD0B7" w14:textId="77777777" w:rsidR="003A2E2B" w:rsidRPr="00CD2660" w:rsidRDefault="003A2E2B" w:rsidP="0015380F">
            <w:pPr>
              <w:ind w:left="161"/>
              <w:rPr>
                <w:rFonts w:ascii="Times New Roman" w:eastAsia="Calibri" w:hAnsi="Times New Roman" w:cs="Times New Roman"/>
              </w:rPr>
            </w:pPr>
            <w:r w:rsidRPr="00CD2660">
              <w:rPr>
                <w:rFonts w:ascii="Times New Roman" w:eastAsia="Calibri" w:hAnsi="Times New Roman" w:cs="Times New Roman"/>
              </w:rPr>
              <w:t>Racial Identity</w:t>
            </w:r>
          </w:p>
        </w:tc>
        <w:tc>
          <w:tcPr>
            <w:tcW w:w="1890" w:type="dxa"/>
            <w:tcBorders>
              <w:top w:val="nil"/>
              <w:bottom w:val="nil"/>
            </w:tcBorders>
            <w:vAlign w:val="center"/>
          </w:tcPr>
          <w:p w14:paraId="0EAFBA13" w14:textId="77777777" w:rsidR="003A2E2B" w:rsidRPr="00CD2660" w:rsidRDefault="003A2E2B" w:rsidP="0015380F">
            <w:pPr>
              <w:jc w:val="center"/>
              <w:rPr>
                <w:rFonts w:ascii="Times New Roman" w:eastAsia="Calibri" w:hAnsi="Times New Roman" w:cs="Times New Roman"/>
                <w:highlight w:val="yellow"/>
                <w:vertAlign w:val="superscript"/>
              </w:rPr>
            </w:pPr>
          </w:p>
        </w:tc>
        <w:tc>
          <w:tcPr>
            <w:tcW w:w="1890" w:type="dxa"/>
            <w:tcBorders>
              <w:top w:val="nil"/>
              <w:bottom w:val="nil"/>
            </w:tcBorders>
            <w:vAlign w:val="center"/>
          </w:tcPr>
          <w:p w14:paraId="06822A38" w14:textId="77777777" w:rsidR="003A2E2B" w:rsidRPr="00CD2660" w:rsidRDefault="003A2E2B" w:rsidP="0015380F">
            <w:pPr>
              <w:jc w:val="center"/>
              <w:rPr>
                <w:rFonts w:ascii="Times New Roman" w:eastAsia="Calibri" w:hAnsi="Times New Roman" w:cs="Times New Roman"/>
                <w:vertAlign w:val="superscript"/>
              </w:rPr>
            </w:pPr>
          </w:p>
        </w:tc>
        <w:tc>
          <w:tcPr>
            <w:tcW w:w="1980" w:type="dxa"/>
            <w:tcBorders>
              <w:top w:val="nil"/>
              <w:bottom w:val="nil"/>
            </w:tcBorders>
            <w:vAlign w:val="center"/>
          </w:tcPr>
          <w:p w14:paraId="4A9A6C7A" w14:textId="77777777" w:rsidR="003A2E2B" w:rsidRPr="00CD2660" w:rsidRDefault="003A2E2B" w:rsidP="00AA1E9D">
            <w:pPr>
              <w:rPr>
                <w:rFonts w:ascii="Times New Roman" w:eastAsia="Calibri" w:hAnsi="Times New Roman" w:cs="Times New Roman"/>
              </w:rPr>
            </w:pPr>
            <w:r w:rsidRPr="00CD2660">
              <w:rPr>
                <w:rFonts w:ascii="Times New Roman" w:eastAsia="Calibri" w:hAnsi="Times New Roman" w:cs="Times New Roman"/>
              </w:rPr>
              <w:sym w:font="Symbol" w:char="F063"/>
            </w:r>
            <w:r w:rsidRPr="00CD2660">
              <w:rPr>
                <w:rFonts w:ascii="Times New Roman" w:eastAsia="Calibri" w:hAnsi="Times New Roman" w:cs="Times New Roman"/>
                <w:vertAlign w:val="superscript"/>
              </w:rPr>
              <w:t>2</w:t>
            </w:r>
            <w:r w:rsidRPr="00CD2660">
              <w:rPr>
                <w:rFonts w:ascii="Times New Roman" w:eastAsia="Calibri" w:hAnsi="Times New Roman" w:cs="Times New Roman"/>
              </w:rPr>
              <w:t xml:space="preserve"> = 11.38, p = .08</w:t>
            </w:r>
          </w:p>
        </w:tc>
      </w:tr>
      <w:tr w:rsidR="00CD2660" w:rsidRPr="00CD2660" w14:paraId="17295437" w14:textId="77777777" w:rsidTr="00AA1E9D">
        <w:trPr>
          <w:trHeight w:val="288"/>
        </w:trPr>
        <w:tc>
          <w:tcPr>
            <w:tcW w:w="3420" w:type="dxa"/>
            <w:tcBorders>
              <w:top w:val="nil"/>
              <w:bottom w:val="nil"/>
            </w:tcBorders>
            <w:vAlign w:val="center"/>
          </w:tcPr>
          <w:p w14:paraId="3D801B88"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White</w:t>
            </w:r>
          </w:p>
        </w:tc>
        <w:tc>
          <w:tcPr>
            <w:tcW w:w="1890" w:type="dxa"/>
            <w:tcBorders>
              <w:top w:val="nil"/>
              <w:bottom w:val="nil"/>
            </w:tcBorders>
            <w:vAlign w:val="center"/>
          </w:tcPr>
          <w:p w14:paraId="76AD0F30"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50.5%</w:t>
            </w:r>
          </w:p>
        </w:tc>
        <w:tc>
          <w:tcPr>
            <w:tcW w:w="1890" w:type="dxa"/>
            <w:tcBorders>
              <w:top w:val="nil"/>
              <w:bottom w:val="nil"/>
            </w:tcBorders>
            <w:vAlign w:val="center"/>
          </w:tcPr>
          <w:p w14:paraId="682C9C05"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27.3%</w:t>
            </w:r>
          </w:p>
        </w:tc>
        <w:tc>
          <w:tcPr>
            <w:tcW w:w="1980" w:type="dxa"/>
            <w:tcBorders>
              <w:top w:val="nil"/>
              <w:bottom w:val="nil"/>
            </w:tcBorders>
            <w:vAlign w:val="center"/>
          </w:tcPr>
          <w:p w14:paraId="126A6820" w14:textId="77777777" w:rsidR="003A2E2B" w:rsidRPr="00CD2660" w:rsidRDefault="003A2E2B" w:rsidP="0015380F">
            <w:pPr>
              <w:jc w:val="center"/>
              <w:rPr>
                <w:rFonts w:ascii="Times New Roman" w:eastAsia="Calibri" w:hAnsi="Times New Roman" w:cs="Times New Roman"/>
                <w:highlight w:val="yellow"/>
                <w:vertAlign w:val="superscript"/>
              </w:rPr>
            </w:pPr>
          </w:p>
        </w:tc>
      </w:tr>
      <w:tr w:rsidR="00CD2660" w:rsidRPr="00CD2660" w14:paraId="0A607C94" w14:textId="77777777" w:rsidTr="00AA1E9D">
        <w:trPr>
          <w:trHeight w:val="288"/>
        </w:trPr>
        <w:tc>
          <w:tcPr>
            <w:tcW w:w="3420" w:type="dxa"/>
            <w:tcBorders>
              <w:top w:val="nil"/>
              <w:bottom w:val="nil"/>
            </w:tcBorders>
            <w:vAlign w:val="center"/>
          </w:tcPr>
          <w:p w14:paraId="27908B7D"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Black</w:t>
            </w:r>
          </w:p>
        </w:tc>
        <w:tc>
          <w:tcPr>
            <w:tcW w:w="1890" w:type="dxa"/>
            <w:tcBorders>
              <w:top w:val="nil"/>
              <w:bottom w:val="nil"/>
            </w:tcBorders>
            <w:vAlign w:val="center"/>
          </w:tcPr>
          <w:p w14:paraId="6F43F527"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11.6%</w:t>
            </w:r>
          </w:p>
        </w:tc>
        <w:tc>
          <w:tcPr>
            <w:tcW w:w="1890" w:type="dxa"/>
            <w:tcBorders>
              <w:top w:val="nil"/>
              <w:bottom w:val="nil"/>
            </w:tcBorders>
            <w:vAlign w:val="center"/>
          </w:tcPr>
          <w:p w14:paraId="1D20C298"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18.2%</w:t>
            </w:r>
          </w:p>
        </w:tc>
        <w:tc>
          <w:tcPr>
            <w:tcW w:w="1980" w:type="dxa"/>
            <w:tcBorders>
              <w:top w:val="nil"/>
              <w:bottom w:val="nil"/>
            </w:tcBorders>
            <w:vAlign w:val="center"/>
          </w:tcPr>
          <w:p w14:paraId="0CD60A94" w14:textId="77777777" w:rsidR="003A2E2B" w:rsidRPr="00CD2660" w:rsidRDefault="003A2E2B" w:rsidP="0015380F">
            <w:pPr>
              <w:jc w:val="center"/>
              <w:rPr>
                <w:rFonts w:ascii="Times New Roman" w:eastAsia="Calibri" w:hAnsi="Times New Roman" w:cs="Times New Roman"/>
                <w:highlight w:val="yellow"/>
                <w:vertAlign w:val="superscript"/>
              </w:rPr>
            </w:pPr>
          </w:p>
        </w:tc>
      </w:tr>
      <w:tr w:rsidR="00CD2660" w:rsidRPr="00CD2660" w14:paraId="1FADBABB" w14:textId="77777777" w:rsidTr="00AA1E9D">
        <w:trPr>
          <w:trHeight w:val="288"/>
        </w:trPr>
        <w:tc>
          <w:tcPr>
            <w:tcW w:w="3420" w:type="dxa"/>
            <w:tcBorders>
              <w:top w:val="nil"/>
              <w:bottom w:val="nil"/>
            </w:tcBorders>
            <w:vAlign w:val="center"/>
          </w:tcPr>
          <w:p w14:paraId="3297DEB5"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Asian</w:t>
            </w:r>
          </w:p>
        </w:tc>
        <w:tc>
          <w:tcPr>
            <w:tcW w:w="1890" w:type="dxa"/>
            <w:tcBorders>
              <w:top w:val="nil"/>
              <w:bottom w:val="nil"/>
            </w:tcBorders>
            <w:vAlign w:val="center"/>
          </w:tcPr>
          <w:p w14:paraId="07478E4A"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14.7%</w:t>
            </w:r>
          </w:p>
        </w:tc>
        <w:tc>
          <w:tcPr>
            <w:tcW w:w="1890" w:type="dxa"/>
            <w:tcBorders>
              <w:top w:val="nil"/>
              <w:bottom w:val="nil"/>
            </w:tcBorders>
            <w:vAlign w:val="center"/>
          </w:tcPr>
          <w:p w14:paraId="5F2A59C3"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40.9%</w:t>
            </w:r>
          </w:p>
        </w:tc>
        <w:tc>
          <w:tcPr>
            <w:tcW w:w="1980" w:type="dxa"/>
            <w:tcBorders>
              <w:top w:val="nil"/>
              <w:bottom w:val="nil"/>
            </w:tcBorders>
            <w:vAlign w:val="center"/>
          </w:tcPr>
          <w:p w14:paraId="76C28679" w14:textId="77777777" w:rsidR="003A2E2B" w:rsidRPr="00CD2660" w:rsidRDefault="003A2E2B" w:rsidP="0015380F">
            <w:pPr>
              <w:jc w:val="center"/>
              <w:rPr>
                <w:rFonts w:ascii="Times New Roman" w:eastAsia="Calibri" w:hAnsi="Times New Roman" w:cs="Times New Roman"/>
                <w:highlight w:val="yellow"/>
                <w:vertAlign w:val="superscript"/>
              </w:rPr>
            </w:pPr>
          </w:p>
        </w:tc>
      </w:tr>
      <w:tr w:rsidR="00CD2660" w:rsidRPr="00CD2660" w14:paraId="5F66BF08" w14:textId="77777777" w:rsidTr="00AA1E9D">
        <w:trPr>
          <w:trHeight w:val="288"/>
        </w:trPr>
        <w:tc>
          <w:tcPr>
            <w:tcW w:w="3420" w:type="dxa"/>
            <w:tcBorders>
              <w:top w:val="nil"/>
              <w:bottom w:val="nil"/>
            </w:tcBorders>
            <w:vAlign w:val="center"/>
          </w:tcPr>
          <w:p w14:paraId="66E16BA0" w14:textId="77777777" w:rsidR="003A2E2B" w:rsidRPr="00CD2660" w:rsidRDefault="003A2E2B" w:rsidP="0015380F">
            <w:pPr>
              <w:ind w:left="703" w:hanging="362"/>
              <w:rPr>
                <w:rFonts w:ascii="Times New Roman" w:eastAsia="Calibri" w:hAnsi="Times New Roman" w:cs="Times New Roman"/>
              </w:rPr>
            </w:pPr>
            <w:r w:rsidRPr="00CD2660">
              <w:rPr>
                <w:rFonts w:ascii="Times New Roman" w:eastAsia="Calibri" w:hAnsi="Times New Roman" w:cs="Times New Roman"/>
              </w:rPr>
              <w:t xml:space="preserve">Native American or </w:t>
            </w:r>
            <w:r w:rsidRPr="00CD2660">
              <w:rPr>
                <w:rFonts w:ascii="Times New Roman" w:eastAsia="Calibri" w:hAnsi="Times New Roman" w:cs="Times New Roman"/>
              </w:rPr>
              <w:br/>
              <w:t>Alaskan Native</w:t>
            </w:r>
          </w:p>
        </w:tc>
        <w:tc>
          <w:tcPr>
            <w:tcW w:w="1890" w:type="dxa"/>
            <w:tcBorders>
              <w:top w:val="nil"/>
              <w:bottom w:val="nil"/>
            </w:tcBorders>
            <w:vAlign w:val="center"/>
          </w:tcPr>
          <w:p w14:paraId="70EAD534"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1.1%</w:t>
            </w:r>
          </w:p>
        </w:tc>
        <w:tc>
          <w:tcPr>
            <w:tcW w:w="1890" w:type="dxa"/>
            <w:tcBorders>
              <w:top w:val="nil"/>
              <w:bottom w:val="nil"/>
            </w:tcBorders>
            <w:vAlign w:val="center"/>
          </w:tcPr>
          <w:p w14:paraId="7C02244C"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0.0%</w:t>
            </w:r>
          </w:p>
        </w:tc>
        <w:tc>
          <w:tcPr>
            <w:tcW w:w="1980" w:type="dxa"/>
            <w:tcBorders>
              <w:top w:val="nil"/>
              <w:bottom w:val="nil"/>
            </w:tcBorders>
            <w:vAlign w:val="center"/>
          </w:tcPr>
          <w:p w14:paraId="793773EA" w14:textId="77777777" w:rsidR="003A2E2B" w:rsidRPr="00CD2660" w:rsidRDefault="003A2E2B" w:rsidP="0015380F">
            <w:pPr>
              <w:jc w:val="center"/>
              <w:rPr>
                <w:rFonts w:ascii="Times New Roman" w:eastAsia="Calibri" w:hAnsi="Times New Roman" w:cs="Times New Roman"/>
                <w:highlight w:val="yellow"/>
                <w:vertAlign w:val="superscript"/>
              </w:rPr>
            </w:pPr>
          </w:p>
        </w:tc>
      </w:tr>
      <w:tr w:rsidR="00CD2660" w:rsidRPr="00CD2660" w14:paraId="6176CDCD" w14:textId="77777777" w:rsidTr="00AA1E9D">
        <w:trPr>
          <w:trHeight w:val="288"/>
        </w:trPr>
        <w:tc>
          <w:tcPr>
            <w:tcW w:w="3420" w:type="dxa"/>
            <w:tcBorders>
              <w:top w:val="nil"/>
              <w:bottom w:val="nil"/>
            </w:tcBorders>
            <w:vAlign w:val="center"/>
          </w:tcPr>
          <w:p w14:paraId="03BB8CD2" w14:textId="77777777" w:rsidR="003A2E2B" w:rsidRPr="00CD2660" w:rsidRDefault="003A2E2B" w:rsidP="0015380F">
            <w:pPr>
              <w:ind w:left="703" w:hanging="362"/>
              <w:rPr>
                <w:rFonts w:ascii="Times New Roman" w:eastAsia="Calibri" w:hAnsi="Times New Roman" w:cs="Times New Roman"/>
              </w:rPr>
            </w:pPr>
            <w:r w:rsidRPr="00CD2660">
              <w:rPr>
                <w:rFonts w:ascii="Times New Roman" w:eastAsia="Calibri" w:hAnsi="Times New Roman" w:cs="Times New Roman"/>
              </w:rPr>
              <w:t xml:space="preserve">Multi-Racial/ </w:t>
            </w:r>
            <w:r w:rsidRPr="00CD2660">
              <w:rPr>
                <w:rFonts w:ascii="Times New Roman" w:eastAsia="Calibri" w:hAnsi="Times New Roman" w:cs="Times New Roman"/>
              </w:rPr>
              <w:br/>
              <w:t>Another Identity</w:t>
            </w:r>
          </w:p>
        </w:tc>
        <w:tc>
          <w:tcPr>
            <w:tcW w:w="1890" w:type="dxa"/>
            <w:tcBorders>
              <w:top w:val="nil"/>
              <w:bottom w:val="nil"/>
            </w:tcBorders>
            <w:vAlign w:val="center"/>
          </w:tcPr>
          <w:p w14:paraId="4D1611E1"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22.1%</w:t>
            </w:r>
          </w:p>
        </w:tc>
        <w:tc>
          <w:tcPr>
            <w:tcW w:w="1890" w:type="dxa"/>
            <w:tcBorders>
              <w:top w:val="nil"/>
              <w:bottom w:val="nil"/>
            </w:tcBorders>
            <w:vAlign w:val="center"/>
          </w:tcPr>
          <w:p w14:paraId="62B8CA6A"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13.6%</w:t>
            </w:r>
          </w:p>
        </w:tc>
        <w:tc>
          <w:tcPr>
            <w:tcW w:w="1980" w:type="dxa"/>
            <w:tcBorders>
              <w:top w:val="nil"/>
              <w:bottom w:val="nil"/>
            </w:tcBorders>
            <w:vAlign w:val="center"/>
          </w:tcPr>
          <w:p w14:paraId="663A3101" w14:textId="77777777" w:rsidR="003A2E2B" w:rsidRPr="00CD2660" w:rsidRDefault="003A2E2B" w:rsidP="0015380F">
            <w:pPr>
              <w:jc w:val="center"/>
              <w:rPr>
                <w:rFonts w:ascii="Times New Roman" w:eastAsia="Calibri" w:hAnsi="Times New Roman" w:cs="Times New Roman"/>
                <w:highlight w:val="yellow"/>
                <w:vertAlign w:val="superscript"/>
              </w:rPr>
            </w:pPr>
          </w:p>
        </w:tc>
      </w:tr>
      <w:tr w:rsidR="00CD2660" w:rsidRPr="00CD2660" w14:paraId="47943566" w14:textId="77777777" w:rsidTr="00AA1E9D">
        <w:trPr>
          <w:trHeight w:val="432"/>
        </w:trPr>
        <w:tc>
          <w:tcPr>
            <w:tcW w:w="3420" w:type="dxa"/>
            <w:tcBorders>
              <w:top w:val="single" w:sz="4" w:space="0" w:color="auto"/>
              <w:bottom w:val="single" w:sz="4" w:space="0" w:color="auto"/>
            </w:tcBorders>
            <w:vAlign w:val="center"/>
          </w:tcPr>
          <w:p w14:paraId="25C21488" w14:textId="77777777" w:rsidR="003A2E2B" w:rsidRPr="00CD2660" w:rsidRDefault="003A2E2B" w:rsidP="0015380F">
            <w:pPr>
              <w:rPr>
                <w:rFonts w:ascii="Times New Roman" w:eastAsia="Calibri" w:hAnsi="Times New Roman" w:cs="Times New Roman"/>
              </w:rPr>
            </w:pPr>
            <w:r w:rsidRPr="00CD2660">
              <w:rPr>
                <w:rFonts w:ascii="Times New Roman" w:eastAsia="Calibri" w:hAnsi="Times New Roman" w:cs="Times New Roman"/>
              </w:rPr>
              <w:t>Clinical Characteristics</w:t>
            </w:r>
          </w:p>
        </w:tc>
        <w:tc>
          <w:tcPr>
            <w:tcW w:w="1890" w:type="dxa"/>
            <w:tcBorders>
              <w:top w:val="single" w:sz="4" w:space="0" w:color="auto"/>
              <w:bottom w:val="single" w:sz="4" w:space="0" w:color="auto"/>
            </w:tcBorders>
            <w:vAlign w:val="center"/>
          </w:tcPr>
          <w:p w14:paraId="219A5DD4" w14:textId="77777777" w:rsidR="003A2E2B" w:rsidRPr="00CD2660" w:rsidRDefault="003A2E2B" w:rsidP="0015380F">
            <w:pPr>
              <w:jc w:val="center"/>
              <w:rPr>
                <w:rFonts w:ascii="Times New Roman" w:eastAsia="Calibri" w:hAnsi="Times New Roman" w:cs="Times New Roman"/>
                <w:highlight w:val="yellow"/>
              </w:rPr>
            </w:pPr>
          </w:p>
        </w:tc>
        <w:tc>
          <w:tcPr>
            <w:tcW w:w="1890" w:type="dxa"/>
            <w:tcBorders>
              <w:top w:val="single" w:sz="4" w:space="0" w:color="auto"/>
              <w:bottom w:val="single" w:sz="4" w:space="0" w:color="auto"/>
            </w:tcBorders>
            <w:vAlign w:val="center"/>
          </w:tcPr>
          <w:p w14:paraId="3A0E5F3D" w14:textId="77777777" w:rsidR="003A2E2B" w:rsidRPr="00CD2660" w:rsidRDefault="003A2E2B" w:rsidP="0015380F">
            <w:pPr>
              <w:jc w:val="center"/>
              <w:rPr>
                <w:rFonts w:ascii="Times New Roman" w:eastAsia="Calibri" w:hAnsi="Times New Roman" w:cs="Times New Roman"/>
              </w:rPr>
            </w:pPr>
          </w:p>
        </w:tc>
        <w:tc>
          <w:tcPr>
            <w:tcW w:w="1980" w:type="dxa"/>
            <w:tcBorders>
              <w:top w:val="single" w:sz="4" w:space="0" w:color="auto"/>
              <w:bottom w:val="single" w:sz="4" w:space="0" w:color="auto"/>
            </w:tcBorders>
            <w:vAlign w:val="center"/>
          </w:tcPr>
          <w:p w14:paraId="54687D1A" w14:textId="77777777" w:rsidR="003A2E2B" w:rsidRPr="00CD2660" w:rsidRDefault="003A2E2B" w:rsidP="0015380F">
            <w:pPr>
              <w:jc w:val="center"/>
              <w:rPr>
                <w:rFonts w:ascii="Times New Roman" w:eastAsia="Calibri" w:hAnsi="Times New Roman" w:cs="Times New Roman"/>
                <w:highlight w:val="yellow"/>
              </w:rPr>
            </w:pPr>
          </w:p>
        </w:tc>
      </w:tr>
      <w:tr w:rsidR="00CD2660" w:rsidRPr="00CD2660" w14:paraId="57A09936" w14:textId="77777777" w:rsidTr="00AA1E9D">
        <w:trPr>
          <w:trHeight w:val="288"/>
        </w:trPr>
        <w:tc>
          <w:tcPr>
            <w:tcW w:w="3420" w:type="dxa"/>
            <w:tcBorders>
              <w:top w:val="single" w:sz="4" w:space="0" w:color="auto"/>
              <w:bottom w:val="nil"/>
            </w:tcBorders>
            <w:vAlign w:val="center"/>
          </w:tcPr>
          <w:p w14:paraId="1BD15390" w14:textId="77777777" w:rsidR="003A2E2B" w:rsidRPr="00CD2660" w:rsidRDefault="003A2E2B" w:rsidP="0015380F">
            <w:pPr>
              <w:ind w:left="161"/>
              <w:rPr>
                <w:rFonts w:ascii="Times New Roman" w:eastAsia="Calibri" w:hAnsi="Times New Roman" w:cs="Times New Roman"/>
              </w:rPr>
            </w:pPr>
            <w:r w:rsidRPr="00CD2660">
              <w:rPr>
                <w:rFonts w:ascii="Times New Roman" w:eastAsia="Calibri" w:hAnsi="Times New Roman" w:cs="Times New Roman"/>
              </w:rPr>
              <w:t>Assigned Treatment</w:t>
            </w:r>
          </w:p>
        </w:tc>
        <w:tc>
          <w:tcPr>
            <w:tcW w:w="1890" w:type="dxa"/>
            <w:tcBorders>
              <w:top w:val="single" w:sz="4" w:space="0" w:color="auto"/>
              <w:bottom w:val="nil"/>
            </w:tcBorders>
            <w:vAlign w:val="center"/>
          </w:tcPr>
          <w:p w14:paraId="487F760E" w14:textId="77777777" w:rsidR="003A2E2B" w:rsidRPr="00CD2660" w:rsidRDefault="003A2E2B" w:rsidP="0015380F">
            <w:pPr>
              <w:jc w:val="center"/>
              <w:rPr>
                <w:rFonts w:ascii="Times New Roman" w:eastAsia="Calibri" w:hAnsi="Times New Roman" w:cs="Times New Roman"/>
                <w:highlight w:val="yellow"/>
              </w:rPr>
            </w:pPr>
          </w:p>
        </w:tc>
        <w:tc>
          <w:tcPr>
            <w:tcW w:w="1890" w:type="dxa"/>
            <w:tcBorders>
              <w:top w:val="single" w:sz="4" w:space="0" w:color="auto"/>
              <w:bottom w:val="nil"/>
            </w:tcBorders>
            <w:vAlign w:val="center"/>
          </w:tcPr>
          <w:p w14:paraId="5CE0E082" w14:textId="77777777" w:rsidR="003A2E2B" w:rsidRPr="00CD2660" w:rsidRDefault="003A2E2B" w:rsidP="0015380F">
            <w:pPr>
              <w:jc w:val="center"/>
              <w:rPr>
                <w:rFonts w:ascii="Times New Roman" w:eastAsia="Calibri" w:hAnsi="Times New Roman" w:cs="Times New Roman"/>
              </w:rPr>
            </w:pPr>
          </w:p>
        </w:tc>
        <w:tc>
          <w:tcPr>
            <w:tcW w:w="1980" w:type="dxa"/>
            <w:tcBorders>
              <w:top w:val="single" w:sz="4" w:space="0" w:color="auto"/>
              <w:bottom w:val="nil"/>
            </w:tcBorders>
            <w:vAlign w:val="center"/>
          </w:tcPr>
          <w:p w14:paraId="3A11CADF"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sym w:font="Symbol" w:char="F063"/>
            </w:r>
            <w:r w:rsidRPr="00CD2660">
              <w:rPr>
                <w:rFonts w:ascii="Times New Roman" w:eastAsia="Calibri" w:hAnsi="Times New Roman" w:cs="Times New Roman"/>
                <w:vertAlign w:val="superscript"/>
              </w:rPr>
              <w:t xml:space="preserve">2 </w:t>
            </w:r>
            <w:proofErr w:type="gramStart"/>
            <w:r w:rsidRPr="00CD2660">
              <w:rPr>
                <w:rFonts w:ascii="Times New Roman" w:eastAsia="Calibri" w:hAnsi="Times New Roman" w:cs="Times New Roman"/>
                <w:vertAlign w:val="superscript"/>
              </w:rPr>
              <w:t>=</w:t>
            </w:r>
            <w:r w:rsidRPr="00CD2660">
              <w:rPr>
                <w:rFonts w:ascii="Times New Roman" w:eastAsia="Calibri" w:hAnsi="Times New Roman" w:cs="Times New Roman"/>
              </w:rPr>
              <w:t xml:space="preserve">  0.49</w:t>
            </w:r>
            <w:proofErr w:type="gramEnd"/>
            <w:r w:rsidRPr="00CD2660">
              <w:rPr>
                <w:rFonts w:ascii="Times New Roman" w:eastAsia="Calibri" w:hAnsi="Times New Roman" w:cs="Times New Roman"/>
              </w:rPr>
              <w:t>, p = .49</w:t>
            </w:r>
          </w:p>
        </w:tc>
      </w:tr>
      <w:tr w:rsidR="00CD2660" w:rsidRPr="00CD2660" w14:paraId="4116F3EE" w14:textId="77777777" w:rsidTr="00AA1E9D">
        <w:trPr>
          <w:trHeight w:val="288"/>
        </w:trPr>
        <w:tc>
          <w:tcPr>
            <w:tcW w:w="3420" w:type="dxa"/>
            <w:tcBorders>
              <w:top w:val="nil"/>
              <w:bottom w:val="nil"/>
            </w:tcBorders>
            <w:vAlign w:val="center"/>
          </w:tcPr>
          <w:p w14:paraId="4722A268"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CBT</w:t>
            </w:r>
          </w:p>
        </w:tc>
        <w:tc>
          <w:tcPr>
            <w:tcW w:w="1890" w:type="dxa"/>
            <w:tcBorders>
              <w:top w:val="nil"/>
              <w:bottom w:val="nil"/>
            </w:tcBorders>
            <w:vAlign w:val="center"/>
          </w:tcPr>
          <w:p w14:paraId="16BD37F1"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53.7%</w:t>
            </w:r>
          </w:p>
        </w:tc>
        <w:tc>
          <w:tcPr>
            <w:tcW w:w="1890" w:type="dxa"/>
            <w:tcBorders>
              <w:top w:val="nil"/>
              <w:bottom w:val="nil"/>
            </w:tcBorders>
            <w:shd w:val="clear" w:color="auto" w:fill="auto"/>
            <w:vAlign w:val="center"/>
          </w:tcPr>
          <w:p w14:paraId="7417C8F4"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45.5%</w:t>
            </w:r>
          </w:p>
        </w:tc>
        <w:tc>
          <w:tcPr>
            <w:tcW w:w="1980" w:type="dxa"/>
            <w:tcBorders>
              <w:top w:val="nil"/>
              <w:bottom w:val="nil"/>
            </w:tcBorders>
            <w:vAlign w:val="center"/>
          </w:tcPr>
          <w:p w14:paraId="4F851F84" w14:textId="77777777" w:rsidR="003A2E2B" w:rsidRPr="00CD2660" w:rsidRDefault="003A2E2B" w:rsidP="0015380F">
            <w:pPr>
              <w:jc w:val="center"/>
              <w:rPr>
                <w:rFonts w:ascii="Times New Roman" w:eastAsia="Calibri" w:hAnsi="Times New Roman" w:cs="Times New Roman"/>
                <w:highlight w:val="yellow"/>
              </w:rPr>
            </w:pPr>
          </w:p>
        </w:tc>
      </w:tr>
      <w:tr w:rsidR="00CD2660" w:rsidRPr="00CD2660" w14:paraId="1D3DA40B" w14:textId="77777777" w:rsidTr="00AA1E9D">
        <w:trPr>
          <w:trHeight w:val="288"/>
        </w:trPr>
        <w:tc>
          <w:tcPr>
            <w:tcW w:w="3420" w:type="dxa"/>
            <w:tcBorders>
              <w:top w:val="nil"/>
              <w:bottom w:val="nil"/>
            </w:tcBorders>
            <w:vAlign w:val="center"/>
          </w:tcPr>
          <w:p w14:paraId="2898B74C"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ST</w:t>
            </w:r>
          </w:p>
        </w:tc>
        <w:tc>
          <w:tcPr>
            <w:tcW w:w="1890" w:type="dxa"/>
            <w:tcBorders>
              <w:top w:val="nil"/>
              <w:bottom w:val="nil"/>
            </w:tcBorders>
            <w:vAlign w:val="center"/>
          </w:tcPr>
          <w:p w14:paraId="05BC9D2E"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46.3%</w:t>
            </w:r>
          </w:p>
        </w:tc>
        <w:tc>
          <w:tcPr>
            <w:tcW w:w="1890" w:type="dxa"/>
            <w:tcBorders>
              <w:top w:val="nil"/>
              <w:bottom w:val="nil"/>
            </w:tcBorders>
            <w:vAlign w:val="center"/>
          </w:tcPr>
          <w:p w14:paraId="2FE69486"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54.5%</w:t>
            </w:r>
          </w:p>
        </w:tc>
        <w:tc>
          <w:tcPr>
            <w:tcW w:w="1980" w:type="dxa"/>
            <w:tcBorders>
              <w:top w:val="nil"/>
              <w:bottom w:val="nil"/>
            </w:tcBorders>
            <w:vAlign w:val="center"/>
          </w:tcPr>
          <w:p w14:paraId="3BDCB5F7" w14:textId="77777777" w:rsidR="003A2E2B" w:rsidRPr="00CD2660" w:rsidRDefault="003A2E2B" w:rsidP="0015380F">
            <w:pPr>
              <w:jc w:val="center"/>
              <w:rPr>
                <w:rFonts w:ascii="Times New Roman" w:eastAsia="Calibri" w:hAnsi="Times New Roman" w:cs="Times New Roman"/>
                <w:highlight w:val="yellow"/>
              </w:rPr>
            </w:pPr>
          </w:p>
        </w:tc>
      </w:tr>
      <w:tr w:rsidR="00CD2660" w:rsidRPr="00CD2660" w14:paraId="2E400E57" w14:textId="77777777" w:rsidTr="00AA1E9D">
        <w:trPr>
          <w:trHeight w:val="288"/>
        </w:trPr>
        <w:tc>
          <w:tcPr>
            <w:tcW w:w="3420" w:type="dxa"/>
            <w:tcBorders>
              <w:top w:val="nil"/>
              <w:bottom w:val="nil"/>
            </w:tcBorders>
            <w:vAlign w:val="center"/>
          </w:tcPr>
          <w:p w14:paraId="60CAEF45" w14:textId="77777777" w:rsidR="003A2E2B" w:rsidRPr="00CD2660" w:rsidRDefault="003A2E2B" w:rsidP="0015380F">
            <w:pPr>
              <w:ind w:left="161"/>
              <w:rPr>
                <w:rFonts w:ascii="Times New Roman" w:eastAsia="Calibri" w:hAnsi="Times New Roman" w:cs="Times New Roman"/>
              </w:rPr>
            </w:pPr>
            <w:r w:rsidRPr="00CD2660">
              <w:rPr>
                <w:rFonts w:ascii="Times New Roman" w:eastAsia="Calibri" w:hAnsi="Times New Roman" w:cs="Times New Roman"/>
              </w:rPr>
              <w:t>Diagnosis</w:t>
            </w:r>
          </w:p>
        </w:tc>
        <w:tc>
          <w:tcPr>
            <w:tcW w:w="1890" w:type="dxa"/>
            <w:tcBorders>
              <w:top w:val="nil"/>
              <w:bottom w:val="nil"/>
            </w:tcBorders>
            <w:vAlign w:val="center"/>
          </w:tcPr>
          <w:p w14:paraId="644A0986" w14:textId="77777777" w:rsidR="003A2E2B" w:rsidRPr="00CD2660" w:rsidRDefault="003A2E2B" w:rsidP="0015380F">
            <w:pPr>
              <w:jc w:val="center"/>
              <w:rPr>
                <w:rFonts w:ascii="Times New Roman" w:eastAsia="Calibri" w:hAnsi="Times New Roman" w:cs="Times New Roman"/>
                <w:highlight w:val="yellow"/>
              </w:rPr>
            </w:pPr>
          </w:p>
        </w:tc>
        <w:tc>
          <w:tcPr>
            <w:tcW w:w="1890" w:type="dxa"/>
            <w:tcBorders>
              <w:top w:val="nil"/>
              <w:bottom w:val="nil"/>
            </w:tcBorders>
            <w:vAlign w:val="center"/>
          </w:tcPr>
          <w:p w14:paraId="075C4342" w14:textId="77777777" w:rsidR="003A2E2B" w:rsidRPr="00CD2660" w:rsidRDefault="003A2E2B" w:rsidP="0015380F">
            <w:pPr>
              <w:jc w:val="center"/>
              <w:rPr>
                <w:rFonts w:ascii="Times New Roman" w:eastAsia="Calibri" w:hAnsi="Times New Roman" w:cs="Times New Roman"/>
                <w:highlight w:val="yellow"/>
              </w:rPr>
            </w:pPr>
          </w:p>
        </w:tc>
        <w:tc>
          <w:tcPr>
            <w:tcW w:w="1980" w:type="dxa"/>
            <w:tcBorders>
              <w:top w:val="nil"/>
              <w:bottom w:val="nil"/>
            </w:tcBorders>
            <w:vAlign w:val="center"/>
          </w:tcPr>
          <w:p w14:paraId="798CEBD4"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sym w:font="Symbol" w:char="F063"/>
            </w:r>
            <w:r w:rsidRPr="00CD2660">
              <w:rPr>
                <w:rFonts w:ascii="Times New Roman" w:eastAsia="Calibri" w:hAnsi="Times New Roman" w:cs="Times New Roman"/>
                <w:vertAlign w:val="superscript"/>
              </w:rPr>
              <w:t>2</w:t>
            </w:r>
            <w:r w:rsidRPr="00CD2660">
              <w:rPr>
                <w:rFonts w:ascii="Times New Roman" w:eastAsia="Calibri" w:hAnsi="Times New Roman" w:cs="Times New Roman"/>
              </w:rPr>
              <w:t xml:space="preserve"> = 1.89, p = .17</w:t>
            </w:r>
          </w:p>
        </w:tc>
      </w:tr>
      <w:tr w:rsidR="00CD2660" w:rsidRPr="00CD2660" w14:paraId="1163238A" w14:textId="77777777" w:rsidTr="00AA1E9D">
        <w:trPr>
          <w:trHeight w:val="288"/>
        </w:trPr>
        <w:tc>
          <w:tcPr>
            <w:tcW w:w="3420" w:type="dxa"/>
            <w:tcBorders>
              <w:top w:val="nil"/>
              <w:bottom w:val="nil"/>
            </w:tcBorders>
            <w:vAlign w:val="center"/>
          </w:tcPr>
          <w:p w14:paraId="6A72EFDA"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SAD</w:t>
            </w:r>
          </w:p>
        </w:tc>
        <w:tc>
          <w:tcPr>
            <w:tcW w:w="1890" w:type="dxa"/>
            <w:tcBorders>
              <w:top w:val="nil"/>
              <w:bottom w:val="nil"/>
            </w:tcBorders>
            <w:vAlign w:val="center"/>
          </w:tcPr>
          <w:p w14:paraId="56686CA3"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47.4%</w:t>
            </w:r>
          </w:p>
        </w:tc>
        <w:tc>
          <w:tcPr>
            <w:tcW w:w="1890" w:type="dxa"/>
            <w:tcBorders>
              <w:top w:val="nil"/>
              <w:bottom w:val="nil"/>
            </w:tcBorders>
            <w:vAlign w:val="center"/>
          </w:tcPr>
          <w:p w14:paraId="7F1C9F60"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63.6%</w:t>
            </w:r>
          </w:p>
        </w:tc>
        <w:tc>
          <w:tcPr>
            <w:tcW w:w="1980" w:type="dxa"/>
            <w:tcBorders>
              <w:top w:val="nil"/>
              <w:bottom w:val="nil"/>
            </w:tcBorders>
            <w:vAlign w:val="center"/>
          </w:tcPr>
          <w:p w14:paraId="081B10E0" w14:textId="77777777" w:rsidR="003A2E2B" w:rsidRPr="00CD2660" w:rsidRDefault="003A2E2B" w:rsidP="0015380F">
            <w:pPr>
              <w:jc w:val="center"/>
              <w:rPr>
                <w:rFonts w:ascii="Times New Roman" w:eastAsia="Calibri" w:hAnsi="Times New Roman" w:cs="Times New Roman"/>
                <w:highlight w:val="yellow"/>
              </w:rPr>
            </w:pPr>
          </w:p>
        </w:tc>
      </w:tr>
      <w:tr w:rsidR="00CD2660" w:rsidRPr="00CD2660" w14:paraId="2DDD947D" w14:textId="77777777" w:rsidTr="00AA1E9D">
        <w:trPr>
          <w:trHeight w:val="288"/>
        </w:trPr>
        <w:tc>
          <w:tcPr>
            <w:tcW w:w="3420" w:type="dxa"/>
            <w:tcBorders>
              <w:top w:val="nil"/>
              <w:bottom w:val="nil"/>
            </w:tcBorders>
            <w:vAlign w:val="center"/>
          </w:tcPr>
          <w:p w14:paraId="23572785"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MDD</w:t>
            </w:r>
          </w:p>
        </w:tc>
        <w:tc>
          <w:tcPr>
            <w:tcW w:w="1890" w:type="dxa"/>
            <w:tcBorders>
              <w:top w:val="nil"/>
              <w:bottom w:val="nil"/>
            </w:tcBorders>
            <w:vAlign w:val="center"/>
          </w:tcPr>
          <w:p w14:paraId="6193F09B"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52.6%</w:t>
            </w:r>
          </w:p>
        </w:tc>
        <w:tc>
          <w:tcPr>
            <w:tcW w:w="1890" w:type="dxa"/>
            <w:tcBorders>
              <w:top w:val="nil"/>
              <w:bottom w:val="nil"/>
            </w:tcBorders>
            <w:vAlign w:val="center"/>
          </w:tcPr>
          <w:p w14:paraId="03825B9B"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36.4%</w:t>
            </w:r>
          </w:p>
        </w:tc>
        <w:tc>
          <w:tcPr>
            <w:tcW w:w="1980" w:type="dxa"/>
            <w:tcBorders>
              <w:top w:val="nil"/>
              <w:bottom w:val="nil"/>
            </w:tcBorders>
            <w:vAlign w:val="center"/>
          </w:tcPr>
          <w:p w14:paraId="3B00EF00" w14:textId="77777777" w:rsidR="003A2E2B" w:rsidRPr="00CD2660" w:rsidRDefault="003A2E2B" w:rsidP="0015380F">
            <w:pPr>
              <w:jc w:val="center"/>
              <w:rPr>
                <w:rFonts w:ascii="Times New Roman" w:eastAsia="Calibri" w:hAnsi="Times New Roman" w:cs="Times New Roman"/>
                <w:highlight w:val="yellow"/>
              </w:rPr>
            </w:pPr>
          </w:p>
        </w:tc>
      </w:tr>
      <w:tr w:rsidR="00CD2660" w:rsidRPr="00CD2660" w14:paraId="45D1EB74" w14:textId="77777777" w:rsidTr="00AA1E9D">
        <w:trPr>
          <w:trHeight w:val="288"/>
        </w:trPr>
        <w:tc>
          <w:tcPr>
            <w:tcW w:w="3420" w:type="dxa"/>
            <w:tcBorders>
              <w:top w:val="nil"/>
              <w:bottom w:val="nil"/>
            </w:tcBorders>
            <w:vAlign w:val="center"/>
          </w:tcPr>
          <w:p w14:paraId="28964FCF" w14:textId="77777777" w:rsidR="003A2E2B" w:rsidRPr="00CD2660" w:rsidRDefault="003A2E2B" w:rsidP="0015380F">
            <w:pPr>
              <w:ind w:left="161"/>
              <w:rPr>
                <w:rFonts w:ascii="Times New Roman" w:eastAsia="Calibri" w:hAnsi="Times New Roman" w:cs="Times New Roman"/>
              </w:rPr>
            </w:pPr>
            <w:r w:rsidRPr="00CD2660">
              <w:rPr>
                <w:rFonts w:ascii="Times New Roman" w:eastAsia="Calibri" w:hAnsi="Times New Roman" w:cs="Times New Roman"/>
              </w:rPr>
              <w:t>Baseline Clinical Measures</w:t>
            </w:r>
          </w:p>
        </w:tc>
        <w:tc>
          <w:tcPr>
            <w:tcW w:w="1890" w:type="dxa"/>
            <w:tcBorders>
              <w:top w:val="nil"/>
              <w:bottom w:val="nil"/>
            </w:tcBorders>
            <w:vAlign w:val="center"/>
          </w:tcPr>
          <w:p w14:paraId="29808E38" w14:textId="77777777" w:rsidR="003A2E2B" w:rsidRPr="00CD2660" w:rsidRDefault="003A2E2B" w:rsidP="0015380F">
            <w:pPr>
              <w:jc w:val="center"/>
              <w:rPr>
                <w:rFonts w:ascii="Times New Roman" w:eastAsia="Calibri" w:hAnsi="Times New Roman" w:cs="Times New Roman"/>
                <w:highlight w:val="yellow"/>
              </w:rPr>
            </w:pPr>
          </w:p>
        </w:tc>
        <w:tc>
          <w:tcPr>
            <w:tcW w:w="1890" w:type="dxa"/>
            <w:tcBorders>
              <w:top w:val="nil"/>
              <w:bottom w:val="nil"/>
            </w:tcBorders>
            <w:vAlign w:val="center"/>
          </w:tcPr>
          <w:p w14:paraId="43DCC1E6" w14:textId="77777777" w:rsidR="003A2E2B" w:rsidRPr="00CD2660" w:rsidRDefault="003A2E2B" w:rsidP="0015380F">
            <w:pPr>
              <w:jc w:val="center"/>
              <w:rPr>
                <w:rFonts w:ascii="Times New Roman" w:eastAsia="Calibri" w:hAnsi="Times New Roman" w:cs="Times New Roman"/>
                <w:highlight w:val="yellow"/>
              </w:rPr>
            </w:pPr>
          </w:p>
        </w:tc>
        <w:tc>
          <w:tcPr>
            <w:tcW w:w="1980" w:type="dxa"/>
            <w:tcBorders>
              <w:top w:val="nil"/>
              <w:bottom w:val="nil"/>
            </w:tcBorders>
            <w:vAlign w:val="center"/>
          </w:tcPr>
          <w:p w14:paraId="0707804E" w14:textId="77777777" w:rsidR="003A2E2B" w:rsidRPr="00CD2660" w:rsidRDefault="003A2E2B" w:rsidP="0015380F">
            <w:pPr>
              <w:jc w:val="center"/>
              <w:rPr>
                <w:rFonts w:ascii="Times New Roman" w:eastAsia="Calibri" w:hAnsi="Times New Roman" w:cs="Times New Roman"/>
                <w:highlight w:val="yellow"/>
              </w:rPr>
            </w:pPr>
          </w:p>
        </w:tc>
      </w:tr>
      <w:tr w:rsidR="00CD2660" w:rsidRPr="00CD2660" w14:paraId="24174507" w14:textId="77777777" w:rsidTr="00AA1E9D">
        <w:trPr>
          <w:trHeight w:val="288"/>
        </w:trPr>
        <w:tc>
          <w:tcPr>
            <w:tcW w:w="3420" w:type="dxa"/>
            <w:vAlign w:val="center"/>
          </w:tcPr>
          <w:p w14:paraId="2142A70C" w14:textId="77777777" w:rsidR="003A2E2B" w:rsidRPr="00CD2660" w:rsidRDefault="003A2E2B" w:rsidP="0015380F">
            <w:pPr>
              <w:ind w:left="706" w:hanging="365"/>
              <w:rPr>
                <w:rFonts w:ascii="Times New Roman" w:eastAsia="Calibri" w:hAnsi="Times New Roman" w:cs="Times New Roman"/>
              </w:rPr>
            </w:pPr>
            <w:r w:rsidRPr="00CD2660">
              <w:rPr>
                <w:rFonts w:ascii="Times New Roman" w:eastAsia="Calibri" w:hAnsi="Times New Roman" w:cs="Times New Roman"/>
              </w:rPr>
              <w:t>HAMD</w:t>
            </w:r>
          </w:p>
        </w:tc>
        <w:tc>
          <w:tcPr>
            <w:tcW w:w="1890" w:type="dxa"/>
            <w:vAlign w:val="center"/>
          </w:tcPr>
          <w:p w14:paraId="150F2C09"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11.74 (4.98)</w:t>
            </w:r>
          </w:p>
        </w:tc>
        <w:tc>
          <w:tcPr>
            <w:tcW w:w="1890" w:type="dxa"/>
            <w:vAlign w:val="center"/>
          </w:tcPr>
          <w:p w14:paraId="02192359"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9.86 (5.97)</w:t>
            </w:r>
          </w:p>
        </w:tc>
        <w:tc>
          <w:tcPr>
            <w:tcW w:w="1980" w:type="dxa"/>
            <w:vAlign w:val="center"/>
          </w:tcPr>
          <w:p w14:paraId="196DCB27"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t = -1.53, p = .13</w:t>
            </w:r>
          </w:p>
        </w:tc>
      </w:tr>
      <w:tr w:rsidR="00CD2660" w:rsidRPr="00CD2660" w14:paraId="3FCFE80F" w14:textId="77777777" w:rsidTr="00AA1E9D">
        <w:trPr>
          <w:trHeight w:val="288"/>
        </w:trPr>
        <w:tc>
          <w:tcPr>
            <w:tcW w:w="3420" w:type="dxa"/>
            <w:vAlign w:val="center"/>
          </w:tcPr>
          <w:p w14:paraId="2BBFEE51" w14:textId="77777777" w:rsidR="003A2E2B" w:rsidRPr="00CD2660" w:rsidRDefault="003A2E2B" w:rsidP="0015380F">
            <w:pPr>
              <w:ind w:left="706" w:hanging="365"/>
              <w:rPr>
                <w:rFonts w:ascii="Times New Roman" w:eastAsia="Calibri" w:hAnsi="Times New Roman" w:cs="Times New Roman"/>
              </w:rPr>
            </w:pPr>
            <w:r w:rsidRPr="00CD2660">
              <w:rPr>
                <w:rFonts w:ascii="Times New Roman" w:eastAsia="Calibri" w:hAnsi="Times New Roman" w:cs="Times New Roman"/>
              </w:rPr>
              <w:t>LSAS</w:t>
            </w:r>
          </w:p>
        </w:tc>
        <w:tc>
          <w:tcPr>
            <w:tcW w:w="1890" w:type="dxa"/>
            <w:vAlign w:val="center"/>
          </w:tcPr>
          <w:p w14:paraId="7D266BEB"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57.93 (29.61)</w:t>
            </w:r>
          </w:p>
        </w:tc>
        <w:tc>
          <w:tcPr>
            <w:tcW w:w="1890" w:type="dxa"/>
            <w:vAlign w:val="center"/>
          </w:tcPr>
          <w:p w14:paraId="4607160D"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71.64 (26.81)</w:t>
            </w:r>
          </w:p>
        </w:tc>
        <w:tc>
          <w:tcPr>
            <w:tcW w:w="1980" w:type="dxa"/>
            <w:vAlign w:val="center"/>
          </w:tcPr>
          <w:p w14:paraId="18E5B7FB"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t = 1.99, p = .049</w:t>
            </w:r>
          </w:p>
        </w:tc>
      </w:tr>
      <w:tr w:rsidR="00CD2660" w:rsidRPr="00CD2660" w14:paraId="0F8EAA02" w14:textId="77777777" w:rsidTr="000E7B2A">
        <w:trPr>
          <w:trHeight w:val="288"/>
        </w:trPr>
        <w:tc>
          <w:tcPr>
            <w:tcW w:w="3420" w:type="dxa"/>
            <w:vAlign w:val="center"/>
          </w:tcPr>
          <w:p w14:paraId="2606530E" w14:textId="77777777" w:rsidR="003A2E2B" w:rsidRPr="00CD2660" w:rsidRDefault="003A2E2B" w:rsidP="000E7B2A">
            <w:pPr>
              <w:ind w:left="706" w:hanging="365"/>
              <w:rPr>
                <w:rFonts w:ascii="Times New Roman" w:eastAsia="Calibri" w:hAnsi="Times New Roman" w:cs="Times New Roman"/>
              </w:rPr>
            </w:pPr>
            <w:r w:rsidRPr="00CD2660">
              <w:rPr>
                <w:rFonts w:ascii="Times New Roman" w:eastAsia="Calibri" w:hAnsi="Times New Roman" w:cs="Times New Roman"/>
              </w:rPr>
              <w:t>Composite Symptoms</w:t>
            </w:r>
          </w:p>
        </w:tc>
        <w:tc>
          <w:tcPr>
            <w:tcW w:w="1890" w:type="dxa"/>
            <w:vAlign w:val="center"/>
          </w:tcPr>
          <w:p w14:paraId="5BACFE20" w14:textId="77777777" w:rsidR="003A2E2B" w:rsidRPr="00CD2660" w:rsidRDefault="003A2E2B" w:rsidP="000E7B2A">
            <w:pPr>
              <w:jc w:val="center"/>
              <w:rPr>
                <w:rFonts w:ascii="Times New Roman" w:eastAsia="Calibri" w:hAnsi="Times New Roman" w:cs="Times New Roman"/>
              </w:rPr>
            </w:pPr>
            <w:r w:rsidRPr="00CD2660">
              <w:rPr>
                <w:rFonts w:ascii="Times New Roman" w:eastAsia="Calibri" w:hAnsi="Times New Roman" w:cs="Times New Roman"/>
              </w:rPr>
              <w:t>0.91 (0.26)</w:t>
            </w:r>
          </w:p>
        </w:tc>
        <w:tc>
          <w:tcPr>
            <w:tcW w:w="1890" w:type="dxa"/>
            <w:vAlign w:val="center"/>
          </w:tcPr>
          <w:p w14:paraId="169DFAC1" w14:textId="77777777" w:rsidR="003A2E2B" w:rsidRPr="00CD2660" w:rsidRDefault="003A2E2B" w:rsidP="000E7B2A">
            <w:pPr>
              <w:jc w:val="center"/>
              <w:rPr>
                <w:rFonts w:ascii="Times New Roman" w:eastAsia="Calibri" w:hAnsi="Times New Roman" w:cs="Times New Roman"/>
              </w:rPr>
            </w:pPr>
            <w:r w:rsidRPr="00CD2660">
              <w:rPr>
                <w:rFonts w:ascii="Times New Roman" w:eastAsia="Calibri" w:hAnsi="Times New Roman" w:cs="Times New Roman"/>
              </w:rPr>
              <w:t>0.94 (0.20)</w:t>
            </w:r>
          </w:p>
        </w:tc>
        <w:tc>
          <w:tcPr>
            <w:tcW w:w="1980" w:type="dxa"/>
            <w:vAlign w:val="center"/>
          </w:tcPr>
          <w:p w14:paraId="45A96B85" w14:textId="77777777" w:rsidR="003A2E2B" w:rsidRPr="00CD2660" w:rsidRDefault="003A2E2B" w:rsidP="000E7B2A">
            <w:pPr>
              <w:jc w:val="center"/>
              <w:rPr>
                <w:rFonts w:ascii="Times New Roman" w:eastAsia="Calibri" w:hAnsi="Times New Roman" w:cs="Times New Roman"/>
              </w:rPr>
            </w:pPr>
            <w:r w:rsidRPr="00CD2660">
              <w:rPr>
                <w:rFonts w:ascii="Times New Roman" w:eastAsia="Calibri" w:hAnsi="Times New Roman" w:cs="Times New Roman"/>
              </w:rPr>
              <w:t>t = 0.50, p = .62</w:t>
            </w:r>
          </w:p>
        </w:tc>
      </w:tr>
      <w:tr w:rsidR="00CD2660" w:rsidRPr="00CD2660" w14:paraId="79D26D5E" w14:textId="77777777" w:rsidTr="00AA1E9D">
        <w:trPr>
          <w:trHeight w:val="288"/>
        </w:trPr>
        <w:tc>
          <w:tcPr>
            <w:tcW w:w="3420" w:type="dxa"/>
            <w:vAlign w:val="center"/>
          </w:tcPr>
          <w:p w14:paraId="6F1CB649" w14:textId="77777777" w:rsidR="003A2E2B" w:rsidRPr="00CD2660" w:rsidRDefault="003A2E2B" w:rsidP="0015380F">
            <w:pPr>
              <w:ind w:left="706" w:hanging="365"/>
              <w:rPr>
                <w:rFonts w:ascii="Times New Roman" w:eastAsia="Calibri" w:hAnsi="Times New Roman" w:cs="Times New Roman"/>
              </w:rPr>
            </w:pPr>
            <w:r w:rsidRPr="00CD2660">
              <w:rPr>
                <w:rFonts w:ascii="Times New Roman" w:eastAsia="Calibri" w:hAnsi="Times New Roman" w:cs="Times New Roman"/>
              </w:rPr>
              <w:t>Diagnosis-Specific Symptoms</w:t>
            </w:r>
          </w:p>
        </w:tc>
        <w:tc>
          <w:tcPr>
            <w:tcW w:w="1890" w:type="dxa"/>
            <w:vAlign w:val="center"/>
          </w:tcPr>
          <w:p w14:paraId="3B8A0B20"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0.59 (0.17)</w:t>
            </w:r>
          </w:p>
        </w:tc>
        <w:tc>
          <w:tcPr>
            <w:tcW w:w="1890" w:type="dxa"/>
            <w:vAlign w:val="center"/>
          </w:tcPr>
          <w:p w14:paraId="39D9A72A"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0.63 (0.18)</w:t>
            </w:r>
          </w:p>
        </w:tc>
        <w:tc>
          <w:tcPr>
            <w:tcW w:w="1980" w:type="dxa"/>
            <w:vAlign w:val="center"/>
          </w:tcPr>
          <w:p w14:paraId="6DEEB63E"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t = 1.15, p = .26</w:t>
            </w:r>
          </w:p>
        </w:tc>
      </w:tr>
      <w:tr w:rsidR="00CD2660" w:rsidRPr="00CD2660" w14:paraId="252CDCF9" w14:textId="77777777" w:rsidTr="00AA1E9D">
        <w:trPr>
          <w:trHeight w:val="288"/>
        </w:trPr>
        <w:tc>
          <w:tcPr>
            <w:tcW w:w="3420" w:type="dxa"/>
            <w:vAlign w:val="center"/>
          </w:tcPr>
          <w:p w14:paraId="18BAB14D" w14:textId="77777777" w:rsidR="003A2E2B" w:rsidRPr="00CD2660" w:rsidRDefault="003A2E2B" w:rsidP="0015380F">
            <w:pPr>
              <w:ind w:left="341"/>
              <w:rPr>
                <w:rFonts w:ascii="Times New Roman" w:eastAsia="Calibri" w:hAnsi="Times New Roman" w:cs="Times New Roman"/>
              </w:rPr>
            </w:pPr>
            <w:r w:rsidRPr="00CD2660">
              <w:rPr>
                <w:rFonts w:ascii="Times New Roman" w:eastAsia="Calibri" w:hAnsi="Times New Roman" w:cs="Times New Roman"/>
              </w:rPr>
              <w:t>Reappraisal</w:t>
            </w:r>
          </w:p>
        </w:tc>
        <w:tc>
          <w:tcPr>
            <w:tcW w:w="1890" w:type="dxa"/>
            <w:vAlign w:val="center"/>
          </w:tcPr>
          <w:p w14:paraId="4D309E14"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24.75 (6.32)</w:t>
            </w:r>
          </w:p>
        </w:tc>
        <w:tc>
          <w:tcPr>
            <w:tcW w:w="1890" w:type="dxa"/>
            <w:vAlign w:val="center"/>
          </w:tcPr>
          <w:p w14:paraId="5D2D4D90"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25.33 (8.82)</w:t>
            </w:r>
          </w:p>
        </w:tc>
        <w:tc>
          <w:tcPr>
            <w:tcW w:w="1980" w:type="dxa"/>
            <w:vAlign w:val="center"/>
          </w:tcPr>
          <w:p w14:paraId="2E058786" w14:textId="77777777" w:rsidR="003A2E2B" w:rsidRPr="00CD2660" w:rsidRDefault="003A2E2B" w:rsidP="0015380F">
            <w:pPr>
              <w:jc w:val="center"/>
              <w:rPr>
                <w:rFonts w:ascii="Times New Roman" w:eastAsia="Calibri" w:hAnsi="Times New Roman" w:cs="Times New Roman"/>
              </w:rPr>
            </w:pPr>
            <w:r w:rsidRPr="00CD2660">
              <w:rPr>
                <w:rFonts w:ascii="Times New Roman" w:eastAsia="Calibri" w:hAnsi="Times New Roman" w:cs="Times New Roman"/>
              </w:rPr>
              <w:t>t = 0.36, p = .72</w:t>
            </w:r>
          </w:p>
        </w:tc>
      </w:tr>
      <w:tr w:rsidR="003A2E2B" w:rsidRPr="00CD2660" w14:paraId="2F09A5F2" w14:textId="77777777" w:rsidTr="00AA1E9D">
        <w:trPr>
          <w:trHeight w:val="288"/>
        </w:trPr>
        <w:tc>
          <w:tcPr>
            <w:tcW w:w="9180" w:type="dxa"/>
            <w:gridSpan w:val="4"/>
            <w:tcBorders>
              <w:top w:val="single" w:sz="4" w:space="0" w:color="auto"/>
              <w:bottom w:val="nil"/>
            </w:tcBorders>
            <w:vAlign w:val="center"/>
          </w:tcPr>
          <w:p w14:paraId="45260643" w14:textId="77777777" w:rsidR="003A2E2B" w:rsidRPr="00CD2660" w:rsidRDefault="003A2E2B" w:rsidP="0015380F">
            <w:pPr>
              <w:rPr>
                <w:rFonts w:ascii="Times New Roman" w:hAnsi="Times New Roman" w:cs="Times New Roman"/>
              </w:rPr>
            </w:pPr>
            <w:r w:rsidRPr="00CD2660">
              <w:rPr>
                <w:rFonts w:ascii="Times New Roman" w:eastAsia="Calibri" w:hAnsi="Times New Roman" w:cs="Times New Roman"/>
                <w:i/>
                <w:iCs/>
              </w:rPr>
              <w:t>Note.</w:t>
            </w:r>
            <w:r w:rsidRPr="00CD2660">
              <w:rPr>
                <w:rFonts w:ascii="Times New Roman" w:eastAsia="Calibri" w:hAnsi="Times New Roman" w:cs="Times New Roman"/>
              </w:rPr>
              <w:t xml:space="preserve"> Intent to treat analyses include all patients randomized to treatment. CBT = Cognitive Behavioral Therapy. ST = Supportive Therapy. SAD = Social Anxiety Disorder. MDD = Major Depressive Disorder. LSAS = </w:t>
            </w:r>
            <w:r w:rsidRPr="00CD2660">
              <w:rPr>
                <w:rFonts w:ascii="Times New Roman" w:hAnsi="Times New Roman" w:cs="Times New Roman"/>
              </w:rPr>
              <w:t xml:space="preserve">Liebowitz Social Anxiety Scale. HAMD = Hamilton Depression Rating Scale. Composite Symptoms = Summation of Liebowitz Social Anxiety Scale (LSAS) and Hamilton Depression Rating Scale (HAMD) proportion of maximum scaling (POMS) scores. Diagnosis-Specific Symptoms = LSAS POMS scores for patients with SAD, HAMD POMS scores for patients with MDD.  </w:t>
            </w:r>
          </w:p>
          <w:p w14:paraId="5ECB0EF5" w14:textId="77777777" w:rsidR="003A2E2B" w:rsidRPr="00CD2660" w:rsidRDefault="003A2E2B" w:rsidP="0015380F">
            <w:pPr>
              <w:rPr>
                <w:rFonts w:ascii="Times New Roman" w:eastAsia="Calibri" w:hAnsi="Times New Roman" w:cs="Times New Roman"/>
                <w:i/>
                <w:iCs/>
              </w:rPr>
            </w:pPr>
          </w:p>
        </w:tc>
      </w:tr>
    </w:tbl>
    <w:p w14:paraId="202FFFB2" w14:textId="77777777" w:rsidR="003A2E2B" w:rsidRPr="00CD2660" w:rsidRDefault="003A2E2B"/>
    <w:p w14:paraId="6C710DC7" w14:textId="77777777" w:rsidR="003A2E2B" w:rsidRPr="00CD2660" w:rsidRDefault="003A2E2B"/>
    <w:p w14:paraId="482A7B63" w14:textId="77777777" w:rsidR="003A2E2B" w:rsidRPr="00CD2660" w:rsidRDefault="003A2E2B">
      <w:pPr>
        <w:rPr>
          <w:rFonts w:ascii="Times New Roman" w:eastAsia="Calibri" w:hAnsi="Times New Roman" w:cs="Times New Roman"/>
          <w:sz w:val="22"/>
          <w:szCs w:val="22"/>
        </w:rPr>
      </w:pPr>
      <w:r w:rsidRPr="00CD2660">
        <w:rPr>
          <w:rFonts w:ascii="Times New Roman" w:eastAsia="Calibri" w:hAnsi="Times New Roman" w:cs="Times New Roman"/>
          <w:sz w:val="22"/>
          <w:szCs w:val="22"/>
        </w:rPr>
        <w:br w:type="page"/>
      </w:r>
    </w:p>
    <w:p w14:paraId="20CC549E" w14:textId="77777777" w:rsidR="003A2E2B" w:rsidRPr="00CD2660" w:rsidRDefault="003A2E2B" w:rsidP="00736AFD">
      <w:pPr>
        <w:spacing w:line="276" w:lineRule="auto"/>
        <w:rPr>
          <w:rFonts w:ascii="Times New Roman" w:eastAsia="Calibri" w:hAnsi="Times New Roman" w:cs="Times New Roman"/>
          <w:sz w:val="22"/>
          <w:szCs w:val="22"/>
        </w:rPr>
      </w:pPr>
      <w:r w:rsidRPr="00CD2660">
        <w:rPr>
          <w:rFonts w:ascii="Times New Roman" w:eastAsia="Calibri" w:hAnsi="Times New Roman" w:cs="Times New Roman"/>
          <w:sz w:val="22"/>
          <w:szCs w:val="22"/>
        </w:rPr>
        <w:lastRenderedPageBreak/>
        <w:t>Supplementary Table 2</w:t>
      </w:r>
      <w:r w:rsidRPr="00CD2660">
        <w:rPr>
          <w:rFonts w:ascii="Times New Roman" w:eastAsia="Calibri" w:hAnsi="Times New Roman" w:cs="Times New Roman"/>
          <w:sz w:val="22"/>
          <w:szCs w:val="22"/>
        </w:rPr>
        <w:br/>
      </w:r>
      <w:r w:rsidRPr="00CD2660">
        <w:rPr>
          <w:rFonts w:ascii="Times New Roman" w:eastAsia="Calibri" w:hAnsi="Times New Roman" w:cs="Times New Roman"/>
          <w:i/>
          <w:iCs/>
          <w:sz w:val="22"/>
          <w:szCs w:val="22"/>
        </w:rPr>
        <w:t>Results from Full Factorial Analyses</w:t>
      </w:r>
    </w:p>
    <w:tbl>
      <w:tblPr>
        <w:tblStyle w:val="TableGrid"/>
        <w:tblW w:w="102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982"/>
        <w:gridCol w:w="976"/>
        <w:gridCol w:w="849"/>
        <w:gridCol w:w="656"/>
        <w:gridCol w:w="620"/>
        <w:gridCol w:w="986"/>
      </w:tblGrid>
      <w:tr w:rsidR="00CD2660" w:rsidRPr="00CD2660" w14:paraId="2492D17D" w14:textId="77777777" w:rsidTr="001130FC">
        <w:trPr>
          <w:trHeight w:val="288"/>
        </w:trPr>
        <w:tc>
          <w:tcPr>
            <w:tcW w:w="10229" w:type="dxa"/>
            <w:gridSpan w:val="7"/>
            <w:tcBorders>
              <w:top w:val="single" w:sz="18" w:space="0" w:color="auto"/>
              <w:bottom w:val="single" w:sz="18" w:space="0" w:color="auto"/>
            </w:tcBorders>
            <w:tcMar>
              <w:top w:w="29" w:type="dxa"/>
              <w:left w:w="115" w:type="dxa"/>
              <w:bottom w:w="29" w:type="dxa"/>
              <w:right w:w="115" w:type="dxa"/>
            </w:tcMar>
          </w:tcPr>
          <w:p w14:paraId="59D6E818" w14:textId="77777777" w:rsidR="003A2E2B" w:rsidRPr="00CD2660" w:rsidRDefault="003A2E2B" w:rsidP="009C503D">
            <w:pPr>
              <w:jc w:val="center"/>
              <w:rPr>
                <w:rFonts w:ascii="Times New Roman" w:eastAsia="Calibri" w:hAnsi="Times New Roman" w:cs="Times New Roman"/>
                <w:b/>
                <w:bCs/>
                <w:i/>
                <w:iCs/>
              </w:rPr>
            </w:pPr>
            <w:r w:rsidRPr="00CD2660">
              <w:rPr>
                <w:rFonts w:ascii="Times New Roman" w:eastAsia="Calibri" w:hAnsi="Times New Roman" w:cs="Times New Roman"/>
                <w:b/>
                <w:bCs/>
              </w:rPr>
              <w:t>Composite Symptom Model</w:t>
            </w:r>
          </w:p>
        </w:tc>
      </w:tr>
      <w:tr w:rsidR="00CD2660" w:rsidRPr="00CD2660" w14:paraId="74D41F79" w14:textId="77777777" w:rsidTr="001130FC">
        <w:tc>
          <w:tcPr>
            <w:tcW w:w="2160" w:type="dxa"/>
            <w:tcBorders>
              <w:top w:val="single" w:sz="18" w:space="0" w:color="auto"/>
              <w:bottom w:val="nil"/>
            </w:tcBorders>
            <w:tcMar>
              <w:top w:w="29" w:type="dxa"/>
              <w:bottom w:w="29" w:type="dxa"/>
            </w:tcMar>
          </w:tcPr>
          <w:p w14:paraId="2F7B6A0C" w14:textId="77777777" w:rsidR="003A2E2B" w:rsidRPr="00CD2660" w:rsidRDefault="003A2E2B" w:rsidP="009C503D">
            <w:pPr>
              <w:jc w:val="center"/>
              <w:rPr>
                <w:rFonts w:ascii="Times New Roman" w:eastAsia="Calibri" w:hAnsi="Times New Roman" w:cs="Times New Roman"/>
              </w:rPr>
            </w:pPr>
          </w:p>
        </w:tc>
        <w:tc>
          <w:tcPr>
            <w:tcW w:w="3982" w:type="dxa"/>
            <w:tcBorders>
              <w:top w:val="single" w:sz="18" w:space="0" w:color="auto"/>
              <w:bottom w:val="nil"/>
            </w:tcBorders>
            <w:tcMar>
              <w:top w:w="29" w:type="dxa"/>
              <w:bottom w:w="29" w:type="dxa"/>
            </w:tcMar>
          </w:tcPr>
          <w:p w14:paraId="2CA02CB2" w14:textId="77777777" w:rsidR="003A2E2B" w:rsidRPr="00CD2660" w:rsidRDefault="003A2E2B" w:rsidP="009C503D">
            <w:pPr>
              <w:jc w:val="center"/>
              <w:rPr>
                <w:rFonts w:ascii="Times New Roman" w:eastAsia="Calibri" w:hAnsi="Times New Roman" w:cs="Times New Roman"/>
              </w:rPr>
            </w:pPr>
          </w:p>
        </w:tc>
        <w:tc>
          <w:tcPr>
            <w:tcW w:w="976" w:type="dxa"/>
            <w:tcBorders>
              <w:top w:val="single" w:sz="18" w:space="0" w:color="auto"/>
              <w:bottom w:val="nil"/>
            </w:tcBorders>
            <w:tcMar>
              <w:top w:w="29" w:type="dxa"/>
              <w:bottom w:w="29" w:type="dxa"/>
            </w:tcMar>
          </w:tcPr>
          <w:p w14:paraId="17DF7671" w14:textId="77777777" w:rsidR="003A2E2B" w:rsidRPr="00CD2660" w:rsidRDefault="003A2E2B" w:rsidP="009C503D">
            <w:pPr>
              <w:jc w:val="center"/>
              <w:rPr>
                <w:rFonts w:ascii="Times New Roman" w:eastAsia="Calibri" w:hAnsi="Times New Roman" w:cs="Times New Roman"/>
              </w:rPr>
            </w:pPr>
          </w:p>
        </w:tc>
        <w:tc>
          <w:tcPr>
            <w:tcW w:w="2125" w:type="dxa"/>
            <w:gridSpan w:val="3"/>
            <w:tcBorders>
              <w:top w:val="single" w:sz="18" w:space="0" w:color="auto"/>
              <w:bottom w:val="single" w:sz="4" w:space="0" w:color="auto"/>
            </w:tcBorders>
            <w:tcMar>
              <w:top w:w="29" w:type="dxa"/>
              <w:bottom w:w="29" w:type="dxa"/>
            </w:tcMar>
          </w:tcPr>
          <w:p w14:paraId="72CF955B"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Peak Coordinates</w:t>
            </w:r>
          </w:p>
        </w:tc>
        <w:tc>
          <w:tcPr>
            <w:tcW w:w="986" w:type="dxa"/>
            <w:tcBorders>
              <w:top w:val="single" w:sz="18" w:space="0" w:color="auto"/>
              <w:bottom w:val="nil"/>
            </w:tcBorders>
            <w:tcMar>
              <w:top w:w="29" w:type="dxa"/>
              <w:bottom w:w="29" w:type="dxa"/>
            </w:tcMar>
          </w:tcPr>
          <w:p w14:paraId="20A1A8C4" w14:textId="77777777" w:rsidR="003A2E2B" w:rsidRPr="00CD2660" w:rsidRDefault="003A2E2B" w:rsidP="009C503D">
            <w:pPr>
              <w:jc w:val="center"/>
              <w:rPr>
                <w:rFonts w:ascii="Times New Roman" w:eastAsia="Calibri" w:hAnsi="Times New Roman" w:cs="Times New Roman"/>
              </w:rPr>
            </w:pPr>
          </w:p>
        </w:tc>
      </w:tr>
      <w:tr w:rsidR="00CD2660" w:rsidRPr="00CD2660" w14:paraId="43D34F39" w14:textId="77777777" w:rsidTr="001130FC">
        <w:tc>
          <w:tcPr>
            <w:tcW w:w="2160" w:type="dxa"/>
            <w:tcBorders>
              <w:top w:val="nil"/>
              <w:bottom w:val="single" w:sz="4" w:space="0" w:color="auto"/>
            </w:tcBorders>
            <w:tcMar>
              <w:top w:w="29" w:type="dxa"/>
              <w:bottom w:w="29" w:type="dxa"/>
            </w:tcMar>
          </w:tcPr>
          <w:p w14:paraId="08C84E9C" w14:textId="77777777" w:rsidR="003A2E2B" w:rsidRPr="00CD2660" w:rsidRDefault="003A2E2B" w:rsidP="009C503D">
            <w:pPr>
              <w:jc w:val="center"/>
              <w:rPr>
                <w:rFonts w:ascii="Times New Roman" w:eastAsia="Calibri" w:hAnsi="Times New Roman" w:cs="Times New Roman"/>
              </w:rPr>
            </w:pPr>
          </w:p>
        </w:tc>
        <w:tc>
          <w:tcPr>
            <w:tcW w:w="3982" w:type="dxa"/>
            <w:tcBorders>
              <w:top w:val="nil"/>
              <w:bottom w:val="single" w:sz="4" w:space="0" w:color="auto"/>
            </w:tcBorders>
            <w:tcMar>
              <w:top w:w="29" w:type="dxa"/>
              <w:bottom w:w="29" w:type="dxa"/>
            </w:tcMar>
          </w:tcPr>
          <w:p w14:paraId="077C6EA6"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Anatomical Regions</w:t>
            </w:r>
          </w:p>
        </w:tc>
        <w:tc>
          <w:tcPr>
            <w:tcW w:w="976" w:type="dxa"/>
            <w:tcBorders>
              <w:top w:val="nil"/>
              <w:bottom w:val="single" w:sz="4" w:space="0" w:color="auto"/>
            </w:tcBorders>
            <w:tcMar>
              <w:top w:w="29" w:type="dxa"/>
              <w:bottom w:w="29" w:type="dxa"/>
            </w:tcMar>
          </w:tcPr>
          <w:p w14:paraId="4BAD7DB7"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k</w:t>
            </w:r>
          </w:p>
        </w:tc>
        <w:tc>
          <w:tcPr>
            <w:tcW w:w="849" w:type="dxa"/>
            <w:tcBorders>
              <w:top w:val="single" w:sz="4" w:space="0" w:color="auto"/>
              <w:bottom w:val="single" w:sz="4" w:space="0" w:color="auto"/>
            </w:tcBorders>
            <w:tcMar>
              <w:top w:w="29" w:type="dxa"/>
              <w:bottom w:w="29" w:type="dxa"/>
            </w:tcMar>
          </w:tcPr>
          <w:p w14:paraId="59BCC426"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x</w:t>
            </w:r>
          </w:p>
        </w:tc>
        <w:tc>
          <w:tcPr>
            <w:tcW w:w="656" w:type="dxa"/>
            <w:tcBorders>
              <w:top w:val="single" w:sz="4" w:space="0" w:color="auto"/>
              <w:bottom w:val="single" w:sz="4" w:space="0" w:color="auto"/>
            </w:tcBorders>
            <w:tcMar>
              <w:top w:w="29" w:type="dxa"/>
              <w:bottom w:w="29" w:type="dxa"/>
            </w:tcMar>
          </w:tcPr>
          <w:p w14:paraId="39BDCA82"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y</w:t>
            </w:r>
          </w:p>
        </w:tc>
        <w:tc>
          <w:tcPr>
            <w:tcW w:w="620" w:type="dxa"/>
            <w:tcBorders>
              <w:top w:val="single" w:sz="4" w:space="0" w:color="auto"/>
              <w:bottom w:val="single" w:sz="4" w:space="0" w:color="auto"/>
            </w:tcBorders>
            <w:tcMar>
              <w:top w:w="29" w:type="dxa"/>
              <w:bottom w:w="29" w:type="dxa"/>
            </w:tcMar>
          </w:tcPr>
          <w:p w14:paraId="410EBBDC"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z</w:t>
            </w:r>
          </w:p>
        </w:tc>
        <w:tc>
          <w:tcPr>
            <w:tcW w:w="986" w:type="dxa"/>
            <w:tcBorders>
              <w:top w:val="nil"/>
              <w:bottom w:val="single" w:sz="4" w:space="0" w:color="auto"/>
            </w:tcBorders>
            <w:tcMar>
              <w:top w:w="29" w:type="dxa"/>
              <w:bottom w:w="29" w:type="dxa"/>
            </w:tcMar>
          </w:tcPr>
          <w:p w14:paraId="6D49D091"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z-score</w:t>
            </w:r>
          </w:p>
        </w:tc>
      </w:tr>
      <w:tr w:rsidR="00CD2660" w:rsidRPr="00CD2660" w14:paraId="62B5DB04" w14:textId="77777777" w:rsidTr="001130FC">
        <w:trPr>
          <w:trHeight w:val="288"/>
        </w:trPr>
        <w:tc>
          <w:tcPr>
            <w:tcW w:w="2160" w:type="dxa"/>
            <w:tcBorders>
              <w:top w:val="single" w:sz="4" w:space="0" w:color="auto"/>
              <w:bottom w:val="single" w:sz="4" w:space="0" w:color="auto"/>
            </w:tcBorders>
            <w:tcMar>
              <w:top w:w="29" w:type="dxa"/>
              <w:left w:w="115" w:type="dxa"/>
              <w:bottom w:w="29" w:type="dxa"/>
              <w:right w:w="115" w:type="dxa"/>
            </w:tcMar>
          </w:tcPr>
          <w:p w14:paraId="1C9323FD"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rPr>
              <w:t>Symptom Slope</w:t>
            </w:r>
          </w:p>
        </w:tc>
        <w:tc>
          <w:tcPr>
            <w:tcW w:w="3982" w:type="dxa"/>
            <w:tcBorders>
              <w:top w:val="single" w:sz="4" w:space="0" w:color="auto"/>
              <w:bottom w:val="single" w:sz="4" w:space="0" w:color="auto"/>
            </w:tcBorders>
            <w:tcMar>
              <w:top w:w="29" w:type="dxa"/>
              <w:left w:w="115" w:type="dxa"/>
              <w:bottom w:w="29" w:type="dxa"/>
              <w:right w:w="115" w:type="dxa"/>
            </w:tcMar>
          </w:tcPr>
          <w:p w14:paraId="53D85210" w14:textId="77777777" w:rsidR="003A2E2B" w:rsidRPr="00CD2660" w:rsidRDefault="003A2E2B" w:rsidP="009C503D">
            <w:pPr>
              <w:jc w:val="center"/>
              <w:rPr>
                <w:rFonts w:ascii="Times New Roman" w:eastAsia="Calibri" w:hAnsi="Times New Roman" w:cs="Times New Roman"/>
                <w:i/>
                <w:iCs/>
              </w:rPr>
            </w:pPr>
          </w:p>
        </w:tc>
        <w:tc>
          <w:tcPr>
            <w:tcW w:w="976" w:type="dxa"/>
            <w:tcBorders>
              <w:top w:val="single" w:sz="4" w:space="0" w:color="auto"/>
              <w:bottom w:val="single" w:sz="4" w:space="0" w:color="auto"/>
            </w:tcBorders>
            <w:tcMar>
              <w:top w:w="29" w:type="dxa"/>
              <w:bottom w:w="29" w:type="dxa"/>
            </w:tcMar>
          </w:tcPr>
          <w:p w14:paraId="2CD10FA6" w14:textId="77777777" w:rsidR="003A2E2B" w:rsidRPr="00CD2660" w:rsidRDefault="003A2E2B" w:rsidP="009C503D">
            <w:pPr>
              <w:jc w:val="center"/>
              <w:rPr>
                <w:rFonts w:ascii="Times New Roman" w:eastAsia="Calibri" w:hAnsi="Times New Roman" w:cs="Times New Roman"/>
                <w:i/>
                <w:iCs/>
              </w:rPr>
            </w:pPr>
          </w:p>
        </w:tc>
        <w:tc>
          <w:tcPr>
            <w:tcW w:w="849" w:type="dxa"/>
            <w:tcBorders>
              <w:top w:val="single" w:sz="4" w:space="0" w:color="auto"/>
              <w:bottom w:val="single" w:sz="4" w:space="0" w:color="auto"/>
            </w:tcBorders>
            <w:tcMar>
              <w:top w:w="29" w:type="dxa"/>
              <w:bottom w:w="29" w:type="dxa"/>
            </w:tcMar>
          </w:tcPr>
          <w:p w14:paraId="6B5212FE" w14:textId="77777777" w:rsidR="003A2E2B" w:rsidRPr="00CD2660" w:rsidRDefault="003A2E2B" w:rsidP="009C503D">
            <w:pPr>
              <w:jc w:val="center"/>
              <w:rPr>
                <w:rFonts w:ascii="Times New Roman" w:eastAsia="Calibri" w:hAnsi="Times New Roman" w:cs="Times New Roman"/>
                <w:i/>
                <w:iCs/>
              </w:rPr>
            </w:pPr>
          </w:p>
        </w:tc>
        <w:tc>
          <w:tcPr>
            <w:tcW w:w="656" w:type="dxa"/>
            <w:tcBorders>
              <w:top w:val="single" w:sz="4" w:space="0" w:color="auto"/>
              <w:bottom w:val="single" w:sz="4" w:space="0" w:color="auto"/>
            </w:tcBorders>
            <w:tcMar>
              <w:top w:w="29" w:type="dxa"/>
              <w:bottom w:w="29" w:type="dxa"/>
            </w:tcMar>
          </w:tcPr>
          <w:p w14:paraId="46AF833F" w14:textId="77777777" w:rsidR="003A2E2B" w:rsidRPr="00CD2660" w:rsidRDefault="003A2E2B" w:rsidP="009C503D">
            <w:pPr>
              <w:jc w:val="center"/>
              <w:rPr>
                <w:rFonts w:ascii="Times New Roman" w:eastAsia="Calibri" w:hAnsi="Times New Roman" w:cs="Times New Roman"/>
                <w:i/>
                <w:iCs/>
              </w:rPr>
            </w:pPr>
          </w:p>
        </w:tc>
        <w:tc>
          <w:tcPr>
            <w:tcW w:w="620" w:type="dxa"/>
            <w:tcBorders>
              <w:top w:val="single" w:sz="4" w:space="0" w:color="auto"/>
              <w:bottom w:val="single" w:sz="4" w:space="0" w:color="auto"/>
            </w:tcBorders>
            <w:tcMar>
              <w:top w:w="29" w:type="dxa"/>
              <w:bottom w:w="29" w:type="dxa"/>
            </w:tcMar>
          </w:tcPr>
          <w:p w14:paraId="564AF428" w14:textId="77777777" w:rsidR="003A2E2B" w:rsidRPr="00CD2660" w:rsidRDefault="003A2E2B" w:rsidP="009C503D">
            <w:pPr>
              <w:jc w:val="center"/>
              <w:rPr>
                <w:rFonts w:ascii="Times New Roman" w:eastAsia="Calibri" w:hAnsi="Times New Roman" w:cs="Times New Roman"/>
                <w:i/>
                <w:iCs/>
              </w:rPr>
            </w:pPr>
          </w:p>
        </w:tc>
        <w:tc>
          <w:tcPr>
            <w:tcW w:w="986" w:type="dxa"/>
            <w:tcBorders>
              <w:top w:val="single" w:sz="4" w:space="0" w:color="auto"/>
              <w:bottom w:val="single" w:sz="4" w:space="0" w:color="auto"/>
            </w:tcBorders>
            <w:tcMar>
              <w:top w:w="29" w:type="dxa"/>
              <w:bottom w:w="29" w:type="dxa"/>
            </w:tcMar>
          </w:tcPr>
          <w:p w14:paraId="14858E6E" w14:textId="77777777" w:rsidR="003A2E2B" w:rsidRPr="00CD2660" w:rsidRDefault="003A2E2B" w:rsidP="009C503D">
            <w:pPr>
              <w:jc w:val="center"/>
              <w:rPr>
                <w:rFonts w:ascii="Times New Roman" w:eastAsia="Calibri" w:hAnsi="Times New Roman" w:cs="Times New Roman"/>
                <w:i/>
                <w:iCs/>
              </w:rPr>
            </w:pPr>
          </w:p>
        </w:tc>
      </w:tr>
      <w:tr w:rsidR="00CD2660" w:rsidRPr="00CD2660" w14:paraId="45CB388B" w14:textId="77777777" w:rsidTr="001130FC">
        <w:trPr>
          <w:trHeight w:val="288"/>
        </w:trPr>
        <w:tc>
          <w:tcPr>
            <w:tcW w:w="2160" w:type="dxa"/>
            <w:tcBorders>
              <w:top w:val="nil"/>
              <w:bottom w:val="nil"/>
            </w:tcBorders>
            <w:tcMar>
              <w:top w:w="29" w:type="dxa"/>
              <w:bottom w:w="29" w:type="dxa"/>
            </w:tcMar>
          </w:tcPr>
          <w:p w14:paraId="75A0061C"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nil"/>
            </w:tcBorders>
            <w:tcMar>
              <w:top w:w="29" w:type="dxa"/>
              <w:bottom w:w="29" w:type="dxa"/>
            </w:tcMar>
          </w:tcPr>
          <w:p w14:paraId="17176253" w14:textId="77777777" w:rsidR="003A2E2B" w:rsidRPr="00CD2660" w:rsidRDefault="003A2E2B" w:rsidP="009C503D">
            <w:pPr>
              <w:jc w:val="center"/>
              <w:rPr>
                <w:rFonts w:ascii="Times New Roman" w:eastAsia="Calibri" w:hAnsi="Times New Roman" w:cs="Times New Roman"/>
                <w:i/>
                <w:iCs/>
              </w:rPr>
            </w:pPr>
            <w:r w:rsidRPr="00CD2660">
              <w:rPr>
                <w:rFonts w:ascii="Times New Roman" w:eastAsia="Calibri" w:hAnsi="Times New Roman" w:cs="Times New Roman"/>
                <w:i/>
                <w:iCs/>
              </w:rPr>
              <w:t>ns</w:t>
            </w:r>
          </w:p>
        </w:tc>
        <w:tc>
          <w:tcPr>
            <w:tcW w:w="976" w:type="dxa"/>
            <w:tcBorders>
              <w:top w:val="nil"/>
              <w:bottom w:val="nil"/>
            </w:tcBorders>
            <w:tcMar>
              <w:top w:w="29" w:type="dxa"/>
              <w:bottom w:w="29" w:type="dxa"/>
            </w:tcMar>
          </w:tcPr>
          <w:p w14:paraId="7723D142" w14:textId="77777777" w:rsidR="003A2E2B" w:rsidRPr="00CD2660" w:rsidRDefault="003A2E2B" w:rsidP="009C503D">
            <w:pPr>
              <w:jc w:val="center"/>
              <w:rPr>
                <w:rFonts w:ascii="Times New Roman" w:eastAsia="Calibri" w:hAnsi="Times New Roman" w:cs="Times New Roman"/>
              </w:rPr>
            </w:pPr>
          </w:p>
        </w:tc>
        <w:tc>
          <w:tcPr>
            <w:tcW w:w="849" w:type="dxa"/>
            <w:tcBorders>
              <w:top w:val="nil"/>
              <w:bottom w:val="nil"/>
            </w:tcBorders>
            <w:tcMar>
              <w:top w:w="29" w:type="dxa"/>
              <w:bottom w:w="29" w:type="dxa"/>
            </w:tcMar>
          </w:tcPr>
          <w:p w14:paraId="341FB947" w14:textId="77777777" w:rsidR="003A2E2B" w:rsidRPr="00CD2660" w:rsidRDefault="003A2E2B" w:rsidP="009C503D">
            <w:pPr>
              <w:jc w:val="center"/>
              <w:rPr>
                <w:rFonts w:ascii="Times New Roman" w:eastAsia="Calibri" w:hAnsi="Times New Roman" w:cs="Times New Roman"/>
              </w:rPr>
            </w:pPr>
          </w:p>
        </w:tc>
        <w:tc>
          <w:tcPr>
            <w:tcW w:w="656" w:type="dxa"/>
            <w:tcBorders>
              <w:top w:val="nil"/>
              <w:bottom w:val="nil"/>
            </w:tcBorders>
            <w:tcMar>
              <w:top w:w="29" w:type="dxa"/>
              <w:bottom w:w="29" w:type="dxa"/>
            </w:tcMar>
          </w:tcPr>
          <w:p w14:paraId="4013ACA3" w14:textId="77777777" w:rsidR="003A2E2B" w:rsidRPr="00CD2660" w:rsidRDefault="003A2E2B" w:rsidP="009C503D">
            <w:pPr>
              <w:jc w:val="center"/>
              <w:rPr>
                <w:rFonts w:ascii="Times New Roman" w:eastAsia="Calibri" w:hAnsi="Times New Roman" w:cs="Times New Roman"/>
              </w:rPr>
            </w:pPr>
          </w:p>
        </w:tc>
        <w:tc>
          <w:tcPr>
            <w:tcW w:w="620" w:type="dxa"/>
            <w:tcBorders>
              <w:top w:val="nil"/>
              <w:bottom w:val="nil"/>
            </w:tcBorders>
            <w:tcMar>
              <w:top w:w="29" w:type="dxa"/>
              <w:bottom w:w="29" w:type="dxa"/>
            </w:tcMar>
          </w:tcPr>
          <w:p w14:paraId="4DD2CCDE" w14:textId="77777777" w:rsidR="003A2E2B" w:rsidRPr="00CD2660" w:rsidRDefault="003A2E2B" w:rsidP="009C503D">
            <w:pPr>
              <w:jc w:val="center"/>
              <w:rPr>
                <w:rFonts w:ascii="Times New Roman" w:eastAsia="Calibri" w:hAnsi="Times New Roman" w:cs="Times New Roman"/>
              </w:rPr>
            </w:pPr>
          </w:p>
        </w:tc>
        <w:tc>
          <w:tcPr>
            <w:tcW w:w="986" w:type="dxa"/>
            <w:tcBorders>
              <w:top w:val="nil"/>
              <w:bottom w:val="nil"/>
            </w:tcBorders>
            <w:tcMar>
              <w:top w:w="29" w:type="dxa"/>
              <w:bottom w:w="29" w:type="dxa"/>
            </w:tcMar>
          </w:tcPr>
          <w:p w14:paraId="2B0A50D1" w14:textId="77777777" w:rsidR="003A2E2B" w:rsidRPr="00CD2660" w:rsidRDefault="003A2E2B" w:rsidP="009C503D">
            <w:pPr>
              <w:jc w:val="center"/>
              <w:rPr>
                <w:rFonts w:ascii="Times New Roman" w:eastAsia="Calibri" w:hAnsi="Times New Roman" w:cs="Times New Roman"/>
              </w:rPr>
            </w:pPr>
          </w:p>
        </w:tc>
      </w:tr>
      <w:tr w:rsidR="00CD2660" w:rsidRPr="00CD2660" w14:paraId="271B6B25" w14:textId="77777777" w:rsidTr="001130FC">
        <w:trPr>
          <w:trHeight w:val="288"/>
        </w:trPr>
        <w:tc>
          <w:tcPr>
            <w:tcW w:w="2160" w:type="dxa"/>
            <w:tcBorders>
              <w:top w:val="single" w:sz="4" w:space="0" w:color="auto"/>
              <w:bottom w:val="single" w:sz="4" w:space="0" w:color="auto"/>
            </w:tcBorders>
            <w:tcMar>
              <w:top w:w="29" w:type="dxa"/>
              <w:left w:w="115" w:type="dxa"/>
              <w:bottom w:w="29" w:type="dxa"/>
              <w:right w:w="115" w:type="dxa"/>
            </w:tcMar>
          </w:tcPr>
          <w:p w14:paraId="20450570"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rPr>
              <w:t>Treatment Arm</w:t>
            </w:r>
          </w:p>
        </w:tc>
        <w:tc>
          <w:tcPr>
            <w:tcW w:w="3982" w:type="dxa"/>
            <w:tcBorders>
              <w:top w:val="single" w:sz="4" w:space="0" w:color="auto"/>
              <w:bottom w:val="single" w:sz="4" w:space="0" w:color="auto"/>
            </w:tcBorders>
            <w:tcMar>
              <w:top w:w="29" w:type="dxa"/>
              <w:left w:w="115" w:type="dxa"/>
              <w:bottom w:w="29" w:type="dxa"/>
              <w:right w:w="115" w:type="dxa"/>
            </w:tcMar>
          </w:tcPr>
          <w:p w14:paraId="12EE6478" w14:textId="77777777" w:rsidR="003A2E2B" w:rsidRPr="00CD2660" w:rsidRDefault="003A2E2B" w:rsidP="009C503D">
            <w:pPr>
              <w:jc w:val="center"/>
              <w:rPr>
                <w:rFonts w:ascii="Times New Roman" w:eastAsia="Calibri" w:hAnsi="Times New Roman" w:cs="Times New Roman"/>
                <w:i/>
                <w:iCs/>
              </w:rPr>
            </w:pPr>
          </w:p>
        </w:tc>
        <w:tc>
          <w:tcPr>
            <w:tcW w:w="976" w:type="dxa"/>
            <w:tcBorders>
              <w:top w:val="single" w:sz="4" w:space="0" w:color="auto"/>
              <w:bottom w:val="single" w:sz="4" w:space="0" w:color="auto"/>
            </w:tcBorders>
            <w:tcMar>
              <w:top w:w="29" w:type="dxa"/>
              <w:bottom w:w="29" w:type="dxa"/>
            </w:tcMar>
          </w:tcPr>
          <w:p w14:paraId="5E910DB5" w14:textId="77777777" w:rsidR="003A2E2B" w:rsidRPr="00CD2660" w:rsidRDefault="003A2E2B" w:rsidP="009C503D">
            <w:pPr>
              <w:jc w:val="center"/>
              <w:rPr>
                <w:rFonts w:ascii="Times New Roman" w:eastAsia="Calibri" w:hAnsi="Times New Roman" w:cs="Times New Roman"/>
                <w:i/>
                <w:iCs/>
              </w:rPr>
            </w:pPr>
          </w:p>
        </w:tc>
        <w:tc>
          <w:tcPr>
            <w:tcW w:w="849" w:type="dxa"/>
            <w:tcBorders>
              <w:top w:val="single" w:sz="4" w:space="0" w:color="auto"/>
              <w:bottom w:val="single" w:sz="4" w:space="0" w:color="auto"/>
            </w:tcBorders>
            <w:tcMar>
              <w:top w:w="29" w:type="dxa"/>
              <w:bottom w:w="29" w:type="dxa"/>
            </w:tcMar>
          </w:tcPr>
          <w:p w14:paraId="7DC7C8D8" w14:textId="77777777" w:rsidR="003A2E2B" w:rsidRPr="00CD2660" w:rsidRDefault="003A2E2B" w:rsidP="009C503D">
            <w:pPr>
              <w:jc w:val="center"/>
              <w:rPr>
                <w:rFonts w:ascii="Times New Roman" w:eastAsia="Calibri" w:hAnsi="Times New Roman" w:cs="Times New Roman"/>
                <w:i/>
                <w:iCs/>
              </w:rPr>
            </w:pPr>
          </w:p>
        </w:tc>
        <w:tc>
          <w:tcPr>
            <w:tcW w:w="656" w:type="dxa"/>
            <w:tcBorders>
              <w:top w:val="single" w:sz="4" w:space="0" w:color="auto"/>
              <w:bottom w:val="single" w:sz="4" w:space="0" w:color="auto"/>
            </w:tcBorders>
            <w:tcMar>
              <w:top w:w="29" w:type="dxa"/>
              <w:bottom w:w="29" w:type="dxa"/>
            </w:tcMar>
          </w:tcPr>
          <w:p w14:paraId="7470FC7A" w14:textId="77777777" w:rsidR="003A2E2B" w:rsidRPr="00CD2660" w:rsidRDefault="003A2E2B" w:rsidP="009C503D">
            <w:pPr>
              <w:jc w:val="center"/>
              <w:rPr>
                <w:rFonts w:ascii="Times New Roman" w:eastAsia="Calibri" w:hAnsi="Times New Roman" w:cs="Times New Roman"/>
                <w:i/>
                <w:iCs/>
              </w:rPr>
            </w:pPr>
          </w:p>
        </w:tc>
        <w:tc>
          <w:tcPr>
            <w:tcW w:w="620" w:type="dxa"/>
            <w:tcBorders>
              <w:top w:val="single" w:sz="4" w:space="0" w:color="auto"/>
              <w:bottom w:val="single" w:sz="4" w:space="0" w:color="auto"/>
            </w:tcBorders>
            <w:tcMar>
              <w:top w:w="29" w:type="dxa"/>
              <w:bottom w:w="29" w:type="dxa"/>
            </w:tcMar>
          </w:tcPr>
          <w:p w14:paraId="2D92D7D2" w14:textId="77777777" w:rsidR="003A2E2B" w:rsidRPr="00CD2660" w:rsidRDefault="003A2E2B" w:rsidP="009C503D">
            <w:pPr>
              <w:jc w:val="center"/>
              <w:rPr>
                <w:rFonts w:ascii="Times New Roman" w:eastAsia="Calibri" w:hAnsi="Times New Roman" w:cs="Times New Roman"/>
                <w:i/>
                <w:iCs/>
              </w:rPr>
            </w:pPr>
          </w:p>
        </w:tc>
        <w:tc>
          <w:tcPr>
            <w:tcW w:w="986" w:type="dxa"/>
            <w:tcBorders>
              <w:top w:val="single" w:sz="4" w:space="0" w:color="auto"/>
              <w:bottom w:val="single" w:sz="4" w:space="0" w:color="auto"/>
            </w:tcBorders>
            <w:tcMar>
              <w:top w:w="29" w:type="dxa"/>
              <w:bottom w:w="29" w:type="dxa"/>
            </w:tcMar>
          </w:tcPr>
          <w:p w14:paraId="756E64BC" w14:textId="77777777" w:rsidR="003A2E2B" w:rsidRPr="00CD2660" w:rsidRDefault="003A2E2B" w:rsidP="009C503D">
            <w:pPr>
              <w:jc w:val="center"/>
              <w:rPr>
                <w:rFonts w:ascii="Times New Roman" w:eastAsia="Calibri" w:hAnsi="Times New Roman" w:cs="Times New Roman"/>
                <w:i/>
                <w:iCs/>
              </w:rPr>
            </w:pPr>
          </w:p>
        </w:tc>
      </w:tr>
      <w:tr w:rsidR="00CD2660" w:rsidRPr="00CD2660" w14:paraId="6496F1C2" w14:textId="77777777" w:rsidTr="001130FC">
        <w:trPr>
          <w:trHeight w:val="288"/>
        </w:trPr>
        <w:tc>
          <w:tcPr>
            <w:tcW w:w="2160" w:type="dxa"/>
            <w:tcBorders>
              <w:top w:val="nil"/>
              <w:bottom w:val="nil"/>
            </w:tcBorders>
            <w:tcMar>
              <w:top w:w="29" w:type="dxa"/>
              <w:bottom w:w="29" w:type="dxa"/>
            </w:tcMar>
          </w:tcPr>
          <w:p w14:paraId="61EA452E"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nil"/>
            </w:tcBorders>
            <w:tcMar>
              <w:top w:w="29" w:type="dxa"/>
              <w:bottom w:w="29" w:type="dxa"/>
            </w:tcMar>
          </w:tcPr>
          <w:p w14:paraId="736CCE46" w14:textId="77777777" w:rsidR="003A2E2B" w:rsidRPr="00CD2660" w:rsidRDefault="003A2E2B" w:rsidP="009C503D">
            <w:pPr>
              <w:ind w:left="372" w:hanging="372"/>
              <w:jc w:val="center"/>
              <w:rPr>
                <w:rFonts w:ascii="Times New Roman" w:eastAsia="Calibri" w:hAnsi="Times New Roman" w:cs="Times New Roman"/>
                <w:i/>
                <w:iCs/>
              </w:rPr>
            </w:pPr>
            <w:r w:rsidRPr="00CD2660">
              <w:rPr>
                <w:rFonts w:ascii="Times New Roman" w:eastAsia="Calibri" w:hAnsi="Times New Roman" w:cs="Times New Roman"/>
                <w:i/>
                <w:iCs/>
              </w:rPr>
              <w:t>ns</w:t>
            </w:r>
          </w:p>
        </w:tc>
        <w:tc>
          <w:tcPr>
            <w:tcW w:w="976" w:type="dxa"/>
            <w:tcBorders>
              <w:top w:val="nil"/>
              <w:bottom w:val="nil"/>
            </w:tcBorders>
            <w:tcMar>
              <w:top w:w="29" w:type="dxa"/>
              <w:bottom w:w="29" w:type="dxa"/>
            </w:tcMar>
          </w:tcPr>
          <w:p w14:paraId="30324818" w14:textId="77777777" w:rsidR="003A2E2B" w:rsidRPr="00CD2660" w:rsidRDefault="003A2E2B" w:rsidP="009C503D">
            <w:pPr>
              <w:ind w:left="192" w:hanging="192"/>
              <w:jc w:val="center"/>
              <w:rPr>
                <w:rFonts w:ascii="Times New Roman" w:eastAsia="Calibri" w:hAnsi="Times New Roman" w:cs="Times New Roman"/>
              </w:rPr>
            </w:pPr>
          </w:p>
        </w:tc>
        <w:tc>
          <w:tcPr>
            <w:tcW w:w="849" w:type="dxa"/>
            <w:tcBorders>
              <w:top w:val="nil"/>
              <w:bottom w:val="nil"/>
            </w:tcBorders>
            <w:tcMar>
              <w:top w:w="29" w:type="dxa"/>
              <w:bottom w:w="29" w:type="dxa"/>
            </w:tcMar>
          </w:tcPr>
          <w:p w14:paraId="14049384" w14:textId="77777777" w:rsidR="003A2E2B" w:rsidRPr="00CD2660" w:rsidRDefault="003A2E2B" w:rsidP="009C503D">
            <w:pPr>
              <w:ind w:left="192" w:hanging="192"/>
              <w:jc w:val="center"/>
              <w:rPr>
                <w:rFonts w:ascii="Times New Roman" w:eastAsia="Calibri" w:hAnsi="Times New Roman" w:cs="Times New Roman"/>
              </w:rPr>
            </w:pPr>
          </w:p>
        </w:tc>
        <w:tc>
          <w:tcPr>
            <w:tcW w:w="656" w:type="dxa"/>
            <w:tcBorders>
              <w:top w:val="nil"/>
              <w:bottom w:val="nil"/>
            </w:tcBorders>
            <w:tcMar>
              <w:top w:w="29" w:type="dxa"/>
              <w:bottom w:w="29" w:type="dxa"/>
            </w:tcMar>
          </w:tcPr>
          <w:p w14:paraId="0E9BFDC8" w14:textId="77777777" w:rsidR="003A2E2B" w:rsidRPr="00CD2660" w:rsidRDefault="003A2E2B" w:rsidP="009C503D">
            <w:pPr>
              <w:ind w:left="192" w:hanging="192"/>
              <w:jc w:val="center"/>
              <w:rPr>
                <w:rFonts w:ascii="Times New Roman" w:eastAsia="Calibri" w:hAnsi="Times New Roman" w:cs="Times New Roman"/>
              </w:rPr>
            </w:pPr>
          </w:p>
        </w:tc>
        <w:tc>
          <w:tcPr>
            <w:tcW w:w="620" w:type="dxa"/>
            <w:tcBorders>
              <w:top w:val="nil"/>
              <w:bottom w:val="nil"/>
            </w:tcBorders>
            <w:tcMar>
              <w:top w:w="29" w:type="dxa"/>
              <w:bottom w:w="29" w:type="dxa"/>
            </w:tcMar>
          </w:tcPr>
          <w:p w14:paraId="1163986F" w14:textId="77777777" w:rsidR="003A2E2B" w:rsidRPr="00CD2660" w:rsidRDefault="003A2E2B" w:rsidP="009C503D">
            <w:pPr>
              <w:ind w:left="192" w:hanging="192"/>
              <w:jc w:val="center"/>
              <w:rPr>
                <w:rFonts w:ascii="Times New Roman" w:eastAsia="Calibri" w:hAnsi="Times New Roman" w:cs="Times New Roman"/>
              </w:rPr>
            </w:pPr>
          </w:p>
        </w:tc>
        <w:tc>
          <w:tcPr>
            <w:tcW w:w="986" w:type="dxa"/>
            <w:tcBorders>
              <w:top w:val="nil"/>
              <w:bottom w:val="nil"/>
            </w:tcBorders>
            <w:tcMar>
              <w:top w:w="29" w:type="dxa"/>
              <w:bottom w:w="29" w:type="dxa"/>
            </w:tcMar>
          </w:tcPr>
          <w:p w14:paraId="34DB8556" w14:textId="77777777" w:rsidR="003A2E2B" w:rsidRPr="00CD2660" w:rsidRDefault="003A2E2B" w:rsidP="009C503D">
            <w:pPr>
              <w:ind w:left="192" w:hanging="192"/>
              <w:jc w:val="center"/>
              <w:rPr>
                <w:rFonts w:ascii="Times New Roman" w:eastAsia="Calibri" w:hAnsi="Times New Roman" w:cs="Times New Roman"/>
              </w:rPr>
            </w:pPr>
          </w:p>
        </w:tc>
      </w:tr>
      <w:tr w:rsidR="00CD2660" w:rsidRPr="00CD2660" w14:paraId="2CC22F17" w14:textId="77777777" w:rsidTr="001130FC">
        <w:trPr>
          <w:trHeight w:val="288"/>
        </w:trPr>
        <w:tc>
          <w:tcPr>
            <w:tcW w:w="2160" w:type="dxa"/>
            <w:tcBorders>
              <w:top w:val="single" w:sz="4" w:space="0" w:color="auto"/>
              <w:bottom w:val="single" w:sz="4" w:space="0" w:color="auto"/>
            </w:tcBorders>
            <w:tcMar>
              <w:top w:w="29" w:type="dxa"/>
              <w:left w:w="115" w:type="dxa"/>
              <w:bottom w:w="29" w:type="dxa"/>
              <w:right w:w="115" w:type="dxa"/>
            </w:tcMar>
          </w:tcPr>
          <w:p w14:paraId="0DC57E30"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rPr>
              <w:t>Slope × Arm</w:t>
            </w:r>
          </w:p>
        </w:tc>
        <w:tc>
          <w:tcPr>
            <w:tcW w:w="3982" w:type="dxa"/>
            <w:tcBorders>
              <w:top w:val="single" w:sz="4" w:space="0" w:color="auto"/>
              <w:bottom w:val="single" w:sz="4" w:space="0" w:color="auto"/>
            </w:tcBorders>
            <w:tcMar>
              <w:top w:w="29" w:type="dxa"/>
              <w:left w:w="115" w:type="dxa"/>
              <w:bottom w:w="29" w:type="dxa"/>
              <w:right w:w="115" w:type="dxa"/>
            </w:tcMar>
          </w:tcPr>
          <w:p w14:paraId="6C86C1B0" w14:textId="77777777" w:rsidR="003A2E2B" w:rsidRPr="00CD2660" w:rsidRDefault="003A2E2B" w:rsidP="009C503D">
            <w:pPr>
              <w:jc w:val="center"/>
              <w:rPr>
                <w:rFonts w:ascii="Times New Roman" w:eastAsia="Calibri" w:hAnsi="Times New Roman" w:cs="Times New Roman"/>
                <w:i/>
                <w:iCs/>
              </w:rPr>
            </w:pPr>
          </w:p>
        </w:tc>
        <w:tc>
          <w:tcPr>
            <w:tcW w:w="976" w:type="dxa"/>
            <w:tcBorders>
              <w:top w:val="single" w:sz="4" w:space="0" w:color="auto"/>
              <w:bottom w:val="single" w:sz="4" w:space="0" w:color="auto"/>
            </w:tcBorders>
            <w:tcMar>
              <w:top w:w="29" w:type="dxa"/>
              <w:bottom w:w="29" w:type="dxa"/>
            </w:tcMar>
          </w:tcPr>
          <w:p w14:paraId="08C17D5E" w14:textId="77777777" w:rsidR="003A2E2B" w:rsidRPr="00CD2660" w:rsidRDefault="003A2E2B" w:rsidP="009C503D">
            <w:pPr>
              <w:jc w:val="center"/>
              <w:rPr>
                <w:rFonts w:ascii="Times New Roman" w:eastAsia="Calibri" w:hAnsi="Times New Roman" w:cs="Times New Roman"/>
                <w:i/>
                <w:iCs/>
              </w:rPr>
            </w:pPr>
          </w:p>
        </w:tc>
        <w:tc>
          <w:tcPr>
            <w:tcW w:w="849" w:type="dxa"/>
            <w:tcBorders>
              <w:top w:val="single" w:sz="4" w:space="0" w:color="auto"/>
              <w:bottom w:val="single" w:sz="4" w:space="0" w:color="auto"/>
            </w:tcBorders>
            <w:tcMar>
              <w:top w:w="29" w:type="dxa"/>
              <w:bottom w:w="29" w:type="dxa"/>
            </w:tcMar>
          </w:tcPr>
          <w:p w14:paraId="01F33F84" w14:textId="77777777" w:rsidR="003A2E2B" w:rsidRPr="00CD2660" w:rsidRDefault="003A2E2B" w:rsidP="009C503D">
            <w:pPr>
              <w:jc w:val="center"/>
              <w:rPr>
                <w:rFonts w:ascii="Times New Roman" w:eastAsia="Calibri" w:hAnsi="Times New Roman" w:cs="Times New Roman"/>
                <w:i/>
                <w:iCs/>
              </w:rPr>
            </w:pPr>
          </w:p>
        </w:tc>
        <w:tc>
          <w:tcPr>
            <w:tcW w:w="656" w:type="dxa"/>
            <w:tcBorders>
              <w:top w:val="single" w:sz="4" w:space="0" w:color="auto"/>
              <w:bottom w:val="single" w:sz="4" w:space="0" w:color="auto"/>
            </w:tcBorders>
            <w:tcMar>
              <w:top w:w="29" w:type="dxa"/>
              <w:bottom w:w="29" w:type="dxa"/>
            </w:tcMar>
          </w:tcPr>
          <w:p w14:paraId="6BD85F8D" w14:textId="77777777" w:rsidR="003A2E2B" w:rsidRPr="00CD2660" w:rsidRDefault="003A2E2B" w:rsidP="009C503D">
            <w:pPr>
              <w:jc w:val="center"/>
              <w:rPr>
                <w:rFonts w:ascii="Times New Roman" w:eastAsia="Calibri" w:hAnsi="Times New Roman" w:cs="Times New Roman"/>
                <w:i/>
                <w:iCs/>
              </w:rPr>
            </w:pPr>
          </w:p>
        </w:tc>
        <w:tc>
          <w:tcPr>
            <w:tcW w:w="620" w:type="dxa"/>
            <w:tcBorders>
              <w:top w:val="single" w:sz="4" w:space="0" w:color="auto"/>
              <w:bottom w:val="single" w:sz="4" w:space="0" w:color="auto"/>
            </w:tcBorders>
            <w:tcMar>
              <w:top w:w="29" w:type="dxa"/>
              <w:bottom w:w="29" w:type="dxa"/>
            </w:tcMar>
          </w:tcPr>
          <w:p w14:paraId="66D691B1" w14:textId="77777777" w:rsidR="003A2E2B" w:rsidRPr="00CD2660" w:rsidRDefault="003A2E2B" w:rsidP="009C503D">
            <w:pPr>
              <w:jc w:val="center"/>
              <w:rPr>
                <w:rFonts w:ascii="Times New Roman" w:eastAsia="Calibri" w:hAnsi="Times New Roman" w:cs="Times New Roman"/>
                <w:i/>
                <w:iCs/>
              </w:rPr>
            </w:pPr>
          </w:p>
        </w:tc>
        <w:tc>
          <w:tcPr>
            <w:tcW w:w="986" w:type="dxa"/>
            <w:tcBorders>
              <w:top w:val="single" w:sz="4" w:space="0" w:color="auto"/>
              <w:bottom w:val="single" w:sz="4" w:space="0" w:color="auto"/>
            </w:tcBorders>
            <w:tcMar>
              <w:top w:w="29" w:type="dxa"/>
              <w:bottom w:w="29" w:type="dxa"/>
            </w:tcMar>
          </w:tcPr>
          <w:p w14:paraId="50A0329A" w14:textId="77777777" w:rsidR="003A2E2B" w:rsidRPr="00CD2660" w:rsidRDefault="003A2E2B" w:rsidP="009C503D">
            <w:pPr>
              <w:jc w:val="center"/>
              <w:rPr>
                <w:rFonts w:ascii="Times New Roman" w:eastAsia="Calibri" w:hAnsi="Times New Roman" w:cs="Times New Roman"/>
                <w:i/>
                <w:iCs/>
              </w:rPr>
            </w:pPr>
          </w:p>
        </w:tc>
      </w:tr>
      <w:tr w:rsidR="00CD2660" w:rsidRPr="00CD2660" w14:paraId="0CE97CF6" w14:textId="77777777" w:rsidTr="001130FC">
        <w:trPr>
          <w:trHeight w:val="288"/>
        </w:trPr>
        <w:tc>
          <w:tcPr>
            <w:tcW w:w="2160" w:type="dxa"/>
            <w:tcBorders>
              <w:top w:val="nil"/>
              <w:bottom w:val="single" w:sz="18" w:space="0" w:color="auto"/>
            </w:tcBorders>
            <w:tcMar>
              <w:top w:w="29" w:type="dxa"/>
              <w:bottom w:w="29" w:type="dxa"/>
            </w:tcMar>
          </w:tcPr>
          <w:p w14:paraId="30954379"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single" w:sz="18" w:space="0" w:color="auto"/>
            </w:tcBorders>
            <w:tcMar>
              <w:top w:w="29" w:type="dxa"/>
              <w:bottom w:w="29" w:type="dxa"/>
            </w:tcMar>
          </w:tcPr>
          <w:p w14:paraId="694A42AF" w14:textId="77777777" w:rsidR="003A2E2B" w:rsidRPr="00CD2660" w:rsidRDefault="003A2E2B" w:rsidP="009C503D">
            <w:pPr>
              <w:ind w:left="372" w:hanging="372"/>
              <w:jc w:val="center"/>
              <w:rPr>
                <w:rFonts w:ascii="Times New Roman" w:eastAsia="Calibri" w:hAnsi="Times New Roman" w:cs="Times New Roman"/>
                <w:i/>
                <w:iCs/>
              </w:rPr>
            </w:pPr>
            <w:r w:rsidRPr="00CD2660">
              <w:rPr>
                <w:rFonts w:ascii="Times New Roman" w:eastAsia="Calibri" w:hAnsi="Times New Roman" w:cs="Times New Roman"/>
                <w:i/>
                <w:iCs/>
              </w:rPr>
              <w:t>ns</w:t>
            </w:r>
          </w:p>
        </w:tc>
        <w:tc>
          <w:tcPr>
            <w:tcW w:w="976" w:type="dxa"/>
            <w:tcBorders>
              <w:top w:val="nil"/>
              <w:bottom w:val="single" w:sz="18" w:space="0" w:color="auto"/>
            </w:tcBorders>
            <w:tcMar>
              <w:top w:w="29" w:type="dxa"/>
              <w:bottom w:w="29" w:type="dxa"/>
            </w:tcMar>
          </w:tcPr>
          <w:p w14:paraId="60ED2996" w14:textId="77777777" w:rsidR="003A2E2B" w:rsidRPr="00CD2660" w:rsidRDefault="003A2E2B" w:rsidP="009C503D">
            <w:pPr>
              <w:ind w:left="192" w:hanging="192"/>
              <w:jc w:val="center"/>
              <w:rPr>
                <w:rFonts w:ascii="Times New Roman" w:eastAsia="Calibri" w:hAnsi="Times New Roman" w:cs="Times New Roman"/>
              </w:rPr>
            </w:pPr>
          </w:p>
        </w:tc>
        <w:tc>
          <w:tcPr>
            <w:tcW w:w="849" w:type="dxa"/>
            <w:tcBorders>
              <w:top w:val="nil"/>
              <w:bottom w:val="single" w:sz="18" w:space="0" w:color="auto"/>
            </w:tcBorders>
            <w:tcMar>
              <w:top w:w="29" w:type="dxa"/>
              <w:bottom w:w="29" w:type="dxa"/>
            </w:tcMar>
          </w:tcPr>
          <w:p w14:paraId="05613C8F" w14:textId="77777777" w:rsidR="003A2E2B" w:rsidRPr="00CD2660" w:rsidRDefault="003A2E2B" w:rsidP="009C503D">
            <w:pPr>
              <w:ind w:left="192" w:hanging="192"/>
              <w:jc w:val="center"/>
              <w:rPr>
                <w:rFonts w:ascii="Times New Roman" w:eastAsia="Calibri" w:hAnsi="Times New Roman" w:cs="Times New Roman"/>
              </w:rPr>
            </w:pPr>
          </w:p>
        </w:tc>
        <w:tc>
          <w:tcPr>
            <w:tcW w:w="656" w:type="dxa"/>
            <w:tcBorders>
              <w:top w:val="nil"/>
              <w:bottom w:val="single" w:sz="18" w:space="0" w:color="auto"/>
            </w:tcBorders>
            <w:tcMar>
              <w:top w:w="29" w:type="dxa"/>
              <w:bottom w:w="29" w:type="dxa"/>
            </w:tcMar>
          </w:tcPr>
          <w:p w14:paraId="7E5CDDFC" w14:textId="77777777" w:rsidR="003A2E2B" w:rsidRPr="00CD2660" w:rsidRDefault="003A2E2B" w:rsidP="009C503D">
            <w:pPr>
              <w:ind w:left="192" w:hanging="192"/>
              <w:jc w:val="center"/>
              <w:rPr>
                <w:rFonts w:ascii="Times New Roman" w:eastAsia="Calibri" w:hAnsi="Times New Roman" w:cs="Times New Roman"/>
              </w:rPr>
            </w:pPr>
          </w:p>
        </w:tc>
        <w:tc>
          <w:tcPr>
            <w:tcW w:w="620" w:type="dxa"/>
            <w:tcBorders>
              <w:top w:val="nil"/>
              <w:bottom w:val="single" w:sz="18" w:space="0" w:color="auto"/>
            </w:tcBorders>
            <w:tcMar>
              <w:top w:w="29" w:type="dxa"/>
              <w:bottom w:w="29" w:type="dxa"/>
            </w:tcMar>
          </w:tcPr>
          <w:p w14:paraId="4BBD1AE9" w14:textId="77777777" w:rsidR="003A2E2B" w:rsidRPr="00CD2660" w:rsidRDefault="003A2E2B" w:rsidP="009C503D">
            <w:pPr>
              <w:ind w:left="192" w:hanging="192"/>
              <w:jc w:val="center"/>
              <w:rPr>
                <w:rFonts w:ascii="Times New Roman" w:eastAsia="Calibri" w:hAnsi="Times New Roman" w:cs="Times New Roman"/>
              </w:rPr>
            </w:pPr>
          </w:p>
        </w:tc>
        <w:tc>
          <w:tcPr>
            <w:tcW w:w="986" w:type="dxa"/>
            <w:tcBorders>
              <w:top w:val="nil"/>
              <w:bottom w:val="single" w:sz="18" w:space="0" w:color="auto"/>
            </w:tcBorders>
            <w:tcMar>
              <w:top w:w="29" w:type="dxa"/>
              <w:bottom w:w="29" w:type="dxa"/>
            </w:tcMar>
          </w:tcPr>
          <w:p w14:paraId="30BE3AFB" w14:textId="77777777" w:rsidR="003A2E2B" w:rsidRPr="00CD2660" w:rsidRDefault="003A2E2B" w:rsidP="009C503D">
            <w:pPr>
              <w:ind w:left="192" w:hanging="192"/>
              <w:jc w:val="center"/>
              <w:rPr>
                <w:rFonts w:ascii="Times New Roman" w:eastAsia="Calibri" w:hAnsi="Times New Roman" w:cs="Times New Roman"/>
              </w:rPr>
            </w:pPr>
          </w:p>
        </w:tc>
      </w:tr>
      <w:tr w:rsidR="00CD2660" w:rsidRPr="00CD2660" w14:paraId="628BF830" w14:textId="77777777" w:rsidTr="001130FC">
        <w:trPr>
          <w:trHeight w:val="288"/>
        </w:trPr>
        <w:tc>
          <w:tcPr>
            <w:tcW w:w="10229" w:type="dxa"/>
            <w:gridSpan w:val="7"/>
            <w:tcBorders>
              <w:top w:val="single" w:sz="18" w:space="0" w:color="auto"/>
              <w:bottom w:val="single" w:sz="4" w:space="0" w:color="auto"/>
            </w:tcBorders>
            <w:tcMar>
              <w:top w:w="29" w:type="dxa"/>
              <w:left w:w="115" w:type="dxa"/>
              <w:bottom w:w="29" w:type="dxa"/>
              <w:right w:w="115" w:type="dxa"/>
            </w:tcMar>
          </w:tcPr>
          <w:p w14:paraId="746BB1AC" w14:textId="77777777" w:rsidR="003A2E2B" w:rsidRPr="00CD2660" w:rsidRDefault="003A2E2B" w:rsidP="009C503D">
            <w:pPr>
              <w:jc w:val="center"/>
              <w:rPr>
                <w:rFonts w:ascii="Times New Roman" w:eastAsia="Calibri" w:hAnsi="Times New Roman" w:cs="Times New Roman"/>
                <w:b/>
                <w:bCs/>
                <w:i/>
                <w:iCs/>
              </w:rPr>
            </w:pPr>
            <w:r w:rsidRPr="00CD2660">
              <w:rPr>
                <w:rFonts w:ascii="Times New Roman" w:eastAsia="Calibri" w:hAnsi="Times New Roman" w:cs="Times New Roman"/>
                <w:b/>
                <w:bCs/>
              </w:rPr>
              <w:t>Diagnosis-Specific Symptom Model</w:t>
            </w:r>
          </w:p>
        </w:tc>
      </w:tr>
      <w:tr w:rsidR="00CD2660" w:rsidRPr="00CD2660" w14:paraId="23307BC0" w14:textId="77777777" w:rsidTr="001130FC">
        <w:tc>
          <w:tcPr>
            <w:tcW w:w="2160" w:type="dxa"/>
            <w:tcBorders>
              <w:top w:val="single" w:sz="18" w:space="0" w:color="auto"/>
              <w:bottom w:val="nil"/>
            </w:tcBorders>
            <w:tcMar>
              <w:top w:w="29" w:type="dxa"/>
              <w:bottom w:w="29" w:type="dxa"/>
            </w:tcMar>
          </w:tcPr>
          <w:p w14:paraId="2EBD2813" w14:textId="77777777" w:rsidR="003A2E2B" w:rsidRPr="00CD2660" w:rsidRDefault="003A2E2B" w:rsidP="009C503D">
            <w:pPr>
              <w:jc w:val="center"/>
              <w:rPr>
                <w:rFonts w:ascii="Times New Roman" w:eastAsia="Calibri" w:hAnsi="Times New Roman" w:cs="Times New Roman"/>
              </w:rPr>
            </w:pPr>
          </w:p>
        </w:tc>
        <w:tc>
          <w:tcPr>
            <w:tcW w:w="3982" w:type="dxa"/>
            <w:tcBorders>
              <w:top w:val="single" w:sz="18" w:space="0" w:color="auto"/>
              <w:bottom w:val="nil"/>
            </w:tcBorders>
            <w:tcMar>
              <w:top w:w="29" w:type="dxa"/>
              <w:bottom w:w="29" w:type="dxa"/>
            </w:tcMar>
          </w:tcPr>
          <w:p w14:paraId="29B72431" w14:textId="77777777" w:rsidR="003A2E2B" w:rsidRPr="00CD2660" w:rsidRDefault="003A2E2B" w:rsidP="009C503D">
            <w:pPr>
              <w:jc w:val="center"/>
              <w:rPr>
                <w:rFonts w:ascii="Times New Roman" w:eastAsia="Calibri" w:hAnsi="Times New Roman" w:cs="Times New Roman"/>
              </w:rPr>
            </w:pPr>
          </w:p>
        </w:tc>
        <w:tc>
          <w:tcPr>
            <w:tcW w:w="976" w:type="dxa"/>
            <w:tcBorders>
              <w:top w:val="single" w:sz="18" w:space="0" w:color="auto"/>
              <w:bottom w:val="nil"/>
            </w:tcBorders>
            <w:tcMar>
              <w:top w:w="29" w:type="dxa"/>
              <w:bottom w:w="29" w:type="dxa"/>
            </w:tcMar>
          </w:tcPr>
          <w:p w14:paraId="71F4239F" w14:textId="77777777" w:rsidR="003A2E2B" w:rsidRPr="00CD2660" w:rsidRDefault="003A2E2B" w:rsidP="009C503D">
            <w:pPr>
              <w:jc w:val="center"/>
              <w:rPr>
                <w:rFonts w:ascii="Times New Roman" w:eastAsia="Calibri" w:hAnsi="Times New Roman" w:cs="Times New Roman"/>
              </w:rPr>
            </w:pPr>
          </w:p>
        </w:tc>
        <w:tc>
          <w:tcPr>
            <w:tcW w:w="2125" w:type="dxa"/>
            <w:gridSpan w:val="3"/>
            <w:tcBorders>
              <w:top w:val="single" w:sz="18" w:space="0" w:color="auto"/>
              <w:bottom w:val="single" w:sz="4" w:space="0" w:color="auto"/>
            </w:tcBorders>
            <w:tcMar>
              <w:top w:w="29" w:type="dxa"/>
              <w:bottom w:w="29" w:type="dxa"/>
            </w:tcMar>
          </w:tcPr>
          <w:p w14:paraId="3E0770F7"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Peak Coordinates</w:t>
            </w:r>
          </w:p>
        </w:tc>
        <w:tc>
          <w:tcPr>
            <w:tcW w:w="986" w:type="dxa"/>
            <w:tcBorders>
              <w:top w:val="single" w:sz="18" w:space="0" w:color="auto"/>
              <w:bottom w:val="nil"/>
            </w:tcBorders>
            <w:tcMar>
              <w:top w:w="29" w:type="dxa"/>
              <w:bottom w:w="29" w:type="dxa"/>
            </w:tcMar>
          </w:tcPr>
          <w:p w14:paraId="3E858447" w14:textId="77777777" w:rsidR="003A2E2B" w:rsidRPr="00CD2660" w:rsidRDefault="003A2E2B" w:rsidP="009C503D">
            <w:pPr>
              <w:jc w:val="center"/>
              <w:rPr>
                <w:rFonts w:ascii="Times New Roman" w:eastAsia="Calibri" w:hAnsi="Times New Roman" w:cs="Times New Roman"/>
              </w:rPr>
            </w:pPr>
          </w:p>
        </w:tc>
      </w:tr>
      <w:tr w:rsidR="00CD2660" w:rsidRPr="00CD2660" w14:paraId="67B21A03" w14:textId="77777777" w:rsidTr="001130FC">
        <w:tc>
          <w:tcPr>
            <w:tcW w:w="2160" w:type="dxa"/>
            <w:tcBorders>
              <w:top w:val="nil"/>
              <w:bottom w:val="single" w:sz="4" w:space="0" w:color="auto"/>
            </w:tcBorders>
            <w:tcMar>
              <w:top w:w="29" w:type="dxa"/>
              <w:bottom w:w="29" w:type="dxa"/>
            </w:tcMar>
          </w:tcPr>
          <w:p w14:paraId="16083411" w14:textId="77777777" w:rsidR="003A2E2B" w:rsidRPr="00CD2660" w:rsidRDefault="003A2E2B" w:rsidP="009C503D">
            <w:pPr>
              <w:jc w:val="center"/>
              <w:rPr>
                <w:rFonts w:ascii="Times New Roman" w:eastAsia="Calibri" w:hAnsi="Times New Roman" w:cs="Times New Roman"/>
              </w:rPr>
            </w:pPr>
          </w:p>
        </w:tc>
        <w:tc>
          <w:tcPr>
            <w:tcW w:w="3982" w:type="dxa"/>
            <w:tcBorders>
              <w:top w:val="nil"/>
              <w:bottom w:val="single" w:sz="4" w:space="0" w:color="auto"/>
            </w:tcBorders>
            <w:tcMar>
              <w:top w:w="29" w:type="dxa"/>
              <w:bottom w:w="29" w:type="dxa"/>
            </w:tcMar>
          </w:tcPr>
          <w:p w14:paraId="53C2364F"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Anatomical Regions</w:t>
            </w:r>
          </w:p>
        </w:tc>
        <w:tc>
          <w:tcPr>
            <w:tcW w:w="976" w:type="dxa"/>
            <w:tcBorders>
              <w:top w:val="nil"/>
              <w:bottom w:val="single" w:sz="4" w:space="0" w:color="auto"/>
            </w:tcBorders>
            <w:tcMar>
              <w:top w:w="29" w:type="dxa"/>
              <w:bottom w:w="29" w:type="dxa"/>
            </w:tcMar>
          </w:tcPr>
          <w:p w14:paraId="5CAA4F23"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k</w:t>
            </w:r>
          </w:p>
        </w:tc>
        <w:tc>
          <w:tcPr>
            <w:tcW w:w="849" w:type="dxa"/>
            <w:tcBorders>
              <w:top w:val="single" w:sz="4" w:space="0" w:color="auto"/>
              <w:bottom w:val="single" w:sz="4" w:space="0" w:color="auto"/>
            </w:tcBorders>
            <w:tcMar>
              <w:top w:w="29" w:type="dxa"/>
              <w:bottom w:w="29" w:type="dxa"/>
            </w:tcMar>
          </w:tcPr>
          <w:p w14:paraId="0CAAD4C6"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x</w:t>
            </w:r>
          </w:p>
        </w:tc>
        <w:tc>
          <w:tcPr>
            <w:tcW w:w="656" w:type="dxa"/>
            <w:tcBorders>
              <w:top w:val="single" w:sz="4" w:space="0" w:color="auto"/>
              <w:bottom w:val="single" w:sz="4" w:space="0" w:color="auto"/>
            </w:tcBorders>
            <w:tcMar>
              <w:top w:w="29" w:type="dxa"/>
              <w:bottom w:w="29" w:type="dxa"/>
            </w:tcMar>
          </w:tcPr>
          <w:p w14:paraId="10B1685B"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y</w:t>
            </w:r>
          </w:p>
        </w:tc>
        <w:tc>
          <w:tcPr>
            <w:tcW w:w="620" w:type="dxa"/>
            <w:tcBorders>
              <w:top w:val="single" w:sz="4" w:space="0" w:color="auto"/>
              <w:bottom w:val="single" w:sz="4" w:space="0" w:color="auto"/>
            </w:tcBorders>
            <w:tcMar>
              <w:top w:w="29" w:type="dxa"/>
              <w:bottom w:w="29" w:type="dxa"/>
            </w:tcMar>
          </w:tcPr>
          <w:p w14:paraId="00FD15EC"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z</w:t>
            </w:r>
          </w:p>
        </w:tc>
        <w:tc>
          <w:tcPr>
            <w:tcW w:w="986" w:type="dxa"/>
            <w:tcBorders>
              <w:top w:val="nil"/>
              <w:bottom w:val="single" w:sz="4" w:space="0" w:color="auto"/>
            </w:tcBorders>
            <w:tcMar>
              <w:top w:w="29" w:type="dxa"/>
              <w:bottom w:w="29" w:type="dxa"/>
            </w:tcMar>
          </w:tcPr>
          <w:p w14:paraId="083EAE51"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z-score</w:t>
            </w:r>
          </w:p>
        </w:tc>
      </w:tr>
      <w:tr w:rsidR="00CD2660" w:rsidRPr="00CD2660" w14:paraId="7C287018" w14:textId="77777777" w:rsidTr="001130FC">
        <w:trPr>
          <w:trHeight w:val="288"/>
        </w:trPr>
        <w:tc>
          <w:tcPr>
            <w:tcW w:w="2160" w:type="dxa"/>
            <w:tcBorders>
              <w:top w:val="single" w:sz="4" w:space="0" w:color="auto"/>
              <w:bottom w:val="single" w:sz="4" w:space="0" w:color="auto"/>
            </w:tcBorders>
            <w:tcMar>
              <w:top w:w="29" w:type="dxa"/>
              <w:left w:w="115" w:type="dxa"/>
              <w:bottom w:w="29" w:type="dxa"/>
              <w:right w:w="115" w:type="dxa"/>
            </w:tcMar>
          </w:tcPr>
          <w:p w14:paraId="369CE076"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rPr>
              <w:t>Symptom Slope</w:t>
            </w:r>
          </w:p>
        </w:tc>
        <w:tc>
          <w:tcPr>
            <w:tcW w:w="3982" w:type="dxa"/>
            <w:tcBorders>
              <w:top w:val="single" w:sz="4" w:space="0" w:color="auto"/>
              <w:bottom w:val="single" w:sz="4" w:space="0" w:color="auto"/>
            </w:tcBorders>
            <w:tcMar>
              <w:top w:w="29" w:type="dxa"/>
              <w:left w:w="115" w:type="dxa"/>
              <w:bottom w:w="29" w:type="dxa"/>
              <w:right w:w="115" w:type="dxa"/>
            </w:tcMar>
          </w:tcPr>
          <w:p w14:paraId="3B5BD84C" w14:textId="77777777" w:rsidR="003A2E2B" w:rsidRPr="00CD2660" w:rsidRDefault="003A2E2B" w:rsidP="009C503D">
            <w:pPr>
              <w:jc w:val="center"/>
              <w:rPr>
                <w:rFonts w:ascii="Times New Roman" w:eastAsia="Calibri" w:hAnsi="Times New Roman" w:cs="Times New Roman"/>
                <w:i/>
                <w:iCs/>
              </w:rPr>
            </w:pPr>
          </w:p>
        </w:tc>
        <w:tc>
          <w:tcPr>
            <w:tcW w:w="976" w:type="dxa"/>
            <w:tcBorders>
              <w:top w:val="single" w:sz="4" w:space="0" w:color="auto"/>
              <w:bottom w:val="single" w:sz="4" w:space="0" w:color="auto"/>
            </w:tcBorders>
            <w:tcMar>
              <w:top w:w="29" w:type="dxa"/>
              <w:bottom w:w="29" w:type="dxa"/>
            </w:tcMar>
          </w:tcPr>
          <w:p w14:paraId="4D85B5BF" w14:textId="77777777" w:rsidR="003A2E2B" w:rsidRPr="00CD2660" w:rsidRDefault="003A2E2B" w:rsidP="009C503D">
            <w:pPr>
              <w:jc w:val="center"/>
              <w:rPr>
                <w:rFonts w:ascii="Times New Roman" w:eastAsia="Calibri" w:hAnsi="Times New Roman" w:cs="Times New Roman"/>
                <w:i/>
                <w:iCs/>
              </w:rPr>
            </w:pPr>
          </w:p>
        </w:tc>
        <w:tc>
          <w:tcPr>
            <w:tcW w:w="849" w:type="dxa"/>
            <w:tcBorders>
              <w:top w:val="single" w:sz="4" w:space="0" w:color="auto"/>
              <w:bottom w:val="single" w:sz="4" w:space="0" w:color="auto"/>
            </w:tcBorders>
            <w:tcMar>
              <w:top w:w="29" w:type="dxa"/>
              <w:bottom w:w="29" w:type="dxa"/>
            </w:tcMar>
          </w:tcPr>
          <w:p w14:paraId="1D9A4DEF" w14:textId="77777777" w:rsidR="003A2E2B" w:rsidRPr="00CD2660" w:rsidRDefault="003A2E2B" w:rsidP="009C503D">
            <w:pPr>
              <w:jc w:val="center"/>
              <w:rPr>
                <w:rFonts w:ascii="Times New Roman" w:eastAsia="Calibri" w:hAnsi="Times New Roman" w:cs="Times New Roman"/>
                <w:i/>
                <w:iCs/>
              </w:rPr>
            </w:pPr>
          </w:p>
        </w:tc>
        <w:tc>
          <w:tcPr>
            <w:tcW w:w="656" w:type="dxa"/>
            <w:tcBorders>
              <w:top w:val="single" w:sz="4" w:space="0" w:color="auto"/>
              <w:bottom w:val="single" w:sz="4" w:space="0" w:color="auto"/>
            </w:tcBorders>
            <w:tcMar>
              <w:top w:w="29" w:type="dxa"/>
              <w:bottom w:w="29" w:type="dxa"/>
            </w:tcMar>
          </w:tcPr>
          <w:p w14:paraId="43AC92BB" w14:textId="77777777" w:rsidR="003A2E2B" w:rsidRPr="00CD2660" w:rsidRDefault="003A2E2B" w:rsidP="009C503D">
            <w:pPr>
              <w:jc w:val="center"/>
              <w:rPr>
                <w:rFonts w:ascii="Times New Roman" w:eastAsia="Calibri" w:hAnsi="Times New Roman" w:cs="Times New Roman"/>
                <w:i/>
                <w:iCs/>
              </w:rPr>
            </w:pPr>
          </w:p>
        </w:tc>
        <w:tc>
          <w:tcPr>
            <w:tcW w:w="620" w:type="dxa"/>
            <w:tcBorders>
              <w:top w:val="single" w:sz="4" w:space="0" w:color="auto"/>
              <w:bottom w:val="single" w:sz="4" w:space="0" w:color="auto"/>
            </w:tcBorders>
            <w:tcMar>
              <w:top w:w="29" w:type="dxa"/>
              <w:bottom w:w="29" w:type="dxa"/>
            </w:tcMar>
          </w:tcPr>
          <w:p w14:paraId="4E85DFA8" w14:textId="77777777" w:rsidR="003A2E2B" w:rsidRPr="00CD2660" w:rsidRDefault="003A2E2B" w:rsidP="009C503D">
            <w:pPr>
              <w:jc w:val="center"/>
              <w:rPr>
                <w:rFonts w:ascii="Times New Roman" w:eastAsia="Calibri" w:hAnsi="Times New Roman" w:cs="Times New Roman"/>
                <w:i/>
                <w:iCs/>
              </w:rPr>
            </w:pPr>
          </w:p>
        </w:tc>
        <w:tc>
          <w:tcPr>
            <w:tcW w:w="986" w:type="dxa"/>
            <w:tcBorders>
              <w:top w:val="single" w:sz="4" w:space="0" w:color="auto"/>
              <w:bottom w:val="single" w:sz="4" w:space="0" w:color="auto"/>
            </w:tcBorders>
            <w:tcMar>
              <w:top w:w="29" w:type="dxa"/>
              <w:bottom w:w="29" w:type="dxa"/>
            </w:tcMar>
          </w:tcPr>
          <w:p w14:paraId="00E21411" w14:textId="77777777" w:rsidR="003A2E2B" w:rsidRPr="00CD2660" w:rsidRDefault="003A2E2B" w:rsidP="009C503D">
            <w:pPr>
              <w:jc w:val="center"/>
              <w:rPr>
                <w:rFonts w:ascii="Times New Roman" w:eastAsia="Calibri" w:hAnsi="Times New Roman" w:cs="Times New Roman"/>
                <w:i/>
                <w:iCs/>
              </w:rPr>
            </w:pPr>
          </w:p>
        </w:tc>
      </w:tr>
      <w:tr w:rsidR="00CD2660" w:rsidRPr="00CD2660" w14:paraId="5F838728" w14:textId="77777777" w:rsidTr="001130FC">
        <w:trPr>
          <w:trHeight w:val="288"/>
        </w:trPr>
        <w:tc>
          <w:tcPr>
            <w:tcW w:w="2160" w:type="dxa"/>
            <w:tcBorders>
              <w:top w:val="nil"/>
              <w:bottom w:val="nil"/>
            </w:tcBorders>
            <w:tcMar>
              <w:top w:w="29" w:type="dxa"/>
              <w:bottom w:w="29" w:type="dxa"/>
            </w:tcMar>
          </w:tcPr>
          <w:p w14:paraId="36613119"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nil"/>
            </w:tcBorders>
            <w:tcMar>
              <w:top w:w="29" w:type="dxa"/>
              <w:bottom w:w="29" w:type="dxa"/>
            </w:tcMar>
          </w:tcPr>
          <w:p w14:paraId="49A54C25" w14:textId="77777777" w:rsidR="003A2E2B" w:rsidRPr="00CD2660" w:rsidRDefault="003A2E2B" w:rsidP="009C503D">
            <w:pPr>
              <w:jc w:val="center"/>
              <w:rPr>
                <w:rFonts w:ascii="Times New Roman" w:eastAsia="Calibri" w:hAnsi="Times New Roman" w:cs="Times New Roman"/>
                <w:i/>
                <w:iCs/>
              </w:rPr>
            </w:pPr>
            <w:r w:rsidRPr="00CD2660">
              <w:rPr>
                <w:rFonts w:ascii="Times New Roman" w:eastAsia="Calibri" w:hAnsi="Times New Roman" w:cs="Times New Roman"/>
                <w:i/>
                <w:iCs/>
              </w:rPr>
              <w:t>ns</w:t>
            </w:r>
          </w:p>
        </w:tc>
        <w:tc>
          <w:tcPr>
            <w:tcW w:w="976" w:type="dxa"/>
            <w:tcBorders>
              <w:top w:val="nil"/>
              <w:bottom w:val="nil"/>
            </w:tcBorders>
            <w:tcMar>
              <w:top w:w="29" w:type="dxa"/>
              <w:bottom w:w="29" w:type="dxa"/>
            </w:tcMar>
          </w:tcPr>
          <w:p w14:paraId="65670CE4" w14:textId="77777777" w:rsidR="003A2E2B" w:rsidRPr="00CD2660" w:rsidRDefault="003A2E2B" w:rsidP="009C503D">
            <w:pPr>
              <w:jc w:val="center"/>
              <w:rPr>
                <w:rFonts w:ascii="Times New Roman" w:eastAsia="Calibri" w:hAnsi="Times New Roman" w:cs="Times New Roman"/>
              </w:rPr>
            </w:pPr>
          </w:p>
        </w:tc>
        <w:tc>
          <w:tcPr>
            <w:tcW w:w="849" w:type="dxa"/>
            <w:tcBorders>
              <w:top w:val="nil"/>
              <w:bottom w:val="nil"/>
            </w:tcBorders>
            <w:tcMar>
              <w:top w:w="29" w:type="dxa"/>
              <w:bottom w:w="29" w:type="dxa"/>
            </w:tcMar>
          </w:tcPr>
          <w:p w14:paraId="3D6684C8" w14:textId="77777777" w:rsidR="003A2E2B" w:rsidRPr="00CD2660" w:rsidRDefault="003A2E2B" w:rsidP="009C503D">
            <w:pPr>
              <w:jc w:val="center"/>
              <w:rPr>
                <w:rFonts w:ascii="Times New Roman" w:eastAsia="Calibri" w:hAnsi="Times New Roman" w:cs="Times New Roman"/>
              </w:rPr>
            </w:pPr>
          </w:p>
        </w:tc>
        <w:tc>
          <w:tcPr>
            <w:tcW w:w="656" w:type="dxa"/>
            <w:tcBorders>
              <w:top w:val="nil"/>
              <w:bottom w:val="nil"/>
            </w:tcBorders>
            <w:tcMar>
              <w:top w:w="29" w:type="dxa"/>
              <w:bottom w:w="29" w:type="dxa"/>
            </w:tcMar>
          </w:tcPr>
          <w:p w14:paraId="2100D376" w14:textId="77777777" w:rsidR="003A2E2B" w:rsidRPr="00CD2660" w:rsidRDefault="003A2E2B" w:rsidP="009C503D">
            <w:pPr>
              <w:jc w:val="center"/>
              <w:rPr>
                <w:rFonts w:ascii="Times New Roman" w:eastAsia="Calibri" w:hAnsi="Times New Roman" w:cs="Times New Roman"/>
              </w:rPr>
            </w:pPr>
          </w:p>
        </w:tc>
        <w:tc>
          <w:tcPr>
            <w:tcW w:w="620" w:type="dxa"/>
            <w:tcBorders>
              <w:top w:val="nil"/>
              <w:bottom w:val="nil"/>
            </w:tcBorders>
            <w:tcMar>
              <w:top w:w="29" w:type="dxa"/>
              <w:bottom w:w="29" w:type="dxa"/>
            </w:tcMar>
          </w:tcPr>
          <w:p w14:paraId="37BD1170" w14:textId="77777777" w:rsidR="003A2E2B" w:rsidRPr="00CD2660" w:rsidRDefault="003A2E2B" w:rsidP="009C503D">
            <w:pPr>
              <w:jc w:val="center"/>
              <w:rPr>
                <w:rFonts w:ascii="Times New Roman" w:eastAsia="Calibri" w:hAnsi="Times New Roman" w:cs="Times New Roman"/>
              </w:rPr>
            </w:pPr>
          </w:p>
        </w:tc>
        <w:tc>
          <w:tcPr>
            <w:tcW w:w="986" w:type="dxa"/>
            <w:tcBorders>
              <w:top w:val="nil"/>
              <w:bottom w:val="nil"/>
            </w:tcBorders>
            <w:tcMar>
              <w:top w:w="29" w:type="dxa"/>
              <w:bottom w:w="29" w:type="dxa"/>
            </w:tcMar>
          </w:tcPr>
          <w:p w14:paraId="6B52B8AC" w14:textId="77777777" w:rsidR="003A2E2B" w:rsidRPr="00CD2660" w:rsidRDefault="003A2E2B" w:rsidP="009C503D">
            <w:pPr>
              <w:jc w:val="center"/>
              <w:rPr>
                <w:rFonts w:ascii="Times New Roman" w:eastAsia="Calibri" w:hAnsi="Times New Roman" w:cs="Times New Roman"/>
              </w:rPr>
            </w:pPr>
          </w:p>
        </w:tc>
      </w:tr>
      <w:tr w:rsidR="00CD2660" w:rsidRPr="00CD2660" w14:paraId="789C81FE" w14:textId="77777777" w:rsidTr="001130FC">
        <w:trPr>
          <w:trHeight w:val="288"/>
        </w:trPr>
        <w:tc>
          <w:tcPr>
            <w:tcW w:w="2160" w:type="dxa"/>
            <w:tcBorders>
              <w:top w:val="single" w:sz="4" w:space="0" w:color="auto"/>
              <w:bottom w:val="single" w:sz="4" w:space="0" w:color="auto"/>
            </w:tcBorders>
            <w:tcMar>
              <w:top w:w="29" w:type="dxa"/>
              <w:left w:w="115" w:type="dxa"/>
              <w:bottom w:w="29" w:type="dxa"/>
              <w:right w:w="115" w:type="dxa"/>
            </w:tcMar>
          </w:tcPr>
          <w:p w14:paraId="53E5004B"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rPr>
              <w:t>Treatment Arm</w:t>
            </w:r>
          </w:p>
        </w:tc>
        <w:tc>
          <w:tcPr>
            <w:tcW w:w="3982" w:type="dxa"/>
            <w:tcBorders>
              <w:top w:val="single" w:sz="4" w:space="0" w:color="auto"/>
              <w:bottom w:val="single" w:sz="4" w:space="0" w:color="auto"/>
            </w:tcBorders>
            <w:tcMar>
              <w:top w:w="29" w:type="dxa"/>
              <w:left w:w="115" w:type="dxa"/>
              <w:bottom w:w="29" w:type="dxa"/>
              <w:right w:w="115" w:type="dxa"/>
            </w:tcMar>
          </w:tcPr>
          <w:p w14:paraId="13491344" w14:textId="77777777" w:rsidR="003A2E2B" w:rsidRPr="00CD2660" w:rsidRDefault="003A2E2B" w:rsidP="009C503D">
            <w:pPr>
              <w:jc w:val="center"/>
              <w:rPr>
                <w:rFonts w:ascii="Times New Roman" w:eastAsia="Calibri" w:hAnsi="Times New Roman" w:cs="Times New Roman"/>
                <w:i/>
                <w:iCs/>
              </w:rPr>
            </w:pPr>
          </w:p>
        </w:tc>
        <w:tc>
          <w:tcPr>
            <w:tcW w:w="976" w:type="dxa"/>
            <w:tcBorders>
              <w:top w:val="single" w:sz="4" w:space="0" w:color="auto"/>
              <w:bottom w:val="single" w:sz="4" w:space="0" w:color="auto"/>
            </w:tcBorders>
            <w:tcMar>
              <w:top w:w="29" w:type="dxa"/>
              <w:bottom w:w="29" w:type="dxa"/>
            </w:tcMar>
          </w:tcPr>
          <w:p w14:paraId="7574DF42" w14:textId="77777777" w:rsidR="003A2E2B" w:rsidRPr="00CD2660" w:rsidRDefault="003A2E2B" w:rsidP="009C503D">
            <w:pPr>
              <w:jc w:val="center"/>
              <w:rPr>
                <w:rFonts w:ascii="Times New Roman" w:eastAsia="Calibri" w:hAnsi="Times New Roman" w:cs="Times New Roman"/>
                <w:i/>
                <w:iCs/>
              </w:rPr>
            </w:pPr>
          </w:p>
        </w:tc>
        <w:tc>
          <w:tcPr>
            <w:tcW w:w="849" w:type="dxa"/>
            <w:tcBorders>
              <w:top w:val="single" w:sz="4" w:space="0" w:color="auto"/>
              <w:bottom w:val="single" w:sz="4" w:space="0" w:color="auto"/>
            </w:tcBorders>
            <w:tcMar>
              <w:top w:w="29" w:type="dxa"/>
              <w:bottom w:w="29" w:type="dxa"/>
            </w:tcMar>
          </w:tcPr>
          <w:p w14:paraId="1FA5D2BA" w14:textId="77777777" w:rsidR="003A2E2B" w:rsidRPr="00CD2660" w:rsidRDefault="003A2E2B" w:rsidP="009C503D">
            <w:pPr>
              <w:jc w:val="center"/>
              <w:rPr>
                <w:rFonts w:ascii="Times New Roman" w:eastAsia="Calibri" w:hAnsi="Times New Roman" w:cs="Times New Roman"/>
                <w:i/>
                <w:iCs/>
              </w:rPr>
            </w:pPr>
          </w:p>
        </w:tc>
        <w:tc>
          <w:tcPr>
            <w:tcW w:w="656" w:type="dxa"/>
            <w:tcBorders>
              <w:top w:val="single" w:sz="4" w:space="0" w:color="auto"/>
              <w:bottom w:val="single" w:sz="4" w:space="0" w:color="auto"/>
            </w:tcBorders>
            <w:tcMar>
              <w:top w:w="29" w:type="dxa"/>
              <w:bottom w:w="29" w:type="dxa"/>
            </w:tcMar>
          </w:tcPr>
          <w:p w14:paraId="3791E4D7" w14:textId="77777777" w:rsidR="003A2E2B" w:rsidRPr="00CD2660" w:rsidRDefault="003A2E2B" w:rsidP="009C503D">
            <w:pPr>
              <w:jc w:val="center"/>
              <w:rPr>
                <w:rFonts w:ascii="Times New Roman" w:eastAsia="Calibri" w:hAnsi="Times New Roman" w:cs="Times New Roman"/>
                <w:i/>
                <w:iCs/>
              </w:rPr>
            </w:pPr>
          </w:p>
        </w:tc>
        <w:tc>
          <w:tcPr>
            <w:tcW w:w="620" w:type="dxa"/>
            <w:tcBorders>
              <w:top w:val="single" w:sz="4" w:space="0" w:color="auto"/>
              <w:bottom w:val="single" w:sz="4" w:space="0" w:color="auto"/>
            </w:tcBorders>
            <w:tcMar>
              <w:top w:w="29" w:type="dxa"/>
              <w:bottom w:w="29" w:type="dxa"/>
            </w:tcMar>
          </w:tcPr>
          <w:p w14:paraId="7304D994" w14:textId="77777777" w:rsidR="003A2E2B" w:rsidRPr="00CD2660" w:rsidRDefault="003A2E2B" w:rsidP="009C503D">
            <w:pPr>
              <w:jc w:val="center"/>
              <w:rPr>
                <w:rFonts w:ascii="Times New Roman" w:eastAsia="Calibri" w:hAnsi="Times New Roman" w:cs="Times New Roman"/>
                <w:i/>
                <w:iCs/>
              </w:rPr>
            </w:pPr>
          </w:p>
        </w:tc>
        <w:tc>
          <w:tcPr>
            <w:tcW w:w="986" w:type="dxa"/>
            <w:tcBorders>
              <w:top w:val="single" w:sz="4" w:space="0" w:color="auto"/>
              <w:bottom w:val="single" w:sz="4" w:space="0" w:color="auto"/>
            </w:tcBorders>
            <w:tcMar>
              <w:top w:w="29" w:type="dxa"/>
              <w:bottom w:w="29" w:type="dxa"/>
            </w:tcMar>
          </w:tcPr>
          <w:p w14:paraId="1C1BFBED" w14:textId="77777777" w:rsidR="003A2E2B" w:rsidRPr="00CD2660" w:rsidRDefault="003A2E2B" w:rsidP="009C503D">
            <w:pPr>
              <w:jc w:val="center"/>
              <w:rPr>
                <w:rFonts w:ascii="Times New Roman" w:eastAsia="Calibri" w:hAnsi="Times New Roman" w:cs="Times New Roman"/>
                <w:i/>
                <w:iCs/>
              </w:rPr>
            </w:pPr>
          </w:p>
        </w:tc>
      </w:tr>
      <w:tr w:rsidR="00CD2660" w:rsidRPr="00CD2660" w14:paraId="09E1B8D4" w14:textId="77777777" w:rsidTr="001130FC">
        <w:trPr>
          <w:trHeight w:val="288"/>
        </w:trPr>
        <w:tc>
          <w:tcPr>
            <w:tcW w:w="2160" w:type="dxa"/>
            <w:tcBorders>
              <w:top w:val="nil"/>
              <w:bottom w:val="nil"/>
            </w:tcBorders>
            <w:tcMar>
              <w:top w:w="29" w:type="dxa"/>
              <w:bottom w:w="29" w:type="dxa"/>
            </w:tcMar>
          </w:tcPr>
          <w:p w14:paraId="2733F7BE"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nil"/>
            </w:tcBorders>
            <w:tcMar>
              <w:top w:w="29" w:type="dxa"/>
              <w:bottom w:w="29" w:type="dxa"/>
            </w:tcMar>
          </w:tcPr>
          <w:p w14:paraId="0FB40147" w14:textId="77777777" w:rsidR="003A2E2B" w:rsidRPr="00CD2660" w:rsidRDefault="003A2E2B" w:rsidP="009C503D">
            <w:pPr>
              <w:ind w:left="372" w:hanging="372"/>
              <w:jc w:val="center"/>
              <w:rPr>
                <w:rFonts w:ascii="Times New Roman" w:eastAsia="Calibri" w:hAnsi="Times New Roman" w:cs="Times New Roman"/>
                <w:i/>
                <w:iCs/>
              </w:rPr>
            </w:pPr>
            <w:r w:rsidRPr="00CD2660">
              <w:rPr>
                <w:rFonts w:ascii="Times New Roman" w:eastAsia="Calibri" w:hAnsi="Times New Roman" w:cs="Times New Roman"/>
                <w:i/>
                <w:iCs/>
              </w:rPr>
              <w:t>ns</w:t>
            </w:r>
          </w:p>
        </w:tc>
        <w:tc>
          <w:tcPr>
            <w:tcW w:w="976" w:type="dxa"/>
            <w:tcBorders>
              <w:top w:val="nil"/>
              <w:bottom w:val="nil"/>
            </w:tcBorders>
            <w:tcMar>
              <w:top w:w="29" w:type="dxa"/>
              <w:bottom w:w="29" w:type="dxa"/>
            </w:tcMar>
          </w:tcPr>
          <w:p w14:paraId="07A1BEB0" w14:textId="77777777" w:rsidR="003A2E2B" w:rsidRPr="00CD2660" w:rsidRDefault="003A2E2B" w:rsidP="009C503D">
            <w:pPr>
              <w:ind w:left="192" w:hanging="192"/>
              <w:jc w:val="center"/>
              <w:rPr>
                <w:rFonts w:ascii="Times New Roman" w:eastAsia="Calibri" w:hAnsi="Times New Roman" w:cs="Times New Roman"/>
              </w:rPr>
            </w:pPr>
          </w:p>
        </w:tc>
        <w:tc>
          <w:tcPr>
            <w:tcW w:w="849" w:type="dxa"/>
            <w:tcBorders>
              <w:top w:val="nil"/>
              <w:bottom w:val="nil"/>
            </w:tcBorders>
            <w:tcMar>
              <w:top w:w="29" w:type="dxa"/>
              <w:bottom w:w="29" w:type="dxa"/>
            </w:tcMar>
          </w:tcPr>
          <w:p w14:paraId="631D1AC3" w14:textId="77777777" w:rsidR="003A2E2B" w:rsidRPr="00CD2660" w:rsidRDefault="003A2E2B" w:rsidP="009C503D">
            <w:pPr>
              <w:ind w:left="192" w:hanging="192"/>
              <w:jc w:val="center"/>
              <w:rPr>
                <w:rFonts w:ascii="Times New Roman" w:eastAsia="Calibri" w:hAnsi="Times New Roman" w:cs="Times New Roman"/>
              </w:rPr>
            </w:pPr>
          </w:p>
        </w:tc>
        <w:tc>
          <w:tcPr>
            <w:tcW w:w="656" w:type="dxa"/>
            <w:tcBorders>
              <w:top w:val="nil"/>
              <w:bottom w:val="nil"/>
            </w:tcBorders>
            <w:tcMar>
              <w:top w:w="29" w:type="dxa"/>
              <w:bottom w:w="29" w:type="dxa"/>
            </w:tcMar>
          </w:tcPr>
          <w:p w14:paraId="6E9886D9" w14:textId="77777777" w:rsidR="003A2E2B" w:rsidRPr="00CD2660" w:rsidRDefault="003A2E2B" w:rsidP="009C503D">
            <w:pPr>
              <w:ind w:left="192" w:hanging="192"/>
              <w:jc w:val="center"/>
              <w:rPr>
                <w:rFonts w:ascii="Times New Roman" w:eastAsia="Calibri" w:hAnsi="Times New Roman" w:cs="Times New Roman"/>
              </w:rPr>
            </w:pPr>
          </w:p>
        </w:tc>
        <w:tc>
          <w:tcPr>
            <w:tcW w:w="620" w:type="dxa"/>
            <w:tcBorders>
              <w:top w:val="nil"/>
              <w:bottom w:val="nil"/>
            </w:tcBorders>
            <w:tcMar>
              <w:top w:w="29" w:type="dxa"/>
              <w:bottom w:w="29" w:type="dxa"/>
            </w:tcMar>
          </w:tcPr>
          <w:p w14:paraId="6C7A3521" w14:textId="77777777" w:rsidR="003A2E2B" w:rsidRPr="00CD2660" w:rsidRDefault="003A2E2B" w:rsidP="009C503D">
            <w:pPr>
              <w:ind w:left="192" w:hanging="192"/>
              <w:jc w:val="center"/>
              <w:rPr>
                <w:rFonts w:ascii="Times New Roman" w:eastAsia="Calibri" w:hAnsi="Times New Roman" w:cs="Times New Roman"/>
              </w:rPr>
            </w:pPr>
          </w:p>
        </w:tc>
        <w:tc>
          <w:tcPr>
            <w:tcW w:w="986" w:type="dxa"/>
            <w:tcBorders>
              <w:top w:val="nil"/>
              <w:bottom w:val="nil"/>
            </w:tcBorders>
            <w:tcMar>
              <w:top w:w="29" w:type="dxa"/>
              <w:bottom w:w="29" w:type="dxa"/>
            </w:tcMar>
          </w:tcPr>
          <w:p w14:paraId="27552E66" w14:textId="77777777" w:rsidR="003A2E2B" w:rsidRPr="00CD2660" w:rsidRDefault="003A2E2B" w:rsidP="009C503D">
            <w:pPr>
              <w:ind w:left="192" w:hanging="192"/>
              <w:jc w:val="center"/>
              <w:rPr>
                <w:rFonts w:ascii="Times New Roman" w:eastAsia="Calibri" w:hAnsi="Times New Roman" w:cs="Times New Roman"/>
              </w:rPr>
            </w:pPr>
          </w:p>
        </w:tc>
      </w:tr>
      <w:tr w:rsidR="00CD2660" w:rsidRPr="00CD2660" w14:paraId="2220FB7A" w14:textId="77777777" w:rsidTr="001130FC">
        <w:trPr>
          <w:trHeight w:val="288"/>
        </w:trPr>
        <w:tc>
          <w:tcPr>
            <w:tcW w:w="2160" w:type="dxa"/>
            <w:tcBorders>
              <w:top w:val="single" w:sz="4" w:space="0" w:color="auto"/>
              <w:bottom w:val="single" w:sz="4" w:space="0" w:color="auto"/>
            </w:tcBorders>
            <w:tcMar>
              <w:top w:w="29" w:type="dxa"/>
              <w:left w:w="115" w:type="dxa"/>
              <w:bottom w:w="29" w:type="dxa"/>
              <w:right w:w="115" w:type="dxa"/>
            </w:tcMar>
          </w:tcPr>
          <w:p w14:paraId="337C5237"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rPr>
              <w:t>Slope × Arm</w:t>
            </w:r>
          </w:p>
        </w:tc>
        <w:tc>
          <w:tcPr>
            <w:tcW w:w="3982" w:type="dxa"/>
            <w:tcBorders>
              <w:top w:val="single" w:sz="4" w:space="0" w:color="auto"/>
              <w:bottom w:val="single" w:sz="4" w:space="0" w:color="auto"/>
            </w:tcBorders>
            <w:tcMar>
              <w:top w:w="29" w:type="dxa"/>
              <w:left w:w="115" w:type="dxa"/>
              <w:bottom w:w="29" w:type="dxa"/>
              <w:right w:w="115" w:type="dxa"/>
            </w:tcMar>
          </w:tcPr>
          <w:p w14:paraId="436AE079" w14:textId="77777777" w:rsidR="003A2E2B" w:rsidRPr="00CD2660" w:rsidRDefault="003A2E2B" w:rsidP="009C503D">
            <w:pPr>
              <w:jc w:val="center"/>
              <w:rPr>
                <w:rFonts w:ascii="Times New Roman" w:eastAsia="Calibri" w:hAnsi="Times New Roman" w:cs="Times New Roman"/>
                <w:i/>
                <w:iCs/>
              </w:rPr>
            </w:pPr>
          </w:p>
        </w:tc>
        <w:tc>
          <w:tcPr>
            <w:tcW w:w="976" w:type="dxa"/>
            <w:tcBorders>
              <w:top w:val="single" w:sz="4" w:space="0" w:color="auto"/>
              <w:bottom w:val="single" w:sz="4" w:space="0" w:color="auto"/>
            </w:tcBorders>
            <w:tcMar>
              <w:top w:w="29" w:type="dxa"/>
              <w:bottom w:w="29" w:type="dxa"/>
            </w:tcMar>
          </w:tcPr>
          <w:p w14:paraId="76324949" w14:textId="77777777" w:rsidR="003A2E2B" w:rsidRPr="00CD2660" w:rsidRDefault="003A2E2B" w:rsidP="009C503D">
            <w:pPr>
              <w:jc w:val="center"/>
              <w:rPr>
                <w:rFonts w:ascii="Times New Roman" w:eastAsia="Calibri" w:hAnsi="Times New Roman" w:cs="Times New Roman"/>
                <w:i/>
                <w:iCs/>
              </w:rPr>
            </w:pPr>
          </w:p>
        </w:tc>
        <w:tc>
          <w:tcPr>
            <w:tcW w:w="849" w:type="dxa"/>
            <w:tcBorders>
              <w:top w:val="single" w:sz="4" w:space="0" w:color="auto"/>
              <w:bottom w:val="single" w:sz="4" w:space="0" w:color="auto"/>
            </w:tcBorders>
            <w:tcMar>
              <w:top w:w="29" w:type="dxa"/>
              <w:bottom w:w="29" w:type="dxa"/>
            </w:tcMar>
          </w:tcPr>
          <w:p w14:paraId="023272BB" w14:textId="77777777" w:rsidR="003A2E2B" w:rsidRPr="00CD2660" w:rsidRDefault="003A2E2B" w:rsidP="009C503D">
            <w:pPr>
              <w:jc w:val="center"/>
              <w:rPr>
                <w:rFonts w:ascii="Times New Roman" w:eastAsia="Calibri" w:hAnsi="Times New Roman" w:cs="Times New Roman"/>
                <w:i/>
                <w:iCs/>
              </w:rPr>
            </w:pPr>
          </w:p>
        </w:tc>
        <w:tc>
          <w:tcPr>
            <w:tcW w:w="656" w:type="dxa"/>
            <w:tcBorders>
              <w:top w:val="single" w:sz="4" w:space="0" w:color="auto"/>
              <w:bottom w:val="single" w:sz="4" w:space="0" w:color="auto"/>
            </w:tcBorders>
            <w:tcMar>
              <w:top w:w="29" w:type="dxa"/>
              <w:bottom w:w="29" w:type="dxa"/>
            </w:tcMar>
          </w:tcPr>
          <w:p w14:paraId="64681120" w14:textId="77777777" w:rsidR="003A2E2B" w:rsidRPr="00CD2660" w:rsidRDefault="003A2E2B" w:rsidP="009C503D">
            <w:pPr>
              <w:jc w:val="center"/>
              <w:rPr>
                <w:rFonts w:ascii="Times New Roman" w:eastAsia="Calibri" w:hAnsi="Times New Roman" w:cs="Times New Roman"/>
                <w:i/>
                <w:iCs/>
              </w:rPr>
            </w:pPr>
          </w:p>
        </w:tc>
        <w:tc>
          <w:tcPr>
            <w:tcW w:w="620" w:type="dxa"/>
            <w:tcBorders>
              <w:top w:val="single" w:sz="4" w:space="0" w:color="auto"/>
              <w:bottom w:val="single" w:sz="4" w:space="0" w:color="auto"/>
            </w:tcBorders>
            <w:tcMar>
              <w:top w:w="29" w:type="dxa"/>
              <w:bottom w:w="29" w:type="dxa"/>
            </w:tcMar>
          </w:tcPr>
          <w:p w14:paraId="0765E461" w14:textId="77777777" w:rsidR="003A2E2B" w:rsidRPr="00CD2660" w:rsidRDefault="003A2E2B" w:rsidP="009C503D">
            <w:pPr>
              <w:jc w:val="center"/>
              <w:rPr>
                <w:rFonts w:ascii="Times New Roman" w:eastAsia="Calibri" w:hAnsi="Times New Roman" w:cs="Times New Roman"/>
                <w:i/>
                <w:iCs/>
              </w:rPr>
            </w:pPr>
          </w:p>
        </w:tc>
        <w:tc>
          <w:tcPr>
            <w:tcW w:w="986" w:type="dxa"/>
            <w:tcBorders>
              <w:top w:val="single" w:sz="4" w:space="0" w:color="auto"/>
              <w:bottom w:val="single" w:sz="4" w:space="0" w:color="auto"/>
            </w:tcBorders>
            <w:tcMar>
              <w:top w:w="29" w:type="dxa"/>
              <w:bottom w:w="29" w:type="dxa"/>
            </w:tcMar>
          </w:tcPr>
          <w:p w14:paraId="6AF708FE" w14:textId="77777777" w:rsidR="003A2E2B" w:rsidRPr="00CD2660" w:rsidRDefault="003A2E2B" w:rsidP="009C503D">
            <w:pPr>
              <w:jc w:val="center"/>
              <w:rPr>
                <w:rFonts w:ascii="Times New Roman" w:eastAsia="Calibri" w:hAnsi="Times New Roman" w:cs="Times New Roman"/>
                <w:i/>
                <w:iCs/>
              </w:rPr>
            </w:pPr>
          </w:p>
        </w:tc>
      </w:tr>
      <w:tr w:rsidR="00CD2660" w:rsidRPr="00CD2660" w14:paraId="7F0C655A" w14:textId="77777777" w:rsidTr="001130FC">
        <w:trPr>
          <w:trHeight w:val="288"/>
        </w:trPr>
        <w:tc>
          <w:tcPr>
            <w:tcW w:w="2160" w:type="dxa"/>
            <w:tcBorders>
              <w:top w:val="nil"/>
              <w:bottom w:val="nil"/>
            </w:tcBorders>
            <w:tcMar>
              <w:top w:w="29" w:type="dxa"/>
              <w:bottom w:w="29" w:type="dxa"/>
            </w:tcMar>
          </w:tcPr>
          <w:p w14:paraId="665C2CE4"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nil"/>
            </w:tcBorders>
            <w:tcMar>
              <w:top w:w="29" w:type="dxa"/>
              <w:bottom w:w="29" w:type="dxa"/>
            </w:tcMar>
          </w:tcPr>
          <w:p w14:paraId="79332228" w14:textId="77777777" w:rsidR="003A2E2B" w:rsidRPr="00CD2660" w:rsidRDefault="003A2E2B" w:rsidP="009C503D">
            <w:pPr>
              <w:ind w:left="372" w:hanging="372"/>
              <w:jc w:val="center"/>
              <w:rPr>
                <w:rFonts w:ascii="Times New Roman" w:eastAsia="Calibri" w:hAnsi="Times New Roman" w:cs="Times New Roman"/>
              </w:rPr>
            </w:pPr>
            <w:r w:rsidRPr="00CD2660">
              <w:rPr>
                <w:rFonts w:ascii="Times New Roman" w:eastAsia="Calibri" w:hAnsi="Times New Roman" w:cs="Times New Roman"/>
              </w:rPr>
              <w:t>R IFG (opercular and triangular parts)</w:t>
            </w:r>
          </w:p>
        </w:tc>
        <w:tc>
          <w:tcPr>
            <w:tcW w:w="976" w:type="dxa"/>
            <w:tcBorders>
              <w:top w:val="nil"/>
              <w:bottom w:val="nil"/>
            </w:tcBorders>
            <w:tcMar>
              <w:top w:w="29" w:type="dxa"/>
              <w:bottom w:w="29" w:type="dxa"/>
            </w:tcMar>
          </w:tcPr>
          <w:p w14:paraId="39B257FC" w14:textId="1F5D1E6A"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602</w:t>
            </w:r>
          </w:p>
        </w:tc>
        <w:tc>
          <w:tcPr>
            <w:tcW w:w="849" w:type="dxa"/>
            <w:tcBorders>
              <w:top w:val="nil"/>
              <w:bottom w:val="nil"/>
            </w:tcBorders>
            <w:tcMar>
              <w:top w:w="29" w:type="dxa"/>
              <w:bottom w:w="29" w:type="dxa"/>
            </w:tcMar>
          </w:tcPr>
          <w:p w14:paraId="09E63757" w14:textId="77777777"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40</w:t>
            </w:r>
          </w:p>
        </w:tc>
        <w:tc>
          <w:tcPr>
            <w:tcW w:w="656" w:type="dxa"/>
            <w:tcBorders>
              <w:top w:val="nil"/>
              <w:bottom w:val="nil"/>
            </w:tcBorders>
            <w:tcMar>
              <w:top w:w="29" w:type="dxa"/>
              <w:bottom w:w="29" w:type="dxa"/>
            </w:tcMar>
          </w:tcPr>
          <w:p w14:paraId="5FE5C172" w14:textId="514E9210"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12</w:t>
            </w:r>
          </w:p>
        </w:tc>
        <w:tc>
          <w:tcPr>
            <w:tcW w:w="620" w:type="dxa"/>
            <w:tcBorders>
              <w:top w:val="nil"/>
              <w:bottom w:val="nil"/>
            </w:tcBorders>
            <w:tcMar>
              <w:top w:w="29" w:type="dxa"/>
              <w:bottom w:w="29" w:type="dxa"/>
            </w:tcMar>
          </w:tcPr>
          <w:p w14:paraId="0C3B1F23" w14:textId="77777777"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14</w:t>
            </w:r>
          </w:p>
        </w:tc>
        <w:tc>
          <w:tcPr>
            <w:tcW w:w="986" w:type="dxa"/>
            <w:tcBorders>
              <w:top w:val="nil"/>
              <w:bottom w:val="nil"/>
            </w:tcBorders>
            <w:tcMar>
              <w:top w:w="29" w:type="dxa"/>
              <w:bottom w:w="29" w:type="dxa"/>
            </w:tcMar>
          </w:tcPr>
          <w:p w14:paraId="53264AB2" w14:textId="4E464D06"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3.64</w:t>
            </w:r>
          </w:p>
        </w:tc>
      </w:tr>
      <w:tr w:rsidR="00CD2660" w:rsidRPr="00CD2660" w14:paraId="41A0AD8C" w14:textId="77777777" w:rsidTr="001130FC">
        <w:trPr>
          <w:trHeight w:val="288"/>
        </w:trPr>
        <w:tc>
          <w:tcPr>
            <w:tcW w:w="2160" w:type="dxa"/>
            <w:tcBorders>
              <w:top w:val="nil"/>
              <w:bottom w:val="single" w:sz="18" w:space="0" w:color="auto"/>
            </w:tcBorders>
            <w:tcMar>
              <w:top w:w="29" w:type="dxa"/>
              <w:bottom w:w="29" w:type="dxa"/>
            </w:tcMar>
          </w:tcPr>
          <w:p w14:paraId="199933F8"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single" w:sz="18" w:space="0" w:color="auto"/>
            </w:tcBorders>
            <w:tcMar>
              <w:top w:w="29" w:type="dxa"/>
              <w:bottom w:w="29" w:type="dxa"/>
            </w:tcMar>
          </w:tcPr>
          <w:p w14:paraId="256B77C1" w14:textId="77777777" w:rsidR="003A2E2B" w:rsidRPr="00CD2660" w:rsidRDefault="003A2E2B" w:rsidP="009C503D">
            <w:pPr>
              <w:ind w:left="372" w:hanging="372"/>
              <w:jc w:val="center"/>
              <w:rPr>
                <w:rFonts w:ascii="Times New Roman" w:eastAsia="Calibri" w:hAnsi="Times New Roman" w:cs="Times New Roman"/>
              </w:rPr>
            </w:pPr>
            <w:r w:rsidRPr="00CD2660">
              <w:rPr>
                <w:rFonts w:ascii="Times New Roman" w:eastAsia="Calibri" w:hAnsi="Times New Roman" w:cs="Times New Roman"/>
              </w:rPr>
              <w:t>L IFG (opercular and triangular parts)</w:t>
            </w:r>
          </w:p>
        </w:tc>
        <w:tc>
          <w:tcPr>
            <w:tcW w:w="976" w:type="dxa"/>
            <w:tcBorders>
              <w:top w:val="nil"/>
              <w:bottom w:val="single" w:sz="18" w:space="0" w:color="auto"/>
            </w:tcBorders>
            <w:tcMar>
              <w:top w:w="29" w:type="dxa"/>
              <w:bottom w:w="29" w:type="dxa"/>
            </w:tcMar>
          </w:tcPr>
          <w:p w14:paraId="26DDE59B" w14:textId="47F1D562"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406</w:t>
            </w:r>
          </w:p>
        </w:tc>
        <w:tc>
          <w:tcPr>
            <w:tcW w:w="849" w:type="dxa"/>
            <w:tcBorders>
              <w:top w:val="nil"/>
              <w:bottom w:val="single" w:sz="18" w:space="0" w:color="auto"/>
            </w:tcBorders>
            <w:tcMar>
              <w:top w:w="29" w:type="dxa"/>
              <w:bottom w:w="29" w:type="dxa"/>
            </w:tcMar>
          </w:tcPr>
          <w:p w14:paraId="29BE3185" w14:textId="2393E93E"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-32</w:t>
            </w:r>
          </w:p>
        </w:tc>
        <w:tc>
          <w:tcPr>
            <w:tcW w:w="656" w:type="dxa"/>
            <w:tcBorders>
              <w:top w:val="nil"/>
              <w:bottom w:val="single" w:sz="18" w:space="0" w:color="auto"/>
            </w:tcBorders>
            <w:tcMar>
              <w:top w:w="29" w:type="dxa"/>
              <w:bottom w:w="29" w:type="dxa"/>
            </w:tcMar>
          </w:tcPr>
          <w:p w14:paraId="007E765D" w14:textId="7C67C4CA"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20</w:t>
            </w:r>
          </w:p>
        </w:tc>
        <w:tc>
          <w:tcPr>
            <w:tcW w:w="620" w:type="dxa"/>
            <w:tcBorders>
              <w:top w:val="nil"/>
              <w:bottom w:val="single" w:sz="18" w:space="0" w:color="auto"/>
            </w:tcBorders>
            <w:tcMar>
              <w:top w:w="29" w:type="dxa"/>
              <w:bottom w:w="29" w:type="dxa"/>
            </w:tcMar>
          </w:tcPr>
          <w:p w14:paraId="0E8F865C" w14:textId="32EBC7A0"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10</w:t>
            </w:r>
          </w:p>
        </w:tc>
        <w:tc>
          <w:tcPr>
            <w:tcW w:w="986" w:type="dxa"/>
            <w:tcBorders>
              <w:top w:val="nil"/>
              <w:bottom w:val="single" w:sz="18" w:space="0" w:color="auto"/>
            </w:tcBorders>
            <w:tcMar>
              <w:top w:w="29" w:type="dxa"/>
              <w:bottom w:w="29" w:type="dxa"/>
            </w:tcMar>
          </w:tcPr>
          <w:p w14:paraId="33223038" w14:textId="77777777" w:rsidR="003A2E2B" w:rsidRPr="00CD2660" w:rsidRDefault="003A2E2B" w:rsidP="009C503D">
            <w:pPr>
              <w:ind w:left="192" w:hanging="192"/>
              <w:jc w:val="center"/>
              <w:rPr>
                <w:rFonts w:ascii="Times New Roman" w:eastAsia="Calibri" w:hAnsi="Times New Roman" w:cs="Times New Roman"/>
              </w:rPr>
            </w:pPr>
            <w:r w:rsidRPr="00CD2660">
              <w:rPr>
                <w:rFonts w:ascii="Times New Roman" w:eastAsia="Calibri" w:hAnsi="Times New Roman" w:cs="Times New Roman"/>
              </w:rPr>
              <w:t>3.67</w:t>
            </w:r>
          </w:p>
        </w:tc>
      </w:tr>
      <w:tr w:rsidR="00CD2660" w:rsidRPr="00CD2660" w14:paraId="34507EAB" w14:textId="77777777" w:rsidTr="001130FC">
        <w:trPr>
          <w:trHeight w:val="288"/>
        </w:trPr>
        <w:tc>
          <w:tcPr>
            <w:tcW w:w="10229" w:type="dxa"/>
            <w:gridSpan w:val="7"/>
            <w:tcBorders>
              <w:top w:val="single" w:sz="18" w:space="0" w:color="auto"/>
              <w:bottom w:val="single" w:sz="18" w:space="0" w:color="auto"/>
            </w:tcBorders>
            <w:tcMar>
              <w:top w:w="29" w:type="dxa"/>
              <w:left w:w="115" w:type="dxa"/>
              <w:bottom w:w="29" w:type="dxa"/>
              <w:right w:w="115" w:type="dxa"/>
            </w:tcMar>
          </w:tcPr>
          <w:p w14:paraId="4C2EA3D8" w14:textId="77777777" w:rsidR="003A2E2B" w:rsidRPr="00CD2660" w:rsidRDefault="003A2E2B" w:rsidP="009C503D">
            <w:pPr>
              <w:jc w:val="center"/>
              <w:rPr>
                <w:rFonts w:ascii="Times New Roman" w:eastAsia="Calibri" w:hAnsi="Times New Roman" w:cs="Times New Roman"/>
                <w:b/>
                <w:bCs/>
                <w:i/>
                <w:iCs/>
              </w:rPr>
            </w:pPr>
            <w:r w:rsidRPr="00CD2660">
              <w:rPr>
                <w:rFonts w:ascii="Times New Roman" w:eastAsia="Calibri" w:hAnsi="Times New Roman" w:cs="Times New Roman"/>
                <w:b/>
                <w:bCs/>
              </w:rPr>
              <w:t>Reappraisal Model</w:t>
            </w:r>
          </w:p>
        </w:tc>
      </w:tr>
      <w:tr w:rsidR="00CD2660" w:rsidRPr="00CD2660" w14:paraId="79C6F6B2" w14:textId="77777777" w:rsidTr="001130FC">
        <w:tc>
          <w:tcPr>
            <w:tcW w:w="2160" w:type="dxa"/>
            <w:tcBorders>
              <w:top w:val="single" w:sz="18" w:space="0" w:color="auto"/>
              <w:bottom w:val="nil"/>
            </w:tcBorders>
            <w:tcMar>
              <w:top w:w="29" w:type="dxa"/>
              <w:bottom w:w="29" w:type="dxa"/>
            </w:tcMar>
          </w:tcPr>
          <w:p w14:paraId="0F1840DD" w14:textId="77777777" w:rsidR="003A2E2B" w:rsidRPr="00CD2660" w:rsidRDefault="003A2E2B" w:rsidP="009C503D">
            <w:pPr>
              <w:jc w:val="center"/>
              <w:rPr>
                <w:rFonts w:ascii="Times New Roman" w:eastAsia="Calibri" w:hAnsi="Times New Roman" w:cs="Times New Roman"/>
              </w:rPr>
            </w:pPr>
          </w:p>
        </w:tc>
        <w:tc>
          <w:tcPr>
            <w:tcW w:w="3982" w:type="dxa"/>
            <w:tcBorders>
              <w:top w:val="single" w:sz="4" w:space="0" w:color="auto"/>
              <w:bottom w:val="nil"/>
            </w:tcBorders>
            <w:tcMar>
              <w:top w:w="29" w:type="dxa"/>
              <w:bottom w:w="29" w:type="dxa"/>
            </w:tcMar>
          </w:tcPr>
          <w:p w14:paraId="307D107D" w14:textId="77777777" w:rsidR="003A2E2B" w:rsidRPr="00CD2660" w:rsidRDefault="003A2E2B" w:rsidP="009C503D">
            <w:pPr>
              <w:jc w:val="center"/>
              <w:rPr>
                <w:rFonts w:ascii="Times New Roman" w:eastAsia="Calibri" w:hAnsi="Times New Roman" w:cs="Times New Roman"/>
              </w:rPr>
            </w:pPr>
          </w:p>
        </w:tc>
        <w:tc>
          <w:tcPr>
            <w:tcW w:w="976" w:type="dxa"/>
            <w:tcBorders>
              <w:top w:val="single" w:sz="4" w:space="0" w:color="auto"/>
              <w:bottom w:val="nil"/>
            </w:tcBorders>
            <w:tcMar>
              <w:top w:w="29" w:type="dxa"/>
              <w:bottom w:w="29" w:type="dxa"/>
            </w:tcMar>
          </w:tcPr>
          <w:p w14:paraId="48EE59B6" w14:textId="77777777" w:rsidR="003A2E2B" w:rsidRPr="00CD2660" w:rsidRDefault="003A2E2B" w:rsidP="009C503D">
            <w:pPr>
              <w:jc w:val="center"/>
              <w:rPr>
                <w:rFonts w:ascii="Times New Roman" w:eastAsia="Calibri" w:hAnsi="Times New Roman" w:cs="Times New Roman"/>
              </w:rPr>
            </w:pPr>
          </w:p>
        </w:tc>
        <w:tc>
          <w:tcPr>
            <w:tcW w:w="2125" w:type="dxa"/>
            <w:gridSpan w:val="3"/>
            <w:tcBorders>
              <w:top w:val="single" w:sz="4" w:space="0" w:color="auto"/>
              <w:bottom w:val="single" w:sz="4" w:space="0" w:color="auto"/>
            </w:tcBorders>
            <w:tcMar>
              <w:top w:w="29" w:type="dxa"/>
              <w:bottom w:w="29" w:type="dxa"/>
            </w:tcMar>
          </w:tcPr>
          <w:p w14:paraId="7AF46DD6"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Peak Coordinates</w:t>
            </w:r>
          </w:p>
        </w:tc>
        <w:tc>
          <w:tcPr>
            <w:tcW w:w="986" w:type="dxa"/>
            <w:tcBorders>
              <w:top w:val="single" w:sz="4" w:space="0" w:color="auto"/>
              <w:bottom w:val="nil"/>
            </w:tcBorders>
            <w:tcMar>
              <w:top w:w="29" w:type="dxa"/>
              <w:bottom w:w="29" w:type="dxa"/>
            </w:tcMar>
          </w:tcPr>
          <w:p w14:paraId="0E2698F7" w14:textId="77777777" w:rsidR="003A2E2B" w:rsidRPr="00CD2660" w:rsidRDefault="003A2E2B" w:rsidP="009C503D">
            <w:pPr>
              <w:jc w:val="center"/>
              <w:rPr>
                <w:rFonts w:ascii="Times New Roman" w:eastAsia="Calibri" w:hAnsi="Times New Roman" w:cs="Times New Roman"/>
              </w:rPr>
            </w:pPr>
          </w:p>
        </w:tc>
      </w:tr>
      <w:tr w:rsidR="00CD2660" w:rsidRPr="00CD2660" w14:paraId="704E4D21" w14:textId="77777777" w:rsidTr="001130FC">
        <w:tc>
          <w:tcPr>
            <w:tcW w:w="2160" w:type="dxa"/>
            <w:tcBorders>
              <w:top w:val="nil"/>
              <w:bottom w:val="single" w:sz="4" w:space="0" w:color="auto"/>
            </w:tcBorders>
            <w:tcMar>
              <w:top w:w="29" w:type="dxa"/>
              <w:bottom w:w="29" w:type="dxa"/>
            </w:tcMar>
          </w:tcPr>
          <w:p w14:paraId="60F308FE" w14:textId="77777777" w:rsidR="003A2E2B" w:rsidRPr="00CD2660" w:rsidRDefault="003A2E2B" w:rsidP="009C503D">
            <w:pPr>
              <w:jc w:val="center"/>
              <w:rPr>
                <w:rFonts w:ascii="Times New Roman" w:eastAsia="Calibri" w:hAnsi="Times New Roman" w:cs="Times New Roman"/>
              </w:rPr>
            </w:pPr>
          </w:p>
        </w:tc>
        <w:tc>
          <w:tcPr>
            <w:tcW w:w="3982" w:type="dxa"/>
            <w:tcBorders>
              <w:top w:val="nil"/>
              <w:bottom w:val="single" w:sz="4" w:space="0" w:color="auto"/>
            </w:tcBorders>
            <w:tcMar>
              <w:top w:w="29" w:type="dxa"/>
              <w:bottom w:w="29" w:type="dxa"/>
            </w:tcMar>
          </w:tcPr>
          <w:p w14:paraId="66ACDBB4"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Anatomical Regions</w:t>
            </w:r>
          </w:p>
        </w:tc>
        <w:tc>
          <w:tcPr>
            <w:tcW w:w="976" w:type="dxa"/>
            <w:tcBorders>
              <w:top w:val="nil"/>
              <w:bottom w:val="single" w:sz="4" w:space="0" w:color="auto"/>
            </w:tcBorders>
            <w:tcMar>
              <w:top w:w="29" w:type="dxa"/>
              <w:bottom w:w="29" w:type="dxa"/>
            </w:tcMar>
          </w:tcPr>
          <w:p w14:paraId="107563A8"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k</w:t>
            </w:r>
          </w:p>
        </w:tc>
        <w:tc>
          <w:tcPr>
            <w:tcW w:w="849" w:type="dxa"/>
            <w:tcBorders>
              <w:top w:val="single" w:sz="4" w:space="0" w:color="auto"/>
              <w:bottom w:val="single" w:sz="4" w:space="0" w:color="auto"/>
            </w:tcBorders>
            <w:tcMar>
              <w:top w:w="29" w:type="dxa"/>
              <w:bottom w:w="29" w:type="dxa"/>
            </w:tcMar>
          </w:tcPr>
          <w:p w14:paraId="027CE0A7"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x</w:t>
            </w:r>
          </w:p>
        </w:tc>
        <w:tc>
          <w:tcPr>
            <w:tcW w:w="656" w:type="dxa"/>
            <w:tcBorders>
              <w:top w:val="single" w:sz="4" w:space="0" w:color="auto"/>
              <w:bottom w:val="single" w:sz="4" w:space="0" w:color="auto"/>
            </w:tcBorders>
            <w:tcMar>
              <w:top w:w="29" w:type="dxa"/>
              <w:bottom w:w="29" w:type="dxa"/>
            </w:tcMar>
          </w:tcPr>
          <w:p w14:paraId="0BC31820"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y</w:t>
            </w:r>
          </w:p>
        </w:tc>
        <w:tc>
          <w:tcPr>
            <w:tcW w:w="620" w:type="dxa"/>
            <w:tcBorders>
              <w:top w:val="single" w:sz="4" w:space="0" w:color="auto"/>
              <w:bottom w:val="single" w:sz="4" w:space="0" w:color="auto"/>
            </w:tcBorders>
            <w:tcMar>
              <w:top w:w="29" w:type="dxa"/>
              <w:bottom w:w="29" w:type="dxa"/>
            </w:tcMar>
          </w:tcPr>
          <w:p w14:paraId="5681329B"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z</w:t>
            </w:r>
          </w:p>
        </w:tc>
        <w:tc>
          <w:tcPr>
            <w:tcW w:w="986" w:type="dxa"/>
            <w:tcBorders>
              <w:top w:val="nil"/>
              <w:bottom w:val="single" w:sz="4" w:space="0" w:color="auto"/>
            </w:tcBorders>
            <w:tcMar>
              <w:top w:w="29" w:type="dxa"/>
              <w:bottom w:w="29" w:type="dxa"/>
            </w:tcMar>
          </w:tcPr>
          <w:p w14:paraId="357F50DF"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z-score</w:t>
            </w:r>
          </w:p>
        </w:tc>
      </w:tr>
      <w:tr w:rsidR="00CD2660" w:rsidRPr="00CD2660" w14:paraId="3A645C81" w14:textId="77777777" w:rsidTr="001130FC">
        <w:trPr>
          <w:trHeight w:val="288"/>
        </w:trPr>
        <w:tc>
          <w:tcPr>
            <w:tcW w:w="2160" w:type="dxa"/>
            <w:tcBorders>
              <w:top w:val="single" w:sz="4" w:space="0" w:color="auto"/>
              <w:bottom w:val="single" w:sz="4" w:space="0" w:color="auto"/>
            </w:tcBorders>
            <w:tcMar>
              <w:top w:w="29" w:type="dxa"/>
              <w:left w:w="115" w:type="dxa"/>
              <w:bottom w:w="29" w:type="dxa"/>
              <w:right w:w="115" w:type="dxa"/>
            </w:tcMar>
          </w:tcPr>
          <w:p w14:paraId="06F1EE31" w14:textId="77777777" w:rsidR="003A2E2B" w:rsidRPr="00CD2660" w:rsidRDefault="003A2E2B" w:rsidP="009C503D">
            <w:pPr>
              <w:ind w:right="-2460"/>
              <w:rPr>
                <w:rFonts w:ascii="Times New Roman" w:eastAsia="Calibri" w:hAnsi="Times New Roman" w:cs="Times New Roman"/>
              </w:rPr>
            </w:pPr>
            <w:r w:rsidRPr="00CD2660">
              <w:rPr>
                <w:rFonts w:ascii="Times New Roman" w:eastAsia="Calibri" w:hAnsi="Times New Roman" w:cs="Times New Roman"/>
              </w:rPr>
              <w:t>Reappraisal Slope</w:t>
            </w:r>
            <w:r w:rsidRPr="00CD2660">
              <w:rPr>
                <w:rFonts w:ascii="Times New Roman" w:eastAsia="Calibri" w:hAnsi="Times New Roman" w:cs="Times New Roman"/>
              </w:rPr>
              <w:br/>
              <w:t>(negative association)</w:t>
            </w:r>
          </w:p>
        </w:tc>
        <w:tc>
          <w:tcPr>
            <w:tcW w:w="3982" w:type="dxa"/>
            <w:tcBorders>
              <w:top w:val="single" w:sz="4" w:space="0" w:color="auto"/>
              <w:bottom w:val="single" w:sz="4" w:space="0" w:color="auto"/>
            </w:tcBorders>
            <w:tcMar>
              <w:top w:w="29" w:type="dxa"/>
              <w:left w:w="115" w:type="dxa"/>
              <w:bottom w:w="29" w:type="dxa"/>
              <w:right w:w="115" w:type="dxa"/>
            </w:tcMar>
          </w:tcPr>
          <w:p w14:paraId="0A4B8361" w14:textId="77777777" w:rsidR="003A2E2B" w:rsidRPr="00CD2660" w:rsidRDefault="003A2E2B" w:rsidP="009C503D">
            <w:pPr>
              <w:jc w:val="center"/>
              <w:rPr>
                <w:rFonts w:ascii="Times New Roman" w:eastAsia="Calibri" w:hAnsi="Times New Roman" w:cs="Times New Roman"/>
                <w:i/>
                <w:iCs/>
              </w:rPr>
            </w:pPr>
          </w:p>
        </w:tc>
        <w:tc>
          <w:tcPr>
            <w:tcW w:w="976" w:type="dxa"/>
            <w:tcBorders>
              <w:top w:val="single" w:sz="4" w:space="0" w:color="auto"/>
              <w:bottom w:val="single" w:sz="4" w:space="0" w:color="auto"/>
            </w:tcBorders>
            <w:tcMar>
              <w:top w:w="29" w:type="dxa"/>
              <w:bottom w:w="29" w:type="dxa"/>
            </w:tcMar>
          </w:tcPr>
          <w:p w14:paraId="0DFBCED9" w14:textId="77777777" w:rsidR="003A2E2B" w:rsidRPr="00CD2660" w:rsidRDefault="003A2E2B" w:rsidP="009C503D">
            <w:pPr>
              <w:jc w:val="center"/>
              <w:rPr>
                <w:rFonts w:ascii="Times New Roman" w:eastAsia="Calibri" w:hAnsi="Times New Roman" w:cs="Times New Roman"/>
                <w:i/>
                <w:iCs/>
              </w:rPr>
            </w:pPr>
          </w:p>
        </w:tc>
        <w:tc>
          <w:tcPr>
            <w:tcW w:w="849" w:type="dxa"/>
            <w:tcBorders>
              <w:top w:val="single" w:sz="4" w:space="0" w:color="auto"/>
              <w:bottom w:val="single" w:sz="4" w:space="0" w:color="auto"/>
            </w:tcBorders>
            <w:tcMar>
              <w:top w:w="29" w:type="dxa"/>
              <w:bottom w:w="29" w:type="dxa"/>
            </w:tcMar>
          </w:tcPr>
          <w:p w14:paraId="103B0D90" w14:textId="77777777" w:rsidR="003A2E2B" w:rsidRPr="00CD2660" w:rsidRDefault="003A2E2B" w:rsidP="009C503D">
            <w:pPr>
              <w:jc w:val="center"/>
              <w:rPr>
                <w:rFonts w:ascii="Times New Roman" w:eastAsia="Calibri" w:hAnsi="Times New Roman" w:cs="Times New Roman"/>
                <w:i/>
                <w:iCs/>
              </w:rPr>
            </w:pPr>
          </w:p>
        </w:tc>
        <w:tc>
          <w:tcPr>
            <w:tcW w:w="656" w:type="dxa"/>
            <w:tcBorders>
              <w:top w:val="single" w:sz="4" w:space="0" w:color="auto"/>
              <w:bottom w:val="single" w:sz="4" w:space="0" w:color="auto"/>
            </w:tcBorders>
            <w:tcMar>
              <w:top w:w="29" w:type="dxa"/>
              <w:bottom w:w="29" w:type="dxa"/>
            </w:tcMar>
          </w:tcPr>
          <w:p w14:paraId="4483FFAA" w14:textId="77777777" w:rsidR="003A2E2B" w:rsidRPr="00CD2660" w:rsidRDefault="003A2E2B" w:rsidP="009C503D">
            <w:pPr>
              <w:jc w:val="center"/>
              <w:rPr>
                <w:rFonts w:ascii="Times New Roman" w:eastAsia="Calibri" w:hAnsi="Times New Roman" w:cs="Times New Roman"/>
                <w:i/>
                <w:iCs/>
              </w:rPr>
            </w:pPr>
          </w:p>
        </w:tc>
        <w:tc>
          <w:tcPr>
            <w:tcW w:w="620" w:type="dxa"/>
            <w:tcBorders>
              <w:top w:val="single" w:sz="4" w:space="0" w:color="auto"/>
              <w:bottom w:val="single" w:sz="4" w:space="0" w:color="auto"/>
            </w:tcBorders>
            <w:tcMar>
              <w:top w:w="29" w:type="dxa"/>
              <w:bottom w:w="29" w:type="dxa"/>
            </w:tcMar>
          </w:tcPr>
          <w:p w14:paraId="16F3F8FF" w14:textId="77777777" w:rsidR="003A2E2B" w:rsidRPr="00CD2660" w:rsidRDefault="003A2E2B" w:rsidP="009C503D">
            <w:pPr>
              <w:jc w:val="center"/>
              <w:rPr>
                <w:rFonts w:ascii="Times New Roman" w:eastAsia="Calibri" w:hAnsi="Times New Roman" w:cs="Times New Roman"/>
                <w:i/>
                <w:iCs/>
              </w:rPr>
            </w:pPr>
          </w:p>
        </w:tc>
        <w:tc>
          <w:tcPr>
            <w:tcW w:w="986" w:type="dxa"/>
            <w:tcBorders>
              <w:top w:val="single" w:sz="4" w:space="0" w:color="auto"/>
              <w:bottom w:val="single" w:sz="4" w:space="0" w:color="auto"/>
            </w:tcBorders>
            <w:tcMar>
              <w:top w:w="29" w:type="dxa"/>
              <w:bottom w:w="29" w:type="dxa"/>
            </w:tcMar>
          </w:tcPr>
          <w:p w14:paraId="28A4191E" w14:textId="77777777" w:rsidR="003A2E2B" w:rsidRPr="00CD2660" w:rsidRDefault="003A2E2B" w:rsidP="009C503D">
            <w:pPr>
              <w:jc w:val="center"/>
              <w:rPr>
                <w:rFonts w:ascii="Times New Roman" w:eastAsia="Calibri" w:hAnsi="Times New Roman" w:cs="Times New Roman"/>
                <w:i/>
                <w:iCs/>
              </w:rPr>
            </w:pPr>
          </w:p>
        </w:tc>
      </w:tr>
      <w:tr w:rsidR="00CD2660" w:rsidRPr="00CD2660" w14:paraId="0A09CACA" w14:textId="77777777" w:rsidTr="001130FC">
        <w:trPr>
          <w:trHeight w:val="288"/>
        </w:trPr>
        <w:tc>
          <w:tcPr>
            <w:tcW w:w="2160" w:type="dxa"/>
            <w:tcBorders>
              <w:top w:val="nil"/>
              <w:bottom w:val="nil"/>
            </w:tcBorders>
            <w:tcMar>
              <w:top w:w="29" w:type="dxa"/>
              <w:bottom w:w="29" w:type="dxa"/>
            </w:tcMar>
          </w:tcPr>
          <w:p w14:paraId="373D9B14"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nil"/>
            </w:tcBorders>
            <w:tcMar>
              <w:top w:w="29" w:type="dxa"/>
              <w:bottom w:w="29" w:type="dxa"/>
            </w:tcMar>
          </w:tcPr>
          <w:p w14:paraId="51731C6A" w14:textId="1E70179E"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L MFG, SFG (dorsolateral part) and IFG (triangular part)</w:t>
            </w:r>
          </w:p>
        </w:tc>
        <w:tc>
          <w:tcPr>
            <w:tcW w:w="976" w:type="dxa"/>
            <w:tcBorders>
              <w:top w:val="nil"/>
              <w:bottom w:val="nil"/>
            </w:tcBorders>
            <w:tcMar>
              <w:top w:w="29" w:type="dxa"/>
              <w:bottom w:w="29" w:type="dxa"/>
            </w:tcMar>
          </w:tcPr>
          <w:p w14:paraId="4815F9A8" w14:textId="4D46BA13"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668</w:t>
            </w:r>
          </w:p>
        </w:tc>
        <w:tc>
          <w:tcPr>
            <w:tcW w:w="849" w:type="dxa"/>
            <w:tcBorders>
              <w:top w:val="nil"/>
              <w:bottom w:val="nil"/>
            </w:tcBorders>
            <w:tcMar>
              <w:top w:w="29" w:type="dxa"/>
              <w:bottom w:w="29" w:type="dxa"/>
            </w:tcMar>
          </w:tcPr>
          <w:p w14:paraId="0E177222" w14:textId="2D5D552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-42</w:t>
            </w:r>
          </w:p>
        </w:tc>
        <w:tc>
          <w:tcPr>
            <w:tcW w:w="656" w:type="dxa"/>
            <w:tcBorders>
              <w:top w:val="nil"/>
              <w:bottom w:val="nil"/>
            </w:tcBorders>
            <w:tcMar>
              <w:top w:w="29" w:type="dxa"/>
              <w:bottom w:w="29" w:type="dxa"/>
            </w:tcMar>
          </w:tcPr>
          <w:p w14:paraId="34823C7F"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40</w:t>
            </w:r>
          </w:p>
        </w:tc>
        <w:tc>
          <w:tcPr>
            <w:tcW w:w="620" w:type="dxa"/>
            <w:tcBorders>
              <w:top w:val="nil"/>
              <w:bottom w:val="nil"/>
            </w:tcBorders>
            <w:tcMar>
              <w:top w:w="29" w:type="dxa"/>
              <w:bottom w:w="29" w:type="dxa"/>
            </w:tcMar>
          </w:tcPr>
          <w:p w14:paraId="0357AC2E" w14:textId="77777777"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22</w:t>
            </w:r>
          </w:p>
        </w:tc>
        <w:tc>
          <w:tcPr>
            <w:tcW w:w="986" w:type="dxa"/>
            <w:tcBorders>
              <w:top w:val="nil"/>
              <w:bottom w:val="nil"/>
            </w:tcBorders>
            <w:tcMar>
              <w:top w:w="29" w:type="dxa"/>
              <w:bottom w:w="29" w:type="dxa"/>
            </w:tcMar>
          </w:tcPr>
          <w:p w14:paraId="55752498" w14:textId="7098825F" w:rsidR="003A2E2B" w:rsidRPr="00CD2660" w:rsidRDefault="003A2E2B" w:rsidP="009C503D">
            <w:pPr>
              <w:jc w:val="center"/>
              <w:rPr>
                <w:rFonts w:ascii="Times New Roman" w:eastAsia="Calibri" w:hAnsi="Times New Roman" w:cs="Times New Roman"/>
              </w:rPr>
            </w:pPr>
            <w:r w:rsidRPr="00CD2660">
              <w:rPr>
                <w:rFonts w:ascii="Times New Roman" w:eastAsia="Calibri" w:hAnsi="Times New Roman" w:cs="Times New Roman"/>
              </w:rPr>
              <w:t>3.92</w:t>
            </w:r>
          </w:p>
        </w:tc>
      </w:tr>
      <w:tr w:rsidR="00CD2660" w:rsidRPr="00CD2660" w14:paraId="405641BC" w14:textId="77777777" w:rsidTr="001130FC">
        <w:trPr>
          <w:trHeight w:val="288"/>
        </w:trPr>
        <w:tc>
          <w:tcPr>
            <w:tcW w:w="2160" w:type="dxa"/>
            <w:tcBorders>
              <w:top w:val="single" w:sz="4" w:space="0" w:color="auto"/>
              <w:bottom w:val="single" w:sz="4" w:space="0" w:color="auto"/>
            </w:tcBorders>
            <w:tcMar>
              <w:top w:w="29" w:type="dxa"/>
              <w:left w:w="115" w:type="dxa"/>
              <w:bottom w:w="29" w:type="dxa"/>
              <w:right w:w="115" w:type="dxa"/>
            </w:tcMar>
          </w:tcPr>
          <w:p w14:paraId="6145069C"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rPr>
              <w:t>Treatment Arm</w:t>
            </w:r>
          </w:p>
        </w:tc>
        <w:tc>
          <w:tcPr>
            <w:tcW w:w="3982" w:type="dxa"/>
            <w:tcBorders>
              <w:top w:val="single" w:sz="4" w:space="0" w:color="auto"/>
              <w:bottom w:val="single" w:sz="4" w:space="0" w:color="auto"/>
            </w:tcBorders>
            <w:tcMar>
              <w:top w:w="29" w:type="dxa"/>
              <w:left w:w="115" w:type="dxa"/>
              <w:bottom w:w="29" w:type="dxa"/>
              <w:right w:w="115" w:type="dxa"/>
            </w:tcMar>
          </w:tcPr>
          <w:p w14:paraId="301B728D" w14:textId="77777777" w:rsidR="003A2E2B" w:rsidRPr="00CD2660" w:rsidRDefault="003A2E2B" w:rsidP="009C503D">
            <w:pPr>
              <w:jc w:val="center"/>
              <w:rPr>
                <w:rFonts w:ascii="Times New Roman" w:eastAsia="Calibri" w:hAnsi="Times New Roman" w:cs="Times New Roman"/>
                <w:i/>
                <w:iCs/>
              </w:rPr>
            </w:pPr>
          </w:p>
        </w:tc>
        <w:tc>
          <w:tcPr>
            <w:tcW w:w="976" w:type="dxa"/>
            <w:tcBorders>
              <w:top w:val="single" w:sz="4" w:space="0" w:color="auto"/>
              <w:bottom w:val="single" w:sz="4" w:space="0" w:color="auto"/>
            </w:tcBorders>
            <w:tcMar>
              <w:top w:w="29" w:type="dxa"/>
              <w:bottom w:w="29" w:type="dxa"/>
            </w:tcMar>
          </w:tcPr>
          <w:p w14:paraId="280669EF" w14:textId="77777777" w:rsidR="003A2E2B" w:rsidRPr="00CD2660" w:rsidRDefault="003A2E2B" w:rsidP="009C503D">
            <w:pPr>
              <w:jc w:val="center"/>
              <w:rPr>
                <w:rFonts w:ascii="Times New Roman" w:eastAsia="Calibri" w:hAnsi="Times New Roman" w:cs="Times New Roman"/>
                <w:i/>
                <w:iCs/>
              </w:rPr>
            </w:pPr>
          </w:p>
        </w:tc>
        <w:tc>
          <w:tcPr>
            <w:tcW w:w="849" w:type="dxa"/>
            <w:tcBorders>
              <w:top w:val="single" w:sz="4" w:space="0" w:color="auto"/>
              <w:bottom w:val="single" w:sz="4" w:space="0" w:color="auto"/>
            </w:tcBorders>
            <w:tcMar>
              <w:top w:w="29" w:type="dxa"/>
              <w:bottom w:w="29" w:type="dxa"/>
            </w:tcMar>
          </w:tcPr>
          <w:p w14:paraId="191AC015" w14:textId="77777777" w:rsidR="003A2E2B" w:rsidRPr="00CD2660" w:rsidRDefault="003A2E2B" w:rsidP="009C503D">
            <w:pPr>
              <w:jc w:val="center"/>
              <w:rPr>
                <w:rFonts w:ascii="Times New Roman" w:eastAsia="Calibri" w:hAnsi="Times New Roman" w:cs="Times New Roman"/>
                <w:i/>
                <w:iCs/>
              </w:rPr>
            </w:pPr>
          </w:p>
        </w:tc>
        <w:tc>
          <w:tcPr>
            <w:tcW w:w="656" w:type="dxa"/>
            <w:tcBorders>
              <w:top w:val="single" w:sz="4" w:space="0" w:color="auto"/>
              <w:bottom w:val="single" w:sz="4" w:space="0" w:color="auto"/>
            </w:tcBorders>
            <w:tcMar>
              <w:top w:w="29" w:type="dxa"/>
              <w:bottom w:w="29" w:type="dxa"/>
            </w:tcMar>
          </w:tcPr>
          <w:p w14:paraId="32479955" w14:textId="77777777" w:rsidR="003A2E2B" w:rsidRPr="00CD2660" w:rsidRDefault="003A2E2B" w:rsidP="009C503D">
            <w:pPr>
              <w:jc w:val="center"/>
              <w:rPr>
                <w:rFonts w:ascii="Times New Roman" w:eastAsia="Calibri" w:hAnsi="Times New Roman" w:cs="Times New Roman"/>
                <w:i/>
                <w:iCs/>
              </w:rPr>
            </w:pPr>
          </w:p>
        </w:tc>
        <w:tc>
          <w:tcPr>
            <w:tcW w:w="620" w:type="dxa"/>
            <w:tcBorders>
              <w:top w:val="single" w:sz="4" w:space="0" w:color="auto"/>
              <w:bottom w:val="single" w:sz="4" w:space="0" w:color="auto"/>
            </w:tcBorders>
            <w:tcMar>
              <w:top w:w="29" w:type="dxa"/>
              <w:bottom w:w="29" w:type="dxa"/>
            </w:tcMar>
          </w:tcPr>
          <w:p w14:paraId="7FD21217" w14:textId="77777777" w:rsidR="003A2E2B" w:rsidRPr="00CD2660" w:rsidRDefault="003A2E2B" w:rsidP="009C503D">
            <w:pPr>
              <w:jc w:val="center"/>
              <w:rPr>
                <w:rFonts w:ascii="Times New Roman" w:eastAsia="Calibri" w:hAnsi="Times New Roman" w:cs="Times New Roman"/>
                <w:i/>
                <w:iCs/>
              </w:rPr>
            </w:pPr>
          </w:p>
        </w:tc>
        <w:tc>
          <w:tcPr>
            <w:tcW w:w="986" w:type="dxa"/>
            <w:tcBorders>
              <w:top w:val="single" w:sz="4" w:space="0" w:color="auto"/>
              <w:bottom w:val="single" w:sz="4" w:space="0" w:color="auto"/>
            </w:tcBorders>
            <w:tcMar>
              <w:top w:w="29" w:type="dxa"/>
              <w:bottom w:w="29" w:type="dxa"/>
            </w:tcMar>
          </w:tcPr>
          <w:p w14:paraId="390CEFBF" w14:textId="77777777" w:rsidR="003A2E2B" w:rsidRPr="00CD2660" w:rsidRDefault="003A2E2B" w:rsidP="009C503D">
            <w:pPr>
              <w:jc w:val="center"/>
              <w:rPr>
                <w:rFonts w:ascii="Times New Roman" w:eastAsia="Calibri" w:hAnsi="Times New Roman" w:cs="Times New Roman"/>
                <w:i/>
                <w:iCs/>
              </w:rPr>
            </w:pPr>
          </w:p>
        </w:tc>
      </w:tr>
      <w:tr w:rsidR="00CD2660" w:rsidRPr="00CD2660" w14:paraId="67FDF934" w14:textId="77777777" w:rsidTr="001130FC">
        <w:trPr>
          <w:trHeight w:val="288"/>
        </w:trPr>
        <w:tc>
          <w:tcPr>
            <w:tcW w:w="2160" w:type="dxa"/>
            <w:tcBorders>
              <w:top w:val="nil"/>
              <w:bottom w:val="nil"/>
            </w:tcBorders>
            <w:tcMar>
              <w:top w:w="29" w:type="dxa"/>
              <w:bottom w:w="29" w:type="dxa"/>
            </w:tcMar>
          </w:tcPr>
          <w:p w14:paraId="4824B0D9"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nil"/>
            </w:tcBorders>
            <w:tcMar>
              <w:top w:w="29" w:type="dxa"/>
              <w:bottom w:w="29" w:type="dxa"/>
            </w:tcMar>
          </w:tcPr>
          <w:p w14:paraId="42A14FB8" w14:textId="77777777" w:rsidR="003A2E2B" w:rsidRPr="00CD2660" w:rsidRDefault="003A2E2B" w:rsidP="009C503D">
            <w:pPr>
              <w:ind w:left="372" w:hanging="372"/>
              <w:jc w:val="center"/>
              <w:rPr>
                <w:rFonts w:ascii="Times New Roman" w:eastAsia="Calibri" w:hAnsi="Times New Roman" w:cs="Times New Roman"/>
                <w:i/>
                <w:iCs/>
              </w:rPr>
            </w:pPr>
            <w:r w:rsidRPr="00CD2660">
              <w:rPr>
                <w:rFonts w:ascii="Times New Roman" w:eastAsia="Calibri" w:hAnsi="Times New Roman" w:cs="Times New Roman"/>
                <w:i/>
                <w:iCs/>
              </w:rPr>
              <w:t>ns</w:t>
            </w:r>
          </w:p>
        </w:tc>
        <w:tc>
          <w:tcPr>
            <w:tcW w:w="976" w:type="dxa"/>
            <w:tcBorders>
              <w:top w:val="nil"/>
              <w:bottom w:val="nil"/>
            </w:tcBorders>
            <w:tcMar>
              <w:top w:w="29" w:type="dxa"/>
              <w:bottom w:w="29" w:type="dxa"/>
            </w:tcMar>
          </w:tcPr>
          <w:p w14:paraId="417C2C59" w14:textId="77777777" w:rsidR="003A2E2B" w:rsidRPr="00CD2660" w:rsidRDefault="003A2E2B" w:rsidP="009C503D">
            <w:pPr>
              <w:ind w:left="192" w:hanging="192"/>
              <w:jc w:val="center"/>
              <w:rPr>
                <w:rFonts w:ascii="Times New Roman" w:eastAsia="Calibri" w:hAnsi="Times New Roman" w:cs="Times New Roman"/>
              </w:rPr>
            </w:pPr>
          </w:p>
        </w:tc>
        <w:tc>
          <w:tcPr>
            <w:tcW w:w="849" w:type="dxa"/>
            <w:tcBorders>
              <w:top w:val="nil"/>
              <w:bottom w:val="nil"/>
            </w:tcBorders>
            <w:tcMar>
              <w:top w:w="29" w:type="dxa"/>
              <w:bottom w:w="29" w:type="dxa"/>
            </w:tcMar>
          </w:tcPr>
          <w:p w14:paraId="53BE1864" w14:textId="77777777" w:rsidR="003A2E2B" w:rsidRPr="00CD2660" w:rsidRDefault="003A2E2B" w:rsidP="009C503D">
            <w:pPr>
              <w:ind w:left="192" w:hanging="192"/>
              <w:jc w:val="center"/>
              <w:rPr>
                <w:rFonts w:ascii="Times New Roman" w:eastAsia="Calibri" w:hAnsi="Times New Roman" w:cs="Times New Roman"/>
              </w:rPr>
            </w:pPr>
          </w:p>
        </w:tc>
        <w:tc>
          <w:tcPr>
            <w:tcW w:w="656" w:type="dxa"/>
            <w:tcBorders>
              <w:top w:val="nil"/>
              <w:bottom w:val="nil"/>
            </w:tcBorders>
            <w:tcMar>
              <w:top w:w="29" w:type="dxa"/>
              <w:bottom w:w="29" w:type="dxa"/>
            </w:tcMar>
          </w:tcPr>
          <w:p w14:paraId="3EBA87CC" w14:textId="77777777" w:rsidR="003A2E2B" w:rsidRPr="00CD2660" w:rsidRDefault="003A2E2B" w:rsidP="009C503D">
            <w:pPr>
              <w:ind w:left="192" w:hanging="192"/>
              <w:jc w:val="center"/>
              <w:rPr>
                <w:rFonts w:ascii="Times New Roman" w:eastAsia="Calibri" w:hAnsi="Times New Roman" w:cs="Times New Roman"/>
              </w:rPr>
            </w:pPr>
          </w:p>
        </w:tc>
        <w:tc>
          <w:tcPr>
            <w:tcW w:w="620" w:type="dxa"/>
            <w:tcBorders>
              <w:top w:val="nil"/>
              <w:bottom w:val="nil"/>
            </w:tcBorders>
            <w:tcMar>
              <w:top w:w="29" w:type="dxa"/>
              <w:bottom w:w="29" w:type="dxa"/>
            </w:tcMar>
          </w:tcPr>
          <w:p w14:paraId="14F8844A" w14:textId="77777777" w:rsidR="003A2E2B" w:rsidRPr="00CD2660" w:rsidRDefault="003A2E2B" w:rsidP="009C503D">
            <w:pPr>
              <w:ind w:left="192" w:hanging="192"/>
              <w:jc w:val="center"/>
              <w:rPr>
                <w:rFonts w:ascii="Times New Roman" w:eastAsia="Calibri" w:hAnsi="Times New Roman" w:cs="Times New Roman"/>
              </w:rPr>
            </w:pPr>
          </w:p>
        </w:tc>
        <w:tc>
          <w:tcPr>
            <w:tcW w:w="986" w:type="dxa"/>
            <w:tcBorders>
              <w:top w:val="nil"/>
              <w:bottom w:val="nil"/>
            </w:tcBorders>
            <w:tcMar>
              <w:top w:w="29" w:type="dxa"/>
              <w:bottom w:w="29" w:type="dxa"/>
            </w:tcMar>
          </w:tcPr>
          <w:p w14:paraId="1CF7C2EF" w14:textId="77777777" w:rsidR="003A2E2B" w:rsidRPr="00CD2660" w:rsidRDefault="003A2E2B" w:rsidP="009C503D">
            <w:pPr>
              <w:ind w:left="192" w:hanging="192"/>
              <w:jc w:val="center"/>
              <w:rPr>
                <w:rFonts w:ascii="Times New Roman" w:eastAsia="Calibri" w:hAnsi="Times New Roman" w:cs="Times New Roman"/>
              </w:rPr>
            </w:pPr>
          </w:p>
        </w:tc>
      </w:tr>
      <w:tr w:rsidR="00CD2660" w:rsidRPr="00CD2660" w14:paraId="6670A098" w14:textId="77777777" w:rsidTr="001130FC">
        <w:trPr>
          <w:trHeight w:val="288"/>
        </w:trPr>
        <w:tc>
          <w:tcPr>
            <w:tcW w:w="2160" w:type="dxa"/>
            <w:tcBorders>
              <w:top w:val="single" w:sz="4" w:space="0" w:color="auto"/>
              <w:bottom w:val="single" w:sz="4" w:space="0" w:color="auto"/>
            </w:tcBorders>
            <w:tcMar>
              <w:top w:w="29" w:type="dxa"/>
              <w:left w:w="115" w:type="dxa"/>
              <w:bottom w:w="29" w:type="dxa"/>
              <w:right w:w="115" w:type="dxa"/>
            </w:tcMar>
          </w:tcPr>
          <w:p w14:paraId="154E2A71"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rPr>
              <w:t>Slope × Arm</w:t>
            </w:r>
          </w:p>
        </w:tc>
        <w:tc>
          <w:tcPr>
            <w:tcW w:w="3982" w:type="dxa"/>
            <w:tcBorders>
              <w:top w:val="single" w:sz="4" w:space="0" w:color="auto"/>
              <w:bottom w:val="single" w:sz="4" w:space="0" w:color="auto"/>
            </w:tcBorders>
            <w:tcMar>
              <w:top w:w="29" w:type="dxa"/>
              <w:left w:w="115" w:type="dxa"/>
              <w:bottom w:w="29" w:type="dxa"/>
              <w:right w:w="115" w:type="dxa"/>
            </w:tcMar>
          </w:tcPr>
          <w:p w14:paraId="72BEEFC3" w14:textId="77777777" w:rsidR="003A2E2B" w:rsidRPr="00CD2660" w:rsidRDefault="003A2E2B" w:rsidP="009C503D">
            <w:pPr>
              <w:jc w:val="center"/>
              <w:rPr>
                <w:rFonts w:ascii="Times New Roman" w:eastAsia="Calibri" w:hAnsi="Times New Roman" w:cs="Times New Roman"/>
                <w:i/>
                <w:iCs/>
              </w:rPr>
            </w:pPr>
          </w:p>
        </w:tc>
        <w:tc>
          <w:tcPr>
            <w:tcW w:w="976" w:type="dxa"/>
            <w:tcBorders>
              <w:top w:val="single" w:sz="4" w:space="0" w:color="auto"/>
              <w:bottom w:val="single" w:sz="4" w:space="0" w:color="auto"/>
            </w:tcBorders>
            <w:tcMar>
              <w:top w:w="29" w:type="dxa"/>
              <w:bottom w:w="29" w:type="dxa"/>
            </w:tcMar>
          </w:tcPr>
          <w:p w14:paraId="22010D51" w14:textId="77777777" w:rsidR="003A2E2B" w:rsidRPr="00CD2660" w:rsidRDefault="003A2E2B" w:rsidP="009C503D">
            <w:pPr>
              <w:jc w:val="center"/>
              <w:rPr>
                <w:rFonts w:ascii="Times New Roman" w:eastAsia="Calibri" w:hAnsi="Times New Roman" w:cs="Times New Roman"/>
                <w:i/>
                <w:iCs/>
              </w:rPr>
            </w:pPr>
          </w:p>
        </w:tc>
        <w:tc>
          <w:tcPr>
            <w:tcW w:w="849" w:type="dxa"/>
            <w:tcBorders>
              <w:top w:val="single" w:sz="4" w:space="0" w:color="auto"/>
              <w:bottom w:val="single" w:sz="4" w:space="0" w:color="auto"/>
            </w:tcBorders>
            <w:tcMar>
              <w:top w:w="29" w:type="dxa"/>
              <w:bottom w:w="29" w:type="dxa"/>
            </w:tcMar>
          </w:tcPr>
          <w:p w14:paraId="1D68B179" w14:textId="77777777" w:rsidR="003A2E2B" w:rsidRPr="00CD2660" w:rsidRDefault="003A2E2B" w:rsidP="009C503D">
            <w:pPr>
              <w:jc w:val="center"/>
              <w:rPr>
                <w:rFonts w:ascii="Times New Roman" w:eastAsia="Calibri" w:hAnsi="Times New Roman" w:cs="Times New Roman"/>
                <w:i/>
                <w:iCs/>
              </w:rPr>
            </w:pPr>
          </w:p>
        </w:tc>
        <w:tc>
          <w:tcPr>
            <w:tcW w:w="656" w:type="dxa"/>
            <w:tcBorders>
              <w:top w:val="single" w:sz="4" w:space="0" w:color="auto"/>
              <w:bottom w:val="single" w:sz="4" w:space="0" w:color="auto"/>
            </w:tcBorders>
            <w:tcMar>
              <w:top w:w="29" w:type="dxa"/>
              <w:bottom w:w="29" w:type="dxa"/>
            </w:tcMar>
          </w:tcPr>
          <w:p w14:paraId="546D28A7" w14:textId="77777777" w:rsidR="003A2E2B" w:rsidRPr="00CD2660" w:rsidRDefault="003A2E2B" w:rsidP="009C503D">
            <w:pPr>
              <w:jc w:val="center"/>
              <w:rPr>
                <w:rFonts w:ascii="Times New Roman" w:eastAsia="Calibri" w:hAnsi="Times New Roman" w:cs="Times New Roman"/>
                <w:i/>
                <w:iCs/>
              </w:rPr>
            </w:pPr>
          </w:p>
        </w:tc>
        <w:tc>
          <w:tcPr>
            <w:tcW w:w="620" w:type="dxa"/>
            <w:tcBorders>
              <w:top w:val="single" w:sz="4" w:space="0" w:color="auto"/>
              <w:bottom w:val="single" w:sz="4" w:space="0" w:color="auto"/>
            </w:tcBorders>
            <w:tcMar>
              <w:top w:w="29" w:type="dxa"/>
              <w:bottom w:w="29" w:type="dxa"/>
            </w:tcMar>
          </w:tcPr>
          <w:p w14:paraId="7ABD6342" w14:textId="77777777" w:rsidR="003A2E2B" w:rsidRPr="00CD2660" w:rsidRDefault="003A2E2B" w:rsidP="009C503D">
            <w:pPr>
              <w:jc w:val="center"/>
              <w:rPr>
                <w:rFonts w:ascii="Times New Roman" w:eastAsia="Calibri" w:hAnsi="Times New Roman" w:cs="Times New Roman"/>
                <w:i/>
                <w:iCs/>
              </w:rPr>
            </w:pPr>
          </w:p>
        </w:tc>
        <w:tc>
          <w:tcPr>
            <w:tcW w:w="986" w:type="dxa"/>
            <w:tcBorders>
              <w:top w:val="single" w:sz="4" w:space="0" w:color="auto"/>
              <w:bottom w:val="single" w:sz="4" w:space="0" w:color="auto"/>
            </w:tcBorders>
            <w:tcMar>
              <w:top w:w="29" w:type="dxa"/>
              <w:bottom w:w="29" w:type="dxa"/>
            </w:tcMar>
          </w:tcPr>
          <w:p w14:paraId="4E95DDF3" w14:textId="77777777" w:rsidR="003A2E2B" w:rsidRPr="00CD2660" w:rsidRDefault="003A2E2B" w:rsidP="009C503D">
            <w:pPr>
              <w:jc w:val="center"/>
              <w:rPr>
                <w:rFonts w:ascii="Times New Roman" w:eastAsia="Calibri" w:hAnsi="Times New Roman" w:cs="Times New Roman"/>
                <w:i/>
                <w:iCs/>
              </w:rPr>
            </w:pPr>
          </w:p>
        </w:tc>
      </w:tr>
      <w:tr w:rsidR="00CD2660" w:rsidRPr="00CD2660" w14:paraId="41AF1799" w14:textId="77777777" w:rsidTr="001130FC">
        <w:trPr>
          <w:trHeight w:val="288"/>
        </w:trPr>
        <w:tc>
          <w:tcPr>
            <w:tcW w:w="2160" w:type="dxa"/>
            <w:tcBorders>
              <w:top w:val="nil"/>
              <w:bottom w:val="single" w:sz="18" w:space="0" w:color="auto"/>
            </w:tcBorders>
            <w:tcMar>
              <w:top w:w="29" w:type="dxa"/>
              <w:bottom w:w="29" w:type="dxa"/>
            </w:tcMar>
          </w:tcPr>
          <w:p w14:paraId="09CDE7F3" w14:textId="77777777" w:rsidR="003A2E2B" w:rsidRPr="00CD2660" w:rsidRDefault="003A2E2B" w:rsidP="009C503D">
            <w:pPr>
              <w:ind w:left="161"/>
              <w:rPr>
                <w:rFonts w:ascii="Times New Roman" w:eastAsia="Calibri" w:hAnsi="Times New Roman" w:cs="Times New Roman"/>
              </w:rPr>
            </w:pPr>
          </w:p>
        </w:tc>
        <w:tc>
          <w:tcPr>
            <w:tcW w:w="3982" w:type="dxa"/>
            <w:tcBorders>
              <w:top w:val="nil"/>
              <w:bottom w:val="single" w:sz="18" w:space="0" w:color="auto"/>
            </w:tcBorders>
            <w:tcMar>
              <w:top w:w="29" w:type="dxa"/>
              <w:bottom w:w="29" w:type="dxa"/>
            </w:tcMar>
          </w:tcPr>
          <w:p w14:paraId="3B480B00" w14:textId="77777777" w:rsidR="003A2E2B" w:rsidRPr="00CD2660" w:rsidRDefault="003A2E2B" w:rsidP="009C503D">
            <w:pPr>
              <w:ind w:left="372" w:hanging="372"/>
              <w:jc w:val="center"/>
              <w:rPr>
                <w:rFonts w:ascii="Times New Roman" w:eastAsia="Calibri" w:hAnsi="Times New Roman" w:cs="Times New Roman"/>
              </w:rPr>
            </w:pPr>
            <w:r w:rsidRPr="00CD2660">
              <w:rPr>
                <w:rFonts w:ascii="Times New Roman" w:eastAsia="Calibri" w:hAnsi="Times New Roman" w:cs="Times New Roman"/>
                <w:i/>
                <w:iCs/>
              </w:rPr>
              <w:t>ns</w:t>
            </w:r>
          </w:p>
        </w:tc>
        <w:tc>
          <w:tcPr>
            <w:tcW w:w="976" w:type="dxa"/>
            <w:tcBorders>
              <w:top w:val="nil"/>
              <w:bottom w:val="single" w:sz="18" w:space="0" w:color="auto"/>
            </w:tcBorders>
            <w:tcMar>
              <w:top w:w="29" w:type="dxa"/>
              <w:bottom w:w="29" w:type="dxa"/>
            </w:tcMar>
          </w:tcPr>
          <w:p w14:paraId="55DAE1E8" w14:textId="77777777" w:rsidR="003A2E2B" w:rsidRPr="00CD2660" w:rsidRDefault="003A2E2B" w:rsidP="009C503D">
            <w:pPr>
              <w:ind w:left="192" w:hanging="192"/>
              <w:jc w:val="center"/>
              <w:rPr>
                <w:rFonts w:ascii="Times New Roman" w:eastAsia="Calibri" w:hAnsi="Times New Roman" w:cs="Times New Roman"/>
              </w:rPr>
            </w:pPr>
          </w:p>
        </w:tc>
        <w:tc>
          <w:tcPr>
            <w:tcW w:w="849" w:type="dxa"/>
            <w:tcBorders>
              <w:top w:val="nil"/>
              <w:bottom w:val="single" w:sz="18" w:space="0" w:color="auto"/>
            </w:tcBorders>
            <w:tcMar>
              <w:top w:w="29" w:type="dxa"/>
              <w:bottom w:w="29" w:type="dxa"/>
            </w:tcMar>
          </w:tcPr>
          <w:p w14:paraId="49195221" w14:textId="77777777" w:rsidR="003A2E2B" w:rsidRPr="00CD2660" w:rsidRDefault="003A2E2B" w:rsidP="009C503D">
            <w:pPr>
              <w:ind w:left="192" w:hanging="192"/>
              <w:jc w:val="center"/>
              <w:rPr>
                <w:rFonts w:ascii="Times New Roman" w:eastAsia="Calibri" w:hAnsi="Times New Roman" w:cs="Times New Roman"/>
              </w:rPr>
            </w:pPr>
          </w:p>
        </w:tc>
        <w:tc>
          <w:tcPr>
            <w:tcW w:w="656" w:type="dxa"/>
            <w:tcBorders>
              <w:top w:val="nil"/>
              <w:bottom w:val="single" w:sz="18" w:space="0" w:color="auto"/>
            </w:tcBorders>
            <w:tcMar>
              <w:top w:w="29" w:type="dxa"/>
              <w:bottom w:w="29" w:type="dxa"/>
            </w:tcMar>
          </w:tcPr>
          <w:p w14:paraId="6B709573" w14:textId="77777777" w:rsidR="003A2E2B" w:rsidRPr="00CD2660" w:rsidRDefault="003A2E2B" w:rsidP="009C503D">
            <w:pPr>
              <w:ind w:left="192" w:hanging="192"/>
              <w:jc w:val="center"/>
              <w:rPr>
                <w:rFonts w:ascii="Times New Roman" w:eastAsia="Calibri" w:hAnsi="Times New Roman" w:cs="Times New Roman"/>
              </w:rPr>
            </w:pPr>
          </w:p>
        </w:tc>
        <w:tc>
          <w:tcPr>
            <w:tcW w:w="620" w:type="dxa"/>
            <w:tcBorders>
              <w:top w:val="nil"/>
              <w:bottom w:val="single" w:sz="18" w:space="0" w:color="auto"/>
            </w:tcBorders>
            <w:tcMar>
              <w:top w:w="29" w:type="dxa"/>
              <w:bottom w:w="29" w:type="dxa"/>
            </w:tcMar>
          </w:tcPr>
          <w:p w14:paraId="59225855" w14:textId="77777777" w:rsidR="003A2E2B" w:rsidRPr="00CD2660" w:rsidRDefault="003A2E2B" w:rsidP="009C503D">
            <w:pPr>
              <w:ind w:left="192" w:hanging="192"/>
              <w:jc w:val="center"/>
              <w:rPr>
                <w:rFonts w:ascii="Times New Roman" w:eastAsia="Calibri" w:hAnsi="Times New Roman" w:cs="Times New Roman"/>
              </w:rPr>
            </w:pPr>
          </w:p>
        </w:tc>
        <w:tc>
          <w:tcPr>
            <w:tcW w:w="986" w:type="dxa"/>
            <w:tcBorders>
              <w:top w:val="nil"/>
              <w:bottom w:val="single" w:sz="18" w:space="0" w:color="auto"/>
            </w:tcBorders>
            <w:tcMar>
              <w:top w:w="29" w:type="dxa"/>
              <w:bottom w:w="29" w:type="dxa"/>
            </w:tcMar>
          </w:tcPr>
          <w:p w14:paraId="15A3A2F4" w14:textId="77777777" w:rsidR="003A2E2B" w:rsidRPr="00CD2660" w:rsidRDefault="003A2E2B" w:rsidP="009C503D">
            <w:pPr>
              <w:ind w:left="192" w:hanging="192"/>
              <w:jc w:val="center"/>
              <w:rPr>
                <w:rFonts w:ascii="Times New Roman" w:eastAsia="Calibri" w:hAnsi="Times New Roman" w:cs="Times New Roman"/>
              </w:rPr>
            </w:pPr>
          </w:p>
        </w:tc>
      </w:tr>
      <w:tr w:rsidR="003A2E2B" w:rsidRPr="00CD2660" w14:paraId="09EB00B3" w14:textId="77777777" w:rsidTr="001130FC">
        <w:trPr>
          <w:trHeight w:val="288"/>
        </w:trPr>
        <w:tc>
          <w:tcPr>
            <w:tcW w:w="10229" w:type="dxa"/>
            <w:gridSpan w:val="7"/>
            <w:tcBorders>
              <w:top w:val="single" w:sz="18" w:space="0" w:color="auto"/>
              <w:bottom w:val="single" w:sz="4" w:space="0" w:color="auto"/>
            </w:tcBorders>
            <w:tcMar>
              <w:top w:w="29" w:type="dxa"/>
              <w:bottom w:w="29" w:type="dxa"/>
            </w:tcMar>
          </w:tcPr>
          <w:p w14:paraId="752921D2"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i/>
                <w:iCs/>
              </w:rPr>
              <w:t>Note</w:t>
            </w:r>
            <w:r w:rsidRPr="00CD2660">
              <w:rPr>
                <w:rFonts w:ascii="Times New Roman" w:eastAsia="Calibri" w:hAnsi="Times New Roman" w:cs="Times New Roman"/>
              </w:rPr>
              <w:t xml:space="preserve">. All models included patient age as a covariate of no interest. Additionally, each model included baseline symptom or reappraisal severity as a covariate of no interest, depending on the model being specified (i.e., baseline composite symptom scores were included as a covariate in the composite symptom model. </w:t>
            </w:r>
          </w:p>
          <w:p w14:paraId="46035BF1" w14:textId="77777777" w:rsidR="003A2E2B" w:rsidRPr="00CD2660" w:rsidRDefault="003A2E2B" w:rsidP="009C503D">
            <w:pPr>
              <w:rPr>
                <w:rFonts w:ascii="Times New Roman" w:eastAsia="Calibri" w:hAnsi="Times New Roman" w:cs="Times New Roman"/>
              </w:rPr>
            </w:pPr>
            <w:r w:rsidRPr="00CD2660">
              <w:rPr>
                <w:rFonts w:ascii="Times New Roman" w:eastAsia="Calibri" w:hAnsi="Times New Roman" w:cs="Times New Roman"/>
              </w:rPr>
              <w:t xml:space="preserve">L = left. R = right. IFG = inferior frontal gyrus. MFG = middle frontal gyrus. SFG = superior frontal gyrus. </w:t>
            </w:r>
          </w:p>
        </w:tc>
      </w:tr>
    </w:tbl>
    <w:p w14:paraId="178685D5" w14:textId="77777777" w:rsidR="003A2E2B" w:rsidRPr="00CD2660" w:rsidRDefault="003A2E2B"/>
    <w:sectPr w:rsidR="003A2E2B" w:rsidRPr="00CD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2E"/>
    <w:rsid w:val="000837B6"/>
    <w:rsid w:val="000A144B"/>
    <w:rsid w:val="000D577C"/>
    <w:rsid w:val="000D645A"/>
    <w:rsid w:val="000E041A"/>
    <w:rsid w:val="000E3F8C"/>
    <w:rsid w:val="000F65DD"/>
    <w:rsid w:val="000F7EB5"/>
    <w:rsid w:val="001130FC"/>
    <w:rsid w:val="00115D2D"/>
    <w:rsid w:val="00134ABA"/>
    <w:rsid w:val="00143FF6"/>
    <w:rsid w:val="0015173A"/>
    <w:rsid w:val="0015380F"/>
    <w:rsid w:val="00166C36"/>
    <w:rsid w:val="00172D92"/>
    <w:rsid w:val="001756FF"/>
    <w:rsid w:val="001B49E5"/>
    <w:rsid w:val="001E4ECF"/>
    <w:rsid w:val="001E72A8"/>
    <w:rsid w:val="001F036E"/>
    <w:rsid w:val="00203A67"/>
    <w:rsid w:val="00233020"/>
    <w:rsid w:val="00233025"/>
    <w:rsid w:val="00237533"/>
    <w:rsid w:val="00245DBD"/>
    <w:rsid w:val="00246F8C"/>
    <w:rsid w:val="00247964"/>
    <w:rsid w:val="00265F04"/>
    <w:rsid w:val="002705CF"/>
    <w:rsid w:val="00275FAE"/>
    <w:rsid w:val="00277BF8"/>
    <w:rsid w:val="00282E9D"/>
    <w:rsid w:val="00290AA3"/>
    <w:rsid w:val="002B15B6"/>
    <w:rsid w:val="002E35CB"/>
    <w:rsid w:val="00313DF6"/>
    <w:rsid w:val="0033331B"/>
    <w:rsid w:val="003356EE"/>
    <w:rsid w:val="00366DAD"/>
    <w:rsid w:val="00375F53"/>
    <w:rsid w:val="003778FF"/>
    <w:rsid w:val="003913FC"/>
    <w:rsid w:val="00393008"/>
    <w:rsid w:val="003A1905"/>
    <w:rsid w:val="003A2E2B"/>
    <w:rsid w:val="003B189D"/>
    <w:rsid w:val="003C675A"/>
    <w:rsid w:val="00411243"/>
    <w:rsid w:val="0041613C"/>
    <w:rsid w:val="0047013D"/>
    <w:rsid w:val="00490801"/>
    <w:rsid w:val="00492700"/>
    <w:rsid w:val="004A51FD"/>
    <w:rsid w:val="004C24DD"/>
    <w:rsid w:val="004D0B3D"/>
    <w:rsid w:val="004D6D38"/>
    <w:rsid w:val="004E7F5B"/>
    <w:rsid w:val="004F5EC8"/>
    <w:rsid w:val="00501112"/>
    <w:rsid w:val="00501F09"/>
    <w:rsid w:val="0053102A"/>
    <w:rsid w:val="00555212"/>
    <w:rsid w:val="00591426"/>
    <w:rsid w:val="0059313F"/>
    <w:rsid w:val="00597D01"/>
    <w:rsid w:val="005A77FB"/>
    <w:rsid w:val="005C6F5C"/>
    <w:rsid w:val="005F770B"/>
    <w:rsid w:val="00610175"/>
    <w:rsid w:val="006317FA"/>
    <w:rsid w:val="0065360F"/>
    <w:rsid w:val="00654553"/>
    <w:rsid w:val="00656056"/>
    <w:rsid w:val="00677903"/>
    <w:rsid w:val="00690B76"/>
    <w:rsid w:val="006919AD"/>
    <w:rsid w:val="006961F2"/>
    <w:rsid w:val="006A63B4"/>
    <w:rsid w:val="006B353E"/>
    <w:rsid w:val="006F566B"/>
    <w:rsid w:val="006F65B9"/>
    <w:rsid w:val="0070554F"/>
    <w:rsid w:val="007201B3"/>
    <w:rsid w:val="00725E03"/>
    <w:rsid w:val="00736AFD"/>
    <w:rsid w:val="00755073"/>
    <w:rsid w:val="0076065F"/>
    <w:rsid w:val="00760AD1"/>
    <w:rsid w:val="007B299E"/>
    <w:rsid w:val="007B57E9"/>
    <w:rsid w:val="007C035B"/>
    <w:rsid w:val="007C30EF"/>
    <w:rsid w:val="007D11C1"/>
    <w:rsid w:val="008009C6"/>
    <w:rsid w:val="008019BB"/>
    <w:rsid w:val="00871F4F"/>
    <w:rsid w:val="00886743"/>
    <w:rsid w:val="008935CE"/>
    <w:rsid w:val="008A53D7"/>
    <w:rsid w:val="008A5A13"/>
    <w:rsid w:val="008A71EE"/>
    <w:rsid w:val="008B6ED6"/>
    <w:rsid w:val="008C6E60"/>
    <w:rsid w:val="008D61B1"/>
    <w:rsid w:val="008E4C61"/>
    <w:rsid w:val="008E64C7"/>
    <w:rsid w:val="008E7A2D"/>
    <w:rsid w:val="009229DB"/>
    <w:rsid w:val="0093396C"/>
    <w:rsid w:val="00963903"/>
    <w:rsid w:val="00985E13"/>
    <w:rsid w:val="009915ED"/>
    <w:rsid w:val="00996E72"/>
    <w:rsid w:val="00997209"/>
    <w:rsid w:val="009A7AC5"/>
    <w:rsid w:val="009C3864"/>
    <w:rsid w:val="009E02E0"/>
    <w:rsid w:val="009F4B7A"/>
    <w:rsid w:val="00A04321"/>
    <w:rsid w:val="00A179D8"/>
    <w:rsid w:val="00A40F89"/>
    <w:rsid w:val="00A45049"/>
    <w:rsid w:val="00A55FEE"/>
    <w:rsid w:val="00A663DC"/>
    <w:rsid w:val="00A86C44"/>
    <w:rsid w:val="00AA1E9D"/>
    <w:rsid w:val="00AA3FE5"/>
    <w:rsid w:val="00AB7ED3"/>
    <w:rsid w:val="00AC4B34"/>
    <w:rsid w:val="00AD1175"/>
    <w:rsid w:val="00AD2F99"/>
    <w:rsid w:val="00AF5904"/>
    <w:rsid w:val="00B024B4"/>
    <w:rsid w:val="00B15701"/>
    <w:rsid w:val="00B2754F"/>
    <w:rsid w:val="00B363F4"/>
    <w:rsid w:val="00B42108"/>
    <w:rsid w:val="00B42C4F"/>
    <w:rsid w:val="00B51ED7"/>
    <w:rsid w:val="00B70882"/>
    <w:rsid w:val="00B74722"/>
    <w:rsid w:val="00B92DE8"/>
    <w:rsid w:val="00BC483D"/>
    <w:rsid w:val="00BD79CD"/>
    <w:rsid w:val="00BE6D82"/>
    <w:rsid w:val="00C071C8"/>
    <w:rsid w:val="00C2049A"/>
    <w:rsid w:val="00C246FF"/>
    <w:rsid w:val="00C451FE"/>
    <w:rsid w:val="00C4604D"/>
    <w:rsid w:val="00C47C0E"/>
    <w:rsid w:val="00C553FD"/>
    <w:rsid w:val="00C637B8"/>
    <w:rsid w:val="00C66126"/>
    <w:rsid w:val="00C81193"/>
    <w:rsid w:val="00C825EA"/>
    <w:rsid w:val="00C83CBF"/>
    <w:rsid w:val="00CD019C"/>
    <w:rsid w:val="00CD2660"/>
    <w:rsid w:val="00CF2891"/>
    <w:rsid w:val="00D60A2A"/>
    <w:rsid w:val="00DD0042"/>
    <w:rsid w:val="00DD5004"/>
    <w:rsid w:val="00DD57F6"/>
    <w:rsid w:val="00DD7981"/>
    <w:rsid w:val="00DF520F"/>
    <w:rsid w:val="00E005B7"/>
    <w:rsid w:val="00E132D5"/>
    <w:rsid w:val="00E14D56"/>
    <w:rsid w:val="00E331D5"/>
    <w:rsid w:val="00E716FE"/>
    <w:rsid w:val="00E7663B"/>
    <w:rsid w:val="00E851FC"/>
    <w:rsid w:val="00EA7374"/>
    <w:rsid w:val="00EC2C7B"/>
    <w:rsid w:val="00ED012E"/>
    <w:rsid w:val="00EE06AC"/>
    <w:rsid w:val="00F04669"/>
    <w:rsid w:val="00F1697A"/>
    <w:rsid w:val="00F2035B"/>
    <w:rsid w:val="00F51FD3"/>
    <w:rsid w:val="00F52426"/>
    <w:rsid w:val="00F71203"/>
    <w:rsid w:val="00F96977"/>
    <w:rsid w:val="00FB20FB"/>
    <w:rsid w:val="00FB2FE5"/>
    <w:rsid w:val="00FB64F8"/>
    <w:rsid w:val="00FE6200"/>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1B33"/>
  <w15:chartTrackingRefBased/>
  <w15:docId w15:val="{B15DF536-6419-1E4F-BF63-FBBE9330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1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51FE"/>
  </w:style>
  <w:style w:type="character" w:styleId="CommentReference">
    <w:name w:val="annotation reference"/>
    <w:basedOn w:val="DefaultParagraphFont"/>
    <w:uiPriority w:val="99"/>
    <w:semiHidden/>
    <w:unhideWhenUsed/>
    <w:rsid w:val="000F7EB5"/>
    <w:rPr>
      <w:sz w:val="16"/>
      <w:szCs w:val="16"/>
    </w:rPr>
  </w:style>
  <w:style w:type="paragraph" w:styleId="CommentText">
    <w:name w:val="annotation text"/>
    <w:basedOn w:val="Normal"/>
    <w:link w:val="CommentTextChar"/>
    <w:uiPriority w:val="99"/>
    <w:unhideWhenUsed/>
    <w:rsid w:val="000F7EB5"/>
    <w:rPr>
      <w:sz w:val="20"/>
      <w:szCs w:val="20"/>
    </w:rPr>
  </w:style>
  <w:style w:type="character" w:customStyle="1" w:styleId="CommentTextChar">
    <w:name w:val="Comment Text Char"/>
    <w:basedOn w:val="DefaultParagraphFont"/>
    <w:link w:val="CommentText"/>
    <w:uiPriority w:val="99"/>
    <w:rsid w:val="000F7EB5"/>
    <w:rPr>
      <w:sz w:val="20"/>
      <w:szCs w:val="20"/>
    </w:rPr>
  </w:style>
  <w:style w:type="paragraph" w:styleId="CommentSubject">
    <w:name w:val="annotation subject"/>
    <w:basedOn w:val="CommentText"/>
    <w:next w:val="CommentText"/>
    <w:link w:val="CommentSubjectChar"/>
    <w:uiPriority w:val="99"/>
    <w:semiHidden/>
    <w:unhideWhenUsed/>
    <w:rsid w:val="000F7EB5"/>
    <w:rPr>
      <w:b/>
      <w:bCs/>
    </w:rPr>
  </w:style>
  <w:style w:type="character" w:customStyle="1" w:styleId="CommentSubjectChar">
    <w:name w:val="Comment Subject Char"/>
    <w:basedOn w:val="CommentTextChar"/>
    <w:link w:val="CommentSubject"/>
    <w:uiPriority w:val="99"/>
    <w:semiHidden/>
    <w:rsid w:val="000F7EB5"/>
    <w:rPr>
      <w:b/>
      <w:bCs/>
      <w:sz w:val="20"/>
      <w:szCs w:val="20"/>
    </w:rPr>
  </w:style>
  <w:style w:type="character" w:styleId="PlaceholderText">
    <w:name w:val="Placeholder Text"/>
    <w:basedOn w:val="DefaultParagraphFont"/>
    <w:uiPriority w:val="99"/>
    <w:semiHidden/>
    <w:rsid w:val="003A2E2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56529">
      <w:bodyDiv w:val="1"/>
      <w:marLeft w:val="0"/>
      <w:marRight w:val="0"/>
      <w:marTop w:val="0"/>
      <w:marBottom w:val="0"/>
      <w:divBdr>
        <w:top w:val="none" w:sz="0" w:space="0" w:color="auto"/>
        <w:left w:val="none" w:sz="0" w:space="0" w:color="auto"/>
        <w:bottom w:val="none" w:sz="0" w:space="0" w:color="auto"/>
        <w:right w:val="none" w:sz="0" w:space="0" w:color="auto"/>
      </w:divBdr>
    </w:div>
    <w:div w:id="210507830">
      <w:bodyDiv w:val="1"/>
      <w:marLeft w:val="0"/>
      <w:marRight w:val="0"/>
      <w:marTop w:val="0"/>
      <w:marBottom w:val="0"/>
      <w:divBdr>
        <w:top w:val="none" w:sz="0" w:space="0" w:color="auto"/>
        <w:left w:val="none" w:sz="0" w:space="0" w:color="auto"/>
        <w:bottom w:val="none" w:sz="0" w:space="0" w:color="auto"/>
        <w:right w:val="none" w:sz="0" w:space="0" w:color="auto"/>
      </w:divBdr>
      <w:divsChild>
        <w:div w:id="1994095610">
          <w:marLeft w:val="480"/>
          <w:marRight w:val="0"/>
          <w:marTop w:val="0"/>
          <w:marBottom w:val="0"/>
          <w:divBdr>
            <w:top w:val="none" w:sz="0" w:space="0" w:color="auto"/>
            <w:left w:val="none" w:sz="0" w:space="0" w:color="auto"/>
            <w:bottom w:val="none" w:sz="0" w:space="0" w:color="auto"/>
            <w:right w:val="none" w:sz="0" w:space="0" w:color="auto"/>
          </w:divBdr>
        </w:div>
        <w:div w:id="1817987551">
          <w:marLeft w:val="480"/>
          <w:marRight w:val="0"/>
          <w:marTop w:val="0"/>
          <w:marBottom w:val="0"/>
          <w:divBdr>
            <w:top w:val="none" w:sz="0" w:space="0" w:color="auto"/>
            <w:left w:val="none" w:sz="0" w:space="0" w:color="auto"/>
            <w:bottom w:val="none" w:sz="0" w:space="0" w:color="auto"/>
            <w:right w:val="none" w:sz="0" w:space="0" w:color="auto"/>
          </w:divBdr>
        </w:div>
        <w:div w:id="789203819">
          <w:marLeft w:val="480"/>
          <w:marRight w:val="0"/>
          <w:marTop w:val="0"/>
          <w:marBottom w:val="0"/>
          <w:divBdr>
            <w:top w:val="none" w:sz="0" w:space="0" w:color="auto"/>
            <w:left w:val="none" w:sz="0" w:space="0" w:color="auto"/>
            <w:bottom w:val="none" w:sz="0" w:space="0" w:color="auto"/>
            <w:right w:val="none" w:sz="0" w:space="0" w:color="auto"/>
          </w:divBdr>
        </w:div>
        <w:div w:id="7104685">
          <w:marLeft w:val="480"/>
          <w:marRight w:val="0"/>
          <w:marTop w:val="0"/>
          <w:marBottom w:val="0"/>
          <w:divBdr>
            <w:top w:val="none" w:sz="0" w:space="0" w:color="auto"/>
            <w:left w:val="none" w:sz="0" w:space="0" w:color="auto"/>
            <w:bottom w:val="none" w:sz="0" w:space="0" w:color="auto"/>
            <w:right w:val="none" w:sz="0" w:space="0" w:color="auto"/>
          </w:divBdr>
        </w:div>
        <w:div w:id="1604455275">
          <w:marLeft w:val="480"/>
          <w:marRight w:val="0"/>
          <w:marTop w:val="0"/>
          <w:marBottom w:val="0"/>
          <w:divBdr>
            <w:top w:val="none" w:sz="0" w:space="0" w:color="auto"/>
            <w:left w:val="none" w:sz="0" w:space="0" w:color="auto"/>
            <w:bottom w:val="none" w:sz="0" w:space="0" w:color="auto"/>
            <w:right w:val="none" w:sz="0" w:space="0" w:color="auto"/>
          </w:divBdr>
        </w:div>
        <w:div w:id="1827671411">
          <w:marLeft w:val="480"/>
          <w:marRight w:val="0"/>
          <w:marTop w:val="0"/>
          <w:marBottom w:val="0"/>
          <w:divBdr>
            <w:top w:val="none" w:sz="0" w:space="0" w:color="auto"/>
            <w:left w:val="none" w:sz="0" w:space="0" w:color="auto"/>
            <w:bottom w:val="none" w:sz="0" w:space="0" w:color="auto"/>
            <w:right w:val="none" w:sz="0" w:space="0" w:color="auto"/>
          </w:divBdr>
        </w:div>
        <w:div w:id="384715477">
          <w:marLeft w:val="480"/>
          <w:marRight w:val="0"/>
          <w:marTop w:val="0"/>
          <w:marBottom w:val="0"/>
          <w:divBdr>
            <w:top w:val="none" w:sz="0" w:space="0" w:color="auto"/>
            <w:left w:val="none" w:sz="0" w:space="0" w:color="auto"/>
            <w:bottom w:val="none" w:sz="0" w:space="0" w:color="auto"/>
            <w:right w:val="none" w:sz="0" w:space="0" w:color="auto"/>
          </w:divBdr>
        </w:div>
        <w:div w:id="1148937539">
          <w:marLeft w:val="480"/>
          <w:marRight w:val="0"/>
          <w:marTop w:val="0"/>
          <w:marBottom w:val="0"/>
          <w:divBdr>
            <w:top w:val="none" w:sz="0" w:space="0" w:color="auto"/>
            <w:left w:val="none" w:sz="0" w:space="0" w:color="auto"/>
            <w:bottom w:val="none" w:sz="0" w:space="0" w:color="auto"/>
            <w:right w:val="none" w:sz="0" w:space="0" w:color="auto"/>
          </w:divBdr>
        </w:div>
        <w:div w:id="2106657143">
          <w:marLeft w:val="480"/>
          <w:marRight w:val="0"/>
          <w:marTop w:val="0"/>
          <w:marBottom w:val="0"/>
          <w:divBdr>
            <w:top w:val="none" w:sz="0" w:space="0" w:color="auto"/>
            <w:left w:val="none" w:sz="0" w:space="0" w:color="auto"/>
            <w:bottom w:val="none" w:sz="0" w:space="0" w:color="auto"/>
            <w:right w:val="none" w:sz="0" w:space="0" w:color="auto"/>
          </w:divBdr>
        </w:div>
        <w:div w:id="809984299">
          <w:marLeft w:val="480"/>
          <w:marRight w:val="0"/>
          <w:marTop w:val="0"/>
          <w:marBottom w:val="0"/>
          <w:divBdr>
            <w:top w:val="none" w:sz="0" w:space="0" w:color="auto"/>
            <w:left w:val="none" w:sz="0" w:space="0" w:color="auto"/>
            <w:bottom w:val="none" w:sz="0" w:space="0" w:color="auto"/>
            <w:right w:val="none" w:sz="0" w:space="0" w:color="auto"/>
          </w:divBdr>
        </w:div>
      </w:divsChild>
    </w:div>
    <w:div w:id="292978505">
      <w:bodyDiv w:val="1"/>
      <w:marLeft w:val="0"/>
      <w:marRight w:val="0"/>
      <w:marTop w:val="0"/>
      <w:marBottom w:val="0"/>
      <w:divBdr>
        <w:top w:val="none" w:sz="0" w:space="0" w:color="auto"/>
        <w:left w:val="none" w:sz="0" w:space="0" w:color="auto"/>
        <w:bottom w:val="none" w:sz="0" w:space="0" w:color="auto"/>
        <w:right w:val="none" w:sz="0" w:space="0" w:color="auto"/>
      </w:divBdr>
    </w:div>
    <w:div w:id="370571115">
      <w:bodyDiv w:val="1"/>
      <w:marLeft w:val="0"/>
      <w:marRight w:val="0"/>
      <w:marTop w:val="0"/>
      <w:marBottom w:val="0"/>
      <w:divBdr>
        <w:top w:val="none" w:sz="0" w:space="0" w:color="auto"/>
        <w:left w:val="none" w:sz="0" w:space="0" w:color="auto"/>
        <w:bottom w:val="none" w:sz="0" w:space="0" w:color="auto"/>
        <w:right w:val="none" w:sz="0" w:space="0" w:color="auto"/>
      </w:divBdr>
    </w:div>
    <w:div w:id="864252340">
      <w:bodyDiv w:val="1"/>
      <w:marLeft w:val="0"/>
      <w:marRight w:val="0"/>
      <w:marTop w:val="0"/>
      <w:marBottom w:val="0"/>
      <w:divBdr>
        <w:top w:val="none" w:sz="0" w:space="0" w:color="auto"/>
        <w:left w:val="none" w:sz="0" w:space="0" w:color="auto"/>
        <w:bottom w:val="none" w:sz="0" w:space="0" w:color="auto"/>
        <w:right w:val="none" w:sz="0" w:space="0" w:color="auto"/>
      </w:divBdr>
    </w:div>
    <w:div w:id="899242792">
      <w:bodyDiv w:val="1"/>
      <w:marLeft w:val="0"/>
      <w:marRight w:val="0"/>
      <w:marTop w:val="0"/>
      <w:marBottom w:val="0"/>
      <w:divBdr>
        <w:top w:val="none" w:sz="0" w:space="0" w:color="auto"/>
        <w:left w:val="none" w:sz="0" w:space="0" w:color="auto"/>
        <w:bottom w:val="none" w:sz="0" w:space="0" w:color="auto"/>
        <w:right w:val="none" w:sz="0" w:space="0" w:color="auto"/>
      </w:divBdr>
      <w:divsChild>
        <w:div w:id="1593733804">
          <w:marLeft w:val="480"/>
          <w:marRight w:val="0"/>
          <w:marTop w:val="0"/>
          <w:marBottom w:val="0"/>
          <w:divBdr>
            <w:top w:val="none" w:sz="0" w:space="0" w:color="auto"/>
            <w:left w:val="none" w:sz="0" w:space="0" w:color="auto"/>
            <w:bottom w:val="none" w:sz="0" w:space="0" w:color="auto"/>
            <w:right w:val="none" w:sz="0" w:space="0" w:color="auto"/>
          </w:divBdr>
        </w:div>
        <w:div w:id="1016156553">
          <w:marLeft w:val="480"/>
          <w:marRight w:val="0"/>
          <w:marTop w:val="0"/>
          <w:marBottom w:val="0"/>
          <w:divBdr>
            <w:top w:val="none" w:sz="0" w:space="0" w:color="auto"/>
            <w:left w:val="none" w:sz="0" w:space="0" w:color="auto"/>
            <w:bottom w:val="none" w:sz="0" w:space="0" w:color="auto"/>
            <w:right w:val="none" w:sz="0" w:space="0" w:color="auto"/>
          </w:divBdr>
        </w:div>
        <w:div w:id="1086607177">
          <w:marLeft w:val="480"/>
          <w:marRight w:val="0"/>
          <w:marTop w:val="0"/>
          <w:marBottom w:val="0"/>
          <w:divBdr>
            <w:top w:val="none" w:sz="0" w:space="0" w:color="auto"/>
            <w:left w:val="none" w:sz="0" w:space="0" w:color="auto"/>
            <w:bottom w:val="none" w:sz="0" w:space="0" w:color="auto"/>
            <w:right w:val="none" w:sz="0" w:space="0" w:color="auto"/>
          </w:divBdr>
        </w:div>
        <w:div w:id="227500845">
          <w:marLeft w:val="480"/>
          <w:marRight w:val="0"/>
          <w:marTop w:val="0"/>
          <w:marBottom w:val="0"/>
          <w:divBdr>
            <w:top w:val="none" w:sz="0" w:space="0" w:color="auto"/>
            <w:left w:val="none" w:sz="0" w:space="0" w:color="auto"/>
            <w:bottom w:val="none" w:sz="0" w:space="0" w:color="auto"/>
            <w:right w:val="none" w:sz="0" w:space="0" w:color="auto"/>
          </w:divBdr>
        </w:div>
        <w:div w:id="453795473">
          <w:marLeft w:val="480"/>
          <w:marRight w:val="0"/>
          <w:marTop w:val="0"/>
          <w:marBottom w:val="0"/>
          <w:divBdr>
            <w:top w:val="none" w:sz="0" w:space="0" w:color="auto"/>
            <w:left w:val="none" w:sz="0" w:space="0" w:color="auto"/>
            <w:bottom w:val="none" w:sz="0" w:space="0" w:color="auto"/>
            <w:right w:val="none" w:sz="0" w:space="0" w:color="auto"/>
          </w:divBdr>
        </w:div>
        <w:div w:id="77748168">
          <w:marLeft w:val="480"/>
          <w:marRight w:val="0"/>
          <w:marTop w:val="0"/>
          <w:marBottom w:val="0"/>
          <w:divBdr>
            <w:top w:val="none" w:sz="0" w:space="0" w:color="auto"/>
            <w:left w:val="none" w:sz="0" w:space="0" w:color="auto"/>
            <w:bottom w:val="none" w:sz="0" w:space="0" w:color="auto"/>
            <w:right w:val="none" w:sz="0" w:space="0" w:color="auto"/>
          </w:divBdr>
        </w:div>
        <w:div w:id="1046949931">
          <w:marLeft w:val="480"/>
          <w:marRight w:val="0"/>
          <w:marTop w:val="0"/>
          <w:marBottom w:val="0"/>
          <w:divBdr>
            <w:top w:val="none" w:sz="0" w:space="0" w:color="auto"/>
            <w:left w:val="none" w:sz="0" w:space="0" w:color="auto"/>
            <w:bottom w:val="none" w:sz="0" w:space="0" w:color="auto"/>
            <w:right w:val="none" w:sz="0" w:space="0" w:color="auto"/>
          </w:divBdr>
        </w:div>
        <w:div w:id="162668937">
          <w:marLeft w:val="480"/>
          <w:marRight w:val="0"/>
          <w:marTop w:val="0"/>
          <w:marBottom w:val="0"/>
          <w:divBdr>
            <w:top w:val="none" w:sz="0" w:space="0" w:color="auto"/>
            <w:left w:val="none" w:sz="0" w:space="0" w:color="auto"/>
            <w:bottom w:val="none" w:sz="0" w:space="0" w:color="auto"/>
            <w:right w:val="none" w:sz="0" w:space="0" w:color="auto"/>
          </w:divBdr>
        </w:div>
        <w:div w:id="494272784">
          <w:marLeft w:val="480"/>
          <w:marRight w:val="0"/>
          <w:marTop w:val="0"/>
          <w:marBottom w:val="0"/>
          <w:divBdr>
            <w:top w:val="none" w:sz="0" w:space="0" w:color="auto"/>
            <w:left w:val="none" w:sz="0" w:space="0" w:color="auto"/>
            <w:bottom w:val="none" w:sz="0" w:space="0" w:color="auto"/>
            <w:right w:val="none" w:sz="0" w:space="0" w:color="auto"/>
          </w:divBdr>
        </w:div>
        <w:div w:id="456290564">
          <w:marLeft w:val="480"/>
          <w:marRight w:val="0"/>
          <w:marTop w:val="0"/>
          <w:marBottom w:val="0"/>
          <w:divBdr>
            <w:top w:val="none" w:sz="0" w:space="0" w:color="auto"/>
            <w:left w:val="none" w:sz="0" w:space="0" w:color="auto"/>
            <w:bottom w:val="none" w:sz="0" w:space="0" w:color="auto"/>
            <w:right w:val="none" w:sz="0" w:space="0" w:color="auto"/>
          </w:divBdr>
        </w:div>
      </w:divsChild>
    </w:div>
    <w:div w:id="1339695496">
      <w:bodyDiv w:val="1"/>
      <w:marLeft w:val="0"/>
      <w:marRight w:val="0"/>
      <w:marTop w:val="0"/>
      <w:marBottom w:val="0"/>
      <w:divBdr>
        <w:top w:val="none" w:sz="0" w:space="0" w:color="auto"/>
        <w:left w:val="none" w:sz="0" w:space="0" w:color="auto"/>
        <w:bottom w:val="none" w:sz="0" w:space="0" w:color="auto"/>
        <w:right w:val="none" w:sz="0" w:space="0" w:color="auto"/>
      </w:divBdr>
    </w:div>
    <w:div w:id="1341473517">
      <w:bodyDiv w:val="1"/>
      <w:marLeft w:val="0"/>
      <w:marRight w:val="0"/>
      <w:marTop w:val="0"/>
      <w:marBottom w:val="0"/>
      <w:divBdr>
        <w:top w:val="none" w:sz="0" w:space="0" w:color="auto"/>
        <w:left w:val="none" w:sz="0" w:space="0" w:color="auto"/>
        <w:bottom w:val="none" w:sz="0" w:space="0" w:color="auto"/>
        <w:right w:val="none" w:sz="0" w:space="0" w:color="auto"/>
      </w:divBdr>
    </w:div>
    <w:div w:id="1593196475">
      <w:bodyDiv w:val="1"/>
      <w:marLeft w:val="0"/>
      <w:marRight w:val="0"/>
      <w:marTop w:val="0"/>
      <w:marBottom w:val="0"/>
      <w:divBdr>
        <w:top w:val="none" w:sz="0" w:space="0" w:color="auto"/>
        <w:left w:val="none" w:sz="0" w:space="0" w:color="auto"/>
        <w:bottom w:val="none" w:sz="0" w:space="0" w:color="auto"/>
        <w:right w:val="none" w:sz="0" w:space="0" w:color="auto"/>
      </w:divBdr>
      <w:divsChild>
        <w:div w:id="1256286802">
          <w:marLeft w:val="480"/>
          <w:marRight w:val="0"/>
          <w:marTop w:val="0"/>
          <w:marBottom w:val="0"/>
          <w:divBdr>
            <w:top w:val="none" w:sz="0" w:space="0" w:color="auto"/>
            <w:left w:val="none" w:sz="0" w:space="0" w:color="auto"/>
            <w:bottom w:val="none" w:sz="0" w:space="0" w:color="auto"/>
            <w:right w:val="none" w:sz="0" w:space="0" w:color="auto"/>
          </w:divBdr>
        </w:div>
        <w:div w:id="99496990">
          <w:marLeft w:val="480"/>
          <w:marRight w:val="0"/>
          <w:marTop w:val="0"/>
          <w:marBottom w:val="0"/>
          <w:divBdr>
            <w:top w:val="none" w:sz="0" w:space="0" w:color="auto"/>
            <w:left w:val="none" w:sz="0" w:space="0" w:color="auto"/>
            <w:bottom w:val="none" w:sz="0" w:space="0" w:color="auto"/>
            <w:right w:val="none" w:sz="0" w:space="0" w:color="auto"/>
          </w:divBdr>
        </w:div>
        <w:div w:id="1457987639">
          <w:marLeft w:val="480"/>
          <w:marRight w:val="0"/>
          <w:marTop w:val="0"/>
          <w:marBottom w:val="0"/>
          <w:divBdr>
            <w:top w:val="none" w:sz="0" w:space="0" w:color="auto"/>
            <w:left w:val="none" w:sz="0" w:space="0" w:color="auto"/>
            <w:bottom w:val="none" w:sz="0" w:space="0" w:color="auto"/>
            <w:right w:val="none" w:sz="0" w:space="0" w:color="auto"/>
          </w:divBdr>
        </w:div>
        <w:div w:id="1489705665">
          <w:marLeft w:val="480"/>
          <w:marRight w:val="0"/>
          <w:marTop w:val="0"/>
          <w:marBottom w:val="0"/>
          <w:divBdr>
            <w:top w:val="none" w:sz="0" w:space="0" w:color="auto"/>
            <w:left w:val="none" w:sz="0" w:space="0" w:color="auto"/>
            <w:bottom w:val="none" w:sz="0" w:space="0" w:color="auto"/>
            <w:right w:val="none" w:sz="0" w:space="0" w:color="auto"/>
          </w:divBdr>
        </w:div>
        <w:div w:id="13924923">
          <w:marLeft w:val="480"/>
          <w:marRight w:val="0"/>
          <w:marTop w:val="0"/>
          <w:marBottom w:val="0"/>
          <w:divBdr>
            <w:top w:val="none" w:sz="0" w:space="0" w:color="auto"/>
            <w:left w:val="none" w:sz="0" w:space="0" w:color="auto"/>
            <w:bottom w:val="none" w:sz="0" w:space="0" w:color="auto"/>
            <w:right w:val="none" w:sz="0" w:space="0" w:color="auto"/>
          </w:divBdr>
        </w:div>
        <w:div w:id="808396475">
          <w:marLeft w:val="480"/>
          <w:marRight w:val="0"/>
          <w:marTop w:val="0"/>
          <w:marBottom w:val="0"/>
          <w:divBdr>
            <w:top w:val="none" w:sz="0" w:space="0" w:color="auto"/>
            <w:left w:val="none" w:sz="0" w:space="0" w:color="auto"/>
            <w:bottom w:val="none" w:sz="0" w:space="0" w:color="auto"/>
            <w:right w:val="none" w:sz="0" w:space="0" w:color="auto"/>
          </w:divBdr>
        </w:div>
        <w:div w:id="1743982744">
          <w:marLeft w:val="480"/>
          <w:marRight w:val="0"/>
          <w:marTop w:val="0"/>
          <w:marBottom w:val="0"/>
          <w:divBdr>
            <w:top w:val="none" w:sz="0" w:space="0" w:color="auto"/>
            <w:left w:val="none" w:sz="0" w:space="0" w:color="auto"/>
            <w:bottom w:val="none" w:sz="0" w:space="0" w:color="auto"/>
            <w:right w:val="none" w:sz="0" w:space="0" w:color="auto"/>
          </w:divBdr>
        </w:div>
        <w:div w:id="380445382">
          <w:marLeft w:val="480"/>
          <w:marRight w:val="0"/>
          <w:marTop w:val="0"/>
          <w:marBottom w:val="0"/>
          <w:divBdr>
            <w:top w:val="none" w:sz="0" w:space="0" w:color="auto"/>
            <w:left w:val="none" w:sz="0" w:space="0" w:color="auto"/>
            <w:bottom w:val="none" w:sz="0" w:space="0" w:color="auto"/>
            <w:right w:val="none" w:sz="0" w:space="0" w:color="auto"/>
          </w:divBdr>
        </w:div>
        <w:div w:id="694692920">
          <w:marLeft w:val="480"/>
          <w:marRight w:val="0"/>
          <w:marTop w:val="0"/>
          <w:marBottom w:val="0"/>
          <w:divBdr>
            <w:top w:val="none" w:sz="0" w:space="0" w:color="auto"/>
            <w:left w:val="none" w:sz="0" w:space="0" w:color="auto"/>
            <w:bottom w:val="none" w:sz="0" w:space="0" w:color="auto"/>
            <w:right w:val="none" w:sz="0" w:space="0" w:color="auto"/>
          </w:divBdr>
        </w:div>
        <w:div w:id="1230648812">
          <w:marLeft w:val="480"/>
          <w:marRight w:val="0"/>
          <w:marTop w:val="0"/>
          <w:marBottom w:val="0"/>
          <w:divBdr>
            <w:top w:val="none" w:sz="0" w:space="0" w:color="auto"/>
            <w:left w:val="none" w:sz="0" w:space="0" w:color="auto"/>
            <w:bottom w:val="none" w:sz="0" w:space="0" w:color="auto"/>
            <w:right w:val="none" w:sz="0" w:space="0" w:color="auto"/>
          </w:divBdr>
        </w:div>
      </w:divsChild>
    </w:div>
    <w:div w:id="1594437663">
      <w:bodyDiv w:val="1"/>
      <w:marLeft w:val="0"/>
      <w:marRight w:val="0"/>
      <w:marTop w:val="0"/>
      <w:marBottom w:val="0"/>
      <w:divBdr>
        <w:top w:val="none" w:sz="0" w:space="0" w:color="auto"/>
        <w:left w:val="none" w:sz="0" w:space="0" w:color="auto"/>
        <w:bottom w:val="none" w:sz="0" w:space="0" w:color="auto"/>
        <w:right w:val="none" w:sz="0" w:space="0" w:color="auto"/>
      </w:divBdr>
    </w:div>
    <w:div w:id="1633093713">
      <w:bodyDiv w:val="1"/>
      <w:marLeft w:val="0"/>
      <w:marRight w:val="0"/>
      <w:marTop w:val="0"/>
      <w:marBottom w:val="0"/>
      <w:divBdr>
        <w:top w:val="none" w:sz="0" w:space="0" w:color="auto"/>
        <w:left w:val="none" w:sz="0" w:space="0" w:color="auto"/>
        <w:bottom w:val="none" w:sz="0" w:space="0" w:color="auto"/>
        <w:right w:val="none" w:sz="0" w:space="0" w:color="auto"/>
      </w:divBdr>
      <w:divsChild>
        <w:div w:id="1730108735">
          <w:marLeft w:val="480"/>
          <w:marRight w:val="0"/>
          <w:marTop w:val="0"/>
          <w:marBottom w:val="0"/>
          <w:divBdr>
            <w:top w:val="none" w:sz="0" w:space="0" w:color="auto"/>
            <w:left w:val="none" w:sz="0" w:space="0" w:color="auto"/>
            <w:bottom w:val="none" w:sz="0" w:space="0" w:color="auto"/>
            <w:right w:val="none" w:sz="0" w:space="0" w:color="auto"/>
          </w:divBdr>
        </w:div>
        <w:div w:id="1743021343">
          <w:marLeft w:val="480"/>
          <w:marRight w:val="0"/>
          <w:marTop w:val="0"/>
          <w:marBottom w:val="0"/>
          <w:divBdr>
            <w:top w:val="none" w:sz="0" w:space="0" w:color="auto"/>
            <w:left w:val="none" w:sz="0" w:space="0" w:color="auto"/>
            <w:bottom w:val="none" w:sz="0" w:space="0" w:color="auto"/>
            <w:right w:val="none" w:sz="0" w:space="0" w:color="auto"/>
          </w:divBdr>
        </w:div>
        <w:div w:id="2131508133">
          <w:marLeft w:val="480"/>
          <w:marRight w:val="0"/>
          <w:marTop w:val="0"/>
          <w:marBottom w:val="0"/>
          <w:divBdr>
            <w:top w:val="none" w:sz="0" w:space="0" w:color="auto"/>
            <w:left w:val="none" w:sz="0" w:space="0" w:color="auto"/>
            <w:bottom w:val="none" w:sz="0" w:space="0" w:color="auto"/>
            <w:right w:val="none" w:sz="0" w:space="0" w:color="auto"/>
          </w:divBdr>
        </w:div>
        <w:div w:id="1252161646">
          <w:marLeft w:val="480"/>
          <w:marRight w:val="0"/>
          <w:marTop w:val="0"/>
          <w:marBottom w:val="0"/>
          <w:divBdr>
            <w:top w:val="none" w:sz="0" w:space="0" w:color="auto"/>
            <w:left w:val="none" w:sz="0" w:space="0" w:color="auto"/>
            <w:bottom w:val="none" w:sz="0" w:space="0" w:color="auto"/>
            <w:right w:val="none" w:sz="0" w:space="0" w:color="auto"/>
          </w:divBdr>
        </w:div>
        <w:div w:id="825779830">
          <w:marLeft w:val="480"/>
          <w:marRight w:val="0"/>
          <w:marTop w:val="0"/>
          <w:marBottom w:val="0"/>
          <w:divBdr>
            <w:top w:val="none" w:sz="0" w:space="0" w:color="auto"/>
            <w:left w:val="none" w:sz="0" w:space="0" w:color="auto"/>
            <w:bottom w:val="none" w:sz="0" w:space="0" w:color="auto"/>
            <w:right w:val="none" w:sz="0" w:space="0" w:color="auto"/>
          </w:divBdr>
        </w:div>
        <w:div w:id="1476949882">
          <w:marLeft w:val="480"/>
          <w:marRight w:val="0"/>
          <w:marTop w:val="0"/>
          <w:marBottom w:val="0"/>
          <w:divBdr>
            <w:top w:val="none" w:sz="0" w:space="0" w:color="auto"/>
            <w:left w:val="none" w:sz="0" w:space="0" w:color="auto"/>
            <w:bottom w:val="none" w:sz="0" w:space="0" w:color="auto"/>
            <w:right w:val="none" w:sz="0" w:space="0" w:color="auto"/>
          </w:divBdr>
        </w:div>
        <w:div w:id="642123196">
          <w:marLeft w:val="480"/>
          <w:marRight w:val="0"/>
          <w:marTop w:val="0"/>
          <w:marBottom w:val="0"/>
          <w:divBdr>
            <w:top w:val="none" w:sz="0" w:space="0" w:color="auto"/>
            <w:left w:val="none" w:sz="0" w:space="0" w:color="auto"/>
            <w:bottom w:val="none" w:sz="0" w:space="0" w:color="auto"/>
            <w:right w:val="none" w:sz="0" w:space="0" w:color="auto"/>
          </w:divBdr>
        </w:div>
        <w:div w:id="2004897155">
          <w:marLeft w:val="480"/>
          <w:marRight w:val="0"/>
          <w:marTop w:val="0"/>
          <w:marBottom w:val="0"/>
          <w:divBdr>
            <w:top w:val="none" w:sz="0" w:space="0" w:color="auto"/>
            <w:left w:val="none" w:sz="0" w:space="0" w:color="auto"/>
            <w:bottom w:val="none" w:sz="0" w:space="0" w:color="auto"/>
            <w:right w:val="none" w:sz="0" w:space="0" w:color="auto"/>
          </w:divBdr>
        </w:div>
        <w:div w:id="1125080171">
          <w:marLeft w:val="480"/>
          <w:marRight w:val="0"/>
          <w:marTop w:val="0"/>
          <w:marBottom w:val="0"/>
          <w:divBdr>
            <w:top w:val="none" w:sz="0" w:space="0" w:color="auto"/>
            <w:left w:val="none" w:sz="0" w:space="0" w:color="auto"/>
            <w:bottom w:val="none" w:sz="0" w:space="0" w:color="auto"/>
            <w:right w:val="none" w:sz="0" w:space="0" w:color="auto"/>
          </w:divBdr>
        </w:div>
        <w:div w:id="677729325">
          <w:marLeft w:val="480"/>
          <w:marRight w:val="0"/>
          <w:marTop w:val="0"/>
          <w:marBottom w:val="0"/>
          <w:divBdr>
            <w:top w:val="none" w:sz="0" w:space="0" w:color="auto"/>
            <w:left w:val="none" w:sz="0" w:space="0" w:color="auto"/>
            <w:bottom w:val="none" w:sz="0" w:space="0" w:color="auto"/>
            <w:right w:val="none" w:sz="0" w:space="0" w:color="auto"/>
          </w:divBdr>
        </w:div>
      </w:divsChild>
    </w:div>
    <w:div w:id="1773747277">
      <w:bodyDiv w:val="1"/>
      <w:marLeft w:val="0"/>
      <w:marRight w:val="0"/>
      <w:marTop w:val="0"/>
      <w:marBottom w:val="0"/>
      <w:divBdr>
        <w:top w:val="none" w:sz="0" w:space="0" w:color="auto"/>
        <w:left w:val="none" w:sz="0" w:space="0" w:color="auto"/>
        <w:bottom w:val="none" w:sz="0" w:space="0" w:color="auto"/>
        <w:right w:val="none" w:sz="0" w:space="0" w:color="auto"/>
      </w:divBdr>
    </w:div>
    <w:div w:id="1859730271">
      <w:bodyDiv w:val="1"/>
      <w:marLeft w:val="0"/>
      <w:marRight w:val="0"/>
      <w:marTop w:val="0"/>
      <w:marBottom w:val="0"/>
      <w:divBdr>
        <w:top w:val="none" w:sz="0" w:space="0" w:color="auto"/>
        <w:left w:val="none" w:sz="0" w:space="0" w:color="auto"/>
        <w:bottom w:val="none" w:sz="0" w:space="0" w:color="auto"/>
        <w:right w:val="none" w:sz="0" w:space="0" w:color="auto"/>
      </w:divBdr>
    </w:div>
    <w:div w:id="1971857916">
      <w:bodyDiv w:val="1"/>
      <w:marLeft w:val="0"/>
      <w:marRight w:val="0"/>
      <w:marTop w:val="0"/>
      <w:marBottom w:val="0"/>
      <w:divBdr>
        <w:top w:val="none" w:sz="0" w:space="0" w:color="auto"/>
        <w:left w:val="none" w:sz="0" w:space="0" w:color="auto"/>
        <w:bottom w:val="none" w:sz="0" w:space="0" w:color="auto"/>
        <w:right w:val="none" w:sz="0" w:space="0" w:color="auto"/>
      </w:divBdr>
    </w:div>
    <w:div w:id="20568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39B0D1E-C5A6-4119-8C6F-8D57ACD5C3E3}"/>
      </w:docPartPr>
      <w:docPartBody>
        <w:p w:rsidR="00236322" w:rsidRDefault="00C513F9">
          <w:r w:rsidRPr="007B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F9"/>
    <w:rsid w:val="00236322"/>
    <w:rsid w:val="0023777B"/>
    <w:rsid w:val="00487CC2"/>
    <w:rsid w:val="007B3B91"/>
    <w:rsid w:val="00C5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3F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A44427-846B-4F57-BDD1-8EE054C9B20D}">
  <we:reference id="wa104382081" version="1.55.1.0" store="en-US" storeType="OMEX"/>
  <we:alternateReferences>
    <we:reference id="wa104382081" version="1.55.1.0" store="" storeType="OMEX"/>
  </we:alternateReferences>
  <we:properties>
    <we:property name="MENDELEY_CITATIONS" value="[{&quot;citationID&quot;:&quot;MENDELEY_CITATION_c129b8fa-9ffb-4512-b8c7-66e4e6345958&quot;,&quot;properties&quot;:{&quot;noteIndex&quot;:0},&quot;isEdited&quot;:false,&quot;manualOverride&quot;:{&quot;citeprocText&quot;:&quot;(Beck, Rush, Shaw, &amp;#38; Emery, 1979; Hope, Heimberg, &amp;#38; Turk, 2006; Martell, Dimidjian, &amp;#38; Herman-Dunn, 2010)&quot;,&quot;isManuallyOverridden&quot;:true,&quot;manualOverrideText&quot;:&quot;Beck et al., 1979; Hope et al., 2006; Martell et al., 2010)&quot;},&quot;citationTag&quot;:&quot;MENDELEY_CITATION_v3_eyJjaXRhdGlvbklEIjoiTUVOREVMRVlfQ0lUQVRJT05fYzEyOWI4ZmEtOWZmYi00NTEyLWI4YzctNjZlNGU2MzQ1OTU4IiwicHJvcGVydGllcyI6eyJub3RlSW5kZXgiOjB9LCJpc0VkaXRlZCI6ZmFsc2UsIm1hbnVhbE92ZXJyaWRlIjp7ImNpdGVwcm9jVGV4dCI6IihCZWNrLCBSdXNoLCBTaGF3LCAmIzM4OyBFbWVyeSwgMTk3OTsgSG9wZSwgSGVpbWJlcmcsICYjMzg7IFR1cmssIDIwMDY7IE1hcnRlbGwsIERpbWlkamlhbiwgJiMzODsgSGVybWFuLUR1bm4sIDIwMTApIiwiaXNNYW51YWxseU92ZXJyaWRkZW4iOnRydWUsIm1hbnVhbE92ZXJyaWRlVGV4dCI6IkJlY2sgZXQgYWwuLCAxOTc5OyBIb3BlIGV0IGFsLiwgMjAwNjsgTWFydGVsbCBldCBhbC4sIDIwMTApIn0sImNpdGF0aW9uSXRlbXMiOlt7ImlkIjoiOTMxZGRkNDgtYzIyNy01Y2M1LWI1ZTQtNTMyNmUwYmE3ODY2IiwiaXRlbURhdGEiOnsiYXV0aG9yIjpbeyJkcm9wcGluZy1wYXJ0aWNsZSI6IiIsImZhbWlseSI6IkJlY2siLCJnaXZlbiI6IkEuIFQuIiwibm9uLWRyb3BwaW5nLXBhcnRpY2xlIjoiIiwicGFyc2UtbmFtZXMiOmZhbHNlLCJzdWZmaXgiOiIifSx7ImRyb3BwaW5nLXBhcnRpY2xlIjoiIiwiZmFtaWx5IjoiUnVzaCIsImdpdmVuIjoiQS4gSi4iLCJub24tZHJvcHBpbmctcGFydGljbGUiOiIiLCJwYXJzZS1uYW1lcyI6ZmFsc2UsInN1ZmZpeCI6IiJ9LHsiZHJvcHBpbmctcGFydGljbGUiOiIiLCJmYW1pbHkiOiJTaGF3IiwiZ2l2ZW4iOiJCLiBGLiIsIm5vbi1kcm9wcGluZy1wYXJ0aWNsZSI6IiIsInBhcnNlLW5hbWVzIjpmYWxzZSwic3VmZml4IjoiIn0seyJkcm9wcGluZy1wYXJ0aWNsZSI6IiIsImZhbWlseSI6IkVtZXJ5IiwiZ2l2ZW4iOiJHLiIsIm5vbi1kcm9wcGluZy1wYXJ0aWNsZSI6IiIsInBhcnNlLW5hbWVzIjpmYWxzZSwic3VmZml4IjoiIn1dLCJpZCI6IjkzMWRkZDQ4LWMyMjctNWNjNS1iNWU0LTUzMjZlMGJhNzg2NiIsImlzc3VlZCI6eyJkYXRlLXBhcnRzIjpbWyIxOTc5Il1dfSwicHVibGlzaGVyIjoiR3VpbGZvcmQgUHJlc3MiLCJ0aXRsZSI6IkNvZ25pdGl2ZSB0aGVyYXB5IG9mIGRlcHJlc3Npb24iLCJ0eXBlIjoiYm9vayIsImNvbnRhaW5lci10aXRsZS1zaG9ydCI6IiJ9LCJ1cmlzIjpbImh0dHA6Ly93d3cubWVuZGVsZXkuY29tL2RvY3VtZW50cy8/dXVpZD0wNDFmYmQwMS05ODIxLTRkZjctODY0MC1jODQ1MmM2NDFhZjIiXSwiaXNUZW1wb3JhcnkiOmZhbHNlLCJsZWdhY3lEZXNrdG9wSWQiOiIwNDFmYmQwMS05ODIxLTRkZjctODY0MC1jODQ1MmM2NDFhZjIifSx7ImlkIjoiM2QwZjVlOWItNTI2ZC01MDJhLWI0MzEtMWNlMTFiYjU4OWYwIiwiaXRlbURhdGEiOnsiYWJzdHJhY3QiOiJJbnRyb2R1Y3Rpb24gYW5kIHRyZWF0bWVudCBjb25zaWRlcmF0aW9ucyAtLSBTdXBwbGVtZW50YWwgaW5mb3JtYXRpb24gb24gc29jaWFsIGFueGlldHkgLS0gQXNzZXNzbWVudCAtLSBPdmVydmlldyBvZiB0aGUgY291cnNlIG9mIHRyZWF0bWVudCAtLSBQc3ljaG9lZHVjYXRpb24sIHBhcnQgMSA6IGJhY2tncm91bmQgb24gc29jaWFsIGFueGlldHkgLS0gUHN5Y2hvZWR1Y2F0aW9uLCBwYXJ0IDIgOiB1bmRlcnN0YW5kaW5nIHRoZSBuYXR1cmUgb2Ygc29jaWFsIGFueGlldHkgLS0gUHN5Y2hvZWR1Y2F0aW9uLCBwYXJ0IDMgOiBldGlvbG9neSBhbmQgdHJlYXRtZW50IHJhdGlvbmFsZSAtLSBQc3ljaG9lZHVjYXRpb24sIHBhcnQgNCA6IGZlYXIgYW5kIGF2b2lkYW5jZSBoaWVyYXJjaHkgYW5kIHNlbGYtbW9uaXRvcmluZyAtLSBDb2duaXRpdmUgcmVzdHJ1Y3R1cmluZywgcGFydCAxIDogaWRlbnRpZnlpbmcgYXV0b21hdGljIHRob3VnaHRzIC0tIENvZ25pdGl2ZSByZXN0cnVjdHVyaW5nLCBwYXJ0IDIgOiBjaGFsbGVuZ2luZyBhdXRvbWF0aWMgdGhvdWdodHMgLS0gRXhwb3N1cmUgYW5kIGNvZ25pdGl2ZSByZXN0cnVjdHVyaW5nLCBwYXJ0IDEgOiBmaXJzdCBleHBvc3VyZSAtLSBFeHBvc3VyZSBhbmQgY29nbml0aXZlIHJlc3RydWN0dXJpbmcsIHBhcnQgMiA6IG9uZ29pbmcgZXhwb3N1cmUgLS0gRXhwb3N1cmUgYW5kIGNvZ25pdGl2ZSByZXN0cnVjdHVyaW5nLCBwYXJ0IDMgOiBvYnNlcnZhdGlvbmFsIGZlYXJzIChvcHRpb25hbCkgLS0gRXhwb3N1cmUgYW5kIGNvZ25pdGl2ZSByZXN0cnVjdHVyaW5nLCBwYXJ0IDQgOiBjb252ZXJzYXRpb24gZmVhcnMgKG9wdGlvbmFsKSAtLSBFeHBvc3VyZSBhbmQgY29nbml0aXZlIHJlc3RydWN0dXJpbmcsIHBhcnQgNSA6IHB1YmxpYyBzcGVha2luZyBmZWFycyAob3B0aW9uYWwpIC0tIEFkdmFuY2VkIGNvZ25pdGl2ZSByZXN0cnVjdHVyaW5nIC0tIFRlcm1pbmF0aW9uLiIsImF1dGhvciI6W3siZHJvcHBpbmctcGFydGljbGUiOiIiLCJmYW1pbHkiOiJIb3BlIiwiZ2l2ZW4iOiJEIEEiLCJub24tZHJvcHBpbmctcGFydGljbGUiOiIiLCJwYXJzZS1uYW1lcyI6ZmFsc2UsInN1ZmZpeCI6IiJ9LHsiZHJvcHBpbmctcGFydGljbGUiOiIiLCJmYW1pbHkiOiJIZWltYmVyZyIsImdpdmVuIjoiUiBHIiwibm9uLWRyb3BwaW5nLXBhcnRpY2xlIjoiIiwicGFyc2UtbmFtZXMiOmZhbHNlLCJzdWZmaXgiOiIifSx7ImRyb3BwaW5nLXBhcnRpY2xlIjoiIiwiZmFtaWx5IjoiVHVyayIsImdpdmVuIjoiQyBMIiwibm9uLWRyb3BwaW5nLXBhcnRpY2xlIjoiIiwicGFyc2UtbmFtZXMiOmZhbHNlLCJzdWZmaXgiOiIifV0sImlkIjoiM2QwZjVlOWItNTI2ZC01MDJhLWI0MzEtMWNlMTFiYjU4OWYwIiwiaXNzdWVkIjp7ImRhdGUtcGFydHMiOltbIjIwMDYiXV19LCJwdWJsaXNoZXIiOiJPeGZvcmQgVW5pdmVyc2l0eSBQcmVzcyIsInRpdGxlIjoiTWFuYWdpbmcgc29jaWFsIGFueGlldHk6IEEgY29nbml0aXZlLWJlaGF2aW9yYWwgdGhlcmFweSBhcHByb2FjaCIsInR5cGUiOiJib29rIiwiY29udGFpbmVyLXRpdGxlLXNob3J0IjoiIn0sInVyaXMiOlsiaHR0cDovL3d3dy5tZW5kZWxleS5jb20vZG9jdW1lbnRzLz91dWlkPWQ4OTEwNjI0LTQwZDgtNGE1Ny1hOTFmLTJjZTlhZmM1ODE1NiJdLCJpc1RlbXBvcmFyeSI6ZmFsc2UsImxlZ2FjeURlc2t0b3BJZCI6ImQ4OTEwNjI0LTQwZDgtNGE1Ny1hOTFmLTJjZTlhZmM1ODE1NiJ9LHsiaWQiOiI2NTE2ODhkYS1iODMzLTUyMmYtOTg0Ny05NTk0YmJlOGQ5MjAiLCJpdGVtRGF0YSI6eyJhYnN0cmFjdCI6IkZyb20gbGVhZGluZyBleHBlcnRzIGluIGJlaGF2aW9yYWwgYWN0aXZhdGlvbiByZXNlYXJjaCBhbmQgY2xpbmljYWwgcHJhY3RpY2UsIHRoaXMgdm9sdW1lIHByZXNlbnRzIGFuIGVtcGlyaWNhbGx5IHRlc3RlZCBhcHByb2FjaCBmb3IgaGVscGluZyBjbGllbnRzIG92ZXJjb21lIGRlcHJlc3Npb24gYnkgYmVjb21pbmcgYWN0aXZlIGFuZCBlbmdhZ2VkIGluIHRoZWlyIG93biBsaXZlcy4gQmVoYXZpb3JhbCBhY3RpdmF0aW9uIGlzIGEgc3RhbmQtYWxvbmUgdHJlYXRtZW50IHdob3NlIHByaW5jaXBsZXMgY2FuIGJlIGludGVncmF0ZWQgZWFzaWx5IHdpdGggb3RoZXIgYXBwcm9hY2hlcyB0aGF0IHRoZXJhcGlzdHMgYWxyZWFkeSB1c2UuIEd1aWRlbGluZXMgYXJlIHByZXNlbnRlZCBmb3IgaWRlbnRpZnlpbmcgaW5kaXZpZHVhbGl6ZWQgdHJlYXRtZW50IHRhcmdldHMsIG1vbml0b3JpbmcgYW5kIHNjaGVkdWxpbmcgXCJhbnRpZGVwcmVzc2FudFwiIGFjdGl2aXRpZXMtLWV4cGVyaWVuY2VzIHRoYXQgYXJlIGxpa2VseSB0byBiZSByZXdhcmRpbmcgYW5kIHBsZWFzdXJhYmxlLS1hbmQgZGVjcmVhc2luZyBhdm9pZGFuY2UgYW5kIHJ1bWluYXRpdmUgdGhpbmtpbmcuIFJpY2ggY2xpbmljYWwgaWxsdXN0cmF0aW9ucyBpbmNsdWRlIGFuIGV4dGVuZGVkIGNhc2UgZXhhbXBsZSB0aGF0IHJ1bnMgdGhyb3VnaG91dCB0aGUgYm9vay4iLCJhdXRob3IiOlt7ImRyb3BwaW5nLXBhcnRpY2xlIjoiIiwiZmFtaWx5IjoiTWFydGVsbCIsImdpdmVuIjoiQ2hyaXN0b3BoZXIgUi4iLCJub24tZHJvcHBpbmctcGFydGljbGUiOiIiLCJwYXJzZS1uYW1lcyI6ZmFsc2UsInN1ZmZpeCI6IiJ9LHsiZHJvcHBpbmctcGFydGljbGUiOiIiLCJmYW1pbHkiOiJEaW1pZGppYW4iLCJnaXZlbiI6IlNvbmEiLCJub24tZHJvcHBpbmctcGFydGljbGUiOiIiLCJwYXJzZS1uYW1lcyI6ZmFsc2UsInN1ZmZpeCI6IiJ9LHsiZHJvcHBpbmctcGFydGljbGUiOiIiLCJmYW1pbHkiOiJIZXJtYW4tRHVubiIsImdpdmVuIjoiUnV0aCIsIm5vbi1kcm9wcGluZy1wYXJ0aWNsZSI6IiIsInBhcnNlLW5hbWVzIjpmYWxzZSwic3VmZml4IjoiIn1dLCJpZCI6IjY1MTY4OGRhLWI4MzMtNTIyZi05ODQ3LTk1OTRiYmU4ZDkyMCIsImlzc3VlZCI6eyJkYXRlLXBhcnRzIjpbWyIyMDEwIl1dfSwicHVibGlzaGVyIjoiR3VpbGZvcmQgUHJlc3MiLCJ0aXRsZSI6IkJlaGF2aW9yYWwgQWN0aXZhdGlvbiBmb3IgRGVwcmVzc2lvbjogQSBDbGluaWNpYW4ncyBHdWlkZSIsInR5cGUiOiJib29rIiwiY29udGFpbmVyLXRpdGxlLXNob3J0IjoiIn0sInVyaXMiOlsiaHR0cDovL3d3dy5tZW5kZWxleS5jb20vZG9jdW1lbnRzLz91dWlkPWZjMzM0NzkzLWQ2ZmQtNDc0NC04ZTBjLWU3MTliZDZhOTBhZiJdLCJpc1RlbXBvcmFyeSI6ZmFsc2UsImxlZ2FjeURlc2t0b3BJZCI6ImZjMzM0NzkzLWQ2ZmQtNDc0NC04ZTBjLWU3MTliZDZhOTBhZiJ9XX0=&quot;,&quot;citationItems&quot;:[{&quot;id&quot;:&quot;931ddd48-c227-5cc5-b5e4-5326e0ba7866&quot;,&quot;itemData&quot;:{&quot;author&quot;:[{&quot;dropping-particle&quot;:&quot;&quot;,&quot;family&quot;:&quot;Beck&quot;,&quot;given&quot;:&quot;A. T.&quot;,&quot;non-dropping-particle&quot;:&quot;&quot;,&quot;parse-names&quot;:false,&quot;suffix&quot;:&quot;&quot;},{&quot;dropping-particle&quot;:&quot;&quot;,&quot;family&quot;:&quot;Rush&quot;,&quot;given&quot;:&quot;A. J.&quot;,&quot;non-dropping-particle&quot;:&quot;&quot;,&quot;parse-names&quot;:false,&quot;suffix&quot;:&quot;&quot;},{&quot;dropping-particle&quot;:&quot;&quot;,&quot;family&quot;:&quot;Shaw&quot;,&quot;given&quot;:&quot;B. F.&quot;,&quot;non-dropping-particle&quot;:&quot;&quot;,&quot;parse-names&quot;:false,&quot;suffix&quot;:&quot;&quot;},{&quot;dropping-particle&quot;:&quot;&quot;,&quot;family&quot;:&quot;Emery&quot;,&quot;given&quot;:&quot;G.&quot;,&quot;non-dropping-particle&quot;:&quot;&quot;,&quot;parse-names&quot;:false,&quot;suffix&quot;:&quot;&quot;}],&quot;id&quot;:&quot;931ddd48-c227-5cc5-b5e4-5326e0ba7866&quot;,&quot;issued&quot;:{&quot;date-parts&quot;:[[&quot;1979&quot;]]},&quot;publisher&quot;:&quot;Guilford Press&quot;,&quot;title&quot;:&quot;Cognitive therapy of depression&quot;,&quot;type&quot;:&quot;book&quot;,&quot;container-title-short&quot;:&quot;&quot;},&quot;uris&quot;:[&quot;http://www.mendeley.com/documents/?uuid=041fbd01-9821-4df7-8640-c8452c641af2&quot;],&quot;isTemporary&quot;:false,&quot;legacyDesktopId&quot;:&quot;041fbd01-9821-4df7-8640-c8452c641af2&quot;},{&quot;id&quot;:&quot;3d0f5e9b-526d-502a-b431-1ce11bb589f0&quot;,&quot;itemData&quot;:{&quot;abstract&quot;:&quot;Introduction and treatment considerations -- Supplemental information on social anxiety -- Assessment -- Overview of the course of treatment -- Psychoeducation, part 1 : background on social anxiety -- Psychoeducation, part 2 : understanding the nature of social anxiety -- Psychoeducation, part 3 : etiology and treatment rationale -- Psychoeducation, part 4 : fear and avoidance hierarchy and self-monitoring -- Cognitive restructuring, part 1 : identifying automatic thoughts -- Cognitive restructuring, part 2 : challenging automatic thoughts -- Exposure and cognitive restructuring, part 1 : first exposure -- Exposure and cognitive restructuring, part 2 : ongoing exposure -- Exposure and cognitive restructuring, part 3 : observational fears (optional) -- Exposure and cognitive restructuring, part 4 : conversation fears (optional) -- Exposure and cognitive restructuring, part 5 : public speaking fears (optional) -- Advanced cognitive restructuring -- Termination.&quot;,&quot;author&quot;:[{&quot;dropping-particle&quot;:&quot;&quot;,&quot;family&quot;:&quot;Hope&quot;,&quot;given&quot;:&quot;D A&quot;,&quot;non-dropping-particle&quot;:&quot;&quot;,&quot;parse-names&quot;:false,&quot;suffix&quot;:&quot;&quot;},{&quot;dropping-particle&quot;:&quot;&quot;,&quot;family&quot;:&quot;Heimberg&quot;,&quot;given&quot;:&quot;R G&quot;,&quot;non-dropping-particle&quot;:&quot;&quot;,&quot;parse-names&quot;:false,&quot;suffix&quot;:&quot;&quot;},{&quot;dropping-particle&quot;:&quot;&quot;,&quot;family&quot;:&quot;Turk&quot;,&quot;given&quot;:&quot;C L&quot;,&quot;non-dropping-particle&quot;:&quot;&quot;,&quot;parse-names&quot;:false,&quot;suffix&quot;:&quot;&quot;}],&quot;id&quot;:&quot;3d0f5e9b-526d-502a-b431-1ce11bb589f0&quot;,&quot;issued&quot;:{&quot;date-parts&quot;:[[&quot;2006&quot;]]},&quot;publisher&quot;:&quot;Oxford University Press&quot;,&quot;title&quot;:&quot;Managing social anxiety: A cognitive-behavioral therapy approach&quot;,&quot;type&quot;:&quot;book&quot;,&quot;container-title-short&quot;:&quot;&quot;},&quot;uris&quot;:[&quot;http://www.mendeley.com/documents/?uuid=d8910624-40d8-4a57-a91f-2ce9afc58156&quot;],&quot;isTemporary&quot;:false,&quot;legacyDesktopId&quot;:&quot;d8910624-40d8-4a57-a91f-2ce9afc58156&quot;},{&quot;id&quot;:&quot;651688da-b833-522f-9847-9594bbe8d920&quot;,&quot;itemData&quot;:{&quot;abstract&quot;:&quot;From leading experts in behavioral activation research and clinical practice, this volume presents an empirically tested approach for helping clients overcome depression by becoming active and engaged in their own lives. Behavioral activation is a stand-alone treatment whose principles can be integrated easily with other approaches that therapists already use. Guidelines are presented for identifying individualized treatment targets, monitoring and scheduling \&quot;antidepressant\&quot; activities--experiences that are likely to be rewarding and pleasurable--and decreasing avoidance and ruminative thinking. Rich clinical illustrations include an extended case example that runs throughout the book.&quot;,&quot;author&quot;:[{&quot;dropping-particle&quot;:&quot;&quot;,&quot;family&quot;:&quot;Martell&quot;,&quot;given&quot;:&quot;Christopher R.&quot;,&quot;non-dropping-particle&quot;:&quot;&quot;,&quot;parse-names&quot;:false,&quot;suffix&quot;:&quot;&quot;},{&quot;dropping-particle&quot;:&quot;&quot;,&quot;family&quot;:&quot;Dimidjian&quot;,&quot;given&quot;:&quot;Sona&quot;,&quot;non-dropping-particle&quot;:&quot;&quot;,&quot;parse-names&quot;:false,&quot;suffix&quot;:&quot;&quot;},{&quot;dropping-particle&quot;:&quot;&quot;,&quot;family&quot;:&quot;Herman-Dunn&quot;,&quot;given&quot;:&quot;Ruth&quot;,&quot;non-dropping-particle&quot;:&quot;&quot;,&quot;parse-names&quot;:false,&quot;suffix&quot;:&quot;&quot;}],&quot;id&quot;:&quot;651688da-b833-522f-9847-9594bbe8d920&quot;,&quot;issued&quot;:{&quot;date-parts&quot;:[[&quot;2010&quot;]]},&quot;publisher&quot;:&quot;Guilford Press&quot;,&quot;title&quot;:&quot;Behavioral Activation for Depression: A Clinician's Guide&quot;,&quot;type&quot;:&quot;book&quot;,&quot;container-title-short&quot;:&quot;&quot;},&quot;uris&quot;:[&quot;http://www.mendeley.com/documents/?uuid=fc334793-d6fd-4744-8e0c-e719bd6a90af&quot;],&quot;isTemporary&quot;:false,&quot;legacyDesktopId&quot;:&quot;fc334793-d6fd-4744-8e0c-e719bd6a90af&quot;}]},{&quot;citationID&quot;:&quot;MENDELEY_CITATION_31e32c5b-74f9-4b8a-befb-e26bf0848db9&quot;,&quot;properties&quot;:{&quot;noteIndex&quot;:0},&quot;isEdited&quot;:false,&quot;manualOverride&quot;:{&quot;citeprocText&quot;:&quot;(Markowitz, Manber, &amp;#38; Rosen, 2008; Rogers, 1946)&quot;,&quot;isManuallyOverridden&quot;:true,&quot;manualOverrideText&quot;:&quot;Markowitz et al., 2008; Rogers, 1946)&quot;},&quot;citationTag&quot;:&quot;MENDELEY_CITATION_v3_eyJjaXRhdGlvbklEIjoiTUVOREVMRVlfQ0lUQVRJT05fMzFlMzJjNWItNzRmOS00YjhhLWJlZmItZTI2YmYwODQ4ZGI5IiwicHJvcGVydGllcyI6eyJub3RlSW5kZXgiOjB9LCJpc0VkaXRlZCI6ZmFsc2UsIm1hbnVhbE92ZXJyaWRlIjp7ImNpdGVwcm9jVGV4dCI6IihNYXJrb3dpdHosIE1hbmJlciwgJiMzODsgUm9zZW4sIDIwMDg7IFJvZ2VycywgMTk0NikiLCJpc01hbnVhbGx5T3ZlcnJpZGRlbiI6dHJ1ZSwibWFudWFsT3ZlcnJpZGVUZXh0IjoiTWFya293aXR6IGV0IGFsLiwgMjAwODsgUm9nZXJzLCAxOTQ2KSJ9LCJjaXRhdGlvbkl0ZW1zIjpbeyJpZCI6ImM1ZWViZjM3LWExY2UtNTQzMC1iNmViLTk1MTM1ODQ0ODczMCIsIml0ZW1EYXRhIjp7IkRPSSI6IjEwLjExNzYvYXBwaS5wc3ljaG90aGVyYXB5LjIwMDguNjIuMS42NyIsIklTU04iOiIwMDAyOTU2NCIsIlBNSUQiOiIxODQ2MTg0NCIsImFic3RyYWN0IjoiVGhlcmUgaXMgbGl0dGxlIHJlc2VhcmNoIGFkZHJlc3Npbmcgc3VwcG9ydGl2ZSBwc3ljaG90aGVyYXB5IHRyYWluaW5nLiBUaGlzIGFydGljbGUgZGVzY3JpYmVzIHRyYWluaW5nIGNsaW5pY2lhbnMgaW4gYSBmb3JtIG9mIGJyaWVmIHN1cHBvcnRpdmUgcHN5Y2hvdGhlcmFweSAoQlNQKSBmb3IgYSBtdWx0aXNpdGUgZGVwcmVzc2lvbiBzdHVkeSwgYW5kIHJlcG9ydHMgb24gYSBzdXJ2ZXkgb2YgdGhlcmFwaXN0IGF0dGl0dWRlcyB0b3dhcmQgQlNQLiBXZSBoeXBvdGhlc2l6ZWQgdGhhdCB3aGlsZSBtb3N0IHRoZXJhcGlzdHMgd291bGQgcmVwb3J0IGFjY2xpbWF0aW5nIHRvIEJTUCwgY29nbml0aXZlLWJlaGF2aW9yYWwgdGhlcmFweSAoQ0JUKS10cmFpbmVkIHRoZXJhcGlzdHMgd291bGQgcmVwb3J0IGdyZWF0ZXIgZnJ1c3RyYXRpb24gd2l0aCBCU1AuIFNpeHRlZW4gKDg5JSkgb2YgMTggdGhlcmFwaXN0cyBjb21wbGV0ZWQgYSBicmllZiBxdWVzdGlvbm5haXJlLiBUaGVyYXBpc3RzIHJlcG9ydGVkIGdhaW5pbmcgY29tZm9ydCB3aXRoIHN1cHBvcnRpdmUgY29uY2VwdHMgYW5kIGludGVydmVudGlvbnMuIFRoZXJhcGlzdHMgd2l0aCBjb2duaXRpdmUgYmVoYXZpb3IgdGhlcmFweSBvcmllbnRhdGlvbnMgZGlkIG5vdCByZXBvcnQgc2lnbmlmaWNhbnRseSBncmVhdGVyIGZydXN0cmF0aW9uIHdpdGggaW50ZXJ2ZW50aW9uIHJlc3RyaWN0aW9ucy4gQWxsIHByYWN0aXRpb25lcnMgaW5kaWNhdGVkIHRoZXkgd2VyZSBhbHJlYWR5IHVzaW5nIG9yIHdlcmUgcGxhbm5pbmcgdG8gdXNlIEJTUCBvdXRzaWRlIHRoZSBzdHVkeSwgYW5kIHRoYXQgQlNQIHRyYWluaW5nIGhhZCBhbHRlcmVkIHRoZWlyIGFwcHJlY2lhdGlvbiBvZiBwc3ljaG90aGVyYXB5LiBNb3N0IHN0dWR5IHRoZXJhcGlzdHMgbGFja2VkIHByaW9yIHN1cHBvcnRpdmUgdGhlcmFweSB0cmFpbmluZyBidXQgcmVwb3J0ZWQgYWRhcHRpbmcgdG8gQlNQIGFuZCBhcHByZWNpYXRpbmcgaXRzIHN0cmVuZ3RocyBhbmQgbGltaXRhdGlvbnMuIiwiYXV0aG9yIjpbeyJkcm9wcGluZy1wYXJ0aWNsZSI6IiIsImZhbWlseSI6Ik1hcmtvd2l0eiIsImdpdmVuIjoiSm9obiBDLiIsIm5vbi1kcm9wcGluZy1wYXJ0aWNsZSI6IiIsInBhcnNlLW5hbWVzIjpmYWxzZSwic3VmZml4IjoiIn0seyJkcm9wcGluZy1wYXJ0aWNsZSI6IiIsImZhbWlseSI6Ik1hbmJlciIsImdpdmVuIjoiUmFjaGVsIiwibm9uLWRyb3BwaW5nLXBhcnRpY2xlIjoiIiwicGFyc2UtbmFtZXMiOmZhbHNlLCJzdWZmaXgiOiIifSx7ImRyb3BwaW5nLXBhcnRpY2xlIjoiIiwiZmFtaWx5IjoiUm9zZW4iLCJnaXZlbiI6IlBoeWxsaXMiLCJub24tZHJvcHBpbmctcGFydGljbGUiOiIiLCJwYXJzZS1uYW1lcyI6ZmFsc2UsInN1ZmZpeCI6IiJ9XSwiY29udGFpbmVyLXRpdGxlIjoiQW1lcmljYW4gSm91cm5hbCBvZiBQc3ljaG90aGVyYXB5IiwiaWQiOiJjNWVlYmYzNy1hMWNlLTU0MzAtYjZlYi05NTEzNTg0NDg3MzAiLCJpc3N1ZSI6IjEiLCJpc3N1ZWQiOnsiZGF0ZS1wYXJ0cyI6W1siMjAwOCJdXX0sInBhZ2UiOiI2Ny04MSIsInRpdGxlIjoiVGhlcmFwaXN0cycgcmVzcG9uc2VzIHRvIHRyYWluaW5nIGluIGJyaWVmIHN1cHBvcnRpdmUgcHN5Y2hvdGhlcmFweSIsInR5cGUiOiJhcnRpY2xlLWpvdXJuYWwiLCJ2b2x1bWUiOiI2MiIsImNvbnRhaW5lci10aXRsZS1zaG9ydCI6IkFtIEogUHN5Y2hvdGhlciJ9LCJ1cmlzIjpbImh0dHA6Ly93d3cubWVuZGVsZXkuY29tL2RvY3VtZW50cy8/dXVpZD02YzQ5ZjJhMy1hNDIzLTRjYTAtOTc2Yi1hYmM0NjI3NzczYzYiXSwiaXNUZW1wb3JhcnkiOmZhbHNlLCJsZWdhY3lEZXNrdG9wSWQiOiI2YzQ5ZjJhMy1hNDIzLTRjYTAtOTc2Yi1hYmM0NjI3NzczYzYifSx7ImlkIjoiNTM5Njg2MjMtZjcxNC01ZGQzLWEwYTUtMzFkODE5NzViZmViIiwiaXRlbURhdGEiOnsiRE9JIjoiMTAuMTAzNy9oMDA2MDg2NiIsIklTU04iOiIwMDAzMDY2WCIsImF1dGhvciI6W3siZHJvcHBpbmctcGFydGljbGUiOiIiLCJmYW1pbHkiOiJSb2dlcnMiLCJnaXZlbiI6IkMuIFIuIiwibm9uLWRyb3BwaW5nLXBhcnRpY2xlIjoiIiwicGFyc2UtbmFtZXMiOmZhbHNlLCJzdWZmaXgiOiIifV0sImNvbnRhaW5lci10aXRsZSI6IlRoZSBBbWVyaWNhbiBQc3ljaG9sb2dpc3QiLCJpZCI6IjUzOTY4NjIzLWY3MTQtNWRkMy1hMGE1LTMxZDgxOTc1YmZlYiIsImlzc3VlIjoiMTAiLCJpc3N1ZWQiOnsiZGF0ZS1wYXJ0cyI6W1siMTk0NiJdXX0sInBhZ2UiOiI0MTUtNDIyIiwidGl0bGUiOiJTaWduaWZpY2FudCBhc3BlY3RzIG9mIGNsaWVudC1jZW50ZXJlZCB0aGVyYXB5IiwidHlwZSI6ImFydGljbGUtam91cm5hbCIsInZvbHVtZSI6IjEiLCJjb250YWluZXItdGl0bGUtc2hvcnQiOiJBbSBQc3ljaG9sIn0sInVyaXMiOlsiaHR0cDovL3d3dy5tZW5kZWxleS5jb20vZG9jdW1lbnRzLz91dWlkPTRjMDgyNjkzLWUzNGEtNGUwZi04OTJiLTdiMDc2NTc3M2VhNSJdLCJpc1RlbXBvcmFyeSI6ZmFsc2UsImxlZ2FjeURlc2t0b3BJZCI6IjRjMDgyNjkzLWUzNGEtNGUwZi04OTJiLTdiMDc2NTc3M2VhNSJ9XX0=&quot;,&quot;citationItems&quot;:[{&quot;id&quot;:&quot;c5eebf37-a1ce-5430-b6eb-951358448730&quot;,&quot;itemData&quot;:{&quot;DOI&quot;:&quot;10.1176/appi.psychotherapy.2008.62.1.67&quot;,&quot;ISSN&quot;:&quot;00029564&quot;,&quot;PMID&quot;:&quot;18461844&quot;,&quot;abstract&quot;:&quot;There is little research addressing supportive psychotherapy training. This article describes training clinicians in a form of brief supportive psychotherapy (BSP) for a multisite depression study, and reports on a survey of therapist attitudes toward BSP. We hypothesized that while most therapists would report acclimating to BSP, cognitive-behavioral therapy (CBT)-trained therapists would report greater frustration with BSP. Sixteen (89%) of 18 therapists completed a brief questionnaire. Therapists reported gaining comfort with supportive concepts and interventions. Therapists with cognitive behavior therapy orientations did not report significantly greater frustration with intervention restrictions. All practitioners indicated they were already using or were planning to use BSP outside the study, and that BSP training had altered their appreciation of psychotherapy. Most study therapists lacked prior supportive therapy training but reported adapting to BSP and appreciating its strengths and limitations.&quot;,&quot;author&quot;:[{&quot;dropping-particle&quot;:&quot;&quot;,&quot;family&quot;:&quot;Markowitz&quot;,&quot;given&quot;:&quot;John C.&quot;,&quot;non-dropping-particle&quot;:&quot;&quot;,&quot;parse-names&quot;:false,&quot;suffix&quot;:&quot;&quot;},{&quot;dropping-particle&quot;:&quot;&quot;,&quot;family&quot;:&quot;Manber&quot;,&quot;given&quot;:&quot;Rachel&quot;,&quot;non-dropping-particle&quot;:&quot;&quot;,&quot;parse-names&quot;:false,&quot;suffix&quot;:&quot;&quot;},{&quot;dropping-particle&quot;:&quot;&quot;,&quot;family&quot;:&quot;Rosen&quot;,&quot;given&quot;:&quot;Phyllis&quot;,&quot;non-dropping-particle&quot;:&quot;&quot;,&quot;parse-names&quot;:false,&quot;suffix&quot;:&quot;&quot;}],&quot;container-title&quot;:&quot;American Journal of Psychotherapy&quot;,&quot;id&quot;:&quot;c5eebf37-a1ce-5430-b6eb-951358448730&quot;,&quot;issue&quot;:&quot;1&quot;,&quot;issued&quot;:{&quot;date-parts&quot;:[[&quot;2008&quot;]]},&quot;page&quot;:&quot;67-81&quot;,&quot;title&quot;:&quot;Therapists' responses to training in brief supportive psychotherapy&quot;,&quot;type&quot;:&quot;article-journal&quot;,&quot;volume&quot;:&quot;62&quot;,&quot;container-title-short&quot;:&quot;Am J Psychother&quot;},&quot;uris&quot;:[&quot;http://www.mendeley.com/documents/?uuid=6c49f2a3-a423-4ca0-976b-abc4627773c6&quot;],&quot;isTemporary&quot;:false,&quot;legacyDesktopId&quot;:&quot;6c49f2a3-a423-4ca0-976b-abc4627773c6&quot;},{&quot;id&quot;:&quot;53968623-f714-5dd3-a0a5-31d81975bfeb&quot;,&quot;itemData&quot;:{&quot;DOI&quot;:&quot;10.1037/h0060866&quot;,&quot;ISSN&quot;:&quot;0003066X&quot;,&quot;author&quot;:[{&quot;dropping-particle&quot;:&quot;&quot;,&quot;family&quot;:&quot;Rogers&quot;,&quot;given&quot;:&quot;C. R.&quot;,&quot;non-dropping-particle&quot;:&quot;&quot;,&quot;parse-names&quot;:false,&quot;suffix&quot;:&quot;&quot;}],&quot;container-title&quot;:&quot;The American Psychologist&quot;,&quot;id&quot;:&quot;53968623-f714-5dd3-a0a5-31d81975bfeb&quot;,&quot;issue&quot;:&quot;10&quot;,&quot;issued&quot;:{&quot;date-parts&quot;:[[&quot;1946&quot;]]},&quot;page&quot;:&quot;415-422&quot;,&quot;title&quot;:&quot;Significant aspects of client-centered therapy&quot;,&quot;type&quot;:&quot;article-journal&quot;,&quot;volume&quot;:&quot;1&quot;,&quot;container-title-short&quot;:&quot;Am Psychol&quot;},&quot;uris&quot;:[&quot;http://www.mendeley.com/documents/?uuid=4c082693-e34a-4e0f-892b-7b0765773ea5&quot;],&quot;isTemporary&quot;:false,&quot;legacyDesktopId&quot;:&quot;4c082693-e34a-4e0f-892b-7b0765773ea5&quot;}]},{&quot;citationID&quot;:&quot;MENDELEY_CITATION_ca7545fc-0008-42c4-ab30-cb9cec5de4fd&quot;,&quot;properties&quot;:{&quot;noteIndex&quot;:0},&quot;isEdited&quot;:false,&quot;manualOverride&quot;:{&quot;citeprocText&quot;:&quot;(Young &amp;#38; Beck, 1980)&quot;,&quot;isManuallyOverridden&quot;:true,&quot;manualOverrideText&quot;:&quot;Young &amp; Beck, 1980)&quot;},&quot;citationTag&quot;:&quot;MENDELEY_CITATION_v3_eyJjaXRhdGlvbklEIjoiTUVOREVMRVlfQ0lUQVRJT05fY2E3NTQ1ZmMtMDAwOC00MmM0LWFiMzAtY2I5Y2VjNWRlNGZkIiwicHJvcGVydGllcyI6eyJub3RlSW5kZXgiOjB9LCJpc0VkaXRlZCI6ZmFsc2UsIm1hbnVhbE92ZXJyaWRlIjp7ImNpdGVwcm9jVGV4dCI6IihZb3VuZyAmIzM4OyBCZWNrLCAxOTgwKSIsImlzTWFudWFsbHlPdmVycmlkZGVuIjp0cnVlLCJtYW51YWxPdmVycmlkZVRleHQiOiJZb3VuZyAmIEJlY2ssIDE5ODApIn0sImNpdGF0aW9uSXRlbXMiOlt7ImlkIjoiN2Y2YTBkZmYtYmU2Mi01NWUwLThiNzYtYzJiZmJkZTU3MTY1IiwiaXRlbURhdGEiOnsiYWJzdHJhY3QiOiIyIEdlbmVyYWwgSW5zdHJ1Y3Rpb25zIHRvIFJhdGVycyAxLiBUaGUgbW9zdCBzZXJpb3VzIHByb2JsZW0gd2UgaGF2ZSBvYnNlcnZlZCBpbiByYXRlcnMgaXMgYSBcImhhbG8gZWZmZWN0XCIuIFdoZW4gdGhlIHJhdGVyIHRoaW5rcyB0aGUgdGhlcmFwaXN0IGlzIGdvb2QsIGhlL3NoZSB0ZW5kcyB0byByYXRlIHRoZSB0aGVyYXBpc3QgaGlnaCBvbiBhbGwgY2F0ZWdvcmllcy4gVGhlIHJldmVyc2UgaXMgdHJ1ZSB3aGVuIHRoZSByYXRlciBiZWxpZXZlcyB0aGUgc2Vzc2lvbiBpcyBiYWQuIE9uZSBvZiB0aGUgbW9zdCBpbXBvcnRhbnQgZnVuY3Rpb25zIG9mIHRoZSBDb2duaXRpdmUgVGhlcmFweSBTY2FsZSBpcyB0byBpZGVudGlmeSB0aGUgdGhlcmFwaXN0J3Mgc3BlY2lmaWMgc3RyZW5ndGhzIGFuZCB3ZWFrbmVzc2VzLiBJdCBpcyByYXJlIHRvIGZpbmQgYSB0aGVyYXBpc3Qgd2hvIGlzIHVuaWZvcm1seSBnb29kIG9yIGJhZC4gSXQgbWF5IGJlIGhlbHBmdWwsIHRoZXJlZm9yZSwgZm9yIHJhdGVycyB0byBsaXN0IHBvc2l0aXZlIGFuZCBuZWdhdGl2ZSBvYnNlcnZhdGlvbnMgYXMgdGhleSBsaXN0ZW4gdG8gYSBzZXNzaW9uLCByYXRoZXIgdGhhbiBjb25jZW50cmF0ZSBvbiBmb3JtaW5nIG9uZSBnbG9iYWwgaW1wcmVzc2lvbi4gMi4gQSBzZWNvbmQgcHJvYmxlbSBpcyB0aGUgdGVuZGVuY3kgb2Ygc29tZSByYXRlcnMgdG8gcmVseSBzb2xlbHkgb24gdGhlaXIgb3duIG5vdGlvbnMgb2Ygd2hhdCBhIHBhcnRpY3VsYXIgc2NhbGUgcG9pbnQgbWVhbnMgKGUuZy4sIDQgaXMgYXZlcmFnZSkgYW5kIHRvIGRpc3JlZ2FyZCB0aGUgZGVzY3JpcHRpb25zIHByb3ZpZGVkIG9uIHRoZSBmb3JtLiBUaGUgcHJvYmxlbSB3aXRoIHRoaXMgaXMgdGhhdCB3ZSBlYWNoIGF0dGFjaCBpZGlvc3luY3JhdGljIG1lYW5pbmdzIHRvIHBhcnRpY3VsYXIgbnVtYmVycyBvbiB0aGUgNi1wb2ludCBzY2FsZS4gVGhlIG1vc3QgY3JpdGljYWwgcmF0ZXJzIGFzc2lnbiBhIDEgd2hlbmV2ZXIgdGhlIHRoZXJhcGlzdCBpcyBcInVuc2F0aXNmYWN0b3J5XCIsIHdoaWxlIHRoZSBtb3N0IGdlbmVyb3VzIHJhdGVycyBhc3NpZ24gYSA1IHdoZW4gdGhlIHRoZXJhcGlzdCBoYXMgbWVyZWx5IFwiZG9uZSBhIGdvb2Qgam9iXCIgb3IgXCJ0cmllZCBoYXJkXCIuIFRoZSBkZXNjcmlwdGlvbnMgb24gdGhlIHNjYWxlIHNob3VsZCBoZWxwIHRvIGluc3VyZSBtb3JlIHVuaWZvcm1pdHkgYWNyb3NzIHJhdGVycy4gVGhlcmVmb3JlLCB3ZSB1cmdlIHlvdSB0byBiYXNlIHlvdXIgbnVtZXJpY2FsIHJhdGluZ3Mgb24gdGhlIGRlc2NyaXB0aW9ucyBwcm92aWRlZCB3aGVuZXZlciBwb3NzaWJsZS4gRG8gbm90IGJlIGNvbmNlcm5lZCBpZiB0aGUgcmVzdWx0aW5nIG51bWVyaWNhbCBzY29yZSBkb2VzIG5vdCBtYXRjaCB5b3VyIG92ZXJhbGwgXCJndXQgZmVlbGluZ1wiIGFib3V0IHRoZSB0aGVyYXBpc3QuIChBZnRlciBhbGwsIHlvdSBhcmUgZnJlZSB0byBleHByZXNzIHlvdXIgXCJndXQgZmVlbGluZ1wiIGluIHRoZSBvdmVyYWxsIHJhdGluZyBvbiB0aGUgZmlyc3QgcGFnZS4pIFRoZSBvbmx5IGV4Y2VwdGlvbiBzaG91bGQgYmUgaW4gc2Vzc2lvbnMgd2hlcmUgdGhlIGRlc2NyaXB0aW9ucyBkbyBub3Qgc2VlbSB0byBkZXNjcmliZSB0aGUgc3BlY2lmaWMgdGhlcmFwaXN0IHByb2JsZW1zIGFuZCBiZWhhdmlvcnMgeW91IG9ic2VydmVkLiBXaGVuIHRoaXMgaXMgdGhlIGNhc2UsIGRpc3JlZ2FyZCB0aGUgc3BlY2lmaWMgZGVzY3JpcHRpb25zIGFuZCByZWx5IG9uIHRoZSBtb3JlIGdlbmVyYWwgc2NhbGUgZGVzY3JpcHRpb25zIHN1cHBsaWVkIGluIHRoZSBkaXJlY3Rpb25zLiBXaXRoIHRoZXNlIGV4Y2VwdGlvbnMsIGl0IHdvdWxkIGJlIGhlbHBmdWwgaWYgcmF0ZXJzIG5vdGVkIHdoeSB0aGUgZGVzY3JpcHRpb25zIGRpZCBub3Qgc2VlbSB0byBhcHBseSwgc28gdGhlIHNjYWxlIGNhbiBiZSByZWZpbmVkIGluIHRoZSBmdXR1cmUuIDEuIEFHRU5EQSBPYmplY3RpdmU6IEJlY2F1c2UgY29nbml0aXZlIHRoZXJhcHkgaXMgYSByZWxhdGl2ZWx5IHNob3J0LXRlcm0sIHByb2JsZW0tc29sdmluZyB0aGVyYXB5LCB0aGUgbGltaXRlZCB0aW1lIGF2YWlsYWJsZSBmb3IgZWFjaCBpbnRlcnZpZXcgbXVzdCBiZSB1c2VkIGp1ZGljaW91c2x5LiBBdCB0aGUgYmVnaW5uaW5nIG9mIGVhY2ggc2Vzc2lvbiwgdGhlIHRoZXJhcGlzdCBhbmQgcGF0aWVudCB0b2dldGhlciBlc3RhYmxpc2ggYW4gYWdlbmRhIHdpdGggc3BlY2lmaWMgdGFyZ2V0IHByb2JsZW1zIHRvIGZvY3VzIG9uIGR1cmluZyBlYWNoIHNlc3Npb24uIFRoZSBhZ2VuZGEgaGVscHMgaW5zdXJlIHRoYXQgdGhlIG1vc3QgcGVydGluZW50IGlzc3VlcyBhcmUgYWRkcmVzc2VkIGluIGFuIGVmZmljaWVudCBtYW5uZXIuIEJhY2tncm91bmQgTWF0ZXJpYWw6IENvZ25pdGl2ZSBUaGVyYXB5IG9mIERlcHJlc3Npb24sIHBwLiA3Ny03OCwgOTMtOTgsIDE2Ny0yMDg7IENvZ25pdGl2ZSBUaGVyYXB5IGFuZCB0aGUgRW1v4oCmIiwiYXV0aG9yIjpbeyJkcm9wcGluZy1wYXJ0aWNsZSI6IiIsImZhbWlseSI6IllvdW5nIiwiZ2l2ZW4iOiJKZWZmcmV5Iiwibm9uLWRyb3BwaW5nLXBhcnRpY2xlIjoiIiwicGFyc2UtbmFtZXMiOmZhbHNlLCJzdWZmaXgiOiIifSx7ImRyb3BwaW5nLXBhcnRpY2xlIjoiIiwiZmFtaWx5IjoiQmVjayIsImdpdmVuIjoiQWFyb24gVCIsIm5vbi1kcm9wcGluZy1wYXJ0aWNsZSI6IiIsInBhcnNlLW5hbWVzIjpmYWxzZSwic3VmZml4IjoiIn1dLCJpZCI6IjdmNmEwZGZmLWJlNjItNTVlMC04Yjc2LWMyYmZiZGU1NzE2NSIsImlzc3VlZCI6eyJkYXRlLXBhcnRzIjpbWyIxOTgwIl1dfSwicHVibGlzaGVyLXBsYWNlIjoiUGhpbGFkZWxwaGlhIiwidGl0bGUiOiJDb2duaXRpdmUgVGhlcmFweSBSYXRpbmcgU2NhbGUiLCJ0eXBlIjoicmVwb3J0IiwiY29udGFpbmVyLXRpdGxlLXNob3J0IjoiIn0sInVyaXMiOlsiaHR0cDovL3d3dy5tZW5kZWxleS5jb20vZG9jdW1lbnRzLz91dWlkPTFlMzJkM2Q2LWFiZTAtMzZhYy1hMjQxLTM3NWYzNmVjNDhjYiJdLCJpc1RlbXBvcmFyeSI6ZmFsc2UsImxlZ2FjeURlc2t0b3BJZCI6IjFlMzJkM2Q2LWFiZTAtMzZhYy1hMjQxLTM3NWYzNmVjNDhjYiJ9XX0=&quot;,&quot;citationItems&quot;:[{&quot;id&quot;:&quot;7f6a0dff-be62-55e0-8b76-c2bfbde57165&quot;,&quot;itemData&quot;:{&quot;abstract&quot;:&quot;2 General Instructions to Raters 1. The most serious problem we have observed in raters is a \&quot;halo effect\&quot;. When the rater thinks the therapist is good, he/she tends to rate the therapist high on all categories. The reverse is true when the rater believes the session is bad. One of the most important functions of the Cognitive Therapy Scale is to identify the therapist's specific strengths and weaknesses. It is rare to find a therapist who is uniformly good or bad. It may be helpful, therefore, for raters to list positive and negative observations as they listen to a session, rather than concentrate on forming one global impression. 2. A second problem is the tendency of some raters to rely solely on their own notions of what a particular scale point means (e.g., 4 is average) and to disregard the descriptions provided on the form. The problem with this is that we each attach idiosyncratic meanings to particular numbers on the 6-point scale. The most critical raters assign a 1 whenever the therapist is \&quot;unsatisfactory\&quot;, while the most generous raters assign a 5 when the therapist has merely \&quot;done a good job\&quot; or \&quot;tried hard\&quot;. The descriptions on the scale should help to insure more uniformity across raters. Therefore, we urge you to base your numerical ratings on the descriptions provided whenever possible. Do not be concerned if the resulting numerical score does not match your overall \&quot;gut feeling\&quot; about the therapist. (After all, you are free to express your \&quot;gut feeling\&quot; in the overall rating on the first page.) The only exception should be in sessions where the descriptions do not seem to describe the specific therapist problems and behaviors you observed. When this is the case, disregard the specific descriptions and rely on the more general scale descriptions supplied in the directions. With these exceptions, it would be helpful if raters noted why the descriptions did not seem to apply, so the scale can be refined in the future. 1. AGENDA Objective: Because cognitive therapy is a relatively short-term, problem-solving therapy, the limited time available for each interview must be used judiciously. At the beginning of each session, the therapist and patient together establish an agenda with specific target problems to focus on during each session. The agenda helps insure that the most pertinent issues are addressed in an efficient manner. Background Material: Cognitive Therapy of Depression, pp. 77-78, 93-98, 167-208; Cognitive Therapy and the Emo…&quot;,&quot;author&quot;:[{&quot;dropping-particle&quot;:&quot;&quot;,&quot;family&quot;:&quot;Young&quot;,&quot;given&quot;:&quot;Jeffrey&quot;,&quot;non-dropping-particle&quot;:&quot;&quot;,&quot;parse-names&quot;:false,&quot;suffix&quot;:&quot;&quot;},{&quot;dropping-particle&quot;:&quot;&quot;,&quot;family&quot;:&quot;Beck&quot;,&quot;given&quot;:&quot;Aaron T&quot;,&quot;non-dropping-particle&quot;:&quot;&quot;,&quot;parse-names&quot;:false,&quot;suffix&quot;:&quot;&quot;}],&quot;id&quot;:&quot;7f6a0dff-be62-55e0-8b76-c2bfbde57165&quot;,&quot;issued&quot;:{&quot;date-parts&quot;:[[&quot;1980&quot;]]},&quot;publisher-place&quot;:&quot;Philadelphia&quot;,&quot;title&quot;:&quot;Cognitive Therapy Rating Scale&quot;,&quot;type&quot;:&quot;report&quot;,&quot;container-title-short&quot;:&quot;&quot;},&quot;uris&quot;:[&quot;http://www.mendeley.com/documents/?uuid=1e32d3d6-abe0-36ac-a241-375f36ec48cb&quot;],&quot;isTemporary&quot;:false,&quot;legacyDesktopId&quot;:&quot;1e32d3d6-abe0-36ac-a241-375f36ec48cb&quot;}]},{&quot;citationID&quot;:&quot;MENDELEY_CITATION_c2de5c37-2c95-4697-acc1-75deef3b6bb3&quot;,&quot;properties&quot;:{&quot;noteIndex&quot;:0},&quot;isEdited&quot;:false,&quot;manualOverride&quot;:{&quot;citeprocText&quot;:&quot;(Dobson, Shaw, &amp;#38; Vallis, 1985; Vallis, Shaw, &amp;#38; Dobson, 1986)&quot;,&quot;isManuallyOverridden&quot;:false,&quot;manualOverrideText&quot;:&quot;&quot;},&quot;citationTag&quot;:&quot;MENDELEY_CITATION_v3_eyJjaXRhdGlvbklEIjoiTUVOREVMRVlfQ0lUQVRJT05fYzJkZTVjMzctMmM5NS00Njk3LWFjYzEtNzVkZWVmM2I2YmIzIiwicHJvcGVydGllcyI6eyJub3RlSW5kZXgiOjB9LCJpc0VkaXRlZCI6ZmFsc2UsIm1hbnVhbE92ZXJyaWRlIjp7ImNpdGVwcm9jVGV4dCI6IihEb2Jzb24sIFNoYXcsICYjMzg7IFZhbGxpcywgMTk4NTsgVmFsbGlzLCBTaGF3LCAmIzM4OyBEb2Jzb24sIDE5ODYpIiwiaXNNYW51YWxseU92ZXJyaWRkZW4iOmZhbHNlLCJtYW51YWxPdmVycmlkZVRleHQiOiIifSwiY2l0YXRpb25JdGVtcyI6W3siaWQiOiJiMGY2MWRmYS1mOGMyLTU5MDAtOGY4Ni1kYTdlZTAxZTk4MjUiLCJpdGVtRGF0YSI6eyJET0kiOiIxMC4xMTExL2ouMjA0NC04MjYwLjE5ODUudGIwMDY2Mi54IiwiSVNTTiI6IjAxNDQ2NjU3IiwiUE1JRCI6IjQwNzQ5OTAiLCJhYnN0cmFjdCI6IlRoaXMgc3R1ZHkgaW52ZXN0aWdhdGVzIHNvbWUgb2YgdGhlIHBzeWNob21ldHJpYyBwcm9wZXJ0aWVzIG9mIHRoZSBDb2duaXRpdmUgVGhlcmFweSBTY2FsZSAoQ1RTKSB1c2luZyBhIHNhbXBsZSBvZiBleHBlcmllbmNlZCBwc3ljaG90aGVyYXBpc3RzLiBGb3VyIHJhdGVycywgZXhwZXJpZW5jZWQgaW4gY29nbml0aXZlIHRoZXJhcHksIHJhdGVkIGEgdG90YWwgb2YgMjEgaW5kZXBlbmRlbnQsIHZpZGVvdGFwZWQgcHN5Y2hvdGhlcmFweSBzZXNzaW9ucywgYW5kIHByb3ZpZGVkIHJhdGluZ3MgYWxvbmcgdGhlIGRpbWVuc2lvbnMgb2YgdGhlcmFwaXN0IGNvbXBldGVuY2UgbWVhc3VyZWQgYnkgdGhlIENUUy4gQW5hbHlzZXMgaW5jbHVkZWQgaXRlbSBpbnRlcmNvcnJlbGF0aW9ucywgaXRlbS10b3RhbCBjb3JyZWxhdGlvbnMsIGFuZCB0d28gYXNzZXNzbWVudHMgb2YgaW50ZXItcmF0ZXIgcmVsaWFiaWxpdHkuIEludGVyLXJhdGVyIHJlbGlhYmlsaXRpZXMgc2hvd2VkIGEgc2lnbmlmaWNhbnQgcG9zaXRpdmUgY29ycmVsYXRpb24gZm9yIGFsbCBpdGVtcyBvZiB0aGUgQ1RTIGFuZCB0aGUgaW50ZXJuYWwgcmVsaWFiaWxpdHkgd2FzIHN0cm9uZy4gVGhlIHBvdGVudGlhbCBvZiB0aGUgQ1RTIHRvIGFkZHJlc3MgYm90aCB0aGUgY29tcGV0ZW5jeSBvZiBjb2duaXRpdmUgdGhlcmFwaXN0cyBhbmQgdHJhaW5lZXMgaXMgZGlzY3Vzc2VkLiIsImF1dGhvciI6W3siZHJvcHBpbmctcGFydGljbGUiOiIiLCJmYW1pbHkiOiJEb2Jzb24iLCJnaXZlbiI6IksuIFMuIiwibm9uLWRyb3BwaW5nLXBhcnRpY2xlIjoiIiwicGFyc2UtbmFtZXMiOmZhbHNlLCJzdWZmaXgiOiIifSx7ImRyb3BwaW5nLXBhcnRpY2xlIjoiIiwiZmFtaWx5IjoiU2hhdyIsImdpdmVuIjoiQi4gRi4iLCJub24tZHJvcHBpbmctcGFydGljbGUiOiIiLCJwYXJzZS1uYW1lcyI6ZmFsc2UsInN1ZmZpeCI6IiJ9LHsiZHJvcHBpbmctcGFydGljbGUiOiIiLCJmYW1pbHkiOiJWYWxsaXMiLCJnaXZlbiI6IlQuIE0uIiwibm9uLWRyb3BwaW5nLXBhcnRpY2xlIjoiIiwicGFyc2UtbmFtZXMiOmZhbHNlLCJzdWZmaXgiOiIifV0sImNvbnRhaW5lci10aXRsZSI6IkJyaXRpc2ggSm91cm5hbCBvZiBDbGluaWNhbCBQc3ljaG9sb2d5IiwiaWQiOiJiMGY2MWRmYS1mOGMyLTU5MDAtOGY4Ni1kYTdlZTAxZTk4MjUiLCJpc3N1ZSI6IjQiLCJpc3N1ZWQiOnsiZGF0ZS1wYXJ0cyI6W1siMTk4NSIsIjExIiwiMSJdXX0sInBhZ2UiOiIyOTUtMzAwIiwicHVibGlzaGVyIjoiSm9obiBXaWxleSAmIFNvbnMsIEx0ZCIsInRpdGxlIjoiUmVsaWFiaWxpdHkgb2YgYSBtZWFzdXJlIG9mIHRoZSBxdWFsaXR5IG9mIGNvZ25pdGl2ZSB0aGVyYXB5IiwidHlwZSI6ImFydGljbGUtam91cm5hbCIsInZvbHVtZSI6IjI0IiwiY29udGFpbmVyLXRpdGxlLXNob3J0IjoiIn0sInVyaXMiOlsiaHR0cDovL3d3dy5tZW5kZWxleS5jb20vZG9jdW1lbnRzLz91dWlkPTgxZTBlODQyLTMzY2YtMzNjMy1hOTU5LTNhMjcyODA0ZWQ1YyJdLCJpc1RlbXBvcmFyeSI6ZmFsc2UsImxlZ2FjeURlc2t0b3BJZCI6IjgxZTBlODQyLTMzY2YtMzNjMy1hOTU5LTNhMjcyODA0ZWQ1YyJ9LHsiaWQiOiJhZjE2OTQ4NC0wNTllLTVkOTItOTk4Yi03ZTQ3ZmJmYjNlMGUiLCJpdGVtRGF0YSI6eyJET0kiOiIxMC4xMDM3LzAwMjItMDA2WC41NC4zLjM4MSIsIklTU04iOiIwMDIyMDA2WCIsIlBNSUQiOiIzNzIyNTY3IiwiYWJzdHJhY3QiOiJUaGUgQ29nbml0aXZlIFRoZXJhcHkgU2NhbGUgKENUUzsgWW91bmcgJiBCZWNrLCAxOTgwKSB3YXMgZGV2ZWxvcGVkIHRvIGV2YWx1YXRlIHRoZXJhcGlzdCBjb21wZXRlbmNlIGluIGNvZ25pdGl2ZSB0aGVyYXB5IGZvciBkZXByZXNzaW9uLiBQcmVsaW1pbmFyeSBkYXRhIG9uIHRoZSBwc3ljaG9tZXRyaWMgcHJvcGVydGllcyBvZiB0aGUgc2NhbGUgaGF2ZSBiZWVuIGVuY291cmFnaW5nIGJ1dCBub3Qgd2l0aG91dCBwcm9ibGVtcy4gSW4gdGhpcyBhcnRpY2xlLCB3ZSBwcmVzZW50IGRhdGEgb24gdGhlIGludGVycmF0ZXIgcmVsaWFiaWxpdHksIGludGVybmFsIGNvbnNpc3RlbmN5LCBmYWN0b3Igc3RydWN0dXJlLCBhbmQgZGlzY3JpbWluYW50IHZhbGlkaXR5IG9mIHRoZSBzY2FsZS4gVG8gb3ZlcmNvbWUgbWV0aG9kb2xvZ2ljYWwgcHJvYmxlbXMgd2l0aCBwcmV2aW91cyB3b3JrLCBleHBlcnQgcmF0ZXJzIHdlcmUgdXNlZCwgYWxsIHNlc3Npb25zIGV2YWx1YXRlZCB3ZXJlIGNvZ25pdGl2ZSB0aGVyYXB5IHNlc3Npb25zLCBhbmQgYSBtb3JlIGFkZXF1YXRlIHN0YXRpc3RpY2FsIGRlc2lnbiB3YXMgdXNlZC4gUmVzdWx0cyBpbmRpY2F0ZSB0aGF0IHRoZSBDVFMgY2FuIGJlIHVzZWQgd2l0aCBvbmx5IG1vZGVyYXRlIGludGVycmF0ZXIgcmVsaWFiaWxpdHkgYnV0IHRoYXQgYWdncmVnYXRpb24gY2FuIGJlIHVzZWQgdG8gaW5jcmVhc2UgcmVsaWFiaWxpdHkuIFRoZSBDVFMgaXMgaGlnaGx5IGhvbW9nZW5lb3VzIGFuZCBwcm92aWRlcyBhIHJlbGF0aXZlbHkgdW5kaWZmZXJlbnRpYXRlZCBhc3Nlc3NtZW50IG9mIHRoZXJhcGlzdCBwZXJmb3JtYW5jZSwgYXQgbGVhc3Qgd2hlbiB1c2VkIHdpdGggdGhlcmFwaXN0cyBmb2xsb3dpbmcgdGhlIGNvZ25pdGl2ZSB0aGVyYXB5IHByb3RvY29sLiBUaGUgc2NhbGUgaXMsIGhvd2V2ZXIsIHNlbnNpdGl2ZSB0byB2YXJpYXRpb25zIGluIHRoZSBxdWFsaXR5IG9mIHRoZXJhcHkuIMKpIDE5ODYgQW1lcmljYW4gUHN5Y2hvbG9naWNhbCBBc3NvY2lhdGlvbi4iLCJhdXRob3IiOlt7ImRyb3BwaW5nLXBhcnRpY2xlIjoiIiwiZmFtaWx5IjoiVmFsbGlzIiwiZ2l2ZW4iOiJULiBNaWNoYWVsIiwibm9uLWRyb3BwaW5nLXBhcnRpY2xlIjoiIiwicGFyc2UtbmFtZXMiOmZhbHNlLCJzdWZmaXgiOiIifSx7ImRyb3BwaW5nLXBhcnRpY2xlIjoiIiwiZmFtaWx5IjoiU2hhdyIsImdpdmVuIjoiQnJpYW4gRi4iLCJub24tZHJvcHBpbmctcGFydGljbGUiOiIiLCJwYXJzZS1uYW1lcyI6ZmFsc2UsInN1ZmZpeCI6IiJ9LHsiZHJvcHBpbmctcGFydGljbGUiOiIiLCJmYW1pbHkiOiJEb2Jzb24iLCJnaXZlbiI6IktlaXRoIFMuIiwibm9uLWRyb3BwaW5nLXBhcnRpY2xlIjoiIiwicGFyc2UtbmFtZXMiOmZhbHNlLCJzdWZmaXgiOiIifV0sImNvbnRhaW5lci10aXRsZSI6IkpvdXJuYWwgb2YgQ29uc3VsdGluZyBhbmQgQ2xpbmljYWwgUHN5Y2hvbG9neSIsImlkIjoiYWYxNjk0ODQtMDU5ZS01ZDkyLTk5OGItN2U0N2ZiZmIzZTBlIiwiaXNzdWUiOiIzIiwiaXNzdWVkIjp7ImRhdGUtcGFydHMiOltbIjE5ODYiLCI2Il1dfSwicGFnZSI6IjM4MS0zODUiLCJ0aXRsZSI6IlRoZSBjb2duaXRpdmUgdGhlcmFweSBzY2FsZTogUHN5Y2hvbWV0cmljIHByb3BlcnRpZXMiLCJ0eXBlIjoiYXJ0aWNsZS1qb3VybmFsIiwidm9sdW1lIjoiNTQiLCJjb250YWluZXItdGl0bGUtc2hvcnQiOiJKIENvbnN1bHQgQ2xpbiBQc3ljaG9sIn0sInVyaXMiOlsiaHR0cDovL3d3dy5tZW5kZWxleS5jb20vZG9jdW1lbnRzLz91dWlkPWFlNTJkYWUxLTg0MGQtNDUwZC05OWUzLWMwMTkyODkzMjk0MCJdLCJpc1RlbXBvcmFyeSI6ZmFsc2UsImxlZ2FjeURlc2t0b3BJZCI6ImFlNTJkYWUxLTg0MGQtNDUwZC05OWUzLWMwMTkyODkzMjk0MCJ9XX0=&quot;,&quot;citationItems&quot;:[{&quot;id&quot;:&quot;b0f61dfa-f8c2-5900-8f86-da7ee01e9825&quot;,&quot;itemData&quot;:{&quot;DOI&quot;:&quot;10.1111/j.2044-8260.1985.tb00662.x&quot;,&quot;ISSN&quot;:&quot;01446657&quot;,&quot;PMID&quot;:&quot;4074990&quot;,&quot;abstract&quot;:&quot;This study investigates some of the psychometric properties of the Cognitive Therapy Scale (CTS) using a sample of experienced psychotherapists. Four raters, experienced in cognitive therapy, rated a total of 21 independent, videotaped psychotherapy sessions, and provided ratings along the dimensions of therapist competence measured by the CTS. Analyses included item intercorrelations, item-total correlations, and two assessments of inter-rater reliability. Inter-rater reliabilities showed a significant positive correlation for all items of the CTS and the internal reliability was strong. The potential of the CTS to address both the competency of cognitive therapists and trainees is discussed.&quot;,&quot;author&quot;:[{&quot;dropping-particle&quot;:&quot;&quot;,&quot;family&quot;:&quot;Dobson&quot;,&quot;given&quot;:&quot;K. S.&quot;,&quot;non-dropping-particle&quot;:&quot;&quot;,&quot;parse-names&quot;:false,&quot;suffix&quot;:&quot;&quot;},{&quot;dropping-particle&quot;:&quot;&quot;,&quot;family&quot;:&quot;Shaw&quot;,&quot;given&quot;:&quot;B. F.&quot;,&quot;non-dropping-particle&quot;:&quot;&quot;,&quot;parse-names&quot;:false,&quot;suffix&quot;:&quot;&quot;},{&quot;dropping-particle&quot;:&quot;&quot;,&quot;family&quot;:&quot;Vallis&quot;,&quot;given&quot;:&quot;T. M.&quot;,&quot;non-dropping-particle&quot;:&quot;&quot;,&quot;parse-names&quot;:false,&quot;suffix&quot;:&quot;&quot;}],&quot;container-title&quot;:&quot;British Journal of Clinical Psychology&quot;,&quot;id&quot;:&quot;b0f61dfa-f8c2-5900-8f86-da7ee01e9825&quot;,&quot;issue&quot;:&quot;4&quot;,&quot;issued&quot;:{&quot;date-parts&quot;:[[&quot;1985&quot;,&quot;11&quot;,&quot;1&quot;]]},&quot;page&quot;:&quot;295-300&quot;,&quot;publisher&quot;:&quot;John Wiley &amp; Sons, Ltd&quot;,&quot;title&quot;:&quot;Reliability of a measure of the quality of cognitive therapy&quot;,&quot;type&quot;:&quot;article-journal&quot;,&quot;volume&quot;:&quot;24&quot;,&quot;container-title-short&quot;:&quot;&quot;},&quot;uris&quot;:[&quot;http://www.mendeley.com/documents/?uuid=81e0e842-33cf-33c3-a959-3a272804ed5c&quot;],&quot;isTemporary&quot;:false,&quot;legacyDesktopId&quot;:&quot;81e0e842-33cf-33c3-a959-3a272804ed5c&quot;},{&quot;id&quot;:&quot;af169484-059e-5d92-998b-7e47fbfb3e0e&quot;,&quot;itemData&quot;:{&quot;DOI&quot;:&quot;10.1037/0022-006X.54.3.381&quot;,&quot;ISSN&quot;:&quot;0022006X&quot;,&quot;PMID&quot;:&quot;3722567&quot;,&quot;abstract&quot;:&quot;The Cognitive Therapy Scale (CTS; Young &amp; Beck, 1980) was developed to evaluate therapist competence in cognitive therapy for depression. Preliminary data on the psychometric properties of the scale have been encouraging but not without problems. In this article, we present data on the interrater reliability, internal consistency, factor structure, and discriminant validity of the scale. To overcome methodological problems with previous work, expert raters were used, all sessions evaluated were cognitive therapy sessions, and a more adequate statistical design was used. Results indicate that the CTS can be used with only moderate interrater reliability but that aggregation can be used to increase reliability. The CTS is highly homogeneous and provides a relatively undifferentiated assessment of therapist performance, at least when used with therapists following the cognitive therapy protocol. The scale is, however, sensitive to variations in the quality of therapy. © 1986 American Psychological Association.&quot;,&quot;author&quot;:[{&quot;dropping-particle&quot;:&quot;&quot;,&quot;family&quot;:&quot;Vallis&quot;,&quot;given&quot;:&quot;T. Michael&quot;,&quot;non-dropping-particle&quot;:&quot;&quot;,&quot;parse-names&quot;:false,&quot;suffix&quot;:&quot;&quot;},{&quot;dropping-particle&quot;:&quot;&quot;,&quot;family&quot;:&quot;Shaw&quot;,&quot;given&quot;:&quot;Brian F.&quot;,&quot;non-dropping-particle&quot;:&quot;&quot;,&quot;parse-names&quot;:false,&quot;suffix&quot;:&quot;&quot;},{&quot;dropping-particle&quot;:&quot;&quot;,&quot;family&quot;:&quot;Dobson&quot;,&quot;given&quot;:&quot;Keith S.&quot;,&quot;non-dropping-particle&quot;:&quot;&quot;,&quot;parse-names&quot;:false,&quot;suffix&quot;:&quot;&quot;}],&quot;container-title&quot;:&quot;Journal of Consulting and Clinical Psychology&quot;,&quot;id&quot;:&quot;af169484-059e-5d92-998b-7e47fbfb3e0e&quot;,&quot;issue&quot;:&quot;3&quot;,&quot;issued&quot;:{&quot;date-parts&quot;:[[&quot;1986&quot;,&quot;6&quot;]]},&quot;page&quot;:&quot;381-385&quot;,&quot;title&quot;:&quot;The cognitive therapy scale: Psychometric properties&quot;,&quot;type&quot;:&quot;article-journal&quot;,&quot;volume&quot;:&quot;54&quot;,&quot;container-title-short&quot;:&quot;J Consult Clin Psychol&quot;},&quot;uris&quot;:[&quot;http://www.mendeley.com/documents/?uuid=ae52dae1-840d-450d-99e3-c01928932940&quot;],&quot;isTemporary&quot;:false,&quot;legacyDesktopId&quot;:&quot;ae52dae1-840d-450d-99e3-c01928932940&quot;}]},{&quot;citationID&quot;:&quot;MENDELEY_CITATION_12d39628-c28e-4823-9557-5a65b8a9c389&quot;,&quot;properties&quot;:{&quot;noteIndex&quot;:0},&quot;isEdited&quot;:false,&quot;manualOverride&quot;:{&quot;citeprocText&quot;:&quot;(Messina, Bianco, Sambin, &amp;#38; Viviani, 2015)&quot;,&quot;isManuallyOverridden&quot;:false,&quot;manualOverrideText&quot;:&quot;&quot;},&quot;citationTag&quot;:&quot;MENDELEY_CITATION_v3_eyJjaXRhdGlvbklEIjoiTUVOREVMRVlfQ0lUQVRJT05fMTJkMzk2MjgtYzI4ZS00ODIzLTk1NTctNWE2NWI4YTljMzg5IiwicHJvcGVydGllcyI6eyJub3RlSW5kZXgiOjB9LCJpc0VkaXRlZCI6ZmFsc2UsIm1hbnVhbE92ZXJyaWRlIjp7ImNpdGVwcm9jVGV4dCI6IihNZXNzaW5hLCBCaWFuY28sIFNhbWJpbiwgJiMzODsgVml2aWFuaSwgMjAxNSkiLCJpc01hbnVhbGx5T3ZlcnJpZGRlbiI6ZmFsc2UsIm1hbnVhbE92ZXJyaWRlVGV4dCI6IiJ9LCJjaXRhdGlvbkl0ZW1zIjpbeyJpZCI6IjMwMDdiZDRmLTAxY2YtNTRmOS1iMjRmLWI2ZTAxOTgyZWM1MSIsIml0ZW1EYXRhIjp7IklTQk4iOiIxNjY0LTEwNzgiLCJhYnN0cmFjdCI6Ik5ldXJvaW1hZ2luZyBpbnZlc3RpZ2F0aW9ucyBoYXZlIGlkZW50aWZpZWQgdGhlIG5ldXJhbCBjb3JyZWxhdGVzIG9mIHJlYXBwcmFpc2FsIGluIGV4ZWN1dGl2ZSBhcmVhcy4gVGhlc2UgZmluZGluZ3MgaGF2ZSBiZWVuIGludGVycHJldGVkIGFzIGV2aWRlbmNlIGZvciByZWNydWl0bWVudCBvZiBjb250cm9sbGVkIHByb2Nlc3NlcywgYXQgdGhlIGV4cGVuc2Ugb2YgYXV0b21hdGljIHByb2Nlc3NlcyB3aGVuIHJlc3BvbmRpbmcgdG8gZW1vdGlvbmFsIHN0aW11bGkuIEhvd2V2ZXIsIGFjdGl2YXRpb24gb2Ygc2VtYW50aWMgYXJlYXMgaGFzIGFsc28gYmVlbiByZXBvcnRlZC4gVGhlIGFpbSBvZiB0aGUgcHJlc2VudCB3b3JrIHdhcyB0byBhZGRyZXNzIHRoZSBpc3N1ZSBvZiB0aGUgaW1wb3J0YW5jZSBvZiBzZW1hbnRpYyBhcmVhcyBpbiBlbW90aW9uIHJlZ3VsYXRpb24gYnkgY29tcGFyaW5nIHJlY3J1aXRtZW50IG9mIGV4ZWN1dGl2ZSBhbmQgc2VtYW50aWMgbmV1cmFsIHN1YnN0cmF0ZXMgaW4gc3R1ZGllcyBpbnZlc3RpZ2F0aW5nIGRpZmZlcmVudCByZWFwcHJhaXNhbCBzdHJhdGVnaWVzLiBXaXRoIHRoaXMgYWltLCB3ZSByZXZpZXdlZCBuZXVyb2ltYWdpbmcgc3R1ZGllcyBvbiByZWFwcHJhaXNhbCBhbmQgd2UgY2xhc3NpZmllZCB0aGVtIGluIHR3byBtYWluIGNhdGVnb3JpZXM6IHJlYXBwcmFpc2FsIG9mIHN0aW11bGkgKFJTKSBhbmQgcmVhcHByYWlzYWwgdmlhIHBlcnNwZWN0aXZlIHRha2luZyAoUlBUKS4gV2UgYXBwbGllZCBhIGNvb3JkaW5hdGUtYmFzZWQgbWV0YS1hbmFseXNpcyB0byBzdW1tYXJpemUgdGhlIHJlc3VsdHMgb2YgZk1SSSBzdHVkaWVzIG9uIGRpZmZlcmVudCByZWFwcHJhaXNhbCBzdHJhdGVnaWVzLiBPdXIgcmVzdWx0cyBzaG93ZWQgdGhhdCByZWFwcHJhaXNhbCwgd2hlbiBjb25zaWRlcmVkIHJlZ2FyZGxlc3Mgb2YgdGhlIHNwZWNpZmljIGluc3RydWN0aW9uIHVzZWQgaW4gdGhlIHN0dWRpZXMsIGludm9sdmVkIGJvdGggZXhlY3V0aXZlIGFuZCBzZW1hbnRpYyBhcmVhcyBvZiB0aGUgYnJhaW4uIFdoZW4gY29uc2lkZXJpbmcgZGlmZmVyZW50IHJlYXBwcmFpc2FsIHN0cmF0ZWdpZXMgc2VwYXJhdGVseSwgaW4gY29udHJhc3QsIHdlIGZvdW5kIGFyZWFzIGFzc29jaWF0ZWQgd2l0aCBleGVjdXRpdmUgZnVuY3Rpb24gdG8gYmUgcHJvbWluZW50bHkgcmVjcnVpdGVkIGJ5IFJTLCBldmVuIGlmIGFsc28gc2VtYW50aWMgYXJlYXMgd2VyZSBhY3RpdmF0ZWQuIEluc3RlYWQsIGluIFJQVCB0aGUgbW9zdCBpbXBvcnRhbnQgY2x1c3RlcnMgb2YgYnJhaW4gYWN0aXZpdHkgd2VyZSBmb3VuZCBpbiBwYXJpZXRhbCBhbmQgdGVtcG9yYWwgc2VtYW50aWMgYXJlYXMsIHdpdGhvdXQgc2lnbmlmaWNhbnQgY2x1c3RlcnMgaW4gZXhlY3V0aXZlIGFyZWFzLiBUaGVzZSByZXN1bHRzIGluZGljYXRlIHRoYXQgbW9kdWxhdGlvbiBvZiBhY3Rpdml0eSBpbiBzZW1hbnRpYyBhcmVhcyBtYXkgY29uc3RpdHV0ZSBhbiBpbXBvcnRhbnQgYXNwZWN0IG9mIGVtb3Rpb24gcmVndWxhdGlvbiBpbiByZWFwcHJhaXNhbCwgc3VnZ2VzdGluZyB0aGF0IHNlbWFudGljIHByb2Nlc3NlcyBtYXkgYmUgbW9yZSBpbXBvcnRhbnQgdG8gdW5kZXJzdGFuZCB0aGUgbWVjaGFuaXNtIG9mIGVtb3Rpb24gcmVndWxhdGlvbiB0aGFuIHByZXZpb3VzbHkgdGhvdWdodC4iLCJhdXRob3IiOlt7ImRyb3BwaW5nLXBhcnRpY2xlIjoiIiwiZmFtaWx5IjoiTWVzc2luYSIsImdpdmVuIjoiSXJlbmUiLCJub24tZHJvcHBpbmctcGFydGljbGUiOiIiLCJwYXJzZS1uYW1lcyI6ZmFsc2UsInN1ZmZpeCI6IiJ9LHsiZHJvcHBpbmctcGFydGljbGUiOiIiLCJmYW1pbHkiOiJCaWFuY28iLCJnaXZlbiI6IlNpbW9uZSIsIm5vbi1kcm9wcGluZy1wYXJ0aWNsZSI6IiIsInBhcnNlLW5hbWVzIjpmYWxzZSwic3VmZml4IjoiIn0seyJkcm9wcGluZy1wYXJ0aWNsZSI6IiIsImZhbWlseSI6IlNhbWJpbiIsImdpdmVuIjoiTWFyY28iLCJub24tZHJvcHBpbmctcGFydGljbGUiOiIiLCJwYXJzZS1uYW1lcyI6ZmFsc2UsInN1ZmZpeCI6IiJ9LHsiZHJvcHBpbmctcGFydGljbGUiOiIiLCJmYW1pbHkiOiJWaXZpYW5pIiwiZ2l2ZW4iOiJSb2JlcnRvIiwibm9uLWRyb3BwaW5nLXBhcnRpY2xlIjoiIiwicGFyc2UtbmFtZXMiOmZhbHNlLCJzdWZmaXgiOiIifV0sImNvbnRhaW5lci10aXRsZSI6IkZyb250aWVycyBpbiBQc3ljaG9sb2d5IiwiaWQiOiIzMDA3YmQ0Zi0wMWNmLTU0ZjktYjI0Zi1iNmUwMTk4MmVjNTEiLCJpc3N1ZWQiOnsiZGF0ZS1wYXJ0cyI6W1siMjAxNSJdXX0sInRpdGxlIjoiRXhlY3V0aXZlIGFuZCBzZW1hbnRpYyBwcm9jZXNzZXMgaW4gcmVhcHByYWlzYWwgb2YgbmVnYXRpdmUgc3RpbXVsaTogaW5zaWdodHMgZnJvbSBhIG1ldGEtYW5hbHlzaXMgb2YgbmV1cm9pbWFnaW5nIHN0dWRpZXMiLCJ0eXBlIjoiYXJ0aWNsZS1qb3VybmFsIiwidm9sdW1lIjoiNiIsImNvbnRhaW5lci10aXRsZS1zaG9ydCI6IkZyb250IFBzeWNob2wifSwidXJpcyI6WyJodHRwOi8vd3d3Lm1lbmRlbGV5LmNvbS9kb2N1bWVudHMvP3V1aWQ9MGQ4YTJmNDctZGVlMS00ZjQyLWEzYTEtNzNkOGNiMTRhNTZiIl0sImlzVGVtcG9yYXJ5IjpmYWxzZSwibGVnYWN5RGVza3RvcElkIjoiMGQ4YTJmNDctZGVlMS00ZjQyLWEzYTEtNzNkOGNiMTRhNTZiIn1dfQ==&quot;,&quot;citationItems&quot;:[{&quot;id&quot;:&quot;3007bd4f-01cf-54f9-b24f-b6e01982ec51&quot;,&quot;itemData&quot;:{&quot;ISBN&quot;:&quot;1664-1078&quot;,&quot;abstract&quot;:&quot;Neuroimaging investigations have identified the neural correlates of reappraisal in executive areas. These findings have been interpreted as evidence for recruitment of controlled processes, at the expense of automatic processes when responding to emotional stimuli. However, activation of semantic areas has also been reported. The aim of the present work was to address the issue of the importance of semantic areas in emotion regulation by comparing recruitment of executive and semantic neural substrates in studies investigating different reappraisal strategies. With this aim, we reviewed neuroimaging studies on reappraisal and we classified them in two main categories: reappraisal of stimuli (RS) and reappraisal via perspective taking (RPT). We applied a coordinate-based meta-analysis to summarize the results of fMRI studies on different reappraisal strategies. Our results showed that reappraisal, when considered regardless of the specific instruction used in the studies, involved both executive and semantic areas of the brain. When considering different reappraisal strategies separately, in contrast, we found areas associated with executive function to be prominently recruited by RS, even if also semantic areas were activated. Instead, in RPT the most important clusters of brain activity were found in parietal and temporal semantic areas, without significant clusters in executive areas. These results indicate that modulation of activity in semantic areas may constitute an important aspect of emotion regulation in reappraisal, suggesting that semantic processes may be more important to understand the mechanism of emotion regulation than previously thought.&quot;,&quot;author&quot;:[{&quot;dropping-particle&quot;:&quot;&quot;,&quot;family&quot;:&quot;Messina&quot;,&quot;given&quot;:&quot;Irene&quot;,&quot;non-dropping-particle&quot;:&quot;&quot;,&quot;parse-names&quot;:false,&quot;suffix&quot;:&quot;&quot;},{&quot;dropping-particle&quot;:&quot;&quot;,&quot;family&quot;:&quot;Bianco&quot;,&quot;given&quot;:&quot;Simone&quot;,&quot;non-dropping-particle&quot;:&quot;&quot;,&quot;parse-names&quot;:false,&quot;suffix&quot;:&quot;&quot;},{&quot;dropping-particle&quot;:&quot;&quot;,&quot;family&quot;:&quot;Sambin&quot;,&quot;given&quot;:&quot;Marco&quot;,&quot;non-dropping-particle&quot;:&quot;&quot;,&quot;parse-names&quot;:false,&quot;suffix&quot;:&quot;&quot;},{&quot;dropping-particle&quot;:&quot;&quot;,&quot;family&quot;:&quot;Viviani&quot;,&quot;given&quot;:&quot;Roberto&quot;,&quot;non-dropping-particle&quot;:&quot;&quot;,&quot;parse-names&quot;:false,&quot;suffix&quot;:&quot;&quot;}],&quot;container-title&quot;:&quot;Frontiers in Psychology&quot;,&quot;id&quot;:&quot;3007bd4f-01cf-54f9-b24f-b6e01982ec51&quot;,&quot;issued&quot;:{&quot;date-parts&quot;:[[&quot;2015&quot;]]},&quot;title&quot;:&quot;Executive and semantic processes in reappraisal of negative stimuli: insights from a meta-analysis of neuroimaging studies&quot;,&quot;type&quot;:&quot;article-journal&quot;,&quot;volume&quot;:&quot;6&quot;,&quot;container-title-short&quot;:&quot;Front Psychol&quot;},&quot;uris&quot;:[&quot;http://www.mendeley.com/documents/?uuid=0d8a2f47-dee1-4f42-a3a1-73d8cb14a56b&quot;],&quot;isTemporary&quot;:false,&quot;legacyDesktopId&quot;:&quot;0d8a2f47-dee1-4f42-a3a1-73d8cb14a56b&quot;}]},{&quot;citationID&quot;:&quot;MENDELEY_CITATION_2dbbe53c-30e7-4531-9744-95fcfce48359&quot;,&quot;properties&quot;:{&quot;noteIndex&quot;:0},&quot;isEdited&quot;:false,&quot;manualOverride&quot;:{&quot;citeprocText&quot;:&quot;(Rolls, Huang, Lin, Feng, &amp;#38; Joliot, 2020)&quot;,&quot;isManuallyOverridden&quot;:false,&quot;manualOverrideText&quot;:&quot;&quot;},&quot;citationTag&quot;:&quot;MENDELEY_CITATION_v3_eyJjaXRhdGlvbklEIjoiTUVOREVMRVlfQ0lUQVRJT05fMmRiYmU1M2MtMzBlNy00NTMxLTk3NDQtOTVmY2ZjZTQ4MzU5IiwicHJvcGVydGllcyI6eyJub3RlSW5kZXgiOjB9LCJpc0VkaXRlZCI6ZmFsc2UsIm1hbnVhbE92ZXJyaWRlIjp7ImNpdGVwcm9jVGV4dCI6IihSb2xscywgSHVhbmcsIExpbiwgRmVuZywgJiMzODsgSm9saW90LCAyMDIwKSIsImlzTWFudWFsbHlPdmVycmlkZGVuIjpmYWxzZSwibWFudWFsT3ZlcnJpZGVUZXh0IjoiIn0sImNpdGF0aW9uSXRlbXMiOlt7ImlkIjoiNzEzZjU4OTQtZWUyNi01NjQwLWFjYTItZmFmZjA1MjlkNDk0IiwiaXRlbURhdGEiOnsiRE9JIjoiMTAuMTAxNi9qLm5ldXJvaW1hZ2UuMjAxOS4xMTYxODkiLCJhdXRob3IiOlt7ImRyb3BwaW5nLXBhcnRpY2xlIjoiIiwiZmFtaWx5IjoiUm9sbHMiLCJnaXZlbiI6IkUuIFQuIiwibm9uLWRyb3BwaW5nLXBhcnRpY2xlIjoiIiwicGFyc2UtbmFtZXMiOmZhbHNlLCJzdWZmaXgiOiIifSx7ImRyb3BwaW5nLXBhcnRpY2xlIjoiIiwiZmFtaWx5IjoiSHVhbmciLCJnaXZlbiI6IkMuIEMuIiwibm9uLWRyb3BwaW5nLXBhcnRpY2xlIjoiIiwicGFyc2UtbmFtZXMiOmZhbHNlLCJzdWZmaXgiOiIifSx7ImRyb3BwaW5nLXBhcnRpY2xlIjoiIiwiZmFtaWx5IjoiTGluIiwiZ2l2ZW4iOiJDLiBQLiIsIm5vbi1kcm9wcGluZy1wYXJ0aWNsZSI6IiIsInBhcnNlLW5hbWVzIjpmYWxzZSwic3VmZml4IjoiIn0seyJkcm9wcGluZy1wYXJ0aWNsZSI6IiIsImZhbWlseSI6IkZlbmciLCJnaXZlbiI6IkouIiwibm9uLWRyb3BwaW5nLXBhcnRpY2xlIjoiIiwicGFyc2UtbmFtZXMiOmZhbHNlLCJzdWZmaXgiOiIifSx7ImRyb3BwaW5nLXBhcnRpY2xlIjoiIiwiZmFtaWx5IjoiSm9saW90IiwiZ2l2ZW4iOiJNLiIsIm5vbi1kcm9wcGluZy1wYXJ0aWNsZSI6IiIsInBhcnNlLW5hbWVzIjpmYWxzZSwic3VmZml4IjoiIn1dLCJjb250YWluZXItdGl0bGUiOiJOZXVyb2ltYWdlIiwiaWQiOiI3MTNmNTg5NC1lZTI2LTU2NDAtYWNhMi1mYWZmMDUyOWQ0OTQiLCJpc3N1ZWQiOnsiZGF0ZS1wYXJ0cyI6W1siMjAyMCJdXX0sInBhZ2UiOiIxMTYxODkiLCJ0aXRsZSI6IkF1dG9tYXRlZCBhbmF0b21pY2FsIGxhYmVsbGluZyBhdGxhcyAzIiwidHlwZSI6ImFydGljbGUtam91cm5hbCIsInZvbHVtZSI6IjIwNiIsImNvbnRhaW5lci10aXRsZS1zaG9ydCI6Ik5ldXJvaW1hZ2UifSwidXJpcyI6WyJodHRwOi8vd3d3Lm1lbmRlbGV5LmNvbS9kb2N1bWVudHMvP3V1aWQ9NzRjNzU1MTYtNGU0My00NzM5LTlhOWQtMmU3NmUzOWQyNjFhIl0sImlzVGVtcG9yYXJ5IjpmYWxzZSwibGVnYWN5RGVza3RvcElkIjoiNzRjNzU1MTYtNGU0My00NzM5LTlhOWQtMmU3NmUzOWQyNjFhIn1dfQ==&quot;,&quot;citationItems&quot;:[{&quot;id&quot;:&quot;713f5894-ee26-5640-aca2-faff0529d494&quot;,&quot;itemData&quot;:{&quot;DOI&quot;:&quot;10.1016/j.neuroimage.2019.116189&quot;,&quot;author&quot;:[{&quot;dropping-particle&quot;:&quot;&quot;,&quot;family&quot;:&quot;Rolls&quot;,&quot;given&quot;:&quot;E. T.&quot;,&quot;non-dropping-particle&quot;:&quot;&quot;,&quot;parse-names&quot;:false,&quot;suffix&quot;:&quot;&quot;},{&quot;dropping-particle&quot;:&quot;&quot;,&quot;family&quot;:&quot;Huang&quot;,&quot;given&quot;:&quot;C. C.&quot;,&quot;non-dropping-particle&quot;:&quot;&quot;,&quot;parse-names&quot;:false,&quot;suffix&quot;:&quot;&quot;},{&quot;dropping-particle&quot;:&quot;&quot;,&quot;family&quot;:&quot;Lin&quot;,&quot;given&quot;:&quot;C. P.&quot;,&quot;non-dropping-particle&quot;:&quot;&quot;,&quot;parse-names&quot;:false,&quot;suffix&quot;:&quot;&quot;},{&quot;dropping-particle&quot;:&quot;&quot;,&quot;family&quot;:&quot;Feng&quot;,&quot;given&quot;:&quot;J.&quot;,&quot;non-dropping-particle&quot;:&quot;&quot;,&quot;parse-names&quot;:false,&quot;suffix&quot;:&quot;&quot;},{&quot;dropping-particle&quot;:&quot;&quot;,&quot;family&quot;:&quot;Joliot&quot;,&quot;given&quot;:&quot;M.&quot;,&quot;non-dropping-particle&quot;:&quot;&quot;,&quot;parse-names&quot;:false,&quot;suffix&quot;:&quot;&quot;}],&quot;container-title&quot;:&quot;Neuroimage&quot;,&quot;id&quot;:&quot;713f5894-ee26-5640-aca2-faff0529d494&quot;,&quot;issued&quot;:{&quot;date-parts&quot;:[[&quot;2020&quot;]]},&quot;page&quot;:&quot;116189&quot;,&quot;title&quot;:&quot;Automated anatomical labelling atlas 3&quot;,&quot;type&quot;:&quot;article-journal&quot;,&quot;volume&quot;:&quot;206&quot;,&quot;container-title-short&quot;:&quot;Neuroimage&quot;},&quot;uris&quot;:[&quot;http://www.mendeley.com/documents/?uuid=74c75516-4e43-4739-9a9d-2e76e39d261a&quot;],&quot;isTemporary&quot;:false,&quot;legacyDesktopId&quot;:&quot;74c75516-4e43-4739-9a9d-2e76e39d261a&quot;}]}]"/>
    <we:property name="MENDELEY_CITATIONS_LOCALE_CODE" value="&quot;en-GB&quot;"/>
    <we:property name="MENDELEY_CITATIONS_STYLE" value="{&quot;id&quot;:&quot;https://www.zotero.org/styles/apa-6th-edition&quot;,&quot;title&quot;:&quot;American Psych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61BC-1959-0044-B432-B3CBEA21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Feurer, Cope</dc:creator>
  <cp:keywords/>
  <dc:description/>
  <cp:lastModifiedBy>Feurer, Cope</cp:lastModifiedBy>
  <cp:revision>7</cp:revision>
  <dcterms:created xsi:type="dcterms:W3CDTF">2024-02-21T21:34:00Z</dcterms:created>
  <dcterms:modified xsi:type="dcterms:W3CDTF">2024-04-16T21:02:00Z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8a4faeb4-4b4f-31ce-926a-97ffb1e479fd</vt:lpwstr>
  </property>
  <property fmtid="{D5CDD505-2E9C-101B-9397-08002B2CF9AE}" pid="4" name="Mendeley Citation Style_1">
    <vt:lpwstr>http://www.zotero.org/styles/neuropsychopharmacology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http://www.zotero.org/styles/cognitive-therapy-and-research</vt:lpwstr>
  </property>
  <property fmtid="{D5CDD505-2E9C-101B-9397-08002B2CF9AE}" pid="14" name="Mendeley Recent Style Name 4_1">
    <vt:lpwstr>Cognitive Therapy and Research</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http://www.zotero.org/styles/neuropsychopharmacology</vt:lpwstr>
  </property>
  <property fmtid="{D5CDD505-2E9C-101B-9397-08002B2CF9AE}" pid="24" name="Mendeley Recent Style Name 9_1">
    <vt:lpwstr>Neuropsychopharmacology</vt:lpwstr>
  </property>
</Properties>
</file>