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ECB2C" w14:textId="355D5DBF" w:rsidR="00DE554B" w:rsidRPr="00E148C4" w:rsidRDefault="00DE554B" w:rsidP="00DE554B">
      <w:pPr>
        <w:pStyle w:val="NoSpacing"/>
        <w:rPr>
          <w:b/>
          <w:bCs/>
        </w:rPr>
      </w:pPr>
      <w:bookmarkStart w:id="0" w:name="_Hlk141691872"/>
      <w:r w:rsidRPr="00E148C4">
        <w:rPr>
          <w:b/>
          <w:bCs/>
        </w:rPr>
        <w:t>Supplemental Table 1. D</w:t>
      </w:r>
      <w:r w:rsidR="0043334E" w:rsidRPr="00E148C4">
        <w:rPr>
          <w:b/>
          <w:bCs/>
        </w:rPr>
        <w:t>etailed d</w:t>
      </w:r>
      <w:r w:rsidRPr="00E148C4">
        <w:rPr>
          <w:b/>
          <w:bCs/>
        </w:rPr>
        <w:t xml:space="preserve">escriptions </w:t>
      </w:r>
      <w:r w:rsidR="0043334E" w:rsidRPr="00E148C4">
        <w:rPr>
          <w:b/>
          <w:bCs/>
        </w:rPr>
        <w:t>of study var</w:t>
      </w:r>
      <w:r w:rsidR="00054F05" w:rsidRPr="00E148C4">
        <w:rPr>
          <w:b/>
          <w:bCs/>
        </w:rPr>
        <w:t>iables</w:t>
      </w:r>
    </w:p>
    <w:tbl>
      <w:tblPr>
        <w:tblStyle w:val="TableGrid"/>
        <w:tblW w:w="13855" w:type="dxa"/>
        <w:tblLook w:val="04A0" w:firstRow="1" w:lastRow="0" w:firstColumn="1" w:lastColumn="0" w:noHBand="0" w:noVBand="1"/>
      </w:tblPr>
      <w:tblGrid>
        <w:gridCol w:w="2728"/>
        <w:gridCol w:w="11127"/>
      </w:tblGrid>
      <w:tr w:rsidR="00DE554B" w:rsidRPr="00E148C4" w14:paraId="2C0E5C73" w14:textId="77777777" w:rsidTr="00DE554B">
        <w:tc>
          <w:tcPr>
            <w:tcW w:w="2728" w:type="dxa"/>
          </w:tcPr>
          <w:p w14:paraId="6CA51E77" w14:textId="77777777" w:rsidR="00DE554B" w:rsidRPr="00E148C4" w:rsidRDefault="00DE554B" w:rsidP="003C543F">
            <w:pPr>
              <w:rPr>
                <w:b/>
                <w:bCs/>
              </w:rPr>
            </w:pPr>
            <w:r w:rsidRPr="00E148C4">
              <w:rPr>
                <w:b/>
                <w:bCs/>
              </w:rPr>
              <w:t xml:space="preserve">Variable </w:t>
            </w:r>
          </w:p>
        </w:tc>
        <w:tc>
          <w:tcPr>
            <w:tcW w:w="11127" w:type="dxa"/>
          </w:tcPr>
          <w:p w14:paraId="158EA003" w14:textId="77777777" w:rsidR="00DE554B" w:rsidRPr="00E148C4" w:rsidRDefault="00DE554B" w:rsidP="003C543F">
            <w:pPr>
              <w:rPr>
                <w:b/>
                <w:bCs/>
              </w:rPr>
            </w:pPr>
            <w:r w:rsidRPr="00E148C4">
              <w:rPr>
                <w:b/>
                <w:bCs/>
              </w:rPr>
              <w:t xml:space="preserve">Description </w:t>
            </w:r>
          </w:p>
        </w:tc>
      </w:tr>
      <w:tr w:rsidR="00DE554B" w:rsidRPr="00E148C4" w14:paraId="56F4A503" w14:textId="77777777" w:rsidTr="00DE554B">
        <w:tc>
          <w:tcPr>
            <w:tcW w:w="2728" w:type="dxa"/>
          </w:tcPr>
          <w:p w14:paraId="3DFD648B" w14:textId="77777777" w:rsidR="00DE554B" w:rsidRPr="00E148C4" w:rsidRDefault="00DE554B" w:rsidP="003C543F">
            <w:pPr>
              <w:rPr>
                <w:sz w:val="20"/>
                <w:szCs w:val="20"/>
              </w:rPr>
            </w:pPr>
            <w:r w:rsidRPr="00E148C4">
              <w:rPr>
                <w:sz w:val="20"/>
                <w:szCs w:val="20"/>
              </w:rPr>
              <w:t>Adolescent psychopathology</w:t>
            </w:r>
          </w:p>
        </w:tc>
        <w:tc>
          <w:tcPr>
            <w:tcW w:w="11127" w:type="dxa"/>
          </w:tcPr>
          <w:p w14:paraId="3D070E40" w14:textId="77777777" w:rsidR="00DE554B" w:rsidRPr="00E148C4" w:rsidRDefault="00DE554B" w:rsidP="003C543F">
            <w:pPr>
              <w:rPr>
                <w:sz w:val="20"/>
                <w:szCs w:val="20"/>
              </w:rPr>
            </w:pPr>
            <w:r w:rsidRPr="00E148C4">
              <w:rPr>
                <w:sz w:val="20"/>
                <w:szCs w:val="20"/>
              </w:rPr>
              <w:t xml:space="preserve">Any indication of an internalizing or externalizing condition between ages 11-18. </w:t>
            </w:r>
          </w:p>
        </w:tc>
      </w:tr>
      <w:tr w:rsidR="00DE554B" w:rsidRPr="00E148C4" w14:paraId="03F99236" w14:textId="77777777" w:rsidTr="00DE554B">
        <w:tc>
          <w:tcPr>
            <w:tcW w:w="2728" w:type="dxa"/>
          </w:tcPr>
          <w:p w14:paraId="026B4786" w14:textId="77777777" w:rsidR="00DE554B" w:rsidRPr="00E148C4" w:rsidRDefault="00DE554B" w:rsidP="003C543F">
            <w:pPr>
              <w:rPr>
                <w:sz w:val="20"/>
                <w:szCs w:val="20"/>
              </w:rPr>
            </w:pPr>
            <w:r w:rsidRPr="00E148C4">
              <w:rPr>
                <w:sz w:val="20"/>
                <w:szCs w:val="20"/>
              </w:rPr>
              <w:t xml:space="preserve">    Internalizing psychopathology</w:t>
            </w:r>
          </w:p>
        </w:tc>
        <w:tc>
          <w:tcPr>
            <w:tcW w:w="11127" w:type="dxa"/>
          </w:tcPr>
          <w:p w14:paraId="68A39494" w14:textId="42C802BA" w:rsidR="00DE554B" w:rsidRPr="00E148C4" w:rsidRDefault="00DE554B" w:rsidP="003C543F">
            <w:pPr>
              <w:rPr>
                <w:sz w:val="20"/>
                <w:szCs w:val="20"/>
              </w:rPr>
            </w:pPr>
            <w:r w:rsidRPr="00E148C4">
              <w:rPr>
                <w:sz w:val="20"/>
                <w:szCs w:val="20"/>
              </w:rPr>
              <w:t>Internalizing psychopathology included reports of depression, anxiety, post-traumatic stress disorder (PTSD), and eating disorder.  Depression was assessed via prospective and retrospective reports. Prospective depression was assessed via an 18-item version of the</w:t>
            </w:r>
            <w:r w:rsidR="006222A0" w:rsidRPr="00E148C4">
              <w:rPr>
                <w:sz w:val="20"/>
                <w:szCs w:val="20"/>
              </w:rPr>
              <w:t xml:space="preserve"> Center for Epidemiological Studies-Depression Scale</w:t>
            </w:r>
            <w:r w:rsidRPr="00E148C4">
              <w:rPr>
                <w:sz w:val="20"/>
                <w:szCs w:val="20"/>
              </w:rPr>
              <w:t xml:space="preserve"> </w:t>
            </w:r>
            <w:r w:rsidR="006222A0" w:rsidRPr="00E148C4">
              <w:rPr>
                <w:sz w:val="20"/>
                <w:szCs w:val="20"/>
              </w:rPr>
              <w:t>(</w:t>
            </w:r>
            <w:r w:rsidRPr="00E148C4">
              <w:rPr>
                <w:sz w:val="20"/>
                <w:szCs w:val="20"/>
              </w:rPr>
              <w:t>CES-D</w:t>
            </w:r>
            <w:r w:rsidR="006222A0" w:rsidRPr="00E148C4">
              <w:rPr>
                <w:sz w:val="20"/>
                <w:szCs w:val="20"/>
              </w:rPr>
              <w:t>)</w:t>
            </w:r>
            <w:r w:rsidRPr="00E148C4">
              <w:rPr>
                <w:sz w:val="20"/>
                <w:szCs w:val="20"/>
              </w:rPr>
              <w:t xml:space="preserve">. Scores were pro-rated to 20 items and standard depression cut-offs of 22 and 24 were used to identify depression in males and females, respectively </w:t>
            </w:r>
            <w:r w:rsidRPr="00E148C4">
              <w:rPr>
                <w:sz w:val="20"/>
                <w:szCs w:val="20"/>
              </w:rPr>
              <w:fldChar w:fldCharType="begin"/>
            </w:r>
            <w:r w:rsidRPr="00E148C4">
              <w:rPr>
                <w:sz w:val="20"/>
                <w:szCs w:val="20"/>
              </w:rPr>
              <w:instrText xml:space="preserve"> ADDIN ZOTERO_ITEM CSL_CITATION {"citationID":"qMuBpmy9","properties":{"formattedCitation":"(Roberts, Lewinsohn, &amp; Seeley, 1991)","plainCitation":"(Roberts, Lewinsohn, &amp; Seeley, 1991)","noteIndex":0},"citationItems":[{"id":265,"uris":["http://zotero.org/users/10644289/items/RDXKFVD4"],"itemData":{"id":265,"type":"article-journal","abstract":"The ability of two depression scales, the Center for Epidemiologic Studies Depression Scale (CES-D) and the BeckDepression Inventory (BOI), to identify cases of DSM-Il/-R majordepression and dysthymia wasinvestigated in a large, community sample of highschool students. Receiver operating characteristics analyses indicated thatdifferent caseness criteria should be usedfor boys and girls for boththe CES-D and the BDI. Internal consistency-reliability and sensitivity and specificity for detecting current episodes of current depression and dysthymiawereadequate andcomparable to those found with adult samples, but boththeCES-D and the BDIgenerated many false positives. Multiple screening using the \" serial\" strategy increased positive predictive powersubstantially for both the CES-D and the BDI, whereas using the \"parallel\" strategy had very little effect on the efficacy of thetwo screeners. The results indicate that neither the BOI nor theCES-D should be usedby themselves as methods for case ascertainment in eitherepidemiological or experimental studies, although the BOIdoes function somewhat better than the CES-D as a screener. J . Am . Acad. Child Adolesc . Psychiat ry, 1991 , 30, I:58-66. Key Words: adolescent depression, screening scales, reliability, validity , epidemiology.","container-title":"Journal of the American Academy of Child &amp; Adolescent Psychiatry","DOI":"10.1097/00004583-199101000-00009","ISSN":"08908567","issue":"1","journalAbbreviation":"Journal of the American Academy of Child &amp; Adolescent Psychiatry","language":"en","page":"58-66","source":"DOI.org (Crossref)","title":"Screening for Adolescent Depression: A Comparison of Depression Scales","title-short":"Screening for Adolescent Depression","volume":"30","author":[{"family":"Roberts","given":"Robert E."},{"family":"Lewinsohn","given":"Peter M."},{"family":"Seeley","given":"John R."}],"issued":{"date-parts":[["1991",1]]}}}],"schema":"https://github.com/citation-style-language/schema/raw/master/csl-citation.json"} </w:instrText>
            </w:r>
            <w:r w:rsidRPr="00E148C4">
              <w:rPr>
                <w:sz w:val="20"/>
                <w:szCs w:val="20"/>
              </w:rPr>
              <w:fldChar w:fldCharType="separate"/>
            </w:r>
            <w:r w:rsidRPr="00E148C4">
              <w:rPr>
                <w:sz w:val="20"/>
              </w:rPr>
              <w:t>(Roberts, Lewinsohn, &amp; Seeley, 1991)</w:t>
            </w:r>
            <w:r w:rsidRPr="00E148C4">
              <w:rPr>
                <w:sz w:val="20"/>
                <w:szCs w:val="20"/>
              </w:rPr>
              <w:fldChar w:fldCharType="end"/>
            </w:r>
            <w:r w:rsidRPr="00E148C4">
              <w:rPr>
                <w:sz w:val="20"/>
                <w:szCs w:val="20"/>
              </w:rPr>
              <w:t xml:space="preserve">. We used prospective assessments for participants who were 18 or younger at the time of the interview and who had non-missing information for at least five of the 18 CES-D items. Retrospective reports of depression included participants who self-reported a depression diagnosis between ages 11 and 18 and who reported a depression diagnosis two or more years following, or prior to, their first prospective assessment of depression. Retrospective reports were drawn from Wave IV when available and Wave V for those without Wave IV information. Participants with either prospective depression or retrospective reports of depression more than two years prior to, or following, the prospective assessment of depression were included in the indicator for adolescent depression. We supplemented the prospective reports of depression with retrospective information because </w:t>
            </w:r>
            <w:proofErr w:type="gramStart"/>
            <w:r w:rsidRPr="00E148C4">
              <w:rPr>
                <w:sz w:val="20"/>
                <w:szCs w:val="20"/>
              </w:rPr>
              <w:t>prospectively-assessed</w:t>
            </w:r>
            <w:proofErr w:type="gramEnd"/>
            <w:r w:rsidRPr="00E148C4">
              <w:rPr>
                <w:sz w:val="20"/>
                <w:szCs w:val="20"/>
              </w:rPr>
              <w:t xml:space="preserve"> depression considered only very recent symptoms (symptoms over the prior week). Assessments of anxiety, PTSD, and eating disorder were limited to retrospective reports of diagnosis between ages 11 and 18. Retrospective reports were assessed via the questions “Has a doctor, nurse or other health care provider ever told you that you have or had X condition?” and “How old were you when you were diagnosed by a doctor, nurse or other health care provider with X condition?”</w:t>
            </w:r>
          </w:p>
        </w:tc>
      </w:tr>
      <w:tr w:rsidR="00DE554B" w:rsidRPr="00E148C4" w14:paraId="3491705F" w14:textId="77777777" w:rsidTr="00DE554B">
        <w:tc>
          <w:tcPr>
            <w:tcW w:w="2728" w:type="dxa"/>
          </w:tcPr>
          <w:p w14:paraId="186AC789" w14:textId="098601CF" w:rsidR="00DE554B" w:rsidRPr="00E148C4" w:rsidRDefault="00DE554B" w:rsidP="003C543F">
            <w:pPr>
              <w:rPr>
                <w:sz w:val="20"/>
                <w:szCs w:val="20"/>
              </w:rPr>
            </w:pPr>
            <w:r w:rsidRPr="00E148C4">
              <w:rPr>
                <w:sz w:val="20"/>
                <w:szCs w:val="20"/>
              </w:rPr>
              <w:t xml:space="preserve">    Externalizing psychopathology </w:t>
            </w:r>
          </w:p>
        </w:tc>
        <w:tc>
          <w:tcPr>
            <w:tcW w:w="11127" w:type="dxa"/>
          </w:tcPr>
          <w:p w14:paraId="537582CC" w14:textId="3D31CB6C" w:rsidR="00DE554B" w:rsidRPr="00E148C4" w:rsidRDefault="00DE554B" w:rsidP="003C543F">
            <w:pPr>
              <w:rPr>
                <w:sz w:val="20"/>
                <w:szCs w:val="20"/>
              </w:rPr>
            </w:pPr>
            <w:r w:rsidRPr="00E148C4">
              <w:rPr>
                <w:sz w:val="20"/>
                <w:szCs w:val="20"/>
              </w:rPr>
              <w:t xml:space="preserve">Externalizing psychopathology included prospective reports of conduct disorder and retrospective reports of attention-deficit hyperactivity disorder (ADHD). We assessed conduct disorder using an 11-item delinquency scale administered at Waves I and II that corresponds to the DSM-IV conduct disorder criteria, and that has been previously used in Add Health </w:t>
            </w:r>
            <w:r w:rsidRPr="00E148C4">
              <w:rPr>
                <w:sz w:val="20"/>
                <w:szCs w:val="20"/>
              </w:rPr>
              <w:fldChar w:fldCharType="begin"/>
            </w:r>
            <w:r w:rsidRPr="00E148C4">
              <w:rPr>
                <w:sz w:val="20"/>
                <w:szCs w:val="20"/>
              </w:rPr>
              <w:instrText xml:space="preserve"> ADDIN ZOTERO_ITEM CSL_CITATION {"citationID":"aoWvSjz0","properties":{"formattedCitation":"(Miles, van den Bree, &amp; Pickens, 2002)","plainCitation":"(Miles, van den Bree, &amp; Pickens, 2002)","noteIndex":0},"citationItems":[{"id":267,"uris":["http://zotero.org/users/10644289/items/BFJMJRLW"],"itemData":{"id":267,"type":"article-journal","container-title":"American Journal of Medical Genetics","DOI":"10.1002/ajmg.10178","ISSN":"0148-7299, 1096-8628","issue":"2","journalAbbreviation":"Am. J. Med. Genet.","language":"en","page":"159-168","source":"DOI.org (Crossref)","title":"Sex differences in shared genetic and environmental influences between conduct disorder symptoms and marijuana use in adolescents","volume":"114","author":[{"family":"Miles","given":"Donna R."},{"family":"Bree","given":"Marianne B.M.","non-dropping-particle":"van den"},{"family":"Pickens","given":"Roy W."}],"issued":{"date-parts":[["2002",3,8]]}}}],"schema":"https://github.com/citation-style-language/schema/raw/master/csl-citation.json"} </w:instrText>
            </w:r>
            <w:r w:rsidRPr="00E148C4">
              <w:rPr>
                <w:sz w:val="20"/>
                <w:szCs w:val="20"/>
              </w:rPr>
              <w:fldChar w:fldCharType="separate"/>
            </w:r>
            <w:r w:rsidRPr="00E148C4">
              <w:rPr>
                <w:sz w:val="20"/>
              </w:rPr>
              <w:t>(Miles, van den Bree, &amp; Pickens, 2002)</w:t>
            </w:r>
            <w:r w:rsidRPr="00E148C4">
              <w:rPr>
                <w:sz w:val="20"/>
                <w:szCs w:val="20"/>
              </w:rPr>
              <w:fldChar w:fldCharType="end"/>
            </w:r>
            <w:r w:rsidRPr="00E148C4">
              <w:rPr>
                <w:sz w:val="20"/>
                <w:szCs w:val="20"/>
              </w:rPr>
              <w:t xml:space="preserve">. </w:t>
            </w:r>
            <w:r w:rsidRPr="00E148C4">
              <w:rPr>
                <w:b/>
                <w:bCs/>
                <w:sz w:val="20"/>
                <w:szCs w:val="20"/>
              </w:rPr>
              <w:t xml:space="preserve">Supplemental Table </w:t>
            </w:r>
            <w:r w:rsidR="00E817F4" w:rsidRPr="00E148C4">
              <w:rPr>
                <w:b/>
                <w:bCs/>
                <w:sz w:val="20"/>
                <w:szCs w:val="20"/>
              </w:rPr>
              <w:t>2</w:t>
            </w:r>
            <w:r w:rsidRPr="00E148C4">
              <w:rPr>
                <w:sz w:val="20"/>
                <w:szCs w:val="20"/>
              </w:rPr>
              <w:t xml:space="preserve"> shows the questions that were used to create the indicators for the scale. Consistent with prior work </w:t>
            </w:r>
            <w:r w:rsidRPr="00E148C4">
              <w:rPr>
                <w:sz w:val="20"/>
                <w:szCs w:val="20"/>
              </w:rPr>
              <w:fldChar w:fldCharType="begin"/>
            </w:r>
            <w:r w:rsidR="00506676" w:rsidRPr="00E148C4">
              <w:rPr>
                <w:sz w:val="20"/>
                <w:szCs w:val="20"/>
              </w:rPr>
              <w:instrText xml:space="preserve"> ADDIN ZOTERO_ITEM CSL_CITATION {"citationID":"Sm46ltIR","properties":{"formattedCitation":"(Miles et al., 2002)","plainCitation":"(Miles et al., 2002)","noteIndex":0},"citationItems":[{"id":267,"uris":["http://zotero.org/users/10644289/items/BFJMJRLW"],"itemData":{"id":267,"type":"article-journal","container-title":"American Journal of Medical Genetics","DOI":"10.1002/ajmg.10178","ISSN":"0148-7299, 1096-8628","issue":"2","journalAbbreviation":"Am. J. Med. Genet.","language":"en","page":"159-168","source":"DOI.org (Crossref)","title":"Sex differences in shared genetic and environmental influences between conduct disorder symptoms and marijuana use in adolescents","volume":"114","author":[{"family":"Miles","given":"Donna R."},{"family":"Bree","given":"Marianne B.M.","non-dropping-particle":"van den"},{"family":"Pickens","given":"Roy W."}],"issued":{"date-parts":[["2002",3,8]]}}}],"schema":"https://github.com/citation-style-language/schema/raw/master/csl-citation.json"} </w:instrText>
            </w:r>
            <w:r w:rsidRPr="00E148C4">
              <w:rPr>
                <w:sz w:val="20"/>
                <w:szCs w:val="20"/>
              </w:rPr>
              <w:fldChar w:fldCharType="separate"/>
            </w:r>
            <w:r w:rsidR="00506676" w:rsidRPr="00E148C4">
              <w:rPr>
                <w:sz w:val="20"/>
              </w:rPr>
              <w:t>(Miles et al., 2002)</w:t>
            </w:r>
            <w:r w:rsidRPr="00E148C4">
              <w:rPr>
                <w:sz w:val="20"/>
                <w:szCs w:val="20"/>
              </w:rPr>
              <w:fldChar w:fldCharType="end"/>
            </w:r>
            <w:r w:rsidRPr="00E148C4">
              <w:rPr>
                <w:sz w:val="20"/>
                <w:szCs w:val="20"/>
              </w:rPr>
              <w:t xml:space="preserve">, item responses were combined across Waves I and II. Participants with missing data across both waves for three or more indicators were coded as missing. Consistent with DSM-IV criteria, participants with three or more conduct-disorder indicators were classified as having conduct disorder. ADHD diagnoses included retrospective reports of ADHD diagnosis between ages 11 and 18. Questions used the same format as retrospective reports for internalizing conditions.  </w:t>
            </w:r>
          </w:p>
        </w:tc>
      </w:tr>
      <w:tr w:rsidR="00DE554B" w:rsidRPr="00E148C4" w14:paraId="2460CD4B" w14:textId="77777777" w:rsidTr="00DE554B">
        <w:tc>
          <w:tcPr>
            <w:tcW w:w="2728" w:type="dxa"/>
          </w:tcPr>
          <w:p w14:paraId="4A90A981" w14:textId="77777777" w:rsidR="00DE554B" w:rsidRPr="00E148C4" w:rsidRDefault="00DE554B" w:rsidP="003C543F">
            <w:pPr>
              <w:rPr>
                <w:sz w:val="20"/>
                <w:szCs w:val="20"/>
              </w:rPr>
            </w:pPr>
            <w:r w:rsidRPr="00E148C4">
              <w:rPr>
                <w:sz w:val="20"/>
                <w:szCs w:val="20"/>
              </w:rPr>
              <w:t xml:space="preserve">Adolescent physical health </w:t>
            </w:r>
          </w:p>
        </w:tc>
        <w:tc>
          <w:tcPr>
            <w:tcW w:w="11127" w:type="dxa"/>
          </w:tcPr>
          <w:p w14:paraId="2AC38E29" w14:textId="77777777" w:rsidR="00DE554B" w:rsidRPr="00E148C4" w:rsidRDefault="00DE554B" w:rsidP="003C543F">
            <w:pPr>
              <w:rPr>
                <w:sz w:val="20"/>
                <w:szCs w:val="20"/>
              </w:rPr>
            </w:pPr>
            <w:r w:rsidRPr="00E148C4">
              <w:rPr>
                <w:sz w:val="20"/>
                <w:szCs w:val="20"/>
              </w:rPr>
              <w:t>Parent reports of obesity, diabetes, and asthma at Wave I were used if the adolescent was 18 or younger at the time of interview. We used retrospective reports for adolescents without parent reports available at Wave I, or who were 19 or older at the time of the Wave I interview. Retrospective reports for asthma and obesity were based on responses to the following question at Wave V: “When you were growing up, before age 16, did a doctor, nurse, or other health care provider tell you or your parents/adult caregivers that you have or had any of the following?” We identified retrospective reports of adolescent diabetes from a question on lifetime diagnosis of diabetes administered at Waves IV and V, limiting to those with a self-reported age of diagnosis by age 18. Wave V retrospective reports of diabetes were only used if Wave IV information was unavailable.</w:t>
            </w:r>
          </w:p>
        </w:tc>
      </w:tr>
      <w:tr w:rsidR="00DE554B" w:rsidRPr="00E148C4" w14:paraId="59732965" w14:textId="77777777" w:rsidTr="00DE554B">
        <w:tc>
          <w:tcPr>
            <w:tcW w:w="2728" w:type="dxa"/>
          </w:tcPr>
          <w:p w14:paraId="30B08F1D" w14:textId="4FDF5DDC" w:rsidR="00DE554B" w:rsidRPr="00E148C4" w:rsidRDefault="00DE554B" w:rsidP="003C543F">
            <w:pPr>
              <w:rPr>
                <w:sz w:val="20"/>
                <w:szCs w:val="20"/>
              </w:rPr>
            </w:pPr>
            <w:r w:rsidRPr="00E148C4">
              <w:rPr>
                <w:sz w:val="20"/>
                <w:szCs w:val="20"/>
              </w:rPr>
              <w:t>Midlife indicators of diseases of despair</w:t>
            </w:r>
          </w:p>
        </w:tc>
        <w:tc>
          <w:tcPr>
            <w:tcW w:w="11127" w:type="dxa"/>
          </w:tcPr>
          <w:p w14:paraId="006F0F59" w14:textId="77777777" w:rsidR="00DE554B" w:rsidRPr="00E148C4" w:rsidRDefault="00DE554B" w:rsidP="003C543F">
            <w:pPr>
              <w:rPr>
                <w:sz w:val="20"/>
                <w:szCs w:val="20"/>
              </w:rPr>
            </w:pPr>
            <w:r w:rsidRPr="00E148C4">
              <w:rPr>
                <w:sz w:val="20"/>
                <w:szCs w:val="20"/>
              </w:rPr>
              <w:t xml:space="preserve">A sum score of eight indicators of despair across four domains: suicidality, substance misuse, sleep problems, and pain. Each domain contributed two indicators of despair. All indicators were assessed at Wave V. Due to small counts (N with five or more indicators = 10). participants with four or more indicators of despair-related diseases were collapsed into a single category. </w:t>
            </w:r>
          </w:p>
        </w:tc>
      </w:tr>
      <w:tr w:rsidR="00DE554B" w:rsidRPr="00E148C4" w14:paraId="0EB2F050" w14:textId="77777777" w:rsidTr="00DE554B">
        <w:tc>
          <w:tcPr>
            <w:tcW w:w="2728" w:type="dxa"/>
          </w:tcPr>
          <w:p w14:paraId="3207E654" w14:textId="77777777" w:rsidR="00DE554B" w:rsidRPr="00E148C4" w:rsidRDefault="00DE554B" w:rsidP="003C543F">
            <w:pPr>
              <w:rPr>
                <w:sz w:val="20"/>
                <w:szCs w:val="20"/>
              </w:rPr>
            </w:pPr>
            <w:r w:rsidRPr="00E148C4">
              <w:rPr>
                <w:sz w:val="20"/>
                <w:szCs w:val="20"/>
              </w:rPr>
              <w:t xml:space="preserve">    Suicidality  </w:t>
            </w:r>
          </w:p>
        </w:tc>
        <w:tc>
          <w:tcPr>
            <w:tcW w:w="11127" w:type="dxa"/>
          </w:tcPr>
          <w:p w14:paraId="741BE7CC" w14:textId="77777777" w:rsidR="00DE554B" w:rsidRPr="00E148C4" w:rsidRDefault="00DE554B" w:rsidP="003C543F">
            <w:pPr>
              <w:rPr>
                <w:sz w:val="20"/>
                <w:szCs w:val="20"/>
              </w:rPr>
            </w:pPr>
            <w:r w:rsidRPr="00E148C4">
              <w:rPr>
                <w:sz w:val="20"/>
                <w:szCs w:val="20"/>
              </w:rPr>
              <w:t xml:space="preserve">The two indicators were 1) self-reported suicidal ideation in the past year and 2) self-reported suicide attempt in the past year. Only participants who indicated suicidal ideation in the past year were asked about suicide attempts. </w:t>
            </w:r>
          </w:p>
        </w:tc>
      </w:tr>
      <w:tr w:rsidR="00DE554B" w:rsidRPr="00E148C4" w14:paraId="3D071F37" w14:textId="77777777" w:rsidTr="00DE554B">
        <w:tc>
          <w:tcPr>
            <w:tcW w:w="2728" w:type="dxa"/>
          </w:tcPr>
          <w:p w14:paraId="01B9DE4B" w14:textId="77777777" w:rsidR="00DE554B" w:rsidRPr="00E148C4" w:rsidRDefault="00DE554B" w:rsidP="003C543F">
            <w:pPr>
              <w:rPr>
                <w:sz w:val="20"/>
                <w:szCs w:val="20"/>
              </w:rPr>
            </w:pPr>
            <w:r w:rsidRPr="00E148C4">
              <w:rPr>
                <w:sz w:val="20"/>
                <w:szCs w:val="20"/>
              </w:rPr>
              <w:lastRenderedPageBreak/>
              <w:t xml:space="preserve">    Substance misuse</w:t>
            </w:r>
          </w:p>
        </w:tc>
        <w:tc>
          <w:tcPr>
            <w:tcW w:w="11127" w:type="dxa"/>
          </w:tcPr>
          <w:p w14:paraId="5291A3AF" w14:textId="77777777" w:rsidR="00DE554B" w:rsidRPr="00E148C4" w:rsidRDefault="00DE554B" w:rsidP="003C543F">
            <w:pPr>
              <w:rPr>
                <w:sz w:val="20"/>
                <w:szCs w:val="20"/>
              </w:rPr>
            </w:pPr>
            <w:r w:rsidRPr="00E148C4">
              <w:rPr>
                <w:sz w:val="20"/>
                <w:szCs w:val="20"/>
              </w:rPr>
              <w:t>The two indicators were 1) frequent binge drinking and 2) any problematic drug use. Frequent binge drinking included females who reported drinking four or more drinks at a time, and males who reported drinking five or more drinks at a time, three or more times a week in the past 12 months. Any problematic drug use included any reports of prescription drug misuse, any illicit drug use, any opioid misuse, or marijuana use every day or nearly every day in the past 30 days.</w:t>
            </w:r>
          </w:p>
        </w:tc>
      </w:tr>
      <w:tr w:rsidR="00DE554B" w:rsidRPr="00E148C4" w14:paraId="60863150" w14:textId="77777777" w:rsidTr="00DE554B">
        <w:tc>
          <w:tcPr>
            <w:tcW w:w="2728" w:type="dxa"/>
          </w:tcPr>
          <w:p w14:paraId="55456097" w14:textId="77777777" w:rsidR="00DE554B" w:rsidRPr="00E148C4" w:rsidRDefault="00DE554B" w:rsidP="003C543F">
            <w:pPr>
              <w:rPr>
                <w:sz w:val="20"/>
                <w:szCs w:val="20"/>
              </w:rPr>
            </w:pPr>
            <w:r w:rsidRPr="00E148C4">
              <w:rPr>
                <w:sz w:val="20"/>
                <w:szCs w:val="20"/>
              </w:rPr>
              <w:t xml:space="preserve">    Sleep problems </w:t>
            </w:r>
          </w:p>
        </w:tc>
        <w:tc>
          <w:tcPr>
            <w:tcW w:w="11127" w:type="dxa"/>
          </w:tcPr>
          <w:p w14:paraId="61975200" w14:textId="77777777" w:rsidR="00DE554B" w:rsidRPr="00E148C4" w:rsidRDefault="00DE554B" w:rsidP="003C543F">
            <w:pPr>
              <w:rPr>
                <w:sz w:val="20"/>
                <w:szCs w:val="20"/>
              </w:rPr>
            </w:pPr>
            <w:r w:rsidRPr="00E148C4">
              <w:rPr>
                <w:sz w:val="20"/>
                <w:szCs w:val="20"/>
              </w:rPr>
              <w:t xml:space="preserve">The two indicators were 1) trouble falling asleep five or more times a week in the past four weeks and 2) typically sleeping less than five hours a night. Criteria for short sleep duration (&lt; five hours per night) were derived from the Pittsburgh Sleep Quality Index </w:t>
            </w:r>
            <w:r w:rsidRPr="00E148C4">
              <w:rPr>
                <w:sz w:val="20"/>
                <w:szCs w:val="20"/>
              </w:rPr>
              <w:fldChar w:fldCharType="begin"/>
            </w:r>
            <w:r w:rsidRPr="00E148C4">
              <w:rPr>
                <w:sz w:val="20"/>
                <w:szCs w:val="20"/>
              </w:rPr>
              <w:instrText xml:space="preserve"> ADDIN ZOTERO_ITEM CSL_CITATION {"citationID":"tRdQfrJV","properties":{"formattedCitation":"(Buysse, Reynolds, Monk, Berman, &amp; Kupfer, 1989)","plainCitation":"(Buysse, Reynolds, Monk, Berman, &amp; Kupfer, 1989)","noteIndex":0},"citationItems":[{"id":376,"uris":["http://zotero.org/users/10644289/items/F48JUF8Z"],"itemData":{"id":376,"type":"article-journal","abstract":"Despite the prevalence of sleep complaints among psychiatric patients, few questionnaires have been specifically designed to measure sleep quality in clinical populations. The Pittsburgh Sleep Quality Index (PSQI) is a self-rated questionnaire which assesses sleep quality and disturbances over a l-month time interval. Nineteen individual items generate seven “component” scores: subjective sleep quality, sleep latency, sleep duration, habitual sleep efficiency, sleep disturbances, use of sleeping medication, and daytime dysfunction. The sum of scores for these seven components yields one global score. Clinical and clinimetric properties of the PSQI were assessed over an l8-month period with “good” sleepers (healthy subjects, n = 52) and “poor” sleepers (depressed patients, n = 54; sleep-disorder patients, n = 62). Acceptable measures of internal homogeneity, consistency (test-retest reliability), and validity were obtained. A global PSQI score &gt; 5 yielded a diagnostic sensitivity of 89.6% and specificity of 86.5% (kappa = 0.75, p &lt; O.OOl) in distinguishing good and poor sleepers. The clinimetric and clinical properties of the PSQI suggest its utility both in psychiatric clinical practice and research activities.","container-title":"Psychiatry Research","DOI":"10.1016/0165-1781(89)90047-4","ISSN":"01651781","issue":"2","journalAbbreviation":"Psychiatry Research","language":"en","page":"193-213","source":"DOI.org (Crossref)","title":"The Pittsburgh sleep quality index: A new instrument for psychiatric practice and research","title-short":"The Pittsburgh sleep quality index","volume":"28","author":[{"family":"Buysse","given":"Daniel J."},{"family":"Reynolds","given":"Charles F."},{"family":"Monk","given":"Timothy H."},{"family":"Berman","given":"Susan R."},{"family":"Kupfer","given":"David J."}],"issued":{"date-parts":[["1989",5]]}}}],"schema":"https://github.com/citation-style-language/schema/raw/master/csl-citation.json"} </w:instrText>
            </w:r>
            <w:r w:rsidRPr="00E148C4">
              <w:rPr>
                <w:sz w:val="20"/>
                <w:szCs w:val="20"/>
              </w:rPr>
              <w:fldChar w:fldCharType="separate"/>
            </w:r>
            <w:r w:rsidRPr="00E148C4">
              <w:rPr>
                <w:sz w:val="20"/>
              </w:rPr>
              <w:t>(Buysse, Reynolds, Monk, Berman, &amp; Kupfer, 1989)</w:t>
            </w:r>
            <w:r w:rsidRPr="00E148C4">
              <w:rPr>
                <w:sz w:val="20"/>
                <w:szCs w:val="20"/>
              </w:rPr>
              <w:fldChar w:fldCharType="end"/>
            </w:r>
            <w:r w:rsidRPr="00E148C4">
              <w:rPr>
                <w:sz w:val="20"/>
                <w:szCs w:val="20"/>
              </w:rPr>
              <w:t xml:space="preserve">. </w:t>
            </w:r>
          </w:p>
        </w:tc>
      </w:tr>
      <w:tr w:rsidR="00DE554B" w:rsidRPr="00E148C4" w14:paraId="5E5E71B6" w14:textId="77777777" w:rsidTr="00DE554B">
        <w:tc>
          <w:tcPr>
            <w:tcW w:w="2728" w:type="dxa"/>
          </w:tcPr>
          <w:p w14:paraId="171EB98F" w14:textId="77777777" w:rsidR="00DE554B" w:rsidRPr="00E148C4" w:rsidRDefault="00DE554B" w:rsidP="003C543F">
            <w:pPr>
              <w:rPr>
                <w:sz w:val="20"/>
                <w:szCs w:val="20"/>
              </w:rPr>
            </w:pPr>
            <w:r w:rsidRPr="00E148C4">
              <w:rPr>
                <w:sz w:val="20"/>
                <w:szCs w:val="20"/>
              </w:rPr>
              <w:t xml:space="preserve">    Pain </w:t>
            </w:r>
          </w:p>
        </w:tc>
        <w:tc>
          <w:tcPr>
            <w:tcW w:w="11127" w:type="dxa"/>
          </w:tcPr>
          <w:p w14:paraId="10C16138" w14:textId="77777777" w:rsidR="00DE554B" w:rsidRPr="00E148C4" w:rsidRDefault="00DE554B" w:rsidP="003C543F">
            <w:pPr>
              <w:rPr>
                <w:sz w:val="20"/>
                <w:szCs w:val="20"/>
              </w:rPr>
            </w:pPr>
            <w:r w:rsidRPr="00E148C4">
              <w:rPr>
                <w:sz w:val="20"/>
                <w:szCs w:val="20"/>
              </w:rPr>
              <w:t xml:space="preserve">Pain was characterized by pain medication use. The two indicators were 1) indication of narcotic use in the past four weeks and 2) indication of non-steroidal anti-inflammatory drug (NSAID) use in the past four weeks.  Participants responding to web-based interviews self-reported medication use, while medication bottles were referenced for those who received in-home interviews. </w:t>
            </w:r>
          </w:p>
        </w:tc>
      </w:tr>
      <w:tr w:rsidR="00DE554B" w:rsidRPr="00E148C4" w14:paraId="633A1F21" w14:textId="77777777" w:rsidTr="00DE554B">
        <w:tc>
          <w:tcPr>
            <w:tcW w:w="2728" w:type="dxa"/>
          </w:tcPr>
          <w:p w14:paraId="683D30ED" w14:textId="430D3E6B" w:rsidR="00DE554B" w:rsidRPr="00E148C4" w:rsidRDefault="00DE554B" w:rsidP="003C543F">
            <w:pPr>
              <w:rPr>
                <w:sz w:val="20"/>
                <w:szCs w:val="20"/>
              </w:rPr>
            </w:pPr>
            <w:r w:rsidRPr="00E148C4">
              <w:rPr>
                <w:sz w:val="20"/>
                <w:szCs w:val="20"/>
              </w:rPr>
              <w:t>Midlife indicators of cardiometabolic risk</w:t>
            </w:r>
          </w:p>
        </w:tc>
        <w:tc>
          <w:tcPr>
            <w:tcW w:w="11127" w:type="dxa"/>
          </w:tcPr>
          <w:p w14:paraId="0E8ADDD3" w14:textId="77777777" w:rsidR="00DE554B" w:rsidRPr="00E148C4" w:rsidRDefault="00DE554B" w:rsidP="003C543F">
            <w:pPr>
              <w:rPr>
                <w:sz w:val="20"/>
                <w:szCs w:val="20"/>
              </w:rPr>
            </w:pPr>
            <w:r w:rsidRPr="00E148C4">
              <w:rPr>
                <w:sz w:val="20"/>
                <w:szCs w:val="20"/>
              </w:rPr>
              <w:t xml:space="preserve">A sum score of five indicators of cardiometabolic risk included 1) hypertension, 2) diabetes, 3) hyperlipidemia, 4) high-risk waist circumference, and 5) any cardiovascular diagnosis (blood clots, heart disease, heart failure, stroke, or heart attack). All indicators were assessed at Wave V. Due to small counts (N with five indicators = 19), participants with four or five indicators of cardiometabolic risk were collapsed into a single group. </w:t>
            </w:r>
          </w:p>
        </w:tc>
      </w:tr>
      <w:tr w:rsidR="00DE554B" w:rsidRPr="00E148C4" w14:paraId="71A88EB2" w14:textId="77777777" w:rsidTr="00DE554B">
        <w:tc>
          <w:tcPr>
            <w:tcW w:w="2728" w:type="dxa"/>
          </w:tcPr>
          <w:p w14:paraId="47C92C46" w14:textId="77777777" w:rsidR="00DE554B" w:rsidRPr="00E148C4" w:rsidRDefault="00DE554B" w:rsidP="003C543F">
            <w:pPr>
              <w:rPr>
                <w:sz w:val="20"/>
                <w:szCs w:val="20"/>
              </w:rPr>
            </w:pPr>
            <w:r w:rsidRPr="00E148C4">
              <w:rPr>
                <w:sz w:val="20"/>
                <w:szCs w:val="20"/>
              </w:rPr>
              <w:t xml:space="preserve">    Hypertension </w:t>
            </w:r>
          </w:p>
        </w:tc>
        <w:tc>
          <w:tcPr>
            <w:tcW w:w="11127" w:type="dxa"/>
          </w:tcPr>
          <w:p w14:paraId="0BB46554" w14:textId="77777777" w:rsidR="00DE554B" w:rsidRPr="00E148C4" w:rsidRDefault="00DE554B" w:rsidP="003C543F">
            <w:pPr>
              <w:rPr>
                <w:sz w:val="20"/>
                <w:szCs w:val="20"/>
              </w:rPr>
            </w:pPr>
            <w:r w:rsidRPr="00E148C4">
              <w:rPr>
                <w:sz w:val="20"/>
                <w:szCs w:val="20"/>
              </w:rPr>
              <w:t xml:space="preserve">In-person high blood pressure reading (level 1 or 2), hypertension medication </w:t>
            </w:r>
            <w:proofErr w:type="gramStart"/>
            <w:r w:rsidRPr="00E148C4">
              <w:rPr>
                <w:sz w:val="20"/>
                <w:szCs w:val="20"/>
              </w:rPr>
              <w:t>use</w:t>
            </w:r>
            <w:proofErr w:type="gramEnd"/>
            <w:r w:rsidRPr="00E148C4">
              <w:rPr>
                <w:sz w:val="20"/>
                <w:szCs w:val="20"/>
              </w:rPr>
              <w:t xml:space="preserve"> in the past four weeks, or self-reported hypertension diagnosis. </w:t>
            </w:r>
          </w:p>
        </w:tc>
      </w:tr>
      <w:tr w:rsidR="00DE554B" w:rsidRPr="00E148C4" w14:paraId="5FBF8919" w14:textId="77777777" w:rsidTr="00DE554B">
        <w:tc>
          <w:tcPr>
            <w:tcW w:w="2728" w:type="dxa"/>
          </w:tcPr>
          <w:p w14:paraId="6A7744D0" w14:textId="77777777" w:rsidR="00DE554B" w:rsidRPr="00E148C4" w:rsidRDefault="00DE554B" w:rsidP="003C543F">
            <w:pPr>
              <w:rPr>
                <w:sz w:val="20"/>
                <w:szCs w:val="20"/>
              </w:rPr>
            </w:pPr>
            <w:r w:rsidRPr="00E148C4">
              <w:rPr>
                <w:sz w:val="20"/>
                <w:szCs w:val="20"/>
              </w:rPr>
              <w:t xml:space="preserve">    Diabetes </w:t>
            </w:r>
          </w:p>
        </w:tc>
        <w:tc>
          <w:tcPr>
            <w:tcW w:w="11127" w:type="dxa"/>
          </w:tcPr>
          <w:p w14:paraId="7C97CD08" w14:textId="77777777" w:rsidR="00DE554B" w:rsidRPr="00E148C4" w:rsidRDefault="00DE554B" w:rsidP="003C543F">
            <w:pPr>
              <w:rPr>
                <w:sz w:val="20"/>
                <w:szCs w:val="20"/>
              </w:rPr>
            </w:pPr>
            <w:r w:rsidRPr="00E148C4">
              <w:rPr>
                <w:sz w:val="20"/>
                <w:szCs w:val="20"/>
              </w:rPr>
              <w:t>A fasting glucose &gt; 126 mg/dl, a non-fasting glucose &gt; 200 mg/dl, a HbA1c &gt; 6.5%, self-reported history of non-gestational diabetes, or use of diabetes medication in the past four weeks.</w:t>
            </w:r>
          </w:p>
        </w:tc>
      </w:tr>
      <w:tr w:rsidR="00DE554B" w:rsidRPr="00E148C4" w14:paraId="7B077BC5" w14:textId="77777777" w:rsidTr="00DE554B">
        <w:tc>
          <w:tcPr>
            <w:tcW w:w="2728" w:type="dxa"/>
          </w:tcPr>
          <w:p w14:paraId="51FB67BC" w14:textId="77777777" w:rsidR="00DE554B" w:rsidRPr="00E148C4" w:rsidRDefault="00DE554B" w:rsidP="003C543F">
            <w:pPr>
              <w:rPr>
                <w:sz w:val="20"/>
                <w:szCs w:val="20"/>
              </w:rPr>
            </w:pPr>
            <w:r w:rsidRPr="00E148C4">
              <w:rPr>
                <w:sz w:val="20"/>
                <w:szCs w:val="20"/>
              </w:rPr>
              <w:t xml:space="preserve">    Hyperlipidemia </w:t>
            </w:r>
          </w:p>
        </w:tc>
        <w:tc>
          <w:tcPr>
            <w:tcW w:w="11127" w:type="dxa"/>
          </w:tcPr>
          <w:p w14:paraId="34C78777" w14:textId="77777777" w:rsidR="00DE554B" w:rsidRPr="00E148C4" w:rsidRDefault="00DE554B" w:rsidP="003C543F">
            <w:pPr>
              <w:rPr>
                <w:sz w:val="20"/>
                <w:szCs w:val="20"/>
              </w:rPr>
            </w:pPr>
            <w:r w:rsidRPr="00E148C4">
              <w:rPr>
                <w:sz w:val="20"/>
                <w:szCs w:val="20"/>
              </w:rPr>
              <w:t>A fasting triglyceride concentration &gt; 500 mg/dl, an LDL-C concentration &gt; 190 mg/dl, self-reported diagnosis of high cholesterol or high triglycerides, or use of antihyperlipidemic medication in the past four weeks.</w:t>
            </w:r>
          </w:p>
        </w:tc>
      </w:tr>
      <w:tr w:rsidR="00DE554B" w:rsidRPr="00E148C4" w14:paraId="2D1D0679" w14:textId="77777777" w:rsidTr="00DE554B">
        <w:tc>
          <w:tcPr>
            <w:tcW w:w="2728" w:type="dxa"/>
          </w:tcPr>
          <w:p w14:paraId="692425B5" w14:textId="77777777" w:rsidR="00DE554B" w:rsidRPr="00E148C4" w:rsidRDefault="00DE554B" w:rsidP="003C543F">
            <w:pPr>
              <w:rPr>
                <w:sz w:val="20"/>
                <w:szCs w:val="20"/>
              </w:rPr>
            </w:pPr>
            <w:r w:rsidRPr="00E148C4">
              <w:rPr>
                <w:sz w:val="20"/>
                <w:szCs w:val="20"/>
              </w:rPr>
              <w:t xml:space="preserve">    High-risk waist circumference </w:t>
            </w:r>
          </w:p>
        </w:tc>
        <w:tc>
          <w:tcPr>
            <w:tcW w:w="11127" w:type="dxa"/>
          </w:tcPr>
          <w:p w14:paraId="2AC77562" w14:textId="77777777" w:rsidR="00DE554B" w:rsidRPr="00E148C4" w:rsidRDefault="00DE554B" w:rsidP="003C543F">
            <w:pPr>
              <w:rPr>
                <w:sz w:val="20"/>
                <w:szCs w:val="20"/>
              </w:rPr>
            </w:pPr>
            <w:r w:rsidRPr="00E148C4">
              <w:rPr>
                <w:sz w:val="20"/>
                <w:szCs w:val="20"/>
              </w:rPr>
              <w:t xml:space="preserve">Guidelines for high-risk waist circumference were from the National Institutes of Health Clinical Guidelines on the Identification, Evaluation, and Treatment of Overweight and Obesity in Adults. Participants with a high-risk waist circumference included females with a waist circumference greater than 88 cm and males with a waist circumference greater than 102 cm </w:t>
            </w:r>
            <w:r w:rsidRPr="00E148C4">
              <w:rPr>
                <w:sz w:val="20"/>
                <w:szCs w:val="20"/>
              </w:rPr>
              <w:fldChar w:fldCharType="begin"/>
            </w:r>
            <w:r w:rsidRPr="00E148C4">
              <w:rPr>
                <w:sz w:val="20"/>
                <w:szCs w:val="20"/>
              </w:rPr>
              <w:instrText xml:space="preserve"> ADDIN ZOTERO_ITEM CSL_CITATION {"citationID":"vulyhyrG","properties":{"formattedCitation":"(\\uc0\\u8220{}Executive Summary of the Clinical Guidelines on the Identification, Evaluation, and Treatment of Overweight and Obesity in Adults,\\uc0\\u8221{} 1998)","plainCitation":"(“Executive Summary of the Clinical Guidelines on the Identification, Evaluation, and Treatment of Overweight and Obesity in Adults,” 1998)","noteIndex":0},"citationItems":[{"id":475,"uris":["http://zotero.org/users/10644289/items/72FK7GZV"],"itemData":{"id":475,"type":"article-journal","container-title":"ARCH INTERN MED","language":"en","source":"Zotero","title":"Executive Summary of the Clinical Guidelines on the Identification, Evaluation, and Treatment of Overweight and Obesity in Adults","volume":"158","issued":{"date-parts":[["1998"]]}}}],"schema":"https://github.com/citation-style-language/schema/raw/master/csl-citation.json"} </w:instrText>
            </w:r>
            <w:r w:rsidRPr="00E148C4">
              <w:rPr>
                <w:sz w:val="20"/>
                <w:szCs w:val="20"/>
              </w:rPr>
              <w:fldChar w:fldCharType="separate"/>
            </w:r>
            <w:r w:rsidRPr="00E148C4">
              <w:rPr>
                <w:sz w:val="20"/>
              </w:rPr>
              <w:t>(“Executive Summary of the Clinical Guidelines on the Identification, Evaluation, and Treatment of Overweight and Obesity in Adults,” 1998)</w:t>
            </w:r>
            <w:r w:rsidRPr="00E148C4">
              <w:rPr>
                <w:sz w:val="20"/>
                <w:szCs w:val="20"/>
              </w:rPr>
              <w:fldChar w:fldCharType="end"/>
            </w:r>
            <w:r w:rsidRPr="00E148C4">
              <w:rPr>
                <w:sz w:val="20"/>
                <w:szCs w:val="20"/>
              </w:rPr>
              <w:t>.</w:t>
            </w:r>
          </w:p>
        </w:tc>
      </w:tr>
      <w:tr w:rsidR="00DE554B" w:rsidRPr="00E148C4" w14:paraId="1C8C0755" w14:textId="77777777" w:rsidTr="00DE554B">
        <w:tc>
          <w:tcPr>
            <w:tcW w:w="2728" w:type="dxa"/>
          </w:tcPr>
          <w:p w14:paraId="4D8E2DC4" w14:textId="77777777" w:rsidR="00DE554B" w:rsidRPr="00E148C4" w:rsidRDefault="00DE554B" w:rsidP="003C543F">
            <w:pPr>
              <w:rPr>
                <w:sz w:val="20"/>
                <w:szCs w:val="20"/>
              </w:rPr>
            </w:pPr>
            <w:r w:rsidRPr="00E148C4">
              <w:rPr>
                <w:sz w:val="20"/>
                <w:szCs w:val="20"/>
              </w:rPr>
              <w:t xml:space="preserve">    Cardiovascular diagnosis</w:t>
            </w:r>
          </w:p>
        </w:tc>
        <w:tc>
          <w:tcPr>
            <w:tcW w:w="11127" w:type="dxa"/>
          </w:tcPr>
          <w:p w14:paraId="627EA1ED" w14:textId="77777777" w:rsidR="00DE554B" w:rsidRPr="00E148C4" w:rsidRDefault="00DE554B" w:rsidP="003C543F">
            <w:pPr>
              <w:rPr>
                <w:sz w:val="20"/>
                <w:szCs w:val="20"/>
              </w:rPr>
            </w:pPr>
            <w:r w:rsidRPr="00E148C4">
              <w:rPr>
                <w:sz w:val="20"/>
                <w:szCs w:val="20"/>
              </w:rPr>
              <w:t>Self-report of physician-diagnosed blood clots, heart disease, heart failure, stroke, or heart attack.</w:t>
            </w:r>
          </w:p>
        </w:tc>
      </w:tr>
      <w:tr w:rsidR="00DE554B" w:rsidRPr="00E148C4" w14:paraId="31BE5C11" w14:textId="77777777" w:rsidTr="00DE554B">
        <w:tc>
          <w:tcPr>
            <w:tcW w:w="2728" w:type="dxa"/>
          </w:tcPr>
          <w:p w14:paraId="430218CD" w14:textId="77777777" w:rsidR="00DE554B" w:rsidRPr="00E148C4" w:rsidRDefault="00DE554B" w:rsidP="003C543F">
            <w:pPr>
              <w:rPr>
                <w:b/>
                <w:bCs/>
                <w:sz w:val="20"/>
                <w:szCs w:val="20"/>
              </w:rPr>
            </w:pPr>
            <w:r w:rsidRPr="00E148C4">
              <w:rPr>
                <w:b/>
                <w:bCs/>
                <w:sz w:val="20"/>
                <w:szCs w:val="20"/>
              </w:rPr>
              <w:t>Mediators</w:t>
            </w:r>
          </w:p>
        </w:tc>
        <w:tc>
          <w:tcPr>
            <w:tcW w:w="11127" w:type="dxa"/>
          </w:tcPr>
          <w:p w14:paraId="427E50E8" w14:textId="77777777" w:rsidR="00DE554B" w:rsidRPr="00E148C4" w:rsidRDefault="00DE554B" w:rsidP="003C543F">
            <w:pPr>
              <w:rPr>
                <w:sz w:val="20"/>
                <w:szCs w:val="20"/>
              </w:rPr>
            </w:pPr>
          </w:p>
        </w:tc>
      </w:tr>
      <w:tr w:rsidR="00DE554B" w:rsidRPr="00E148C4" w14:paraId="2FB213E7" w14:textId="77777777" w:rsidTr="00DE554B">
        <w:tc>
          <w:tcPr>
            <w:tcW w:w="2728" w:type="dxa"/>
          </w:tcPr>
          <w:p w14:paraId="6EDEC102" w14:textId="40A15F10" w:rsidR="00DE554B" w:rsidRPr="00E148C4" w:rsidRDefault="00DE554B" w:rsidP="003C543F">
            <w:pPr>
              <w:rPr>
                <w:sz w:val="20"/>
                <w:szCs w:val="20"/>
              </w:rPr>
            </w:pPr>
            <w:r w:rsidRPr="00E148C4">
              <w:rPr>
                <w:sz w:val="20"/>
                <w:szCs w:val="20"/>
              </w:rPr>
              <w:t>Low education (primary mediator)</w:t>
            </w:r>
          </w:p>
        </w:tc>
        <w:tc>
          <w:tcPr>
            <w:tcW w:w="11127" w:type="dxa"/>
          </w:tcPr>
          <w:p w14:paraId="729F497B" w14:textId="32148B09" w:rsidR="00DE554B" w:rsidRPr="00E148C4" w:rsidRDefault="00DE554B" w:rsidP="003C543F">
            <w:pPr>
              <w:rPr>
                <w:sz w:val="20"/>
                <w:szCs w:val="20"/>
              </w:rPr>
            </w:pPr>
            <w:bookmarkStart w:id="1" w:name="_Hlk159237526"/>
            <w:r w:rsidRPr="00E148C4">
              <w:rPr>
                <w:sz w:val="20"/>
                <w:szCs w:val="20"/>
              </w:rPr>
              <w:t xml:space="preserve">Defined as a high school education or less </w:t>
            </w:r>
            <w:r w:rsidRPr="00E148C4">
              <w:rPr>
                <w:sz w:val="20"/>
                <w:szCs w:val="20"/>
              </w:rPr>
              <w:fldChar w:fldCharType="begin"/>
            </w:r>
            <w:r w:rsidRPr="00E148C4">
              <w:rPr>
                <w:sz w:val="20"/>
                <w:szCs w:val="20"/>
              </w:rPr>
              <w:instrText xml:space="preserve"> ADDIN ZOTERO_ITEM CSL_CITATION {"citationID":"ksM7R5Pg","properties":{"formattedCitation":"(Case &amp; Deaton, 2015)","plainCitation":"(Case &amp; Deaton, 2015)","noteIndex":0},"citationItems":[{"id":427,"uris":["http://zotero.org/users/10644289/items/WTU72DHY"],"itemData":{"id":427,"type":"article-journal","abstract":"Significance\n            Midlife increases in suicides and drug poisonings have been previously noted. However, that these upward trends were persistent and large enough to drive up all-cause midlife mortality has, to our knowledge, been overlooked. If the white mortality rate for ages 45−54 had held at their 1998 value, 96,000 deaths would have been avoided from 1999–2013, 7,000 in 2013 alone. If it had continued to decline at its previous (1979‒1998) rate, half a million deaths would have been avoided in the period 1999‒2013, comparable to lives lost in the US AIDS epidemic through mid-2015. Concurrent declines in self-reported health, mental health, and ability to work, increased reports of pain, and deteriorating measures of liver function all point to increasing midlife distress.\n          , \n            This paper documents a marked increase in the all-cause mortality of middle-aged white non-Hispanic men and women in the United States between 1999 and 2013. This change reversed decades of progress in mortality and was unique to the United States; no other rich country saw a similar turnaround. The midlife mortality reversal was confined to white non-Hispanics; black non-Hispanics and Hispanics at midlife, and those aged 65 and above in every racial and ethnic group, continued to see mortality rates fall. This increase for whites was largely accounted for by increasing death rates from drug and alcohol poisonings, suicide, and chronic liver diseases and cirrhosis. Although all education groups saw increases in mortality from suicide and poisonings, and an overall increase in external cause mortality, those with less education saw the most marked increases. Rising midlife mortality rates of white non-Hispanics were paralleled by increases in midlife morbidity. Self-reported declines in health, mental health, and ability to conduct activities of daily living, and increases in chronic pain and inability to work, as well as clinically measured deteriorations in liver function, all point to growing distress in this population. We comment on potential economic causes and consequences of this deterioration.","container-title":"Proceedings of the National Academy of Sciences","DOI":"10.1073/pnas.1518393112","ISSN":"0027-8424, 1091-6490","issue":"49","journalAbbreviation":"Proc. Natl. Acad. Sci. U.S.A.","language":"en","page":"15078-15083","source":"DOI.org (Crossref)","title":"Rising morbidity and mortality in midlife among white non-Hispanic Americans in the 21st century","volume":"112","author":[{"family":"Case","given":"Anne"},{"family":"Deaton","given":"Angus"}],"issued":{"date-parts":[["2015",12,8]]}}}],"schema":"https://github.com/citation-style-language/schema/raw/master/csl-citation.json"} </w:instrText>
            </w:r>
            <w:r w:rsidRPr="00E148C4">
              <w:rPr>
                <w:sz w:val="20"/>
                <w:szCs w:val="20"/>
              </w:rPr>
              <w:fldChar w:fldCharType="separate"/>
            </w:r>
            <w:r w:rsidRPr="00E148C4">
              <w:rPr>
                <w:sz w:val="20"/>
              </w:rPr>
              <w:t>(Case &amp; Deaton, 2015)</w:t>
            </w:r>
            <w:r w:rsidRPr="00E148C4">
              <w:rPr>
                <w:sz w:val="20"/>
                <w:szCs w:val="20"/>
              </w:rPr>
              <w:fldChar w:fldCharType="end"/>
            </w:r>
            <w:r w:rsidRPr="00E148C4">
              <w:rPr>
                <w:sz w:val="20"/>
                <w:szCs w:val="20"/>
              </w:rPr>
              <w:t xml:space="preserve">. </w:t>
            </w:r>
            <w:r w:rsidR="00DB0C4D" w:rsidRPr="00E148C4">
              <w:rPr>
                <w:sz w:val="20"/>
                <w:szCs w:val="20"/>
              </w:rPr>
              <w:t xml:space="preserve">Highest education was assessed using the question, “What is the highest level of education that you have achieved to date?” </w:t>
            </w:r>
            <w:r w:rsidR="005956C4" w:rsidRPr="00E148C4">
              <w:rPr>
                <w:sz w:val="20"/>
                <w:szCs w:val="20"/>
              </w:rPr>
              <w:t xml:space="preserve">Because </w:t>
            </w:r>
            <w:r w:rsidR="00DB0C4D" w:rsidRPr="00E148C4">
              <w:rPr>
                <w:sz w:val="20"/>
                <w:szCs w:val="20"/>
              </w:rPr>
              <w:t>this question assessed education received prior to Wave V, we used h</w:t>
            </w:r>
            <w:r w:rsidRPr="00E148C4">
              <w:rPr>
                <w:sz w:val="20"/>
                <w:szCs w:val="20"/>
              </w:rPr>
              <w:t xml:space="preserve">ighest education level </w:t>
            </w:r>
            <w:r w:rsidR="00DB0C4D" w:rsidRPr="00E148C4">
              <w:rPr>
                <w:sz w:val="20"/>
                <w:szCs w:val="20"/>
              </w:rPr>
              <w:t xml:space="preserve">at </w:t>
            </w:r>
            <w:r w:rsidRPr="00E148C4">
              <w:rPr>
                <w:sz w:val="20"/>
                <w:szCs w:val="20"/>
              </w:rPr>
              <w:t xml:space="preserve">Wave V if available; otherwise, Wave IV information was used. </w:t>
            </w:r>
            <w:bookmarkEnd w:id="1"/>
          </w:p>
        </w:tc>
      </w:tr>
      <w:tr w:rsidR="00DE554B" w:rsidRPr="00E148C4" w14:paraId="7D701AC9" w14:textId="77777777" w:rsidTr="00DE554B">
        <w:tc>
          <w:tcPr>
            <w:tcW w:w="2728" w:type="dxa"/>
          </w:tcPr>
          <w:p w14:paraId="5DB2491A" w14:textId="53BFECAA" w:rsidR="00DE554B" w:rsidRPr="00E148C4" w:rsidRDefault="00DE554B" w:rsidP="003C543F">
            <w:pPr>
              <w:rPr>
                <w:sz w:val="20"/>
                <w:szCs w:val="20"/>
              </w:rPr>
            </w:pPr>
            <w:proofErr w:type="gramStart"/>
            <w:r w:rsidRPr="00E148C4">
              <w:rPr>
                <w:sz w:val="20"/>
                <w:szCs w:val="20"/>
              </w:rPr>
              <w:t>Early-adult</w:t>
            </w:r>
            <w:proofErr w:type="gramEnd"/>
            <w:r w:rsidRPr="00E148C4">
              <w:rPr>
                <w:sz w:val="20"/>
                <w:szCs w:val="20"/>
              </w:rPr>
              <w:t xml:space="preserve"> substance use (secondary mediator)</w:t>
            </w:r>
            <w:r w:rsidR="00812681" w:rsidRPr="00E148C4">
              <w:rPr>
                <w:sz w:val="20"/>
                <w:szCs w:val="20"/>
                <w:vertAlign w:val="superscript"/>
              </w:rPr>
              <w:t xml:space="preserve"> 1</w:t>
            </w:r>
            <w:r w:rsidRPr="00E148C4">
              <w:rPr>
                <w:sz w:val="20"/>
                <w:szCs w:val="20"/>
              </w:rPr>
              <w:t xml:space="preserve"> </w:t>
            </w:r>
          </w:p>
        </w:tc>
        <w:tc>
          <w:tcPr>
            <w:tcW w:w="11127" w:type="dxa"/>
          </w:tcPr>
          <w:p w14:paraId="1BAB4F87" w14:textId="77777777" w:rsidR="00DE554B" w:rsidRPr="00E148C4" w:rsidRDefault="00DE554B" w:rsidP="003C543F">
            <w:pPr>
              <w:rPr>
                <w:sz w:val="20"/>
                <w:szCs w:val="20"/>
              </w:rPr>
            </w:pPr>
            <w:proofErr w:type="gramStart"/>
            <w:r w:rsidRPr="00E148C4">
              <w:rPr>
                <w:sz w:val="20"/>
                <w:szCs w:val="20"/>
              </w:rPr>
              <w:t>Early-adult</w:t>
            </w:r>
            <w:proofErr w:type="gramEnd"/>
            <w:r w:rsidRPr="00E148C4">
              <w:rPr>
                <w:sz w:val="20"/>
                <w:szCs w:val="20"/>
              </w:rPr>
              <w:t xml:space="preserve"> substance use was measured at Wave IV (ages 24-32) using a sum score of the following indicators: 1) binge drinking 2-3 times per month or more in the past year, 2) marijuana use 2-3 times or more in the past 30 days, 3) any illicit drug use in the past 30 days, and 4) cigarette use 15 days or more in the past 30 days.</w:t>
            </w:r>
          </w:p>
        </w:tc>
      </w:tr>
      <w:tr w:rsidR="00DE554B" w:rsidRPr="00E148C4" w14:paraId="27AA6E53" w14:textId="77777777" w:rsidTr="00DE554B">
        <w:tc>
          <w:tcPr>
            <w:tcW w:w="2728" w:type="dxa"/>
          </w:tcPr>
          <w:p w14:paraId="50C09771" w14:textId="65F45B85" w:rsidR="00DE554B" w:rsidRPr="00E148C4" w:rsidRDefault="00DE554B" w:rsidP="003C543F">
            <w:pPr>
              <w:rPr>
                <w:sz w:val="20"/>
                <w:szCs w:val="20"/>
              </w:rPr>
            </w:pPr>
            <w:proofErr w:type="gramStart"/>
            <w:r w:rsidRPr="00E148C4">
              <w:rPr>
                <w:sz w:val="20"/>
                <w:szCs w:val="20"/>
              </w:rPr>
              <w:t>Early-adult</w:t>
            </w:r>
            <w:proofErr w:type="gramEnd"/>
            <w:r w:rsidRPr="00E148C4">
              <w:rPr>
                <w:sz w:val="20"/>
                <w:szCs w:val="20"/>
              </w:rPr>
              <w:t xml:space="preserve"> physical inactivity (secondary mediator)</w:t>
            </w:r>
            <w:r w:rsidR="00812681" w:rsidRPr="00E148C4">
              <w:rPr>
                <w:sz w:val="20"/>
                <w:szCs w:val="20"/>
                <w:vertAlign w:val="superscript"/>
              </w:rPr>
              <w:t xml:space="preserve"> 1</w:t>
            </w:r>
            <w:r w:rsidRPr="00E148C4">
              <w:rPr>
                <w:sz w:val="20"/>
                <w:szCs w:val="20"/>
              </w:rPr>
              <w:t xml:space="preserve"> </w:t>
            </w:r>
          </w:p>
        </w:tc>
        <w:tc>
          <w:tcPr>
            <w:tcW w:w="11127" w:type="dxa"/>
          </w:tcPr>
          <w:p w14:paraId="077E9ECC" w14:textId="53C9FFF5" w:rsidR="00DE554B" w:rsidRPr="00E148C4" w:rsidRDefault="00DE554B" w:rsidP="003C543F">
            <w:pPr>
              <w:rPr>
                <w:sz w:val="20"/>
                <w:szCs w:val="20"/>
              </w:rPr>
            </w:pPr>
            <w:r w:rsidRPr="00E148C4">
              <w:rPr>
                <w:sz w:val="20"/>
                <w:szCs w:val="20"/>
              </w:rPr>
              <w:t xml:space="preserve">Physical inactivity was assessed at Wave IV using information on participation in moderate and strenuous activities in the past seven days. Consistent with the Center for Disease Control’s guidelines for physical activity in adulthood, participants who engaged in fewer than two strenuous activities, three moderate activities, or three total activities were classified as inactive </w:t>
            </w:r>
            <w:r w:rsidRPr="00E148C4">
              <w:rPr>
                <w:sz w:val="20"/>
                <w:szCs w:val="20"/>
              </w:rPr>
              <w:fldChar w:fldCharType="begin"/>
            </w:r>
            <w:r w:rsidRPr="00E148C4">
              <w:rPr>
                <w:sz w:val="20"/>
                <w:szCs w:val="20"/>
              </w:rPr>
              <w:instrText xml:space="preserve"> ADDIN ZOTERO_ITEM CSL_CITATION {"citationID":"4MHbGF6l","properties":{"formattedCitation":"(Deparment of Health and Human Services, 2021)","plainCitation":"(Deparment of Health and Human Services, 2021)","dontUpdate":true,"noteIndex":0},"citationItems":[{"id":360,"uris":["http://zotero.org/users/10644289/items/QCS9ZPBG"],"itemData":{"id":360,"type":"report","language":"en","source":"Zotero","title":"Executive Summary: Physical Activity Guidelines for Americans, 2nd edition","URL":"https://health.gov/sites/default/files/2019-10/PAG_ExecutiveSummary.pdf","author":[{"literal":"Deparment of Health and Human Services"}],"issued":{"date-parts":[["2021"]]}}}],"schema":"https://github.com/citation-style-language/schema/raw/master/csl-citation.json"} </w:instrText>
            </w:r>
            <w:r w:rsidRPr="00E148C4">
              <w:rPr>
                <w:sz w:val="20"/>
                <w:szCs w:val="20"/>
              </w:rPr>
              <w:fldChar w:fldCharType="separate"/>
            </w:r>
            <w:r w:rsidRPr="00E148C4">
              <w:rPr>
                <w:sz w:val="20"/>
                <w:szCs w:val="20"/>
              </w:rPr>
              <w:t>(Department of Health and Human Services, 2021)</w:t>
            </w:r>
            <w:r w:rsidRPr="00E148C4">
              <w:rPr>
                <w:sz w:val="20"/>
                <w:szCs w:val="20"/>
              </w:rPr>
              <w:fldChar w:fldCharType="end"/>
            </w:r>
            <w:r w:rsidRPr="00E148C4">
              <w:rPr>
                <w:sz w:val="20"/>
                <w:szCs w:val="20"/>
              </w:rPr>
              <w:t xml:space="preserve">. The moderate and strenuous activities assessed are in </w:t>
            </w:r>
            <w:r w:rsidRPr="00E148C4">
              <w:rPr>
                <w:b/>
                <w:bCs/>
                <w:sz w:val="20"/>
                <w:szCs w:val="20"/>
              </w:rPr>
              <w:t xml:space="preserve">Supplemental Table </w:t>
            </w:r>
            <w:r w:rsidR="00E817F4" w:rsidRPr="00E148C4">
              <w:rPr>
                <w:b/>
                <w:bCs/>
                <w:sz w:val="20"/>
                <w:szCs w:val="20"/>
              </w:rPr>
              <w:t>3</w:t>
            </w:r>
            <w:r w:rsidRPr="00E148C4">
              <w:rPr>
                <w:sz w:val="20"/>
                <w:szCs w:val="20"/>
              </w:rPr>
              <w:t>.</w:t>
            </w:r>
          </w:p>
        </w:tc>
      </w:tr>
      <w:tr w:rsidR="00DE554B" w:rsidRPr="00E148C4" w14:paraId="704B3F01" w14:textId="77777777" w:rsidTr="00DE554B">
        <w:tc>
          <w:tcPr>
            <w:tcW w:w="2728" w:type="dxa"/>
          </w:tcPr>
          <w:p w14:paraId="50574144" w14:textId="783BCC70" w:rsidR="00DE554B" w:rsidRPr="00E148C4" w:rsidRDefault="00DE554B" w:rsidP="003C543F">
            <w:pPr>
              <w:rPr>
                <w:sz w:val="20"/>
                <w:szCs w:val="20"/>
              </w:rPr>
            </w:pPr>
            <w:proofErr w:type="gramStart"/>
            <w:r w:rsidRPr="00E148C4">
              <w:rPr>
                <w:sz w:val="20"/>
                <w:szCs w:val="20"/>
              </w:rPr>
              <w:t>Early-adult</w:t>
            </w:r>
            <w:proofErr w:type="gramEnd"/>
            <w:r w:rsidRPr="00E148C4">
              <w:rPr>
                <w:sz w:val="20"/>
                <w:szCs w:val="20"/>
              </w:rPr>
              <w:t xml:space="preserve"> fast</w:t>
            </w:r>
            <w:r w:rsidR="00362126" w:rsidRPr="00E148C4">
              <w:rPr>
                <w:sz w:val="20"/>
                <w:szCs w:val="20"/>
              </w:rPr>
              <w:t>-</w:t>
            </w:r>
            <w:r w:rsidRPr="00E148C4">
              <w:rPr>
                <w:sz w:val="20"/>
                <w:szCs w:val="20"/>
              </w:rPr>
              <w:t xml:space="preserve">food consumption </w:t>
            </w:r>
            <w:r w:rsidR="00E817F4" w:rsidRPr="00E148C4">
              <w:rPr>
                <w:sz w:val="20"/>
                <w:szCs w:val="20"/>
              </w:rPr>
              <w:t>(</w:t>
            </w:r>
            <w:r w:rsidR="00BF4BAD" w:rsidRPr="00E148C4">
              <w:rPr>
                <w:sz w:val="20"/>
                <w:szCs w:val="20"/>
              </w:rPr>
              <w:t>secondary</w:t>
            </w:r>
            <w:r w:rsidR="00E817F4" w:rsidRPr="00E148C4">
              <w:rPr>
                <w:sz w:val="20"/>
                <w:szCs w:val="20"/>
              </w:rPr>
              <w:t xml:space="preserve"> mediator)</w:t>
            </w:r>
            <w:r w:rsidR="00812681" w:rsidRPr="00E148C4">
              <w:rPr>
                <w:sz w:val="20"/>
                <w:szCs w:val="20"/>
                <w:vertAlign w:val="superscript"/>
              </w:rPr>
              <w:t xml:space="preserve"> 1</w:t>
            </w:r>
            <w:r w:rsidR="00D30309" w:rsidRPr="00E148C4">
              <w:rPr>
                <w:sz w:val="20"/>
                <w:szCs w:val="20"/>
                <w:vertAlign w:val="superscript"/>
              </w:rPr>
              <w:t>, 2</w:t>
            </w:r>
          </w:p>
        </w:tc>
        <w:tc>
          <w:tcPr>
            <w:tcW w:w="11127" w:type="dxa"/>
          </w:tcPr>
          <w:p w14:paraId="3E6FA2BF" w14:textId="538A5F2F" w:rsidR="00DE554B" w:rsidRPr="00E148C4" w:rsidRDefault="00DE554B" w:rsidP="003C543F">
            <w:pPr>
              <w:rPr>
                <w:sz w:val="20"/>
                <w:szCs w:val="20"/>
              </w:rPr>
            </w:pPr>
            <w:bookmarkStart w:id="2" w:name="_Hlk159332688"/>
            <w:r w:rsidRPr="00E148C4">
              <w:rPr>
                <w:sz w:val="20"/>
                <w:szCs w:val="20"/>
              </w:rPr>
              <w:t>Frequency of fast</w:t>
            </w:r>
            <w:r w:rsidR="004D7751" w:rsidRPr="00E148C4">
              <w:rPr>
                <w:sz w:val="20"/>
                <w:szCs w:val="20"/>
              </w:rPr>
              <w:t>-</w:t>
            </w:r>
            <w:r w:rsidRPr="00E148C4">
              <w:rPr>
                <w:sz w:val="20"/>
                <w:szCs w:val="20"/>
              </w:rPr>
              <w:t xml:space="preserve">food consumption in the past 7 days was assessed at Wave IV using the question, “How many times in the past seven days did you eat food from a </w:t>
            </w:r>
            <w:r w:rsidR="00450064" w:rsidRPr="00E148C4">
              <w:rPr>
                <w:sz w:val="20"/>
                <w:szCs w:val="20"/>
              </w:rPr>
              <w:t>fast-food</w:t>
            </w:r>
            <w:r w:rsidRPr="00E148C4">
              <w:rPr>
                <w:sz w:val="20"/>
                <w:szCs w:val="20"/>
              </w:rPr>
              <w:t xml:space="preserve"> restaurant?” Those who had fast food 7+ times in the past 7 days were combined into a single category. </w:t>
            </w:r>
            <w:bookmarkEnd w:id="2"/>
          </w:p>
        </w:tc>
      </w:tr>
      <w:tr w:rsidR="00DE554B" w:rsidRPr="00E148C4" w14:paraId="06E24AF0" w14:textId="77777777" w:rsidTr="00DE554B">
        <w:tc>
          <w:tcPr>
            <w:tcW w:w="2728" w:type="dxa"/>
          </w:tcPr>
          <w:p w14:paraId="11BD0C57" w14:textId="216C856B" w:rsidR="00DE554B" w:rsidRPr="00E148C4" w:rsidRDefault="00DE554B" w:rsidP="003C543F">
            <w:pPr>
              <w:rPr>
                <w:sz w:val="20"/>
                <w:szCs w:val="20"/>
              </w:rPr>
            </w:pPr>
            <w:proofErr w:type="gramStart"/>
            <w:r w:rsidRPr="00E148C4">
              <w:rPr>
                <w:sz w:val="20"/>
                <w:szCs w:val="20"/>
              </w:rPr>
              <w:lastRenderedPageBreak/>
              <w:t>Early-adult</w:t>
            </w:r>
            <w:proofErr w:type="gramEnd"/>
            <w:r w:rsidRPr="00E148C4">
              <w:rPr>
                <w:sz w:val="20"/>
                <w:szCs w:val="20"/>
              </w:rPr>
              <w:t xml:space="preserve"> healthcare management </w:t>
            </w:r>
            <w:r w:rsidR="00E817F4" w:rsidRPr="00E148C4">
              <w:rPr>
                <w:sz w:val="20"/>
                <w:szCs w:val="20"/>
              </w:rPr>
              <w:t>(</w:t>
            </w:r>
            <w:r w:rsidR="00BF4BAD" w:rsidRPr="00E148C4">
              <w:rPr>
                <w:sz w:val="20"/>
                <w:szCs w:val="20"/>
              </w:rPr>
              <w:t>secondary</w:t>
            </w:r>
            <w:r w:rsidR="00E817F4" w:rsidRPr="00E148C4">
              <w:rPr>
                <w:sz w:val="20"/>
                <w:szCs w:val="20"/>
              </w:rPr>
              <w:t xml:space="preserve"> mediator)</w:t>
            </w:r>
            <w:r w:rsidR="00812681" w:rsidRPr="00E148C4">
              <w:rPr>
                <w:sz w:val="20"/>
                <w:szCs w:val="20"/>
                <w:vertAlign w:val="superscript"/>
              </w:rPr>
              <w:t xml:space="preserve"> 1</w:t>
            </w:r>
            <w:r w:rsidR="00D30309" w:rsidRPr="00E148C4">
              <w:rPr>
                <w:sz w:val="20"/>
                <w:szCs w:val="20"/>
                <w:vertAlign w:val="superscript"/>
              </w:rPr>
              <w:t>, 2</w:t>
            </w:r>
          </w:p>
        </w:tc>
        <w:tc>
          <w:tcPr>
            <w:tcW w:w="11127" w:type="dxa"/>
          </w:tcPr>
          <w:p w14:paraId="1C8F2C91" w14:textId="28503F07" w:rsidR="00DE554B" w:rsidRPr="00E148C4" w:rsidRDefault="00DE554B" w:rsidP="003C543F">
            <w:pPr>
              <w:rPr>
                <w:sz w:val="20"/>
                <w:szCs w:val="20"/>
              </w:rPr>
            </w:pPr>
            <w:bookmarkStart w:id="3" w:name="_Hlk159332718"/>
            <w:r w:rsidRPr="00E148C4">
              <w:rPr>
                <w:sz w:val="20"/>
                <w:szCs w:val="20"/>
              </w:rPr>
              <w:t xml:space="preserve">Healthcare management in the past year was assessed at Wave IV. Questions assessing attendance to routine medical care included “When did you last have a physical exam or routine check-up?” and “In the past 12 months have you had a dental examination by a dentist or dental hygienist?” Three categories were created: 1) those who </w:t>
            </w:r>
            <w:r w:rsidR="00034B3F" w:rsidRPr="00E148C4">
              <w:rPr>
                <w:sz w:val="20"/>
                <w:szCs w:val="20"/>
              </w:rPr>
              <w:t xml:space="preserve">did not have </w:t>
            </w:r>
            <w:r w:rsidRPr="00E148C4">
              <w:rPr>
                <w:sz w:val="20"/>
                <w:szCs w:val="20"/>
              </w:rPr>
              <w:t xml:space="preserve">a </w:t>
            </w:r>
            <w:r w:rsidR="00527228" w:rsidRPr="00E148C4">
              <w:rPr>
                <w:sz w:val="20"/>
                <w:szCs w:val="20"/>
              </w:rPr>
              <w:t xml:space="preserve">routine check-up or </w:t>
            </w:r>
            <w:r w:rsidRPr="00E148C4">
              <w:rPr>
                <w:sz w:val="20"/>
                <w:szCs w:val="20"/>
              </w:rPr>
              <w:t xml:space="preserve">dental exam in the past 12 months, 2) those with either, </w:t>
            </w:r>
            <w:proofErr w:type="gramStart"/>
            <w:r w:rsidRPr="00E148C4">
              <w:rPr>
                <w:sz w:val="20"/>
                <w:szCs w:val="20"/>
              </w:rPr>
              <w:t>and</w:t>
            </w:r>
            <w:proofErr w:type="gramEnd"/>
            <w:r w:rsidRPr="00E148C4">
              <w:rPr>
                <w:sz w:val="20"/>
                <w:szCs w:val="20"/>
              </w:rPr>
              <w:t xml:space="preserve"> 3) those with both. </w:t>
            </w:r>
            <w:bookmarkEnd w:id="3"/>
          </w:p>
        </w:tc>
      </w:tr>
      <w:tr w:rsidR="00DE554B" w:rsidRPr="00E148C4" w14:paraId="7F29B374" w14:textId="77777777" w:rsidTr="00DE554B">
        <w:tc>
          <w:tcPr>
            <w:tcW w:w="2728" w:type="dxa"/>
          </w:tcPr>
          <w:p w14:paraId="326195BB" w14:textId="77777777" w:rsidR="00DE554B" w:rsidRPr="00E148C4" w:rsidRDefault="00DE554B" w:rsidP="003C543F">
            <w:pPr>
              <w:rPr>
                <w:b/>
                <w:bCs/>
                <w:sz w:val="20"/>
                <w:szCs w:val="20"/>
              </w:rPr>
            </w:pPr>
            <w:r w:rsidRPr="00E148C4">
              <w:rPr>
                <w:b/>
                <w:bCs/>
                <w:sz w:val="20"/>
                <w:szCs w:val="20"/>
              </w:rPr>
              <w:t xml:space="preserve">Covariates </w:t>
            </w:r>
          </w:p>
        </w:tc>
        <w:tc>
          <w:tcPr>
            <w:tcW w:w="11127" w:type="dxa"/>
          </w:tcPr>
          <w:p w14:paraId="64B9F7C8" w14:textId="77777777" w:rsidR="00DE554B" w:rsidRPr="00E148C4" w:rsidRDefault="00DE554B" w:rsidP="003C543F">
            <w:pPr>
              <w:rPr>
                <w:sz w:val="20"/>
                <w:szCs w:val="20"/>
              </w:rPr>
            </w:pPr>
          </w:p>
        </w:tc>
      </w:tr>
      <w:tr w:rsidR="00DE554B" w:rsidRPr="00E148C4" w14:paraId="1FC4C8EB" w14:textId="77777777" w:rsidTr="00DE554B">
        <w:tc>
          <w:tcPr>
            <w:tcW w:w="2728" w:type="dxa"/>
          </w:tcPr>
          <w:p w14:paraId="7DD65722" w14:textId="77777777" w:rsidR="00DE554B" w:rsidRPr="00E148C4" w:rsidRDefault="00DE554B" w:rsidP="003C543F">
            <w:pPr>
              <w:rPr>
                <w:sz w:val="20"/>
                <w:szCs w:val="20"/>
              </w:rPr>
            </w:pPr>
            <w:r w:rsidRPr="00E148C4">
              <w:rPr>
                <w:sz w:val="20"/>
                <w:szCs w:val="20"/>
              </w:rPr>
              <w:t>Age</w:t>
            </w:r>
          </w:p>
        </w:tc>
        <w:tc>
          <w:tcPr>
            <w:tcW w:w="11127" w:type="dxa"/>
          </w:tcPr>
          <w:p w14:paraId="22D9A612" w14:textId="77777777" w:rsidR="00DE554B" w:rsidRPr="00E148C4" w:rsidRDefault="00DE554B" w:rsidP="003C543F">
            <w:pPr>
              <w:rPr>
                <w:sz w:val="20"/>
                <w:szCs w:val="20"/>
              </w:rPr>
            </w:pPr>
            <w:r w:rsidRPr="00E148C4">
              <w:rPr>
                <w:sz w:val="20"/>
                <w:szCs w:val="20"/>
              </w:rPr>
              <w:t xml:space="preserve">Age was assessed at Wave V. </w:t>
            </w:r>
          </w:p>
        </w:tc>
      </w:tr>
      <w:tr w:rsidR="00DE554B" w:rsidRPr="00E148C4" w14:paraId="238E1838" w14:textId="77777777" w:rsidTr="00DE554B">
        <w:tc>
          <w:tcPr>
            <w:tcW w:w="2728" w:type="dxa"/>
          </w:tcPr>
          <w:p w14:paraId="5B5CB2C4" w14:textId="77777777" w:rsidR="00DE554B" w:rsidRPr="00E148C4" w:rsidRDefault="00DE554B" w:rsidP="003C543F">
            <w:pPr>
              <w:rPr>
                <w:sz w:val="20"/>
                <w:szCs w:val="20"/>
              </w:rPr>
            </w:pPr>
            <w:r w:rsidRPr="00E148C4">
              <w:rPr>
                <w:sz w:val="20"/>
                <w:szCs w:val="20"/>
              </w:rPr>
              <w:t xml:space="preserve">Male sex </w:t>
            </w:r>
          </w:p>
        </w:tc>
        <w:tc>
          <w:tcPr>
            <w:tcW w:w="11127" w:type="dxa"/>
          </w:tcPr>
          <w:p w14:paraId="0E42E96A" w14:textId="77777777" w:rsidR="00DE554B" w:rsidRPr="00E148C4" w:rsidRDefault="00DE554B" w:rsidP="003C543F">
            <w:pPr>
              <w:rPr>
                <w:sz w:val="20"/>
                <w:szCs w:val="20"/>
              </w:rPr>
            </w:pPr>
            <w:r w:rsidRPr="00E148C4">
              <w:rPr>
                <w:sz w:val="20"/>
                <w:szCs w:val="20"/>
              </w:rPr>
              <w:t xml:space="preserve">Self-reported sex (male or female) at Wave I. </w:t>
            </w:r>
          </w:p>
        </w:tc>
      </w:tr>
      <w:tr w:rsidR="00DE554B" w:rsidRPr="00E148C4" w14:paraId="7F6EF172" w14:textId="77777777" w:rsidTr="00DE554B">
        <w:tc>
          <w:tcPr>
            <w:tcW w:w="2728" w:type="dxa"/>
          </w:tcPr>
          <w:p w14:paraId="1D43E40D" w14:textId="77777777" w:rsidR="00DE554B" w:rsidRPr="00E148C4" w:rsidRDefault="00DE554B" w:rsidP="003C543F">
            <w:pPr>
              <w:rPr>
                <w:sz w:val="20"/>
                <w:szCs w:val="20"/>
              </w:rPr>
            </w:pPr>
            <w:r w:rsidRPr="00E148C4">
              <w:rPr>
                <w:sz w:val="20"/>
                <w:szCs w:val="20"/>
              </w:rPr>
              <w:t xml:space="preserve">Race </w:t>
            </w:r>
          </w:p>
        </w:tc>
        <w:tc>
          <w:tcPr>
            <w:tcW w:w="11127" w:type="dxa"/>
          </w:tcPr>
          <w:p w14:paraId="50909A0B" w14:textId="77777777" w:rsidR="00DE554B" w:rsidRPr="00E148C4" w:rsidRDefault="00DE554B" w:rsidP="003C543F">
            <w:pPr>
              <w:rPr>
                <w:sz w:val="20"/>
                <w:szCs w:val="20"/>
              </w:rPr>
            </w:pPr>
            <w:r w:rsidRPr="00E148C4">
              <w:rPr>
                <w:sz w:val="20"/>
                <w:szCs w:val="20"/>
              </w:rPr>
              <w:t xml:space="preserve">Self-reported race was assessed at Wave I. For participants who reported more than one race, we used the race that they reported “best describes their racial background.” </w:t>
            </w:r>
          </w:p>
        </w:tc>
      </w:tr>
      <w:tr w:rsidR="00DE554B" w:rsidRPr="00E148C4" w14:paraId="5170D2C3" w14:textId="77777777" w:rsidTr="00DE554B">
        <w:tc>
          <w:tcPr>
            <w:tcW w:w="2728" w:type="dxa"/>
          </w:tcPr>
          <w:p w14:paraId="5E319CC5" w14:textId="77777777" w:rsidR="00DE554B" w:rsidRPr="00E148C4" w:rsidRDefault="00DE554B" w:rsidP="003C543F">
            <w:pPr>
              <w:rPr>
                <w:sz w:val="20"/>
                <w:szCs w:val="20"/>
              </w:rPr>
            </w:pPr>
            <w:r w:rsidRPr="00E148C4">
              <w:rPr>
                <w:sz w:val="20"/>
                <w:szCs w:val="20"/>
              </w:rPr>
              <w:t xml:space="preserve">    White </w:t>
            </w:r>
          </w:p>
        </w:tc>
        <w:tc>
          <w:tcPr>
            <w:tcW w:w="11127" w:type="dxa"/>
          </w:tcPr>
          <w:p w14:paraId="3058233C" w14:textId="77777777" w:rsidR="00DE554B" w:rsidRPr="00E148C4" w:rsidRDefault="00DE554B" w:rsidP="003C543F">
            <w:pPr>
              <w:rPr>
                <w:sz w:val="20"/>
                <w:szCs w:val="20"/>
              </w:rPr>
            </w:pPr>
            <w:r w:rsidRPr="00E148C4">
              <w:rPr>
                <w:sz w:val="20"/>
                <w:szCs w:val="20"/>
              </w:rPr>
              <w:t xml:space="preserve">Self-reported White race. </w:t>
            </w:r>
          </w:p>
        </w:tc>
      </w:tr>
      <w:tr w:rsidR="00DE554B" w:rsidRPr="00E148C4" w14:paraId="1E823664" w14:textId="77777777" w:rsidTr="00DE554B">
        <w:tc>
          <w:tcPr>
            <w:tcW w:w="2728" w:type="dxa"/>
          </w:tcPr>
          <w:p w14:paraId="7052551C" w14:textId="77777777" w:rsidR="00DE554B" w:rsidRPr="00E148C4" w:rsidRDefault="00DE554B" w:rsidP="003C543F">
            <w:pPr>
              <w:rPr>
                <w:sz w:val="20"/>
                <w:szCs w:val="20"/>
              </w:rPr>
            </w:pPr>
            <w:r w:rsidRPr="00E148C4">
              <w:rPr>
                <w:sz w:val="20"/>
                <w:szCs w:val="20"/>
              </w:rPr>
              <w:t xml:space="preserve">    Black or </w:t>
            </w:r>
            <w:proofErr w:type="gramStart"/>
            <w:r w:rsidRPr="00E148C4">
              <w:rPr>
                <w:sz w:val="20"/>
                <w:szCs w:val="20"/>
              </w:rPr>
              <w:t>African-American</w:t>
            </w:r>
            <w:proofErr w:type="gramEnd"/>
          </w:p>
        </w:tc>
        <w:tc>
          <w:tcPr>
            <w:tcW w:w="11127" w:type="dxa"/>
          </w:tcPr>
          <w:p w14:paraId="2197FDF2" w14:textId="77777777" w:rsidR="00DE554B" w:rsidRPr="00E148C4" w:rsidRDefault="00DE554B" w:rsidP="003C543F">
            <w:pPr>
              <w:rPr>
                <w:sz w:val="20"/>
                <w:szCs w:val="20"/>
              </w:rPr>
            </w:pPr>
            <w:r w:rsidRPr="00E148C4">
              <w:rPr>
                <w:sz w:val="20"/>
                <w:szCs w:val="20"/>
              </w:rPr>
              <w:t xml:space="preserve">Self-reported Black or </w:t>
            </w:r>
            <w:proofErr w:type="gramStart"/>
            <w:r w:rsidRPr="00E148C4">
              <w:rPr>
                <w:sz w:val="20"/>
                <w:szCs w:val="20"/>
              </w:rPr>
              <w:t>African-American</w:t>
            </w:r>
            <w:proofErr w:type="gramEnd"/>
            <w:r w:rsidRPr="00E148C4">
              <w:rPr>
                <w:sz w:val="20"/>
                <w:szCs w:val="20"/>
              </w:rPr>
              <w:t xml:space="preserve"> race. </w:t>
            </w:r>
          </w:p>
        </w:tc>
      </w:tr>
      <w:tr w:rsidR="00DE554B" w:rsidRPr="00E148C4" w14:paraId="5B82836D" w14:textId="77777777" w:rsidTr="00DE554B">
        <w:tc>
          <w:tcPr>
            <w:tcW w:w="2728" w:type="dxa"/>
          </w:tcPr>
          <w:p w14:paraId="046D6C61" w14:textId="77777777" w:rsidR="00DE554B" w:rsidRPr="00E148C4" w:rsidRDefault="00DE554B" w:rsidP="003C543F">
            <w:pPr>
              <w:rPr>
                <w:sz w:val="20"/>
                <w:szCs w:val="20"/>
              </w:rPr>
            </w:pPr>
            <w:r w:rsidRPr="00E148C4">
              <w:rPr>
                <w:sz w:val="20"/>
                <w:szCs w:val="20"/>
              </w:rPr>
              <w:t xml:space="preserve">    American Indian or Alaska Native </w:t>
            </w:r>
          </w:p>
        </w:tc>
        <w:tc>
          <w:tcPr>
            <w:tcW w:w="11127" w:type="dxa"/>
          </w:tcPr>
          <w:p w14:paraId="74E374BD" w14:textId="77777777" w:rsidR="00DE554B" w:rsidRPr="00E148C4" w:rsidRDefault="00DE554B" w:rsidP="003C543F">
            <w:pPr>
              <w:rPr>
                <w:sz w:val="20"/>
                <w:szCs w:val="20"/>
              </w:rPr>
            </w:pPr>
            <w:r w:rsidRPr="00E148C4">
              <w:rPr>
                <w:sz w:val="20"/>
                <w:szCs w:val="20"/>
              </w:rPr>
              <w:t xml:space="preserve">Self-reported American Indian or Alaska Native race. </w:t>
            </w:r>
          </w:p>
        </w:tc>
      </w:tr>
      <w:tr w:rsidR="00DE554B" w:rsidRPr="00E148C4" w14:paraId="7E86914C" w14:textId="77777777" w:rsidTr="00DE554B">
        <w:tc>
          <w:tcPr>
            <w:tcW w:w="2728" w:type="dxa"/>
          </w:tcPr>
          <w:p w14:paraId="38F8D44D" w14:textId="77777777" w:rsidR="00DE554B" w:rsidRPr="00E148C4" w:rsidRDefault="00DE554B" w:rsidP="003C543F">
            <w:pPr>
              <w:rPr>
                <w:sz w:val="20"/>
                <w:szCs w:val="20"/>
              </w:rPr>
            </w:pPr>
            <w:r w:rsidRPr="00E148C4">
              <w:rPr>
                <w:sz w:val="20"/>
                <w:szCs w:val="20"/>
              </w:rPr>
              <w:t xml:space="preserve">    Asian or Pacific Islander </w:t>
            </w:r>
          </w:p>
        </w:tc>
        <w:tc>
          <w:tcPr>
            <w:tcW w:w="11127" w:type="dxa"/>
          </w:tcPr>
          <w:p w14:paraId="3CF5506F" w14:textId="77777777" w:rsidR="00DE554B" w:rsidRPr="00E148C4" w:rsidRDefault="00DE554B" w:rsidP="003C543F">
            <w:pPr>
              <w:rPr>
                <w:sz w:val="20"/>
                <w:szCs w:val="20"/>
              </w:rPr>
            </w:pPr>
            <w:r w:rsidRPr="00E148C4">
              <w:rPr>
                <w:sz w:val="20"/>
                <w:szCs w:val="20"/>
              </w:rPr>
              <w:t xml:space="preserve">Self-reported Asian or Pacific Islander race. </w:t>
            </w:r>
          </w:p>
        </w:tc>
      </w:tr>
      <w:tr w:rsidR="00DE554B" w:rsidRPr="00E148C4" w14:paraId="31E8FB85" w14:textId="77777777" w:rsidTr="00DE554B">
        <w:tc>
          <w:tcPr>
            <w:tcW w:w="2728" w:type="dxa"/>
          </w:tcPr>
          <w:p w14:paraId="0B810367" w14:textId="77777777" w:rsidR="00DE554B" w:rsidRPr="00E148C4" w:rsidRDefault="00DE554B" w:rsidP="003C543F">
            <w:pPr>
              <w:rPr>
                <w:sz w:val="20"/>
                <w:szCs w:val="20"/>
              </w:rPr>
            </w:pPr>
            <w:r w:rsidRPr="00E148C4">
              <w:rPr>
                <w:sz w:val="20"/>
                <w:szCs w:val="20"/>
              </w:rPr>
              <w:t xml:space="preserve">    Other </w:t>
            </w:r>
          </w:p>
        </w:tc>
        <w:tc>
          <w:tcPr>
            <w:tcW w:w="11127" w:type="dxa"/>
          </w:tcPr>
          <w:p w14:paraId="6F6C4462" w14:textId="77777777" w:rsidR="00DE554B" w:rsidRPr="00E148C4" w:rsidRDefault="00DE554B" w:rsidP="003C543F">
            <w:pPr>
              <w:rPr>
                <w:sz w:val="20"/>
                <w:szCs w:val="20"/>
              </w:rPr>
            </w:pPr>
            <w:r w:rsidRPr="00E148C4">
              <w:rPr>
                <w:sz w:val="20"/>
                <w:szCs w:val="20"/>
              </w:rPr>
              <w:t xml:space="preserve">Self-reported race other than those listed above. </w:t>
            </w:r>
          </w:p>
        </w:tc>
      </w:tr>
      <w:tr w:rsidR="00DE554B" w:rsidRPr="00E148C4" w14:paraId="690283F8" w14:textId="77777777" w:rsidTr="00DE554B">
        <w:tc>
          <w:tcPr>
            <w:tcW w:w="2728" w:type="dxa"/>
          </w:tcPr>
          <w:p w14:paraId="5205E133" w14:textId="77777777" w:rsidR="00DE554B" w:rsidRPr="00E148C4" w:rsidRDefault="00DE554B" w:rsidP="003C543F">
            <w:pPr>
              <w:rPr>
                <w:sz w:val="20"/>
                <w:szCs w:val="20"/>
              </w:rPr>
            </w:pPr>
            <w:r w:rsidRPr="00E148C4">
              <w:rPr>
                <w:sz w:val="20"/>
                <w:szCs w:val="20"/>
              </w:rPr>
              <w:t xml:space="preserve">Hispanic ethnicity </w:t>
            </w:r>
          </w:p>
        </w:tc>
        <w:tc>
          <w:tcPr>
            <w:tcW w:w="11127" w:type="dxa"/>
          </w:tcPr>
          <w:p w14:paraId="469D5118" w14:textId="77777777" w:rsidR="00DE554B" w:rsidRPr="00E148C4" w:rsidRDefault="00DE554B" w:rsidP="003C543F">
            <w:pPr>
              <w:rPr>
                <w:sz w:val="20"/>
                <w:szCs w:val="20"/>
              </w:rPr>
            </w:pPr>
            <w:r w:rsidRPr="00E148C4">
              <w:rPr>
                <w:sz w:val="20"/>
                <w:szCs w:val="20"/>
              </w:rPr>
              <w:t xml:space="preserve">Self-reported ethnicity (Hispanic or non-Hispanic) was assessed at Wave I. </w:t>
            </w:r>
          </w:p>
        </w:tc>
      </w:tr>
      <w:tr w:rsidR="00DE554B" w:rsidRPr="00E148C4" w14:paraId="7EC1E137" w14:textId="77777777" w:rsidTr="00DE554B">
        <w:tc>
          <w:tcPr>
            <w:tcW w:w="2728" w:type="dxa"/>
          </w:tcPr>
          <w:p w14:paraId="208DAF3E" w14:textId="77777777" w:rsidR="00DE554B" w:rsidRPr="00E148C4" w:rsidRDefault="00DE554B" w:rsidP="003C543F">
            <w:pPr>
              <w:rPr>
                <w:sz w:val="20"/>
                <w:szCs w:val="20"/>
              </w:rPr>
            </w:pPr>
            <w:r w:rsidRPr="00E148C4">
              <w:rPr>
                <w:sz w:val="20"/>
                <w:szCs w:val="20"/>
              </w:rPr>
              <w:t xml:space="preserve">Socioeconomic status </w:t>
            </w:r>
          </w:p>
        </w:tc>
        <w:tc>
          <w:tcPr>
            <w:tcW w:w="11127" w:type="dxa"/>
          </w:tcPr>
          <w:p w14:paraId="76889172" w14:textId="77777777" w:rsidR="00DE554B" w:rsidRPr="00E148C4" w:rsidRDefault="00DE554B" w:rsidP="003C543F">
            <w:pPr>
              <w:rPr>
                <w:sz w:val="20"/>
                <w:szCs w:val="20"/>
              </w:rPr>
            </w:pPr>
            <w:r w:rsidRPr="00E148C4">
              <w:rPr>
                <w:sz w:val="20"/>
                <w:szCs w:val="20"/>
              </w:rPr>
              <w:t xml:space="preserve">Participants’ socioeconomic status was assessed via a social origins score derived from a principal component analysis including parental education, parental occupation, household income, and household receipt of public assistance at Wave I of assessment </w:t>
            </w:r>
            <w:r w:rsidRPr="00E148C4">
              <w:rPr>
                <w:sz w:val="20"/>
                <w:szCs w:val="20"/>
              </w:rPr>
              <w:fldChar w:fldCharType="begin"/>
            </w:r>
            <w:r w:rsidRPr="00E148C4">
              <w:rPr>
                <w:sz w:val="20"/>
                <w:szCs w:val="20"/>
              </w:rPr>
              <w:instrText xml:space="preserve"> ADDIN ZOTERO_ITEM CSL_CITATION {"citationID":"Ie15rs1U","properties":{"formattedCitation":"(Belsky et al., 2018)","plainCitation":"(Belsky et al., 2018)","noteIndex":0},"citationItems":[{"id":269,"uris":["http://zotero.org/users/10644289/items/XDU8JKLY"],"itemData":{"id":269,"type":"article-journal","abstract":"Significance\n            Genome-wide association study (GWAS) discoveries about educational attainment have raised questions about the meaning of the genetics of success. These discoveries could offer clues about biological mechanisms or, because children inherit genetics and social class from parents, education-linked genetics could be spurious correlates of socially transmitted advantages. To distinguish between these hypotheses, we studied social mobility in five cohorts from three countries. We found that people with more education-linked genetics were more successful compared with parents and siblings. We also found mothers’ education-linked genetics predicted their children’s attainment over and above the children’s own genetics, indicating an environmentally mediated genetic effect. Findings reject pure social-transmission explanations of education GWAS discoveries. Instead, genetics influences attainment directly through social mobility and indirectly through family environments.\n          , \n            A summary genetic measure, called a “polygenic score,” derived from a genome-wide association study (GWAS) of education can modestly predict a person’s educational and economic success. This prediction could signal a biological mechanism: Education-linked genetics could encode characteristics that help people get ahead in life. Alternatively, prediction could reflect social history: People from well-off families might stay well-off for social reasons, and these families might also look alike genetically. A key test to distinguish biological mechanism from social history is if people with higher education polygenic scores tend to climb the social ladder beyond their parents’ position. Upward mobility would indicate education-linked genetics encodes characteristics that foster success. We tested if education-linked polygenic scores predicted social mobility in &gt;20,000 individuals in five longitudinal studies in the United States, Britain, and New Zealand. Participants with higher polygenic scores achieved more education and career success and accumulated more wealth. However, they also tended to come from better-off families. In the key test, participants with higher polygenic scores tended to be upwardly mobile compared with their parents. Moreover, in sibling-difference analysis, the sibling with the higher polygenic score was more upwardly mobile. Thus, education GWAS discoveries are not mere correlates of privilege; they influence social mobility within a life. Additional analyses revealed that a mother’s polygenic score predicted her child’s attainment over and above the child’s own polygenic score, suggesting parents’ genetics can also affect their children’s attainment through environmental pathways. Education GWAS discoveries affect socioeconomic attainment through influence on individuals’ family-of-origin environments and their social mobility.","container-title":"Proceedings of the National Academy of Sciences","DOI":"10.1073/pnas.1801238115","ISSN":"0027-8424, 1091-6490","issue":"31","journalAbbreviation":"Proc. Natl. Acad. Sci. U.S.A.","language":"en","source":"DOI.org (Crossref)","title":"Genetic analysis of social-class mobility in five longitudinal studies","URL":"https://pnas.org/doi/full/10.1073/pnas.1801238115","volume":"115","author":[{"family":"Belsky","given":"Daniel W."},{"family":"Domingue","given":"Benjamin W."},{"family":"Wedow","given":"Robbee"},{"family":"Arseneault","given":"Louise"},{"family":"Boardman","given":"Jason D."},{"family":"Caspi","given":"Avshalom"},{"family":"Conley","given":"Dalton"},{"family":"Fletcher","given":"Jason M."},{"family":"Freese","given":"Jeremy"},{"family":"Herd","given":"Pamela"},{"family":"Moffitt","given":"Terrie E."},{"family":"Poulton","given":"Richie"},{"family":"Sicinski","given":"Kamil"},{"family":"Wertz","given":"Jasmin"},{"family":"Harris","given":"Kathleen Mullan"}],"accessed":{"date-parts":[["2023",5,11]]},"issued":{"date-parts":[["2018",7,31]]}}}],"schema":"https://github.com/citation-style-language/schema/raw/master/csl-citation.json"} </w:instrText>
            </w:r>
            <w:r w:rsidRPr="00E148C4">
              <w:rPr>
                <w:sz w:val="20"/>
                <w:szCs w:val="20"/>
              </w:rPr>
              <w:fldChar w:fldCharType="separate"/>
            </w:r>
            <w:r w:rsidRPr="00E148C4">
              <w:rPr>
                <w:sz w:val="20"/>
              </w:rPr>
              <w:t>(Belsky et al., 2018)</w:t>
            </w:r>
            <w:r w:rsidRPr="00E148C4">
              <w:rPr>
                <w:sz w:val="20"/>
                <w:szCs w:val="20"/>
              </w:rPr>
              <w:fldChar w:fldCharType="end"/>
            </w:r>
            <w:r w:rsidRPr="00E148C4">
              <w:rPr>
                <w:sz w:val="20"/>
                <w:szCs w:val="20"/>
              </w:rPr>
              <w:t xml:space="preserve">. Overall Add Health Mean = 0, SD = 1. </w:t>
            </w:r>
          </w:p>
        </w:tc>
      </w:tr>
      <w:tr w:rsidR="00DE554B" w:rsidRPr="00E148C4" w14:paraId="5E0B4C23" w14:textId="77777777" w:rsidTr="00DE554B">
        <w:tc>
          <w:tcPr>
            <w:tcW w:w="2728" w:type="dxa"/>
          </w:tcPr>
          <w:p w14:paraId="6EE9F1E4" w14:textId="77777777" w:rsidR="00DE554B" w:rsidRPr="00E148C4" w:rsidRDefault="00DE554B" w:rsidP="003C543F">
            <w:pPr>
              <w:rPr>
                <w:sz w:val="20"/>
                <w:szCs w:val="20"/>
              </w:rPr>
            </w:pPr>
            <w:r w:rsidRPr="00E148C4">
              <w:rPr>
                <w:sz w:val="20"/>
                <w:szCs w:val="20"/>
              </w:rPr>
              <w:t xml:space="preserve">Cognitive ability </w:t>
            </w:r>
          </w:p>
        </w:tc>
        <w:tc>
          <w:tcPr>
            <w:tcW w:w="11127" w:type="dxa"/>
          </w:tcPr>
          <w:p w14:paraId="1FF19BDC" w14:textId="77777777" w:rsidR="00DE554B" w:rsidRPr="00E148C4" w:rsidRDefault="00DE554B" w:rsidP="003C543F">
            <w:pPr>
              <w:rPr>
                <w:sz w:val="20"/>
                <w:szCs w:val="20"/>
              </w:rPr>
            </w:pPr>
            <w:r w:rsidRPr="00E148C4">
              <w:rPr>
                <w:sz w:val="20"/>
                <w:szCs w:val="20"/>
              </w:rPr>
              <w:t xml:space="preserve">Cognitive ability was assessed at Wave I via a modified version of the Peabody Picture Vocabulary Test, which tests receptive vocabulary </w:t>
            </w:r>
            <w:r w:rsidRPr="00E148C4">
              <w:rPr>
                <w:sz w:val="20"/>
                <w:szCs w:val="20"/>
              </w:rPr>
              <w:fldChar w:fldCharType="begin"/>
            </w:r>
            <w:r w:rsidRPr="00E148C4">
              <w:rPr>
                <w:sz w:val="20"/>
                <w:szCs w:val="20"/>
              </w:rPr>
              <w:instrText xml:space="preserve"> ADDIN ZOTERO_ITEM CSL_CITATION {"citationID":"sX5nTgBZ","properties":{"formattedCitation":"(L. M. Dunn, 1997)","plainCitation":"(L. M. Dunn, 1997)","dontUpdate":true,"noteIndex":0},"citationItems":[{"id":270,"uris":["http://zotero.org/users/10644289/items/T85ZE36S"],"itemData":{"id":270,"type":"book","event-place":"Circle Pines, MN","publisher":"American Guidance Service","publisher-place":"Circle Pines, MN","title":"PPVT-III: Peabody Picture Vocabulary Test","author":[{"literal":"L. M. Dunn"}],"issued":{"date-parts":[["1997"]]}}}],"schema":"https://github.com/citation-style-language/schema/raw/master/csl-citation.json"} </w:instrText>
            </w:r>
            <w:r w:rsidRPr="00E148C4">
              <w:rPr>
                <w:sz w:val="20"/>
                <w:szCs w:val="20"/>
              </w:rPr>
              <w:fldChar w:fldCharType="separate"/>
            </w:r>
            <w:r w:rsidRPr="00E148C4">
              <w:rPr>
                <w:sz w:val="20"/>
                <w:szCs w:val="20"/>
              </w:rPr>
              <w:t>(Dunn, 1997)</w:t>
            </w:r>
            <w:r w:rsidRPr="00E148C4">
              <w:rPr>
                <w:sz w:val="20"/>
                <w:szCs w:val="20"/>
              </w:rPr>
              <w:fldChar w:fldCharType="end"/>
            </w:r>
            <w:r w:rsidRPr="00E148C4">
              <w:rPr>
                <w:sz w:val="20"/>
                <w:szCs w:val="20"/>
              </w:rPr>
              <w:t>. Overall Add Health Mean = 100, SD = 15.</w:t>
            </w:r>
          </w:p>
        </w:tc>
      </w:tr>
    </w:tbl>
    <w:p w14:paraId="7C7733CC" w14:textId="510E112A" w:rsidR="00D30309" w:rsidRPr="00E148C4" w:rsidRDefault="00812681" w:rsidP="00DE554B">
      <w:pPr>
        <w:rPr>
          <w:sz w:val="20"/>
          <w:szCs w:val="20"/>
        </w:rPr>
      </w:pPr>
      <w:r w:rsidRPr="00E148C4">
        <w:rPr>
          <w:sz w:val="20"/>
          <w:szCs w:val="20"/>
          <w:vertAlign w:val="superscript"/>
        </w:rPr>
        <w:t>1</w:t>
      </w:r>
      <w:r w:rsidRPr="00E148C4">
        <w:rPr>
          <w:sz w:val="20"/>
          <w:szCs w:val="20"/>
        </w:rPr>
        <w:t xml:space="preserve"> Wave IV was used to assess </w:t>
      </w:r>
      <w:proofErr w:type="gramStart"/>
      <w:r w:rsidRPr="00E148C4">
        <w:rPr>
          <w:sz w:val="20"/>
          <w:szCs w:val="20"/>
        </w:rPr>
        <w:t>early-adult</w:t>
      </w:r>
      <w:proofErr w:type="gramEnd"/>
      <w:r w:rsidRPr="00E148C4">
        <w:rPr>
          <w:sz w:val="20"/>
          <w:szCs w:val="20"/>
        </w:rPr>
        <w:t xml:space="preserve"> health behaviors for several reasons. First, we wanted to preserve temporal sequencing to ensure that the mediators did not overlap with our </w:t>
      </w:r>
      <w:r w:rsidR="00A06904" w:rsidRPr="00E148C4">
        <w:rPr>
          <w:sz w:val="20"/>
          <w:szCs w:val="20"/>
        </w:rPr>
        <w:t xml:space="preserve">Wave-V </w:t>
      </w:r>
      <w:r w:rsidRPr="00E148C4">
        <w:rPr>
          <w:sz w:val="20"/>
          <w:szCs w:val="20"/>
        </w:rPr>
        <w:t>outcomes. Second, we chose to assess mediators at Wave IV (ages 24-32</w:t>
      </w:r>
      <w:r w:rsidR="003C47BB" w:rsidRPr="00E148C4">
        <w:rPr>
          <w:sz w:val="20"/>
          <w:szCs w:val="20"/>
        </w:rPr>
        <w:t xml:space="preserve"> years</w:t>
      </w:r>
      <w:r w:rsidRPr="00E148C4">
        <w:rPr>
          <w:sz w:val="20"/>
          <w:szCs w:val="20"/>
        </w:rPr>
        <w:t>) over Wave III (18-26</w:t>
      </w:r>
      <w:r w:rsidR="003C47BB" w:rsidRPr="00E148C4">
        <w:rPr>
          <w:sz w:val="20"/>
          <w:szCs w:val="20"/>
        </w:rPr>
        <w:t xml:space="preserve"> years</w:t>
      </w:r>
      <w:r w:rsidRPr="00E148C4">
        <w:rPr>
          <w:sz w:val="20"/>
          <w:szCs w:val="20"/>
        </w:rPr>
        <w:t>) because Wave IV more consistently assessed participants during post-collegiate young adulthood</w:t>
      </w:r>
      <w:r w:rsidR="00750ADA" w:rsidRPr="00E148C4">
        <w:rPr>
          <w:sz w:val="20"/>
          <w:szCs w:val="20"/>
        </w:rPr>
        <w:t>,</w:t>
      </w:r>
      <w:r w:rsidRPr="00E148C4">
        <w:rPr>
          <w:sz w:val="20"/>
          <w:szCs w:val="20"/>
        </w:rPr>
        <w:t xml:space="preserve"> a phase during which health behaviors may be more well</w:t>
      </w:r>
      <w:r w:rsidR="00750ADA" w:rsidRPr="00E148C4">
        <w:rPr>
          <w:sz w:val="20"/>
          <w:szCs w:val="20"/>
        </w:rPr>
        <w:t>-</w:t>
      </w:r>
      <w:r w:rsidRPr="00E148C4">
        <w:rPr>
          <w:sz w:val="20"/>
          <w:szCs w:val="20"/>
        </w:rPr>
        <w:t>established and consistent.</w:t>
      </w:r>
    </w:p>
    <w:p w14:paraId="4BFE461F" w14:textId="5F0CBCFC" w:rsidR="00D30309" w:rsidRPr="00E148C4" w:rsidRDefault="00D30309" w:rsidP="00DE554B">
      <w:pPr>
        <w:rPr>
          <w:sz w:val="20"/>
          <w:szCs w:val="20"/>
        </w:rPr>
      </w:pPr>
      <w:r w:rsidRPr="00E148C4">
        <w:rPr>
          <w:sz w:val="20"/>
          <w:szCs w:val="20"/>
          <w:vertAlign w:val="superscript"/>
        </w:rPr>
        <w:t>2</w:t>
      </w:r>
      <w:r w:rsidRPr="00E148C4">
        <w:rPr>
          <w:sz w:val="20"/>
          <w:szCs w:val="20"/>
        </w:rPr>
        <w:t xml:space="preserve"> Fast-food consumption and healthcare management were added during the peer-review process. </w:t>
      </w:r>
    </w:p>
    <w:p w14:paraId="712EE2B0" w14:textId="50FF3E2F" w:rsidR="00DE554B" w:rsidRPr="00E148C4" w:rsidRDefault="00DE554B" w:rsidP="00DE554B">
      <w:pPr>
        <w:rPr>
          <w:sz w:val="20"/>
          <w:szCs w:val="20"/>
        </w:rPr>
        <w:sectPr w:rsidR="00DE554B" w:rsidRPr="00E148C4" w:rsidSect="00621CD6">
          <w:footerReference w:type="default" r:id="rId7"/>
          <w:pgSz w:w="15840" w:h="12240" w:orient="landscape"/>
          <w:pgMar w:top="1440" w:right="1440" w:bottom="1440" w:left="1440" w:header="720" w:footer="720" w:gutter="0"/>
          <w:cols w:space="720"/>
          <w:docGrid w:linePitch="360"/>
        </w:sectPr>
      </w:pPr>
    </w:p>
    <w:bookmarkEnd w:id="0"/>
    <w:p w14:paraId="7487F403" w14:textId="0A3E86A6" w:rsidR="00BC3375" w:rsidRPr="00E148C4" w:rsidRDefault="00BC3375" w:rsidP="00BC3375">
      <w:pPr>
        <w:rPr>
          <w:b/>
          <w:bCs/>
        </w:rPr>
      </w:pPr>
      <w:r w:rsidRPr="00E148C4">
        <w:rPr>
          <w:b/>
          <w:bCs/>
        </w:rPr>
        <w:lastRenderedPageBreak/>
        <w:t xml:space="preserve">Supplemental Table </w:t>
      </w:r>
      <w:r w:rsidR="00DE554B" w:rsidRPr="00E148C4">
        <w:rPr>
          <w:b/>
          <w:bCs/>
        </w:rPr>
        <w:t>2</w:t>
      </w:r>
      <w:r w:rsidRPr="00E148C4">
        <w:rPr>
          <w:b/>
          <w:bCs/>
        </w:rPr>
        <w:t>. 11-</w:t>
      </w:r>
      <w:r w:rsidR="00412FC2" w:rsidRPr="00E148C4">
        <w:rPr>
          <w:b/>
          <w:bCs/>
        </w:rPr>
        <w:t xml:space="preserve">item delinquency scale for conduct disorder  </w:t>
      </w:r>
    </w:p>
    <w:tbl>
      <w:tblPr>
        <w:tblStyle w:val="TableGrid"/>
        <w:tblW w:w="0" w:type="auto"/>
        <w:tblLook w:val="04A0" w:firstRow="1" w:lastRow="0" w:firstColumn="1" w:lastColumn="0" w:noHBand="0" w:noVBand="1"/>
      </w:tblPr>
      <w:tblGrid>
        <w:gridCol w:w="2129"/>
        <w:gridCol w:w="3626"/>
        <w:gridCol w:w="1429"/>
        <w:gridCol w:w="2166"/>
      </w:tblGrid>
      <w:tr w:rsidR="00BC3375" w:rsidRPr="00E148C4" w14:paraId="406FE54C" w14:textId="77777777" w:rsidTr="00E07B3D">
        <w:tc>
          <w:tcPr>
            <w:tcW w:w="2129" w:type="dxa"/>
          </w:tcPr>
          <w:p w14:paraId="1EA913B3" w14:textId="77777777" w:rsidR="00BC3375" w:rsidRPr="00E148C4" w:rsidRDefault="00BC3375" w:rsidP="00E07B3D">
            <w:pPr>
              <w:rPr>
                <w:b/>
                <w:bCs/>
                <w:sz w:val="20"/>
                <w:szCs w:val="20"/>
              </w:rPr>
            </w:pPr>
            <w:r w:rsidRPr="00E148C4">
              <w:rPr>
                <w:b/>
                <w:bCs/>
                <w:sz w:val="20"/>
                <w:szCs w:val="20"/>
              </w:rPr>
              <w:t xml:space="preserve">Indicator </w:t>
            </w:r>
          </w:p>
        </w:tc>
        <w:tc>
          <w:tcPr>
            <w:tcW w:w="3626" w:type="dxa"/>
          </w:tcPr>
          <w:p w14:paraId="57657033" w14:textId="77777777" w:rsidR="00BC3375" w:rsidRPr="00E148C4" w:rsidRDefault="00BC3375" w:rsidP="00E07B3D">
            <w:pPr>
              <w:rPr>
                <w:b/>
                <w:bCs/>
                <w:sz w:val="20"/>
                <w:szCs w:val="20"/>
              </w:rPr>
            </w:pPr>
            <w:r w:rsidRPr="00E148C4">
              <w:rPr>
                <w:b/>
                <w:bCs/>
                <w:sz w:val="20"/>
                <w:szCs w:val="20"/>
              </w:rPr>
              <w:t>Question(s)</w:t>
            </w:r>
          </w:p>
          <w:p w14:paraId="698E3AE1" w14:textId="207B03F1" w:rsidR="00BC3375" w:rsidRPr="00E148C4" w:rsidRDefault="00BC3375" w:rsidP="00E07B3D">
            <w:pPr>
              <w:rPr>
                <w:b/>
                <w:bCs/>
                <w:sz w:val="20"/>
                <w:szCs w:val="20"/>
              </w:rPr>
            </w:pPr>
            <w:r w:rsidRPr="00E148C4">
              <w:rPr>
                <w:b/>
                <w:bCs/>
                <w:sz w:val="20"/>
                <w:szCs w:val="20"/>
              </w:rPr>
              <w:t>(all start with “</w:t>
            </w:r>
            <w:r w:rsidR="00293DB8" w:rsidRPr="00E148C4">
              <w:rPr>
                <w:b/>
                <w:bCs/>
                <w:sz w:val="20"/>
                <w:szCs w:val="20"/>
              </w:rPr>
              <w:t>I</w:t>
            </w:r>
            <w:r w:rsidRPr="00E148C4">
              <w:rPr>
                <w:b/>
                <w:bCs/>
                <w:sz w:val="20"/>
                <w:szCs w:val="20"/>
              </w:rPr>
              <w:t>n the past 12 months”)</w:t>
            </w:r>
          </w:p>
        </w:tc>
        <w:tc>
          <w:tcPr>
            <w:tcW w:w="1429" w:type="dxa"/>
          </w:tcPr>
          <w:p w14:paraId="1075A83A" w14:textId="75D8A235" w:rsidR="00BC3375" w:rsidRPr="00E148C4" w:rsidRDefault="00BC3375" w:rsidP="00E07B3D">
            <w:pPr>
              <w:rPr>
                <w:b/>
                <w:bCs/>
                <w:sz w:val="20"/>
                <w:szCs w:val="20"/>
              </w:rPr>
            </w:pPr>
            <w:r w:rsidRPr="00E148C4">
              <w:rPr>
                <w:b/>
                <w:bCs/>
                <w:sz w:val="20"/>
                <w:szCs w:val="20"/>
              </w:rPr>
              <w:t xml:space="preserve">Threshold(s) for </w:t>
            </w:r>
            <w:r w:rsidR="00E0695E" w:rsidRPr="00E148C4">
              <w:rPr>
                <w:b/>
                <w:bCs/>
                <w:sz w:val="20"/>
                <w:szCs w:val="20"/>
              </w:rPr>
              <w:t>indicator</w:t>
            </w:r>
          </w:p>
        </w:tc>
        <w:tc>
          <w:tcPr>
            <w:tcW w:w="2166" w:type="dxa"/>
          </w:tcPr>
          <w:p w14:paraId="0CC36E6C" w14:textId="171E9B1B" w:rsidR="00BC3375" w:rsidRPr="00E148C4" w:rsidRDefault="00BC3375" w:rsidP="00E07B3D">
            <w:pPr>
              <w:rPr>
                <w:b/>
                <w:bCs/>
                <w:sz w:val="20"/>
                <w:szCs w:val="20"/>
              </w:rPr>
            </w:pPr>
            <w:r w:rsidRPr="00E148C4">
              <w:rPr>
                <w:b/>
                <w:bCs/>
                <w:sz w:val="20"/>
                <w:szCs w:val="20"/>
              </w:rPr>
              <w:t xml:space="preserve">Other </w:t>
            </w:r>
            <w:r w:rsidR="00E0695E" w:rsidRPr="00E148C4">
              <w:rPr>
                <w:b/>
                <w:bCs/>
                <w:sz w:val="20"/>
                <w:szCs w:val="20"/>
              </w:rPr>
              <w:t>specifications</w:t>
            </w:r>
          </w:p>
        </w:tc>
      </w:tr>
      <w:tr w:rsidR="00BC3375" w:rsidRPr="00E148C4" w14:paraId="2CDD25C8" w14:textId="77777777" w:rsidTr="00E07B3D">
        <w:tc>
          <w:tcPr>
            <w:tcW w:w="2129" w:type="dxa"/>
          </w:tcPr>
          <w:p w14:paraId="1FBC7A11" w14:textId="77777777" w:rsidR="00BC3375" w:rsidRPr="00E148C4" w:rsidRDefault="00BC3375" w:rsidP="00E07B3D">
            <w:pPr>
              <w:rPr>
                <w:sz w:val="20"/>
                <w:szCs w:val="20"/>
              </w:rPr>
            </w:pPr>
            <w:r w:rsidRPr="00E148C4">
              <w:rPr>
                <w:sz w:val="20"/>
                <w:szCs w:val="20"/>
              </w:rPr>
              <w:t>Deliberate destruction of property</w:t>
            </w:r>
          </w:p>
        </w:tc>
        <w:tc>
          <w:tcPr>
            <w:tcW w:w="3626" w:type="dxa"/>
          </w:tcPr>
          <w:p w14:paraId="1CA38F68" w14:textId="77777777" w:rsidR="00BC3375" w:rsidRPr="00E148C4" w:rsidRDefault="00BC3375" w:rsidP="00E07B3D">
            <w:pPr>
              <w:rPr>
                <w:sz w:val="20"/>
                <w:szCs w:val="20"/>
              </w:rPr>
            </w:pPr>
            <w:r w:rsidRPr="00E148C4">
              <w:rPr>
                <w:sz w:val="20"/>
                <w:szCs w:val="20"/>
              </w:rPr>
              <w:t>How often did you deliberately damage property that didn’t belong to you?</w:t>
            </w:r>
          </w:p>
        </w:tc>
        <w:tc>
          <w:tcPr>
            <w:tcW w:w="1429" w:type="dxa"/>
          </w:tcPr>
          <w:p w14:paraId="49C14938" w14:textId="77777777" w:rsidR="00BC3375" w:rsidRPr="00E148C4" w:rsidRDefault="00BC3375" w:rsidP="00E07B3D">
            <w:pPr>
              <w:rPr>
                <w:sz w:val="20"/>
                <w:szCs w:val="20"/>
              </w:rPr>
            </w:pPr>
            <w:r w:rsidRPr="00E148C4">
              <w:rPr>
                <w:sz w:val="20"/>
                <w:szCs w:val="20"/>
              </w:rPr>
              <w:t xml:space="preserve">Any </w:t>
            </w:r>
          </w:p>
        </w:tc>
        <w:tc>
          <w:tcPr>
            <w:tcW w:w="2166" w:type="dxa"/>
          </w:tcPr>
          <w:p w14:paraId="1722CB47" w14:textId="77777777" w:rsidR="00BC3375" w:rsidRPr="00E148C4" w:rsidRDefault="00BC3375" w:rsidP="00E07B3D">
            <w:pPr>
              <w:rPr>
                <w:sz w:val="20"/>
                <w:szCs w:val="20"/>
              </w:rPr>
            </w:pPr>
          </w:p>
        </w:tc>
      </w:tr>
      <w:tr w:rsidR="00BC3375" w:rsidRPr="00E148C4" w14:paraId="74FA5884" w14:textId="77777777" w:rsidTr="00E07B3D">
        <w:tc>
          <w:tcPr>
            <w:tcW w:w="2129" w:type="dxa"/>
          </w:tcPr>
          <w:p w14:paraId="3AFF2BF8" w14:textId="77777777" w:rsidR="00BC3375" w:rsidRPr="00E148C4" w:rsidRDefault="00BC3375" w:rsidP="00E07B3D">
            <w:pPr>
              <w:rPr>
                <w:sz w:val="20"/>
                <w:szCs w:val="20"/>
              </w:rPr>
            </w:pPr>
            <w:r w:rsidRPr="00E148C4">
              <w:rPr>
                <w:sz w:val="20"/>
                <w:szCs w:val="20"/>
              </w:rPr>
              <w:t xml:space="preserve">Frequent lying </w:t>
            </w:r>
          </w:p>
        </w:tc>
        <w:tc>
          <w:tcPr>
            <w:tcW w:w="3626" w:type="dxa"/>
          </w:tcPr>
          <w:p w14:paraId="6A46996A" w14:textId="77777777" w:rsidR="00BC3375" w:rsidRPr="00E148C4" w:rsidRDefault="00BC3375" w:rsidP="00E07B3D">
            <w:pPr>
              <w:rPr>
                <w:sz w:val="20"/>
                <w:szCs w:val="20"/>
              </w:rPr>
            </w:pPr>
            <w:r w:rsidRPr="00E148C4">
              <w:rPr>
                <w:sz w:val="20"/>
                <w:szCs w:val="20"/>
              </w:rPr>
              <w:t xml:space="preserve">How often did you lie to your parents or guardians about where you had been or whom you were with? </w:t>
            </w:r>
          </w:p>
        </w:tc>
        <w:tc>
          <w:tcPr>
            <w:tcW w:w="1429" w:type="dxa"/>
          </w:tcPr>
          <w:p w14:paraId="31786CEC" w14:textId="77777777" w:rsidR="00BC3375" w:rsidRPr="00E148C4" w:rsidRDefault="00BC3375" w:rsidP="00E07B3D">
            <w:pPr>
              <w:rPr>
                <w:sz w:val="20"/>
                <w:szCs w:val="20"/>
              </w:rPr>
            </w:pPr>
            <w:r w:rsidRPr="00E148C4">
              <w:rPr>
                <w:sz w:val="20"/>
                <w:szCs w:val="20"/>
              </w:rPr>
              <w:t>5 or more times</w:t>
            </w:r>
          </w:p>
        </w:tc>
        <w:tc>
          <w:tcPr>
            <w:tcW w:w="2166" w:type="dxa"/>
          </w:tcPr>
          <w:p w14:paraId="73F76569" w14:textId="77777777" w:rsidR="00BC3375" w:rsidRPr="00E148C4" w:rsidRDefault="00BC3375" w:rsidP="00E07B3D">
            <w:pPr>
              <w:rPr>
                <w:sz w:val="20"/>
                <w:szCs w:val="20"/>
              </w:rPr>
            </w:pPr>
          </w:p>
        </w:tc>
      </w:tr>
      <w:tr w:rsidR="00BC3375" w:rsidRPr="00E148C4" w14:paraId="67DF0BFA" w14:textId="77777777" w:rsidTr="00E07B3D">
        <w:tc>
          <w:tcPr>
            <w:tcW w:w="2129" w:type="dxa"/>
          </w:tcPr>
          <w:p w14:paraId="4322A508" w14:textId="77777777" w:rsidR="00BC3375" w:rsidRPr="00E148C4" w:rsidRDefault="00BC3375" w:rsidP="00E07B3D">
            <w:pPr>
              <w:rPr>
                <w:sz w:val="20"/>
                <w:szCs w:val="20"/>
              </w:rPr>
            </w:pPr>
            <w:r w:rsidRPr="00E148C4">
              <w:rPr>
                <w:sz w:val="20"/>
                <w:szCs w:val="20"/>
              </w:rPr>
              <w:t xml:space="preserve">Stealing </w:t>
            </w:r>
          </w:p>
        </w:tc>
        <w:tc>
          <w:tcPr>
            <w:tcW w:w="3626" w:type="dxa"/>
          </w:tcPr>
          <w:p w14:paraId="2321FF19" w14:textId="77777777" w:rsidR="00BC3375" w:rsidRPr="00E148C4" w:rsidRDefault="00BC3375" w:rsidP="00E07B3D">
            <w:pPr>
              <w:rPr>
                <w:sz w:val="20"/>
                <w:szCs w:val="20"/>
              </w:rPr>
            </w:pPr>
            <w:r w:rsidRPr="00E148C4">
              <w:rPr>
                <w:sz w:val="20"/>
                <w:szCs w:val="20"/>
              </w:rPr>
              <w:t>How often did you steal something worth more than $50?</w:t>
            </w:r>
          </w:p>
        </w:tc>
        <w:tc>
          <w:tcPr>
            <w:tcW w:w="1429" w:type="dxa"/>
          </w:tcPr>
          <w:p w14:paraId="6A4417BA" w14:textId="77777777" w:rsidR="00BC3375" w:rsidRPr="00E148C4" w:rsidRDefault="00BC3375" w:rsidP="00E07B3D">
            <w:pPr>
              <w:rPr>
                <w:sz w:val="20"/>
                <w:szCs w:val="20"/>
              </w:rPr>
            </w:pPr>
            <w:r w:rsidRPr="00E148C4">
              <w:rPr>
                <w:sz w:val="20"/>
                <w:szCs w:val="20"/>
              </w:rPr>
              <w:t xml:space="preserve">Any </w:t>
            </w:r>
          </w:p>
        </w:tc>
        <w:tc>
          <w:tcPr>
            <w:tcW w:w="2166" w:type="dxa"/>
          </w:tcPr>
          <w:p w14:paraId="514F3CDF" w14:textId="77777777" w:rsidR="00BC3375" w:rsidRPr="00E148C4" w:rsidRDefault="00BC3375" w:rsidP="00E07B3D">
            <w:pPr>
              <w:rPr>
                <w:sz w:val="20"/>
                <w:szCs w:val="20"/>
              </w:rPr>
            </w:pPr>
          </w:p>
        </w:tc>
      </w:tr>
      <w:tr w:rsidR="00BC3375" w:rsidRPr="00E148C4" w14:paraId="4373A9E8" w14:textId="77777777" w:rsidTr="00E07B3D">
        <w:tc>
          <w:tcPr>
            <w:tcW w:w="2129" w:type="dxa"/>
          </w:tcPr>
          <w:p w14:paraId="72DB7545" w14:textId="77777777" w:rsidR="00BC3375" w:rsidRPr="00E148C4" w:rsidRDefault="00BC3375" w:rsidP="00E07B3D">
            <w:pPr>
              <w:rPr>
                <w:sz w:val="20"/>
                <w:szCs w:val="20"/>
              </w:rPr>
            </w:pPr>
            <w:r w:rsidRPr="00E148C4">
              <w:rPr>
                <w:sz w:val="20"/>
                <w:szCs w:val="20"/>
              </w:rPr>
              <w:t xml:space="preserve">Break-in </w:t>
            </w:r>
          </w:p>
        </w:tc>
        <w:tc>
          <w:tcPr>
            <w:tcW w:w="3626" w:type="dxa"/>
          </w:tcPr>
          <w:p w14:paraId="682ED725" w14:textId="77777777" w:rsidR="00BC3375" w:rsidRPr="00E148C4" w:rsidRDefault="00BC3375" w:rsidP="00E07B3D">
            <w:pPr>
              <w:rPr>
                <w:sz w:val="20"/>
                <w:szCs w:val="20"/>
              </w:rPr>
            </w:pPr>
            <w:r w:rsidRPr="00E148C4">
              <w:rPr>
                <w:sz w:val="20"/>
                <w:szCs w:val="20"/>
              </w:rPr>
              <w:t xml:space="preserve">How often did you go into a house or building to steal something? AND </w:t>
            </w:r>
            <w:proofErr w:type="gramStart"/>
            <w:r w:rsidRPr="00E148C4">
              <w:rPr>
                <w:sz w:val="20"/>
                <w:szCs w:val="20"/>
              </w:rPr>
              <w:t>How</w:t>
            </w:r>
            <w:proofErr w:type="gramEnd"/>
            <w:r w:rsidRPr="00E148C4">
              <w:rPr>
                <w:sz w:val="20"/>
                <w:szCs w:val="20"/>
              </w:rPr>
              <w:t xml:space="preserve"> often did you drive a car without the owner's permission?</w:t>
            </w:r>
          </w:p>
        </w:tc>
        <w:tc>
          <w:tcPr>
            <w:tcW w:w="1429" w:type="dxa"/>
          </w:tcPr>
          <w:p w14:paraId="680082AD" w14:textId="77777777" w:rsidR="00BC3375" w:rsidRPr="00E148C4" w:rsidRDefault="00BC3375" w:rsidP="00E07B3D">
            <w:pPr>
              <w:rPr>
                <w:sz w:val="20"/>
                <w:szCs w:val="20"/>
              </w:rPr>
            </w:pPr>
            <w:r w:rsidRPr="00E148C4">
              <w:rPr>
                <w:sz w:val="20"/>
                <w:szCs w:val="20"/>
              </w:rPr>
              <w:t>Any from either question</w:t>
            </w:r>
          </w:p>
        </w:tc>
        <w:tc>
          <w:tcPr>
            <w:tcW w:w="2166" w:type="dxa"/>
          </w:tcPr>
          <w:p w14:paraId="76A217B0" w14:textId="77777777" w:rsidR="00BC3375" w:rsidRPr="00E148C4" w:rsidRDefault="00BC3375" w:rsidP="00E07B3D">
            <w:pPr>
              <w:rPr>
                <w:sz w:val="20"/>
                <w:szCs w:val="20"/>
              </w:rPr>
            </w:pPr>
          </w:p>
        </w:tc>
      </w:tr>
      <w:tr w:rsidR="00BC3375" w:rsidRPr="00E148C4" w14:paraId="1E2A402B" w14:textId="77777777" w:rsidTr="00E07B3D">
        <w:tc>
          <w:tcPr>
            <w:tcW w:w="2129" w:type="dxa"/>
          </w:tcPr>
          <w:p w14:paraId="474A0392" w14:textId="0D6E9A80" w:rsidR="00BC3375" w:rsidRPr="00E148C4" w:rsidRDefault="00BC3375" w:rsidP="00E07B3D">
            <w:pPr>
              <w:rPr>
                <w:sz w:val="20"/>
                <w:szCs w:val="20"/>
              </w:rPr>
            </w:pPr>
            <w:r w:rsidRPr="00E148C4">
              <w:rPr>
                <w:sz w:val="20"/>
                <w:szCs w:val="20"/>
              </w:rPr>
              <w:t xml:space="preserve">Forced </w:t>
            </w:r>
            <w:r w:rsidR="00E54C1B" w:rsidRPr="00E148C4">
              <w:rPr>
                <w:sz w:val="20"/>
                <w:szCs w:val="20"/>
              </w:rPr>
              <w:t xml:space="preserve">sex </w:t>
            </w:r>
          </w:p>
        </w:tc>
        <w:tc>
          <w:tcPr>
            <w:tcW w:w="3626" w:type="dxa"/>
          </w:tcPr>
          <w:p w14:paraId="7D77CD27" w14:textId="77777777" w:rsidR="00BC3375" w:rsidRPr="00E148C4" w:rsidRDefault="00BC3375" w:rsidP="00E07B3D">
            <w:pPr>
              <w:rPr>
                <w:sz w:val="20"/>
                <w:szCs w:val="20"/>
              </w:rPr>
            </w:pPr>
            <w:r w:rsidRPr="00E148C4">
              <w:rPr>
                <w:sz w:val="20"/>
                <w:szCs w:val="20"/>
              </w:rPr>
              <w:t>Did you ever physically force someone to have sexual intercourse against her will?</w:t>
            </w:r>
          </w:p>
        </w:tc>
        <w:tc>
          <w:tcPr>
            <w:tcW w:w="1429" w:type="dxa"/>
          </w:tcPr>
          <w:p w14:paraId="78065E8E" w14:textId="77777777" w:rsidR="00BC3375" w:rsidRPr="00E148C4" w:rsidRDefault="00BC3375" w:rsidP="00E07B3D">
            <w:pPr>
              <w:rPr>
                <w:sz w:val="20"/>
                <w:szCs w:val="20"/>
              </w:rPr>
            </w:pPr>
            <w:r w:rsidRPr="00E148C4">
              <w:rPr>
                <w:sz w:val="20"/>
                <w:szCs w:val="20"/>
              </w:rPr>
              <w:t xml:space="preserve">Any </w:t>
            </w:r>
          </w:p>
        </w:tc>
        <w:tc>
          <w:tcPr>
            <w:tcW w:w="2166" w:type="dxa"/>
          </w:tcPr>
          <w:p w14:paraId="27666480" w14:textId="77777777" w:rsidR="00BC3375" w:rsidRPr="00E148C4" w:rsidRDefault="00BC3375" w:rsidP="00E07B3D">
            <w:pPr>
              <w:rPr>
                <w:sz w:val="20"/>
                <w:szCs w:val="20"/>
              </w:rPr>
            </w:pPr>
            <w:r w:rsidRPr="00E148C4">
              <w:rPr>
                <w:sz w:val="20"/>
                <w:szCs w:val="20"/>
              </w:rPr>
              <w:t xml:space="preserve">Only classified for males (females were asked a different question) </w:t>
            </w:r>
          </w:p>
        </w:tc>
      </w:tr>
      <w:tr w:rsidR="00BC3375" w:rsidRPr="00E148C4" w14:paraId="6A5310B9" w14:textId="77777777" w:rsidTr="00E07B3D">
        <w:tc>
          <w:tcPr>
            <w:tcW w:w="2129" w:type="dxa"/>
          </w:tcPr>
          <w:p w14:paraId="55EC77E7" w14:textId="0E0E4980" w:rsidR="00BC3375" w:rsidRPr="00E148C4" w:rsidRDefault="00BC3375" w:rsidP="00E07B3D">
            <w:pPr>
              <w:rPr>
                <w:sz w:val="20"/>
                <w:szCs w:val="20"/>
              </w:rPr>
            </w:pPr>
            <w:r w:rsidRPr="00E148C4">
              <w:rPr>
                <w:sz w:val="20"/>
                <w:szCs w:val="20"/>
              </w:rPr>
              <w:t xml:space="preserve">Weapon </w:t>
            </w:r>
            <w:r w:rsidR="00E54C1B" w:rsidRPr="00E148C4">
              <w:rPr>
                <w:sz w:val="20"/>
                <w:szCs w:val="20"/>
              </w:rPr>
              <w:t xml:space="preserve">use </w:t>
            </w:r>
          </w:p>
        </w:tc>
        <w:tc>
          <w:tcPr>
            <w:tcW w:w="3626" w:type="dxa"/>
          </w:tcPr>
          <w:p w14:paraId="6BC0C14A" w14:textId="77777777" w:rsidR="00BC3375" w:rsidRPr="00E148C4" w:rsidRDefault="00BC3375" w:rsidP="00E07B3D">
            <w:pPr>
              <w:rPr>
                <w:sz w:val="20"/>
                <w:szCs w:val="20"/>
              </w:rPr>
            </w:pPr>
            <w:r w:rsidRPr="00E148C4">
              <w:rPr>
                <w:sz w:val="20"/>
                <w:szCs w:val="20"/>
              </w:rPr>
              <w:t xml:space="preserve">How often did the following happen? You pulled a knife or gun on someone. AND </w:t>
            </w:r>
            <w:proofErr w:type="gramStart"/>
            <w:r w:rsidRPr="00E148C4">
              <w:rPr>
                <w:sz w:val="20"/>
                <w:szCs w:val="20"/>
              </w:rPr>
              <w:t>During</w:t>
            </w:r>
            <w:proofErr w:type="gramEnd"/>
            <w:r w:rsidRPr="00E148C4">
              <w:rPr>
                <w:sz w:val="20"/>
                <w:szCs w:val="20"/>
              </w:rPr>
              <w:t xml:space="preserve"> the past 12 months, how often did the following happen? You shot or stabbed someone.</w:t>
            </w:r>
          </w:p>
        </w:tc>
        <w:tc>
          <w:tcPr>
            <w:tcW w:w="1429" w:type="dxa"/>
          </w:tcPr>
          <w:p w14:paraId="5CC4350F" w14:textId="77777777" w:rsidR="00BC3375" w:rsidRPr="00E148C4" w:rsidRDefault="00BC3375" w:rsidP="00E07B3D">
            <w:pPr>
              <w:rPr>
                <w:sz w:val="20"/>
                <w:szCs w:val="20"/>
              </w:rPr>
            </w:pPr>
            <w:r w:rsidRPr="00E148C4">
              <w:rPr>
                <w:sz w:val="20"/>
                <w:szCs w:val="20"/>
              </w:rPr>
              <w:t xml:space="preserve">Any from either question </w:t>
            </w:r>
          </w:p>
        </w:tc>
        <w:tc>
          <w:tcPr>
            <w:tcW w:w="2166" w:type="dxa"/>
          </w:tcPr>
          <w:p w14:paraId="6E345FFB" w14:textId="77777777" w:rsidR="00BC3375" w:rsidRPr="00E148C4" w:rsidRDefault="00BC3375" w:rsidP="00E07B3D">
            <w:pPr>
              <w:rPr>
                <w:sz w:val="20"/>
                <w:szCs w:val="20"/>
              </w:rPr>
            </w:pPr>
          </w:p>
        </w:tc>
      </w:tr>
      <w:tr w:rsidR="00BC3375" w:rsidRPr="00E148C4" w14:paraId="7028B3F2" w14:textId="77777777" w:rsidTr="00E07B3D">
        <w:tc>
          <w:tcPr>
            <w:tcW w:w="2129" w:type="dxa"/>
          </w:tcPr>
          <w:p w14:paraId="0FB582D2" w14:textId="11AA1DC0" w:rsidR="00BC3375" w:rsidRPr="00E148C4" w:rsidRDefault="00BC3375" w:rsidP="00E07B3D">
            <w:pPr>
              <w:rPr>
                <w:sz w:val="20"/>
                <w:szCs w:val="20"/>
              </w:rPr>
            </w:pPr>
            <w:r w:rsidRPr="00E148C4">
              <w:rPr>
                <w:sz w:val="20"/>
                <w:szCs w:val="20"/>
              </w:rPr>
              <w:t xml:space="preserve">Threaten with a </w:t>
            </w:r>
            <w:r w:rsidR="00E54C1B" w:rsidRPr="00E148C4">
              <w:rPr>
                <w:sz w:val="20"/>
                <w:szCs w:val="20"/>
              </w:rPr>
              <w:t xml:space="preserve">weapon </w:t>
            </w:r>
          </w:p>
        </w:tc>
        <w:tc>
          <w:tcPr>
            <w:tcW w:w="3626" w:type="dxa"/>
          </w:tcPr>
          <w:p w14:paraId="41685E33" w14:textId="77777777" w:rsidR="00BC3375" w:rsidRPr="00E148C4" w:rsidRDefault="00BC3375" w:rsidP="00E07B3D">
            <w:pPr>
              <w:rPr>
                <w:sz w:val="20"/>
                <w:szCs w:val="20"/>
              </w:rPr>
            </w:pPr>
            <w:r w:rsidRPr="00E148C4">
              <w:rPr>
                <w:sz w:val="20"/>
                <w:szCs w:val="20"/>
              </w:rPr>
              <w:t>How often did you use or threaten to use a weapon to get something from someone?</w:t>
            </w:r>
          </w:p>
        </w:tc>
        <w:tc>
          <w:tcPr>
            <w:tcW w:w="1429" w:type="dxa"/>
          </w:tcPr>
          <w:p w14:paraId="5BF28EEF" w14:textId="77777777" w:rsidR="00BC3375" w:rsidRPr="00E148C4" w:rsidRDefault="00BC3375" w:rsidP="00E07B3D">
            <w:pPr>
              <w:rPr>
                <w:sz w:val="20"/>
                <w:szCs w:val="20"/>
              </w:rPr>
            </w:pPr>
            <w:r w:rsidRPr="00E148C4">
              <w:rPr>
                <w:sz w:val="20"/>
                <w:szCs w:val="20"/>
              </w:rPr>
              <w:t xml:space="preserve">Any </w:t>
            </w:r>
          </w:p>
        </w:tc>
        <w:tc>
          <w:tcPr>
            <w:tcW w:w="2166" w:type="dxa"/>
          </w:tcPr>
          <w:p w14:paraId="036260D0" w14:textId="77777777" w:rsidR="00BC3375" w:rsidRPr="00E148C4" w:rsidRDefault="00BC3375" w:rsidP="00E07B3D">
            <w:pPr>
              <w:rPr>
                <w:sz w:val="20"/>
                <w:szCs w:val="20"/>
              </w:rPr>
            </w:pPr>
          </w:p>
        </w:tc>
      </w:tr>
      <w:tr w:rsidR="00BC3375" w:rsidRPr="00E148C4" w14:paraId="2DABDB42" w14:textId="77777777" w:rsidTr="00E07B3D">
        <w:tc>
          <w:tcPr>
            <w:tcW w:w="2129" w:type="dxa"/>
          </w:tcPr>
          <w:p w14:paraId="648C4771" w14:textId="449B020F" w:rsidR="00BC3375" w:rsidRPr="00E148C4" w:rsidRDefault="00BC3375" w:rsidP="00E07B3D">
            <w:pPr>
              <w:rPr>
                <w:sz w:val="20"/>
                <w:szCs w:val="20"/>
              </w:rPr>
            </w:pPr>
            <w:r w:rsidRPr="00E148C4">
              <w:rPr>
                <w:sz w:val="20"/>
                <w:szCs w:val="20"/>
              </w:rPr>
              <w:t xml:space="preserve">Physically </w:t>
            </w:r>
            <w:r w:rsidR="00E54C1B" w:rsidRPr="00E148C4">
              <w:rPr>
                <w:sz w:val="20"/>
                <w:szCs w:val="20"/>
              </w:rPr>
              <w:t xml:space="preserve">hurt </w:t>
            </w:r>
            <w:r w:rsidRPr="00E148C4">
              <w:rPr>
                <w:sz w:val="20"/>
                <w:szCs w:val="20"/>
              </w:rPr>
              <w:t xml:space="preserve">Someone </w:t>
            </w:r>
          </w:p>
        </w:tc>
        <w:tc>
          <w:tcPr>
            <w:tcW w:w="3626" w:type="dxa"/>
          </w:tcPr>
          <w:p w14:paraId="749DB60E" w14:textId="77777777" w:rsidR="00BC3375" w:rsidRPr="00E148C4" w:rsidRDefault="00BC3375" w:rsidP="00E07B3D">
            <w:pPr>
              <w:rPr>
                <w:sz w:val="20"/>
                <w:szCs w:val="20"/>
              </w:rPr>
            </w:pPr>
            <w:r w:rsidRPr="00E148C4">
              <w:rPr>
                <w:sz w:val="20"/>
                <w:szCs w:val="20"/>
              </w:rPr>
              <w:t>How often did you hurt someone badly enough to need bandages or care from a doctor or nurse?</w:t>
            </w:r>
          </w:p>
        </w:tc>
        <w:tc>
          <w:tcPr>
            <w:tcW w:w="1429" w:type="dxa"/>
          </w:tcPr>
          <w:p w14:paraId="615E2887" w14:textId="77777777" w:rsidR="00BC3375" w:rsidRPr="00E148C4" w:rsidRDefault="00BC3375" w:rsidP="00E07B3D">
            <w:pPr>
              <w:rPr>
                <w:sz w:val="20"/>
                <w:szCs w:val="20"/>
              </w:rPr>
            </w:pPr>
            <w:r w:rsidRPr="00E148C4">
              <w:rPr>
                <w:sz w:val="20"/>
                <w:szCs w:val="20"/>
              </w:rPr>
              <w:t xml:space="preserve">Any </w:t>
            </w:r>
          </w:p>
        </w:tc>
        <w:tc>
          <w:tcPr>
            <w:tcW w:w="2166" w:type="dxa"/>
          </w:tcPr>
          <w:p w14:paraId="74459D2E" w14:textId="77777777" w:rsidR="00BC3375" w:rsidRPr="00E148C4" w:rsidRDefault="00BC3375" w:rsidP="00E07B3D">
            <w:pPr>
              <w:rPr>
                <w:sz w:val="20"/>
                <w:szCs w:val="20"/>
              </w:rPr>
            </w:pPr>
          </w:p>
        </w:tc>
      </w:tr>
      <w:tr w:rsidR="00BC3375" w:rsidRPr="00E148C4" w14:paraId="2918898B" w14:textId="77777777" w:rsidTr="00E07B3D">
        <w:tc>
          <w:tcPr>
            <w:tcW w:w="2129" w:type="dxa"/>
          </w:tcPr>
          <w:p w14:paraId="35073C08" w14:textId="6D9163AA" w:rsidR="00BC3375" w:rsidRPr="00E148C4" w:rsidRDefault="00BC3375" w:rsidP="00E07B3D">
            <w:pPr>
              <w:rPr>
                <w:sz w:val="20"/>
                <w:szCs w:val="20"/>
              </w:rPr>
            </w:pPr>
            <w:r w:rsidRPr="00E148C4">
              <w:rPr>
                <w:sz w:val="20"/>
                <w:szCs w:val="20"/>
              </w:rPr>
              <w:t>Run</w:t>
            </w:r>
            <w:r w:rsidR="00E54C1B" w:rsidRPr="00E148C4">
              <w:rPr>
                <w:sz w:val="20"/>
                <w:szCs w:val="20"/>
              </w:rPr>
              <w:t xml:space="preserve"> </w:t>
            </w:r>
            <w:r w:rsidRPr="00E148C4">
              <w:rPr>
                <w:sz w:val="20"/>
                <w:szCs w:val="20"/>
              </w:rPr>
              <w:t xml:space="preserve">away </w:t>
            </w:r>
          </w:p>
        </w:tc>
        <w:tc>
          <w:tcPr>
            <w:tcW w:w="3626" w:type="dxa"/>
          </w:tcPr>
          <w:p w14:paraId="7196DC90" w14:textId="77777777" w:rsidR="00BC3375" w:rsidRPr="00E148C4" w:rsidRDefault="00BC3375" w:rsidP="00E07B3D">
            <w:pPr>
              <w:rPr>
                <w:sz w:val="20"/>
                <w:szCs w:val="20"/>
              </w:rPr>
            </w:pPr>
            <w:r w:rsidRPr="00E148C4">
              <w:rPr>
                <w:sz w:val="20"/>
                <w:szCs w:val="20"/>
              </w:rPr>
              <w:t>How often did you run away from home?</w:t>
            </w:r>
          </w:p>
        </w:tc>
        <w:tc>
          <w:tcPr>
            <w:tcW w:w="1429" w:type="dxa"/>
          </w:tcPr>
          <w:p w14:paraId="43988277" w14:textId="77777777" w:rsidR="00BC3375" w:rsidRPr="00E148C4" w:rsidRDefault="00BC3375" w:rsidP="00E07B3D">
            <w:pPr>
              <w:rPr>
                <w:sz w:val="20"/>
                <w:szCs w:val="20"/>
              </w:rPr>
            </w:pPr>
            <w:r w:rsidRPr="00E148C4">
              <w:rPr>
                <w:sz w:val="20"/>
                <w:szCs w:val="20"/>
              </w:rPr>
              <w:t xml:space="preserve">3 or more times </w:t>
            </w:r>
          </w:p>
        </w:tc>
        <w:tc>
          <w:tcPr>
            <w:tcW w:w="2166" w:type="dxa"/>
          </w:tcPr>
          <w:p w14:paraId="4CD1D656" w14:textId="77777777" w:rsidR="00BC3375" w:rsidRPr="00E148C4" w:rsidRDefault="00BC3375" w:rsidP="00E07B3D">
            <w:pPr>
              <w:rPr>
                <w:sz w:val="20"/>
                <w:szCs w:val="20"/>
              </w:rPr>
            </w:pPr>
          </w:p>
        </w:tc>
      </w:tr>
      <w:tr w:rsidR="00BC3375" w:rsidRPr="00E148C4" w14:paraId="75C7C463" w14:textId="77777777" w:rsidTr="00E07B3D">
        <w:tc>
          <w:tcPr>
            <w:tcW w:w="2129" w:type="dxa"/>
          </w:tcPr>
          <w:p w14:paraId="2D616D58" w14:textId="77777777" w:rsidR="00BC3375" w:rsidRPr="00E148C4" w:rsidRDefault="00BC3375" w:rsidP="00E07B3D">
            <w:pPr>
              <w:rPr>
                <w:sz w:val="20"/>
                <w:szCs w:val="20"/>
              </w:rPr>
            </w:pPr>
            <w:r w:rsidRPr="00E148C4">
              <w:rPr>
                <w:sz w:val="20"/>
                <w:szCs w:val="20"/>
              </w:rPr>
              <w:t xml:space="preserve">Skip school </w:t>
            </w:r>
          </w:p>
        </w:tc>
        <w:tc>
          <w:tcPr>
            <w:tcW w:w="3626" w:type="dxa"/>
          </w:tcPr>
          <w:p w14:paraId="0DAC8643" w14:textId="77777777" w:rsidR="00BC3375" w:rsidRPr="00E148C4" w:rsidRDefault="00BC3375" w:rsidP="00E07B3D">
            <w:pPr>
              <w:rPr>
                <w:sz w:val="20"/>
                <w:szCs w:val="20"/>
              </w:rPr>
            </w:pPr>
            <w:r w:rsidRPr="00E148C4">
              <w:rPr>
                <w:sz w:val="20"/>
                <w:szCs w:val="20"/>
              </w:rPr>
              <w:t>How often did you skip school without an excuse?</w:t>
            </w:r>
          </w:p>
        </w:tc>
        <w:tc>
          <w:tcPr>
            <w:tcW w:w="1429" w:type="dxa"/>
          </w:tcPr>
          <w:p w14:paraId="2EA78225" w14:textId="77777777" w:rsidR="00BC3375" w:rsidRPr="00E148C4" w:rsidRDefault="00BC3375" w:rsidP="00E07B3D">
            <w:pPr>
              <w:rPr>
                <w:sz w:val="20"/>
                <w:szCs w:val="20"/>
              </w:rPr>
            </w:pPr>
            <w:r w:rsidRPr="00E148C4">
              <w:rPr>
                <w:sz w:val="20"/>
                <w:szCs w:val="20"/>
              </w:rPr>
              <w:t xml:space="preserve">2 or 3 times a month or more </w:t>
            </w:r>
          </w:p>
        </w:tc>
        <w:tc>
          <w:tcPr>
            <w:tcW w:w="2166" w:type="dxa"/>
          </w:tcPr>
          <w:p w14:paraId="6B389C0E" w14:textId="77777777" w:rsidR="00BC3375" w:rsidRPr="00E148C4" w:rsidRDefault="00BC3375" w:rsidP="00E07B3D">
            <w:pPr>
              <w:rPr>
                <w:sz w:val="20"/>
                <w:szCs w:val="20"/>
              </w:rPr>
            </w:pPr>
            <w:r w:rsidRPr="00E148C4">
              <w:rPr>
                <w:sz w:val="20"/>
                <w:szCs w:val="20"/>
              </w:rPr>
              <w:t xml:space="preserve">Only available in the Wave I in-school interview </w:t>
            </w:r>
          </w:p>
        </w:tc>
      </w:tr>
      <w:tr w:rsidR="00BC3375" w:rsidRPr="00E148C4" w14:paraId="239DF735" w14:textId="77777777" w:rsidTr="00E07B3D">
        <w:tc>
          <w:tcPr>
            <w:tcW w:w="2129" w:type="dxa"/>
          </w:tcPr>
          <w:p w14:paraId="0BC5FB2F" w14:textId="12039BAD" w:rsidR="00BC3375" w:rsidRPr="00E148C4" w:rsidRDefault="00BC3375" w:rsidP="00E07B3D">
            <w:pPr>
              <w:rPr>
                <w:sz w:val="20"/>
                <w:szCs w:val="20"/>
              </w:rPr>
            </w:pPr>
            <w:r w:rsidRPr="00E148C4">
              <w:rPr>
                <w:sz w:val="20"/>
                <w:szCs w:val="20"/>
              </w:rPr>
              <w:t xml:space="preserve">Frequent </w:t>
            </w:r>
            <w:r w:rsidR="00F43066" w:rsidRPr="00E148C4">
              <w:rPr>
                <w:sz w:val="20"/>
                <w:szCs w:val="20"/>
              </w:rPr>
              <w:t>serious fight</w:t>
            </w:r>
            <w:r w:rsidR="00EE476E" w:rsidRPr="00E148C4">
              <w:rPr>
                <w:sz w:val="20"/>
                <w:szCs w:val="20"/>
              </w:rPr>
              <w:t>ing</w:t>
            </w:r>
            <w:r w:rsidR="00F43066" w:rsidRPr="00E148C4">
              <w:rPr>
                <w:sz w:val="20"/>
                <w:szCs w:val="20"/>
              </w:rPr>
              <w:t xml:space="preserve"> </w:t>
            </w:r>
          </w:p>
        </w:tc>
        <w:tc>
          <w:tcPr>
            <w:tcW w:w="3626" w:type="dxa"/>
          </w:tcPr>
          <w:p w14:paraId="4541FF3C" w14:textId="77777777" w:rsidR="00BC3375" w:rsidRPr="00E148C4" w:rsidRDefault="00BC3375" w:rsidP="00E07B3D">
            <w:pPr>
              <w:rPr>
                <w:sz w:val="20"/>
                <w:szCs w:val="20"/>
              </w:rPr>
            </w:pPr>
            <w:r w:rsidRPr="00E148C4">
              <w:rPr>
                <w:sz w:val="20"/>
                <w:szCs w:val="20"/>
              </w:rPr>
              <w:t>How often did you get into a serious physical fight?</w:t>
            </w:r>
          </w:p>
        </w:tc>
        <w:tc>
          <w:tcPr>
            <w:tcW w:w="1429" w:type="dxa"/>
          </w:tcPr>
          <w:p w14:paraId="0FE96D60" w14:textId="77777777" w:rsidR="00BC3375" w:rsidRPr="00E148C4" w:rsidRDefault="00BC3375" w:rsidP="00E07B3D">
            <w:pPr>
              <w:rPr>
                <w:sz w:val="20"/>
                <w:szCs w:val="20"/>
              </w:rPr>
            </w:pPr>
            <w:r w:rsidRPr="00E148C4">
              <w:rPr>
                <w:sz w:val="20"/>
                <w:szCs w:val="20"/>
              </w:rPr>
              <w:t xml:space="preserve">3 or more times </w:t>
            </w:r>
          </w:p>
        </w:tc>
        <w:tc>
          <w:tcPr>
            <w:tcW w:w="2166" w:type="dxa"/>
          </w:tcPr>
          <w:p w14:paraId="0915C7C8" w14:textId="77777777" w:rsidR="00BC3375" w:rsidRPr="00E148C4" w:rsidRDefault="00BC3375" w:rsidP="00E07B3D">
            <w:pPr>
              <w:rPr>
                <w:sz w:val="20"/>
                <w:szCs w:val="20"/>
              </w:rPr>
            </w:pPr>
          </w:p>
        </w:tc>
      </w:tr>
    </w:tbl>
    <w:p w14:paraId="7E2184E4" w14:textId="77777777" w:rsidR="00BC3375" w:rsidRPr="00E148C4" w:rsidRDefault="00BC3375" w:rsidP="00BC3375"/>
    <w:p w14:paraId="66F41A75" w14:textId="77777777" w:rsidR="00BC3375" w:rsidRPr="00E148C4" w:rsidRDefault="00BC3375" w:rsidP="00BC3375">
      <w:pPr>
        <w:rPr>
          <w:b/>
          <w:bCs/>
        </w:rPr>
      </w:pPr>
    </w:p>
    <w:p w14:paraId="3DA7EF9E" w14:textId="77777777" w:rsidR="00BC3375" w:rsidRPr="00E148C4" w:rsidRDefault="00BC3375" w:rsidP="00BC3375">
      <w:pPr>
        <w:rPr>
          <w:b/>
          <w:bCs/>
        </w:rPr>
      </w:pPr>
    </w:p>
    <w:p w14:paraId="6EA05690" w14:textId="77777777" w:rsidR="00BC3375" w:rsidRPr="00E148C4" w:rsidRDefault="00BC3375" w:rsidP="00BC3375">
      <w:pPr>
        <w:rPr>
          <w:b/>
          <w:bCs/>
        </w:rPr>
      </w:pPr>
    </w:p>
    <w:p w14:paraId="1825CE2C" w14:textId="77777777" w:rsidR="00BC3375" w:rsidRPr="00E148C4" w:rsidRDefault="00BC3375" w:rsidP="00BC3375">
      <w:pPr>
        <w:rPr>
          <w:b/>
          <w:bCs/>
        </w:rPr>
      </w:pPr>
    </w:p>
    <w:p w14:paraId="7D632B33" w14:textId="77777777" w:rsidR="00BC3375" w:rsidRPr="00E148C4" w:rsidRDefault="00BC3375" w:rsidP="00BC3375">
      <w:pPr>
        <w:rPr>
          <w:b/>
          <w:bCs/>
        </w:rPr>
      </w:pPr>
    </w:p>
    <w:p w14:paraId="607D2CBA" w14:textId="77777777" w:rsidR="00BC3375" w:rsidRPr="00E148C4" w:rsidRDefault="00BC3375" w:rsidP="00BC3375">
      <w:pPr>
        <w:rPr>
          <w:b/>
          <w:bCs/>
        </w:rPr>
      </w:pPr>
    </w:p>
    <w:p w14:paraId="3D29B64F" w14:textId="77777777" w:rsidR="00BC3375" w:rsidRPr="00E148C4" w:rsidRDefault="00BC3375" w:rsidP="00BC3375">
      <w:pPr>
        <w:rPr>
          <w:b/>
          <w:bCs/>
        </w:rPr>
      </w:pPr>
    </w:p>
    <w:p w14:paraId="0443CD45" w14:textId="77777777" w:rsidR="00BC3375" w:rsidRPr="00E148C4" w:rsidRDefault="00BC3375" w:rsidP="00BC3375">
      <w:pPr>
        <w:rPr>
          <w:b/>
          <w:bCs/>
        </w:rPr>
      </w:pPr>
    </w:p>
    <w:p w14:paraId="38267801" w14:textId="77777777" w:rsidR="00BC3375" w:rsidRPr="00E148C4" w:rsidRDefault="00BC3375" w:rsidP="00BC3375">
      <w:pPr>
        <w:rPr>
          <w:b/>
          <w:bCs/>
        </w:rPr>
      </w:pPr>
    </w:p>
    <w:p w14:paraId="36D69116" w14:textId="77777777" w:rsidR="00BC3375" w:rsidRPr="00E148C4" w:rsidRDefault="00BC3375" w:rsidP="00BC3375">
      <w:pPr>
        <w:rPr>
          <w:b/>
          <w:bCs/>
        </w:rPr>
      </w:pPr>
    </w:p>
    <w:p w14:paraId="6088C0D9" w14:textId="77777777" w:rsidR="00BC3375" w:rsidRPr="00E148C4" w:rsidRDefault="00BC3375" w:rsidP="00BC3375">
      <w:pPr>
        <w:rPr>
          <w:b/>
          <w:bCs/>
        </w:rPr>
      </w:pPr>
    </w:p>
    <w:p w14:paraId="795B2616" w14:textId="77777777" w:rsidR="00BC3375" w:rsidRPr="00E148C4" w:rsidRDefault="00BC3375" w:rsidP="00BC3375">
      <w:pPr>
        <w:rPr>
          <w:b/>
          <w:bCs/>
        </w:rPr>
      </w:pPr>
    </w:p>
    <w:p w14:paraId="38D1115B" w14:textId="77777777" w:rsidR="00BC3375" w:rsidRPr="00E148C4" w:rsidRDefault="00BC3375" w:rsidP="00BC3375">
      <w:pPr>
        <w:rPr>
          <w:b/>
          <w:bCs/>
        </w:rPr>
      </w:pPr>
    </w:p>
    <w:p w14:paraId="4793912C" w14:textId="77777777" w:rsidR="00BC3375" w:rsidRPr="00E148C4" w:rsidRDefault="00BC3375" w:rsidP="00BC3375">
      <w:pPr>
        <w:rPr>
          <w:b/>
          <w:bCs/>
        </w:rPr>
      </w:pPr>
    </w:p>
    <w:p w14:paraId="033518E8" w14:textId="77777777" w:rsidR="00BC3375" w:rsidRPr="00E148C4" w:rsidRDefault="00BC3375" w:rsidP="00BC3375">
      <w:pPr>
        <w:rPr>
          <w:b/>
          <w:bCs/>
        </w:rPr>
      </w:pPr>
    </w:p>
    <w:p w14:paraId="2709408B" w14:textId="77777777" w:rsidR="00BC3375" w:rsidRPr="00E148C4" w:rsidRDefault="00BC3375" w:rsidP="00BC3375">
      <w:pPr>
        <w:rPr>
          <w:b/>
          <w:bCs/>
        </w:rPr>
      </w:pPr>
    </w:p>
    <w:p w14:paraId="28FDDA2F" w14:textId="3B039431" w:rsidR="00BC3375" w:rsidRPr="00E148C4" w:rsidRDefault="00BC3375" w:rsidP="00BC3375">
      <w:pPr>
        <w:rPr>
          <w:b/>
          <w:bCs/>
        </w:rPr>
      </w:pPr>
      <w:r w:rsidRPr="00E148C4">
        <w:rPr>
          <w:b/>
          <w:bCs/>
        </w:rPr>
        <w:lastRenderedPageBreak/>
        <w:t xml:space="preserve">Supplemental Table </w:t>
      </w:r>
      <w:r w:rsidR="00E817F4" w:rsidRPr="00E148C4">
        <w:rPr>
          <w:b/>
          <w:bCs/>
        </w:rPr>
        <w:t>3</w:t>
      </w:r>
      <w:r w:rsidRPr="00E148C4">
        <w:rPr>
          <w:b/>
          <w:bCs/>
        </w:rPr>
        <w:t xml:space="preserve">. Physical activities in the past 7 days: Distinguishing between moderate and strenuous </w:t>
      </w:r>
      <w:proofErr w:type="gramStart"/>
      <w:r w:rsidRPr="00E148C4">
        <w:rPr>
          <w:b/>
          <w:bCs/>
        </w:rPr>
        <w:t>activities</w:t>
      </w:r>
      <w:proofErr w:type="gramEnd"/>
      <w:r w:rsidRPr="00E148C4">
        <w:rPr>
          <w:b/>
          <w:bCs/>
        </w:rPr>
        <w:t xml:space="preserve"> </w:t>
      </w:r>
    </w:p>
    <w:tbl>
      <w:tblPr>
        <w:tblStyle w:val="TableGrid"/>
        <w:tblW w:w="0" w:type="auto"/>
        <w:tblLook w:val="04A0" w:firstRow="1" w:lastRow="0" w:firstColumn="1" w:lastColumn="0" w:noHBand="0" w:noVBand="1"/>
      </w:tblPr>
      <w:tblGrid>
        <w:gridCol w:w="6835"/>
        <w:gridCol w:w="2515"/>
      </w:tblGrid>
      <w:tr w:rsidR="00BC3375" w:rsidRPr="00E148C4" w14:paraId="4578C92B" w14:textId="77777777" w:rsidTr="00E07B3D">
        <w:tc>
          <w:tcPr>
            <w:tcW w:w="6835" w:type="dxa"/>
          </w:tcPr>
          <w:p w14:paraId="2DA804B5" w14:textId="77777777" w:rsidR="00BC3375" w:rsidRPr="00E148C4" w:rsidRDefault="00BC3375" w:rsidP="00E07B3D">
            <w:pPr>
              <w:rPr>
                <w:b/>
                <w:bCs/>
                <w:sz w:val="20"/>
                <w:szCs w:val="20"/>
              </w:rPr>
            </w:pPr>
            <w:r w:rsidRPr="00E148C4">
              <w:rPr>
                <w:b/>
                <w:bCs/>
                <w:sz w:val="20"/>
                <w:szCs w:val="20"/>
              </w:rPr>
              <w:t xml:space="preserve">Activities asked about in question </w:t>
            </w:r>
          </w:p>
        </w:tc>
        <w:tc>
          <w:tcPr>
            <w:tcW w:w="2515" w:type="dxa"/>
          </w:tcPr>
          <w:p w14:paraId="21C9601C" w14:textId="77777777" w:rsidR="00BC3375" w:rsidRPr="00E148C4" w:rsidRDefault="00BC3375" w:rsidP="00E07B3D">
            <w:pPr>
              <w:rPr>
                <w:b/>
                <w:bCs/>
                <w:sz w:val="20"/>
                <w:szCs w:val="20"/>
              </w:rPr>
            </w:pPr>
            <w:r w:rsidRPr="00E148C4">
              <w:rPr>
                <w:b/>
                <w:bCs/>
                <w:sz w:val="20"/>
                <w:szCs w:val="20"/>
              </w:rPr>
              <w:t xml:space="preserve">Classification of activity level </w:t>
            </w:r>
          </w:p>
        </w:tc>
      </w:tr>
      <w:tr w:rsidR="00BC3375" w:rsidRPr="00E148C4" w14:paraId="56C7815F" w14:textId="77777777" w:rsidTr="00E07B3D">
        <w:tc>
          <w:tcPr>
            <w:tcW w:w="6835" w:type="dxa"/>
          </w:tcPr>
          <w:p w14:paraId="45CA5CE6" w14:textId="77777777" w:rsidR="00BC3375" w:rsidRPr="00E148C4" w:rsidRDefault="00BC3375" w:rsidP="00E07B3D">
            <w:pPr>
              <w:rPr>
                <w:sz w:val="20"/>
                <w:szCs w:val="20"/>
              </w:rPr>
            </w:pPr>
            <w:r w:rsidRPr="00E148C4">
              <w:rPr>
                <w:sz w:val="20"/>
                <w:szCs w:val="20"/>
              </w:rPr>
              <w:t>Bicycle, skateboard, dance, hike, hunt, or do yard work</w:t>
            </w:r>
          </w:p>
        </w:tc>
        <w:tc>
          <w:tcPr>
            <w:tcW w:w="2515" w:type="dxa"/>
          </w:tcPr>
          <w:p w14:paraId="7F5ABB11" w14:textId="77777777" w:rsidR="00BC3375" w:rsidRPr="00E148C4" w:rsidRDefault="00BC3375" w:rsidP="00E07B3D">
            <w:pPr>
              <w:rPr>
                <w:sz w:val="20"/>
                <w:szCs w:val="20"/>
              </w:rPr>
            </w:pPr>
            <w:r w:rsidRPr="00E148C4">
              <w:rPr>
                <w:sz w:val="20"/>
                <w:szCs w:val="20"/>
              </w:rPr>
              <w:t xml:space="preserve">Moderate </w:t>
            </w:r>
          </w:p>
        </w:tc>
      </w:tr>
      <w:tr w:rsidR="00BC3375" w:rsidRPr="00E148C4" w14:paraId="1388E69C" w14:textId="77777777" w:rsidTr="00E07B3D">
        <w:tc>
          <w:tcPr>
            <w:tcW w:w="6835" w:type="dxa"/>
          </w:tcPr>
          <w:p w14:paraId="3EBAFFA4" w14:textId="77777777" w:rsidR="00BC3375" w:rsidRPr="00E148C4" w:rsidRDefault="00BC3375" w:rsidP="00E07B3D">
            <w:pPr>
              <w:rPr>
                <w:sz w:val="20"/>
                <w:szCs w:val="20"/>
              </w:rPr>
            </w:pPr>
            <w:r w:rsidRPr="00E148C4">
              <w:rPr>
                <w:sz w:val="20"/>
                <w:szCs w:val="20"/>
              </w:rPr>
              <w:t>Walk for exercise</w:t>
            </w:r>
          </w:p>
        </w:tc>
        <w:tc>
          <w:tcPr>
            <w:tcW w:w="2515" w:type="dxa"/>
          </w:tcPr>
          <w:p w14:paraId="26EE0029" w14:textId="77777777" w:rsidR="00BC3375" w:rsidRPr="00E148C4" w:rsidRDefault="00BC3375" w:rsidP="00E07B3D">
            <w:pPr>
              <w:rPr>
                <w:sz w:val="20"/>
                <w:szCs w:val="20"/>
              </w:rPr>
            </w:pPr>
            <w:r w:rsidRPr="00E148C4">
              <w:rPr>
                <w:sz w:val="20"/>
                <w:szCs w:val="20"/>
              </w:rPr>
              <w:t xml:space="preserve">Moderate </w:t>
            </w:r>
          </w:p>
        </w:tc>
      </w:tr>
      <w:tr w:rsidR="00BC3375" w:rsidRPr="00E148C4" w14:paraId="5DD433FB" w14:textId="77777777" w:rsidTr="00E07B3D">
        <w:tc>
          <w:tcPr>
            <w:tcW w:w="6835" w:type="dxa"/>
          </w:tcPr>
          <w:p w14:paraId="0603AD9E" w14:textId="77777777" w:rsidR="00BC3375" w:rsidRPr="00E148C4" w:rsidRDefault="00BC3375" w:rsidP="00E07B3D">
            <w:pPr>
              <w:rPr>
                <w:sz w:val="20"/>
                <w:szCs w:val="20"/>
              </w:rPr>
            </w:pPr>
            <w:r w:rsidRPr="00E148C4">
              <w:rPr>
                <w:sz w:val="20"/>
                <w:szCs w:val="20"/>
              </w:rPr>
              <w:t>Roller blade, roller skate, downhill ski, snow board, play racquet sports, or do aerobics</w:t>
            </w:r>
          </w:p>
        </w:tc>
        <w:tc>
          <w:tcPr>
            <w:tcW w:w="2515" w:type="dxa"/>
          </w:tcPr>
          <w:p w14:paraId="562829B0" w14:textId="77777777" w:rsidR="00BC3375" w:rsidRPr="00E148C4" w:rsidRDefault="00BC3375" w:rsidP="00E07B3D">
            <w:pPr>
              <w:rPr>
                <w:sz w:val="20"/>
                <w:szCs w:val="20"/>
              </w:rPr>
            </w:pPr>
            <w:r w:rsidRPr="00E148C4">
              <w:rPr>
                <w:sz w:val="20"/>
                <w:szCs w:val="20"/>
              </w:rPr>
              <w:t xml:space="preserve">Moderate </w:t>
            </w:r>
          </w:p>
        </w:tc>
      </w:tr>
      <w:tr w:rsidR="00BC3375" w:rsidRPr="00E148C4" w14:paraId="3ABEF6DF" w14:textId="77777777" w:rsidTr="00E07B3D">
        <w:tc>
          <w:tcPr>
            <w:tcW w:w="6835" w:type="dxa"/>
          </w:tcPr>
          <w:p w14:paraId="30DB055E" w14:textId="77777777" w:rsidR="00BC3375" w:rsidRPr="00E148C4" w:rsidRDefault="00BC3375" w:rsidP="00E07B3D">
            <w:pPr>
              <w:rPr>
                <w:sz w:val="20"/>
                <w:szCs w:val="20"/>
              </w:rPr>
            </w:pPr>
            <w:r w:rsidRPr="00E148C4">
              <w:rPr>
                <w:sz w:val="20"/>
                <w:szCs w:val="20"/>
              </w:rPr>
              <w:t>Play golf, go fishing or bowling, or play softball or baseball</w:t>
            </w:r>
          </w:p>
        </w:tc>
        <w:tc>
          <w:tcPr>
            <w:tcW w:w="2515" w:type="dxa"/>
          </w:tcPr>
          <w:p w14:paraId="5D69B12D" w14:textId="77777777" w:rsidR="00BC3375" w:rsidRPr="00E148C4" w:rsidRDefault="00BC3375" w:rsidP="00E07B3D">
            <w:pPr>
              <w:rPr>
                <w:sz w:val="20"/>
                <w:szCs w:val="20"/>
              </w:rPr>
            </w:pPr>
            <w:r w:rsidRPr="00E148C4">
              <w:rPr>
                <w:sz w:val="20"/>
                <w:szCs w:val="20"/>
              </w:rPr>
              <w:t xml:space="preserve">Moderate </w:t>
            </w:r>
          </w:p>
        </w:tc>
      </w:tr>
      <w:tr w:rsidR="00BC3375" w:rsidRPr="00E148C4" w14:paraId="4FDF2564" w14:textId="77777777" w:rsidTr="00E07B3D">
        <w:tc>
          <w:tcPr>
            <w:tcW w:w="6835" w:type="dxa"/>
          </w:tcPr>
          <w:p w14:paraId="4B119597" w14:textId="22BBCA55" w:rsidR="00BC3375" w:rsidRPr="00E148C4" w:rsidRDefault="00BC3375" w:rsidP="00E07B3D">
            <w:pPr>
              <w:rPr>
                <w:sz w:val="20"/>
                <w:szCs w:val="20"/>
              </w:rPr>
            </w:pPr>
            <w:r w:rsidRPr="00E148C4">
              <w:rPr>
                <w:sz w:val="20"/>
                <w:szCs w:val="20"/>
              </w:rPr>
              <w:t>Participate in gymnastics, weightlifting, or strength training</w:t>
            </w:r>
          </w:p>
        </w:tc>
        <w:tc>
          <w:tcPr>
            <w:tcW w:w="2515" w:type="dxa"/>
          </w:tcPr>
          <w:p w14:paraId="7CA48DC1" w14:textId="77777777" w:rsidR="00BC3375" w:rsidRPr="00E148C4" w:rsidRDefault="00BC3375" w:rsidP="00E07B3D">
            <w:pPr>
              <w:rPr>
                <w:sz w:val="20"/>
                <w:szCs w:val="20"/>
              </w:rPr>
            </w:pPr>
            <w:r w:rsidRPr="00E148C4">
              <w:rPr>
                <w:sz w:val="20"/>
                <w:szCs w:val="20"/>
              </w:rPr>
              <w:t xml:space="preserve">Strenuous </w:t>
            </w:r>
          </w:p>
        </w:tc>
      </w:tr>
      <w:tr w:rsidR="00BC3375" w:rsidRPr="00E148C4" w14:paraId="4BBF8E62" w14:textId="77777777" w:rsidTr="00E07B3D">
        <w:tc>
          <w:tcPr>
            <w:tcW w:w="6835" w:type="dxa"/>
          </w:tcPr>
          <w:p w14:paraId="3EAA45F8" w14:textId="77777777" w:rsidR="00BC3375" w:rsidRPr="00E148C4" w:rsidRDefault="00BC3375" w:rsidP="00E07B3D">
            <w:pPr>
              <w:rPr>
                <w:sz w:val="20"/>
                <w:szCs w:val="20"/>
              </w:rPr>
            </w:pPr>
            <w:r w:rsidRPr="00E148C4">
              <w:rPr>
                <w:sz w:val="20"/>
                <w:szCs w:val="20"/>
              </w:rPr>
              <w:t>Participate in strenuous team sports such as football, soccer, basketball, lacrosse, rugby, field hockey, or ice hockey</w:t>
            </w:r>
          </w:p>
        </w:tc>
        <w:tc>
          <w:tcPr>
            <w:tcW w:w="2515" w:type="dxa"/>
          </w:tcPr>
          <w:p w14:paraId="254B105D" w14:textId="77777777" w:rsidR="00BC3375" w:rsidRPr="00E148C4" w:rsidRDefault="00BC3375" w:rsidP="00E07B3D">
            <w:pPr>
              <w:rPr>
                <w:sz w:val="20"/>
                <w:szCs w:val="20"/>
              </w:rPr>
            </w:pPr>
            <w:r w:rsidRPr="00E148C4">
              <w:rPr>
                <w:sz w:val="20"/>
                <w:szCs w:val="20"/>
              </w:rPr>
              <w:t xml:space="preserve">Strenuous </w:t>
            </w:r>
          </w:p>
        </w:tc>
      </w:tr>
      <w:tr w:rsidR="00BC3375" w:rsidRPr="00E148C4" w14:paraId="31193D50" w14:textId="77777777" w:rsidTr="00E07B3D">
        <w:tc>
          <w:tcPr>
            <w:tcW w:w="6835" w:type="dxa"/>
          </w:tcPr>
          <w:p w14:paraId="0EC63433" w14:textId="77777777" w:rsidR="00BC3375" w:rsidRPr="00E148C4" w:rsidRDefault="00BC3375" w:rsidP="00E07B3D">
            <w:pPr>
              <w:rPr>
                <w:sz w:val="20"/>
                <w:szCs w:val="20"/>
              </w:rPr>
            </w:pPr>
            <w:r w:rsidRPr="00E148C4">
              <w:rPr>
                <w:sz w:val="20"/>
                <w:szCs w:val="20"/>
              </w:rPr>
              <w:t>Participate in individual sports such as running, wrestling, swimming, cross-country skiing, cycle racing, or martial arts</w:t>
            </w:r>
          </w:p>
        </w:tc>
        <w:tc>
          <w:tcPr>
            <w:tcW w:w="2515" w:type="dxa"/>
          </w:tcPr>
          <w:p w14:paraId="64CD3FE6" w14:textId="77777777" w:rsidR="00BC3375" w:rsidRPr="00E148C4" w:rsidRDefault="00BC3375" w:rsidP="00E07B3D">
            <w:pPr>
              <w:rPr>
                <w:sz w:val="20"/>
                <w:szCs w:val="20"/>
              </w:rPr>
            </w:pPr>
            <w:r w:rsidRPr="00E148C4">
              <w:rPr>
                <w:sz w:val="20"/>
                <w:szCs w:val="20"/>
              </w:rPr>
              <w:t xml:space="preserve">Strenuous </w:t>
            </w:r>
          </w:p>
        </w:tc>
      </w:tr>
    </w:tbl>
    <w:p w14:paraId="3051E8FA" w14:textId="77777777" w:rsidR="00BC3375" w:rsidRPr="00E148C4" w:rsidRDefault="00BC3375" w:rsidP="00BC3375">
      <w:pPr>
        <w:rPr>
          <w:b/>
          <w:bCs/>
          <w:sz w:val="20"/>
          <w:szCs w:val="20"/>
        </w:rPr>
      </w:pPr>
    </w:p>
    <w:p w14:paraId="51637A2A" w14:textId="77777777" w:rsidR="00BC3375" w:rsidRPr="00E148C4" w:rsidRDefault="00BC3375" w:rsidP="00BC3375">
      <w:pPr>
        <w:rPr>
          <w:sz w:val="20"/>
          <w:szCs w:val="20"/>
        </w:rPr>
      </w:pPr>
    </w:p>
    <w:p w14:paraId="705271B3" w14:textId="77777777" w:rsidR="00BC3375" w:rsidRPr="00E148C4" w:rsidRDefault="00BC3375" w:rsidP="00BC3375"/>
    <w:p w14:paraId="25E0D511" w14:textId="77777777" w:rsidR="00BC3375" w:rsidRPr="00E148C4" w:rsidRDefault="00BC3375" w:rsidP="00BC3375"/>
    <w:p w14:paraId="6DE2093C" w14:textId="77777777" w:rsidR="003C64FA" w:rsidRPr="00E148C4" w:rsidRDefault="003C64FA" w:rsidP="00BC3375"/>
    <w:p w14:paraId="7F0C936D" w14:textId="77777777" w:rsidR="003C64FA" w:rsidRPr="00E148C4" w:rsidRDefault="003C64FA" w:rsidP="00BC3375"/>
    <w:p w14:paraId="05F2C53D" w14:textId="77777777" w:rsidR="003C64FA" w:rsidRPr="00E148C4" w:rsidRDefault="003C64FA" w:rsidP="00BC3375"/>
    <w:p w14:paraId="007E9406" w14:textId="77777777" w:rsidR="003C64FA" w:rsidRPr="00E148C4" w:rsidRDefault="003C64FA" w:rsidP="00BC3375"/>
    <w:p w14:paraId="0B0632BE" w14:textId="77777777" w:rsidR="003C64FA" w:rsidRPr="00E148C4" w:rsidRDefault="003C64FA" w:rsidP="00BC3375"/>
    <w:p w14:paraId="0ECC5CF3" w14:textId="77777777" w:rsidR="003C64FA" w:rsidRPr="00E148C4" w:rsidRDefault="003C64FA" w:rsidP="00BC3375"/>
    <w:p w14:paraId="1FA0F935" w14:textId="77777777" w:rsidR="003C64FA" w:rsidRPr="00E148C4" w:rsidRDefault="003C64FA" w:rsidP="00BC3375"/>
    <w:p w14:paraId="04082DA8" w14:textId="77777777" w:rsidR="003C64FA" w:rsidRPr="00E148C4" w:rsidRDefault="003C64FA" w:rsidP="00BC3375"/>
    <w:p w14:paraId="35251FA9" w14:textId="77777777" w:rsidR="003C64FA" w:rsidRPr="00E148C4" w:rsidRDefault="003C64FA" w:rsidP="00BC3375"/>
    <w:p w14:paraId="64E917DF" w14:textId="77777777" w:rsidR="003C64FA" w:rsidRPr="00E148C4" w:rsidRDefault="003C64FA" w:rsidP="00BC3375"/>
    <w:p w14:paraId="76AA555C" w14:textId="77777777" w:rsidR="003C64FA" w:rsidRPr="00E148C4" w:rsidRDefault="003C64FA" w:rsidP="00BC3375"/>
    <w:p w14:paraId="18D2CE4A" w14:textId="77777777" w:rsidR="003C64FA" w:rsidRPr="00E148C4" w:rsidRDefault="003C64FA" w:rsidP="00BC3375"/>
    <w:p w14:paraId="5AC33F69" w14:textId="77777777" w:rsidR="003C64FA" w:rsidRPr="00E148C4" w:rsidRDefault="003C64FA" w:rsidP="00BC3375"/>
    <w:p w14:paraId="0D7D6B00" w14:textId="77777777" w:rsidR="003C64FA" w:rsidRPr="00E148C4" w:rsidRDefault="003C64FA" w:rsidP="00BC3375"/>
    <w:p w14:paraId="3161A0B3" w14:textId="77777777" w:rsidR="003C64FA" w:rsidRPr="00E148C4" w:rsidRDefault="003C64FA" w:rsidP="00BC3375"/>
    <w:p w14:paraId="18E0E283" w14:textId="77777777" w:rsidR="003C64FA" w:rsidRPr="00E148C4" w:rsidRDefault="003C64FA" w:rsidP="00BC3375"/>
    <w:p w14:paraId="3B2A0396" w14:textId="77777777" w:rsidR="003C64FA" w:rsidRPr="00E148C4" w:rsidRDefault="003C64FA" w:rsidP="00BC3375"/>
    <w:p w14:paraId="0D5F7BE7" w14:textId="77777777" w:rsidR="003C64FA" w:rsidRPr="00E148C4" w:rsidRDefault="003C64FA" w:rsidP="00BC3375"/>
    <w:p w14:paraId="655BDE75" w14:textId="77777777" w:rsidR="003C64FA" w:rsidRPr="00E148C4" w:rsidRDefault="003C64FA" w:rsidP="00BC3375"/>
    <w:p w14:paraId="24918C91" w14:textId="77777777" w:rsidR="003C64FA" w:rsidRPr="00E148C4" w:rsidRDefault="003C64FA" w:rsidP="00BC3375"/>
    <w:p w14:paraId="2729D60F" w14:textId="77777777" w:rsidR="003C64FA" w:rsidRPr="00E148C4" w:rsidRDefault="003C64FA" w:rsidP="00BC3375"/>
    <w:p w14:paraId="2318798D" w14:textId="77777777" w:rsidR="003C64FA" w:rsidRPr="00E148C4" w:rsidRDefault="003C64FA" w:rsidP="00BC3375"/>
    <w:p w14:paraId="1BA6AE73" w14:textId="77777777" w:rsidR="003C64FA" w:rsidRPr="00E148C4" w:rsidRDefault="003C64FA" w:rsidP="00BC3375"/>
    <w:p w14:paraId="34B4A64D" w14:textId="77777777" w:rsidR="003C64FA" w:rsidRPr="00E148C4" w:rsidRDefault="003C64FA" w:rsidP="00BC3375"/>
    <w:p w14:paraId="1879E5BD" w14:textId="77777777" w:rsidR="003C64FA" w:rsidRPr="00E148C4" w:rsidRDefault="003C64FA" w:rsidP="00BC3375"/>
    <w:p w14:paraId="43C3CA4B" w14:textId="77777777" w:rsidR="003C64FA" w:rsidRPr="00E148C4" w:rsidRDefault="003C64FA" w:rsidP="00BC3375"/>
    <w:p w14:paraId="7E156752" w14:textId="77777777" w:rsidR="003C64FA" w:rsidRPr="00E148C4" w:rsidRDefault="003C64FA" w:rsidP="00BC3375"/>
    <w:p w14:paraId="2897B388" w14:textId="77777777" w:rsidR="003C64FA" w:rsidRPr="00E148C4" w:rsidRDefault="003C64FA" w:rsidP="00BC3375"/>
    <w:p w14:paraId="1851B5B3" w14:textId="77777777" w:rsidR="003C64FA" w:rsidRPr="00E148C4" w:rsidRDefault="003C64FA" w:rsidP="00BC3375"/>
    <w:p w14:paraId="70B1ADB1" w14:textId="77777777" w:rsidR="00E817F4" w:rsidRPr="00E148C4" w:rsidRDefault="00E817F4" w:rsidP="00BC3375">
      <w:pPr>
        <w:rPr>
          <w:b/>
          <w:bCs/>
        </w:rPr>
      </w:pPr>
    </w:p>
    <w:p w14:paraId="363BC29F" w14:textId="6B294E8E" w:rsidR="00E817F4" w:rsidRPr="00E148C4" w:rsidRDefault="00E817F4" w:rsidP="00BC3375">
      <w:pPr>
        <w:rPr>
          <w:b/>
          <w:bCs/>
        </w:rPr>
      </w:pPr>
      <w:r w:rsidRPr="00E148C4">
        <w:rPr>
          <w:b/>
          <w:bCs/>
        </w:rPr>
        <w:lastRenderedPageBreak/>
        <w:t xml:space="preserve">Supplemental Table 4. </w:t>
      </w:r>
      <w:r w:rsidR="00DA6373" w:rsidRPr="00E148C4">
        <w:rPr>
          <w:b/>
          <w:bCs/>
        </w:rPr>
        <w:t>Incidence rate ratios (and 95% confidence intervals) for associations of adolescent mental and physical health with midlife diseases of despair</w:t>
      </w:r>
      <w:r w:rsidR="00996E8F" w:rsidRPr="00E148C4">
        <w:rPr>
          <w:b/>
          <w:bCs/>
        </w:rPr>
        <w:t>,</w:t>
      </w:r>
      <w:r w:rsidR="00DA6373" w:rsidRPr="00E148C4">
        <w:rPr>
          <w:b/>
          <w:bCs/>
        </w:rPr>
        <w:t xml:space="preserve"> using the full Wave V </w:t>
      </w:r>
      <w:proofErr w:type="gramStart"/>
      <w:r w:rsidR="00DA6373" w:rsidRPr="00E148C4">
        <w:rPr>
          <w:b/>
          <w:bCs/>
        </w:rPr>
        <w:t>sample</w:t>
      </w:r>
      <w:r w:rsidR="0035166F" w:rsidRPr="00E148C4">
        <w:rPr>
          <w:b/>
          <w:bCs/>
          <w:vertAlign w:val="superscript"/>
        </w:rPr>
        <w:t>1</w:t>
      </w:r>
      <w:proofErr w:type="gramEnd"/>
      <w:r w:rsidR="00DA6373" w:rsidRPr="00E148C4">
        <w:rPr>
          <w:b/>
          <w:bCs/>
        </w:rPr>
        <w:t xml:space="preserve"> </w:t>
      </w:r>
    </w:p>
    <w:tbl>
      <w:tblPr>
        <w:tblStyle w:val="TableGrid"/>
        <w:tblW w:w="0" w:type="auto"/>
        <w:tblLook w:val="04A0" w:firstRow="1" w:lastRow="0" w:firstColumn="1" w:lastColumn="0" w:noHBand="0" w:noVBand="1"/>
      </w:tblPr>
      <w:tblGrid>
        <w:gridCol w:w="4675"/>
        <w:gridCol w:w="4675"/>
      </w:tblGrid>
      <w:tr w:rsidR="00DA6373" w:rsidRPr="00E148C4" w14:paraId="5517EDA6" w14:textId="77777777" w:rsidTr="00DA6373">
        <w:tc>
          <w:tcPr>
            <w:tcW w:w="4675" w:type="dxa"/>
          </w:tcPr>
          <w:p w14:paraId="48712C90" w14:textId="1467B68B" w:rsidR="00DA6373" w:rsidRPr="00E148C4" w:rsidRDefault="00DA6373" w:rsidP="00BC3375">
            <w:pPr>
              <w:rPr>
                <w:b/>
                <w:bCs/>
              </w:rPr>
            </w:pPr>
            <w:r w:rsidRPr="00E148C4">
              <w:rPr>
                <w:b/>
                <w:bCs/>
              </w:rPr>
              <w:t xml:space="preserve">Predictor </w:t>
            </w:r>
          </w:p>
        </w:tc>
        <w:tc>
          <w:tcPr>
            <w:tcW w:w="4675" w:type="dxa"/>
          </w:tcPr>
          <w:p w14:paraId="38C7691A" w14:textId="0D39F976" w:rsidR="00DA6373" w:rsidRPr="00E148C4" w:rsidRDefault="00DA6373" w:rsidP="00BC3375">
            <w:pPr>
              <w:rPr>
                <w:b/>
                <w:bCs/>
              </w:rPr>
            </w:pPr>
            <w:r w:rsidRPr="00E148C4">
              <w:rPr>
                <w:b/>
                <w:bCs/>
              </w:rPr>
              <w:t>Adjusted IRR (95% Confidence Interval)</w:t>
            </w:r>
            <w:r w:rsidR="004C0483" w:rsidRPr="00E148C4">
              <w:rPr>
                <w:b/>
                <w:bCs/>
                <w:vertAlign w:val="superscript"/>
              </w:rPr>
              <w:t>2</w:t>
            </w:r>
          </w:p>
        </w:tc>
      </w:tr>
      <w:tr w:rsidR="00DA6373" w:rsidRPr="00E148C4" w14:paraId="5A6BE25F" w14:textId="77777777" w:rsidTr="00DA6373">
        <w:tc>
          <w:tcPr>
            <w:tcW w:w="4675" w:type="dxa"/>
          </w:tcPr>
          <w:p w14:paraId="1204E607" w14:textId="268BC14F" w:rsidR="00DA6373" w:rsidRPr="00E148C4" w:rsidRDefault="00DA6373" w:rsidP="00BC3375">
            <w:r w:rsidRPr="00E148C4">
              <w:t xml:space="preserve">Any adolescent psychopathology </w:t>
            </w:r>
          </w:p>
        </w:tc>
        <w:tc>
          <w:tcPr>
            <w:tcW w:w="4675" w:type="dxa"/>
          </w:tcPr>
          <w:p w14:paraId="60F96385" w14:textId="5EEDE1B9" w:rsidR="00DA6373" w:rsidRPr="00E148C4" w:rsidRDefault="00AC4065" w:rsidP="00BC3375">
            <w:r w:rsidRPr="00E148C4">
              <w:t>1.57 (1.44, 1.70)</w:t>
            </w:r>
          </w:p>
        </w:tc>
      </w:tr>
      <w:tr w:rsidR="00DA6373" w:rsidRPr="00E148C4" w14:paraId="43B276C2" w14:textId="77777777" w:rsidTr="00DA6373">
        <w:tc>
          <w:tcPr>
            <w:tcW w:w="4675" w:type="dxa"/>
          </w:tcPr>
          <w:p w14:paraId="77D8366B" w14:textId="10B4E5DD" w:rsidR="00DA6373" w:rsidRPr="00E148C4" w:rsidRDefault="00DA6373" w:rsidP="00BC3375">
            <w:r w:rsidRPr="00E148C4">
              <w:t xml:space="preserve">     Internalizing </w:t>
            </w:r>
            <w:r w:rsidR="00DF41A8" w:rsidRPr="00E148C4">
              <w:t>p</w:t>
            </w:r>
            <w:r w:rsidRPr="00E148C4">
              <w:t xml:space="preserve">sychopathology </w:t>
            </w:r>
          </w:p>
        </w:tc>
        <w:tc>
          <w:tcPr>
            <w:tcW w:w="4675" w:type="dxa"/>
          </w:tcPr>
          <w:p w14:paraId="3CAC93E4" w14:textId="0AAA1AAE" w:rsidR="00DA6373" w:rsidRPr="00E148C4" w:rsidRDefault="00AC4065" w:rsidP="00BC3375">
            <w:r w:rsidRPr="00E148C4">
              <w:t>1.53 (1.40, 1.67)</w:t>
            </w:r>
          </w:p>
        </w:tc>
      </w:tr>
      <w:tr w:rsidR="00DA6373" w:rsidRPr="00E148C4" w14:paraId="36D64BF3" w14:textId="77777777" w:rsidTr="00DA6373">
        <w:tc>
          <w:tcPr>
            <w:tcW w:w="4675" w:type="dxa"/>
          </w:tcPr>
          <w:p w14:paraId="3082BDA7" w14:textId="06E2FD85" w:rsidR="00DA6373" w:rsidRPr="00E148C4" w:rsidRDefault="00DA6373" w:rsidP="00BC3375">
            <w:r w:rsidRPr="00E148C4">
              <w:t xml:space="preserve">     Externalizing </w:t>
            </w:r>
            <w:r w:rsidR="00DF41A8" w:rsidRPr="00E148C4">
              <w:t>p</w:t>
            </w:r>
            <w:r w:rsidRPr="00E148C4">
              <w:t>sychopathology</w:t>
            </w:r>
          </w:p>
        </w:tc>
        <w:tc>
          <w:tcPr>
            <w:tcW w:w="4675" w:type="dxa"/>
          </w:tcPr>
          <w:p w14:paraId="22B28CF5" w14:textId="4EB3ADDE" w:rsidR="00DA6373" w:rsidRPr="00E148C4" w:rsidRDefault="00AC4065" w:rsidP="00BC3375">
            <w:r w:rsidRPr="00E148C4">
              <w:t>1.56 (1.39, 1.73)</w:t>
            </w:r>
          </w:p>
        </w:tc>
      </w:tr>
      <w:tr w:rsidR="00DA6373" w:rsidRPr="00E148C4" w14:paraId="1B9092CF" w14:textId="77777777" w:rsidTr="00DA6373">
        <w:tc>
          <w:tcPr>
            <w:tcW w:w="4675" w:type="dxa"/>
          </w:tcPr>
          <w:p w14:paraId="562C84EA" w14:textId="0B206C16" w:rsidR="00DA6373" w:rsidRPr="00E148C4" w:rsidRDefault="00DA6373" w:rsidP="00BC3375">
            <w:r w:rsidRPr="00E148C4">
              <w:t xml:space="preserve">     </w:t>
            </w:r>
            <w:r w:rsidR="00D6214C" w:rsidRPr="00E148C4">
              <w:t>Number of mental-health conditions</w:t>
            </w:r>
            <w:r w:rsidRPr="00E148C4">
              <w:t xml:space="preserve"> </w:t>
            </w:r>
          </w:p>
        </w:tc>
        <w:tc>
          <w:tcPr>
            <w:tcW w:w="4675" w:type="dxa"/>
          </w:tcPr>
          <w:p w14:paraId="04F3E478" w14:textId="1FEFD01E" w:rsidR="00DA6373" w:rsidRPr="00E148C4" w:rsidRDefault="00AC4065" w:rsidP="00BC3375">
            <w:r w:rsidRPr="00E148C4">
              <w:t>1.41 (1.33, 1.49)</w:t>
            </w:r>
          </w:p>
        </w:tc>
      </w:tr>
      <w:tr w:rsidR="00DA6373" w:rsidRPr="00E148C4" w14:paraId="5AD5A588" w14:textId="77777777" w:rsidTr="00DA6373">
        <w:tc>
          <w:tcPr>
            <w:tcW w:w="4675" w:type="dxa"/>
          </w:tcPr>
          <w:p w14:paraId="145CC00E" w14:textId="0EA04BCA" w:rsidR="00DA6373" w:rsidRPr="00E148C4" w:rsidRDefault="00DA6373" w:rsidP="00BC3375">
            <w:r w:rsidRPr="00E148C4">
              <w:t>Any adolescent physical</w:t>
            </w:r>
            <w:r w:rsidR="000C7C81" w:rsidRPr="00E148C4">
              <w:t>-</w:t>
            </w:r>
            <w:r w:rsidRPr="00E148C4">
              <w:t xml:space="preserve">health </w:t>
            </w:r>
            <w:r w:rsidR="001F04B5" w:rsidRPr="00E148C4">
              <w:t>condition</w:t>
            </w:r>
          </w:p>
        </w:tc>
        <w:tc>
          <w:tcPr>
            <w:tcW w:w="4675" w:type="dxa"/>
          </w:tcPr>
          <w:p w14:paraId="45409D0C" w14:textId="4D862C4C" w:rsidR="00DA6373" w:rsidRPr="00E148C4" w:rsidRDefault="00AC4065" w:rsidP="00BC3375">
            <w:r w:rsidRPr="00E148C4">
              <w:t>1.20 (1.07, 1.33)</w:t>
            </w:r>
          </w:p>
        </w:tc>
      </w:tr>
      <w:tr w:rsidR="00DA6373" w:rsidRPr="00E148C4" w14:paraId="2ECE1571" w14:textId="77777777" w:rsidTr="00DA6373">
        <w:tc>
          <w:tcPr>
            <w:tcW w:w="4675" w:type="dxa"/>
          </w:tcPr>
          <w:p w14:paraId="513C39E2" w14:textId="22274C5B" w:rsidR="00DA6373" w:rsidRPr="00E148C4" w:rsidRDefault="00DA6373" w:rsidP="00BC3375">
            <w:r w:rsidRPr="00E148C4">
              <w:t xml:space="preserve">     </w:t>
            </w:r>
            <w:r w:rsidR="000C7C81" w:rsidRPr="00E148C4">
              <w:t>Number of physical</w:t>
            </w:r>
            <w:r w:rsidR="00780EA8" w:rsidRPr="00E148C4">
              <w:t xml:space="preserve">-health </w:t>
            </w:r>
            <w:r w:rsidR="002E7406" w:rsidRPr="00E148C4">
              <w:t>conditions</w:t>
            </w:r>
          </w:p>
        </w:tc>
        <w:tc>
          <w:tcPr>
            <w:tcW w:w="4675" w:type="dxa"/>
          </w:tcPr>
          <w:p w14:paraId="0E856706" w14:textId="0AA2A79F" w:rsidR="00DA6373" w:rsidRPr="00E148C4" w:rsidRDefault="00AC4065" w:rsidP="00BC3375">
            <w:r w:rsidRPr="00E148C4">
              <w:t>1.19 (1.07, 1.31)</w:t>
            </w:r>
          </w:p>
        </w:tc>
      </w:tr>
    </w:tbl>
    <w:p w14:paraId="5A338920" w14:textId="27CBFFD2" w:rsidR="004C0483" w:rsidRPr="00E148C4" w:rsidRDefault="00AC4065" w:rsidP="00AC4065">
      <w:pPr>
        <w:rPr>
          <w:bCs/>
        </w:rPr>
      </w:pPr>
      <w:r w:rsidRPr="00E148C4">
        <w:rPr>
          <w:bCs/>
          <w:vertAlign w:val="superscript"/>
        </w:rPr>
        <w:t>1</w:t>
      </w:r>
      <w:r w:rsidR="004C0483" w:rsidRPr="00E148C4">
        <w:rPr>
          <w:bCs/>
        </w:rPr>
        <w:t xml:space="preserve"> Analytic n=10,342</w:t>
      </w:r>
      <w:r w:rsidR="00996E8F" w:rsidRPr="00E148C4">
        <w:rPr>
          <w:bCs/>
        </w:rPr>
        <w:t xml:space="preserve"> (all Wave V respondents with information on study variables)</w:t>
      </w:r>
      <w:r w:rsidR="004C0483" w:rsidRPr="00E148C4">
        <w:rPr>
          <w:bCs/>
        </w:rPr>
        <w:t xml:space="preserve">. The </w:t>
      </w:r>
      <w:r w:rsidR="00685CEE" w:rsidRPr="00E148C4">
        <w:rPr>
          <w:bCs/>
        </w:rPr>
        <w:t>W</w:t>
      </w:r>
      <w:r w:rsidR="004C0483" w:rsidRPr="00E148C4">
        <w:rPr>
          <w:bCs/>
        </w:rPr>
        <w:t>ave V cross-sectional weight was used</w:t>
      </w:r>
      <w:r w:rsidR="00F84B85" w:rsidRPr="00E148C4">
        <w:rPr>
          <w:bCs/>
        </w:rPr>
        <w:t xml:space="preserve"> in analyses</w:t>
      </w:r>
      <w:r w:rsidR="004C0483" w:rsidRPr="00E148C4">
        <w:rPr>
          <w:bCs/>
        </w:rPr>
        <w:t xml:space="preserve">. </w:t>
      </w:r>
    </w:p>
    <w:p w14:paraId="5A98FD0E" w14:textId="7859F0EC" w:rsidR="00AC4065" w:rsidRPr="00E148C4" w:rsidRDefault="004C0483" w:rsidP="00AC4065">
      <w:r w:rsidRPr="00E148C4">
        <w:rPr>
          <w:bCs/>
          <w:vertAlign w:val="superscript"/>
        </w:rPr>
        <w:t xml:space="preserve">2 </w:t>
      </w:r>
      <w:r w:rsidR="00AC4065" w:rsidRPr="00E148C4">
        <w:t xml:space="preserve">Adjusted for demographic factors (including age, sex, race, and ethnicity), adolescent socioeconomic status, and adolescent cognitive ability. </w:t>
      </w:r>
    </w:p>
    <w:p w14:paraId="45EB15E6" w14:textId="77777777" w:rsidR="00E817F4" w:rsidRPr="00E148C4" w:rsidRDefault="00E817F4" w:rsidP="00BC3375">
      <w:pPr>
        <w:rPr>
          <w:b/>
          <w:bCs/>
        </w:rPr>
      </w:pPr>
    </w:p>
    <w:p w14:paraId="7DA36CC5" w14:textId="77777777" w:rsidR="00E817F4" w:rsidRPr="00E148C4" w:rsidRDefault="00E817F4" w:rsidP="00BC3375">
      <w:pPr>
        <w:rPr>
          <w:b/>
          <w:bCs/>
        </w:rPr>
      </w:pPr>
    </w:p>
    <w:p w14:paraId="6A557E55" w14:textId="77777777" w:rsidR="00E817F4" w:rsidRPr="00E148C4" w:rsidRDefault="00E817F4" w:rsidP="00BC3375">
      <w:pPr>
        <w:rPr>
          <w:b/>
          <w:bCs/>
        </w:rPr>
      </w:pPr>
    </w:p>
    <w:p w14:paraId="29EFE81A" w14:textId="77777777" w:rsidR="00E817F4" w:rsidRPr="00E148C4" w:rsidRDefault="00E817F4" w:rsidP="00BC3375">
      <w:pPr>
        <w:rPr>
          <w:b/>
          <w:bCs/>
        </w:rPr>
      </w:pPr>
    </w:p>
    <w:p w14:paraId="6D748721" w14:textId="77777777" w:rsidR="00E817F4" w:rsidRPr="00E148C4" w:rsidRDefault="00E817F4" w:rsidP="00BC3375">
      <w:pPr>
        <w:rPr>
          <w:b/>
          <w:bCs/>
        </w:rPr>
      </w:pPr>
    </w:p>
    <w:p w14:paraId="6F1150C0" w14:textId="77777777" w:rsidR="00E817F4" w:rsidRPr="00E148C4" w:rsidRDefault="00E817F4" w:rsidP="00BC3375">
      <w:pPr>
        <w:rPr>
          <w:b/>
          <w:bCs/>
        </w:rPr>
      </w:pPr>
    </w:p>
    <w:p w14:paraId="3B228E53" w14:textId="77777777" w:rsidR="00E817F4" w:rsidRPr="00E148C4" w:rsidRDefault="00E817F4" w:rsidP="00BC3375">
      <w:pPr>
        <w:rPr>
          <w:b/>
          <w:bCs/>
        </w:rPr>
      </w:pPr>
    </w:p>
    <w:p w14:paraId="3AE51647" w14:textId="77777777" w:rsidR="00E817F4" w:rsidRPr="00E148C4" w:rsidRDefault="00E817F4" w:rsidP="00BC3375">
      <w:pPr>
        <w:rPr>
          <w:b/>
          <w:bCs/>
        </w:rPr>
      </w:pPr>
    </w:p>
    <w:p w14:paraId="01D16D47" w14:textId="77777777" w:rsidR="00E817F4" w:rsidRPr="00E148C4" w:rsidRDefault="00E817F4" w:rsidP="00BC3375">
      <w:pPr>
        <w:rPr>
          <w:b/>
          <w:bCs/>
        </w:rPr>
      </w:pPr>
    </w:p>
    <w:p w14:paraId="57A20C12" w14:textId="77777777" w:rsidR="00E817F4" w:rsidRPr="00E148C4" w:rsidRDefault="00E817F4" w:rsidP="00BC3375">
      <w:pPr>
        <w:rPr>
          <w:b/>
          <w:bCs/>
        </w:rPr>
      </w:pPr>
    </w:p>
    <w:p w14:paraId="0221B32E" w14:textId="77777777" w:rsidR="00E817F4" w:rsidRPr="00E148C4" w:rsidRDefault="00E817F4" w:rsidP="00BC3375">
      <w:pPr>
        <w:rPr>
          <w:b/>
          <w:bCs/>
        </w:rPr>
      </w:pPr>
    </w:p>
    <w:p w14:paraId="0E337827" w14:textId="77777777" w:rsidR="00E817F4" w:rsidRPr="00E148C4" w:rsidRDefault="00E817F4" w:rsidP="00BC3375">
      <w:pPr>
        <w:rPr>
          <w:b/>
          <w:bCs/>
        </w:rPr>
      </w:pPr>
    </w:p>
    <w:p w14:paraId="77376202" w14:textId="77777777" w:rsidR="00E817F4" w:rsidRPr="00E148C4" w:rsidRDefault="00E817F4" w:rsidP="00BC3375">
      <w:pPr>
        <w:rPr>
          <w:b/>
          <w:bCs/>
        </w:rPr>
      </w:pPr>
    </w:p>
    <w:p w14:paraId="3D77FB41" w14:textId="77777777" w:rsidR="00E817F4" w:rsidRPr="00E148C4" w:rsidRDefault="00E817F4" w:rsidP="00BC3375">
      <w:pPr>
        <w:rPr>
          <w:b/>
          <w:bCs/>
        </w:rPr>
      </w:pPr>
    </w:p>
    <w:p w14:paraId="78FF160C" w14:textId="77777777" w:rsidR="00E817F4" w:rsidRPr="00E148C4" w:rsidRDefault="00E817F4" w:rsidP="00BC3375">
      <w:pPr>
        <w:rPr>
          <w:b/>
          <w:bCs/>
        </w:rPr>
      </w:pPr>
    </w:p>
    <w:p w14:paraId="7C507C6A" w14:textId="77777777" w:rsidR="00E817F4" w:rsidRPr="00E148C4" w:rsidRDefault="00E817F4" w:rsidP="00BC3375">
      <w:pPr>
        <w:rPr>
          <w:b/>
          <w:bCs/>
        </w:rPr>
      </w:pPr>
    </w:p>
    <w:p w14:paraId="396D12D7" w14:textId="77777777" w:rsidR="00E817F4" w:rsidRPr="00E148C4" w:rsidRDefault="00E817F4" w:rsidP="00BC3375">
      <w:pPr>
        <w:rPr>
          <w:b/>
          <w:bCs/>
        </w:rPr>
      </w:pPr>
    </w:p>
    <w:p w14:paraId="308BBAA9" w14:textId="77777777" w:rsidR="00E817F4" w:rsidRPr="00E148C4" w:rsidRDefault="00E817F4" w:rsidP="00BC3375">
      <w:pPr>
        <w:rPr>
          <w:b/>
          <w:bCs/>
        </w:rPr>
      </w:pPr>
    </w:p>
    <w:p w14:paraId="2ED9A4CE" w14:textId="77777777" w:rsidR="00E817F4" w:rsidRPr="00E148C4" w:rsidRDefault="00E817F4" w:rsidP="00BC3375">
      <w:pPr>
        <w:rPr>
          <w:b/>
          <w:bCs/>
        </w:rPr>
      </w:pPr>
    </w:p>
    <w:p w14:paraId="047E7633" w14:textId="77777777" w:rsidR="00E817F4" w:rsidRPr="00E148C4" w:rsidRDefault="00E817F4" w:rsidP="00BC3375">
      <w:pPr>
        <w:rPr>
          <w:b/>
          <w:bCs/>
        </w:rPr>
      </w:pPr>
    </w:p>
    <w:p w14:paraId="3A4FCF72" w14:textId="77777777" w:rsidR="00E817F4" w:rsidRPr="00E148C4" w:rsidRDefault="00E817F4" w:rsidP="00BC3375">
      <w:pPr>
        <w:rPr>
          <w:b/>
          <w:bCs/>
        </w:rPr>
      </w:pPr>
    </w:p>
    <w:p w14:paraId="7576F2F4" w14:textId="77777777" w:rsidR="00E817F4" w:rsidRPr="00E148C4" w:rsidRDefault="00E817F4" w:rsidP="00BC3375">
      <w:pPr>
        <w:rPr>
          <w:b/>
          <w:bCs/>
        </w:rPr>
      </w:pPr>
    </w:p>
    <w:p w14:paraId="602697E9" w14:textId="77777777" w:rsidR="00E817F4" w:rsidRPr="00E148C4" w:rsidRDefault="00E817F4" w:rsidP="00BC3375">
      <w:pPr>
        <w:rPr>
          <w:b/>
          <w:bCs/>
        </w:rPr>
      </w:pPr>
    </w:p>
    <w:p w14:paraId="341BC755" w14:textId="77777777" w:rsidR="00E817F4" w:rsidRPr="00E148C4" w:rsidRDefault="00E817F4" w:rsidP="00BC3375">
      <w:pPr>
        <w:rPr>
          <w:b/>
          <w:bCs/>
        </w:rPr>
      </w:pPr>
    </w:p>
    <w:p w14:paraId="58607112" w14:textId="77777777" w:rsidR="00E817F4" w:rsidRPr="00E148C4" w:rsidRDefault="00E817F4" w:rsidP="00BC3375">
      <w:pPr>
        <w:rPr>
          <w:b/>
          <w:bCs/>
        </w:rPr>
      </w:pPr>
    </w:p>
    <w:p w14:paraId="366E2588" w14:textId="77777777" w:rsidR="00E817F4" w:rsidRPr="00E148C4" w:rsidRDefault="00E817F4" w:rsidP="00BC3375">
      <w:pPr>
        <w:rPr>
          <w:b/>
          <w:bCs/>
        </w:rPr>
      </w:pPr>
    </w:p>
    <w:p w14:paraId="026296DA" w14:textId="77777777" w:rsidR="00E817F4" w:rsidRPr="00E148C4" w:rsidRDefault="00E817F4" w:rsidP="00BC3375">
      <w:pPr>
        <w:rPr>
          <w:b/>
          <w:bCs/>
        </w:rPr>
      </w:pPr>
    </w:p>
    <w:p w14:paraId="4D3EB2D8" w14:textId="77777777" w:rsidR="00E817F4" w:rsidRPr="00E148C4" w:rsidRDefault="00E817F4" w:rsidP="00BC3375">
      <w:pPr>
        <w:rPr>
          <w:b/>
          <w:bCs/>
        </w:rPr>
      </w:pPr>
    </w:p>
    <w:p w14:paraId="6AAB28D3" w14:textId="77777777" w:rsidR="00E817F4" w:rsidRPr="00E148C4" w:rsidRDefault="00E817F4" w:rsidP="00BC3375">
      <w:pPr>
        <w:rPr>
          <w:b/>
          <w:bCs/>
        </w:rPr>
      </w:pPr>
    </w:p>
    <w:p w14:paraId="7395F3F8" w14:textId="77777777" w:rsidR="00E817F4" w:rsidRPr="00E148C4" w:rsidRDefault="00E817F4" w:rsidP="00BC3375">
      <w:pPr>
        <w:rPr>
          <w:b/>
          <w:bCs/>
        </w:rPr>
      </w:pPr>
    </w:p>
    <w:p w14:paraId="06303E69" w14:textId="3E0D8D4A" w:rsidR="00E817F4" w:rsidRPr="00E148C4" w:rsidRDefault="00E817F4" w:rsidP="00BC3375">
      <w:pPr>
        <w:rPr>
          <w:b/>
          <w:bCs/>
        </w:rPr>
      </w:pPr>
      <w:r w:rsidRPr="00E148C4">
        <w:rPr>
          <w:b/>
          <w:bCs/>
        </w:rPr>
        <w:lastRenderedPageBreak/>
        <w:t xml:space="preserve">Supplemental Table 5. </w:t>
      </w:r>
      <w:r w:rsidR="007616AC" w:rsidRPr="00E148C4">
        <w:rPr>
          <w:b/>
          <w:bCs/>
        </w:rPr>
        <w:t xml:space="preserve">Incidence rate ratios (and 95% confidence intervals) for associations of </w:t>
      </w:r>
      <w:proofErr w:type="gramStart"/>
      <w:r w:rsidR="007616AC" w:rsidRPr="00E148C4">
        <w:rPr>
          <w:b/>
          <w:bCs/>
        </w:rPr>
        <w:t>prospectively</w:t>
      </w:r>
      <w:r w:rsidR="00B50E8F" w:rsidRPr="00E148C4">
        <w:rPr>
          <w:b/>
          <w:bCs/>
        </w:rPr>
        <w:t>-</w:t>
      </w:r>
      <w:r w:rsidR="007616AC" w:rsidRPr="00E148C4">
        <w:rPr>
          <w:b/>
          <w:bCs/>
        </w:rPr>
        <w:t>assessed</w:t>
      </w:r>
      <w:proofErr w:type="gramEnd"/>
      <w:r w:rsidR="007616AC" w:rsidRPr="00E148C4">
        <w:rPr>
          <w:b/>
          <w:bCs/>
        </w:rPr>
        <w:t xml:space="preserve"> adolescent mental</w:t>
      </w:r>
      <w:r w:rsidR="00B50E8F" w:rsidRPr="00E148C4">
        <w:rPr>
          <w:b/>
          <w:bCs/>
        </w:rPr>
        <w:t>-</w:t>
      </w:r>
      <w:r w:rsidR="007616AC" w:rsidRPr="00E148C4">
        <w:rPr>
          <w:b/>
          <w:bCs/>
        </w:rPr>
        <w:t>health</w:t>
      </w:r>
      <w:r w:rsidR="00366AB3" w:rsidRPr="00E148C4">
        <w:rPr>
          <w:b/>
          <w:bCs/>
        </w:rPr>
        <w:t xml:space="preserve"> conditions</w:t>
      </w:r>
      <w:r w:rsidR="007616AC" w:rsidRPr="00E148C4">
        <w:rPr>
          <w:b/>
          <w:bCs/>
        </w:rPr>
        <w:t xml:space="preserve"> with midlife diseases of despair and cardiometabolic risk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610"/>
        <w:gridCol w:w="2242"/>
        <w:gridCol w:w="2338"/>
      </w:tblGrid>
      <w:tr w:rsidR="00A95E31" w:rsidRPr="00E148C4" w14:paraId="74B04BB0" w14:textId="77777777" w:rsidTr="004E748E">
        <w:tc>
          <w:tcPr>
            <w:tcW w:w="2160" w:type="dxa"/>
            <w:vMerge w:val="restart"/>
            <w:tcBorders>
              <w:top w:val="single" w:sz="4" w:space="0" w:color="auto"/>
            </w:tcBorders>
          </w:tcPr>
          <w:p w14:paraId="7C5F8BCA" w14:textId="77777777" w:rsidR="00A95E31" w:rsidRPr="00E148C4" w:rsidRDefault="00A95E31" w:rsidP="00A95E31">
            <w:pPr>
              <w:jc w:val="center"/>
              <w:rPr>
                <w:b/>
                <w:bCs/>
              </w:rPr>
            </w:pPr>
          </w:p>
          <w:p w14:paraId="45B1FFB1" w14:textId="09C597DC" w:rsidR="00A95E31" w:rsidRPr="00E148C4" w:rsidRDefault="00A95E31" w:rsidP="001A2F50">
            <w:pPr>
              <w:jc w:val="center"/>
              <w:rPr>
                <w:b/>
                <w:bCs/>
              </w:rPr>
            </w:pPr>
            <w:r w:rsidRPr="00E148C4">
              <w:rPr>
                <w:b/>
                <w:bCs/>
              </w:rPr>
              <w:t>Outcome</w:t>
            </w:r>
          </w:p>
        </w:tc>
        <w:tc>
          <w:tcPr>
            <w:tcW w:w="2610" w:type="dxa"/>
            <w:vMerge w:val="restart"/>
            <w:tcBorders>
              <w:top w:val="single" w:sz="4" w:space="0" w:color="auto"/>
            </w:tcBorders>
          </w:tcPr>
          <w:p w14:paraId="647CD129" w14:textId="77777777" w:rsidR="00A95E31" w:rsidRPr="00E148C4" w:rsidRDefault="00A95E31" w:rsidP="00A95E31">
            <w:pPr>
              <w:jc w:val="center"/>
              <w:rPr>
                <w:b/>
                <w:bCs/>
              </w:rPr>
            </w:pPr>
          </w:p>
          <w:p w14:paraId="58AAFD5F" w14:textId="2FC97116" w:rsidR="00A95E31" w:rsidRPr="00E148C4" w:rsidRDefault="00A95E31" w:rsidP="001A2F50">
            <w:pPr>
              <w:jc w:val="center"/>
              <w:rPr>
                <w:b/>
                <w:bCs/>
                <w:vertAlign w:val="superscript"/>
              </w:rPr>
            </w:pPr>
            <w:r w:rsidRPr="00E148C4">
              <w:rPr>
                <w:b/>
                <w:bCs/>
              </w:rPr>
              <w:t>Predictor</w:t>
            </w:r>
            <w:r w:rsidR="004C0483" w:rsidRPr="00E148C4">
              <w:rPr>
                <w:b/>
                <w:bCs/>
                <w:vertAlign w:val="superscript"/>
              </w:rPr>
              <w:t>1</w:t>
            </w:r>
          </w:p>
        </w:tc>
        <w:tc>
          <w:tcPr>
            <w:tcW w:w="4580" w:type="dxa"/>
            <w:gridSpan w:val="2"/>
            <w:tcBorders>
              <w:top w:val="single" w:sz="4" w:space="0" w:color="auto"/>
            </w:tcBorders>
          </w:tcPr>
          <w:p w14:paraId="1619BE90" w14:textId="6D9BDAD9" w:rsidR="00A95E31" w:rsidRPr="00E148C4" w:rsidRDefault="00A95E31" w:rsidP="001A2F50">
            <w:pPr>
              <w:jc w:val="center"/>
              <w:rPr>
                <w:b/>
                <w:bCs/>
              </w:rPr>
            </w:pPr>
            <w:r w:rsidRPr="00E148C4">
              <w:rPr>
                <w:b/>
                <w:bCs/>
              </w:rPr>
              <w:t>IRR (95% Confidence Interval)</w:t>
            </w:r>
          </w:p>
        </w:tc>
      </w:tr>
      <w:tr w:rsidR="00A95E31" w:rsidRPr="00E148C4" w14:paraId="379C2C5A" w14:textId="77777777" w:rsidTr="004E748E">
        <w:tc>
          <w:tcPr>
            <w:tcW w:w="2160" w:type="dxa"/>
            <w:vMerge/>
            <w:tcBorders>
              <w:bottom w:val="single" w:sz="4" w:space="0" w:color="auto"/>
            </w:tcBorders>
          </w:tcPr>
          <w:p w14:paraId="0C02CF4A" w14:textId="37A0B501" w:rsidR="00A95E31" w:rsidRPr="00E148C4" w:rsidRDefault="00A95E31" w:rsidP="00BC3375">
            <w:pPr>
              <w:rPr>
                <w:b/>
                <w:bCs/>
              </w:rPr>
            </w:pPr>
          </w:p>
        </w:tc>
        <w:tc>
          <w:tcPr>
            <w:tcW w:w="2610" w:type="dxa"/>
            <w:vMerge/>
            <w:tcBorders>
              <w:bottom w:val="single" w:sz="4" w:space="0" w:color="auto"/>
            </w:tcBorders>
          </w:tcPr>
          <w:p w14:paraId="62D6F6B0" w14:textId="3339F571" w:rsidR="00A95E31" w:rsidRPr="00E148C4" w:rsidRDefault="00A95E31" w:rsidP="00BC3375">
            <w:pPr>
              <w:rPr>
                <w:b/>
                <w:bCs/>
              </w:rPr>
            </w:pPr>
          </w:p>
        </w:tc>
        <w:tc>
          <w:tcPr>
            <w:tcW w:w="2242" w:type="dxa"/>
            <w:tcBorders>
              <w:bottom w:val="single" w:sz="4" w:space="0" w:color="auto"/>
            </w:tcBorders>
          </w:tcPr>
          <w:p w14:paraId="6BC2AF9A" w14:textId="17612A25" w:rsidR="00A95E31" w:rsidRPr="00E148C4" w:rsidRDefault="00A95E31" w:rsidP="00BC3375">
            <w:pPr>
              <w:rPr>
                <w:b/>
                <w:bCs/>
              </w:rPr>
            </w:pPr>
            <w:r w:rsidRPr="00E148C4">
              <w:rPr>
                <w:b/>
                <w:bCs/>
              </w:rPr>
              <w:t>Baseline</w:t>
            </w:r>
            <w:r w:rsidR="004C0483" w:rsidRPr="00E148C4">
              <w:rPr>
                <w:b/>
                <w:bCs/>
                <w:vertAlign w:val="superscript"/>
              </w:rPr>
              <w:t>2</w:t>
            </w:r>
            <w:r w:rsidRPr="00E148C4">
              <w:rPr>
                <w:b/>
                <w:bCs/>
              </w:rPr>
              <w:t xml:space="preserve"> </w:t>
            </w:r>
          </w:p>
        </w:tc>
        <w:tc>
          <w:tcPr>
            <w:tcW w:w="2338" w:type="dxa"/>
            <w:tcBorders>
              <w:bottom w:val="single" w:sz="4" w:space="0" w:color="auto"/>
            </w:tcBorders>
          </w:tcPr>
          <w:p w14:paraId="26D795D7" w14:textId="6EB2DECE" w:rsidR="00A95E31" w:rsidRPr="00E148C4" w:rsidRDefault="00A95E31" w:rsidP="00BC3375">
            <w:pPr>
              <w:rPr>
                <w:b/>
                <w:bCs/>
              </w:rPr>
            </w:pPr>
            <w:r w:rsidRPr="00E148C4">
              <w:rPr>
                <w:b/>
                <w:bCs/>
              </w:rPr>
              <w:t>Adjusted</w:t>
            </w:r>
            <w:r w:rsidR="004C0483" w:rsidRPr="00E148C4">
              <w:rPr>
                <w:b/>
                <w:bCs/>
                <w:vertAlign w:val="superscript"/>
              </w:rPr>
              <w:t>3</w:t>
            </w:r>
            <w:r w:rsidRPr="00E148C4">
              <w:rPr>
                <w:b/>
                <w:bCs/>
              </w:rPr>
              <w:t xml:space="preserve"> </w:t>
            </w:r>
          </w:p>
        </w:tc>
      </w:tr>
      <w:tr w:rsidR="00A95E31" w:rsidRPr="00E148C4" w14:paraId="2BFC412B" w14:textId="77777777" w:rsidTr="004E748E">
        <w:tc>
          <w:tcPr>
            <w:tcW w:w="2160" w:type="dxa"/>
            <w:vMerge w:val="restart"/>
            <w:tcBorders>
              <w:top w:val="single" w:sz="4" w:space="0" w:color="auto"/>
            </w:tcBorders>
          </w:tcPr>
          <w:p w14:paraId="7D5E4AF7" w14:textId="3D682E56" w:rsidR="00A95E31" w:rsidRPr="00E148C4" w:rsidRDefault="00A95E31" w:rsidP="00A95E31">
            <w:r w:rsidRPr="00E148C4">
              <w:t>Despair-related diseases</w:t>
            </w:r>
          </w:p>
        </w:tc>
        <w:tc>
          <w:tcPr>
            <w:tcW w:w="2610" w:type="dxa"/>
            <w:tcBorders>
              <w:top w:val="single" w:sz="4" w:space="0" w:color="auto"/>
            </w:tcBorders>
            <w:shd w:val="clear" w:color="auto" w:fill="auto"/>
            <w:vAlign w:val="bottom"/>
          </w:tcPr>
          <w:p w14:paraId="256ED081" w14:textId="2E3703D3" w:rsidR="00A95E31" w:rsidRPr="00E148C4" w:rsidRDefault="00A95E31" w:rsidP="00A95E31">
            <w:r w:rsidRPr="00E148C4">
              <w:rPr>
                <w:color w:val="000000"/>
              </w:rPr>
              <w:t xml:space="preserve">Any </w:t>
            </w:r>
            <w:r w:rsidR="00232A0B" w:rsidRPr="00E148C4">
              <w:rPr>
                <w:color w:val="000000"/>
              </w:rPr>
              <w:t>p</w:t>
            </w:r>
            <w:r w:rsidRPr="00E148C4">
              <w:rPr>
                <w:color w:val="000000"/>
              </w:rPr>
              <w:t xml:space="preserve">rospective </w:t>
            </w:r>
            <w:r w:rsidR="00506508" w:rsidRPr="00E148C4">
              <w:rPr>
                <w:color w:val="000000"/>
              </w:rPr>
              <w:t xml:space="preserve">mental-health condition </w:t>
            </w:r>
          </w:p>
        </w:tc>
        <w:tc>
          <w:tcPr>
            <w:tcW w:w="2242" w:type="dxa"/>
            <w:tcBorders>
              <w:top w:val="single" w:sz="4" w:space="0" w:color="auto"/>
            </w:tcBorders>
          </w:tcPr>
          <w:p w14:paraId="2741B88F" w14:textId="4A6B4DD0" w:rsidR="00A95E31" w:rsidRPr="00E148C4" w:rsidRDefault="00A95E31" w:rsidP="00A95E31">
            <w:r w:rsidRPr="00E148C4">
              <w:t>1.55 (1.35, 1.75)</w:t>
            </w:r>
          </w:p>
        </w:tc>
        <w:tc>
          <w:tcPr>
            <w:tcW w:w="2338" w:type="dxa"/>
            <w:tcBorders>
              <w:top w:val="single" w:sz="4" w:space="0" w:color="auto"/>
            </w:tcBorders>
          </w:tcPr>
          <w:p w14:paraId="1F521BAB" w14:textId="111928A4" w:rsidR="00A95E31" w:rsidRPr="00E148C4" w:rsidRDefault="004D3707" w:rsidP="00A95E31">
            <w:r w:rsidRPr="00E148C4">
              <w:t>1.48 (1.28, 1.68)</w:t>
            </w:r>
          </w:p>
        </w:tc>
      </w:tr>
      <w:tr w:rsidR="00A95E31" w:rsidRPr="00E148C4" w14:paraId="7F28FA79" w14:textId="77777777" w:rsidTr="004E748E">
        <w:tc>
          <w:tcPr>
            <w:tcW w:w="2160" w:type="dxa"/>
            <w:vMerge/>
          </w:tcPr>
          <w:p w14:paraId="075CE47E" w14:textId="77777777" w:rsidR="00A95E31" w:rsidRPr="00E148C4" w:rsidRDefault="00A95E31" w:rsidP="001A2F50">
            <w:pPr>
              <w:jc w:val="center"/>
            </w:pPr>
          </w:p>
        </w:tc>
        <w:tc>
          <w:tcPr>
            <w:tcW w:w="2610" w:type="dxa"/>
            <w:shd w:val="clear" w:color="auto" w:fill="auto"/>
            <w:vAlign w:val="bottom"/>
          </w:tcPr>
          <w:p w14:paraId="11B66F65" w14:textId="0A6DC854" w:rsidR="00A95E31" w:rsidRPr="00E148C4" w:rsidRDefault="00A95E31" w:rsidP="00A95E31">
            <w:r w:rsidRPr="00E148C4">
              <w:rPr>
                <w:color w:val="000000"/>
              </w:rPr>
              <w:t>Depression via CES</w:t>
            </w:r>
            <w:r w:rsidR="00DA6373" w:rsidRPr="00E148C4">
              <w:rPr>
                <w:color w:val="000000"/>
              </w:rPr>
              <w:t>-</w:t>
            </w:r>
            <w:r w:rsidRPr="00E148C4">
              <w:rPr>
                <w:color w:val="000000"/>
              </w:rPr>
              <w:t xml:space="preserve">D </w:t>
            </w:r>
          </w:p>
        </w:tc>
        <w:tc>
          <w:tcPr>
            <w:tcW w:w="2242" w:type="dxa"/>
          </w:tcPr>
          <w:p w14:paraId="1EDC4352" w14:textId="4D3A0947" w:rsidR="00A95E31" w:rsidRPr="00E148C4" w:rsidRDefault="00A95E31" w:rsidP="00A95E31">
            <w:r w:rsidRPr="00E148C4">
              <w:t>1.43 (1.25, 1.61)</w:t>
            </w:r>
          </w:p>
        </w:tc>
        <w:tc>
          <w:tcPr>
            <w:tcW w:w="2338" w:type="dxa"/>
          </w:tcPr>
          <w:p w14:paraId="030F5B2A" w14:textId="1DE90F9F" w:rsidR="00A95E31" w:rsidRPr="00E148C4" w:rsidRDefault="004D3707" w:rsidP="00A95E31">
            <w:r w:rsidRPr="00E148C4">
              <w:t>1.36 (1.18, 1.54)</w:t>
            </w:r>
          </w:p>
        </w:tc>
      </w:tr>
      <w:tr w:rsidR="00A95E31" w:rsidRPr="00E148C4" w14:paraId="1416BF59" w14:textId="77777777" w:rsidTr="004E748E">
        <w:tc>
          <w:tcPr>
            <w:tcW w:w="2160" w:type="dxa"/>
            <w:vMerge/>
            <w:tcBorders>
              <w:bottom w:val="single" w:sz="4" w:space="0" w:color="auto"/>
            </w:tcBorders>
          </w:tcPr>
          <w:p w14:paraId="621DF835" w14:textId="77777777" w:rsidR="00A95E31" w:rsidRPr="00E148C4" w:rsidRDefault="00A95E31" w:rsidP="001A2F50">
            <w:pPr>
              <w:jc w:val="center"/>
            </w:pPr>
          </w:p>
        </w:tc>
        <w:tc>
          <w:tcPr>
            <w:tcW w:w="2610" w:type="dxa"/>
            <w:tcBorders>
              <w:bottom w:val="single" w:sz="4" w:space="0" w:color="auto"/>
            </w:tcBorders>
            <w:shd w:val="clear" w:color="auto" w:fill="auto"/>
            <w:vAlign w:val="bottom"/>
          </w:tcPr>
          <w:p w14:paraId="32C7EA96" w14:textId="25EAD5E8" w:rsidR="00A95E31" w:rsidRPr="00E148C4" w:rsidRDefault="00A95E31" w:rsidP="00A95E31">
            <w:r w:rsidRPr="00E148C4">
              <w:rPr>
                <w:color w:val="000000"/>
              </w:rPr>
              <w:t xml:space="preserve">Conduct </w:t>
            </w:r>
            <w:r w:rsidR="00232A0B" w:rsidRPr="00E148C4">
              <w:rPr>
                <w:color w:val="000000"/>
              </w:rPr>
              <w:t>d</w:t>
            </w:r>
            <w:r w:rsidRPr="00E148C4">
              <w:rPr>
                <w:color w:val="000000"/>
              </w:rPr>
              <w:t xml:space="preserve">isorder </w:t>
            </w:r>
          </w:p>
        </w:tc>
        <w:tc>
          <w:tcPr>
            <w:tcW w:w="2242" w:type="dxa"/>
            <w:tcBorders>
              <w:bottom w:val="single" w:sz="4" w:space="0" w:color="auto"/>
            </w:tcBorders>
          </w:tcPr>
          <w:p w14:paraId="3A7F5475" w14:textId="52998231" w:rsidR="00A95E31" w:rsidRPr="00E148C4" w:rsidRDefault="00A95E31" w:rsidP="00A95E31">
            <w:r w:rsidRPr="00E148C4">
              <w:t xml:space="preserve">1.66 (1.37, 1.95) </w:t>
            </w:r>
          </w:p>
        </w:tc>
        <w:tc>
          <w:tcPr>
            <w:tcW w:w="2338" w:type="dxa"/>
            <w:tcBorders>
              <w:bottom w:val="single" w:sz="4" w:space="0" w:color="auto"/>
            </w:tcBorders>
          </w:tcPr>
          <w:p w14:paraId="41D7EFC9" w14:textId="774A7A33" w:rsidR="00A95E31" w:rsidRPr="00E148C4" w:rsidRDefault="004D3707" w:rsidP="00A95E31">
            <w:r w:rsidRPr="00E148C4">
              <w:t xml:space="preserve">1.60 (1.33, 1.87) </w:t>
            </w:r>
          </w:p>
        </w:tc>
      </w:tr>
      <w:tr w:rsidR="00A95E31" w:rsidRPr="00E148C4" w14:paraId="64FE9A4D" w14:textId="77777777" w:rsidTr="004E748E">
        <w:tc>
          <w:tcPr>
            <w:tcW w:w="2160" w:type="dxa"/>
            <w:vMerge w:val="restart"/>
            <w:tcBorders>
              <w:top w:val="single" w:sz="4" w:space="0" w:color="auto"/>
            </w:tcBorders>
          </w:tcPr>
          <w:p w14:paraId="47B77E31" w14:textId="3E3DE11E" w:rsidR="00A95E31" w:rsidRPr="00E148C4" w:rsidRDefault="00A95E31" w:rsidP="004E748E">
            <w:r w:rsidRPr="00E148C4">
              <w:t xml:space="preserve">Cardiometabolic </w:t>
            </w:r>
            <w:r w:rsidR="003D4F30" w:rsidRPr="00E148C4">
              <w:t>r</w:t>
            </w:r>
            <w:r w:rsidRPr="00E148C4">
              <w:t>isk</w:t>
            </w:r>
          </w:p>
        </w:tc>
        <w:tc>
          <w:tcPr>
            <w:tcW w:w="2610" w:type="dxa"/>
            <w:tcBorders>
              <w:top w:val="single" w:sz="4" w:space="0" w:color="auto"/>
            </w:tcBorders>
            <w:shd w:val="clear" w:color="auto" w:fill="auto"/>
            <w:vAlign w:val="bottom"/>
          </w:tcPr>
          <w:p w14:paraId="6570F4DE" w14:textId="7B460988" w:rsidR="00A95E31" w:rsidRPr="00E148C4" w:rsidRDefault="00A95E31" w:rsidP="00A95E31">
            <w:r w:rsidRPr="00E148C4">
              <w:rPr>
                <w:color w:val="000000"/>
              </w:rPr>
              <w:t xml:space="preserve">Any </w:t>
            </w:r>
            <w:r w:rsidR="00FF0A90" w:rsidRPr="00E148C4">
              <w:rPr>
                <w:color w:val="000000"/>
              </w:rPr>
              <w:t>p</w:t>
            </w:r>
            <w:r w:rsidRPr="00E148C4">
              <w:rPr>
                <w:color w:val="000000"/>
              </w:rPr>
              <w:t xml:space="preserve">rospective </w:t>
            </w:r>
            <w:r w:rsidR="00506508" w:rsidRPr="00E148C4">
              <w:rPr>
                <w:color w:val="000000"/>
              </w:rPr>
              <w:t xml:space="preserve">mental-health condition </w:t>
            </w:r>
          </w:p>
        </w:tc>
        <w:tc>
          <w:tcPr>
            <w:tcW w:w="2242" w:type="dxa"/>
            <w:tcBorders>
              <w:top w:val="single" w:sz="4" w:space="0" w:color="auto"/>
            </w:tcBorders>
          </w:tcPr>
          <w:p w14:paraId="396EC509" w14:textId="1CC66408" w:rsidR="00A95E31" w:rsidRPr="00E148C4" w:rsidRDefault="00A95E31" w:rsidP="00A95E31">
            <w:r w:rsidRPr="00E148C4">
              <w:t>1.09 (1.00, 1.18)</w:t>
            </w:r>
          </w:p>
        </w:tc>
        <w:tc>
          <w:tcPr>
            <w:tcW w:w="2338" w:type="dxa"/>
            <w:tcBorders>
              <w:top w:val="single" w:sz="4" w:space="0" w:color="auto"/>
            </w:tcBorders>
          </w:tcPr>
          <w:p w14:paraId="6989C2AF" w14:textId="197A7EE2" w:rsidR="00A95E31" w:rsidRPr="00E148C4" w:rsidRDefault="004D3707" w:rsidP="00A95E31">
            <w:r w:rsidRPr="00E148C4">
              <w:t>1.06 (0.97, 1.14)</w:t>
            </w:r>
          </w:p>
        </w:tc>
      </w:tr>
      <w:tr w:rsidR="00A95E31" w:rsidRPr="00E148C4" w14:paraId="799FAC1E" w14:textId="77777777" w:rsidTr="004E748E">
        <w:tc>
          <w:tcPr>
            <w:tcW w:w="2160" w:type="dxa"/>
            <w:vMerge/>
          </w:tcPr>
          <w:p w14:paraId="167256F0" w14:textId="77777777" w:rsidR="00A95E31" w:rsidRPr="00E148C4" w:rsidRDefault="00A95E31" w:rsidP="00A95E31"/>
        </w:tc>
        <w:tc>
          <w:tcPr>
            <w:tcW w:w="2610" w:type="dxa"/>
            <w:shd w:val="clear" w:color="auto" w:fill="auto"/>
            <w:vAlign w:val="bottom"/>
          </w:tcPr>
          <w:p w14:paraId="3B7DFC4C" w14:textId="5A558C69" w:rsidR="00A95E31" w:rsidRPr="00E148C4" w:rsidRDefault="00A95E31" w:rsidP="00A95E31">
            <w:r w:rsidRPr="00E148C4">
              <w:rPr>
                <w:color w:val="000000"/>
              </w:rPr>
              <w:t>Depression via CES</w:t>
            </w:r>
            <w:r w:rsidR="00DA6373" w:rsidRPr="00E148C4">
              <w:rPr>
                <w:color w:val="000000"/>
              </w:rPr>
              <w:t>-</w:t>
            </w:r>
            <w:r w:rsidRPr="00E148C4">
              <w:rPr>
                <w:color w:val="000000"/>
              </w:rPr>
              <w:t xml:space="preserve">D </w:t>
            </w:r>
          </w:p>
        </w:tc>
        <w:tc>
          <w:tcPr>
            <w:tcW w:w="2242" w:type="dxa"/>
          </w:tcPr>
          <w:p w14:paraId="6B44B18B" w14:textId="21436586" w:rsidR="00A95E31" w:rsidRPr="00E148C4" w:rsidRDefault="00A95E31" w:rsidP="00A95E31">
            <w:r w:rsidRPr="00E148C4">
              <w:t>1.07 (1.97, 1.16)</w:t>
            </w:r>
          </w:p>
        </w:tc>
        <w:tc>
          <w:tcPr>
            <w:tcW w:w="2338" w:type="dxa"/>
          </w:tcPr>
          <w:p w14:paraId="455C1BB4" w14:textId="5D418386" w:rsidR="00A95E31" w:rsidRPr="00E148C4" w:rsidRDefault="004D3707" w:rsidP="00A95E31">
            <w:r w:rsidRPr="00E148C4">
              <w:t>1.04 (0.94, 1.13)</w:t>
            </w:r>
          </w:p>
        </w:tc>
      </w:tr>
      <w:tr w:rsidR="00A95E31" w:rsidRPr="00E148C4" w14:paraId="39FC0393" w14:textId="77777777" w:rsidTr="004E748E">
        <w:tc>
          <w:tcPr>
            <w:tcW w:w="2160" w:type="dxa"/>
            <w:vMerge/>
            <w:tcBorders>
              <w:bottom w:val="single" w:sz="4" w:space="0" w:color="auto"/>
            </w:tcBorders>
          </w:tcPr>
          <w:p w14:paraId="7D9AF208" w14:textId="77777777" w:rsidR="00A95E31" w:rsidRPr="00E148C4" w:rsidRDefault="00A95E31" w:rsidP="00A95E31"/>
        </w:tc>
        <w:tc>
          <w:tcPr>
            <w:tcW w:w="2610" w:type="dxa"/>
            <w:tcBorders>
              <w:bottom w:val="single" w:sz="4" w:space="0" w:color="auto"/>
            </w:tcBorders>
            <w:shd w:val="clear" w:color="auto" w:fill="auto"/>
            <w:vAlign w:val="bottom"/>
          </w:tcPr>
          <w:p w14:paraId="3C4415EA" w14:textId="697A0162" w:rsidR="00A95E31" w:rsidRPr="00E148C4" w:rsidRDefault="00A95E31" w:rsidP="00A95E31">
            <w:r w:rsidRPr="00E148C4">
              <w:rPr>
                <w:color w:val="000000"/>
              </w:rPr>
              <w:t xml:space="preserve">Conduct </w:t>
            </w:r>
            <w:r w:rsidR="00232A0B" w:rsidRPr="00E148C4">
              <w:rPr>
                <w:color w:val="000000"/>
              </w:rPr>
              <w:t>d</w:t>
            </w:r>
            <w:r w:rsidRPr="00E148C4">
              <w:rPr>
                <w:color w:val="000000"/>
              </w:rPr>
              <w:t xml:space="preserve">isorder </w:t>
            </w:r>
          </w:p>
        </w:tc>
        <w:tc>
          <w:tcPr>
            <w:tcW w:w="2242" w:type="dxa"/>
            <w:tcBorders>
              <w:bottom w:val="single" w:sz="4" w:space="0" w:color="auto"/>
            </w:tcBorders>
          </w:tcPr>
          <w:p w14:paraId="1B099956" w14:textId="7BAB266E" w:rsidR="00A95E31" w:rsidRPr="00E148C4" w:rsidRDefault="00A95E31" w:rsidP="00A95E31">
            <w:r w:rsidRPr="00E148C4">
              <w:t>1.14 (1.01, 1.26)</w:t>
            </w:r>
          </w:p>
        </w:tc>
        <w:tc>
          <w:tcPr>
            <w:tcW w:w="2338" w:type="dxa"/>
            <w:tcBorders>
              <w:bottom w:val="single" w:sz="4" w:space="0" w:color="auto"/>
            </w:tcBorders>
          </w:tcPr>
          <w:p w14:paraId="5A4C3E39" w14:textId="2624DEC6" w:rsidR="00A95E31" w:rsidRPr="00E148C4" w:rsidRDefault="004D3707" w:rsidP="00A95E31">
            <w:r w:rsidRPr="00E148C4">
              <w:t xml:space="preserve">1.11 (0.99, 1.23) </w:t>
            </w:r>
          </w:p>
        </w:tc>
      </w:tr>
    </w:tbl>
    <w:p w14:paraId="7D1A26E9" w14:textId="2239027C" w:rsidR="004C0483" w:rsidRPr="00E148C4" w:rsidRDefault="004C0483" w:rsidP="007616AC">
      <w:pPr>
        <w:rPr>
          <w:bCs/>
        </w:rPr>
      </w:pPr>
      <w:r w:rsidRPr="00E148C4">
        <w:rPr>
          <w:bCs/>
          <w:vertAlign w:val="superscript"/>
        </w:rPr>
        <w:t>1</w:t>
      </w:r>
      <w:r w:rsidRPr="00E148C4">
        <w:rPr>
          <w:bCs/>
        </w:rPr>
        <w:t xml:space="preserve"> </w:t>
      </w:r>
      <w:r w:rsidR="006222A0" w:rsidRPr="00E148C4">
        <w:rPr>
          <w:bCs/>
        </w:rPr>
        <w:t xml:space="preserve">The prospective measure for internalizing psychopathology was depression assessed via the Center for Epidemiological Studies-Depression Scale (CES-D). The prospective measure for externalizing psychopathology was conduct disorder assessed via an 11-item delinquency scale. </w:t>
      </w:r>
    </w:p>
    <w:p w14:paraId="240B0263" w14:textId="2B202EA9" w:rsidR="007616AC" w:rsidRPr="00E148C4" w:rsidRDefault="004C0483" w:rsidP="007616AC">
      <w:r w:rsidRPr="00E148C4">
        <w:rPr>
          <w:bCs/>
          <w:vertAlign w:val="superscript"/>
        </w:rPr>
        <w:t>2</w:t>
      </w:r>
      <w:r w:rsidRPr="00E148C4">
        <w:rPr>
          <w:bCs/>
        </w:rPr>
        <w:t xml:space="preserve"> </w:t>
      </w:r>
      <w:r w:rsidR="007616AC" w:rsidRPr="00E148C4">
        <w:t xml:space="preserve">Baseline models were adjusted for demographic factors including age, sex, race, and ethnicity. </w:t>
      </w:r>
    </w:p>
    <w:p w14:paraId="5567630F" w14:textId="368A9BCF" w:rsidR="007616AC" w:rsidRPr="00E148C4" w:rsidRDefault="004C0483" w:rsidP="007616AC">
      <w:r w:rsidRPr="00E148C4">
        <w:rPr>
          <w:vertAlign w:val="superscript"/>
        </w:rPr>
        <w:t xml:space="preserve">3 </w:t>
      </w:r>
      <w:r w:rsidR="007616AC" w:rsidRPr="00E148C4">
        <w:t xml:space="preserve">Adjusted models were also adjusted for adolescent socioeconomic status and adolescent cognitive ability. </w:t>
      </w:r>
    </w:p>
    <w:p w14:paraId="3820580F" w14:textId="392576ED" w:rsidR="00E817F4" w:rsidRPr="00E148C4" w:rsidRDefault="007616AC" w:rsidP="00BC3375">
      <w:pPr>
        <w:rPr>
          <w:b/>
          <w:bCs/>
        </w:rPr>
      </w:pPr>
      <w:r w:rsidRPr="00E148C4">
        <w:rPr>
          <w:b/>
          <w:bCs/>
        </w:rPr>
        <w:tab/>
      </w:r>
    </w:p>
    <w:p w14:paraId="70DC4C66" w14:textId="77777777" w:rsidR="00E817F4" w:rsidRPr="00E148C4" w:rsidRDefault="00E817F4" w:rsidP="00BC3375">
      <w:pPr>
        <w:rPr>
          <w:b/>
          <w:bCs/>
        </w:rPr>
      </w:pPr>
    </w:p>
    <w:p w14:paraId="57955F89" w14:textId="77777777" w:rsidR="00E817F4" w:rsidRPr="00E148C4" w:rsidRDefault="00E817F4" w:rsidP="00BC3375">
      <w:pPr>
        <w:rPr>
          <w:b/>
          <w:bCs/>
        </w:rPr>
      </w:pPr>
    </w:p>
    <w:p w14:paraId="099138CF" w14:textId="77777777" w:rsidR="00E817F4" w:rsidRPr="00E148C4" w:rsidRDefault="00E817F4" w:rsidP="00BC3375">
      <w:pPr>
        <w:rPr>
          <w:b/>
          <w:bCs/>
        </w:rPr>
      </w:pPr>
    </w:p>
    <w:p w14:paraId="212C4C04" w14:textId="77777777" w:rsidR="00E817F4" w:rsidRPr="00E148C4" w:rsidRDefault="00E817F4" w:rsidP="00BC3375">
      <w:pPr>
        <w:rPr>
          <w:b/>
          <w:bCs/>
        </w:rPr>
      </w:pPr>
    </w:p>
    <w:p w14:paraId="7BFE06BC" w14:textId="77777777" w:rsidR="00E817F4" w:rsidRPr="00E148C4" w:rsidRDefault="00E817F4" w:rsidP="00BC3375">
      <w:pPr>
        <w:rPr>
          <w:b/>
          <w:bCs/>
        </w:rPr>
      </w:pPr>
    </w:p>
    <w:p w14:paraId="5075FE9A" w14:textId="77777777" w:rsidR="00E817F4" w:rsidRPr="00E148C4" w:rsidRDefault="00E817F4" w:rsidP="00BC3375">
      <w:pPr>
        <w:rPr>
          <w:b/>
          <w:bCs/>
        </w:rPr>
      </w:pPr>
    </w:p>
    <w:p w14:paraId="4BB2274A" w14:textId="77777777" w:rsidR="00E817F4" w:rsidRPr="00E148C4" w:rsidRDefault="00E817F4" w:rsidP="00BC3375">
      <w:pPr>
        <w:rPr>
          <w:b/>
          <w:bCs/>
        </w:rPr>
      </w:pPr>
    </w:p>
    <w:p w14:paraId="5B8FFF8B" w14:textId="77777777" w:rsidR="00E817F4" w:rsidRPr="00E148C4" w:rsidRDefault="00E817F4" w:rsidP="00BC3375">
      <w:pPr>
        <w:rPr>
          <w:b/>
          <w:bCs/>
        </w:rPr>
      </w:pPr>
    </w:p>
    <w:p w14:paraId="3AE0A04E" w14:textId="77777777" w:rsidR="00E817F4" w:rsidRPr="00E148C4" w:rsidRDefault="00E817F4" w:rsidP="00BC3375">
      <w:pPr>
        <w:rPr>
          <w:b/>
          <w:bCs/>
        </w:rPr>
      </w:pPr>
    </w:p>
    <w:p w14:paraId="47D720C8" w14:textId="77777777" w:rsidR="00E817F4" w:rsidRPr="00E148C4" w:rsidRDefault="00E817F4" w:rsidP="00BC3375">
      <w:pPr>
        <w:rPr>
          <w:b/>
          <w:bCs/>
        </w:rPr>
      </w:pPr>
    </w:p>
    <w:p w14:paraId="3CD39C92" w14:textId="77777777" w:rsidR="00E817F4" w:rsidRPr="00E148C4" w:rsidRDefault="00E817F4" w:rsidP="00BC3375">
      <w:pPr>
        <w:rPr>
          <w:b/>
          <w:bCs/>
        </w:rPr>
      </w:pPr>
    </w:p>
    <w:p w14:paraId="271C949B" w14:textId="77777777" w:rsidR="00E817F4" w:rsidRPr="00E148C4" w:rsidRDefault="00E817F4" w:rsidP="00BC3375">
      <w:pPr>
        <w:rPr>
          <w:b/>
          <w:bCs/>
        </w:rPr>
      </w:pPr>
    </w:p>
    <w:p w14:paraId="6722DC6F" w14:textId="77777777" w:rsidR="00E817F4" w:rsidRPr="00E148C4" w:rsidRDefault="00E817F4" w:rsidP="00BC3375">
      <w:pPr>
        <w:rPr>
          <w:b/>
          <w:bCs/>
        </w:rPr>
      </w:pPr>
    </w:p>
    <w:p w14:paraId="7098D3B9" w14:textId="77777777" w:rsidR="00E817F4" w:rsidRPr="00E148C4" w:rsidRDefault="00E817F4" w:rsidP="00BC3375">
      <w:pPr>
        <w:rPr>
          <w:b/>
          <w:bCs/>
        </w:rPr>
      </w:pPr>
    </w:p>
    <w:p w14:paraId="19C393B3" w14:textId="77777777" w:rsidR="00E817F4" w:rsidRPr="00E148C4" w:rsidRDefault="00E817F4" w:rsidP="00BC3375">
      <w:pPr>
        <w:rPr>
          <w:b/>
          <w:bCs/>
        </w:rPr>
      </w:pPr>
    </w:p>
    <w:p w14:paraId="68920C2B" w14:textId="77777777" w:rsidR="00E817F4" w:rsidRPr="00E148C4" w:rsidRDefault="00E817F4" w:rsidP="00BC3375">
      <w:pPr>
        <w:rPr>
          <w:b/>
          <w:bCs/>
        </w:rPr>
      </w:pPr>
    </w:p>
    <w:p w14:paraId="407C7FBA" w14:textId="77777777" w:rsidR="00E817F4" w:rsidRPr="00E148C4" w:rsidRDefault="00E817F4" w:rsidP="00BC3375">
      <w:pPr>
        <w:rPr>
          <w:b/>
          <w:bCs/>
        </w:rPr>
      </w:pPr>
    </w:p>
    <w:p w14:paraId="7C7C16D6" w14:textId="77777777" w:rsidR="00E817F4" w:rsidRPr="00E148C4" w:rsidRDefault="00E817F4" w:rsidP="00BC3375">
      <w:pPr>
        <w:rPr>
          <w:b/>
          <w:bCs/>
        </w:rPr>
      </w:pPr>
    </w:p>
    <w:p w14:paraId="56B5DC04" w14:textId="77777777" w:rsidR="00E817F4" w:rsidRPr="00E148C4" w:rsidRDefault="00E817F4" w:rsidP="00BC3375">
      <w:pPr>
        <w:rPr>
          <w:b/>
          <w:bCs/>
        </w:rPr>
      </w:pPr>
    </w:p>
    <w:p w14:paraId="57C2BD70" w14:textId="77777777" w:rsidR="00E817F4" w:rsidRPr="00E148C4" w:rsidRDefault="00E817F4" w:rsidP="00BC3375">
      <w:pPr>
        <w:rPr>
          <w:b/>
          <w:bCs/>
        </w:rPr>
      </w:pPr>
    </w:p>
    <w:p w14:paraId="07B926B6" w14:textId="77777777" w:rsidR="00E817F4" w:rsidRPr="00E148C4" w:rsidRDefault="00E817F4" w:rsidP="00BC3375">
      <w:pPr>
        <w:rPr>
          <w:b/>
          <w:bCs/>
        </w:rPr>
      </w:pPr>
    </w:p>
    <w:p w14:paraId="773C2745" w14:textId="77777777" w:rsidR="00E817F4" w:rsidRPr="00E148C4" w:rsidRDefault="00E817F4" w:rsidP="00BC3375">
      <w:pPr>
        <w:rPr>
          <w:b/>
          <w:bCs/>
        </w:rPr>
      </w:pPr>
    </w:p>
    <w:p w14:paraId="44A2AB56" w14:textId="77777777" w:rsidR="00E817F4" w:rsidRPr="00E148C4" w:rsidRDefault="00E817F4" w:rsidP="00BC3375">
      <w:pPr>
        <w:rPr>
          <w:b/>
          <w:bCs/>
        </w:rPr>
      </w:pPr>
    </w:p>
    <w:p w14:paraId="05A3C48F" w14:textId="77777777" w:rsidR="00E817F4" w:rsidRPr="00E148C4" w:rsidRDefault="00E817F4" w:rsidP="00BC3375">
      <w:pPr>
        <w:rPr>
          <w:b/>
          <w:bCs/>
        </w:rPr>
      </w:pPr>
    </w:p>
    <w:p w14:paraId="2DE339F3" w14:textId="77777777" w:rsidR="00E817F4" w:rsidRPr="00E148C4" w:rsidRDefault="00E817F4" w:rsidP="00BC3375">
      <w:pPr>
        <w:rPr>
          <w:b/>
          <w:bCs/>
        </w:rPr>
      </w:pPr>
    </w:p>
    <w:p w14:paraId="335A4207" w14:textId="77777777" w:rsidR="00E817F4" w:rsidRPr="00E148C4" w:rsidRDefault="00E817F4" w:rsidP="00BC3375">
      <w:pPr>
        <w:rPr>
          <w:b/>
          <w:bCs/>
        </w:rPr>
      </w:pPr>
    </w:p>
    <w:p w14:paraId="5CFF483B" w14:textId="29FFFA8E" w:rsidR="00BC3375" w:rsidRPr="00E148C4" w:rsidRDefault="00BC3375" w:rsidP="00BC3375">
      <w:pPr>
        <w:rPr>
          <w:b/>
          <w:bCs/>
        </w:rPr>
      </w:pPr>
      <w:r w:rsidRPr="00E148C4">
        <w:rPr>
          <w:b/>
          <w:bCs/>
        </w:rPr>
        <w:lastRenderedPageBreak/>
        <w:t xml:space="preserve">Supplemental Table </w:t>
      </w:r>
      <w:r w:rsidR="00E817F4" w:rsidRPr="00E148C4">
        <w:rPr>
          <w:b/>
          <w:bCs/>
        </w:rPr>
        <w:t>6</w:t>
      </w:r>
      <w:r w:rsidRPr="00E148C4">
        <w:rPr>
          <w:b/>
          <w:bCs/>
        </w:rPr>
        <w:t xml:space="preserve">. Incidence rate ratios </w:t>
      </w:r>
      <w:r w:rsidR="00247B1B" w:rsidRPr="00E148C4">
        <w:rPr>
          <w:b/>
          <w:bCs/>
        </w:rPr>
        <w:t>(</w:t>
      </w:r>
      <w:r w:rsidRPr="00E148C4">
        <w:rPr>
          <w:b/>
          <w:bCs/>
        </w:rPr>
        <w:t>and 95% confidence intervals</w:t>
      </w:r>
      <w:r w:rsidR="00247B1B" w:rsidRPr="00E148C4">
        <w:rPr>
          <w:b/>
          <w:bCs/>
        </w:rPr>
        <w:t>)</w:t>
      </w:r>
      <w:r w:rsidRPr="00E148C4">
        <w:rPr>
          <w:b/>
          <w:bCs/>
        </w:rPr>
        <w:t xml:space="preserve"> for associations of adolescent physical</w:t>
      </w:r>
      <w:r w:rsidR="00932A44" w:rsidRPr="00E148C4">
        <w:rPr>
          <w:b/>
          <w:bCs/>
        </w:rPr>
        <w:t>-</w:t>
      </w:r>
      <w:r w:rsidRPr="00E148C4">
        <w:rPr>
          <w:b/>
          <w:bCs/>
        </w:rPr>
        <w:t xml:space="preserve">health problems with midlife </w:t>
      </w:r>
      <w:r w:rsidR="00240F4E" w:rsidRPr="00E148C4">
        <w:rPr>
          <w:b/>
          <w:bCs/>
        </w:rPr>
        <w:t>diseases of despair and cardiometabolic risk</w:t>
      </w:r>
    </w:p>
    <w:tbl>
      <w:tblPr>
        <w:tblW w:w="6930" w:type="dxa"/>
        <w:tblLook w:val="04A0" w:firstRow="1" w:lastRow="0" w:firstColumn="1" w:lastColumn="0" w:noHBand="0" w:noVBand="1"/>
      </w:tblPr>
      <w:tblGrid>
        <w:gridCol w:w="2680"/>
        <w:gridCol w:w="2000"/>
        <w:gridCol w:w="2250"/>
      </w:tblGrid>
      <w:tr w:rsidR="00BC3375" w:rsidRPr="00E148C4" w14:paraId="600D9D4D" w14:textId="77777777" w:rsidTr="00E07B3D">
        <w:trPr>
          <w:trHeight w:val="300"/>
        </w:trPr>
        <w:tc>
          <w:tcPr>
            <w:tcW w:w="2680" w:type="dxa"/>
            <w:vMerge w:val="restart"/>
            <w:tcBorders>
              <w:top w:val="single" w:sz="4" w:space="0" w:color="auto"/>
            </w:tcBorders>
            <w:shd w:val="clear" w:color="auto" w:fill="auto"/>
            <w:vAlign w:val="center"/>
          </w:tcPr>
          <w:p w14:paraId="4882DA52" w14:textId="12D391CF" w:rsidR="00BC3375" w:rsidRPr="00E148C4" w:rsidRDefault="00BC3375" w:rsidP="00E07B3D">
            <w:pPr>
              <w:rPr>
                <w:b/>
                <w:color w:val="000000"/>
              </w:rPr>
            </w:pPr>
          </w:p>
        </w:tc>
        <w:tc>
          <w:tcPr>
            <w:tcW w:w="4250" w:type="dxa"/>
            <w:gridSpan w:val="2"/>
            <w:tcBorders>
              <w:top w:val="single" w:sz="4" w:space="0" w:color="auto"/>
            </w:tcBorders>
            <w:shd w:val="clear" w:color="auto" w:fill="auto"/>
            <w:noWrap/>
            <w:vAlign w:val="bottom"/>
          </w:tcPr>
          <w:p w14:paraId="5EFE624A" w14:textId="40F585C7" w:rsidR="00BC3375" w:rsidRPr="00E148C4" w:rsidRDefault="00EC0ED3" w:rsidP="00E07B3D">
            <w:pPr>
              <w:jc w:val="center"/>
              <w:rPr>
                <w:b/>
                <w:color w:val="000000"/>
              </w:rPr>
            </w:pPr>
            <w:r w:rsidRPr="00E148C4">
              <w:rPr>
                <w:b/>
                <w:color w:val="000000"/>
              </w:rPr>
              <w:t>IRR</w:t>
            </w:r>
            <w:r w:rsidR="00BC3375" w:rsidRPr="00E148C4">
              <w:rPr>
                <w:b/>
                <w:color w:val="000000"/>
              </w:rPr>
              <w:t xml:space="preserve"> (95% CI)</w:t>
            </w:r>
          </w:p>
        </w:tc>
      </w:tr>
      <w:tr w:rsidR="00BC3375" w:rsidRPr="00E148C4" w14:paraId="75A3A23E" w14:textId="77777777" w:rsidTr="00E07B3D">
        <w:trPr>
          <w:trHeight w:val="300"/>
        </w:trPr>
        <w:tc>
          <w:tcPr>
            <w:tcW w:w="2680" w:type="dxa"/>
            <w:vMerge/>
            <w:tcBorders>
              <w:bottom w:val="single" w:sz="4" w:space="0" w:color="auto"/>
            </w:tcBorders>
            <w:shd w:val="clear" w:color="auto" w:fill="auto"/>
            <w:vAlign w:val="center"/>
            <w:hideMark/>
          </w:tcPr>
          <w:p w14:paraId="05588CCF" w14:textId="77777777" w:rsidR="00BC3375" w:rsidRPr="00E148C4" w:rsidRDefault="00BC3375" w:rsidP="00E07B3D">
            <w:pPr>
              <w:rPr>
                <w:b/>
                <w:color w:val="000000"/>
              </w:rPr>
            </w:pPr>
          </w:p>
        </w:tc>
        <w:tc>
          <w:tcPr>
            <w:tcW w:w="2000" w:type="dxa"/>
            <w:tcBorders>
              <w:bottom w:val="single" w:sz="4" w:space="0" w:color="auto"/>
            </w:tcBorders>
            <w:shd w:val="clear" w:color="auto" w:fill="auto"/>
            <w:noWrap/>
            <w:vAlign w:val="bottom"/>
            <w:hideMark/>
          </w:tcPr>
          <w:p w14:paraId="311EA203" w14:textId="77777777" w:rsidR="00BC3375" w:rsidRPr="00E148C4" w:rsidRDefault="00BC3375" w:rsidP="00E07B3D">
            <w:pPr>
              <w:jc w:val="center"/>
              <w:rPr>
                <w:b/>
                <w:color w:val="000000"/>
                <w:vertAlign w:val="superscript"/>
              </w:rPr>
            </w:pPr>
            <w:r w:rsidRPr="00E148C4">
              <w:rPr>
                <w:b/>
                <w:color w:val="000000"/>
              </w:rPr>
              <w:t>Baseline</w:t>
            </w:r>
            <w:r w:rsidRPr="00E148C4">
              <w:rPr>
                <w:b/>
                <w:color w:val="000000"/>
                <w:vertAlign w:val="superscript"/>
              </w:rPr>
              <w:t>1</w:t>
            </w:r>
          </w:p>
        </w:tc>
        <w:tc>
          <w:tcPr>
            <w:tcW w:w="2250" w:type="dxa"/>
            <w:tcBorders>
              <w:bottom w:val="single" w:sz="4" w:space="0" w:color="auto"/>
            </w:tcBorders>
            <w:shd w:val="clear" w:color="auto" w:fill="auto"/>
            <w:noWrap/>
            <w:vAlign w:val="bottom"/>
            <w:hideMark/>
          </w:tcPr>
          <w:p w14:paraId="7F3A2B7F" w14:textId="77777777" w:rsidR="00BC3375" w:rsidRPr="00E148C4" w:rsidRDefault="00BC3375" w:rsidP="00E07B3D">
            <w:pPr>
              <w:jc w:val="center"/>
              <w:rPr>
                <w:b/>
                <w:color w:val="000000"/>
                <w:vertAlign w:val="superscript"/>
              </w:rPr>
            </w:pPr>
            <w:r w:rsidRPr="00E148C4">
              <w:rPr>
                <w:b/>
                <w:color w:val="000000"/>
              </w:rPr>
              <w:t>Adjusted</w:t>
            </w:r>
            <w:r w:rsidRPr="00E148C4">
              <w:rPr>
                <w:b/>
                <w:color w:val="000000"/>
                <w:vertAlign w:val="superscript"/>
              </w:rPr>
              <w:t>2</w:t>
            </w:r>
          </w:p>
        </w:tc>
      </w:tr>
      <w:tr w:rsidR="00BC3375" w:rsidRPr="00E148C4" w14:paraId="707D72B9" w14:textId="77777777" w:rsidTr="00E07B3D">
        <w:trPr>
          <w:trHeight w:val="288"/>
        </w:trPr>
        <w:tc>
          <w:tcPr>
            <w:tcW w:w="2680" w:type="dxa"/>
            <w:tcBorders>
              <w:top w:val="single" w:sz="4" w:space="0" w:color="auto"/>
            </w:tcBorders>
            <w:shd w:val="clear" w:color="auto" w:fill="auto"/>
            <w:noWrap/>
            <w:vAlign w:val="bottom"/>
            <w:hideMark/>
          </w:tcPr>
          <w:p w14:paraId="21940F26" w14:textId="4DDD0987" w:rsidR="00BC3375" w:rsidRPr="00E148C4" w:rsidRDefault="00BC3375" w:rsidP="00E07B3D">
            <w:pPr>
              <w:rPr>
                <w:color w:val="000000"/>
              </w:rPr>
            </w:pPr>
            <w:r w:rsidRPr="00E148C4">
              <w:rPr>
                <w:color w:val="000000"/>
              </w:rPr>
              <w:t xml:space="preserve">Diseases of </w:t>
            </w:r>
            <w:r w:rsidR="00387B3A" w:rsidRPr="00E148C4">
              <w:rPr>
                <w:color w:val="000000"/>
              </w:rPr>
              <w:t>d</w:t>
            </w:r>
            <w:r w:rsidRPr="00E148C4">
              <w:rPr>
                <w:color w:val="000000"/>
              </w:rPr>
              <w:t xml:space="preserve">espair </w:t>
            </w:r>
          </w:p>
        </w:tc>
        <w:tc>
          <w:tcPr>
            <w:tcW w:w="2000" w:type="dxa"/>
            <w:tcBorders>
              <w:top w:val="single" w:sz="4" w:space="0" w:color="auto"/>
            </w:tcBorders>
            <w:shd w:val="clear" w:color="auto" w:fill="auto"/>
            <w:noWrap/>
            <w:vAlign w:val="bottom"/>
            <w:hideMark/>
          </w:tcPr>
          <w:p w14:paraId="4815EA90" w14:textId="1F8B1262" w:rsidR="00BC3375" w:rsidRPr="00E148C4" w:rsidRDefault="00BC3375" w:rsidP="00E07B3D">
            <w:pPr>
              <w:jc w:val="right"/>
              <w:rPr>
                <w:color w:val="000000"/>
              </w:rPr>
            </w:pPr>
            <w:r w:rsidRPr="00E148C4">
              <w:rPr>
                <w:color w:val="000000"/>
              </w:rPr>
              <w:t>1.18 (1.01</w:t>
            </w:r>
            <w:r w:rsidR="002926F7" w:rsidRPr="00E148C4">
              <w:rPr>
                <w:color w:val="000000"/>
              </w:rPr>
              <w:t>-</w:t>
            </w:r>
            <w:r w:rsidRPr="00E148C4">
              <w:rPr>
                <w:color w:val="000000"/>
              </w:rPr>
              <w:t>1.36)</w:t>
            </w:r>
          </w:p>
        </w:tc>
        <w:tc>
          <w:tcPr>
            <w:tcW w:w="2250" w:type="dxa"/>
            <w:tcBorders>
              <w:top w:val="single" w:sz="4" w:space="0" w:color="auto"/>
            </w:tcBorders>
            <w:shd w:val="clear" w:color="auto" w:fill="auto"/>
            <w:noWrap/>
            <w:vAlign w:val="bottom"/>
            <w:hideMark/>
          </w:tcPr>
          <w:p w14:paraId="0BD47447" w14:textId="68CFE10D" w:rsidR="00BC3375" w:rsidRPr="00E148C4" w:rsidRDefault="00BC3375" w:rsidP="00E07B3D">
            <w:pPr>
              <w:jc w:val="right"/>
              <w:rPr>
                <w:color w:val="000000"/>
              </w:rPr>
            </w:pPr>
            <w:r w:rsidRPr="00E148C4">
              <w:rPr>
                <w:color w:val="000000"/>
              </w:rPr>
              <w:t>1.16 (0.98</w:t>
            </w:r>
            <w:r w:rsidR="002926F7" w:rsidRPr="00E148C4">
              <w:rPr>
                <w:color w:val="000000"/>
              </w:rPr>
              <w:t>-</w:t>
            </w:r>
            <w:r w:rsidRPr="00E148C4">
              <w:rPr>
                <w:color w:val="000000"/>
              </w:rPr>
              <w:t xml:space="preserve">1.33) </w:t>
            </w:r>
          </w:p>
        </w:tc>
      </w:tr>
      <w:tr w:rsidR="00BC3375" w:rsidRPr="00E148C4" w14:paraId="02DECCF9" w14:textId="77777777" w:rsidTr="00E07B3D">
        <w:trPr>
          <w:trHeight w:val="300"/>
        </w:trPr>
        <w:tc>
          <w:tcPr>
            <w:tcW w:w="2680" w:type="dxa"/>
            <w:tcBorders>
              <w:bottom w:val="single" w:sz="4" w:space="0" w:color="auto"/>
            </w:tcBorders>
            <w:shd w:val="clear" w:color="auto" w:fill="auto"/>
            <w:noWrap/>
            <w:vAlign w:val="bottom"/>
            <w:hideMark/>
          </w:tcPr>
          <w:p w14:paraId="17A7267C" w14:textId="7A9AF726" w:rsidR="00BC3375" w:rsidRPr="00E148C4" w:rsidRDefault="00BC3375" w:rsidP="00E07B3D">
            <w:pPr>
              <w:rPr>
                <w:color w:val="000000"/>
              </w:rPr>
            </w:pPr>
            <w:r w:rsidRPr="00E148C4">
              <w:rPr>
                <w:color w:val="000000"/>
              </w:rPr>
              <w:t xml:space="preserve">Cardiometabolic </w:t>
            </w:r>
            <w:r w:rsidR="00387B3A" w:rsidRPr="00E148C4">
              <w:rPr>
                <w:color w:val="000000"/>
              </w:rPr>
              <w:t>r</w:t>
            </w:r>
            <w:r w:rsidRPr="00E148C4">
              <w:rPr>
                <w:color w:val="000000"/>
              </w:rPr>
              <w:t xml:space="preserve">isk  </w:t>
            </w:r>
          </w:p>
        </w:tc>
        <w:tc>
          <w:tcPr>
            <w:tcW w:w="2000" w:type="dxa"/>
            <w:tcBorders>
              <w:bottom w:val="single" w:sz="4" w:space="0" w:color="auto"/>
            </w:tcBorders>
            <w:shd w:val="clear" w:color="auto" w:fill="auto"/>
            <w:noWrap/>
            <w:vAlign w:val="bottom"/>
            <w:hideMark/>
          </w:tcPr>
          <w:p w14:paraId="027C1F85" w14:textId="490D3DB8" w:rsidR="00BC3375" w:rsidRPr="00E148C4" w:rsidRDefault="00BC3375" w:rsidP="00E07B3D">
            <w:pPr>
              <w:jc w:val="right"/>
              <w:rPr>
                <w:color w:val="000000"/>
              </w:rPr>
            </w:pPr>
            <w:r w:rsidRPr="00E148C4">
              <w:rPr>
                <w:color w:val="000000"/>
              </w:rPr>
              <w:t>1.49 (1.38</w:t>
            </w:r>
            <w:r w:rsidR="002926F7" w:rsidRPr="00E148C4">
              <w:rPr>
                <w:color w:val="000000"/>
              </w:rPr>
              <w:t>-</w:t>
            </w:r>
            <w:r w:rsidRPr="00E148C4">
              <w:rPr>
                <w:color w:val="000000"/>
              </w:rPr>
              <w:t>1.60)</w:t>
            </w:r>
          </w:p>
        </w:tc>
        <w:tc>
          <w:tcPr>
            <w:tcW w:w="2250" w:type="dxa"/>
            <w:tcBorders>
              <w:bottom w:val="single" w:sz="4" w:space="0" w:color="auto"/>
            </w:tcBorders>
            <w:shd w:val="clear" w:color="auto" w:fill="auto"/>
            <w:noWrap/>
            <w:vAlign w:val="bottom"/>
            <w:hideMark/>
          </w:tcPr>
          <w:p w14:paraId="6ED1D4D4" w14:textId="4E585382" w:rsidR="00BC3375" w:rsidRPr="00E148C4" w:rsidRDefault="00BC3375" w:rsidP="00E07B3D">
            <w:pPr>
              <w:jc w:val="right"/>
              <w:rPr>
                <w:color w:val="000000"/>
              </w:rPr>
            </w:pPr>
            <w:r w:rsidRPr="00E148C4">
              <w:rPr>
                <w:color w:val="000000"/>
              </w:rPr>
              <w:t>1.47 (1.36</w:t>
            </w:r>
            <w:r w:rsidR="002926F7" w:rsidRPr="00E148C4">
              <w:rPr>
                <w:color w:val="000000"/>
              </w:rPr>
              <w:t>-</w:t>
            </w:r>
            <w:r w:rsidRPr="00E148C4">
              <w:rPr>
                <w:color w:val="000000"/>
              </w:rPr>
              <w:t xml:space="preserve">1.59) </w:t>
            </w:r>
          </w:p>
        </w:tc>
      </w:tr>
    </w:tbl>
    <w:p w14:paraId="6D3C3D52" w14:textId="77777777" w:rsidR="00240F4E" w:rsidRPr="00E148C4" w:rsidRDefault="00240F4E" w:rsidP="00240F4E">
      <w:r w:rsidRPr="00E148C4">
        <w:rPr>
          <w:bCs/>
          <w:vertAlign w:val="superscript"/>
        </w:rPr>
        <w:t>1</w:t>
      </w:r>
      <w:r w:rsidRPr="00E148C4">
        <w:t xml:space="preserve">Baseline models were adjusted for demographic factors including age, sex, race, and ethnicity. </w:t>
      </w:r>
    </w:p>
    <w:p w14:paraId="3B0976D0" w14:textId="77777777" w:rsidR="00240F4E" w:rsidRPr="00E148C4" w:rsidRDefault="00240F4E" w:rsidP="00240F4E">
      <w:r w:rsidRPr="00E148C4">
        <w:rPr>
          <w:vertAlign w:val="superscript"/>
        </w:rPr>
        <w:t>2</w:t>
      </w:r>
      <w:r w:rsidRPr="00E148C4">
        <w:t xml:space="preserve">Adjusted models were also adjusted for adolescent socioeconomic status and adolescent cognitive ability. </w:t>
      </w:r>
    </w:p>
    <w:p w14:paraId="386A0B8E" w14:textId="77777777" w:rsidR="00BC3375" w:rsidRPr="00E148C4" w:rsidRDefault="00BC3375" w:rsidP="00BC3375">
      <w:pPr>
        <w:spacing w:after="240" w:line="276" w:lineRule="auto"/>
        <w:rPr>
          <w:b/>
          <w:bCs/>
        </w:rPr>
      </w:pPr>
    </w:p>
    <w:p w14:paraId="19F54F4F" w14:textId="77777777" w:rsidR="003C64FA" w:rsidRPr="00E148C4" w:rsidRDefault="003C64FA" w:rsidP="00BC3375">
      <w:pPr>
        <w:spacing w:after="240" w:line="276" w:lineRule="auto"/>
        <w:rPr>
          <w:b/>
          <w:bCs/>
        </w:rPr>
      </w:pPr>
    </w:p>
    <w:p w14:paraId="0DDDDDB4" w14:textId="77777777" w:rsidR="003C64FA" w:rsidRPr="00E148C4" w:rsidRDefault="003C64FA" w:rsidP="00BC3375">
      <w:pPr>
        <w:spacing w:after="240" w:line="276" w:lineRule="auto"/>
        <w:rPr>
          <w:b/>
          <w:bCs/>
        </w:rPr>
      </w:pPr>
    </w:p>
    <w:p w14:paraId="1A77C50C" w14:textId="77777777" w:rsidR="003C64FA" w:rsidRPr="00E148C4" w:rsidRDefault="003C64FA" w:rsidP="00BC3375">
      <w:pPr>
        <w:spacing w:after="240" w:line="276" w:lineRule="auto"/>
        <w:rPr>
          <w:b/>
          <w:bCs/>
        </w:rPr>
      </w:pPr>
    </w:p>
    <w:p w14:paraId="223AA928" w14:textId="77777777" w:rsidR="003C64FA" w:rsidRPr="00E148C4" w:rsidRDefault="003C64FA" w:rsidP="00BC3375">
      <w:pPr>
        <w:spacing w:after="240" w:line="276" w:lineRule="auto"/>
        <w:rPr>
          <w:b/>
          <w:bCs/>
        </w:rPr>
      </w:pPr>
    </w:p>
    <w:p w14:paraId="7A32EF2B" w14:textId="77777777" w:rsidR="003C64FA" w:rsidRPr="00E148C4" w:rsidRDefault="003C64FA" w:rsidP="00BC3375">
      <w:pPr>
        <w:spacing w:after="240" w:line="276" w:lineRule="auto"/>
        <w:rPr>
          <w:b/>
          <w:bCs/>
        </w:rPr>
      </w:pPr>
    </w:p>
    <w:p w14:paraId="416DBDE9" w14:textId="77777777" w:rsidR="003C64FA" w:rsidRPr="00E148C4" w:rsidRDefault="003C64FA" w:rsidP="00BC3375">
      <w:pPr>
        <w:spacing w:after="240" w:line="276" w:lineRule="auto"/>
        <w:rPr>
          <w:b/>
          <w:bCs/>
        </w:rPr>
      </w:pPr>
    </w:p>
    <w:p w14:paraId="5BFE708A" w14:textId="77777777" w:rsidR="003C64FA" w:rsidRPr="00E148C4" w:rsidRDefault="003C64FA" w:rsidP="00BC3375">
      <w:pPr>
        <w:spacing w:after="240" w:line="276" w:lineRule="auto"/>
        <w:rPr>
          <w:b/>
          <w:bCs/>
        </w:rPr>
      </w:pPr>
    </w:p>
    <w:p w14:paraId="68F842B0" w14:textId="77777777" w:rsidR="003C64FA" w:rsidRPr="00E148C4" w:rsidRDefault="003C64FA" w:rsidP="00BC3375">
      <w:pPr>
        <w:spacing w:after="240" w:line="276" w:lineRule="auto"/>
        <w:rPr>
          <w:b/>
          <w:bCs/>
        </w:rPr>
      </w:pPr>
    </w:p>
    <w:p w14:paraId="00FB38EF" w14:textId="77777777" w:rsidR="003C64FA" w:rsidRPr="00E148C4" w:rsidRDefault="003C64FA" w:rsidP="00BC3375">
      <w:pPr>
        <w:spacing w:after="240" w:line="276" w:lineRule="auto"/>
        <w:rPr>
          <w:b/>
          <w:bCs/>
        </w:rPr>
      </w:pPr>
    </w:p>
    <w:p w14:paraId="0E0AE37E" w14:textId="77777777" w:rsidR="003C64FA" w:rsidRPr="00E148C4" w:rsidRDefault="003C64FA" w:rsidP="00BC3375">
      <w:pPr>
        <w:spacing w:after="240" w:line="276" w:lineRule="auto"/>
        <w:rPr>
          <w:b/>
          <w:bCs/>
        </w:rPr>
      </w:pPr>
    </w:p>
    <w:p w14:paraId="451C0165" w14:textId="77777777" w:rsidR="003C64FA" w:rsidRPr="00E148C4" w:rsidRDefault="003C64FA" w:rsidP="00BC3375">
      <w:pPr>
        <w:spacing w:after="240" w:line="276" w:lineRule="auto"/>
        <w:rPr>
          <w:b/>
          <w:bCs/>
        </w:rPr>
      </w:pPr>
    </w:p>
    <w:p w14:paraId="03F45896" w14:textId="77777777" w:rsidR="003C64FA" w:rsidRPr="00E148C4" w:rsidRDefault="003C64FA" w:rsidP="00BC3375">
      <w:pPr>
        <w:spacing w:after="240" w:line="276" w:lineRule="auto"/>
        <w:rPr>
          <w:b/>
          <w:bCs/>
        </w:rPr>
      </w:pPr>
    </w:p>
    <w:p w14:paraId="0D050127" w14:textId="77777777" w:rsidR="003C64FA" w:rsidRPr="00E148C4" w:rsidRDefault="003C64FA" w:rsidP="00BC3375">
      <w:pPr>
        <w:spacing w:after="240" w:line="276" w:lineRule="auto"/>
        <w:rPr>
          <w:b/>
          <w:bCs/>
        </w:rPr>
      </w:pPr>
    </w:p>
    <w:p w14:paraId="6FFB74EE" w14:textId="77777777" w:rsidR="003C64FA" w:rsidRPr="00E148C4" w:rsidRDefault="003C64FA" w:rsidP="00BC3375">
      <w:pPr>
        <w:spacing w:after="240" w:line="276" w:lineRule="auto"/>
        <w:rPr>
          <w:b/>
          <w:bCs/>
        </w:rPr>
      </w:pPr>
    </w:p>
    <w:p w14:paraId="0DF0E410" w14:textId="77777777" w:rsidR="003C64FA" w:rsidRPr="00E148C4" w:rsidRDefault="003C64FA" w:rsidP="00BC3375">
      <w:pPr>
        <w:spacing w:after="240" w:line="276" w:lineRule="auto"/>
        <w:rPr>
          <w:b/>
          <w:bCs/>
        </w:rPr>
      </w:pPr>
    </w:p>
    <w:p w14:paraId="648E2E7A" w14:textId="77777777" w:rsidR="003C64FA" w:rsidRPr="00E148C4" w:rsidRDefault="003C64FA" w:rsidP="00BC3375">
      <w:pPr>
        <w:spacing w:after="240" w:line="276" w:lineRule="auto"/>
        <w:rPr>
          <w:b/>
          <w:bCs/>
        </w:rPr>
      </w:pPr>
    </w:p>
    <w:p w14:paraId="38FE73BD" w14:textId="77777777" w:rsidR="003C64FA" w:rsidRPr="00E148C4" w:rsidRDefault="003C64FA" w:rsidP="00BC3375">
      <w:pPr>
        <w:spacing w:after="240" w:line="276" w:lineRule="auto"/>
        <w:rPr>
          <w:b/>
          <w:bCs/>
        </w:rPr>
      </w:pPr>
    </w:p>
    <w:p w14:paraId="574A08AD" w14:textId="74ED2B47" w:rsidR="00BC3375" w:rsidRPr="00E148C4" w:rsidRDefault="00BC3375" w:rsidP="00BC3375">
      <w:pPr>
        <w:rPr>
          <w:b/>
          <w:bCs/>
        </w:rPr>
      </w:pPr>
      <w:r w:rsidRPr="00E148C4">
        <w:rPr>
          <w:b/>
          <w:bCs/>
        </w:rPr>
        <w:lastRenderedPageBreak/>
        <w:t xml:space="preserve">Supplemental Table </w:t>
      </w:r>
      <w:r w:rsidR="00B27F78" w:rsidRPr="00E148C4">
        <w:rPr>
          <w:b/>
          <w:bCs/>
        </w:rPr>
        <w:t>7</w:t>
      </w:r>
      <w:r w:rsidRPr="00E148C4">
        <w:rPr>
          <w:b/>
          <w:bCs/>
        </w:rPr>
        <w:t xml:space="preserve">. </w:t>
      </w:r>
      <w:bookmarkStart w:id="4" w:name="_Hlk136441689"/>
      <w:r w:rsidRPr="00E148C4">
        <w:rPr>
          <w:b/>
          <w:bCs/>
        </w:rPr>
        <w:t xml:space="preserve">Testing mediation of the association of adolescent psychopathology with midlife indicators of diseases of despair </w:t>
      </w:r>
      <w:bookmarkEnd w:id="4"/>
    </w:p>
    <w:tbl>
      <w:tblPr>
        <w:tblW w:w="10053" w:type="dxa"/>
        <w:tblBorders>
          <w:top w:val="single" w:sz="4" w:space="0" w:color="auto"/>
          <w:bottom w:val="single" w:sz="4" w:space="0" w:color="auto"/>
        </w:tblBorders>
        <w:tblLook w:val="04A0" w:firstRow="1" w:lastRow="0" w:firstColumn="1" w:lastColumn="0" w:noHBand="0" w:noVBand="1"/>
      </w:tblPr>
      <w:tblGrid>
        <w:gridCol w:w="2970"/>
        <w:gridCol w:w="1890"/>
        <w:gridCol w:w="1890"/>
        <w:gridCol w:w="1980"/>
        <w:gridCol w:w="1323"/>
      </w:tblGrid>
      <w:tr w:rsidR="00BC3375" w:rsidRPr="00E148C4" w14:paraId="0AFCEE27" w14:textId="77777777" w:rsidTr="00B27F78">
        <w:trPr>
          <w:trHeight w:val="300"/>
        </w:trPr>
        <w:tc>
          <w:tcPr>
            <w:tcW w:w="2970" w:type="dxa"/>
            <w:tcBorders>
              <w:top w:val="single" w:sz="4" w:space="0" w:color="auto"/>
              <w:bottom w:val="single" w:sz="4" w:space="0" w:color="auto"/>
            </w:tcBorders>
            <w:shd w:val="clear" w:color="auto" w:fill="auto"/>
            <w:noWrap/>
            <w:vAlign w:val="bottom"/>
            <w:hideMark/>
          </w:tcPr>
          <w:p w14:paraId="4E3BA745" w14:textId="77777777" w:rsidR="00BC3375" w:rsidRPr="00E148C4" w:rsidRDefault="00BC3375" w:rsidP="00E07B3D">
            <w:pPr>
              <w:rPr>
                <w:b/>
                <w:bCs/>
                <w:color w:val="000000"/>
              </w:rPr>
            </w:pPr>
            <w:r w:rsidRPr="00E148C4">
              <w:rPr>
                <w:b/>
                <w:bCs/>
                <w:color w:val="000000"/>
              </w:rPr>
              <w:t xml:space="preserve">Mediator </w:t>
            </w:r>
          </w:p>
        </w:tc>
        <w:tc>
          <w:tcPr>
            <w:tcW w:w="1890" w:type="dxa"/>
            <w:tcBorders>
              <w:top w:val="single" w:sz="4" w:space="0" w:color="auto"/>
              <w:bottom w:val="single" w:sz="4" w:space="0" w:color="auto"/>
            </w:tcBorders>
            <w:shd w:val="clear" w:color="auto" w:fill="auto"/>
            <w:noWrap/>
            <w:vAlign w:val="bottom"/>
            <w:hideMark/>
          </w:tcPr>
          <w:p w14:paraId="618CD469" w14:textId="70824C20" w:rsidR="00BC3375" w:rsidRPr="00E148C4" w:rsidRDefault="00BC3375" w:rsidP="00E07B3D">
            <w:pPr>
              <w:rPr>
                <w:b/>
                <w:bCs/>
                <w:color w:val="000000"/>
              </w:rPr>
            </w:pPr>
            <w:r w:rsidRPr="00E148C4">
              <w:rPr>
                <w:b/>
                <w:bCs/>
                <w:color w:val="000000"/>
              </w:rPr>
              <w:t xml:space="preserve">Total </w:t>
            </w:r>
            <w:r w:rsidR="00F30AD0" w:rsidRPr="00E148C4">
              <w:rPr>
                <w:b/>
                <w:bCs/>
                <w:color w:val="000000"/>
              </w:rPr>
              <w:t xml:space="preserve">effect </w:t>
            </w:r>
          </w:p>
        </w:tc>
        <w:tc>
          <w:tcPr>
            <w:tcW w:w="1890" w:type="dxa"/>
            <w:tcBorders>
              <w:top w:val="single" w:sz="4" w:space="0" w:color="auto"/>
              <w:bottom w:val="single" w:sz="4" w:space="0" w:color="auto"/>
            </w:tcBorders>
            <w:shd w:val="clear" w:color="auto" w:fill="auto"/>
            <w:noWrap/>
            <w:vAlign w:val="bottom"/>
            <w:hideMark/>
          </w:tcPr>
          <w:p w14:paraId="72BDB1E2" w14:textId="16A4F621" w:rsidR="00BC3375" w:rsidRPr="00E148C4" w:rsidRDefault="00BC3375" w:rsidP="00E07B3D">
            <w:pPr>
              <w:rPr>
                <w:b/>
                <w:bCs/>
                <w:color w:val="000000"/>
              </w:rPr>
            </w:pPr>
            <w:r w:rsidRPr="00E148C4">
              <w:rPr>
                <w:b/>
                <w:bCs/>
                <w:color w:val="000000"/>
              </w:rPr>
              <w:t xml:space="preserve">Direct </w:t>
            </w:r>
            <w:r w:rsidR="00F30AD0" w:rsidRPr="00E148C4">
              <w:rPr>
                <w:b/>
                <w:bCs/>
                <w:color w:val="000000"/>
              </w:rPr>
              <w:t xml:space="preserve">effect </w:t>
            </w:r>
          </w:p>
        </w:tc>
        <w:tc>
          <w:tcPr>
            <w:tcW w:w="1980" w:type="dxa"/>
            <w:tcBorders>
              <w:top w:val="single" w:sz="4" w:space="0" w:color="auto"/>
              <w:bottom w:val="single" w:sz="4" w:space="0" w:color="auto"/>
            </w:tcBorders>
            <w:shd w:val="clear" w:color="auto" w:fill="auto"/>
            <w:noWrap/>
            <w:vAlign w:val="bottom"/>
            <w:hideMark/>
          </w:tcPr>
          <w:p w14:paraId="1CA1213C" w14:textId="77777777" w:rsidR="00F30AD0" w:rsidRPr="00E148C4" w:rsidRDefault="00BC3375" w:rsidP="00E07B3D">
            <w:pPr>
              <w:rPr>
                <w:b/>
                <w:bCs/>
                <w:color w:val="000000"/>
              </w:rPr>
            </w:pPr>
            <w:r w:rsidRPr="00E148C4">
              <w:rPr>
                <w:b/>
                <w:bCs/>
                <w:color w:val="000000"/>
              </w:rPr>
              <w:t xml:space="preserve">Total </w:t>
            </w:r>
          </w:p>
          <w:p w14:paraId="725E20F6" w14:textId="61C6A47C" w:rsidR="00BC3375" w:rsidRPr="00E148C4" w:rsidRDefault="00BC3375" w:rsidP="00E07B3D">
            <w:pPr>
              <w:rPr>
                <w:b/>
                <w:bCs/>
                <w:color w:val="000000"/>
              </w:rPr>
            </w:pPr>
            <w:r w:rsidRPr="00E148C4">
              <w:rPr>
                <w:b/>
                <w:bCs/>
                <w:color w:val="000000"/>
              </w:rPr>
              <w:t xml:space="preserve">indirect effect </w:t>
            </w:r>
          </w:p>
        </w:tc>
        <w:tc>
          <w:tcPr>
            <w:tcW w:w="1323" w:type="dxa"/>
            <w:tcBorders>
              <w:top w:val="single" w:sz="4" w:space="0" w:color="auto"/>
              <w:bottom w:val="single" w:sz="4" w:space="0" w:color="auto"/>
            </w:tcBorders>
            <w:shd w:val="clear" w:color="auto" w:fill="auto"/>
            <w:noWrap/>
            <w:vAlign w:val="bottom"/>
            <w:hideMark/>
          </w:tcPr>
          <w:p w14:paraId="202372EF" w14:textId="77777777" w:rsidR="00BC3375" w:rsidRPr="00E148C4" w:rsidRDefault="00BC3375" w:rsidP="00E07B3D">
            <w:pPr>
              <w:rPr>
                <w:b/>
                <w:bCs/>
                <w:color w:val="000000"/>
              </w:rPr>
            </w:pPr>
            <w:r w:rsidRPr="00E148C4">
              <w:rPr>
                <w:b/>
                <w:bCs/>
                <w:color w:val="000000"/>
              </w:rPr>
              <w:t>% mediation</w:t>
            </w:r>
            <w:r w:rsidRPr="00E148C4">
              <w:rPr>
                <w:b/>
                <w:bCs/>
                <w:color w:val="000000"/>
                <w:vertAlign w:val="superscript"/>
              </w:rPr>
              <w:t>1</w:t>
            </w:r>
            <w:r w:rsidRPr="00E148C4">
              <w:rPr>
                <w:b/>
                <w:bCs/>
                <w:color w:val="000000"/>
              </w:rPr>
              <w:t xml:space="preserve"> </w:t>
            </w:r>
          </w:p>
        </w:tc>
      </w:tr>
      <w:tr w:rsidR="00BC3375" w:rsidRPr="00E148C4" w14:paraId="73FC5D74" w14:textId="77777777" w:rsidTr="00B27F78">
        <w:trPr>
          <w:trHeight w:val="288"/>
        </w:trPr>
        <w:tc>
          <w:tcPr>
            <w:tcW w:w="2970" w:type="dxa"/>
            <w:tcBorders>
              <w:top w:val="single" w:sz="4" w:space="0" w:color="auto"/>
            </w:tcBorders>
            <w:shd w:val="clear" w:color="auto" w:fill="auto"/>
            <w:noWrap/>
            <w:vAlign w:val="bottom"/>
            <w:hideMark/>
          </w:tcPr>
          <w:p w14:paraId="244911E8" w14:textId="32666BDE" w:rsidR="00BC3375" w:rsidRPr="00E148C4" w:rsidRDefault="00930068" w:rsidP="00E07B3D">
            <w:pPr>
              <w:rPr>
                <w:color w:val="000000"/>
              </w:rPr>
            </w:pPr>
            <w:bookmarkStart w:id="5" w:name="_Hlk144194943"/>
            <w:r w:rsidRPr="00E148C4">
              <w:rPr>
                <w:color w:val="000000"/>
              </w:rPr>
              <w:t xml:space="preserve">Low </w:t>
            </w:r>
            <w:r w:rsidR="00F30AD0" w:rsidRPr="00E148C4">
              <w:rPr>
                <w:color w:val="000000"/>
              </w:rPr>
              <w:t>education</w:t>
            </w:r>
          </w:p>
        </w:tc>
        <w:tc>
          <w:tcPr>
            <w:tcW w:w="1890" w:type="dxa"/>
            <w:tcBorders>
              <w:top w:val="single" w:sz="4" w:space="0" w:color="auto"/>
            </w:tcBorders>
            <w:shd w:val="clear" w:color="auto" w:fill="auto"/>
            <w:noWrap/>
            <w:vAlign w:val="bottom"/>
            <w:hideMark/>
          </w:tcPr>
          <w:p w14:paraId="2240AC8D" w14:textId="27857E5D" w:rsidR="00BC3375" w:rsidRPr="00E148C4" w:rsidRDefault="00BC3375" w:rsidP="00E07B3D">
            <w:pPr>
              <w:rPr>
                <w:color w:val="000000"/>
              </w:rPr>
            </w:pPr>
            <w:r w:rsidRPr="00E148C4">
              <w:rPr>
                <w:color w:val="000000"/>
              </w:rPr>
              <w:t>1.67 (1.48</w:t>
            </w:r>
            <w:r w:rsidR="002926F7" w:rsidRPr="00E148C4">
              <w:rPr>
                <w:color w:val="000000"/>
              </w:rPr>
              <w:t>-</w:t>
            </w:r>
            <w:r w:rsidRPr="00E148C4">
              <w:rPr>
                <w:color w:val="000000"/>
              </w:rPr>
              <w:t>1.87)</w:t>
            </w:r>
          </w:p>
        </w:tc>
        <w:tc>
          <w:tcPr>
            <w:tcW w:w="1890" w:type="dxa"/>
            <w:tcBorders>
              <w:top w:val="single" w:sz="4" w:space="0" w:color="auto"/>
            </w:tcBorders>
            <w:shd w:val="clear" w:color="auto" w:fill="auto"/>
            <w:noWrap/>
            <w:vAlign w:val="bottom"/>
            <w:hideMark/>
          </w:tcPr>
          <w:p w14:paraId="26286AB3" w14:textId="00D4751E" w:rsidR="00BC3375" w:rsidRPr="00E148C4" w:rsidRDefault="00BC3375" w:rsidP="00E07B3D">
            <w:pPr>
              <w:rPr>
                <w:color w:val="000000"/>
              </w:rPr>
            </w:pPr>
            <w:r w:rsidRPr="00E148C4">
              <w:rPr>
                <w:color w:val="000000"/>
              </w:rPr>
              <w:t>1.64 (1.46</w:t>
            </w:r>
            <w:r w:rsidR="002926F7" w:rsidRPr="00E148C4">
              <w:rPr>
                <w:color w:val="000000"/>
              </w:rPr>
              <w:t>-</w:t>
            </w:r>
            <w:r w:rsidRPr="00E148C4">
              <w:rPr>
                <w:color w:val="000000"/>
              </w:rPr>
              <w:t>1.84)</w:t>
            </w:r>
          </w:p>
        </w:tc>
        <w:tc>
          <w:tcPr>
            <w:tcW w:w="1980" w:type="dxa"/>
            <w:tcBorders>
              <w:top w:val="single" w:sz="4" w:space="0" w:color="auto"/>
            </w:tcBorders>
            <w:shd w:val="clear" w:color="auto" w:fill="auto"/>
            <w:noWrap/>
            <w:vAlign w:val="bottom"/>
            <w:hideMark/>
          </w:tcPr>
          <w:p w14:paraId="779227D2" w14:textId="4A927490" w:rsidR="00BC3375" w:rsidRPr="00E148C4" w:rsidRDefault="00BC3375" w:rsidP="00E07B3D">
            <w:pPr>
              <w:rPr>
                <w:color w:val="000000"/>
              </w:rPr>
            </w:pPr>
            <w:r w:rsidRPr="00E148C4">
              <w:rPr>
                <w:color w:val="000000"/>
              </w:rPr>
              <w:t>1.01 (1.002</w:t>
            </w:r>
            <w:r w:rsidR="002926F7" w:rsidRPr="00E148C4">
              <w:rPr>
                <w:color w:val="000000"/>
              </w:rPr>
              <w:t>-</w:t>
            </w:r>
            <w:r w:rsidRPr="00E148C4">
              <w:rPr>
                <w:color w:val="000000"/>
              </w:rPr>
              <w:t>1.03)</w:t>
            </w:r>
          </w:p>
        </w:tc>
        <w:tc>
          <w:tcPr>
            <w:tcW w:w="1323" w:type="dxa"/>
            <w:tcBorders>
              <w:top w:val="single" w:sz="4" w:space="0" w:color="auto"/>
            </w:tcBorders>
            <w:shd w:val="clear" w:color="auto" w:fill="auto"/>
            <w:noWrap/>
            <w:vAlign w:val="bottom"/>
            <w:hideMark/>
          </w:tcPr>
          <w:p w14:paraId="3D0E987A" w14:textId="77777777" w:rsidR="00BC3375" w:rsidRPr="00E148C4" w:rsidRDefault="00BC3375" w:rsidP="00E07B3D">
            <w:pPr>
              <w:jc w:val="right"/>
              <w:rPr>
                <w:color w:val="000000"/>
              </w:rPr>
            </w:pPr>
            <w:r w:rsidRPr="00E148C4">
              <w:rPr>
                <w:color w:val="000000"/>
              </w:rPr>
              <w:t>2.1</w:t>
            </w:r>
          </w:p>
        </w:tc>
      </w:tr>
      <w:bookmarkEnd w:id="5"/>
      <w:tr w:rsidR="00BC3375" w:rsidRPr="00E148C4" w14:paraId="40D8DBC9" w14:textId="77777777" w:rsidTr="00B27F78">
        <w:trPr>
          <w:trHeight w:val="288"/>
        </w:trPr>
        <w:tc>
          <w:tcPr>
            <w:tcW w:w="2970" w:type="dxa"/>
            <w:shd w:val="clear" w:color="auto" w:fill="auto"/>
            <w:noWrap/>
            <w:vAlign w:val="bottom"/>
            <w:hideMark/>
          </w:tcPr>
          <w:p w14:paraId="339A22E1" w14:textId="49957C0E" w:rsidR="00BC3375" w:rsidRPr="00E148C4" w:rsidRDefault="00BC3375" w:rsidP="00E07B3D">
            <w:pPr>
              <w:rPr>
                <w:color w:val="000000"/>
              </w:rPr>
            </w:pPr>
            <w:r w:rsidRPr="00E148C4">
              <w:rPr>
                <w:color w:val="000000"/>
              </w:rPr>
              <w:t>Early</w:t>
            </w:r>
            <w:r w:rsidR="009A59B6" w:rsidRPr="00E148C4">
              <w:rPr>
                <w:color w:val="000000"/>
              </w:rPr>
              <w:t xml:space="preserve">-adult </w:t>
            </w:r>
            <w:r w:rsidR="00DB293B" w:rsidRPr="00E148C4">
              <w:rPr>
                <w:color w:val="000000"/>
              </w:rPr>
              <w:t xml:space="preserve">substance use – including substance use indicators in </w:t>
            </w:r>
            <w:r w:rsidRPr="00E148C4">
              <w:rPr>
                <w:color w:val="000000"/>
              </w:rPr>
              <w:t xml:space="preserve">outcome  </w:t>
            </w:r>
          </w:p>
        </w:tc>
        <w:tc>
          <w:tcPr>
            <w:tcW w:w="1890" w:type="dxa"/>
            <w:shd w:val="clear" w:color="auto" w:fill="auto"/>
            <w:noWrap/>
            <w:vAlign w:val="bottom"/>
            <w:hideMark/>
          </w:tcPr>
          <w:p w14:paraId="3B38CF68" w14:textId="2DE5F0B1" w:rsidR="00BC3375" w:rsidRPr="00E148C4" w:rsidRDefault="00BC3375" w:rsidP="00E07B3D">
            <w:pPr>
              <w:rPr>
                <w:color w:val="000000"/>
              </w:rPr>
            </w:pPr>
            <w:r w:rsidRPr="00E148C4">
              <w:rPr>
                <w:color w:val="000000"/>
              </w:rPr>
              <w:t>1.65 (1.47</w:t>
            </w:r>
            <w:r w:rsidR="002926F7" w:rsidRPr="00E148C4">
              <w:rPr>
                <w:color w:val="000000"/>
              </w:rPr>
              <w:t>-</w:t>
            </w:r>
            <w:r w:rsidRPr="00E148C4">
              <w:rPr>
                <w:color w:val="000000"/>
              </w:rPr>
              <w:t>1.84)</w:t>
            </w:r>
          </w:p>
        </w:tc>
        <w:tc>
          <w:tcPr>
            <w:tcW w:w="1890" w:type="dxa"/>
            <w:shd w:val="clear" w:color="auto" w:fill="auto"/>
            <w:noWrap/>
            <w:vAlign w:val="bottom"/>
            <w:hideMark/>
          </w:tcPr>
          <w:p w14:paraId="0D798F11" w14:textId="0F85E3C7" w:rsidR="00BC3375" w:rsidRPr="00E148C4" w:rsidRDefault="00BC3375" w:rsidP="00E07B3D">
            <w:pPr>
              <w:rPr>
                <w:color w:val="000000"/>
              </w:rPr>
            </w:pPr>
            <w:r w:rsidRPr="00E148C4">
              <w:rPr>
                <w:color w:val="000000"/>
              </w:rPr>
              <w:t>1.44 (1.29</w:t>
            </w:r>
            <w:r w:rsidR="002926F7" w:rsidRPr="00E148C4">
              <w:rPr>
                <w:color w:val="000000"/>
              </w:rPr>
              <w:t>-</w:t>
            </w:r>
            <w:r w:rsidRPr="00E148C4">
              <w:rPr>
                <w:color w:val="000000"/>
              </w:rPr>
              <w:t>1.60)</w:t>
            </w:r>
          </w:p>
        </w:tc>
        <w:tc>
          <w:tcPr>
            <w:tcW w:w="1980" w:type="dxa"/>
            <w:shd w:val="clear" w:color="auto" w:fill="auto"/>
            <w:noWrap/>
            <w:vAlign w:val="bottom"/>
            <w:hideMark/>
          </w:tcPr>
          <w:p w14:paraId="0B724131" w14:textId="3A1F4944" w:rsidR="00BC3375" w:rsidRPr="00E148C4" w:rsidRDefault="00BC3375" w:rsidP="00E07B3D">
            <w:pPr>
              <w:rPr>
                <w:color w:val="000000"/>
              </w:rPr>
            </w:pPr>
            <w:r w:rsidRPr="00E148C4">
              <w:rPr>
                <w:color w:val="000000"/>
              </w:rPr>
              <w:t>1.14 (1.10</w:t>
            </w:r>
            <w:r w:rsidR="002926F7" w:rsidRPr="00E148C4">
              <w:rPr>
                <w:color w:val="000000"/>
              </w:rPr>
              <w:t>-</w:t>
            </w:r>
            <w:r w:rsidRPr="00E148C4">
              <w:rPr>
                <w:color w:val="000000"/>
              </w:rPr>
              <w:t>1.18)</w:t>
            </w:r>
          </w:p>
        </w:tc>
        <w:tc>
          <w:tcPr>
            <w:tcW w:w="1323" w:type="dxa"/>
            <w:shd w:val="clear" w:color="auto" w:fill="auto"/>
            <w:noWrap/>
            <w:vAlign w:val="bottom"/>
            <w:hideMark/>
          </w:tcPr>
          <w:p w14:paraId="393BA940" w14:textId="77777777" w:rsidR="00BC3375" w:rsidRPr="00E148C4" w:rsidRDefault="00BC3375" w:rsidP="00E07B3D">
            <w:pPr>
              <w:jc w:val="right"/>
              <w:rPr>
                <w:color w:val="000000"/>
              </w:rPr>
            </w:pPr>
            <w:r w:rsidRPr="00E148C4">
              <w:rPr>
                <w:color w:val="000000"/>
              </w:rPr>
              <w:t>21.5</w:t>
            </w:r>
          </w:p>
        </w:tc>
      </w:tr>
      <w:tr w:rsidR="00BC3375" w:rsidRPr="00E148C4" w14:paraId="470EAC3B" w14:textId="77777777" w:rsidTr="00B27F78">
        <w:trPr>
          <w:trHeight w:val="288"/>
        </w:trPr>
        <w:tc>
          <w:tcPr>
            <w:tcW w:w="2970" w:type="dxa"/>
            <w:shd w:val="clear" w:color="auto" w:fill="auto"/>
            <w:noWrap/>
            <w:vAlign w:val="bottom"/>
          </w:tcPr>
          <w:p w14:paraId="5A747832" w14:textId="37A98E64" w:rsidR="00BC3375" w:rsidRPr="00E148C4" w:rsidRDefault="00BC3375" w:rsidP="00E07B3D">
            <w:pPr>
              <w:rPr>
                <w:color w:val="000000"/>
              </w:rPr>
            </w:pPr>
            <w:r w:rsidRPr="00E148C4">
              <w:rPr>
                <w:color w:val="000000"/>
              </w:rPr>
              <w:t>Early</w:t>
            </w:r>
            <w:r w:rsidR="00030579" w:rsidRPr="00E148C4">
              <w:rPr>
                <w:color w:val="000000"/>
              </w:rPr>
              <w:t xml:space="preserve">-adult </w:t>
            </w:r>
            <w:r w:rsidR="00834877" w:rsidRPr="00E148C4">
              <w:rPr>
                <w:color w:val="000000"/>
              </w:rPr>
              <w:t xml:space="preserve">substance use – excluding </w:t>
            </w:r>
            <w:r w:rsidRPr="00E148C4">
              <w:rPr>
                <w:color w:val="000000"/>
              </w:rPr>
              <w:t xml:space="preserve">substance use indicators </w:t>
            </w:r>
            <w:r w:rsidR="002E2C92" w:rsidRPr="00E148C4">
              <w:rPr>
                <w:color w:val="000000"/>
              </w:rPr>
              <w:t xml:space="preserve">from </w:t>
            </w:r>
            <w:r w:rsidRPr="00E148C4">
              <w:rPr>
                <w:color w:val="000000"/>
              </w:rPr>
              <w:t xml:space="preserve">outcome  </w:t>
            </w:r>
          </w:p>
        </w:tc>
        <w:tc>
          <w:tcPr>
            <w:tcW w:w="1890" w:type="dxa"/>
            <w:shd w:val="clear" w:color="auto" w:fill="auto"/>
            <w:noWrap/>
            <w:vAlign w:val="bottom"/>
          </w:tcPr>
          <w:p w14:paraId="41340FA0" w14:textId="110FB95D" w:rsidR="00BC3375" w:rsidRPr="00E148C4" w:rsidRDefault="00BC3375" w:rsidP="00E07B3D">
            <w:pPr>
              <w:rPr>
                <w:color w:val="000000"/>
              </w:rPr>
            </w:pPr>
            <w:r w:rsidRPr="00E148C4">
              <w:rPr>
                <w:color w:val="000000"/>
              </w:rPr>
              <w:t>1.78 (1.52</w:t>
            </w:r>
            <w:r w:rsidR="002926F7" w:rsidRPr="00E148C4">
              <w:rPr>
                <w:color w:val="000000"/>
              </w:rPr>
              <w:t>-</w:t>
            </w:r>
            <w:r w:rsidRPr="00E148C4">
              <w:rPr>
                <w:color w:val="000000"/>
              </w:rPr>
              <w:t>2.06)</w:t>
            </w:r>
          </w:p>
        </w:tc>
        <w:tc>
          <w:tcPr>
            <w:tcW w:w="1890" w:type="dxa"/>
            <w:shd w:val="clear" w:color="auto" w:fill="auto"/>
            <w:noWrap/>
            <w:vAlign w:val="bottom"/>
          </w:tcPr>
          <w:p w14:paraId="05483177" w14:textId="72D19241" w:rsidR="00BC3375" w:rsidRPr="00E148C4" w:rsidRDefault="00BC3375" w:rsidP="00E07B3D">
            <w:pPr>
              <w:rPr>
                <w:color w:val="000000"/>
              </w:rPr>
            </w:pPr>
            <w:r w:rsidRPr="00E148C4">
              <w:rPr>
                <w:color w:val="000000"/>
              </w:rPr>
              <w:t>1.65 (1.42</w:t>
            </w:r>
            <w:r w:rsidR="002926F7" w:rsidRPr="00E148C4">
              <w:rPr>
                <w:color w:val="000000"/>
              </w:rPr>
              <w:t>-</w:t>
            </w:r>
            <w:r w:rsidRPr="00E148C4">
              <w:rPr>
                <w:color w:val="000000"/>
              </w:rPr>
              <w:t>1.90)</w:t>
            </w:r>
          </w:p>
        </w:tc>
        <w:tc>
          <w:tcPr>
            <w:tcW w:w="1980" w:type="dxa"/>
            <w:shd w:val="clear" w:color="auto" w:fill="auto"/>
            <w:noWrap/>
            <w:vAlign w:val="bottom"/>
          </w:tcPr>
          <w:p w14:paraId="3D9E4885" w14:textId="1F8A91FC" w:rsidR="00BC3375" w:rsidRPr="00E148C4" w:rsidRDefault="00BC3375" w:rsidP="00E07B3D">
            <w:pPr>
              <w:rPr>
                <w:color w:val="000000"/>
              </w:rPr>
            </w:pPr>
            <w:r w:rsidRPr="00E148C4">
              <w:rPr>
                <w:color w:val="000000"/>
              </w:rPr>
              <w:t>1.08 (1.04</w:t>
            </w:r>
            <w:r w:rsidR="002926F7" w:rsidRPr="00E148C4">
              <w:rPr>
                <w:color w:val="000000"/>
              </w:rPr>
              <w:t>-</w:t>
            </w:r>
            <w:r w:rsidRPr="00E148C4">
              <w:rPr>
                <w:color w:val="000000"/>
              </w:rPr>
              <w:t>1.12)</w:t>
            </w:r>
          </w:p>
        </w:tc>
        <w:tc>
          <w:tcPr>
            <w:tcW w:w="1243" w:type="dxa"/>
            <w:shd w:val="clear" w:color="auto" w:fill="auto"/>
            <w:noWrap/>
            <w:vAlign w:val="bottom"/>
          </w:tcPr>
          <w:p w14:paraId="7C50E92F" w14:textId="77777777" w:rsidR="00BC3375" w:rsidRPr="00E148C4" w:rsidRDefault="00BC3375" w:rsidP="00E07B3D">
            <w:pPr>
              <w:jc w:val="right"/>
              <w:rPr>
                <w:color w:val="000000"/>
              </w:rPr>
            </w:pPr>
            <w:r w:rsidRPr="00E148C4">
              <w:rPr>
                <w:color w:val="000000"/>
              </w:rPr>
              <w:t>10.3</w:t>
            </w:r>
          </w:p>
        </w:tc>
      </w:tr>
      <w:tr w:rsidR="00BC3375" w:rsidRPr="00E148C4" w14:paraId="0664A9D3" w14:textId="77777777" w:rsidTr="00B27F78">
        <w:trPr>
          <w:trHeight w:val="288"/>
        </w:trPr>
        <w:tc>
          <w:tcPr>
            <w:tcW w:w="2970" w:type="dxa"/>
            <w:shd w:val="clear" w:color="auto" w:fill="auto"/>
            <w:noWrap/>
            <w:vAlign w:val="bottom"/>
            <w:hideMark/>
          </w:tcPr>
          <w:p w14:paraId="18F22C87" w14:textId="66574C4E" w:rsidR="00BC3375" w:rsidRPr="00E148C4" w:rsidRDefault="00BC3375" w:rsidP="00E07B3D">
            <w:pPr>
              <w:rPr>
                <w:color w:val="000000"/>
              </w:rPr>
            </w:pPr>
            <w:r w:rsidRPr="00E148C4">
              <w:rPr>
                <w:color w:val="000000"/>
              </w:rPr>
              <w:t>Early</w:t>
            </w:r>
            <w:r w:rsidR="00085483" w:rsidRPr="00E148C4">
              <w:rPr>
                <w:color w:val="000000"/>
              </w:rPr>
              <w:t xml:space="preserve">-adult </w:t>
            </w:r>
            <w:r w:rsidR="00701115" w:rsidRPr="00E148C4">
              <w:rPr>
                <w:color w:val="000000"/>
              </w:rPr>
              <w:t>physical inactivit</w:t>
            </w:r>
            <w:r w:rsidRPr="00E148C4">
              <w:rPr>
                <w:color w:val="000000"/>
              </w:rPr>
              <w:t>y</w:t>
            </w:r>
            <w:r w:rsidRPr="00E148C4">
              <w:rPr>
                <w:color w:val="000000"/>
                <w:vertAlign w:val="superscript"/>
              </w:rPr>
              <w:t>2</w:t>
            </w:r>
            <w:r w:rsidRPr="00E148C4">
              <w:rPr>
                <w:color w:val="000000"/>
              </w:rPr>
              <w:t xml:space="preserve"> </w:t>
            </w:r>
          </w:p>
        </w:tc>
        <w:tc>
          <w:tcPr>
            <w:tcW w:w="1890" w:type="dxa"/>
            <w:shd w:val="clear" w:color="auto" w:fill="auto"/>
            <w:noWrap/>
            <w:vAlign w:val="bottom"/>
            <w:hideMark/>
          </w:tcPr>
          <w:p w14:paraId="1DA2E966" w14:textId="165836BF" w:rsidR="00BC3375" w:rsidRPr="00E148C4" w:rsidRDefault="00BC3375" w:rsidP="00E07B3D">
            <w:pPr>
              <w:rPr>
                <w:color w:val="000000"/>
              </w:rPr>
            </w:pPr>
            <w:r w:rsidRPr="00E148C4">
              <w:rPr>
                <w:color w:val="000000"/>
              </w:rPr>
              <w:t>1.67 (1.49</w:t>
            </w:r>
            <w:r w:rsidR="002926F7" w:rsidRPr="00E148C4">
              <w:rPr>
                <w:color w:val="000000"/>
              </w:rPr>
              <w:t>-</w:t>
            </w:r>
            <w:r w:rsidRPr="00E148C4">
              <w:rPr>
                <w:color w:val="000000"/>
              </w:rPr>
              <w:t>1.87)</w:t>
            </w:r>
          </w:p>
        </w:tc>
        <w:tc>
          <w:tcPr>
            <w:tcW w:w="1890" w:type="dxa"/>
            <w:shd w:val="clear" w:color="auto" w:fill="auto"/>
            <w:noWrap/>
            <w:vAlign w:val="bottom"/>
            <w:hideMark/>
          </w:tcPr>
          <w:p w14:paraId="0DE0A3EE" w14:textId="517BC712" w:rsidR="00BC3375" w:rsidRPr="00E148C4" w:rsidRDefault="00BC3375" w:rsidP="00E07B3D">
            <w:pPr>
              <w:rPr>
                <w:color w:val="000000"/>
              </w:rPr>
            </w:pPr>
            <w:r w:rsidRPr="00E148C4">
              <w:rPr>
                <w:color w:val="000000"/>
              </w:rPr>
              <w:t>1.67 (1.49</w:t>
            </w:r>
            <w:r w:rsidR="002926F7" w:rsidRPr="00E148C4">
              <w:rPr>
                <w:color w:val="000000"/>
              </w:rPr>
              <w:t>-</w:t>
            </w:r>
            <w:r w:rsidRPr="00E148C4">
              <w:rPr>
                <w:color w:val="000000"/>
              </w:rPr>
              <w:t>1.87)</w:t>
            </w:r>
          </w:p>
        </w:tc>
        <w:tc>
          <w:tcPr>
            <w:tcW w:w="1980" w:type="dxa"/>
            <w:shd w:val="clear" w:color="auto" w:fill="auto"/>
            <w:noWrap/>
            <w:vAlign w:val="bottom"/>
            <w:hideMark/>
          </w:tcPr>
          <w:p w14:paraId="7DFDABF0" w14:textId="79997B98" w:rsidR="00BC3375" w:rsidRPr="00E148C4" w:rsidRDefault="00BC3375" w:rsidP="00E07B3D">
            <w:pPr>
              <w:rPr>
                <w:color w:val="000000"/>
              </w:rPr>
            </w:pPr>
            <w:r w:rsidRPr="00E148C4">
              <w:rPr>
                <w:color w:val="000000"/>
              </w:rPr>
              <w:t>1.00 (0.99</w:t>
            </w:r>
            <w:r w:rsidR="002926F7" w:rsidRPr="00E148C4">
              <w:rPr>
                <w:color w:val="000000"/>
              </w:rPr>
              <w:t>-</w:t>
            </w:r>
            <w:r w:rsidRPr="00E148C4">
              <w:rPr>
                <w:color w:val="000000"/>
              </w:rPr>
              <w:t>1.00)</w:t>
            </w:r>
          </w:p>
        </w:tc>
        <w:tc>
          <w:tcPr>
            <w:tcW w:w="1323" w:type="dxa"/>
            <w:shd w:val="clear" w:color="auto" w:fill="auto"/>
            <w:noWrap/>
            <w:vAlign w:val="bottom"/>
            <w:hideMark/>
          </w:tcPr>
          <w:p w14:paraId="07BA0529" w14:textId="6C380DE1" w:rsidR="00BC3375" w:rsidRPr="00E148C4" w:rsidRDefault="003C64FA" w:rsidP="003C64FA">
            <w:pPr>
              <w:jc w:val="right"/>
              <w:rPr>
                <w:color w:val="000000"/>
              </w:rPr>
            </w:pPr>
            <w:r w:rsidRPr="00E148C4">
              <w:rPr>
                <w:color w:val="000000"/>
              </w:rPr>
              <w:t xml:space="preserve">-- </w:t>
            </w:r>
          </w:p>
        </w:tc>
      </w:tr>
      <w:tr w:rsidR="00B27F78" w:rsidRPr="00E148C4" w14:paraId="7EC4397C" w14:textId="77777777" w:rsidTr="001A2F50">
        <w:trPr>
          <w:trHeight w:val="288"/>
        </w:trPr>
        <w:tc>
          <w:tcPr>
            <w:tcW w:w="2970" w:type="dxa"/>
            <w:tcBorders>
              <w:bottom w:val="nil"/>
            </w:tcBorders>
            <w:shd w:val="clear" w:color="auto" w:fill="auto"/>
            <w:noWrap/>
            <w:vAlign w:val="bottom"/>
          </w:tcPr>
          <w:p w14:paraId="790BD3BD" w14:textId="35AE1D1F" w:rsidR="00B27F78" w:rsidRPr="00E148C4" w:rsidRDefault="00B27F78" w:rsidP="00B27F78">
            <w:pPr>
              <w:rPr>
                <w:color w:val="000000"/>
              </w:rPr>
            </w:pPr>
            <w:proofErr w:type="gramStart"/>
            <w:r w:rsidRPr="00E148C4">
              <w:rPr>
                <w:color w:val="000000"/>
              </w:rPr>
              <w:t>Early-adult</w:t>
            </w:r>
            <w:proofErr w:type="gramEnd"/>
            <w:r w:rsidRPr="00E148C4">
              <w:rPr>
                <w:color w:val="000000"/>
              </w:rPr>
              <w:t xml:space="preserve"> fast</w:t>
            </w:r>
            <w:r w:rsidR="00AD4667" w:rsidRPr="00E148C4">
              <w:rPr>
                <w:color w:val="000000"/>
              </w:rPr>
              <w:t>-</w:t>
            </w:r>
            <w:r w:rsidRPr="00E148C4">
              <w:rPr>
                <w:color w:val="000000"/>
              </w:rPr>
              <w:t xml:space="preserve">food consumption </w:t>
            </w:r>
          </w:p>
        </w:tc>
        <w:tc>
          <w:tcPr>
            <w:tcW w:w="1890" w:type="dxa"/>
            <w:tcBorders>
              <w:top w:val="nil"/>
              <w:left w:val="nil"/>
              <w:bottom w:val="nil"/>
              <w:right w:val="nil"/>
            </w:tcBorders>
            <w:shd w:val="clear" w:color="auto" w:fill="auto"/>
            <w:noWrap/>
            <w:vAlign w:val="bottom"/>
          </w:tcPr>
          <w:p w14:paraId="55C7022E" w14:textId="2A2AB182" w:rsidR="00B27F78" w:rsidRPr="00E148C4" w:rsidRDefault="00B27F78" w:rsidP="00B27F78">
            <w:pPr>
              <w:rPr>
                <w:color w:val="000000"/>
              </w:rPr>
            </w:pPr>
            <w:r w:rsidRPr="00E148C4">
              <w:rPr>
                <w:color w:val="000000"/>
              </w:rPr>
              <w:t>1.67 (1.49, 1.87)</w:t>
            </w:r>
          </w:p>
        </w:tc>
        <w:tc>
          <w:tcPr>
            <w:tcW w:w="1890" w:type="dxa"/>
            <w:tcBorders>
              <w:top w:val="nil"/>
              <w:left w:val="nil"/>
              <w:bottom w:val="nil"/>
              <w:right w:val="nil"/>
            </w:tcBorders>
            <w:shd w:val="clear" w:color="auto" w:fill="auto"/>
            <w:noWrap/>
            <w:vAlign w:val="bottom"/>
          </w:tcPr>
          <w:p w14:paraId="4EAB76C0" w14:textId="42E891A8" w:rsidR="00B27F78" w:rsidRPr="00E148C4" w:rsidRDefault="00B27F78" w:rsidP="00B27F78">
            <w:pPr>
              <w:rPr>
                <w:color w:val="000000"/>
              </w:rPr>
            </w:pPr>
            <w:r w:rsidRPr="00E148C4">
              <w:rPr>
                <w:color w:val="000000"/>
              </w:rPr>
              <w:t>1.66 (1.49, 1.86)</w:t>
            </w:r>
          </w:p>
        </w:tc>
        <w:tc>
          <w:tcPr>
            <w:tcW w:w="1980" w:type="dxa"/>
            <w:tcBorders>
              <w:top w:val="nil"/>
              <w:left w:val="nil"/>
              <w:bottom w:val="nil"/>
              <w:right w:val="nil"/>
            </w:tcBorders>
            <w:shd w:val="clear" w:color="auto" w:fill="auto"/>
            <w:noWrap/>
            <w:vAlign w:val="bottom"/>
          </w:tcPr>
          <w:p w14:paraId="22F78E00" w14:textId="27A00A16" w:rsidR="00B27F78" w:rsidRPr="00E148C4" w:rsidRDefault="00B27F78" w:rsidP="00B27F78">
            <w:pPr>
              <w:rPr>
                <w:color w:val="000000"/>
              </w:rPr>
            </w:pPr>
            <w:r w:rsidRPr="00E148C4">
              <w:rPr>
                <w:color w:val="000000"/>
              </w:rPr>
              <w:t>1.00 (0.99, 1.02)</w:t>
            </w:r>
          </w:p>
        </w:tc>
        <w:tc>
          <w:tcPr>
            <w:tcW w:w="1323" w:type="dxa"/>
            <w:tcBorders>
              <w:bottom w:val="nil"/>
            </w:tcBorders>
            <w:shd w:val="clear" w:color="auto" w:fill="auto"/>
            <w:noWrap/>
            <w:vAlign w:val="bottom"/>
          </w:tcPr>
          <w:p w14:paraId="0E0F5F35" w14:textId="334BA926" w:rsidR="00B27F78" w:rsidRPr="00E148C4" w:rsidRDefault="00B27F78" w:rsidP="00B27F78">
            <w:pPr>
              <w:jc w:val="right"/>
              <w:rPr>
                <w:color w:val="000000"/>
              </w:rPr>
            </w:pPr>
            <w:r w:rsidRPr="00E148C4">
              <w:rPr>
                <w:color w:val="000000"/>
              </w:rPr>
              <w:t>--</w:t>
            </w:r>
          </w:p>
        </w:tc>
      </w:tr>
      <w:tr w:rsidR="00B27F78" w:rsidRPr="00E148C4" w14:paraId="5D4D170B" w14:textId="77777777" w:rsidTr="001A2F50">
        <w:trPr>
          <w:trHeight w:val="288"/>
        </w:trPr>
        <w:tc>
          <w:tcPr>
            <w:tcW w:w="2970" w:type="dxa"/>
            <w:tcBorders>
              <w:top w:val="nil"/>
              <w:bottom w:val="single" w:sz="4" w:space="0" w:color="auto"/>
            </w:tcBorders>
            <w:shd w:val="clear" w:color="auto" w:fill="auto"/>
            <w:noWrap/>
            <w:vAlign w:val="bottom"/>
          </w:tcPr>
          <w:p w14:paraId="0E40957C" w14:textId="72E0F6D2" w:rsidR="00B27F78" w:rsidRPr="00E148C4" w:rsidRDefault="00B27F78" w:rsidP="00B27F78">
            <w:pPr>
              <w:rPr>
                <w:color w:val="000000"/>
              </w:rPr>
            </w:pPr>
            <w:proofErr w:type="gramStart"/>
            <w:r w:rsidRPr="00E148C4">
              <w:rPr>
                <w:color w:val="000000"/>
              </w:rPr>
              <w:t>Early-adult</w:t>
            </w:r>
            <w:proofErr w:type="gramEnd"/>
            <w:r w:rsidRPr="00E148C4">
              <w:rPr>
                <w:color w:val="000000"/>
              </w:rPr>
              <w:t xml:space="preserve"> healthcare management </w:t>
            </w:r>
          </w:p>
        </w:tc>
        <w:tc>
          <w:tcPr>
            <w:tcW w:w="1890" w:type="dxa"/>
            <w:tcBorders>
              <w:top w:val="nil"/>
              <w:left w:val="nil"/>
              <w:bottom w:val="single" w:sz="4" w:space="0" w:color="auto"/>
              <w:right w:val="nil"/>
            </w:tcBorders>
            <w:shd w:val="clear" w:color="auto" w:fill="auto"/>
            <w:noWrap/>
            <w:vAlign w:val="bottom"/>
          </w:tcPr>
          <w:p w14:paraId="5EB37E6D" w14:textId="1ECE9E29" w:rsidR="00B27F78" w:rsidRPr="00E148C4" w:rsidRDefault="00B27F78" w:rsidP="00B27F78">
            <w:pPr>
              <w:rPr>
                <w:color w:val="000000"/>
              </w:rPr>
            </w:pPr>
            <w:r w:rsidRPr="00E148C4">
              <w:rPr>
                <w:color w:val="000000"/>
              </w:rPr>
              <w:t>1.67 (1.49, 1.87)</w:t>
            </w:r>
          </w:p>
        </w:tc>
        <w:tc>
          <w:tcPr>
            <w:tcW w:w="1890" w:type="dxa"/>
            <w:tcBorders>
              <w:top w:val="nil"/>
              <w:left w:val="nil"/>
              <w:bottom w:val="single" w:sz="4" w:space="0" w:color="auto"/>
              <w:right w:val="nil"/>
            </w:tcBorders>
            <w:shd w:val="clear" w:color="auto" w:fill="auto"/>
            <w:noWrap/>
            <w:vAlign w:val="bottom"/>
          </w:tcPr>
          <w:p w14:paraId="27060745" w14:textId="77965166" w:rsidR="00B27F78" w:rsidRPr="00E148C4" w:rsidRDefault="00B27F78" w:rsidP="00B27F78">
            <w:pPr>
              <w:rPr>
                <w:color w:val="000000"/>
              </w:rPr>
            </w:pPr>
            <w:r w:rsidRPr="00E148C4">
              <w:rPr>
                <w:color w:val="000000"/>
              </w:rPr>
              <w:t xml:space="preserve">1.65 (1.47, 1.84) </w:t>
            </w:r>
          </w:p>
        </w:tc>
        <w:tc>
          <w:tcPr>
            <w:tcW w:w="1980" w:type="dxa"/>
            <w:tcBorders>
              <w:top w:val="nil"/>
              <w:left w:val="nil"/>
              <w:bottom w:val="single" w:sz="4" w:space="0" w:color="auto"/>
              <w:right w:val="nil"/>
            </w:tcBorders>
            <w:shd w:val="clear" w:color="auto" w:fill="auto"/>
            <w:noWrap/>
            <w:vAlign w:val="bottom"/>
          </w:tcPr>
          <w:p w14:paraId="2D51BC95" w14:textId="0AD3F1D1" w:rsidR="00B27F78" w:rsidRPr="00E148C4" w:rsidRDefault="00B27F78" w:rsidP="00B27F78">
            <w:pPr>
              <w:rPr>
                <w:color w:val="000000"/>
              </w:rPr>
            </w:pPr>
            <w:r w:rsidRPr="00E148C4">
              <w:rPr>
                <w:color w:val="000000"/>
              </w:rPr>
              <w:t>1.02 (0.999, 1.03)</w:t>
            </w:r>
          </w:p>
        </w:tc>
        <w:tc>
          <w:tcPr>
            <w:tcW w:w="1323" w:type="dxa"/>
            <w:tcBorders>
              <w:top w:val="nil"/>
              <w:bottom w:val="single" w:sz="4" w:space="0" w:color="auto"/>
            </w:tcBorders>
            <w:shd w:val="clear" w:color="auto" w:fill="auto"/>
            <w:noWrap/>
            <w:vAlign w:val="bottom"/>
          </w:tcPr>
          <w:p w14:paraId="33BC63CA" w14:textId="2BA2D4F0" w:rsidR="00B27F78" w:rsidRPr="00E148C4" w:rsidRDefault="00B27F78" w:rsidP="00B27F78">
            <w:pPr>
              <w:jc w:val="right"/>
              <w:rPr>
                <w:color w:val="000000"/>
              </w:rPr>
            </w:pPr>
            <w:r w:rsidRPr="00E148C4">
              <w:rPr>
                <w:color w:val="000000"/>
              </w:rPr>
              <w:t>--</w:t>
            </w:r>
          </w:p>
        </w:tc>
      </w:tr>
    </w:tbl>
    <w:p w14:paraId="7A7026CE" w14:textId="3B71324F" w:rsidR="00BC3375" w:rsidRPr="00E148C4" w:rsidRDefault="00BC3375" w:rsidP="00BC3375">
      <w:r w:rsidRPr="00E148C4">
        <w:t xml:space="preserve">All models adjust for demographic factors including age, sex, race, ethnicity, socioeconomic status, and cognitive ability. Bootstrap confidence intervals with 500 iterations were used to estimate 95% confidence intervals. </w:t>
      </w:r>
    </w:p>
    <w:p w14:paraId="3B8DA3AC" w14:textId="77777777" w:rsidR="00BC3375" w:rsidRPr="00E148C4" w:rsidRDefault="00BC3375" w:rsidP="00BC3375"/>
    <w:p w14:paraId="43CCDA9F" w14:textId="6CA967C1" w:rsidR="00BC3375" w:rsidRPr="00E148C4" w:rsidRDefault="00BC3375" w:rsidP="00BC3375">
      <w:r w:rsidRPr="00E148C4">
        <w:rPr>
          <w:vertAlign w:val="superscript"/>
        </w:rPr>
        <w:t>1</w:t>
      </w:r>
      <w:r w:rsidRPr="00E148C4">
        <w:t xml:space="preserve"> Percent mediation is </w:t>
      </w:r>
      <w:r w:rsidR="003C64FA" w:rsidRPr="00E148C4">
        <w:t xml:space="preserve">only </w:t>
      </w:r>
      <w:r w:rsidRPr="00E148C4">
        <w:t>presented for tests of mediation</w:t>
      </w:r>
      <w:r w:rsidR="003C64FA" w:rsidRPr="00E148C4">
        <w:t xml:space="preserve"> with </w:t>
      </w:r>
      <w:proofErr w:type="gramStart"/>
      <w:r w:rsidR="003C64FA" w:rsidRPr="00E148C4">
        <w:t>statistically</w:t>
      </w:r>
      <w:r w:rsidR="00AD4667" w:rsidRPr="00E148C4">
        <w:t>-</w:t>
      </w:r>
      <w:r w:rsidR="003C64FA" w:rsidRPr="00E148C4">
        <w:t>significant</w:t>
      </w:r>
      <w:proofErr w:type="gramEnd"/>
      <w:r w:rsidR="003C64FA" w:rsidRPr="00E148C4">
        <w:t xml:space="preserve"> indirect effects</w:t>
      </w:r>
      <w:r w:rsidR="00EF71C4" w:rsidRPr="00E148C4">
        <w:t xml:space="preserve"> and was calculated before estimates were rounded to the nearest hundredth. </w:t>
      </w:r>
      <w:r w:rsidR="009D3C03" w:rsidRPr="00E148C4">
        <w:t>Direct and indirect effects do not always sum exactly to the total effect due to rounding.</w:t>
      </w:r>
    </w:p>
    <w:p w14:paraId="24EBD723" w14:textId="75EF8B24" w:rsidR="00BC3375" w:rsidRPr="00E148C4" w:rsidRDefault="00BC3375" w:rsidP="00BC3375">
      <w:r w:rsidRPr="00E148C4">
        <w:rPr>
          <w:vertAlign w:val="superscript"/>
        </w:rPr>
        <w:t xml:space="preserve">2 </w:t>
      </w:r>
      <w:r w:rsidRPr="00E148C4">
        <w:t>Findings were consistent across two additional measures of physical inactivity</w:t>
      </w:r>
      <w:r w:rsidR="000F293B" w:rsidRPr="00E148C4">
        <w:t>:</w:t>
      </w:r>
      <w:r w:rsidRPr="00E148C4">
        <w:t xml:space="preserve"> 1) sum of total number of instances of moderate or strenuous activity in the past 7 days, and 2) sum of total number of instances of strenuous activity in the past 7 days.</w:t>
      </w:r>
    </w:p>
    <w:p w14:paraId="06A9173C" w14:textId="77777777" w:rsidR="00BC3375" w:rsidRPr="00E148C4" w:rsidRDefault="00BC3375" w:rsidP="00BC3375">
      <w:pPr>
        <w:rPr>
          <w:b/>
          <w:bCs/>
        </w:rPr>
      </w:pPr>
    </w:p>
    <w:p w14:paraId="1FED1125" w14:textId="77777777" w:rsidR="00BC3375" w:rsidRPr="00E148C4" w:rsidRDefault="00BC3375" w:rsidP="00BC3375">
      <w:pPr>
        <w:rPr>
          <w:b/>
          <w:bCs/>
        </w:rPr>
      </w:pPr>
    </w:p>
    <w:p w14:paraId="515E67AD" w14:textId="77777777" w:rsidR="003C64FA" w:rsidRPr="00E148C4" w:rsidRDefault="003C64FA" w:rsidP="00BC3375">
      <w:pPr>
        <w:rPr>
          <w:b/>
          <w:bCs/>
        </w:rPr>
      </w:pPr>
    </w:p>
    <w:p w14:paraId="37BC4723" w14:textId="77777777" w:rsidR="003C64FA" w:rsidRPr="00E148C4" w:rsidRDefault="003C64FA" w:rsidP="00BC3375">
      <w:pPr>
        <w:rPr>
          <w:b/>
          <w:bCs/>
        </w:rPr>
      </w:pPr>
    </w:p>
    <w:p w14:paraId="72B9734B" w14:textId="77777777" w:rsidR="003C64FA" w:rsidRPr="00E148C4" w:rsidRDefault="003C64FA" w:rsidP="00BC3375">
      <w:pPr>
        <w:rPr>
          <w:b/>
          <w:bCs/>
        </w:rPr>
      </w:pPr>
    </w:p>
    <w:p w14:paraId="11332426" w14:textId="77777777" w:rsidR="003C64FA" w:rsidRPr="00E148C4" w:rsidRDefault="003C64FA" w:rsidP="00BC3375">
      <w:pPr>
        <w:rPr>
          <w:b/>
          <w:bCs/>
        </w:rPr>
      </w:pPr>
    </w:p>
    <w:p w14:paraId="606F2AE6" w14:textId="77777777" w:rsidR="003C64FA" w:rsidRPr="00E148C4" w:rsidRDefault="003C64FA" w:rsidP="00BC3375">
      <w:pPr>
        <w:rPr>
          <w:b/>
          <w:bCs/>
        </w:rPr>
      </w:pPr>
    </w:p>
    <w:p w14:paraId="70050151" w14:textId="77777777" w:rsidR="003C64FA" w:rsidRPr="00E148C4" w:rsidRDefault="003C64FA" w:rsidP="00BC3375">
      <w:pPr>
        <w:rPr>
          <w:b/>
          <w:bCs/>
        </w:rPr>
      </w:pPr>
    </w:p>
    <w:p w14:paraId="7463FA95" w14:textId="77777777" w:rsidR="003C64FA" w:rsidRPr="00E148C4" w:rsidRDefault="003C64FA" w:rsidP="00BC3375">
      <w:pPr>
        <w:rPr>
          <w:b/>
          <w:bCs/>
        </w:rPr>
      </w:pPr>
    </w:p>
    <w:p w14:paraId="1B700178" w14:textId="77777777" w:rsidR="003C64FA" w:rsidRPr="00E148C4" w:rsidRDefault="003C64FA" w:rsidP="00BC3375">
      <w:pPr>
        <w:rPr>
          <w:b/>
          <w:bCs/>
        </w:rPr>
      </w:pPr>
    </w:p>
    <w:p w14:paraId="4B4A220E" w14:textId="77777777" w:rsidR="003C64FA" w:rsidRPr="00E148C4" w:rsidRDefault="003C64FA" w:rsidP="00BC3375">
      <w:pPr>
        <w:rPr>
          <w:b/>
          <w:bCs/>
        </w:rPr>
      </w:pPr>
    </w:p>
    <w:p w14:paraId="1E423BD1" w14:textId="77777777" w:rsidR="003C64FA" w:rsidRPr="00E148C4" w:rsidRDefault="003C64FA" w:rsidP="00BC3375">
      <w:pPr>
        <w:rPr>
          <w:b/>
          <w:bCs/>
        </w:rPr>
      </w:pPr>
    </w:p>
    <w:p w14:paraId="77477FE3" w14:textId="77777777" w:rsidR="003C64FA" w:rsidRPr="00E148C4" w:rsidRDefault="003C64FA" w:rsidP="00BC3375">
      <w:pPr>
        <w:rPr>
          <w:b/>
          <w:bCs/>
        </w:rPr>
      </w:pPr>
    </w:p>
    <w:p w14:paraId="008E7776" w14:textId="77777777" w:rsidR="003C64FA" w:rsidRPr="00E148C4" w:rsidRDefault="003C64FA" w:rsidP="00BC3375">
      <w:pPr>
        <w:rPr>
          <w:b/>
          <w:bCs/>
        </w:rPr>
      </w:pPr>
    </w:p>
    <w:p w14:paraId="2C680F34" w14:textId="77777777" w:rsidR="003C64FA" w:rsidRPr="00E148C4" w:rsidRDefault="003C64FA" w:rsidP="00BC3375">
      <w:pPr>
        <w:rPr>
          <w:b/>
          <w:bCs/>
        </w:rPr>
      </w:pPr>
    </w:p>
    <w:p w14:paraId="5D7A97A6" w14:textId="77777777" w:rsidR="003C64FA" w:rsidRPr="00E148C4" w:rsidRDefault="003C64FA" w:rsidP="00BC3375">
      <w:pPr>
        <w:rPr>
          <w:b/>
          <w:bCs/>
        </w:rPr>
      </w:pPr>
    </w:p>
    <w:p w14:paraId="01B04FBC" w14:textId="77777777" w:rsidR="003C64FA" w:rsidRPr="00E148C4" w:rsidRDefault="003C64FA" w:rsidP="00BC3375">
      <w:pPr>
        <w:rPr>
          <w:b/>
          <w:bCs/>
        </w:rPr>
      </w:pPr>
    </w:p>
    <w:p w14:paraId="17CDBAD7" w14:textId="77777777" w:rsidR="003C64FA" w:rsidRPr="00E148C4" w:rsidRDefault="003C64FA" w:rsidP="00BC3375">
      <w:pPr>
        <w:rPr>
          <w:b/>
          <w:bCs/>
        </w:rPr>
      </w:pPr>
    </w:p>
    <w:p w14:paraId="47FBCD60" w14:textId="77777777" w:rsidR="003C64FA" w:rsidRPr="00E148C4" w:rsidRDefault="003C64FA" w:rsidP="00BC3375">
      <w:pPr>
        <w:rPr>
          <w:b/>
          <w:bCs/>
        </w:rPr>
      </w:pPr>
    </w:p>
    <w:p w14:paraId="64B782B2" w14:textId="35AE3BFB" w:rsidR="00BC3375" w:rsidRPr="00E148C4" w:rsidRDefault="00BC3375" w:rsidP="00BC3375">
      <w:pPr>
        <w:rPr>
          <w:b/>
          <w:bCs/>
        </w:rPr>
      </w:pPr>
      <w:r w:rsidRPr="00E148C4">
        <w:rPr>
          <w:b/>
          <w:bCs/>
        </w:rPr>
        <w:lastRenderedPageBreak/>
        <w:t xml:space="preserve">Supplemental Table </w:t>
      </w:r>
      <w:r w:rsidR="00B27F78" w:rsidRPr="00E148C4">
        <w:rPr>
          <w:b/>
          <w:bCs/>
        </w:rPr>
        <w:t>8</w:t>
      </w:r>
      <w:r w:rsidRPr="00E148C4">
        <w:rPr>
          <w:b/>
          <w:bCs/>
        </w:rPr>
        <w:t xml:space="preserve">. Testing mediation of the association of adolescent psychopathology with midlife indicators of cardiometabolic risk </w:t>
      </w:r>
    </w:p>
    <w:tbl>
      <w:tblPr>
        <w:tblW w:w="9660" w:type="dxa"/>
        <w:tblBorders>
          <w:top w:val="single" w:sz="4" w:space="0" w:color="auto"/>
          <w:bottom w:val="single" w:sz="4" w:space="0" w:color="auto"/>
        </w:tblBorders>
        <w:tblLook w:val="04A0" w:firstRow="1" w:lastRow="0" w:firstColumn="1" w:lastColumn="0" w:noHBand="0" w:noVBand="1"/>
      </w:tblPr>
      <w:tblGrid>
        <w:gridCol w:w="2200"/>
        <w:gridCol w:w="2000"/>
        <w:gridCol w:w="1900"/>
        <w:gridCol w:w="2200"/>
        <w:gridCol w:w="1360"/>
      </w:tblGrid>
      <w:tr w:rsidR="00BC3375" w:rsidRPr="00E148C4" w14:paraId="0A73015C" w14:textId="77777777" w:rsidTr="00E07B3D">
        <w:trPr>
          <w:trHeight w:val="300"/>
        </w:trPr>
        <w:tc>
          <w:tcPr>
            <w:tcW w:w="2200" w:type="dxa"/>
            <w:tcBorders>
              <w:top w:val="single" w:sz="4" w:space="0" w:color="auto"/>
              <w:bottom w:val="single" w:sz="4" w:space="0" w:color="auto"/>
            </w:tcBorders>
            <w:shd w:val="clear" w:color="auto" w:fill="auto"/>
            <w:noWrap/>
            <w:vAlign w:val="bottom"/>
            <w:hideMark/>
          </w:tcPr>
          <w:p w14:paraId="6F1DC0BA" w14:textId="77777777" w:rsidR="00BC3375" w:rsidRPr="00E148C4" w:rsidRDefault="00BC3375" w:rsidP="00E07B3D">
            <w:pPr>
              <w:rPr>
                <w:b/>
                <w:bCs/>
                <w:color w:val="000000"/>
              </w:rPr>
            </w:pPr>
            <w:r w:rsidRPr="00E148C4">
              <w:rPr>
                <w:b/>
                <w:bCs/>
                <w:color w:val="000000"/>
              </w:rPr>
              <w:t xml:space="preserve">Mediator </w:t>
            </w:r>
          </w:p>
        </w:tc>
        <w:tc>
          <w:tcPr>
            <w:tcW w:w="2000" w:type="dxa"/>
            <w:tcBorders>
              <w:top w:val="single" w:sz="4" w:space="0" w:color="auto"/>
              <w:bottom w:val="single" w:sz="4" w:space="0" w:color="auto"/>
            </w:tcBorders>
            <w:shd w:val="clear" w:color="auto" w:fill="auto"/>
            <w:noWrap/>
            <w:vAlign w:val="bottom"/>
            <w:hideMark/>
          </w:tcPr>
          <w:p w14:paraId="63778625" w14:textId="24D50F42" w:rsidR="00BC3375" w:rsidRPr="00E148C4" w:rsidRDefault="00BC3375" w:rsidP="00E07B3D">
            <w:pPr>
              <w:rPr>
                <w:b/>
                <w:bCs/>
                <w:color w:val="000000"/>
              </w:rPr>
            </w:pPr>
            <w:r w:rsidRPr="00E148C4">
              <w:rPr>
                <w:b/>
                <w:bCs/>
                <w:color w:val="000000"/>
              </w:rPr>
              <w:t xml:space="preserve">Total </w:t>
            </w:r>
            <w:r w:rsidR="00114D16" w:rsidRPr="00E148C4">
              <w:rPr>
                <w:b/>
                <w:bCs/>
                <w:color w:val="000000"/>
              </w:rPr>
              <w:t>e</w:t>
            </w:r>
            <w:r w:rsidRPr="00E148C4">
              <w:rPr>
                <w:b/>
                <w:bCs/>
                <w:color w:val="000000"/>
              </w:rPr>
              <w:t xml:space="preserve">ffect </w:t>
            </w:r>
          </w:p>
        </w:tc>
        <w:tc>
          <w:tcPr>
            <w:tcW w:w="1900" w:type="dxa"/>
            <w:tcBorders>
              <w:top w:val="single" w:sz="4" w:space="0" w:color="auto"/>
              <w:bottom w:val="single" w:sz="4" w:space="0" w:color="auto"/>
            </w:tcBorders>
            <w:shd w:val="clear" w:color="auto" w:fill="auto"/>
            <w:noWrap/>
            <w:vAlign w:val="bottom"/>
            <w:hideMark/>
          </w:tcPr>
          <w:p w14:paraId="7B622CE7" w14:textId="5FD2C208" w:rsidR="00BC3375" w:rsidRPr="00E148C4" w:rsidRDefault="00BC3375" w:rsidP="00E07B3D">
            <w:pPr>
              <w:rPr>
                <w:b/>
                <w:bCs/>
                <w:color w:val="000000"/>
              </w:rPr>
            </w:pPr>
            <w:r w:rsidRPr="00E148C4">
              <w:rPr>
                <w:b/>
                <w:bCs/>
                <w:color w:val="000000"/>
              </w:rPr>
              <w:t xml:space="preserve">Direct </w:t>
            </w:r>
            <w:r w:rsidR="00114D16" w:rsidRPr="00E148C4">
              <w:rPr>
                <w:b/>
                <w:bCs/>
                <w:color w:val="000000"/>
              </w:rPr>
              <w:t>e</w:t>
            </w:r>
            <w:r w:rsidRPr="00E148C4">
              <w:rPr>
                <w:b/>
                <w:bCs/>
                <w:color w:val="000000"/>
              </w:rPr>
              <w:t xml:space="preserve">ffect </w:t>
            </w:r>
          </w:p>
        </w:tc>
        <w:tc>
          <w:tcPr>
            <w:tcW w:w="2200" w:type="dxa"/>
            <w:tcBorders>
              <w:top w:val="single" w:sz="4" w:space="0" w:color="auto"/>
              <w:bottom w:val="single" w:sz="4" w:space="0" w:color="auto"/>
            </w:tcBorders>
            <w:shd w:val="clear" w:color="auto" w:fill="auto"/>
            <w:noWrap/>
            <w:vAlign w:val="bottom"/>
            <w:hideMark/>
          </w:tcPr>
          <w:p w14:paraId="5D61FC50" w14:textId="77777777" w:rsidR="00C20501" w:rsidRPr="00E148C4" w:rsidRDefault="00BC3375" w:rsidP="00E07B3D">
            <w:pPr>
              <w:rPr>
                <w:b/>
                <w:bCs/>
                <w:color w:val="000000"/>
              </w:rPr>
            </w:pPr>
            <w:r w:rsidRPr="00E148C4">
              <w:rPr>
                <w:b/>
                <w:bCs/>
                <w:color w:val="000000"/>
              </w:rPr>
              <w:t xml:space="preserve">Total </w:t>
            </w:r>
          </w:p>
          <w:p w14:paraId="0061969A" w14:textId="25A59C18" w:rsidR="00BC3375" w:rsidRPr="00E148C4" w:rsidRDefault="00BC3375" w:rsidP="00E07B3D">
            <w:pPr>
              <w:rPr>
                <w:b/>
                <w:bCs/>
                <w:color w:val="000000"/>
              </w:rPr>
            </w:pPr>
            <w:r w:rsidRPr="00E148C4">
              <w:rPr>
                <w:b/>
                <w:bCs/>
                <w:color w:val="000000"/>
              </w:rPr>
              <w:t xml:space="preserve">indirect effect </w:t>
            </w:r>
          </w:p>
        </w:tc>
        <w:tc>
          <w:tcPr>
            <w:tcW w:w="1360" w:type="dxa"/>
            <w:tcBorders>
              <w:top w:val="single" w:sz="4" w:space="0" w:color="auto"/>
              <w:bottom w:val="single" w:sz="4" w:space="0" w:color="auto"/>
            </w:tcBorders>
            <w:shd w:val="clear" w:color="auto" w:fill="auto"/>
            <w:noWrap/>
            <w:vAlign w:val="bottom"/>
            <w:hideMark/>
          </w:tcPr>
          <w:p w14:paraId="3ADB4F03" w14:textId="77777777" w:rsidR="00BC3375" w:rsidRPr="00E148C4" w:rsidRDefault="00BC3375" w:rsidP="00E07B3D">
            <w:pPr>
              <w:rPr>
                <w:b/>
                <w:bCs/>
                <w:color w:val="000000"/>
              </w:rPr>
            </w:pPr>
            <w:r w:rsidRPr="00E148C4">
              <w:rPr>
                <w:b/>
                <w:bCs/>
                <w:color w:val="000000"/>
              </w:rPr>
              <w:t>% mediation</w:t>
            </w:r>
            <w:r w:rsidRPr="00E148C4">
              <w:rPr>
                <w:b/>
                <w:bCs/>
                <w:color w:val="000000"/>
                <w:vertAlign w:val="superscript"/>
              </w:rPr>
              <w:t>1</w:t>
            </w:r>
            <w:r w:rsidRPr="00E148C4">
              <w:rPr>
                <w:b/>
                <w:bCs/>
                <w:color w:val="000000"/>
              </w:rPr>
              <w:t xml:space="preserve"> </w:t>
            </w:r>
          </w:p>
        </w:tc>
      </w:tr>
      <w:tr w:rsidR="00BC3375" w:rsidRPr="00E148C4" w14:paraId="2EE79734" w14:textId="77777777" w:rsidTr="00E07B3D">
        <w:trPr>
          <w:trHeight w:val="288"/>
        </w:trPr>
        <w:tc>
          <w:tcPr>
            <w:tcW w:w="2200" w:type="dxa"/>
            <w:tcBorders>
              <w:top w:val="single" w:sz="4" w:space="0" w:color="auto"/>
            </w:tcBorders>
            <w:shd w:val="clear" w:color="auto" w:fill="auto"/>
            <w:noWrap/>
            <w:vAlign w:val="bottom"/>
            <w:hideMark/>
          </w:tcPr>
          <w:p w14:paraId="7907CB0F" w14:textId="2B59EA9F" w:rsidR="00BC3375" w:rsidRPr="00E148C4" w:rsidRDefault="00631C07" w:rsidP="00E07B3D">
            <w:pPr>
              <w:rPr>
                <w:color w:val="000000"/>
                <w:vertAlign w:val="superscript"/>
              </w:rPr>
            </w:pPr>
            <w:r w:rsidRPr="00E148C4">
              <w:rPr>
                <w:color w:val="000000"/>
              </w:rPr>
              <w:t xml:space="preserve">Low </w:t>
            </w:r>
            <w:r w:rsidR="001318A3" w:rsidRPr="00E148C4">
              <w:rPr>
                <w:color w:val="000000"/>
              </w:rPr>
              <w:t>e</w:t>
            </w:r>
            <w:r w:rsidR="00BC3375" w:rsidRPr="00E148C4">
              <w:rPr>
                <w:color w:val="000000"/>
              </w:rPr>
              <w:t>ducation</w:t>
            </w:r>
          </w:p>
        </w:tc>
        <w:tc>
          <w:tcPr>
            <w:tcW w:w="2000" w:type="dxa"/>
            <w:tcBorders>
              <w:top w:val="single" w:sz="4" w:space="0" w:color="auto"/>
            </w:tcBorders>
            <w:shd w:val="clear" w:color="auto" w:fill="auto"/>
            <w:noWrap/>
            <w:vAlign w:val="bottom"/>
            <w:hideMark/>
          </w:tcPr>
          <w:p w14:paraId="3B05F7D5" w14:textId="0F3F9204" w:rsidR="00BC3375" w:rsidRPr="00E148C4" w:rsidRDefault="00BC3375" w:rsidP="00E07B3D">
            <w:pPr>
              <w:rPr>
                <w:color w:val="000000"/>
              </w:rPr>
            </w:pPr>
            <w:r w:rsidRPr="00E148C4">
              <w:rPr>
                <w:color w:val="000000"/>
              </w:rPr>
              <w:t>1.13 (1.04</w:t>
            </w:r>
            <w:r w:rsidR="002926F7" w:rsidRPr="00E148C4">
              <w:rPr>
                <w:color w:val="000000"/>
              </w:rPr>
              <w:t>-</w:t>
            </w:r>
            <w:r w:rsidRPr="00E148C4">
              <w:rPr>
                <w:color w:val="000000"/>
              </w:rPr>
              <w:t>1.21)</w:t>
            </w:r>
            <w:r w:rsidR="002926F7" w:rsidRPr="00E148C4">
              <w:rPr>
                <w:color w:val="000000"/>
              </w:rPr>
              <w:t xml:space="preserve"> </w:t>
            </w:r>
          </w:p>
        </w:tc>
        <w:tc>
          <w:tcPr>
            <w:tcW w:w="1900" w:type="dxa"/>
            <w:tcBorders>
              <w:top w:val="single" w:sz="4" w:space="0" w:color="auto"/>
            </w:tcBorders>
            <w:shd w:val="clear" w:color="auto" w:fill="auto"/>
            <w:noWrap/>
            <w:vAlign w:val="bottom"/>
            <w:hideMark/>
          </w:tcPr>
          <w:p w14:paraId="6F018A1B" w14:textId="6BD8DFC1" w:rsidR="00BC3375" w:rsidRPr="00E148C4" w:rsidRDefault="00BC3375" w:rsidP="00E07B3D">
            <w:pPr>
              <w:rPr>
                <w:color w:val="000000"/>
              </w:rPr>
            </w:pPr>
            <w:r w:rsidRPr="00E148C4">
              <w:rPr>
                <w:color w:val="000000"/>
              </w:rPr>
              <w:t>1.12 (1.03</w:t>
            </w:r>
            <w:r w:rsidR="002926F7" w:rsidRPr="00E148C4">
              <w:rPr>
                <w:color w:val="000000"/>
              </w:rPr>
              <w:t>-</w:t>
            </w:r>
            <w:r w:rsidRPr="00E148C4">
              <w:rPr>
                <w:color w:val="000000"/>
              </w:rPr>
              <w:t>1.20)</w:t>
            </w:r>
          </w:p>
        </w:tc>
        <w:tc>
          <w:tcPr>
            <w:tcW w:w="2200" w:type="dxa"/>
            <w:tcBorders>
              <w:top w:val="single" w:sz="4" w:space="0" w:color="auto"/>
            </w:tcBorders>
            <w:shd w:val="clear" w:color="auto" w:fill="auto"/>
            <w:noWrap/>
            <w:vAlign w:val="bottom"/>
            <w:hideMark/>
          </w:tcPr>
          <w:p w14:paraId="291C24F2" w14:textId="45BDC054" w:rsidR="00BC3375" w:rsidRPr="00E148C4" w:rsidRDefault="00BC3375" w:rsidP="00E07B3D">
            <w:pPr>
              <w:rPr>
                <w:color w:val="000000"/>
              </w:rPr>
            </w:pPr>
            <w:r w:rsidRPr="00E148C4">
              <w:rPr>
                <w:color w:val="000000"/>
              </w:rPr>
              <w:t>1.01 (1.00</w:t>
            </w:r>
            <w:r w:rsidR="002926F7" w:rsidRPr="00E148C4">
              <w:rPr>
                <w:color w:val="000000"/>
              </w:rPr>
              <w:t>-</w:t>
            </w:r>
            <w:r w:rsidRPr="00E148C4">
              <w:rPr>
                <w:color w:val="000000"/>
              </w:rPr>
              <w:t>1.02)</w:t>
            </w:r>
          </w:p>
        </w:tc>
        <w:tc>
          <w:tcPr>
            <w:tcW w:w="1360" w:type="dxa"/>
            <w:tcBorders>
              <w:top w:val="single" w:sz="4" w:space="0" w:color="auto"/>
            </w:tcBorders>
            <w:shd w:val="clear" w:color="auto" w:fill="auto"/>
            <w:noWrap/>
            <w:vAlign w:val="bottom"/>
            <w:hideMark/>
          </w:tcPr>
          <w:p w14:paraId="37C22A90" w14:textId="036C3F7A" w:rsidR="00BC3375" w:rsidRPr="00E148C4" w:rsidRDefault="003C64FA" w:rsidP="008C219E">
            <w:pPr>
              <w:jc w:val="center"/>
              <w:rPr>
                <w:color w:val="000000"/>
              </w:rPr>
            </w:pPr>
            <w:r w:rsidRPr="00E148C4">
              <w:rPr>
                <w:color w:val="000000"/>
              </w:rPr>
              <w:t>--</w:t>
            </w:r>
          </w:p>
        </w:tc>
      </w:tr>
      <w:tr w:rsidR="00BC3375" w:rsidRPr="00E148C4" w14:paraId="6C214261" w14:textId="77777777" w:rsidTr="00E07B3D">
        <w:trPr>
          <w:trHeight w:val="288"/>
        </w:trPr>
        <w:tc>
          <w:tcPr>
            <w:tcW w:w="2200" w:type="dxa"/>
            <w:shd w:val="clear" w:color="auto" w:fill="auto"/>
            <w:noWrap/>
            <w:vAlign w:val="bottom"/>
            <w:hideMark/>
          </w:tcPr>
          <w:p w14:paraId="05A064E9" w14:textId="7F603941" w:rsidR="00BC3375" w:rsidRPr="00E148C4" w:rsidRDefault="00BC3375" w:rsidP="00E07B3D">
            <w:pPr>
              <w:rPr>
                <w:color w:val="000000"/>
              </w:rPr>
            </w:pPr>
            <w:r w:rsidRPr="00E148C4">
              <w:rPr>
                <w:color w:val="000000"/>
              </w:rPr>
              <w:t>Early</w:t>
            </w:r>
            <w:r w:rsidR="0023570F" w:rsidRPr="00E148C4">
              <w:rPr>
                <w:color w:val="000000"/>
              </w:rPr>
              <w:t>-</w:t>
            </w:r>
            <w:r w:rsidR="00631C07" w:rsidRPr="00E148C4">
              <w:rPr>
                <w:color w:val="000000"/>
              </w:rPr>
              <w:t xml:space="preserve">adult substance use </w:t>
            </w:r>
          </w:p>
        </w:tc>
        <w:tc>
          <w:tcPr>
            <w:tcW w:w="2000" w:type="dxa"/>
            <w:shd w:val="clear" w:color="auto" w:fill="auto"/>
            <w:noWrap/>
            <w:vAlign w:val="bottom"/>
            <w:hideMark/>
          </w:tcPr>
          <w:p w14:paraId="754BE8E7" w14:textId="660F610F" w:rsidR="00BC3375" w:rsidRPr="00E148C4" w:rsidRDefault="00BC3375" w:rsidP="00E07B3D">
            <w:pPr>
              <w:rPr>
                <w:color w:val="000000"/>
              </w:rPr>
            </w:pPr>
            <w:r w:rsidRPr="00E148C4">
              <w:rPr>
                <w:color w:val="000000"/>
              </w:rPr>
              <w:t>1.12 (1.04</w:t>
            </w:r>
            <w:r w:rsidR="002926F7" w:rsidRPr="00E148C4">
              <w:rPr>
                <w:color w:val="000000"/>
              </w:rPr>
              <w:t>-</w:t>
            </w:r>
            <w:r w:rsidRPr="00E148C4">
              <w:rPr>
                <w:color w:val="000000"/>
              </w:rPr>
              <w:t>1.21)</w:t>
            </w:r>
          </w:p>
        </w:tc>
        <w:tc>
          <w:tcPr>
            <w:tcW w:w="1900" w:type="dxa"/>
            <w:shd w:val="clear" w:color="auto" w:fill="auto"/>
            <w:noWrap/>
            <w:vAlign w:val="bottom"/>
            <w:hideMark/>
          </w:tcPr>
          <w:p w14:paraId="7C32D0D6" w14:textId="22AE0860" w:rsidR="00BC3375" w:rsidRPr="00E148C4" w:rsidRDefault="00BC3375" w:rsidP="00E07B3D">
            <w:pPr>
              <w:rPr>
                <w:color w:val="000000"/>
              </w:rPr>
            </w:pPr>
            <w:r w:rsidRPr="00E148C4">
              <w:rPr>
                <w:color w:val="000000"/>
              </w:rPr>
              <w:t>1.13 (1.05</w:t>
            </w:r>
            <w:r w:rsidR="002926F7" w:rsidRPr="00E148C4">
              <w:rPr>
                <w:color w:val="000000"/>
              </w:rPr>
              <w:t>-</w:t>
            </w:r>
            <w:r w:rsidRPr="00E148C4">
              <w:rPr>
                <w:color w:val="000000"/>
              </w:rPr>
              <w:t>1.22)</w:t>
            </w:r>
          </w:p>
        </w:tc>
        <w:tc>
          <w:tcPr>
            <w:tcW w:w="2200" w:type="dxa"/>
            <w:shd w:val="clear" w:color="auto" w:fill="auto"/>
            <w:noWrap/>
            <w:vAlign w:val="bottom"/>
            <w:hideMark/>
          </w:tcPr>
          <w:p w14:paraId="4482A9BD" w14:textId="5301813D" w:rsidR="00BC3375" w:rsidRPr="00E148C4" w:rsidRDefault="00BC3375" w:rsidP="00E07B3D">
            <w:pPr>
              <w:rPr>
                <w:color w:val="000000"/>
              </w:rPr>
            </w:pPr>
            <w:r w:rsidRPr="00E148C4">
              <w:rPr>
                <w:color w:val="000000"/>
              </w:rPr>
              <w:t>0.99 (0.98</w:t>
            </w:r>
            <w:r w:rsidR="002926F7" w:rsidRPr="00E148C4">
              <w:rPr>
                <w:color w:val="000000"/>
              </w:rPr>
              <w:t>-</w:t>
            </w:r>
            <w:r w:rsidRPr="00E148C4">
              <w:rPr>
                <w:color w:val="000000"/>
              </w:rPr>
              <w:t>1.01)</w:t>
            </w:r>
          </w:p>
        </w:tc>
        <w:tc>
          <w:tcPr>
            <w:tcW w:w="1360" w:type="dxa"/>
            <w:shd w:val="clear" w:color="auto" w:fill="auto"/>
            <w:noWrap/>
            <w:vAlign w:val="bottom"/>
            <w:hideMark/>
          </w:tcPr>
          <w:p w14:paraId="63B68536" w14:textId="6ACBD6ED" w:rsidR="00BC3375" w:rsidRPr="00E148C4" w:rsidRDefault="003C64FA" w:rsidP="008C219E">
            <w:pPr>
              <w:jc w:val="center"/>
              <w:rPr>
                <w:color w:val="000000"/>
              </w:rPr>
            </w:pPr>
            <w:r w:rsidRPr="00E148C4">
              <w:rPr>
                <w:color w:val="000000"/>
              </w:rPr>
              <w:t>--</w:t>
            </w:r>
            <w:r w:rsidR="00BC3375" w:rsidRPr="00E148C4">
              <w:rPr>
                <w:color w:val="000000"/>
              </w:rPr>
              <w:t xml:space="preserve"> </w:t>
            </w:r>
          </w:p>
        </w:tc>
      </w:tr>
      <w:tr w:rsidR="00BC3375" w:rsidRPr="00E148C4" w14:paraId="0F66ACE4" w14:textId="77777777" w:rsidTr="00E07B3D">
        <w:trPr>
          <w:trHeight w:val="288"/>
        </w:trPr>
        <w:tc>
          <w:tcPr>
            <w:tcW w:w="2200" w:type="dxa"/>
            <w:shd w:val="clear" w:color="auto" w:fill="auto"/>
            <w:noWrap/>
            <w:vAlign w:val="bottom"/>
            <w:hideMark/>
          </w:tcPr>
          <w:p w14:paraId="52FC744E" w14:textId="38982E26" w:rsidR="00BC3375" w:rsidRPr="00E148C4" w:rsidRDefault="00BC3375" w:rsidP="00E07B3D">
            <w:pPr>
              <w:rPr>
                <w:color w:val="000000"/>
              </w:rPr>
            </w:pPr>
            <w:r w:rsidRPr="00E148C4">
              <w:rPr>
                <w:color w:val="000000"/>
              </w:rPr>
              <w:t>Early</w:t>
            </w:r>
            <w:r w:rsidR="00A82F61" w:rsidRPr="00E148C4">
              <w:rPr>
                <w:color w:val="000000"/>
              </w:rPr>
              <w:t>-</w:t>
            </w:r>
            <w:r w:rsidR="00AE4B3C" w:rsidRPr="00E148C4">
              <w:rPr>
                <w:color w:val="000000"/>
              </w:rPr>
              <w:t>a</w:t>
            </w:r>
            <w:r w:rsidRPr="00E148C4">
              <w:rPr>
                <w:color w:val="000000"/>
              </w:rPr>
              <w:t>dult</w:t>
            </w:r>
            <w:r w:rsidR="00AE4B3C" w:rsidRPr="00E148C4">
              <w:rPr>
                <w:color w:val="000000"/>
              </w:rPr>
              <w:t xml:space="preserve"> physical inactivity</w:t>
            </w:r>
            <w:r w:rsidR="00AE4B3C" w:rsidRPr="00E148C4">
              <w:rPr>
                <w:color w:val="000000"/>
                <w:vertAlign w:val="superscript"/>
              </w:rPr>
              <w:t xml:space="preserve">2 </w:t>
            </w:r>
          </w:p>
        </w:tc>
        <w:tc>
          <w:tcPr>
            <w:tcW w:w="2000" w:type="dxa"/>
            <w:shd w:val="clear" w:color="auto" w:fill="auto"/>
            <w:noWrap/>
            <w:vAlign w:val="bottom"/>
            <w:hideMark/>
          </w:tcPr>
          <w:p w14:paraId="3A06B1EC" w14:textId="1DE937E9" w:rsidR="00BC3375" w:rsidRPr="00E148C4" w:rsidRDefault="00BC3375" w:rsidP="00E07B3D">
            <w:pPr>
              <w:rPr>
                <w:color w:val="000000"/>
              </w:rPr>
            </w:pPr>
            <w:r w:rsidRPr="00E148C4">
              <w:rPr>
                <w:color w:val="000000"/>
              </w:rPr>
              <w:t>1.13 (1.04</w:t>
            </w:r>
            <w:r w:rsidR="002926F7" w:rsidRPr="00E148C4">
              <w:rPr>
                <w:color w:val="000000"/>
              </w:rPr>
              <w:t>-</w:t>
            </w:r>
            <w:r w:rsidRPr="00E148C4">
              <w:rPr>
                <w:color w:val="000000"/>
              </w:rPr>
              <w:t>1.22)</w:t>
            </w:r>
          </w:p>
        </w:tc>
        <w:tc>
          <w:tcPr>
            <w:tcW w:w="1900" w:type="dxa"/>
            <w:shd w:val="clear" w:color="auto" w:fill="auto"/>
            <w:noWrap/>
            <w:vAlign w:val="bottom"/>
            <w:hideMark/>
          </w:tcPr>
          <w:p w14:paraId="2DE47F8E" w14:textId="28F3B240" w:rsidR="00BC3375" w:rsidRPr="00E148C4" w:rsidRDefault="00BC3375" w:rsidP="00E07B3D">
            <w:pPr>
              <w:rPr>
                <w:color w:val="000000"/>
              </w:rPr>
            </w:pPr>
            <w:r w:rsidRPr="00E148C4">
              <w:rPr>
                <w:color w:val="000000"/>
              </w:rPr>
              <w:t>1.13 (1.05</w:t>
            </w:r>
            <w:r w:rsidR="002926F7" w:rsidRPr="00E148C4">
              <w:rPr>
                <w:color w:val="000000"/>
              </w:rPr>
              <w:t>-</w:t>
            </w:r>
            <w:r w:rsidRPr="00E148C4">
              <w:rPr>
                <w:color w:val="000000"/>
              </w:rPr>
              <w:t>1.22)</w:t>
            </w:r>
          </w:p>
        </w:tc>
        <w:tc>
          <w:tcPr>
            <w:tcW w:w="2200" w:type="dxa"/>
            <w:shd w:val="clear" w:color="auto" w:fill="auto"/>
            <w:noWrap/>
            <w:vAlign w:val="bottom"/>
            <w:hideMark/>
          </w:tcPr>
          <w:p w14:paraId="31FE35BD" w14:textId="3DAABADA" w:rsidR="00BC3375" w:rsidRPr="00E148C4" w:rsidRDefault="00BC3375" w:rsidP="00E07B3D">
            <w:pPr>
              <w:rPr>
                <w:color w:val="000000"/>
              </w:rPr>
            </w:pPr>
            <w:r w:rsidRPr="00E148C4">
              <w:rPr>
                <w:color w:val="000000"/>
              </w:rPr>
              <w:t>1.00 (0.99</w:t>
            </w:r>
            <w:r w:rsidR="002926F7" w:rsidRPr="00E148C4">
              <w:rPr>
                <w:color w:val="000000"/>
              </w:rPr>
              <w:t>-</w:t>
            </w:r>
            <w:r w:rsidRPr="00E148C4">
              <w:rPr>
                <w:color w:val="000000"/>
              </w:rPr>
              <w:t>1.00)</w:t>
            </w:r>
          </w:p>
        </w:tc>
        <w:tc>
          <w:tcPr>
            <w:tcW w:w="1360" w:type="dxa"/>
            <w:shd w:val="clear" w:color="auto" w:fill="auto"/>
            <w:noWrap/>
            <w:vAlign w:val="bottom"/>
            <w:hideMark/>
          </w:tcPr>
          <w:p w14:paraId="0060749F" w14:textId="2901375D" w:rsidR="00BC3375" w:rsidRPr="00E148C4" w:rsidRDefault="003C64FA" w:rsidP="008C219E">
            <w:pPr>
              <w:jc w:val="center"/>
              <w:rPr>
                <w:color w:val="000000"/>
              </w:rPr>
            </w:pPr>
            <w:r w:rsidRPr="00E148C4">
              <w:rPr>
                <w:color w:val="000000"/>
              </w:rPr>
              <w:t>--</w:t>
            </w:r>
          </w:p>
        </w:tc>
      </w:tr>
      <w:tr w:rsidR="00B27F78" w:rsidRPr="00E148C4" w14:paraId="6A2BAEF3" w14:textId="77777777" w:rsidTr="001A2F50">
        <w:trPr>
          <w:trHeight w:val="288"/>
        </w:trPr>
        <w:tc>
          <w:tcPr>
            <w:tcW w:w="2200" w:type="dxa"/>
            <w:shd w:val="clear" w:color="auto" w:fill="auto"/>
            <w:noWrap/>
            <w:vAlign w:val="bottom"/>
          </w:tcPr>
          <w:p w14:paraId="29DF1535" w14:textId="4D51A3FA" w:rsidR="00B27F78" w:rsidRPr="00E148C4" w:rsidRDefault="00B27F78" w:rsidP="00B27F78">
            <w:pPr>
              <w:rPr>
                <w:color w:val="000000"/>
              </w:rPr>
            </w:pPr>
            <w:proofErr w:type="gramStart"/>
            <w:r w:rsidRPr="00E148C4">
              <w:rPr>
                <w:color w:val="000000"/>
              </w:rPr>
              <w:t>Early-adult</w:t>
            </w:r>
            <w:proofErr w:type="gramEnd"/>
            <w:r w:rsidRPr="00E148C4">
              <w:rPr>
                <w:color w:val="000000"/>
              </w:rPr>
              <w:t xml:space="preserve"> fast</w:t>
            </w:r>
            <w:r w:rsidR="00AD4667" w:rsidRPr="00E148C4">
              <w:rPr>
                <w:color w:val="000000"/>
              </w:rPr>
              <w:t>-</w:t>
            </w:r>
            <w:r w:rsidRPr="00E148C4">
              <w:rPr>
                <w:color w:val="000000"/>
              </w:rPr>
              <w:t xml:space="preserve">food consumption </w:t>
            </w:r>
          </w:p>
        </w:tc>
        <w:tc>
          <w:tcPr>
            <w:tcW w:w="2000" w:type="dxa"/>
            <w:tcBorders>
              <w:top w:val="nil"/>
              <w:left w:val="nil"/>
              <w:bottom w:val="nil"/>
              <w:right w:val="nil"/>
            </w:tcBorders>
            <w:shd w:val="clear" w:color="auto" w:fill="auto"/>
            <w:noWrap/>
            <w:vAlign w:val="bottom"/>
          </w:tcPr>
          <w:p w14:paraId="6E3D5443" w14:textId="76F98425" w:rsidR="00B27F78" w:rsidRPr="00E148C4" w:rsidRDefault="00B27F78" w:rsidP="00B27F78">
            <w:pPr>
              <w:rPr>
                <w:color w:val="000000"/>
              </w:rPr>
            </w:pPr>
            <w:r w:rsidRPr="00E148C4">
              <w:rPr>
                <w:color w:val="000000"/>
              </w:rPr>
              <w:t>1.12 (1.04, 1.22)</w:t>
            </w:r>
          </w:p>
        </w:tc>
        <w:tc>
          <w:tcPr>
            <w:tcW w:w="1900" w:type="dxa"/>
            <w:tcBorders>
              <w:top w:val="nil"/>
              <w:left w:val="nil"/>
              <w:bottom w:val="nil"/>
              <w:right w:val="nil"/>
            </w:tcBorders>
            <w:shd w:val="clear" w:color="auto" w:fill="auto"/>
            <w:noWrap/>
            <w:vAlign w:val="bottom"/>
          </w:tcPr>
          <w:p w14:paraId="41D68F84" w14:textId="5D4F7BBF" w:rsidR="00B27F78" w:rsidRPr="00E148C4" w:rsidRDefault="00B27F78" w:rsidP="00B27F78">
            <w:pPr>
              <w:rPr>
                <w:color w:val="000000"/>
              </w:rPr>
            </w:pPr>
            <w:r w:rsidRPr="00E148C4">
              <w:rPr>
                <w:color w:val="000000"/>
              </w:rPr>
              <w:t>1.12 (1.04, 1.22)</w:t>
            </w:r>
          </w:p>
        </w:tc>
        <w:tc>
          <w:tcPr>
            <w:tcW w:w="2200" w:type="dxa"/>
            <w:tcBorders>
              <w:top w:val="nil"/>
              <w:left w:val="nil"/>
              <w:bottom w:val="nil"/>
              <w:right w:val="nil"/>
            </w:tcBorders>
            <w:shd w:val="clear" w:color="auto" w:fill="auto"/>
            <w:noWrap/>
            <w:vAlign w:val="bottom"/>
          </w:tcPr>
          <w:p w14:paraId="5F4C9A7C" w14:textId="170D14EF" w:rsidR="00B27F78" w:rsidRPr="00E148C4" w:rsidRDefault="00B27F78" w:rsidP="00B27F78">
            <w:pPr>
              <w:rPr>
                <w:color w:val="000000"/>
              </w:rPr>
            </w:pPr>
            <w:r w:rsidRPr="00E148C4">
              <w:rPr>
                <w:color w:val="000000"/>
              </w:rPr>
              <w:t>1.00 (0.99, 1.01)</w:t>
            </w:r>
          </w:p>
        </w:tc>
        <w:tc>
          <w:tcPr>
            <w:tcW w:w="1360" w:type="dxa"/>
            <w:shd w:val="clear" w:color="auto" w:fill="auto"/>
            <w:noWrap/>
            <w:vAlign w:val="bottom"/>
          </w:tcPr>
          <w:p w14:paraId="18CF7798" w14:textId="7B47F1F2" w:rsidR="00B27F78" w:rsidRPr="00E148C4" w:rsidRDefault="00B27F78" w:rsidP="00B27F78">
            <w:pPr>
              <w:jc w:val="center"/>
              <w:rPr>
                <w:color w:val="000000"/>
              </w:rPr>
            </w:pPr>
            <w:r w:rsidRPr="00E148C4">
              <w:rPr>
                <w:color w:val="000000"/>
              </w:rPr>
              <w:t>--</w:t>
            </w:r>
          </w:p>
        </w:tc>
      </w:tr>
      <w:tr w:rsidR="00B27F78" w:rsidRPr="00E148C4" w14:paraId="211114ED" w14:textId="77777777" w:rsidTr="001A2F50">
        <w:trPr>
          <w:trHeight w:val="288"/>
        </w:trPr>
        <w:tc>
          <w:tcPr>
            <w:tcW w:w="2200" w:type="dxa"/>
            <w:shd w:val="clear" w:color="auto" w:fill="auto"/>
            <w:noWrap/>
            <w:vAlign w:val="bottom"/>
          </w:tcPr>
          <w:p w14:paraId="1D8CFFCF" w14:textId="1D566FE4" w:rsidR="00B27F78" w:rsidRPr="00E148C4" w:rsidRDefault="00B27F78" w:rsidP="00B27F78">
            <w:pPr>
              <w:rPr>
                <w:color w:val="000000"/>
              </w:rPr>
            </w:pPr>
            <w:proofErr w:type="gramStart"/>
            <w:r w:rsidRPr="00E148C4">
              <w:rPr>
                <w:color w:val="000000"/>
              </w:rPr>
              <w:t>Early-adult</w:t>
            </w:r>
            <w:proofErr w:type="gramEnd"/>
            <w:r w:rsidRPr="00E148C4">
              <w:rPr>
                <w:color w:val="000000"/>
              </w:rPr>
              <w:t xml:space="preserve"> healthcare management </w:t>
            </w:r>
          </w:p>
        </w:tc>
        <w:tc>
          <w:tcPr>
            <w:tcW w:w="2000" w:type="dxa"/>
            <w:tcBorders>
              <w:top w:val="nil"/>
              <w:left w:val="nil"/>
              <w:bottom w:val="single" w:sz="8" w:space="0" w:color="auto"/>
              <w:right w:val="nil"/>
            </w:tcBorders>
            <w:shd w:val="clear" w:color="auto" w:fill="auto"/>
            <w:noWrap/>
            <w:vAlign w:val="bottom"/>
          </w:tcPr>
          <w:p w14:paraId="453E7C92" w14:textId="6BFB444A" w:rsidR="00B27F78" w:rsidRPr="00E148C4" w:rsidRDefault="00B27F78" w:rsidP="00B27F78">
            <w:pPr>
              <w:rPr>
                <w:color w:val="000000"/>
              </w:rPr>
            </w:pPr>
            <w:r w:rsidRPr="00E148C4">
              <w:rPr>
                <w:color w:val="000000"/>
              </w:rPr>
              <w:t>1.13 (1.04, 1.22)</w:t>
            </w:r>
          </w:p>
        </w:tc>
        <w:tc>
          <w:tcPr>
            <w:tcW w:w="1900" w:type="dxa"/>
            <w:tcBorders>
              <w:top w:val="nil"/>
              <w:left w:val="nil"/>
              <w:bottom w:val="single" w:sz="8" w:space="0" w:color="auto"/>
              <w:right w:val="nil"/>
            </w:tcBorders>
            <w:shd w:val="clear" w:color="auto" w:fill="auto"/>
            <w:noWrap/>
            <w:vAlign w:val="bottom"/>
          </w:tcPr>
          <w:p w14:paraId="093DB4C0" w14:textId="2177B3B6" w:rsidR="00B27F78" w:rsidRPr="00E148C4" w:rsidRDefault="00B27F78" w:rsidP="00B27F78">
            <w:pPr>
              <w:rPr>
                <w:color w:val="000000"/>
              </w:rPr>
            </w:pPr>
            <w:r w:rsidRPr="00E148C4">
              <w:rPr>
                <w:color w:val="000000"/>
              </w:rPr>
              <w:t xml:space="preserve">1.13 (1.04, 1.22) </w:t>
            </w:r>
          </w:p>
        </w:tc>
        <w:tc>
          <w:tcPr>
            <w:tcW w:w="2200" w:type="dxa"/>
            <w:tcBorders>
              <w:top w:val="nil"/>
              <w:left w:val="nil"/>
              <w:bottom w:val="single" w:sz="8" w:space="0" w:color="auto"/>
              <w:right w:val="nil"/>
            </w:tcBorders>
            <w:shd w:val="clear" w:color="auto" w:fill="auto"/>
            <w:noWrap/>
            <w:vAlign w:val="bottom"/>
          </w:tcPr>
          <w:p w14:paraId="1F4BD6B6" w14:textId="11C5FD26" w:rsidR="00B27F78" w:rsidRPr="00E148C4" w:rsidRDefault="00B27F78" w:rsidP="00B27F78">
            <w:pPr>
              <w:rPr>
                <w:color w:val="000000"/>
              </w:rPr>
            </w:pPr>
            <w:r w:rsidRPr="00E148C4">
              <w:rPr>
                <w:color w:val="000000"/>
              </w:rPr>
              <w:t xml:space="preserve">1.00 (0.99, 1.01) </w:t>
            </w:r>
          </w:p>
        </w:tc>
        <w:tc>
          <w:tcPr>
            <w:tcW w:w="1360" w:type="dxa"/>
            <w:shd w:val="clear" w:color="auto" w:fill="auto"/>
            <w:noWrap/>
            <w:vAlign w:val="bottom"/>
          </w:tcPr>
          <w:p w14:paraId="3B78B6FE" w14:textId="44660A1A" w:rsidR="00B27F78" w:rsidRPr="00E148C4" w:rsidRDefault="00B27F78" w:rsidP="00B27F78">
            <w:pPr>
              <w:jc w:val="center"/>
              <w:rPr>
                <w:color w:val="000000"/>
              </w:rPr>
            </w:pPr>
            <w:r w:rsidRPr="00E148C4">
              <w:rPr>
                <w:color w:val="000000"/>
              </w:rPr>
              <w:t>--</w:t>
            </w:r>
          </w:p>
        </w:tc>
      </w:tr>
    </w:tbl>
    <w:p w14:paraId="276D30BB" w14:textId="409C9448" w:rsidR="00BC3375" w:rsidRPr="00E148C4" w:rsidRDefault="00BC3375" w:rsidP="00BC3375">
      <w:r w:rsidRPr="00E148C4">
        <w:t xml:space="preserve">All models adjust for demographic factors including age, sex, race, ethnicity, socioeconomic status, and cognitive ability. Bootstrap confidence intervals with 500 iterations were used to estimate 95% confidence intervals. </w:t>
      </w:r>
    </w:p>
    <w:p w14:paraId="1BBADE72" w14:textId="77777777" w:rsidR="003C64FA" w:rsidRPr="00E148C4" w:rsidRDefault="003C64FA" w:rsidP="00BC3375"/>
    <w:p w14:paraId="6B3CB11E" w14:textId="48E5CCC5" w:rsidR="00BC3375" w:rsidRPr="00E148C4" w:rsidRDefault="00BC3375" w:rsidP="00BC3375">
      <w:r w:rsidRPr="00E148C4">
        <w:rPr>
          <w:vertAlign w:val="superscript"/>
        </w:rPr>
        <w:t>1</w:t>
      </w:r>
      <w:r w:rsidRPr="00E148C4">
        <w:t xml:space="preserve"> </w:t>
      </w:r>
      <w:r w:rsidR="003C64FA" w:rsidRPr="00E148C4">
        <w:t xml:space="preserve">Percent mediation is </w:t>
      </w:r>
      <w:r w:rsidR="00B216DB" w:rsidRPr="00E148C4">
        <w:t>not</w:t>
      </w:r>
      <w:r w:rsidR="003C64FA" w:rsidRPr="00E148C4">
        <w:t xml:space="preserve"> presented </w:t>
      </w:r>
      <w:r w:rsidR="00BE3BBD" w:rsidRPr="00E148C4">
        <w:t>as</w:t>
      </w:r>
      <w:r w:rsidR="00C54914" w:rsidRPr="00E148C4">
        <w:t xml:space="preserve"> </w:t>
      </w:r>
      <w:r w:rsidR="00221D72" w:rsidRPr="00E148C4">
        <w:t>indirect effects were not</w:t>
      </w:r>
      <w:r w:rsidR="003C64FA" w:rsidRPr="00E148C4">
        <w:t xml:space="preserve"> statistically significant. </w:t>
      </w:r>
    </w:p>
    <w:p w14:paraId="1263B5C6" w14:textId="454F03B3" w:rsidR="00BC3375" w:rsidRDefault="00BC3375" w:rsidP="00BC3375">
      <w:r w:rsidRPr="00E148C4">
        <w:rPr>
          <w:vertAlign w:val="superscript"/>
        </w:rPr>
        <w:t xml:space="preserve">2 </w:t>
      </w:r>
      <w:r w:rsidRPr="00E148C4">
        <w:t>Findings were consistent across two additional measures of physical inactivity</w:t>
      </w:r>
      <w:r w:rsidR="00674CBA" w:rsidRPr="00E148C4">
        <w:t>:</w:t>
      </w:r>
      <w:r w:rsidRPr="00E148C4">
        <w:t xml:space="preserve"> 1) sum of total number of instances of moderate or strenuous activity in the past 7 days, and 2) sum of total number of instances of strenuous activity in the past 7 days.</w:t>
      </w:r>
    </w:p>
    <w:p w14:paraId="5970E51A" w14:textId="77777777" w:rsidR="00506676" w:rsidRDefault="00506676" w:rsidP="00BC3375"/>
    <w:p w14:paraId="57FE3BB3" w14:textId="77777777" w:rsidR="00506676" w:rsidRDefault="00506676" w:rsidP="00BC3375"/>
    <w:p w14:paraId="1D13FBDC" w14:textId="77777777" w:rsidR="00506676" w:rsidRDefault="00506676" w:rsidP="00BC3375"/>
    <w:p w14:paraId="3230458C" w14:textId="77777777" w:rsidR="00506676" w:rsidRDefault="00506676" w:rsidP="00BC3375"/>
    <w:p w14:paraId="4958F7F2" w14:textId="77777777" w:rsidR="00506676" w:rsidRDefault="00506676" w:rsidP="00BC3375"/>
    <w:p w14:paraId="57229929" w14:textId="77777777" w:rsidR="00506676" w:rsidRDefault="00506676" w:rsidP="00BC3375"/>
    <w:p w14:paraId="47E077D2" w14:textId="77777777" w:rsidR="00506676" w:rsidRDefault="00506676" w:rsidP="00BC3375"/>
    <w:p w14:paraId="10450C9F" w14:textId="77777777" w:rsidR="00506676" w:rsidRDefault="00506676" w:rsidP="00BC3375"/>
    <w:p w14:paraId="27D318B7" w14:textId="77777777" w:rsidR="00506676" w:rsidRDefault="00506676" w:rsidP="00BC3375"/>
    <w:p w14:paraId="6DB2F17D" w14:textId="77777777" w:rsidR="00506676" w:rsidRDefault="00506676" w:rsidP="00BC3375"/>
    <w:p w14:paraId="548DF2CE" w14:textId="77777777" w:rsidR="00506676" w:rsidRDefault="00506676" w:rsidP="00BC3375"/>
    <w:p w14:paraId="2846D648" w14:textId="77777777" w:rsidR="00054F34" w:rsidRDefault="00054F34" w:rsidP="00BC3375"/>
    <w:p w14:paraId="08EAF895" w14:textId="77777777" w:rsidR="00054F34" w:rsidRDefault="00054F34" w:rsidP="00BC3375"/>
    <w:p w14:paraId="2B73AF5F" w14:textId="77777777" w:rsidR="00054F34" w:rsidRDefault="00054F34" w:rsidP="00BC3375"/>
    <w:p w14:paraId="03F942C9" w14:textId="77777777" w:rsidR="00054F34" w:rsidRDefault="00054F34" w:rsidP="00BC3375"/>
    <w:p w14:paraId="35224818" w14:textId="77777777" w:rsidR="00506676" w:rsidRDefault="00506676" w:rsidP="00BC3375"/>
    <w:p w14:paraId="1E73E9D5" w14:textId="77777777" w:rsidR="00506676" w:rsidRDefault="00506676" w:rsidP="00BC3375"/>
    <w:p w14:paraId="6AB71399" w14:textId="77777777" w:rsidR="00506676" w:rsidRDefault="00506676" w:rsidP="00BC3375"/>
    <w:p w14:paraId="2DAECFE0" w14:textId="77777777" w:rsidR="00506676" w:rsidRDefault="00506676" w:rsidP="00BC3375"/>
    <w:p w14:paraId="684157A6" w14:textId="77777777" w:rsidR="00506676" w:rsidRDefault="00506676" w:rsidP="00BC3375"/>
    <w:p w14:paraId="46D85BFF" w14:textId="77777777" w:rsidR="00506676" w:rsidRDefault="00506676" w:rsidP="00BC3375"/>
    <w:p w14:paraId="6D416A58" w14:textId="77777777" w:rsidR="00506676" w:rsidRDefault="00506676" w:rsidP="00BC3375"/>
    <w:p w14:paraId="3A386B72" w14:textId="77777777" w:rsidR="00506676" w:rsidRDefault="00506676" w:rsidP="00BC3375"/>
    <w:p w14:paraId="5ED865F7" w14:textId="77777777" w:rsidR="00506676" w:rsidRDefault="00506676" w:rsidP="00BC3375"/>
    <w:p w14:paraId="2525A557" w14:textId="33F20EDF" w:rsidR="00506676" w:rsidRPr="00506676" w:rsidRDefault="00506676" w:rsidP="00BC3375">
      <w:pPr>
        <w:rPr>
          <w:b/>
          <w:bCs/>
        </w:rPr>
      </w:pPr>
      <w:r w:rsidRPr="00506676">
        <w:rPr>
          <w:b/>
          <w:bCs/>
        </w:rPr>
        <w:t xml:space="preserve">References </w:t>
      </w:r>
    </w:p>
    <w:p w14:paraId="17D9C150" w14:textId="77777777" w:rsidR="00506676" w:rsidRPr="00506676" w:rsidRDefault="00506676" w:rsidP="00506676">
      <w:pPr>
        <w:pStyle w:val="Bibliography"/>
        <w:spacing w:line="276" w:lineRule="auto"/>
      </w:pPr>
      <w:r>
        <w:fldChar w:fldCharType="begin"/>
      </w:r>
      <w:r>
        <w:instrText xml:space="preserve"> ADDIN ZOTERO_BIBL {"uncited":[],"omitted":[],"custom":[]} CSL_BIBLIOGRAPHY </w:instrText>
      </w:r>
      <w:r>
        <w:fldChar w:fldCharType="separate"/>
      </w:r>
      <w:r w:rsidRPr="00506676">
        <w:t xml:space="preserve">Belsky, D. W., Domingue, B. W., Wedow, R., Arseneault, L., Boardman, J. D., Caspi, A., … Harris, K. M. (2018). Genetic analysis of social-class mobility in five longitudinal studies. </w:t>
      </w:r>
      <w:r w:rsidRPr="00506676">
        <w:rPr>
          <w:i/>
          <w:iCs/>
        </w:rPr>
        <w:t>Proceedings of the National Academy of Sciences</w:t>
      </w:r>
      <w:r w:rsidRPr="00506676">
        <w:t xml:space="preserve">, </w:t>
      </w:r>
      <w:r w:rsidRPr="00506676">
        <w:rPr>
          <w:i/>
          <w:iCs/>
        </w:rPr>
        <w:t>115</w:t>
      </w:r>
      <w:r w:rsidRPr="00506676">
        <w:t>(31). https://doi.org/10.1073/pnas.1801238115</w:t>
      </w:r>
    </w:p>
    <w:p w14:paraId="17D9E7D7" w14:textId="77777777" w:rsidR="00506676" w:rsidRPr="00506676" w:rsidRDefault="00506676" w:rsidP="00506676">
      <w:pPr>
        <w:pStyle w:val="Bibliography"/>
        <w:spacing w:line="276" w:lineRule="auto"/>
      </w:pPr>
      <w:r w:rsidRPr="00506676">
        <w:t xml:space="preserve">Buysse, D. J., Reynolds, C. F., Monk, T. H., Berman, S. R., &amp; Kupfer, D. J. (1989). The Pittsburgh sleep quality index: A new instrument for psychiatric practice and research. </w:t>
      </w:r>
      <w:r w:rsidRPr="00506676">
        <w:rPr>
          <w:i/>
          <w:iCs/>
        </w:rPr>
        <w:t>Psychiatry Research</w:t>
      </w:r>
      <w:r w:rsidRPr="00506676">
        <w:t xml:space="preserve">, </w:t>
      </w:r>
      <w:r w:rsidRPr="00506676">
        <w:rPr>
          <w:i/>
          <w:iCs/>
        </w:rPr>
        <w:t>28</w:t>
      </w:r>
      <w:r w:rsidRPr="00506676">
        <w:t>(2), 193–213. https://doi.org/10.1016/0165-1781(89)90047-4</w:t>
      </w:r>
    </w:p>
    <w:p w14:paraId="1D9FEB6A" w14:textId="77777777" w:rsidR="00506676" w:rsidRPr="00506676" w:rsidRDefault="00506676" w:rsidP="00506676">
      <w:pPr>
        <w:pStyle w:val="Bibliography"/>
        <w:spacing w:line="276" w:lineRule="auto"/>
      </w:pPr>
      <w:r w:rsidRPr="00506676">
        <w:t xml:space="preserve">Case, A., &amp; Deaton, A. (2015). Rising morbidity and mortality in midlife among white non-Hispanic Americans in the 21st century. </w:t>
      </w:r>
      <w:r w:rsidRPr="00506676">
        <w:rPr>
          <w:i/>
          <w:iCs/>
        </w:rPr>
        <w:t>Proceedings of the National Academy of Sciences</w:t>
      </w:r>
      <w:r w:rsidRPr="00506676">
        <w:t xml:space="preserve">, </w:t>
      </w:r>
      <w:r w:rsidRPr="00506676">
        <w:rPr>
          <w:i/>
          <w:iCs/>
        </w:rPr>
        <w:t>112</w:t>
      </w:r>
      <w:r w:rsidRPr="00506676">
        <w:t>(49), 15078–15083. https://doi.org/10.1073/pnas.1518393112</w:t>
      </w:r>
    </w:p>
    <w:p w14:paraId="1B16FFDA" w14:textId="0C04BD11" w:rsidR="00506676" w:rsidRPr="00506676" w:rsidRDefault="00506676" w:rsidP="00506676">
      <w:pPr>
        <w:pStyle w:val="Bibliography"/>
        <w:spacing w:line="276" w:lineRule="auto"/>
      </w:pPr>
      <w:r w:rsidRPr="00506676">
        <w:t xml:space="preserve">Department of Health and Human Services. (2021). </w:t>
      </w:r>
      <w:r w:rsidRPr="00506676">
        <w:rPr>
          <w:i/>
          <w:iCs/>
        </w:rPr>
        <w:t>Executive Summary: Physical Activity Guidelines for Americans, 2nd edition</w:t>
      </w:r>
      <w:r w:rsidRPr="00506676">
        <w:t xml:space="preserve">. Retrieved from </w:t>
      </w:r>
      <w:proofErr w:type="gramStart"/>
      <w:r w:rsidRPr="00506676">
        <w:t>https://health.gov/sites/default/files/2019-10/PAG_ExecutiveSummary.pdf</w:t>
      </w:r>
      <w:proofErr w:type="gramEnd"/>
    </w:p>
    <w:p w14:paraId="5DB8DD12" w14:textId="180CF100" w:rsidR="002B531A" w:rsidRPr="002B531A" w:rsidRDefault="0090656C" w:rsidP="002B531A">
      <w:pPr>
        <w:pStyle w:val="Bibliography"/>
        <w:spacing w:line="276" w:lineRule="auto"/>
      </w:pPr>
      <w:r w:rsidRPr="002B531A">
        <w:t xml:space="preserve">Executive Summary of the Clinical Guidelines on the Identification, Evaluation, and Treatment </w:t>
      </w:r>
      <w:r w:rsidRPr="002B531A">
        <w:t xml:space="preserve">of Overweight and Obesity in Adults. (1998). </w:t>
      </w:r>
      <w:r w:rsidR="002B531A" w:rsidRPr="002B531A">
        <w:rPr>
          <w:i/>
          <w:iCs/>
        </w:rPr>
        <w:t>Archives of Internal Medicine</w:t>
      </w:r>
      <w:r w:rsidRPr="002B531A">
        <w:t xml:space="preserve">, </w:t>
      </w:r>
      <w:r w:rsidRPr="002B531A">
        <w:rPr>
          <w:i/>
          <w:iCs/>
        </w:rPr>
        <w:t>158</w:t>
      </w:r>
      <w:r w:rsidR="002B531A" w:rsidRPr="002B531A">
        <w:t>(17), 1855-1867</w:t>
      </w:r>
      <w:r w:rsidRPr="002B531A">
        <w:t>.</w:t>
      </w:r>
      <w:r w:rsidR="002B531A" w:rsidRPr="002B531A">
        <w:t xml:space="preserve"> https://doi.org/10.1001/archinte.158.17.1855</w:t>
      </w:r>
    </w:p>
    <w:p w14:paraId="379EECE1" w14:textId="77777777" w:rsidR="00506676" w:rsidRPr="00506676" w:rsidRDefault="00506676" w:rsidP="00506676">
      <w:pPr>
        <w:pStyle w:val="Bibliography"/>
        <w:spacing w:line="276" w:lineRule="auto"/>
      </w:pPr>
      <w:r w:rsidRPr="00506676">
        <w:t xml:space="preserve">L. M. Dunn. (1997). </w:t>
      </w:r>
      <w:r w:rsidRPr="00506676">
        <w:rPr>
          <w:i/>
          <w:iCs/>
        </w:rPr>
        <w:t>PPVT-III: Peabody Picture Vocabulary Test</w:t>
      </w:r>
      <w:r w:rsidRPr="00506676">
        <w:t>. Circle Pines, MN: American Guidance Service.</w:t>
      </w:r>
    </w:p>
    <w:p w14:paraId="66F251EC" w14:textId="77777777" w:rsidR="00506676" w:rsidRPr="00506676" w:rsidRDefault="00506676" w:rsidP="00506676">
      <w:pPr>
        <w:pStyle w:val="Bibliography"/>
        <w:spacing w:line="276" w:lineRule="auto"/>
      </w:pPr>
      <w:r w:rsidRPr="00506676">
        <w:t xml:space="preserve">Miles, D. R., van den Bree, M. B. M., &amp; Pickens, R. W. (2002). Sex differences in shared genetic and environmental influences between conduct disorder symptoms and marijuana use in adolescents. </w:t>
      </w:r>
      <w:r w:rsidRPr="00506676">
        <w:rPr>
          <w:i/>
          <w:iCs/>
        </w:rPr>
        <w:t>American Journal of Medical Genetics</w:t>
      </w:r>
      <w:r w:rsidRPr="00506676">
        <w:t xml:space="preserve">, </w:t>
      </w:r>
      <w:r w:rsidRPr="00506676">
        <w:rPr>
          <w:i/>
          <w:iCs/>
        </w:rPr>
        <w:t>114</w:t>
      </w:r>
      <w:r w:rsidRPr="00506676">
        <w:t>(2), 159–168. https://doi.org/10.1002/ajmg.10178</w:t>
      </w:r>
    </w:p>
    <w:p w14:paraId="793DB0EF" w14:textId="77777777" w:rsidR="00506676" w:rsidRPr="00506676" w:rsidRDefault="00506676" w:rsidP="00506676">
      <w:pPr>
        <w:pStyle w:val="Bibliography"/>
        <w:spacing w:line="276" w:lineRule="auto"/>
      </w:pPr>
      <w:r w:rsidRPr="00506676">
        <w:t xml:space="preserve">Roberts, R. E., </w:t>
      </w:r>
      <w:proofErr w:type="spellStart"/>
      <w:r w:rsidRPr="00506676">
        <w:t>Lewinsohn</w:t>
      </w:r>
      <w:proofErr w:type="spellEnd"/>
      <w:r w:rsidRPr="00506676">
        <w:t xml:space="preserve">, P. M., &amp; Seeley, J. R. (1991). Screening for Adolescent Depression: A Comparison of Depression Scales. </w:t>
      </w:r>
      <w:r w:rsidRPr="00506676">
        <w:rPr>
          <w:i/>
          <w:iCs/>
        </w:rPr>
        <w:t>Journal of the American Academy of Child &amp; Adolescent Psychiatry</w:t>
      </w:r>
      <w:r w:rsidRPr="00506676">
        <w:t xml:space="preserve">, </w:t>
      </w:r>
      <w:r w:rsidRPr="00506676">
        <w:rPr>
          <w:i/>
          <w:iCs/>
        </w:rPr>
        <w:t>30</w:t>
      </w:r>
      <w:r w:rsidRPr="00506676">
        <w:t>(1), 58–66. https://doi.org/10.1097/00004583-199101000-00009</w:t>
      </w:r>
    </w:p>
    <w:p w14:paraId="41E985B1" w14:textId="064FDBCD" w:rsidR="00506676" w:rsidRDefault="00506676" w:rsidP="00506676">
      <w:pPr>
        <w:spacing w:line="276" w:lineRule="auto"/>
      </w:pPr>
      <w:r>
        <w:fldChar w:fldCharType="end"/>
      </w:r>
    </w:p>
    <w:p w14:paraId="6C8BBDC3" w14:textId="77777777" w:rsidR="00E75D5C" w:rsidRDefault="00E75D5C" w:rsidP="00BC3375"/>
    <w:p w14:paraId="64C0BEDD" w14:textId="77777777" w:rsidR="008F5DA6" w:rsidRDefault="008F5DA6"/>
    <w:p w14:paraId="15133C80" w14:textId="77777777" w:rsidR="00E75D5C" w:rsidRDefault="00E75D5C"/>
    <w:p w14:paraId="33FAC859" w14:textId="77777777" w:rsidR="00E75D5C" w:rsidRDefault="00E75D5C"/>
    <w:p w14:paraId="027156BE" w14:textId="77777777" w:rsidR="00E75D5C" w:rsidRDefault="00E75D5C"/>
    <w:p w14:paraId="5434C369" w14:textId="77777777" w:rsidR="00E75D5C" w:rsidRDefault="00E75D5C"/>
    <w:p w14:paraId="42364449" w14:textId="77777777" w:rsidR="00E75D5C" w:rsidRDefault="00E75D5C"/>
    <w:p w14:paraId="44F490CC" w14:textId="77777777" w:rsidR="00E75D5C" w:rsidRDefault="00E75D5C"/>
    <w:p w14:paraId="10C90CF3" w14:textId="77777777" w:rsidR="00E75D5C" w:rsidRDefault="00E75D5C"/>
    <w:p w14:paraId="092D779B" w14:textId="77777777" w:rsidR="00E75D5C" w:rsidRDefault="00E75D5C"/>
    <w:p w14:paraId="5E015583" w14:textId="77777777" w:rsidR="00E75D5C" w:rsidRDefault="00E75D5C"/>
    <w:p w14:paraId="026546AF" w14:textId="77777777" w:rsidR="00E75D5C" w:rsidRDefault="00E75D5C"/>
    <w:p w14:paraId="1DA469A5" w14:textId="77777777" w:rsidR="00E75D5C" w:rsidRDefault="00E75D5C"/>
    <w:p w14:paraId="6E8FD709" w14:textId="32ED732A" w:rsidR="00E75D5C" w:rsidRPr="00E75D5C" w:rsidRDefault="00E75D5C">
      <w:pPr>
        <w:rPr>
          <w:b/>
          <w:bCs/>
        </w:rPr>
      </w:pPr>
    </w:p>
    <w:sectPr w:rsidR="00E75D5C" w:rsidRPr="00E75D5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0AF79" w14:textId="77777777" w:rsidR="00621CD6" w:rsidRDefault="00621CD6" w:rsidP="003C64FA">
      <w:r>
        <w:separator/>
      </w:r>
    </w:p>
  </w:endnote>
  <w:endnote w:type="continuationSeparator" w:id="0">
    <w:p w14:paraId="4BF2034C" w14:textId="77777777" w:rsidR="00621CD6" w:rsidRDefault="00621CD6" w:rsidP="003C6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544564"/>
      <w:docPartObj>
        <w:docPartGallery w:val="Page Numbers (Bottom of Page)"/>
        <w:docPartUnique/>
      </w:docPartObj>
    </w:sdtPr>
    <w:sdtEndPr>
      <w:rPr>
        <w:noProof/>
      </w:rPr>
    </w:sdtEndPr>
    <w:sdtContent>
      <w:p w14:paraId="411F762E" w14:textId="77777777" w:rsidR="00DE554B" w:rsidRDefault="00DE554B">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6F0593A2" w14:textId="77777777" w:rsidR="00DE554B" w:rsidRDefault="00DE5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486551"/>
      <w:docPartObj>
        <w:docPartGallery w:val="Page Numbers (Bottom of Page)"/>
        <w:docPartUnique/>
      </w:docPartObj>
    </w:sdtPr>
    <w:sdtEndPr>
      <w:rPr>
        <w:noProof/>
      </w:rPr>
    </w:sdtEndPr>
    <w:sdtContent>
      <w:p w14:paraId="107FCB9F" w14:textId="03DFC3AE" w:rsidR="004538D2" w:rsidRDefault="004538D2">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74046FE8" w14:textId="77777777" w:rsidR="004538D2" w:rsidRDefault="00453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B900D" w14:textId="77777777" w:rsidR="00621CD6" w:rsidRDefault="00621CD6" w:rsidP="003C64FA">
      <w:r>
        <w:separator/>
      </w:r>
    </w:p>
  </w:footnote>
  <w:footnote w:type="continuationSeparator" w:id="0">
    <w:p w14:paraId="552FC0BB" w14:textId="77777777" w:rsidR="00621CD6" w:rsidRDefault="00621CD6" w:rsidP="003C6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73272"/>
    <w:multiLevelType w:val="multilevel"/>
    <w:tmpl w:val="07128E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46629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375"/>
    <w:rsid w:val="000109D0"/>
    <w:rsid w:val="00030579"/>
    <w:rsid w:val="00034B3F"/>
    <w:rsid w:val="0003588C"/>
    <w:rsid w:val="00054F05"/>
    <w:rsid w:val="00054F34"/>
    <w:rsid w:val="00085483"/>
    <w:rsid w:val="00086FAA"/>
    <w:rsid w:val="000A1DF0"/>
    <w:rsid w:val="000B1244"/>
    <w:rsid w:val="000C7C81"/>
    <w:rsid w:val="000F293B"/>
    <w:rsid w:val="00112B45"/>
    <w:rsid w:val="00114D16"/>
    <w:rsid w:val="001318A3"/>
    <w:rsid w:val="00132817"/>
    <w:rsid w:val="00193C69"/>
    <w:rsid w:val="001A2F50"/>
    <w:rsid w:val="001A3F7C"/>
    <w:rsid w:val="001D72CC"/>
    <w:rsid w:val="001E680C"/>
    <w:rsid w:val="001E7FCD"/>
    <w:rsid w:val="001F04B5"/>
    <w:rsid w:val="00221D72"/>
    <w:rsid w:val="00232A0B"/>
    <w:rsid w:val="0023570F"/>
    <w:rsid w:val="00240F4E"/>
    <w:rsid w:val="0024127D"/>
    <w:rsid w:val="00247B1B"/>
    <w:rsid w:val="00260AFD"/>
    <w:rsid w:val="00264F0D"/>
    <w:rsid w:val="00271EE3"/>
    <w:rsid w:val="002926F7"/>
    <w:rsid w:val="00293DB8"/>
    <w:rsid w:val="002B531A"/>
    <w:rsid w:val="002E2C92"/>
    <w:rsid w:val="002E7406"/>
    <w:rsid w:val="002F7058"/>
    <w:rsid w:val="0030700B"/>
    <w:rsid w:val="0035166F"/>
    <w:rsid w:val="00351B17"/>
    <w:rsid w:val="0036007C"/>
    <w:rsid w:val="00362126"/>
    <w:rsid w:val="00366AB3"/>
    <w:rsid w:val="00387B3A"/>
    <w:rsid w:val="0039228A"/>
    <w:rsid w:val="003A0220"/>
    <w:rsid w:val="003A28D1"/>
    <w:rsid w:val="003C1A0D"/>
    <w:rsid w:val="003C47BB"/>
    <w:rsid w:val="003C5A7A"/>
    <w:rsid w:val="003C64FA"/>
    <w:rsid w:val="003D4F30"/>
    <w:rsid w:val="003F704F"/>
    <w:rsid w:val="003F7AB5"/>
    <w:rsid w:val="00412FC2"/>
    <w:rsid w:val="0043334E"/>
    <w:rsid w:val="00436865"/>
    <w:rsid w:val="0044377F"/>
    <w:rsid w:val="00450064"/>
    <w:rsid w:val="004538D2"/>
    <w:rsid w:val="004760A9"/>
    <w:rsid w:val="00491216"/>
    <w:rsid w:val="004C0483"/>
    <w:rsid w:val="004D3707"/>
    <w:rsid w:val="004D7751"/>
    <w:rsid w:val="004E748E"/>
    <w:rsid w:val="00506508"/>
    <w:rsid w:val="00506676"/>
    <w:rsid w:val="00527228"/>
    <w:rsid w:val="005708C6"/>
    <w:rsid w:val="005776F0"/>
    <w:rsid w:val="005956C4"/>
    <w:rsid w:val="005A63D6"/>
    <w:rsid w:val="005A7F8A"/>
    <w:rsid w:val="005F379B"/>
    <w:rsid w:val="00621993"/>
    <w:rsid w:val="00621CD6"/>
    <w:rsid w:val="006222A0"/>
    <w:rsid w:val="00631C07"/>
    <w:rsid w:val="00650B0B"/>
    <w:rsid w:val="006642DE"/>
    <w:rsid w:val="006644A7"/>
    <w:rsid w:val="00674CBA"/>
    <w:rsid w:val="00685CEE"/>
    <w:rsid w:val="006C2653"/>
    <w:rsid w:val="006E495A"/>
    <w:rsid w:val="00701115"/>
    <w:rsid w:val="007063AE"/>
    <w:rsid w:val="00706728"/>
    <w:rsid w:val="00730094"/>
    <w:rsid w:val="0073510A"/>
    <w:rsid w:val="00740F83"/>
    <w:rsid w:val="00750ADA"/>
    <w:rsid w:val="007616AC"/>
    <w:rsid w:val="00780EA8"/>
    <w:rsid w:val="007B5869"/>
    <w:rsid w:val="007C4180"/>
    <w:rsid w:val="007C7FDF"/>
    <w:rsid w:val="007E2DE4"/>
    <w:rsid w:val="007E5B24"/>
    <w:rsid w:val="00807410"/>
    <w:rsid w:val="00812681"/>
    <w:rsid w:val="008164D6"/>
    <w:rsid w:val="00834877"/>
    <w:rsid w:val="0085316E"/>
    <w:rsid w:val="00877F1D"/>
    <w:rsid w:val="008C219E"/>
    <w:rsid w:val="008C5BB6"/>
    <w:rsid w:val="008D291B"/>
    <w:rsid w:val="008E5DC5"/>
    <w:rsid w:val="008E6D62"/>
    <w:rsid w:val="008F0601"/>
    <w:rsid w:val="008F5DA6"/>
    <w:rsid w:val="008F789D"/>
    <w:rsid w:val="0090656C"/>
    <w:rsid w:val="00930068"/>
    <w:rsid w:val="00932A44"/>
    <w:rsid w:val="0095511F"/>
    <w:rsid w:val="00996E8F"/>
    <w:rsid w:val="009A11B8"/>
    <w:rsid w:val="009A59B6"/>
    <w:rsid w:val="009C2D47"/>
    <w:rsid w:val="009C3A28"/>
    <w:rsid w:val="009C6866"/>
    <w:rsid w:val="009D3C03"/>
    <w:rsid w:val="009D4860"/>
    <w:rsid w:val="009E13B1"/>
    <w:rsid w:val="00A06904"/>
    <w:rsid w:val="00A12C25"/>
    <w:rsid w:val="00A25187"/>
    <w:rsid w:val="00A36CFD"/>
    <w:rsid w:val="00A44D18"/>
    <w:rsid w:val="00A76E49"/>
    <w:rsid w:val="00A82F61"/>
    <w:rsid w:val="00A91177"/>
    <w:rsid w:val="00A95E31"/>
    <w:rsid w:val="00AB11E6"/>
    <w:rsid w:val="00AC4065"/>
    <w:rsid w:val="00AD1DB7"/>
    <w:rsid w:val="00AD30B4"/>
    <w:rsid w:val="00AD3294"/>
    <w:rsid w:val="00AD3672"/>
    <w:rsid w:val="00AD4667"/>
    <w:rsid w:val="00AE4B3C"/>
    <w:rsid w:val="00AF315A"/>
    <w:rsid w:val="00B1262F"/>
    <w:rsid w:val="00B216DB"/>
    <w:rsid w:val="00B27F78"/>
    <w:rsid w:val="00B303A1"/>
    <w:rsid w:val="00B50E8F"/>
    <w:rsid w:val="00B70022"/>
    <w:rsid w:val="00B80D4C"/>
    <w:rsid w:val="00B812EA"/>
    <w:rsid w:val="00BC3375"/>
    <w:rsid w:val="00BE3BBD"/>
    <w:rsid w:val="00BE41A9"/>
    <w:rsid w:val="00BE6287"/>
    <w:rsid w:val="00BF4BAD"/>
    <w:rsid w:val="00C032C4"/>
    <w:rsid w:val="00C03FA1"/>
    <w:rsid w:val="00C20501"/>
    <w:rsid w:val="00C35146"/>
    <w:rsid w:val="00C375F6"/>
    <w:rsid w:val="00C54914"/>
    <w:rsid w:val="00C66F4F"/>
    <w:rsid w:val="00C94B25"/>
    <w:rsid w:val="00CE066C"/>
    <w:rsid w:val="00CF3D1D"/>
    <w:rsid w:val="00D30309"/>
    <w:rsid w:val="00D35151"/>
    <w:rsid w:val="00D6214C"/>
    <w:rsid w:val="00D91041"/>
    <w:rsid w:val="00D92EF9"/>
    <w:rsid w:val="00DA6373"/>
    <w:rsid w:val="00DB0C4D"/>
    <w:rsid w:val="00DB293B"/>
    <w:rsid w:val="00DC152E"/>
    <w:rsid w:val="00DC6729"/>
    <w:rsid w:val="00DE554B"/>
    <w:rsid w:val="00DF41A8"/>
    <w:rsid w:val="00E0695E"/>
    <w:rsid w:val="00E148C4"/>
    <w:rsid w:val="00E22CE7"/>
    <w:rsid w:val="00E473EC"/>
    <w:rsid w:val="00E54C1B"/>
    <w:rsid w:val="00E75D5C"/>
    <w:rsid w:val="00E817F4"/>
    <w:rsid w:val="00E862B9"/>
    <w:rsid w:val="00EC0ED3"/>
    <w:rsid w:val="00EC75CD"/>
    <w:rsid w:val="00EE476E"/>
    <w:rsid w:val="00EF71C4"/>
    <w:rsid w:val="00F30AD0"/>
    <w:rsid w:val="00F3360F"/>
    <w:rsid w:val="00F4160D"/>
    <w:rsid w:val="00F43066"/>
    <w:rsid w:val="00F64FAD"/>
    <w:rsid w:val="00F67D69"/>
    <w:rsid w:val="00F722FA"/>
    <w:rsid w:val="00F84017"/>
    <w:rsid w:val="00F84B85"/>
    <w:rsid w:val="00F931F6"/>
    <w:rsid w:val="00FD340B"/>
    <w:rsid w:val="00FF0A90"/>
    <w:rsid w:val="00FF1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9A215"/>
  <w15:chartTrackingRefBased/>
  <w15:docId w15:val="{31238289-C510-43AC-9B94-66F35C4B5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375"/>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C3375"/>
    <w:rPr>
      <w:sz w:val="16"/>
      <w:szCs w:val="16"/>
    </w:rPr>
  </w:style>
  <w:style w:type="paragraph" w:styleId="CommentText">
    <w:name w:val="annotation text"/>
    <w:basedOn w:val="Normal"/>
    <w:link w:val="CommentTextChar"/>
    <w:uiPriority w:val="99"/>
    <w:unhideWhenUsed/>
    <w:rsid w:val="00BC337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BC3375"/>
    <w:rPr>
      <w:kern w:val="0"/>
      <w:sz w:val="20"/>
      <w:szCs w:val="20"/>
      <w14:ligatures w14:val="none"/>
    </w:rPr>
  </w:style>
  <w:style w:type="table" w:styleId="TableGrid">
    <w:name w:val="Table Grid"/>
    <w:basedOn w:val="TableNormal"/>
    <w:uiPriority w:val="39"/>
    <w:rsid w:val="00BC337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375"/>
    <w:pPr>
      <w:spacing w:after="160" w:line="259" w:lineRule="auto"/>
      <w:ind w:left="72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AD3294"/>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AD3294"/>
    <w:rPr>
      <w:rFonts w:ascii="Times New Roman" w:eastAsia="Times New Roman" w:hAnsi="Times New Roman" w:cs="Times New Roman"/>
      <w:b/>
      <w:bCs/>
      <w:kern w:val="0"/>
      <w:sz w:val="20"/>
      <w:szCs w:val="20"/>
      <w14:ligatures w14:val="none"/>
    </w:rPr>
  </w:style>
  <w:style w:type="paragraph" w:styleId="Revision">
    <w:name w:val="Revision"/>
    <w:hidden/>
    <w:uiPriority w:val="99"/>
    <w:semiHidden/>
    <w:rsid w:val="00A36CFD"/>
    <w:pPr>
      <w:spacing w:after="0" w:line="240" w:lineRule="auto"/>
    </w:pPr>
    <w:rPr>
      <w:rFonts w:ascii="Times New Roman" w:eastAsia="Times New Roman" w:hAnsi="Times New Roman" w:cs="Times New Roman"/>
      <w:kern w:val="0"/>
      <w:sz w:val="24"/>
      <w:szCs w:val="24"/>
      <w14:ligatures w14:val="none"/>
    </w:rPr>
  </w:style>
  <w:style w:type="paragraph" w:styleId="NoSpacing">
    <w:name w:val="No Spacing"/>
    <w:uiPriority w:val="1"/>
    <w:qFormat/>
    <w:rsid w:val="0003588C"/>
    <w:pPr>
      <w:spacing w:after="0"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3C64FA"/>
    <w:pPr>
      <w:tabs>
        <w:tab w:val="center" w:pos="4680"/>
        <w:tab w:val="right" w:pos="9360"/>
      </w:tabs>
    </w:pPr>
  </w:style>
  <w:style w:type="character" w:customStyle="1" w:styleId="HeaderChar">
    <w:name w:val="Header Char"/>
    <w:basedOn w:val="DefaultParagraphFont"/>
    <w:link w:val="Header"/>
    <w:uiPriority w:val="99"/>
    <w:rsid w:val="003C64FA"/>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3C64FA"/>
    <w:pPr>
      <w:tabs>
        <w:tab w:val="center" w:pos="4680"/>
        <w:tab w:val="right" w:pos="9360"/>
      </w:tabs>
    </w:pPr>
  </w:style>
  <w:style w:type="character" w:customStyle="1" w:styleId="FooterChar">
    <w:name w:val="Footer Char"/>
    <w:basedOn w:val="DefaultParagraphFont"/>
    <w:link w:val="Footer"/>
    <w:uiPriority w:val="99"/>
    <w:rsid w:val="003C64FA"/>
    <w:rPr>
      <w:rFonts w:ascii="Times New Roman" w:eastAsia="Times New Roman" w:hAnsi="Times New Roman" w:cs="Times New Roman"/>
      <w:kern w:val="0"/>
      <w:sz w:val="24"/>
      <w:szCs w:val="24"/>
      <w14:ligatures w14:val="none"/>
    </w:rPr>
  </w:style>
  <w:style w:type="paragraph" w:styleId="BalloonText">
    <w:name w:val="Balloon Text"/>
    <w:basedOn w:val="Normal"/>
    <w:link w:val="BalloonTextChar"/>
    <w:uiPriority w:val="99"/>
    <w:semiHidden/>
    <w:unhideWhenUsed/>
    <w:rsid w:val="00E22C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CE7"/>
    <w:rPr>
      <w:rFonts w:ascii="Segoe UI" w:eastAsia="Times New Roman" w:hAnsi="Segoe UI" w:cs="Segoe UI"/>
      <w:kern w:val="0"/>
      <w:sz w:val="18"/>
      <w:szCs w:val="18"/>
      <w14:ligatures w14:val="none"/>
    </w:rPr>
  </w:style>
  <w:style w:type="character" w:styleId="Hyperlink">
    <w:name w:val="Hyperlink"/>
    <w:basedOn w:val="DefaultParagraphFont"/>
    <w:uiPriority w:val="99"/>
    <w:unhideWhenUsed/>
    <w:rsid w:val="007B5869"/>
    <w:rPr>
      <w:color w:val="0563C1" w:themeColor="hyperlink"/>
      <w:u w:val="single"/>
    </w:rPr>
  </w:style>
  <w:style w:type="character" w:styleId="UnresolvedMention">
    <w:name w:val="Unresolved Mention"/>
    <w:basedOn w:val="DefaultParagraphFont"/>
    <w:uiPriority w:val="99"/>
    <w:semiHidden/>
    <w:unhideWhenUsed/>
    <w:rsid w:val="007B5869"/>
    <w:rPr>
      <w:color w:val="605E5C"/>
      <w:shd w:val="clear" w:color="auto" w:fill="E1DFDD"/>
    </w:rPr>
  </w:style>
  <w:style w:type="paragraph" w:styleId="Bibliography">
    <w:name w:val="Bibliography"/>
    <w:basedOn w:val="Normal"/>
    <w:next w:val="Normal"/>
    <w:uiPriority w:val="37"/>
    <w:unhideWhenUsed/>
    <w:rsid w:val="00E75D5C"/>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5708</Words>
  <Characters>32540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Richmond-Rakerd, Leah</dc:creator>
  <cp:keywords/>
  <dc:description/>
  <cp:lastModifiedBy>Dent, Kallisse</cp:lastModifiedBy>
  <cp:revision>4</cp:revision>
  <dcterms:created xsi:type="dcterms:W3CDTF">2024-02-29T20:56:00Z</dcterms:created>
  <dcterms:modified xsi:type="dcterms:W3CDTF">2024-02-29T21:54:00Z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id="VKoe5lhs"/&gt;&lt;style id="http://www.zotero.org/styles/apa-6th-edition" locale="en-US" hasBibliography="1" bibliographyStyleHasBeenSet="1"/&gt;&lt;prefs&gt;&lt;pref name="fieldType" value="Field"/&gt;&lt;pref name="au</vt:lpwstr>
  </property>
  <property fmtid="{D5CDD505-2E9C-101B-9397-08002B2CF9AE}" pid="3" name="ZOTERO_PREF_2">
    <vt:lpwstr>tomaticJournalAbbreviations" value="true"/&gt;&lt;/prefs&gt;&lt;/data&gt;</vt:lpwstr>
  </property>
</Properties>
</file>