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EF08" w14:textId="77777777" w:rsidR="00455AD9" w:rsidRPr="004E6F1F" w:rsidRDefault="00455AD9" w:rsidP="00455AD9">
      <w:r w:rsidRPr="004E6F1F">
        <w:rPr>
          <w:noProof/>
        </w:rPr>
        <w:drawing>
          <wp:inline distT="114300" distB="114300" distL="114300" distR="114300" wp14:anchorId="508DE829" wp14:editId="6F104AC7">
            <wp:extent cx="5575300" cy="2314107"/>
            <wp:effectExtent l="0" t="0" r="0" b="0"/>
            <wp:docPr id="7" name="image5.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5.png" descr="Timeline&#10;&#10;Description automatically generated"/>
                    <pic:cNvPicPr preferRelativeResize="0"/>
                  </pic:nvPicPr>
                  <pic:blipFill>
                    <a:blip r:embed="rId4"/>
                    <a:srcRect/>
                    <a:stretch>
                      <a:fillRect/>
                    </a:stretch>
                  </pic:blipFill>
                  <pic:spPr>
                    <a:xfrm>
                      <a:off x="0" y="0"/>
                      <a:ext cx="5575300" cy="2314107"/>
                    </a:xfrm>
                    <a:prstGeom prst="rect">
                      <a:avLst/>
                    </a:prstGeom>
                    <a:ln/>
                  </pic:spPr>
                </pic:pic>
              </a:graphicData>
            </a:graphic>
          </wp:inline>
        </w:drawing>
      </w:r>
    </w:p>
    <w:p w14:paraId="2DA5E6A4" w14:textId="796B7481" w:rsidR="00455AD9" w:rsidRPr="004E6F1F" w:rsidRDefault="00455AD9" w:rsidP="00455AD9">
      <w:r w:rsidRPr="004E6F1F">
        <w:rPr>
          <w:rFonts w:ascii="Arial Unicode MS" w:eastAsia="Arial Unicode MS" w:hAnsi="Arial Unicode MS" w:cs="Arial Unicode MS"/>
        </w:rPr>
        <w:t xml:space="preserve">Supplementary Figure 1: Construction of latent environment variable (ENV) from three observed variables: (1) household income, (2) maternal education, and (3) maternal age at recruitment. All three variables significantly contributed to the latent variable (all p&lt;0∙001), with standardized estimates as shown. </w:t>
      </w:r>
    </w:p>
    <w:p w14:paraId="7C9DDEA9" w14:textId="77777777" w:rsidR="00455AD9" w:rsidRPr="004E6F1F" w:rsidRDefault="00455AD9">
      <w:r w:rsidRPr="004E6F1F">
        <w:br w:type="page"/>
      </w:r>
    </w:p>
    <w:tbl>
      <w:tblPr>
        <w:tblW w:w="8900" w:type="dxa"/>
        <w:tblCellMar>
          <w:left w:w="0" w:type="dxa"/>
          <w:right w:w="0" w:type="dxa"/>
        </w:tblCellMar>
        <w:tblLook w:val="0620" w:firstRow="1" w:lastRow="0" w:firstColumn="0" w:lastColumn="0" w:noHBand="1" w:noVBand="1"/>
      </w:tblPr>
      <w:tblGrid>
        <w:gridCol w:w="3347"/>
        <w:gridCol w:w="2185"/>
        <w:gridCol w:w="842"/>
        <w:gridCol w:w="842"/>
        <w:gridCol w:w="842"/>
        <w:gridCol w:w="842"/>
      </w:tblGrid>
      <w:tr w:rsidR="00ED69A8" w:rsidRPr="004E6F1F" w14:paraId="64F80EDE" w14:textId="77777777" w:rsidTr="00455AD9">
        <w:trPr>
          <w:trHeight w:val="254"/>
        </w:trPr>
        <w:tc>
          <w:tcPr>
            <w:tcW w:w="3347" w:type="dxa"/>
            <w:tcBorders>
              <w:top w:val="single" w:sz="8" w:space="0" w:color="000000"/>
              <w:left w:val="single" w:sz="8" w:space="0" w:color="000000"/>
              <w:bottom w:val="single" w:sz="18" w:space="0" w:color="000000"/>
              <w:right w:val="nil"/>
            </w:tcBorders>
            <w:shd w:val="clear" w:color="auto" w:fill="A5A5A5"/>
            <w:tcMar>
              <w:top w:w="9" w:type="dxa"/>
              <w:left w:w="9" w:type="dxa"/>
              <w:bottom w:w="0" w:type="dxa"/>
              <w:right w:w="9" w:type="dxa"/>
            </w:tcMar>
            <w:vAlign w:val="bottom"/>
            <w:hideMark/>
          </w:tcPr>
          <w:p w14:paraId="005E8609" w14:textId="5228A70F" w:rsidR="00ED69A8" w:rsidRPr="004E6F1F" w:rsidRDefault="00ED69A8" w:rsidP="00F31D73">
            <w:pPr>
              <w:shd w:val="clear" w:color="auto" w:fill="auto"/>
              <w:spacing w:line="240" w:lineRule="auto"/>
              <w:jc w:val="center"/>
              <w:textAlignment w:val="bottom"/>
              <w:rPr>
                <w:rFonts w:eastAsia="Times New Roman"/>
                <w:sz w:val="36"/>
                <w:szCs w:val="36"/>
                <w:lang w:val="en-SG" w:eastAsia="zh-CN"/>
              </w:rPr>
            </w:pPr>
            <w:r w:rsidRPr="004E6F1F">
              <w:rPr>
                <w:rFonts w:ascii="Calibri" w:eastAsia="Times New Roman" w:hAnsi="Calibri" w:cs="Calibri"/>
                <w:b/>
                <w:bCs/>
                <w:color w:val="000000"/>
                <w:kern w:val="24"/>
                <w:lang w:val="en-US" w:eastAsia="zh-CN"/>
              </w:rPr>
              <w:lastRenderedPageBreak/>
              <w:t>Outcome Measure</w:t>
            </w:r>
          </w:p>
        </w:tc>
        <w:tc>
          <w:tcPr>
            <w:tcW w:w="2185" w:type="dxa"/>
            <w:tcBorders>
              <w:top w:val="single" w:sz="8" w:space="0" w:color="000000"/>
              <w:left w:val="nil"/>
              <w:bottom w:val="single" w:sz="18" w:space="0" w:color="000000"/>
              <w:right w:val="nil"/>
            </w:tcBorders>
            <w:shd w:val="clear" w:color="auto" w:fill="A5A5A5"/>
            <w:tcMar>
              <w:top w:w="9" w:type="dxa"/>
              <w:left w:w="9" w:type="dxa"/>
              <w:bottom w:w="0" w:type="dxa"/>
              <w:right w:w="9" w:type="dxa"/>
            </w:tcMar>
            <w:vAlign w:val="bottom"/>
            <w:hideMark/>
          </w:tcPr>
          <w:p w14:paraId="4548AF82" w14:textId="77777777" w:rsidR="00ED69A8" w:rsidRPr="004E6F1F" w:rsidRDefault="00ED69A8" w:rsidP="00F31D73">
            <w:pPr>
              <w:shd w:val="clear" w:color="auto" w:fill="auto"/>
              <w:spacing w:line="240" w:lineRule="auto"/>
              <w:jc w:val="center"/>
              <w:textAlignment w:val="bottom"/>
              <w:rPr>
                <w:rFonts w:eastAsia="Times New Roman"/>
                <w:sz w:val="36"/>
                <w:szCs w:val="36"/>
                <w:lang w:val="en-SG" w:eastAsia="zh-CN"/>
              </w:rPr>
            </w:pPr>
            <w:r w:rsidRPr="004E6F1F">
              <w:rPr>
                <w:rFonts w:ascii="Calibri" w:eastAsia="Times New Roman" w:hAnsi="Calibri" w:cs="Calibri"/>
                <w:b/>
                <w:bCs/>
                <w:color w:val="000000"/>
                <w:kern w:val="24"/>
                <w:lang w:val="en-SG" w:eastAsia="zh-CN"/>
              </w:rPr>
              <w:t>Predictor</w:t>
            </w:r>
          </w:p>
        </w:tc>
        <w:tc>
          <w:tcPr>
            <w:tcW w:w="842" w:type="dxa"/>
            <w:tcBorders>
              <w:top w:val="single" w:sz="8" w:space="0" w:color="000000"/>
              <w:left w:val="nil"/>
              <w:bottom w:val="single" w:sz="18" w:space="0" w:color="000000"/>
              <w:right w:val="nil"/>
            </w:tcBorders>
            <w:shd w:val="clear" w:color="auto" w:fill="A5A5A5"/>
            <w:tcMar>
              <w:top w:w="9" w:type="dxa"/>
              <w:left w:w="9" w:type="dxa"/>
              <w:bottom w:w="0" w:type="dxa"/>
              <w:right w:w="9" w:type="dxa"/>
            </w:tcMar>
            <w:vAlign w:val="bottom"/>
            <w:hideMark/>
          </w:tcPr>
          <w:p w14:paraId="1081D676" w14:textId="77777777" w:rsidR="00ED69A8" w:rsidRPr="004E6F1F" w:rsidRDefault="00ED69A8" w:rsidP="00F31D73">
            <w:pPr>
              <w:shd w:val="clear" w:color="auto" w:fill="auto"/>
              <w:spacing w:line="240" w:lineRule="auto"/>
              <w:jc w:val="center"/>
              <w:textAlignment w:val="bottom"/>
              <w:rPr>
                <w:rFonts w:eastAsia="Times New Roman"/>
                <w:sz w:val="36"/>
                <w:szCs w:val="36"/>
                <w:lang w:val="en-SG" w:eastAsia="zh-CN"/>
              </w:rPr>
            </w:pPr>
            <w:r w:rsidRPr="004E6F1F">
              <w:rPr>
                <w:rFonts w:ascii="Calibri" w:eastAsia="Times New Roman" w:hAnsi="Calibri" w:cs="Calibri"/>
                <w:b/>
                <w:bCs/>
                <w:color w:val="000000"/>
                <w:kern w:val="24"/>
                <w:lang w:val="en-SG" w:eastAsia="zh-CN"/>
              </w:rPr>
              <w:t>Estimate</w:t>
            </w:r>
          </w:p>
        </w:tc>
        <w:tc>
          <w:tcPr>
            <w:tcW w:w="842" w:type="dxa"/>
            <w:tcBorders>
              <w:top w:val="single" w:sz="8" w:space="0" w:color="000000"/>
              <w:left w:val="nil"/>
              <w:bottom w:val="single" w:sz="18" w:space="0" w:color="000000"/>
              <w:right w:val="nil"/>
            </w:tcBorders>
            <w:shd w:val="clear" w:color="auto" w:fill="A5A5A5"/>
            <w:tcMar>
              <w:top w:w="9" w:type="dxa"/>
              <w:left w:w="9" w:type="dxa"/>
              <w:bottom w:w="0" w:type="dxa"/>
              <w:right w:w="9" w:type="dxa"/>
            </w:tcMar>
            <w:vAlign w:val="bottom"/>
            <w:hideMark/>
          </w:tcPr>
          <w:p w14:paraId="600D32A0" w14:textId="77777777" w:rsidR="00ED69A8" w:rsidRPr="004E6F1F" w:rsidRDefault="00ED69A8" w:rsidP="00F31D73">
            <w:pPr>
              <w:shd w:val="clear" w:color="auto" w:fill="auto"/>
              <w:spacing w:line="240" w:lineRule="auto"/>
              <w:jc w:val="center"/>
              <w:textAlignment w:val="bottom"/>
              <w:rPr>
                <w:rFonts w:eastAsia="Times New Roman"/>
                <w:sz w:val="36"/>
                <w:szCs w:val="36"/>
                <w:lang w:val="en-SG" w:eastAsia="zh-CN"/>
              </w:rPr>
            </w:pPr>
            <w:r w:rsidRPr="004E6F1F">
              <w:rPr>
                <w:rFonts w:ascii="Calibri" w:eastAsia="Times New Roman" w:hAnsi="Calibri" w:cs="Calibri"/>
                <w:b/>
                <w:bCs/>
                <w:color w:val="000000"/>
                <w:kern w:val="24"/>
                <w:lang w:val="en-SG" w:eastAsia="zh-CN"/>
              </w:rPr>
              <w:t>Std Error</w:t>
            </w:r>
          </w:p>
        </w:tc>
        <w:tc>
          <w:tcPr>
            <w:tcW w:w="842" w:type="dxa"/>
            <w:tcBorders>
              <w:top w:val="single" w:sz="8" w:space="0" w:color="000000"/>
              <w:left w:val="nil"/>
              <w:bottom w:val="single" w:sz="18" w:space="0" w:color="000000"/>
              <w:right w:val="nil"/>
            </w:tcBorders>
            <w:shd w:val="clear" w:color="auto" w:fill="A5A5A5"/>
            <w:tcMar>
              <w:top w:w="9" w:type="dxa"/>
              <w:left w:w="9" w:type="dxa"/>
              <w:bottom w:w="0" w:type="dxa"/>
              <w:right w:w="9" w:type="dxa"/>
            </w:tcMar>
            <w:vAlign w:val="bottom"/>
            <w:hideMark/>
          </w:tcPr>
          <w:p w14:paraId="755C0215" w14:textId="77777777" w:rsidR="00ED69A8" w:rsidRPr="004E6F1F" w:rsidRDefault="00ED69A8" w:rsidP="00F31D73">
            <w:pPr>
              <w:shd w:val="clear" w:color="auto" w:fill="auto"/>
              <w:spacing w:line="240" w:lineRule="auto"/>
              <w:jc w:val="center"/>
              <w:textAlignment w:val="bottom"/>
              <w:rPr>
                <w:rFonts w:eastAsia="Times New Roman"/>
                <w:sz w:val="36"/>
                <w:szCs w:val="36"/>
                <w:lang w:val="en-SG" w:eastAsia="zh-CN"/>
              </w:rPr>
            </w:pPr>
            <w:r w:rsidRPr="004E6F1F">
              <w:rPr>
                <w:rFonts w:ascii="Calibri" w:eastAsia="Times New Roman" w:hAnsi="Calibri" w:cs="Calibri"/>
                <w:b/>
                <w:bCs/>
                <w:color w:val="000000"/>
                <w:kern w:val="24"/>
                <w:lang w:val="en-SG" w:eastAsia="zh-CN"/>
              </w:rPr>
              <w:t>t-stat</w:t>
            </w:r>
          </w:p>
        </w:tc>
        <w:tc>
          <w:tcPr>
            <w:tcW w:w="842" w:type="dxa"/>
            <w:tcBorders>
              <w:top w:val="single" w:sz="8" w:space="0" w:color="000000"/>
              <w:left w:val="nil"/>
              <w:bottom w:val="single" w:sz="18" w:space="0" w:color="000000"/>
              <w:right w:val="single" w:sz="8" w:space="0" w:color="000000"/>
            </w:tcBorders>
            <w:shd w:val="clear" w:color="auto" w:fill="A5A5A5"/>
            <w:tcMar>
              <w:top w:w="9" w:type="dxa"/>
              <w:left w:w="9" w:type="dxa"/>
              <w:bottom w:w="0" w:type="dxa"/>
              <w:right w:w="9" w:type="dxa"/>
            </w:tcMar>
            <w:vAlign w:val="bottom"/>
            <w:hideMark/>
          </w:tcPr>
          <w:p w14:paraId="65C8D74A" w14:textId="77777777" w:rsidR="00ED69A8" w:rsidRPr="004E6F1F" w:rsidRDefault="00ED69A8" w:rsidP="00F31D73">
            <w:pPr>
              <w:shd w:val="clear" w:color="auto" w:fill="auto"/>
              <w:spacing w:line="240" w:lineRule="auto"/>
              <w:jc w:val="center"/>
              <w:textAlignment w:val="bottom"/>
              <w:rPr>
                <w:rFonts w:eastAsia="Times New Roman"/>
                <w:sz w:val="36"/>
                <w:szCs w:val="36"/>
                <w:lang w:val="en-SG" w:eastAsia="zh-CN"/>
              </w:rPr>
            </w:pPr>
            <w:r w:rsidRPr="004E6F1F">
              <w:rPr>
                <w:rFonts w:ascii="Calibri" w:eastAsia="Times New Roman" w:hAnsi="Calibri" w:cs="Calibri"/>
                <w:b/>
                <w:bCs/>
                <w:color w:val="000000"/>
                <w:kern w:val="24"/>
                <w:lang w:val="en-SG" w:eastAsia="zh-CN"/>
              </w:rPr>
              <w:t>p-value</w:t>
            </w:r>
          </w:p>
        </w:tc>
      </w:tr>
      <w:tr w:rsidR="00ED69A8" w:rsidRPr="004E6F1F" w14:paraId="6A40033E" w14:textId="77777777" w:rsidTr="00455AD9">
        <w:trPr>
          <w:trHeight w:val="254"/>
        </w:trPr>
        <w:tc>
          <w:tcPr>
            <w:tcW w:w="3347" w:type="dxa"/>
            <w:tcBorders>
              <w:top w:val="single" w:sz="18" w:space="0" w:color="000000"/>
              <w:left w:val="single" w:sz="8" w:space="0" w:color="000000"/>
              <w:bottom w:val="single" w:sz="8" w:space="0" w:color="000000"/>
              <w:right w:val="nil"/>
            </w:tcBorders>
            <w:shd w:val="clear" w:color="auto" w:fill="FFFFFF"/>
            <w:tcMar>
              <w:top w:w="10" w:type="dxa"/>
              <w:left w:w="10" w:type="dxa"/>
              <w:bottom w:w="0" w:type="dxa"/>
              <w:right w:w="10" w:type="dxa"/>
            </w:tcMar>
            <w:vAlign w:val="center"/>
            <w:hideMark/>
          </w:tcPr>
          <w:p w14:paraId="1B5F4473" w14:textId="77777777" w:rsidR="00ED69A8" w:rsidRPr="004E6F1F" w:rsidRDefault="00ED69A8" w:rsidP="00F31D73">
            <w:pPr>
              <w:shd w:val="clear" w:color="auto" w:fill="auto"/>
              <w:spacing w:line="240" w:lineRule="auto"/>
              <w:jc w:val="center"/>
              <w:textAlignment w:val="center"/>
              <w:rPr>
                <w:rFonts w:eastAsia="Times New Roman"/>
                <w:sz w:val="36"/>
                <w:szCs w:val="36"/>
                <w:lang w:val="en-SG" w:eastAsia="zh-CN"/>
              </w:rPr>
            </w:pPr>
            <w:r w:rsidRPr="004E6F1F">
              <w:rPr>
                <w:rFonts w:ascii="Calibri" w:eastAsia="Times New Roman" w:hAnsi="Calibri" w:cs="Calibri"/>
                <w:color w:val="000000"/>
                <w:kern w:val="24"/>
                <w:lang w:val="en-US" w:eastAsia="zh-CN"/>
              </w:rPr>
              <w:t>BRIEF-2 ERI Score</w:t>
            </w:r>
          </w:p>
        </w:tc>
        <w:tc>
          <w:tcPr>
            <w:tcW w:w="2185" w:type="dxa"/>
            <w:tcBorders>
              <w:top w:val="single" w:sz="1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30D1B589" w14:textId="77777777" w:rsidR="00ED69A8" w:rsidRPr="004E6F1F" w:rsidRDefault="00ED69A8" w:rsidP="00F31D73">
            <w:pPr>
              <w:shd w:val="clear" w:color="auto" w:fill="auto"/>
              <w:spacing w:line="240" w:lineRule="auto"/>
              <w:jc w:val="lef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Screen Time Utilization</w:t>
            </w:r>
          </w:p>
        </w:tc>
        <w:tc>
          <w:tcPr>
            <w:tcW w:w="842" w:type="dxa"/>
            <w:tcBorders>
              <w:top w:val="single" w:sz="1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782E26BA"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0.589</w:t>
            </w:r>
          </w:p>
        </w:tc>
        <w:tc>
          <w:tcPr>
            <w:tcW w:w="842" w:type="dxa"/>
            <w:tcBorders>
              <w:top w:val="single" w:sz="1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1D90A53C"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0.445</w:t>
            </w:r>
          </w:p>
        </w:tc>
        <w:tc>
          <w:tcPr>
            <w:tcW w:w="842" w:type="dxa"/>
            <w:tcBorders>
              <w:top w:val="single" w:sz="1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511FA56B"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1.325</w:t>
            </w:r>
          </w:p>
        </w:tc>
        <w:tc>
          <w:tcPr>
            <w:tcW w:w="842" w:type="dxa"/>
            <w:tcBorders>
              <w:top w:val="single" w:sz="18" w:space="0" w:color="000000"/>
              <w:left w:val="nil"/>
              <w:bottom w:val="single" w:sz="8" w:space="0" w:color="000000"/>
              <w:right w:val="single" w:sz="8" w:space="0" w:color="000000"/>
            </w:tcBorders>
            <w:shd w:val="clear" w:color="auto" w:fill="FFFFFF"/>
            <w:tcMar>
              <w:top w:w="10" w:type="dxa"/>
              <w:left w:w="10" w:type="dxa"/>
              <w:bottom w:w="0" w:type="dxa"/>
              <w:right w:w="10" w:type="dxa"/>
            </w:tcMar>
            <w:vAlign w:val="bottom"/>
            <w:hideMark/>
          </w:tcPr>
          <w:p w14:paraId="4619E3AB"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0.186</w:t>
            </w:r>
          </w:p>
        </w:tc>
      </w:tr>
      <w:tr w:rsidR="00ED69A8" w:rsidRPr="004E6F1F" w14:paraId="387BACE6" w14:textId="77777777" w:rsidTr="00455AD9">
        <w:trPr>
          <w:trHeight w:val="254"/>
        </w:trPr>
        <w:tc>
          <w:tcPr>
            <w:tcW w:w="3347" w:type="dxa"/>
            <w:tcBorders>
              <w:top w:val="single" w:sz="8" w:space="0" w:color="000000"/>
              <w:left w:val="single" w:sz="8" w:space="0" w:color="000000"/>
              <w:bottom w:val="single" w:sz="8" w:space="0" w:color="000000"/>
              <w:right w:val="nil"/>
            </w:tcBorders>
            <w:shd w:val="clear" w:color="auto" w:fill="FFFFFF"/>
            <w:tcMar>
              <w:top w:w="10" w:type="dxa"/>
              <w:left w:w="10" w:type="dxa"/>
              <w:bottom w:w="0" w:type="dxa"/>
              <w:right w:w="10" w:type="dxa"/>
            </w:tcMar>
            <w:vAlign w:val="center"/>
            <w:hideMark/>
          </w:tcPr>
          <w:p w14:paraId="34C93F7C" w14:textId="77777777" w:rsidR="00ED69A8" w:rsidRPr="004E6F1F" w:rsidRDefault="00ED69A8" w:rsidP="00F31D73">
            <w:pPr>
              <w:shd w:val="clear" w:color="auto" w:fill="auto"/>
              <w:spacing w:line="240" w:lineRule="auto"/>
              <w:jc w:val="center"/>
              <w:textAlignment w:val="center"/>
              <w:rPr>
                <w:rFonts w:eastAsia="Times New Roman"/>
                <w:sz w:val="36"/>
                <w:szCs w:val="36"/>
                <w:lang w:val="en-SG" w:eastAsia="zh-CN"/>
              </w:rPr>
            </w:pPr>
            <w:r w:rsidRPr="004E6F1F">
              <w:rPr>
                <w:rFonts w:ascii="Calibri" w:eastAsia="Times New Roman" w:hAnsi="Calibri" w:cs="Calibri"/>
                <w:color w:val="000000"/>
                <w:kern w:val="24"/>
                <w:lang w:val="en-SG" w:eastAsia="zh-CN"/>
              </w:rPr>
              <w:t>SEARS Total Score</w:t>
            </w:r>
          </w:p>
        </w:tc>
        <w:tc>
          <w:tcPr>
            <w:tcW w:w="2185"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27954959" w14:textId="77777777" w:rsidR="00ED69A8" w:rsidRPr="004E6F1F" w:rsidRDefault="00ED69A8" w:rsidP="00F31D73">
            <w:pPr>
              <w:shd w:val="clear" w:color="auto" w:fill="auto"/>
              <w:spacing w:line="240" w:lineRule="auto"/>
              <w:jc w:val="lef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Screen Time Utilization</w:t>
            </w:r>
          </w:p>
        </w:tc>
        <w:tc>
          <w:tcPr>
            <w:tcW w:w="842"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252B91E2"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-0.643</w:t>
            </w:r>
          </w:p>
        </w:tc>
        <w:tc>
          <w:tcPr>
            <w:tcW w:w="842"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13884792"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1.022</w:t>
            </w:r>
          </w:p>
        </w:tc>
        <w:tc>
          <w:tcPr>
            <w:tcW w:w="842" w:type="dxa"/>
            <w:tcBorders>
              <w:top w:val="single" w:sz="8" w:space="0" w:color="000000"/>
              <w:left w:val="nil"/>
              <w:bottom w:val="single" w:sz="8" w:space="0" w:color="000000"/>
              <w:right w:val="nil"/>
            </w:tcBorders>
            <w:shd w:val="clear" w:color="auto" w:fill="FFFFFF"/>
            <w:tcMar>
              <w:top w:w="10" w:type="dxa"/>
              <w:left w:w="10" w:type="dxa"/>
              <w:bottom w:w="0" w:type="dxa"/>
              <w:right w:w="10" w:type="dxa"/>
            </w:tcMar>
            <w:vAlign w:val="bottom"/>
            <w:hideMark/>
          </w:tcPr>
          <w:p w14:paraId="6E2E75EA"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-0.630</w:t>
            </w:r>
          </w:p>
        </w:tc>
        <w:tc>
          <w:tcPr>
            <w:tcW w:w="842" w:type="dxa"/>
            <w:tcBorders>
              <w:top w:val="single" w:sz="8" w:space="0" w:color="000000"/>
              <w:left w:val="nil"/>
              <w:bottom w:val="single" w:sz="8" w:space="0" w:color="000000"/>
              <w:right w:val="single" w:sz="8" w:space="0" w:color="000000"/>
            </w:tcBorders>
            <w:shd w:val="clear" w:color="auto" w:fill="FFFFFF"/>
            <w:tcMar>
              <w:top w:w="10" w:type="dxa"/>
              <w:left w:w="10" w:type="dxa"/>
              <w:bottom w:w="0" w:type="dxa"/>
              <w:right w:w="10" w:type="dxa"/>
            </w:tcMar>
            <w:vAlign w:val="bottom"/>
            <w:hideMark/>
          </w:tcPr>
          <w:p w14:paraId="076E95F6" w14:textId="77777777" w:rsidR="00ED69A8" w:rsidRPr="004E6F1F" w:rsidRDefault="00ED69A8" w:rsidP="00F31D73">
            <w:pPr>
              <w:shd w:val="clear" w:color="auto" w:fill="auto"/>
              <w:spacing w:line="240" w:lineRule="auto"/>
              <w:jc w:val="right"/>
              <w:textAlignment w:val="bottom"/>
              <w:rPr>
                <w:rFonts w:eastAsia="Times New Roman"/>
                <w:sz w:val="36"/>
                <w:szCs w:val="36"/>
                <w:lang w:val="en-SG" w:eastAsia="zh-CN"/>
              </w:rPr>
            </w:pPr>
            <w:r w:rsidRPr="004E6F1F">
              <w:rPr>
                <w:rFonts w:ascii="Calibri" w:eastAsia="Times New Roman" w:hAnsi="Calibri" w:cs="Calibri"/>
                <w:color w:val="000000"/>
                <w:kern w:val="24"/>
                <w:lang w:val="en-SG" w:eastAsia="zh-CN"/>
              </w:rPr>
              <w:t>0.529</w:t>
            </w:r>
          </w:p>
        </w:tc>
      </w:tr>
    </w:tbl>
    <w:p w14:paraId="7BA4C5AC" w14:textId="77777777" w:rsidR="00ED69A8" w:rsidRPr="004E6F1F" w:rsidRDefault="00ED69A8" w:rsidP="00ED69A8">
      <w:pPr>
        <w:rPr>
          <w:lang w:val="en-SG"/>
        </w:rPr>
      </w:pPr>
    </w:p>
    <w:p w14:paraId="6EE3C782" w14:textId="71BECD7A" w:rsidR="00ED69A8" w:rsidRPr="004E6F1F" w:rsidRDefault="00ED69A8" w:rsidP="00ED69A8">
      <w:r w:rsidRPr="004E6F1F">
        <w:t>Supplementary Table 1: Linear regression analysis of screen time measures on BRIEF-2 ERI and SEARS Total scores. Note: BRIEF-2: Behavior Rating Inventory for Executive Function-Version 2, ERI: Emotional Regulation Index, SEARS: Social Emotional Assets and Resilience Scales</w:t>
      </w:r>
    </w:p>
    <w:p w14:paraId="1BE38CAD" w14:textId="61AC9A8B" w:rsidR="005F5F9B" w:rsidRPr="004E6F1F" w:rsidRDefault="005F5F9B">
      <w:pPr>
        <w:shd w:val="clear" w:color="auto" w:fill="auto"/>
        <w:spacing w:after="160" w:line="259" w:lineRule="auto"/>
        <w:jc w:val="left"/>
      </w:pPr>
      <w:r w:rsidRPr="004E6F1F">
        <w:br w:type="page"/>
      </w:r>
    </w:p>
    <w:p w14:paraId="1DFD65C7" w14:textId="49CF9B1E" w:rsidR="004E7CF7" w:rsidRPr="004E6F1F" w:rsidRDefault="005F5F9B" w:rsidP="005F5F9B">
      <w:pPr>
        <w:rPr>
          <w:b/>
          <w:u w:val="single"/>
        </w:rPr>
      </w:pPr>
      <w:r w:rsidRPr="004E6F1F">
        <w:rPr>
          <w:b/>
          <w:u w:val="single"/>
        </w:rPr>
        <w:lastRenderedPageBreak/>
        <w:t>BRIEF</w:t>
      </w:r>
    </w:p>
    <w:tbl>
      <w:tblPr>
        <w:tblStyle w:val="ListTable3"/>
        <w:tblW w:w="9363" w:type="dxa"/>
        <w:tblInd w:w="-147" w:type="dxa"/>
        <w:tblLook w:val="04A0" w:firstRow="1" w:lastRow="0" w:firstColumn="1" w:lastColumn="0" w:noHBand="0" w:noVBand="1"/>
      </w:tblPr>
      <w:tblGrid>
        <w:gridCol w:w="6170"/>
        <w:gridCol w:w="1105"/>
        <w:gridCol w:w="1044"/>
        <w:gridCol w:w="1044"/>
      </w:tblGrid>
      <w:tr w:rsidR="004E7CF7" w:rsidRPr="004E6F1F" w14:paraId="5DAC17AC" w14:textId="77777777" w:rsidTr="004E7CF7">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5670" w:type="dxa"/>
            <w:noWrap/>
            <w:hideMark/>
          </w:tcPr>
          <w:p w14:paraId="1D3634F9" w14:textId="77777777" w:rsidR="004E7CF7" w:rsidRPr="004E6F1F" w:rsidRDefault="004E7CF7" w:rsidP="004E7CF7">
            <w:pPr>
              <w:shd w:val="clear" w:color="auto" w:fill="auto"/>
              <w:spacing w:line="240" w:lineRule="auto"/>
              <w:jc w:val="left"/>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Measure</w:t>
            </w:r>
          </w:p>
        </w:tc>
        <w:tc>
          <w:tcPr>
            <w:tcW w:w="1016" w:type="dxa"/>
            <w:noWrap/>
            <w:hideMark/>
          </w:tcPr>
          <w:p w14:paraId="439AF858" w14:textId="77777777" w:rsidR="004E7CF7" w:rsidRPr="004E6F1F" w:rsidRDefault="004E7CF7" w:rsidP="004E7CF7">
            <w:pPr>
              <w:shd w:val="clear" w:color="auto" w:fill="auto"/>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Estimate</w:t>
            </w:r>
          </w:p>
        </w:tc>
        <w:tc>
          <w:tcPr>
            <w:tcW w:w="960" w:type="dxa"/>
            <w:noWrap/>
            <w:hideMark/>
          </w:tcPr>
          <w:p w14:paraId="2B36112D" w14:textId="77777777" w:rsidR="004E7CF7" w:rsidRPr="004E6F1F" w:rsidRDefault="004E7CF7" w:rsidP="004E7CF7">
            <w:pPr>
              <w:shd w:val="clear" w:color="auto" w:fill="auto"/>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Lower CI</w:t>
            </w:r>
          </w:p>
        </w:tc>
        <w:tc>
          <w:tcPr>
            <w:tcW w:w="960" w:type="dxa"/>
            <w:noWrap/>
            <w:hideMark/>
          </w:tcPr>
          <w:p w14:paraId="543DB095" w14:textId="77777777" w:rsidR="004E7CF7" w:rsidRPr="004E6F1F" w:rsidRDefault="004E7CF7" w:rsidP="004E7CF7">
            <w:pPr>
              <w:shd w:val="clear" w:color="auto" w:fill="auto"/>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Upper CI</w:t>
            </w:r>
          </w:p>
        </w:tc>
      </w:tr>
      <w:tr w:rsidR="004E7CF7" w:rsidRPr="004E6F1F" w14:paraId="10B7DF76"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150FA1" w14:textId="2046D06D"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 xml:space="preserve">Association between Screen Time and </w:t>
            </w:r>
            <w:proofErr w:type="spellStart"/>
            <w:r w:rsidRPr="004E6F1F">
              <w:rPr>
                <w:rFonts w:ascii="Calibri" w:eastAsia="Times New Roman" w:hAnsi="Calibri" w:cs="Calibri"/>
                <w:color w:val="000000"/>
                <w:sz w:val="22"/>
                <w:szCs w:val="22"/>
                <w:lang w:val="en-SG" w:eastAsia="zh-CN"/>
              </w:rPr>
              <w:t>CCxEP</w:t>
            </w:r>
            <w:proofErr w:type="spellEnd"/>
            <w:r w:rsidRPr="004E6F1F">
              <w:rPr>
                <w:rFonts w:ascii="Calibri" w:eastAsia="Times New Roman" w:hAnsi="Calibri" w:cs="Calibri"/>
                <w:color w:val="000000"/>
                <w:sz w:val="22"/>
                <w:szCs w:val="22"/>
                <w:lang w:val="en-SG" w:eastAsia="zh-CN"/>
              </w:rPr>
              <w:t xml:space="preserve"> integration </w:t>
            </w:r>
          </w:p>
        </w:tc>
        <w:tc>
          <w:tcPr>
            <w:tcW w:w="1016" w:type="dxa"/>
            <w:noWrap/>
            <w:hideMark/>
          </w:tcPr>
          <w:p w14:paraId="79056DC6"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0.509</w:t>
            </w:r>
          </w:p>
        </w:tc>
        <w:tc>
          <w:tcPr>
            <w:tcW w:w="960" w:type="dxa"/>
            <w:noWrap/>
            <w:hideMark/>
          </w:tcPr>
          <w:p w14:paraId="60514069"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0.218</w:t>
            </w:r>
          </w:p>
        </w:tc>
        <w:tc>
          <w:tcPr>
            <w:tcW w:w="960" w:type="dxa"/>
            <w:noWrap/>
            <w:hideMark/>
          </w:tcPr>
          <w:p w14:paraId="2820E32C"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0.8</w:t>
            </w:r>
          </w:p>
        </w:tc>
      </w:tr>
      <w:tr w:rsidR="004E7CF7" w:rsidRPr="004E6F1F" w14:paraId="5F14C90A"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04687D" w14:textId="527D1C46"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Association between Reading Time and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 </w:t>
            </w:r>
          </w:p>
        </w:tc>
        <w:tc>
          <w:tcPr>
            <w:tcW w:w="1016" w:type="dxa"/>
            <w:noWrap/>
            <w:hideMark/>
          </w:tcPr>
          <w:p w14:paraId="39296D36"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-0.069</w:t>
            </w:r>
          </w:p>
        </w:tc>
        <w:tc>
          <w:tcPr>
            <w:tcW w:w="960" w:type="dxa"/>
            <w:noWrap/>
            <w:hideMark/>
          </w:tcPr>
          <w:p w14:paraId="054F7661"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-0.47</w:t>
            </w:r>
          </w:p>
        </w:tc>
        <w:tc>
          <w:tcPr>
            <w:tcW w:w="960" w:type="dxa"/>
            <w:noWrap/>
            <w:hideMark/>
          </w:tcPr>
          <w:p w14:paraId="547D1ED6"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0.252</w:t>
            </w:r>
          </w:p>
        </w:tc>
      </w:tr>
      <w:tr w:rsidR="004E7CF7" w:rsidRPr="004E6F1F" w14:paraId="38479C9D"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1618B" w14:textId="68FAF243"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 xml:space="preserve">Interaction of Screen and Reading Time on </w:t>
            </w:r>
            <w:proofErr w:type="spellStart"/>
            <w:r w:rsidRPr="004E6F1F">
              <w:rPr>
                <w:rFonts w:ascii="Calibri" w:eastAsia="Times New Roman" w:hAnsi="Calibri" w:cs="Calibri"/>
                <w:color w:val="000000"/>
                <w:sz w:val="22"/>
                <w:szCs w:val="22"/>
                <w:lang w:val="en-SG" w:eastAsia="zh-CN"/>
              </w:rPr>
              <w:t>CCxEP</w:t>
            </w:r>
            <w:proofErr w:type="spellEnd"/>
            <w:r w:rsidRPr="004E6F1F">
              <w:rPr>
                <w:rFonts w:ascii="Calibri" w:eastAsia="Times New Roman" w:hAnsi="Calibri" w:cs="Calibri"/>
                <w:color w:val="000000"/>
                <w:sz w:val="22"/>
                <w:szCs w:val="22"/>
                <w:lang w:val="en-SG" w:eastAsia="zh-CN"/>
              </w:rPr>
              <w:t xml:space="preserve"> integration</w:t>
            </w:r>
          </w:p>
        </w:tc>
        <w:tc>
          <w:tcPr>
            <w:tcW w:w="1016" w:type="dxa"/>
            <w:noWrap/>
            <w:hideMark/>
          </w:tcPr>
          <w:p w14:paraId="07B7F455"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-0.429</w:t>
            </w:r>
          </w:p>
        </w:tc>
        <w:tc>
          <w:tcPr>
            <w:tcW w:w="960" w:type="dxa"/>
            <w:noWrap/>
            <w:hideMark/>
          </w:tcPr>
          <w:p w14:paraId="37250465"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-0.791</w:t>
            </w:r>
          </w:p>
        </w:tc>
        <w:tc>
          <w:tcPr>
            <w:tcW w:w="960" w:type="dxa"/>
            <w:noWrap/>
            <w:hideMark/>
          </w:tcPr>
          <w:p w14:paraId="22267447"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-0.06</w:t>
            </w:r>
          </w:p>
        </w:tc>
      </w:tr>
      <w:tr w:rsidR="004E7CF7" w:rsidRPr="004E6F1F" w14:paraId="1DB80D41"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FFE31"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Association between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 and BRIEF ERI</w:t>
            </w:r>
          </w:p>
        </w:tc>
        <w:tc>
          <w:tcPr>
            <w:tcW w:w="1016" w:type="dxa"/>
            <w:noWrap/>
            <w:hideMark/>
          </w:tcPr>
          <w:p w14:paraId="4DD75865"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0.319</w:t>
            </w:r>
          </w:p>
        </w:tc>
        <w:tc>
          <w:tcPr>
            <w:tcW w:w="960" w:type="dxa"/>
            <w:noWrap/>
            <w:hideMark/>
          </w:tcPr>
          <w:p w14:paraId="5966F62D"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-0.175</w:t>
            </w:r>
          </w:p>
        </w:tc>
        <w:tc>
          <w:tcPr>
            <w:tcW w:w="960" w:type="dxa"/>
            <w:noWrap/>
            <w:hideMark/>
          </w:tcPr>
          <w:p w14:paraId="5DFF143B"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0.814</w:t>
            </w:r>
          </w:p>
        </w:tc>
      </w:tr>
      <w:tr w:rsidR="004E7CF7" w:rsidRPr="004E6F1F" w14:paraId="743110DE"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8E126B8"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Association between Screen Time and BRIEF ERI</w:t>
            </w:r>
          </w:p>
        </w:tc>
        <w:tc>
          <w:tcPr>
            <w:tcW w:w="1016" w:type="dxa"/>
            <w:noWrap/>
            <w:hideMark/>
          </w:tcPr>
          <w:p w14:paraId="30972BD9"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-0.205</w:t>
            </w:r>
          </w:p>
        </w:tc>
        <w:tc>
          <w:tcPr>
            <w:tcW w:w="960" w:type="dxa"/>
            <w:noWrap/>
            <w:hideMark/>
          </w:tcPr>
          <w:p w14:paraId="3279F6DB"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-1.218</w:t>
            </w:r>
          </w:p>
        </w:tc>
        <w:tc>
          <w:tcPr>
            <w:tcW w:w="960" w:type="dxa"/>
            <w:noWrap/>
            <w:hideMark/>
          </w:tcPr>
          <w:p w14:paraId="0BFFECEE"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0.883</w:t>
            </w:r>
          </w:p>
        </w:tc>
      </w:tr>
      <w:tr w:rsidR="004E7CF7" w:rsidRPr="004E6F1F" w14:paraId="59F3E8B7"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9610D83"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Mediating Effect of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w:t>
            </w:r>
          </w:p>
        </w:tc>
        <w:tc>
          <w:tcPr>
            <w:tcW w:w="1016" w:type="dxa"/>
            <w:noWrap/>
            <w:hideMark/>
          </w:tcPr>
          <w:p w14:paraId="3B500D9E"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0.162</w:t>
            </w:r>
          </w:p>
        </w:tc>
        <w:tc>
          <w:tcPr>
            <w:tcW w:w="960" w:type="dxa"/>
            <w:noWrap/>
            <w:hideMark/>
          </w:tcPr>
          <w:p w14:paraId="092734A1"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-0.051</w:t>
            </w:r>
          </w:p>
        </w:tc>
        <w:tc>
          <w:tcPr>
            <w:tcW w:w="960" w:type="dxa"/>
            <w:noWrap/>
            <w:hideMark/>
          </w:tcPr>
          <w:p w14:paraId="401AA9E1"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0.523</w:t>
            </w:r>
          </w:p>
        </w:tc>
      </w:tr>
      <w:tr w:rsidR="004E7CF7" w:rsidRPr="004E6F1F" w14:paraId="27FD927B"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33955C"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Moderating Effect of Reading Time on Mediation Model</w:t>
            </w:r>
          </w:p>
        </w:tc>
        <w:tc>
          <w:tcPr>
            <w:tcW w:w="1016" w:type="dxa"/>
            <w:noWrap/>
            <w:hideMark/>
          </w:tcPr>
          <w:p w14:paraId="3EF5E54E"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-0.137</w:t>
            </w:r>
          </w:p>
        </w:tc>
        <w:tc>
          <w:tcPr>
            <w:tcW w:w="960" w:type="dxa"/>
            <w:noWrap/>
            <w:hideMark/>
          </w:tcPr>
          <w:p w14:paraId="7A6AB6FA"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-0.532</w:t>
            </w:r>
          </w:p>
        </w:tc>
        <w:tc>
          <w:tcPr>
            <w:tcW w:w="960" w:type="dxa"/>
            <w:noWrap/>
            <w:hideMark/>
          </w:tcPr>
          <w:p w14:paraId="6AFA8642"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0.032</w:t>
            </w:r>
          </w:p>
        </w:tc>
      </w:tr>
    </w:tbl>
    <w:p w14:paraId="507D3716" w14:textId="1FFF3E15" w:rsidR="005F5F9B" w:rsidRPr="004E6F1F" w:rsidRDefault="005F5F9B" w:rsidP="005F5F9B"/>
    <w:p w14:paraId="6EB730B7" w14:textId="77777777" w:rsidR="005F5F9B" w:rsidRPr="004E6F1F" w:rsidRDefault="005F5F9B" w:rsidP="005F5F9B">
      <w:pPr>
        <w:rPr>
          <w:b/>
          <w:u w:val="single"/>
        </w:rPr>
      </w:pPr>
      <w:r w:rsidRPr="004E6F1F">
        <w:rPr>
          <w:b/>
          <w:u w:val="single"/>
        </w:rPr>
        <w:t>SEARS</w:t>
      </w:r>
    </w:p>
    <w:tbl>
      <w:tblPr>
        <w:tblStyle w:val="ListTable3"/>
        <w:tblW w:w="9363" w:type="dxa"/>
        <w:tblInd w:w="-147" w:type="dxa"/>
        <w:tblLook w:val="04A0" w:firstRow="1" w:lastRow="0" w:firstColumn="1" w:lastColumn="0" w:noHBand="0" w:noVBand="1"/>
      </w:tblPr>
      <w:tblGrid>
        <w:gridCol w:w="6170"/>
        <w:gridCol w:w="1105"/>
        <w:gridCol w:w="1044"/>
        <w:gridCol w:w="1044"/>
      </w:tblGrid>
      <w:tr w:rsidR="004E7CF7" w:rsidRPr="004E6F1F" w14:paraId="355C6284" w14:textId="77777777" w:rsidTr="004E7CF7">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5670" w:type="dxa"/>
            <w:noWrap/>
            <w:hideMark/>
          </w:tcPr>
          <w:p w14:paraId="1386C6F0" w14:textId="77777777" w:rsidR="004E7CF7" w:rsidRPr="004E6F1F" w:rsidRDefault="004E7CF7" w:rsidP="004E7CF7">
            <w:pPr>
              <w:shd w:val="clear" w:color="auto" w:fill="auto"/>
              <w:spacing w:line="240" w:lineRule="auto"/>
              <w:jc w:val="left"/>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Measure</w:t>
            </w:r>
          </w:p>
        </w:tc>
        <w:tc>
          <w:tcPr>
            <w:tcW w:w="1016" w:type="dxa"/>
            <w:noWrap/>
            <w:hideMark/>
          </w:tcPr>
          <w:p w14:paraId="348AA8C6" w14:textId="77777777" w:rsidR="004E7CF7" w:rsidRPr="004E6F1F" w:rsidRDefault="004E7CF7" w:rsidP="004E7CF7">
            <w:pPr>
              <w:shd w:val="clear" w:color="auto" w:fill="auto"/>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Estimate</w:t>
            </w:r>
          </w:p>
        </w:tc>
        <w:tc>
          <w:tcPr>
            <w:tcW w:w="960" w:type="dxa"/>
            <w:noWrap/>
            <w:hideMark/>
          </w:tcPr>
          <w:p w14:paraId="467987A0" w14:textId="77777777" w:rsidR="004E7CF7" w:rsidRPr="004E6F1F" w:rsidRDefault="004E7CF7" w:rsidP="004E7CF7">
            <w:pPr>
              <w:shd w:val="clear" w:color="auto" w:fill="auto"/>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Lower CI</w:t>
            </w:r>
          </w:p>
        </w:tc>
        <w:tc>
          <w:tcPr>
            <w:tcW w:w="960" w:type="dxa"/>
            <w:noWrap/>
            <w:hideMark/>
          </w:tcPr>
          <w:p w14:paraId="3F54DAD8" w14:textId="77777777" w:rsidR="004E7CF7" w:rsidRPr="004E6F1F" w:rsidRDefault="004E7CF7" w:rsidP="004E7CF7">
            <w:pPr>
              <w:shd w:val="clear" w:color="auto" w:fill="auto"/>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SG" w:eastAsia="zh-CN"/>
              </w:rPr>
            </w:pPr>
            <w:r w:rsidRPr="004E6F1F">
              <w:rPr>
                <w:rFonts w:ascii="Calibri" w:eastAsia="Times New Roman" w:hAnsi="Calibri" w:cs="Calibri"/>
                <w:sz w:val="22"/>
                <w:szCs w:val="22"/>
                <w:lang w:val="en-SG" w:eastAsia="zh-CN"/>
              </w:rPr>
              <w:t>Upper CI</w:t>
            </w:r>
          </w:p>
        </w:tc>
      </w:tr>
      <w:tr w:rsidR="004E7CF7" w:rsidRPr="004E6F1F" w14:paraId="092335E0"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3C37D2" w14:textId="45FEABDD"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 xml:space="preserve">Association between Screen Time and </w:t>
            </w:r>
            <w:proofErr w:type="spellStart"/>
            <w:r w:rsidRPr="004E6F1F">
              <w:rPr>
                <w:rFonts w:ascii="Calibri" w:eastAsia="Times New Roman" w:hAnsi="Calibri" w:cs="Calibri"/>
                <w:color w:val="000000"/>
                <w:sz w:val="22"/>
                <w:szCs w:val="22"/>
                <w:lang w:val="en-SG" w:eastAsia="zh-CN"/>
              </w:rPr>
              <w:t>CCxEP</w:t>
            </w:r>
            <w:proofErr w:type="spellEnd"/>
            <w:r w:rsidRPr="004E6F1F">
              <w:rPr>
                <w:rFonts w:ascii="Calibri" w:eastAsia="Times New Roman" w:hAnsi="Calibri" w:cs="Calibri"/>
                <w:color w:val="000000"/>
                <w:sz w:val="22"/>
                <w:szCs w:val="22"/>
                <w:lang w:val="en-SG" w:eastAsia="zh-CN"/>
              </w:rPr>
              <w:t xml:space="preserve"> integration </w:t>
            </w:r>
          </w:p>
        </w:tc>
        <w:tc>
          <w:tcPr>
            <w:tcW w:w="1016" w:type="dxa"/>
            <w:noWrap/>
            <w:hideMark/>
          </w:tcPr>
          <w:p w14:paraId="05365347"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0.492</w:t>
            </w:r>
          </w:p>
        </w:tc>
        <w:tc>
          <w:tcPr>
            <w:tcW w:w="960" w:type="dxa"/>
            <w:noWrap/>
            <w:hideMark/>
          </w:tcPr>
          <w:p w14:paraId="1025720F"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0.2</w:t>
            </w:r>
          </w:p>
        </w:tc>
        <w:tc>
          <w:tcPr>
            <w:tcW w:w="960" w:type="dxa"/>
            <w:noWrap/>
            <w:hideMark/>
          </w:tcPr>
          <w:p w14:paraId="079563D2"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0.776</w:t>
            </w:r>
          </w:p>
        </w:tc>
      </w:tr>
      <w:tr w:rsidR="004E7CF7" w:rsidRPr="004E6F1F" w14:paraId="237FB99A"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689E6" w14:textId="5DC5C24D"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Association between Reading Time and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 </w:t>
            </w:r>
          </w:p>
        </w:tc>
        <w:tc>
          <w:tcPr>
            <w:tcW w:w="1016" w:type="dxa"/>
            <w:noWrap/>
            <w:hideMark/>
          </w:tcPr>
          <w:p w14:paraId="0F7506E3"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-0.079</w:t>
            </w:r>
          </w:p>
        </w:tc>
        <w:tc>
          <w:tcPr>
            <w:tcW w:w="960" w:type="dxa"/>
            <w:noWrap/>
            <w:hideMark/>
          </w:tcPr>
          <w:p w14:paraId="1795ED23"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-0.466</w:t>
            </w:r>
          </w:p>
        </w:tc>
        <w:tc>
          <w:tcPr>
            <w:tcW w:w="960" w:type="dxa"/>
            <w:noWrap/>
            <w:hideMark/>
          </w:tcPr>
          <w:p w14:paraId="6DB713CE"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0.229</w:t>
            </w:r>
          </w:p>
        </w:tc>
      </w:tr>
      <w:tr w:rsidR="004E7CF7" w:rsidRPr="004E6F1F" w14:paraId="4935F908"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0014D8" w14:textId="73B73E03"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 xml:space="preserve">Interaction of Screen and Reading Time on </w:t>
            </w:r>
            <w:proofErr w:type="spellStart"/>
            <w:r w:rsidRPr="004E6F1F">
              <w:rPr>
                <w:rFonts w:ascii="Calibri" w:eastAsia="Times New Roman" w:hAnsi="Calibri" w:cs="Calibri"/>
                <w:color w:val="000000"/>
                <w:sz w:val="22"/>
                <w:szCs w:val="22"/>
                <w:lang w:val="en-SG" w:eastAsia="zh-CN"/>
              </w:rPr>
              <w:t>CCxEP</w:t>
            </w:r>
            <w:proofErr w:type="spellEnd"/>
            <w:r w:rsidRPr="004E6F1F">
              <w:rPr>
                <w:rFonts w:ascii="Calibri" w:eastAsia="Times New Roman" w:hAnsi="Calibri" w:cs="Calibri"/>
                <w:color w:val="000000"/>
                <w:sz w:val="22"/>
                <w:szCs w:val="22"/>
                <w:lang w:val="en-SG" w:eastAsia="zh-CN"/>
              </w:rPr>
              <w:t xml:space="preserve"> integration</w:t>
            </w:r>
          </w:p>
        </w:tc>
        <w:tc>
          <w:tcPr>
            <w:tcW w:w="1016" w:type="dxa"/>
            <w:noWrap/>
            <w:hideMark/>
          </w:tcPr>
          <w:p w14:paraId="7C2CA2BE"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-0.425</w:t>
            </w:r>
          </w:p>
        </w:tc>
        <w:tc>
          <w:tcPr>
            <w:tcW w:w="960" w:type="dxa"/>
            <w:noWrap/>
            <w:hideMark/>
          </w:tcPr>
          <w:p w14:paraId="576C5207"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-0.761</w:t>
            </w:r>
          </w:p>
        </w:tc>
        <w:tc>
          <w:tcPr>
            <w:tcW w:w="960" w:type="dxa"/>
            <w:noWrap/>
            <w:hideMark/>
          </w:tcPr>
          <w:p w14:paraId="7193ABE2"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-0.053</w:t>
            </w:r>
          </w:p>
        </w:tc>
      </w:tr>
      <w:tr w:rsidR="004E7CF7" w:rsidRPr="004E6F1F" w14:paraId="31DD874A"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69F9288"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Association between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 and SEARS</w:t>
            </w:r>
          </w:p>
        </w:tc>
        <w:tc>
          <w:tcPr>
            <w:tcW w:w="1016" w:type="dxa"/>
            <w:noWrap/>
            <w:hideMark/>
          </w:tcPr>
          <w:p w14:paraId="22C53117"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-1.587</w:t>
            </w:r>
          </w:p>
        </w:tc>
        <w:tc>
          <w:tcPr>
            <w:tcW w:w="960" w:type="dxa"/>
            <w:noWrap/>
            <w:hideMark/>
          </w:tcPr>
          <w:p w14:paraId="01F9165A"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-3.008</w:t>
            </w:r>
          </w:p>
        </w:tc>
        <w:tc>
          <w:tcPr>
            <w:tcW w:w="960" w:type="dxa"/>
            <w:noWrap/>
            <w:hideMark/>
          </w:tcPr>
          <w:p w14:paraId="4BDB29C0"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-0.143</w:t>
            </w:r>
          </w:p>
        </w:tc>
      </w:tr>
      <w:tr w:rsidR="004E7CF7" w:rsidRPr="004E6F1F" w14:paraId="4BB727A8"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A9BF8E1"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Association between Screen Time and SEARS</w:t>
            </w:r>
          </w:p>
        </w:tc>
        <w:tc>
          <w:tcPr>
            <w:tcW w:w="1016" w:type="dxa"/>
            <w:noWrap/>
            <w:hideMark/>
          </w:tcPr>
          <w:p w14:paraId="6CA77ECA"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1.075</w:t>
            </w:r>
          </w:p>
        </w:tc>
        <w:tc>
          <w:tcPr>
            <w:tcW w:w="960" w:type="dxa"/>
            <w:noWrap/>
            <w:hideMark/>
          </w:tcPr>
          <w:p w14:paraId="70B80E48"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-1.048</w:t>
            </w:r>
          </w:p>
        </w:tc>
        <w:tc>
          <w:tcPr>
            <w:tcW w:w="960" w:type="dxa"/>
            <w:noWrap/>
            <w:hideMark/>
          </w:tcPr>
          <w:p w14:paraId="6008C695"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3.604</w:t>
            </w:r>
          </w:p>
        </w:tc>
      </w:tr>
      <w:tr w:rsidR="004E7CF7" w:rsidRPr="004E6F1F" w14:paraId="074BBF02"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793697" w14:textId="77777777"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 xml:space="preserve">Mediating Effect of </w:t>
            </w:r>
            <w:proofErr w:type="spellStart"/>
            <w:r w:rsidRPr="004E6F1F">
              <w:rPr>
                <w:rFonts w:ascii="Calibri" w:eastAsia="Times New Roman" w:hAnsi="Calibri" w:cs="Calibri"/>
                <w:color w:val="000000"/>
                <w:sz w:val="22"/>
                <w:szCs w:val="22"/>
                <w:lang w:val="en-SG" w:eastAsia="zh-CN"/>
              </w:rPr>
              <w:t>CCxEP</w:t>
            </w:r>
            <w:proofErr w:type="spellEnd"/>
            <w:r w:rsidRPr="004E6F1F">
              <w:rPr>
                <w:rFonts w:ascii="Calibri" w:eastAsia="Times New Roman" w:hAnsi="Calibri" w:cs="Calibri"/>
                <w:color w:val="000000"/>
                <w:sz w:val="22"/>
                <w:szCs w:val="22"/>
                <w:lang w:val="en-SG" w:eastAsia="zh-CN"/>
              </w:rPr>
              <w:t xml:space="preserve"> integration</w:t>
            </w:r>
          </w:p>
        </w:tc>
        <w:tc>
          <w:tcPr>
            <w:tcW w:w="1016" w:type="dxa"/>
            <w:noWrap/>
            <w:hideMark/>
          </w:tcPr>
          <w:p w14:paraId="61302189"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-0.781</w:t>
            </w:r>
          </w:p>
        </w:tc>
        <w:tc>
          <w:tcPr>
            <w:tcW w:w="960" w:type="dxa"/>
            <w:noWrap/>
            <w:hideMark/>
          </w:tcPr>
          <w:p w14:paraId="0E836714"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-1.96</w:t>
            </w:r>
          </w:p>
        </w:tc>
        <w:tc>
          <w:tcPr>
            <w:tcW w:w="960" w:type="dxa"/>
            <w:noWrap/>
            <w:hideMark/>
          </w:tcPr>
          <w:p w14:paraId="621629BA"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-0.12</w:t>
            </w:r>
          </w:p>
        </w:tc>
      </w:tr>
      <w:tr w:rsidR="004E7CF7" w:rsidRPr="004E6F1F" w14:paraId="00D47F85"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EB5B8E" w14:textId="77777777"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Moderating Effect of Reading Time on Mediation Model</w:t>
            </w:r>
          </w:p>
        </w:tc>
        <w:tc>
          <w:tcPr>
            <w:tcW w:w="1016" w:type="dxa"/>
            <w:noWrap/>
            <w:hideMark/>
          </w:tcPr>
          <w:p w14:paraId="032460C2"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0.674</w:t>
            </w:r>
          </w:p>
        </w:tc>
        <w:tc>
          <w:tcPr>
            <w:tcW w:w="960" w:type="dxa"/>
            <w:noWrap/>
            <w:hideMark/>
          </w:tcPr>
          <w:p w14:paraId="25A0A3DB"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0.062</w:t>
            </w:r>
          </w:p>
        </w:tc>
        <w:tc>
          <w:tcPr>
            <w:tcW w:w="960" w:type="dxa"/>
            <w:noWrap/>
            <w:hideMark/>
          </w:tcPr>
          <w:p w14:paraId="1EBAD6F0"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1.923</w:t>
            </w:r>
          </w:p>
        </w:tc>
      </w:tr>
      <w:tr w:rsidR="004E7CF7" w:rsidRPr="004E6F1F" w14:paraId="049B1C2B"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32CCBFC" w14:textId="77777777" w:rsidR="004E7CF7" w:rsidRPr="004E6F1F" w:rsidRDefault="004E7CF7" w:rsidP="004E7CF7">
            <w:pPr>
              <w:shd w:val="clear" w:color="auto" w:fill="auto"/>
              <w:spacing w:line="240" w:lineRule="auto"/>
              <w:jc w:val="left"/>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 xml:space="preserve">Mediating Effect of </w:t>
            </w:r>
            <w:proofErr w:type="spellStart"/>
            <w:r w:rsidRPr="004E6F1F">
              <w:rPr>
                <w:rFonts w:ascii="Calibri" w:eastAsia="Times New Roman" w:hAnsi="Calibri" w:cs="Calibri"/>
                <w:color w:val="000000"/>
                <w:sz w:val="22"/>
                <w:szCs w:val="22"/>
                <w:lang w:val="en-SG" w:eastAsia="zh-CN"/>
              </w:rPr>
              <w:t>CCxEP</w:t>
            </w:r>
            <w:proofErr w:type="spellEnd"/>
            <w:r w:rsidRPr="004E6F1F">
              <w:rPr>
                <w:rFonts w:ascii="Calibri" w:eastAsia="Times New Roman" w:hAnsi="Calibri" w:cs="Calibri"/>
                <w:color w:val="000000"/>
                <w:sz w:val="22"/>
                <w:szCs w:val="22"/>
                <w:lang w:val="en-SG" w:eastAsia="zh-CN"/>
              </w:rPr>
              <w:t xml:space="preserve"> integration at low Reading Time</w:t>
            </w:r>
          </w:p>
        </w:tc>
        <w:tc>
          <w:tcPr>
            <w:tcW w:w="1016" w:type="dxa"/>
            <w:noWrap/>
            <w:hideMark/>
          </w:tcPr>
          <w:p w14:paraId="189A6502"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-0.781</w:t>
            </w:r>
          </w:p>
        </w:tc>
        <w:tc>
          <w:tcPr>
            <w:tcW w:w="960" w:type="dxa"/>
            <w:noWrap/>
            <w:hideMark/>
          </w:tcPr>
          <w:p w14:paraId="7621B04D"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-1.96</w:t>
            </w:r>
          </w:p>
        </w:tc>
        <w:tc>
          <w:tcPr>
            <w:tcW w:w="960" w:type="dxa"/>
            <w:noWrap/>
            <w:hideMark/>
          </w:tcPr>
          <w:p w14:paraId="05756B1E"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lang w:val="en-SG" w:eastAsia="zh-CN"/>
              </w:rPr>
            </w:pPr>
            <w:r w:rsidRPr="004E6F1F">
              <w:rPr>
                <w:rFonts w:ascii="Calibri" w:eastAsia="Times New Roman" w:hAnsi="Calibri" w:cs="Calibri"/>
                <w:b/>
                <w:bCs/>
                <w:color w:val="000000"/>
                <w:sz w:val="22"/>
                <w:szCs w:val="22"/>
                <w:lang w:val="en-SG" w:eastAsia="zh-CN"/>
              </w:rPr>
              <w:t>-0.12</w:t>
            </w:r>
          </w:p>
        </w:tc>
      </w:tr>
      <w:tr w:rsidR="004E7CF7" w:rsidRPr="004E6F1F" w14:paraId="6A732D68" w14:textId="77777777" w:rsidTr="004E7CF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D944EEC"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Mediating Effect of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 at mean Reading Time</w:t>
            </w:r>
          </w:p>
        </w:tc>
        <w:tc>
          <w:tcPr>
            <w:tcW w:w="1016" w:type="dxa"/>
            <w:noWrap/>
            <w:hideMark/>
          </w:tcPr>
          <w:p w14:paraId="4DA4A181"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-0.309</w:t>
            </w:r>
          </w:p>
        </w:tc>
        <w:tc>
          <w:tcPr>
            <w:tcW w:w="960" w:type="dxa"/>
            <w:noWrap/>
            <w:hideMark/>
          </w:tcPr>
          <w:p w14:paraId="3FD4AFAD"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-0.992</w:t>
            </w:r>
          </w:p>
        </w:tc>
        <w:tc>
          <w:tcPr>
            <w:tcW w:w="960" w:type="dxa"/>
            <w:noWrap/>
            <w:hideMark/>
          </w:tcPr>
          <w:p w14:paraId="5D644335" w14:textId="77777777" w:rsidR="004E7CF7" w:rsidRPr="004E6F1F" w:rsidRDefault="004E7CF7" w:rsidP="004E7CF7">
            <w:pPr>
              <w:shd w:val="clear" w:color="auto" w:fill="auto"/>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0.009</w:t>
            </w:r>
          </w:p>
        </w:tc>
      </w:tr>
      <w:tr w:rsidR="004E7CF7" w:rsidRPr="004E6F1F" w14:paraId="6F9D9C18" w14:textId="77777777" w:rsidTr="004E7CF7">
        <w:trPr>
          <w:trHeight w:val="290"/>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A1D0DC" w14:textId="77777777" w:rsidR="004E7CF7" w:rsidRPr="004E6F1F" w:rsidRDefault="004E7CF7" w:rsidP="004E7CF7">
            <w:pPr>
              <w:shd w:val="clear" w:color="auto" w:fill="auto"/>
              <w:spacing w:line="240" w:lineRule="auto"/>
              <w:jc w:val="left"/>
              <w:rPr>
                <w:rFonts w:ascii="Calibri" w:eastAsia="Times New Roman" w:hAnsi="Calibri" w:cs="Calibri"/>
                <w:b w:val="0"/>
                <w:bCs w:val="0"/>
                <w:color w:val="000000"/>
                <w:sz w:val="22"/>
                <w:szCs w:val="22"/>
                <w:lang w:val="en-SG" w:eastAsia="zh-CN"/>
              </w:rPr>
            </w:pPr>
            <w:r w:rsidRPr="004E6F1F">
              <w:rPr>
                <w:rFonts w:ascii="Calibri" w:eastAsia="Times New Roman" w:hAnsi="Calibri" w:cs="Calibri"/>
                <w:b w:val="0"/>
                <w:bCs w:val="0"/>
                <w:color w:val="000000"/>
                <w:sz w:val="22"/>
                <w:szCs w:val="22"/>
                <w:lang w:val="en-SG" w:eastAsia="zh-CN"/>
              </w:rPr>
              <w:t xml:space="preserve">Mediating Effect of </w:t>
            </w:r>
            <w:proofErr w:type="spellStart"/>
            <w:r w:rsidRPr="004E6F1F">
              <w:rPr>
                <w:rFonts w:ascii="Calibri" w:eastAsia="Times New Roman" w:hAnsi="Calibri" w:cs="Calibri"/>
                <w:b w:val="0"/>
                <w:bCs w:val="0"/>
                <w:color w:val="000000"/>
                <w:sz w:val="22"/>
                <w:szCs w:val="22"/>
                <w:lang w:val="en-SG" w:eastAsia="zh-CN"/>
              </w:rPr>
              <w:t>CCxEP</w:t>
            </w:r>
            <w:proofErr w:type="spellEnd"/>
            <w:r w:rsidRPr="004E6F1F">
              <w:rPr>
                <w:rFonts w:ascii="Calibri" w:eastAsia="Times New Roman" w:hAnsi="Calibri" w:cs="Calibri"/>
                <w:b w:val="0"/>
                <w:bCs w:val="0"/>
                <w:color w:val="000000"/>
                <w:sz w:val="22"/>
                <w:szCs w:val="22"/>
                <w:lang w:val="en-SG" w:eastAsia="zh-CN"/>
              </w:rPr>
              <w:t xml:space="preserve"> integration at high Reading Time</w:t>
            </w:r>
          </w:p>
        </w:tc>
        <w:tc>
          <w:tcPr>
            <w:tcW w:w="1016" w:type="dxa"/>
            <w:noWrap/>
            <w:hideMark/>
          </w:tcPr>
          <w:p w14:paraId="5DD67F35"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0.163</w:t>
            </w:r>
          </w:p>
        </w:tc>
        <w:tc>
          <w:tcPr>
            <w:tcW w:w="960" w:type="dxa"/>
            <w:noWrap/>
            <w:hideMark/>
          </w:tcPr>
          <w:p w14:paraId="08DAF4B1"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-0.331</w:t>
            </w:r>
          </w:p>
        </w:tc>
        <w:tc>
          <w:tcPr>
            <w:tcW w:w="960" w:type="dxa"/>
            <w:noWrap/>
            <w:hideMark/>
          </w:tcPr>
          <w:p w14:paraId="52E9D502" w14:textId="77777777" w:rsidR="004E7CF7" w:rsidRPr="004E6F1F" w:rsidRDefault="004E7CF7" w:rsidP="004E7CF7">
            <w:pPr>
              <w:shd w:val="clear" w:color="auto" w:fill="auto"/>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SG" w:eastAsia="zh-CN"/>
              </w:rPr>
            </w:pPr>
            <w:r w:rsidRPr="004E6F1F">
              <w:rPr>
                <w:rFonts w:ascii="Calibri" w:eastAsia="Times New Roman" w:hAnsi="Calibri" w:cs="Calibri"/>
                <w:color w:val="000000"/>
                <w:sz w:val="22"/>
                <w:szCs w:val="22"/>
                <w:lang w:val="en-SG" w:eastAsia="zh-CN"/>
              </w:rPr>
              <w:t>1.056</w:t>
            </w:r>
          </w:p>
        </w:tc>
      </w:tr>
    </w:tbl>
    <w:p w14:paraId="48D7A28E" w14:textId="77777777" w:rsidR="004E7CF7" w:rsidRPr="004E6F1F" w:rsidRDefault="004E7CF7"/>
    <w:p w14:paraId="47856AF6" w14:textId="6A3016F0" w:rsidR="004E7CF7" w:rsidRPr="004E6F1F" w:rsidRDefault="004E7CF7">
      <w:r w:rsidRPr="004E6F1F">
        <w:t xml:space="preserve">Supplementary Table 2: Full moderated mediation model for BRIEF and SEARS. For BRIEF, the interaction term remained significant, indicating that reading time exhibited a moderating effect on the association between screen time and brain network topology. However, we failed to find a significant mediation effect nor moderated mediation effect for BRIEF ERI. </w:t>
      </w:r>
    </w:p>
    <w:p w14:paraId="212F7996" w14:textId="5C5A61C9" w:rsidR="004E7CF7" w:rsidRDefault="004E7CF7">
      <w:r w:rsidRPr="004E6F1F">
        <w:t xml:space="preserve">For SEARS, we found a significant interaction effect, mediation effect and overall moderating effect of reading time on the mediation model. These results show that the brain network topology significantly mediates the link between screen time and </w:t>
      </w:r>
      <w:r w:rsidR="00200054" w:rsidRPr="004E6F1F">
        <w:t>SEARS total score, and this mediation effect is significantly moderated by reading time. Post-hoc analysis using simple slopes showed only at low levels of reading time, brain network topology had a significant mediating effect on the relation between screen time and SEARS total score. This is in line with our main findings where higher levels of reading exhibit a buffering effect on the association between screen time and brain network changes.</w:t>
      </w:r>
    </w:p>
    <w:sectPr w:rsidR="004E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8"/>
    <w:rsid w:val="000D0689"/>
    <w:rsid w:val="00200054"/>
    <w:rsid w:val="00244A2B"/>
    <w:rsid w:val="002D25CF"/>
    <w:rsid w:val="00455AD9"/>
    <w:rsid w:val="004E6F1F"/>
    <w:rsid w:val="004E7CF7"/>
    <w:rsid w:val="005F5F9B"/>
    <w:rsid w:val="00A60C9E"/>
    <w:rsid w:val="00AF73F8"/>
    <w:rsid w:val="00DF2E1F"/>
    <w:rsid w:val="00ED69A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0559"/>
  <w15:chartTrackingRefBased/>
  <w15:docId w15:val="{3398ED89-AAD0-4420-9FA2-32548BD0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A8"/>
    <w:pPr>
      <w:shd w:val="clear" w:color="auto" w:fill="FFFFFF"/>
      <w:spacing w:after="0" w:line="480" w:lineRule="auto"/>
      <w:jc w:val="both"/>
    </w:pPr>
    <w:rPr>
      <w:rFonts w:ascii="Arial" w:eastAsia="Arial" w:hAnsi="Arial" w:cs="Arial"/>
      <w:kern w:val="0"/>
      <w:sz w:val="20"/>
      <w:szCs w:val="20"/>
      <w:lang w:val="en" w:eastAsia="en-S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
    <w:name w:val="List Table 3"/>
    <w:basedOn w:val="TableNormal"/>
    <w:uiPriority w:val="48"/>
    <w:rsid w:val="004E7CF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2949">
      <w:bodyDiv w:val="1"/>
      <w:marLeft w:val="0"/>
      <w:marRight w:val="0"/>
      <w:marTop w:val="0"/>
      <w:marBottom w:val="0"/>
      <w:divBdr>
        <w:top w:val="none" w:sz="0" w:space="0" w:color="auto"/>
        <w:left w:val="none" w:sz="0" w:space="0" w:color="auto"/>
        <w:bottom w:val="none" w:sz="0" w:space="0" w:color="auto"/>
        <w:right w:val="none" w:sz="0" w:space="0" w:color="auto"/>
      </w:divBdr>
    </w:div>
    <w:div w:id="749430762">
      <w:bodyDiv w:val="1"/>
      <w:marLeft w:val="0"/>
      <w:marRight w:val="0"/>
      <w:marTop w:val="0"/>
      <w:marBottom w:val="0"/>
      <w:divBdr>
        <w:top w:val="none" w:sz="0" w:space="0" w:color="auto"/>
        <w:left w:val="none" w:sz="0" w:space="0" w:color="auto"/>
        <w:bottom w:val="none" w:sz="0" w:space="0" w:color="auto"/>
        <w:right w:val="none" w:sz="0" w:space="0" w:color="auto"/>
      </w:divBdr>
    </w:div>
    <w:div w:id="839348827">
      <w:bodyDiv w:val="1"/>
      <w:marLeft w:val="0"/>
      <w:marRight w:val="0"/>
      <w:marTop w:val="0"/>
      <w:marBottom w:val="0"/>
      <w:divBdr>
        <w:top w:val="none" w:sz="0" w:space="0" w:color="auto"/>
        <w:left w:val="none" w:sz="0" w:space="0" w:color="auto"/>
        <w:bottom w:val="none" w:sz="0" w:space="0" w:color="auto"/>
        <w:right w:val="none" w:sz="0" w:space="0" w:color="auto"/>
      </w:divBdr>
    </w:div>
    <w:div w:id="15920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8546</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Pei</dc:creator>
  <cp:keywords/>
  <dc:description/>
  <cp:lastModifiedBy>Huang Pei</cp:lastModifiedBy>
  <cp:revision>4</cp:revision>
  <dcterms:created xsi:type="dcterms:W3CDTF">2023-11-14T09:16:00Z</dcterms:created>
  <dcterms:modified xsi:type="dcterms:W3CDTF">2023-12-23T01:05:00Z</dcterms:modified>
</cp:coreProperties>
</file>