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C3022" w14:textId="77777777" w:rsidR="00C10158" w:rsidRDefault="00C10158" w:rsidP="005C23E8">
      <w:pPr>
        <w:jc w:val="center"/>
        <w:rPr>
          <w:rFonts w:ascii="Times New Roman" w:eastAsia="Times New Roman" w:hAnsi="Times New Roman" w:cs="Times New Roman"/>
          <w:b/>
          <w:sz w:val="28"/>
          <w:szCs w:val="28"/>
        </w:rPr>
      </w:pPr>
    </w:p>
    <w:p w14:paraId="02C7A2FC" w14:textId="77777777" w:rsidR="005C23E8" w:rsidRDefault="005C23E8" w:rsidP="005C23E8">
      <w:pPr>
        <w:spacing w:line="480" w:lineRule="auto"/>
        <w:jc w:val="both"/>
        <w:rPr>
          <w:rFonts w:ascii="Times New Roman" w:eastAsia="Times New Roman" w:hAnsi="Times New Roman" w:cs="Times New Roman"/>
          <w:b/>
          <w:bCs/>
          <w:iCs/>
          <w:sz w:val="24"/>
          <w:szCs w:val="24"/>
        </w:rPr>
      </w:pPr>
    </w:p>
    <w:p w14:paraId="0220A4A0" w14:textId="10A41BB5" w:rsidR="005C23E8" w:rsidRPr="005C23E8" w:rsidRDefault="005C23E8" w:rsidP="005C23E8">
      <w:pPr>
        <w:spacing w:line="480" w:lineRule="auto"/>
        <w:jc w:val="both"/>
        <w:rPr>
          <w:rFonts w:ascii="Times New Roman" w:eastAsia="Times New Roman" w:hAnsi="Times New Roman" w:cs="Times New Roman"/>
          <w:b/>
          <w:bCs/>
          <w:iCs/>
          <w:sz w:val="24"/>
          <w:szCs w:val="24"/>
        </w:rPr>
      </w:pPr>
      <w:r w:rsidRPr="005C23E8">
        <w:rPr>
          <w:rFonts w:ascii="Times New Roman" w:eastAsia="Times New Roman" w:hAnsi="Times New Roman" w:cs="Times New Roman"/>
          <w:b/>
          <w:bCs/>
          <w:iCs/>
          <w:sz w:val="24"/>
          <w:szCs w:val="24"/>
        </w:rPr>
        <w:t>Supplementary Material</w:t>
      </w:r>
    </w:p>
    <w:p w14:paraId="39584D4A" w14:textId="77777777" w:rsidR="005C23E8" w:rsidRPr="0097636B" w:rsidRDefault="005C23E8" w:rsidP="005C23E8">
      <w:pPr>
        <w:spacing w:before="240" w:after="240" w:line="477" w:lineRule="auto"/>
        <w:jc w:val="both"/>
        <w:rPr>
          <w:rFonts w:ascii="Times New Roman" w:eastAsia="Times New Roman" w:hAnsi="Times New Roman" w:cs="Times New Roman"/>
          <w:i/>
          <w:sz w:val="24"/>
          <w:szCs w:val="24"/>
        </w:rPr>
      </w:pPr>
      <w:r w:rsidRPr="0097636B">
        <w:rPr>
          <w:rFonts w:ascii="Times New Roman" w:eastAsia="Times New Roman" w:hAnsi="Times New Roman" w:cs="Times New Roman"/>
          <w:i/>
          <w:sz w:val="24"/>
          <w:szCs w:val="24"/>
        </w:rPr>
        <w:t>Site-Specific Imaging Acquisition Parameters</w:t>
      </w:r>
    </w:p>
    <w:p w14:paraId="31A6CD58" w14:textId="77777777" w:rsidR="00BB200C" w:rsidRDefault="005C23E8" w:rsidP="00BB200C">
      <w:pPr>
        <w:spacing w:line="478" w:lineRule="auto"/>
        <w:ind w:firstLine="720"/>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All sites followed the Alzheimer's Disease Neuroimaging Initiative (ADNI1) protocol (see http://adni.loni.usc.edu/methods/documents/mri-protocols/ for full list of parameters). The MPRAGE or IR-SPGR parameters at each site, as appropriate for each scanner brand or model, were as follows:</w:t>
      </w:r>
    </w:p>
    <w:p w14:paraId="2B5D5EBC" w14:textId="07285739" w:rsidR="005C23E8" w:rsidRPr="0097636B" w:rsidRDefault="005C23E8" w:rsidP="00BB200C">
      <w:pPr>
        <w:spacing w:line="478" w:lineRule="auto"/>
        <w:ind w:firstLine="720"/>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Baltimore, Siemens Trio (Maryland Psychiatric Research Center, University of Maryland, Baltimore MD): 3D acquisitions, sagittal slab, shot interval 2300ms, inversion time 900ms, TR 6.8ms, TE 2.91ms, flip angle 9º, FOV 256 (foot-to-head) x 240 (anterior-to-posterior) mm2, matrix 256x240, in-pane resolution 1x1 mm2, 160 slices, slice thickness 1.2 mm, voxel size 1x1x1.2mm3, total scan duration 9min 14sec.</w:t>
      </w:r>
    </w:p>
    <w:p w14:paraId="10831E67" w14:textId="77777777" w:rsidR="00BB200C" w:rsidRDefault="005C23E8" w:rsidP="00BB200C">
      <w:pPr>
        <w:spacing w:line="478" w:lineRule="auto"/>
        <w:ind w:firstLine="720"/>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Boston, GE Signa HDxt (Harvard Medical School, Boston MA): 3D acquisitions, sagittal slab, inversion time 650ms, TR 7.0ms, TE 3.0ms, flip angle 8º, FOV 256 (foot-to-head) x 256 (anterior-to-posterior) mm2, matrix 256x256, in-pane resolution 1x1 mm2, 166 slices, slice thickness 1.2 mm, voxel size 1x1x1.2mm3, total scan duration 9min 58sec.</w:t>
      </w:r>
    </w:p>
    <w:p w14:paraId="7BCAB05E" w14:textId="77777777" w:rsidR="00BB200C" w:rsidRDefault="005C23E8" w:rsidP="00BB200C">
      <w:pPr>
        <w:spacing w:line="478" w:lineRule="auto"/>
        <w:ind w:firstLine="720"/>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Chicago, GE Signa (University of Chicago, Chicago IL): 3D acquisitions, sagittal slab, shot interval 2300ms, inversion time 700ms, TR 6.99ms, TE 2.85ms, flip angle 8º, FOV 260 (foot-to-head) x 260 (anterior-to-posterior) mm2, matrix 256x256, in-plane resolution 1x1 mm2, 166 slices, slice thickness 1.2 mm, voxel size 1x1x1.2mm3, total scan duration 10min 28sec.</w:t>
      </w:r>
    </w:p>
    <w:p w14:paraId="14425F55" w14:textId="77777777" w:rsidR="00BB200C" w:rsidRDefault="005C23E8" w:rsidP="00BB200C">
      <w:pPr>
        <w:spacing w:line="478" w:lineRule="auto"/>
        <w:ind w:firstLine="720"/>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Dallas, Philips Achieva (UT Southwestern Medical Center, Dallas TX): 3D acquisitions, sagittal slab, shot interval 3000ms, inversion time 846ms, TR 6.8ms, TE 3.1ms, flip angle 8º, </w:t>
      </w:r>
      <w:r w:rsidRPr="0097636B">
        <w:rPr>
          <w:rFonts w:ascii="Times New Roman" w:eastAsia="Times New Roman" w:hAnsi="Times New Roman" w:cs="Times New Roman"/>
          <w:sz w:val="24"/>
          <w:szCs w:val="24"/>
        </w:rPr>
        <w:lastRenderedPageBreak/>
        <w:t>FOV 256 (foot-to-head) x 240 (anterior-to-posterior) mm2, matrix 256x240, in-plane resolution 1x1 mm2, 170 slices, slice thickness 1.2 mm, voxel size 1x1x1.2mm3, total scan duration 9min 19sec.</w:t>
      </w:r>
    </w:p>
    <w:p w14:paraId="3D918B54" w14:textId="77777777" w:rsidR="00BB200C" w:rsidRDefault="005C23E8" w:rsidP="00BB200C">
      <w:pPr>
        <w:spacing w:line="478" w:lineRule="auto"/>
        <w:ind w:firstLine="720"/>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Detroit, Siemens Trio (Wayne State University, Detroit MI): 3D acquisitions, sagittal slab, shot interval 2300ms, inversion time 900ms, TR 6.8ms, TE 2.74ms, flip angle 8º, FOV 176 (foot-to-head) x 256 (anterior-to-posterior) mm2, matrix 176x256x176, in-pane resolution 1x1 mm2, slice thickness 1.2mm, voxel size 1x1x1.2mm3, total scan duration 10min 09sec.</w:t>
      </w:r>
    </w:p>
    <w:p w14:paraId="74CFB95A" w14:textId="33F0F270" w:rsidR="00BB200C" w:rsidRPr="00BB200C" w:rsidRDefault="005C23E8" w:rsidP="00BB200C">
      <w:pPr>
        <w:spacing w:line="478" w:lineRule="auto"/>
        <w:ind w:firstLine="720"/>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Hartford, Siemens Allegra (Olin Institute of Living, Hartford Hospital, Hartford CT): 3D acquisitions, sagittal slab, shot interval 2300ms, inversion time 900ms, TR 7.2ms, TE 2.91ms, flip angle 9º, FOV 256 (foot-to-head) x 240 (anterior-to-posterior) mm2, matrix 256x240, in-pane resolution 1x1 mm2, 160 slices, slice thickness 1.2mm, voxel size 1x1x1.2mm3, total scan duration 9min 14sec.</w:t>
      </w:r>
      <w:sdt>
        <w:sdtPr>
          <w:tag w:val="goog_rdk_24"/>
          <w:id w:val="-1421944326"/>
          <w:showingPlcHdr/>
        </w:sdtPr>
        <w:sdtContent>
          <w:r w:rsidR="00BB200C">
            <w:t xml:space="preserve">     </w:t>
          </w:r>
        </w:sdtContent>
      </w:sdt>
    </w:p>
    <w:p w14:paraId="5CEE6E27" w14:textId="4B67D646" w:rsidR="005C23E8" w:rsidRPr="0097636B" w:rsidRDefault="005C23E8" w:rsidP="005C23E8">
      <w:pPr>
        <w:spacing w:before="240" w:after="240" w:line="477" w:lineRule="auto"/>
        <w:rPr>
          <w:rFonts w:ascii="Times New Roman" w:eastAsia="Times New Roman" w:hAnsi="Times New Roman" w:cs="Times New Roman"/>
          <w:i/>
          <w:iCs/>
          <w:sz w:val="24"/>
          <w:szCs w:val="24"/>
        </w:rPr>
      </w:pPr>
      <w:r w:rsidRPr="0097636B">
        <w:rPr>
          <w:rFonts w:ascii="Times New Roman" w:eastAsia="Times New Roman" w:hAnsi="Times New Roman" w:cs="Times New Roman"/>
          <w:i/>
          <w:iCs/>
          <w:sz w:val="24"/>
          <w:szCs w:val="24"/>
        </w:rPr>
        <w:t>Pituitary gland segmentation</w:t>
      </w:r>
    </w:p>
    <w:p w14:paraId="662FD76B" w14:textId="77777777" w:rsidR="00BB200C" w:rsidRDefault="005C23E8" w:rsidP="005C23E8">
      <w:pPr>
        <w:spacing w:before="240" w:after="240" w:line="360" w:lineRule="auto"/>
        <w:rPr>
          <w:rFonts w:eastAsia="Times New Roman"/>
          <w:sz w:val="16"/>
          <w:szCs w:val="16"/>
        </w:rPr>
      </w:pPr>
      <w:r w:rsidRPr="0097636B">
        <w:rPr>
          <w:rFonts w:ascii="Times New Roman" w:eastAsia="Times New Roman" w:hAnsi="Times New Roman" w:cs="Times New Roman"/>
          <w:noProof/>
          <w:sz w:val="24"/>
          <w:szCs w:val="24"/>
        </w:rPr>
        <w:drawing>
          <wp:inline distT="114300" distB="114300" distL="114300" distR="114300" wp14:anchorId="469305B7" wp14:editId="114F1048">
            <wp:extent cx="5943600" cy="1498600"/>
            <wp:effectExtent l="0" t="0" r="0" b="0"/>
            <wp:docPr id="3" name="image2.png" descr="A close-up of a brain&#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A close-up of a brain&#10;&#10;Description automatically generated"/>
                    <pic:cNvPicPr preferRelativeResize="0"/>
                  </pic:nvPicPr>
                  <pic:blipFill>
                    <a:blip r:embed="rId6"/>
                    <a:srcRect/>
                    <a:stretch>
                      <a:fillRect/>
                    </a:stretch>
                  </pic:blipFill>
                  <pic:spPr>
                    <a:xfrm>
                      <a:off x="0" y="0"/>
                      <a:ext cx="5943600" cy="1498600"/>
                    </a:xfrm>
                    <a:prstGeom prst="rect">
                      <a:avLst/>
                    </a:prstGeom>
                    <a:ln/>
                  </pic:spPr>
                </pic:pic>
              </a:graphicData>
            </a:graphic>
          </wp:inline>
        </w:drawing>
      </w:r>
      <w:r w:rsidRPr="0097636B">
        <w:rPr>
          <w:rFonts w:eastAsia="Times New Roman"/>
          <w:b/>
          <w:bCs/>
          <w:sz w:val="16"/>
          <w:szCs w:val="16"/>
        </w:rPr>
        <w:t>Supplementary Fig 1.</w:t>
      </w:r>
      <w:r w:rsidRPr="0097636B">
        <w:rPr>
          <w:rFonts w:eastAsia="Times New Roman"/>
          <w:sz w:val="16"/>
          <w:szCs w:val="16"/>
        </w:rPr>
        <w:t xml:space="preserve"> Example of Pituitary Gland Segmentation Conducted on a Study Participant</w:t>
      </w:r>
    </w:p>
    <w:p w14:paraId="39E68274" w14:textId="77777777" w:rsidR="00BB200C" w:rsidRDefault="00BB200C" w:rsidP="005C23E8">
      <w:pPr>
        <w:spacing w:before="240" w:after="240" w:line="360" w:lineRule="auto"/>
        <w:rPr>
          <w:rFonts w:eastAsia="Times New Roman"/>
          <w:sz w:val="16"/>
          <w:szCs w:val="16"/>
        </w:rPr>
      </w:pPr>
    </w:p>
    <w:p w14:paraId="58317766" w14:textId="77777777" w:rsidR="00BB200C" w:rsidRDefault="00BB200C" w:rsidP="005C23E8">
      <w:pPr>
        <w:spacing w:before="240" w:after="240" w:line="360" w:lineRule="auto"/>
        <w:rPr>
          <w:rFonts w:eastAsia="Times New Roman"/>
          <w:sz w:val="16"/>
          <w:szCs w:val="16"/>
        </w:rPr>
      </w:pPr>
    </w:p>
    <w:p w14:paraId="3246BC46" w14:textId="77777777" w:rsidR="00BB200C" w:rsidRDefault="00BB200C" w:rsidP="005C23E8">
      <w:pPr>
        <w:spacing w:before="240" w:after="240" w:line="360" w:lineRule="auto"/>
        <w:rPr>
          <w:rFonts w:eastAsia="Times New Roman"/>
          <w:sz w:val="16"/>
          <w:szCs w:val="16"/>
        </w:rPr>
      </w:pPr>
    </w:p>
    <w:p w14:paraId="5CB8036E" w14:textId="77777777" w:rsidR="00BB200C" w:rsidRDefault="00BB200C" w:rsidP="005C23E8">
      <w:pPr>
        <w:spacing w:before="240" w:after="240" w:line="360" w:lineRule="auto"/>
        <w:rPr>
          <w:rFonts w:eastAsia="Times New Roman"/>
          <w:sz w:val="16"/>
          <w:szCs w:val="16"/>
        </w:rPr>
      </w:pPr>
    </w:p>
    <w:p w14:paraId="36CBDBFC" w14:textId="4210A67D" w:rsidR="00BB200C" w:rsidRPr="00BB200C" w:rsidRDefault="005C23E8" w:rsidP="005C23E8">
      <w:pPr>
        <w:spacing w:before="240" w:after="240" w:line="360" w:lineRule="auto"/>
        <w:rPr>
          <w:rFonts w:eastAsia="Times New Roman"/>
          <w:sz w:val="16"/>
          <w:szCs w:val="16"/>
        </w:rPr>
      </w:pPr>
      <w:r w:rsidRPr="0097636B">
        <w:rPr>
          <w:rFonts w:ascii="Times New Roman" w:eastAsia="Times New Roman" w:hAnsi="Times New Roman" w:cs="Times New Roman"/>
          <w:noProof/>
          <w:sz w:val="24"/>
          <w:szCs w:val="24"/>
        </w:rPr>
        <w:lastRenderedPageBreak/>
        <w:drawing>
          <wp:inline distT="114300" distB="114300" distL="114300" distR="114300" wp14:anchorId="2130429F" wp14:editId="32B35EE8">
            <wp:extent cx="5509549" cy="3290410"/>
            <wp:effectExtent l="0" t="0" r="2540" b="0"/>
            <wp:docPr id="6" name="image5.png" descr="A graph of different colored bars&#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5.png" descr="A graph of different colored bars&#10;&#10;Description automatically generated"/>
                    <pic:cNvPicPr preferRelativeResize="0"/>
                  </pic:nvPicPr>
                  <pic:blipFill>
                    <a:blip r:embed="rId7"/>
                    <a:srcRect/>
                    <a:stretch>
                      <a:fillRect/>
                    </a:stretch>
                  </pic:blipFill>
                  <pic:spPr>
                    <a:xfrm>
                      <a:off x="0" y="0"/>
                      <a:ext cx="5523732" cy="3298880"/>
                    </a:xfrm>
                    <a:prstGeom prst="rect">
                      <a:avLst/>
                    </a:prstGeom>
                    <a:ln/>
                  </pic:spPr>
                </pic:pic>
              </a:graphicData>
            </a:graphic>
          </wp:inline>
        </w:drawing>
      </w:r>
      <w:r w:rsidR="00917DD6">
        <w:rPr>
          <w:rFonts w:eastAsia="Times New Roman"/>
          <w:b/>
          <w:bCs/>
          <w:sz w:val="16"/>
          <w:szCs w:val="16"/>
        </w:rPr>
        <w:t xml:space="preserve"> </w:t>
      </w:r>
      <w:r w:rsidRPr="0097636B">
        <w:rPr>
          <w:rFonts w:eastAsia="Times New Roman"/>
          <w:b/>
          <w:bCs/>
          <w:sz w:val="16"/>
          <w:szCs w:val="16"/>
        </w:rPr>
        <w:t xml:space="preserve">Supplementary Fig 2. </w:t>
      </w:r>
      <w:r w:rsidRPr="0097636B">
        <w:rPr>
          <w:rFonts w:eastAsia="Times New Roman"/>
          <w:sz w:val="16"/>
          <w:szCs w:val="16"/>
        </w:rPr>
        <w:t>Adjusted Mean Pituitary Gland Volume Across Biotypes and Healthy Controls.</w:t>
      </w:r>
    </w:p>
    <w:p w14:paraId="549B833C" w14:textId="324E6EFE" w:rsidR="00BB200C" w:rsidRPr="00BB200C" w:rsidRDefault="005C23E8" w:rsidP="00BB200C">
      <w:pPr>
        <w:spacing w:before="240" w:after="240" w:line="477" w:lineRule="auto"/>
        <w:ind w:firstLine="720"/>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Post-hoc analysis shows no interaction between symptom severity effect on pituitary gland volumes and the different clinical diagnoses (</w:t>
      </w:r>
      <w:sdt>
        <w:sdtPr>
          <w:tag w:val="goog_rdk_43"/>
          <w:id w:val="-1601177352"/>
        </w:sdtPr>
        <w:sdtContent>
          <w:r w:rsidRPr="0097636B">
            <w:rPr>
              <w:rFonts w:ascii="Times New Roman" w:eastAsia="Times New Roman" w:hAnsi="Times New Roman" w:cs="Times New Roman"/>
              <w:i/>
              <w:sz w:val="24"/>
              <w:szCs w:val="24"/>
            </w:rPr>
            <w:t>F</w:t>
          </w:r>
        </w:sdtContent>
      </w:sdt>
      <w:sdt>
        <w:sdtPr>
          <w:tag w:val="goog_rdk_44"/>
          <w:id w:val="-1380549648"/>
        </w:sdtPr>
        <w:sdtContent>
          <w:r w:rsidRPr="0097636B">
            <w:rPr>
              <w:rFonts w:ascii="Times New Roman" w:eastAsia="Times New Roman" w:hAnsi="Times New Roman" w:cs="Times New Roman"/>
              <w:sz w:val="24"/>
              <w:szCs w:val="24"/>
              <w:vertAlign w:val="subscript"/>
            </w:rPr>
            <w:t xml:space="preserve">(2, 420.82) </w:t>
          </w:r>
        </w:sdtContent>
      </w:sdt>
      <w:r w:rsidRPr="0097636B">
        <w:rPr>
          <w:rFonts w:ascii="Times New Roman" w:eastAsia="Times New Roman" w:hAnsi="Times New Roman" w:cs="Times New Roman"/>
          <w:sz w:val="24"/>
          <w:szCs w:val="24"/>
        </w:rPr>
        <w:t xml:space="preserve">= 0.50, </w:t>
      </w:r>
      <w:sdt>
        <w:sdtPr>
          <w:tag w:val="goog_rdk_46"/>
          <w:id w:val="-2132539332"/>
        </w:sdtPr>
        <w:sdtContent>
          <w:r w:rsidRPr="0097636B">
            <w:rPr>
              <w:rFonts w:ascii="Times New Roman" w:eastAsia="Times New Roman" w:hAnsi="Times New Roman" w:cs="Times New Roman"/>
              <w:i/>
              <w:sz w:val="24"/>
              <w:szCs w:val="24"/>
            </w:rPr>
            <w:t>η²</w:t>
          </w:r>
        </w:sdtContent>
      </w:sdt>
      <w:sdt>
        <w:sdtPr>
          <w:tag w:val="goog_rdk_47"/>
          <w:id w:val="584962746"/>
        </w:sdtPr>
        <w:sdtContent>
          <w:r w:rsidRPr="0097636B">
            <w:rPr>
              <w:rFonts w:ascii="Times New Roman" w:eastAsia="Times New Roman" w:hAnsi="Times New Roman" w:cs="Times New Roman"/>
              <w:sz w:val="24"/>
              <w:szCs w:val="24"/>
            </w:rPr>
            <w:t xml:space="preserve"> = 0.002,  </w:t>
          </w:r>
        </w:sdtContent>
      </w:sdt>
      <w:sdt>
        <w:sdtPr>
          <w:tag w:val="goog_rdk_48"/>
          <w:id w:val="-1794664195"/>
        </w:sdtPr>
        <w:sdtContent>
          <w:r w:rsidRPr="0097636B">
            <w:rPr>
              <w:rFonts w:ascii="Times New Roman" w:eastAsia="Times New Roman" w:hAnsi="Times New Roman" w:cs="Times New Roman"/>
              <w:i/>
              <w:sz w:val="24"/>
              <w:szCs w:val="24"/>
            </w:rPr>
            <w:t>p</w:t>
          </w:r>
        </w:sdtContent>
      </w:sdt>
      <w:sdt>
        <w:sdtPr>
          <w:tag w:val="goog_rdk_49"/>
          <w:id w:val="-2042434399"/>
        </w:sdtPr>
        <w:sdtContent>
          <w:r w:rsidRPr="0097636B">
            <w:rPr>
              <w:rFonts w:ascii="Times New Roman" w:eastAsia="Times New Roman" w:hAnsi="Times New Roman" w:cs="Times New Roman"/>
              <w:sz w:val="24"/>
              <w:szCs w:val="24"/>
            </w:rPr>
            <w:t xml:space="preserve"> = .60). nor the Biotypes (</w:t>
          </w:r>
        </w:sdtContent>
      </w:sdt>
      <w:sdt>
        <w:sdtPr>
          <w:tag w:val="goog_rdk_50"/>
          <w:id w:val="1452671708"/>
        </w:sdtPr>
        <w:sdtContent>
          <w:r w:rsidRPr="0097636B">
            <w:rPr>
              <w:rFonts w:ascii="Times New Roman" w:eastAsia="Times New Roman" w:hAnsi="Times New Roman" w:cs="Times New Roman"/>
              <w:i/>
              <w:sz w:val="24"/>
              <w:szCs w:val="24"/>
            </w:rPr>
            <w:t>F</w:t>
          </w:r>
        </w:sdtContent>
      </w:sdt>
      <w:sdt>
        <w:sdtPr>
          <w:tag w:val="goog_rdk_51"/>
          <w:id w:val="24759481"/>
        </w:sdtPr>
        <w:sdtContent>
          <w:r w:rsidRPr="0097636B">
            <w:rPr>
              <w:rFonts w:ascii="Times New Roman" w:eastAsia="Times New Roman" w:hAnsi="Times New Roman" w:cs="Times New Roman"/>
              <w:sz w:val="24"/>
              <w:szCs w:val="24"/>
              <w:vertAlign w:val="subscript"/>
            </w:rPr>
            <w:t xml:space="preserve">(2, 366.95) </w:t>
          </w:r>
        </w:sdtContent>
      </w:sdt>
      <w:sdt>
        <w:sdtPr>
          <w:tag w:val="goog_rdk_52"/>
          <w:id w:val="1188185341"/>
        </w:sdtPr>
        <w:sdtContent>
          <w:r w:rsidRPr="0097636B">
            <w:rPr>
              <w:rFonts w:ascii="Times New Roman" w:eastAsia="Times New Roman" w:hAnsi="Times New Roman" w:cs="Times New Roman"/>
              <w:sz w:val="24"/>
              <w:szCs w:val="24"/>
            </w:rPr>
            <w:t xml:space="preserve">= 0.84, </w:t>
          </w:r>
        </w:sdtContent>
      </w:sdt>
      <w:sdt>
        <w:sdtPr>
          <w:tag w:val="goog_rdk_53"/>
          <w:id w:val="-58404270"/>
        </w:sdtPr>
        <w:sdtContent>
          <w:r w:rsidRPr="0097636B">
            <w:rPr>
              <w:rFonts w:ascii="Times New Roman" w:eastAsia="Times New Roman" w:hAnsi="Times New Roman" w:cs="Times New Roman"/>
              <w:i/>
              <w:sz w:val="24"/>
              <w:szCs w:val="24"/>
            </w:rPr>
            <w:t>η²</w:t>
          </w:r>
        </w:sdtContent>
      </w:sdt>
      <w:sdt>
        <w:sdtPr>
          <w:tag w:val="goog_rdk_54"/>
          <w:id w:val="-181285668"/>
        </w:sdtPr>
        <w:sdtContent>
          <w:r w:rsidRPr="0097636B">
            <w:rPr>
              <w:rFonts w:ascii="Times New Roman" w:eastAsia="Times New Roman" w:hAnsi="Times New Roman" w:cs="Times New Roman"/>
              <w:sz w:val="24"/>
              <w:szCs w:val="24"/>
            </w:rPr>
            <w:t xml:space="preserve"> = 0.004,  </w:t>
          </w:r>
        </w:sdtContent>
      </w:sdt>
      <w:sdt>
        <w:sdtPr>
          <w:tag w:val="goog_rdk_55"/>
          <w:id w:val="-1907520636"/>
        </w:sdtPr>
        <w:sdtContent>
          <w:r w:rsidRPr="0097636B">
            <w:rPr>
              <w:rFonts w:ascii="Times New Roman" w:eastAsia="Times New Roman" w:hAnsi="Times New Roman" w:cs="Times New Roman"/>
              <w:i/>
              <w:sz w:val="24"/>
              <w:szCs w:val="24"/>
            </w:rPr>
            <w:t>p</w:t>
          </w:r>
        </w:sdtContent>
      </w:sdt>
      <w:r w:rsidRPr="0097636B">
        <w:rPr>
          <w:rFonts w:ascii="Times New Roman" w:eastAsia="Times New Roman" w:hAnsi="Times New Roman" w:cs="Times New Roman"/>
          <w:sz w:val="24"/>
          <w:szCs w:val="24"/>
        </w:rPr>
        <w:t xml:space="preserve"> = .43).</w:t>
      </w:r>
      <w:sdt>
        <w:sdtPr>
          <w:tag w:val="goog_rdk_57"/>
          <w:id w:val="-1017775591"/>
        </w:sdtPr>
        <w:sdtContent>
          <w:sdt>
            <w:sdtPr>
              <w:tag w:val="goog_rdk_58"/>
              <w:id w:val="-470207518"/>
            </w:sdtPr>
            <w:sdtContent/>
          </w:sdt>
        </w:sdtContent>
      </w:sdt>
      <w:r w:rsidRPr="0097636B">
        <w:rPr>
          <w:rFonts w:ascii="Times New Roman" w:eastAsia="Times New Roman" w:hAnsi="Times New Roman" w:cs="Times New Roman"/>
          <w:sz w:val="24"/>
          <w:szCs w:val="24"/>
        </w:rPr>
        <w:t>Visual inspection were performed on each automatized segmentation by YT examining sagittal, coronal, and axial view. When part of the pituitary gland was missed or the segmentation included regions outside of the pituitary gland, we excluded this participant from our analysis (n=97). No site was more represented in those that we had to exclude.</w:t>
      </w:r>
    </w:p>
    <w:p w14:paraId="62AFE00D" w14:textId="0B303CDC" w:rsidR="005C23E8" w:rsidRPr="0097636B" w:rsidRDefault="005C23E8" w:rsidP="005C23E8">
      <w:pPr>
        <w:spacing w:line="480" w:lineRule="auto"/>
        <w:jc w:val="both"/>
        <w:rPr>
          <w:rFonts w:ascii="Times New Roman" w:eastAsia="Times New Roman" w:hAnsi="Times New Roman" w:cs="Times New Roman"/>
          <w:i/>
          <w:sz w:val="24"/>
          <w:szCs w:val="24"/>
        </w:rPr>
      </w:pPr>
      <w:r w:rsidRPr="0097636B">
        <w:rPr>
          <w:rFonts w:ascii="Times New Roman" w:eastAsia="Times New Roman" w:hAnsi="Times New Roman" w:cs="Times New Roman"/>
          <w:i/>
          <w:sz w:val="24"/>
          <w:szCs w:val="24"/>
        </w:rPr>
        <w:t>B</w:t>
      </w:r>
      <w:sdt>
        <w:sdtPr>
          <w:tag w:val="goog_rdk_62"/>
          <w:id w:val="502635976"/>
        </w:sdtPr>
        <w:sdtContent/>
      </w:sdt>
      <w:r w:rsidRPr="0097636B">
        <w:rPr>
          <w:rFonts w:ascii="Times New Roman" w:eastAsia="Times New Roman" w:hAnsi="Times New Roman" w:cs="Times New Roman"/>
          <w:i/>
          <w:sz w:val="24"/>
          <w:szCs w:val="24"/>
        </w:rPr>
        <w:t>iotype classification</w:t>
      </w:r>
    </w:p>
    <w:p w14:paraId="36CFCE62" w14:textId="77777777" w:rsidR="00BB200C" w:rsidRDefault="005C23E8" w:rsidP="00BB200C">
      <w:pPr>
        <w:pBdr>
          <w:top w:val="none" w:sz="0" w:space="0" w:color="D9D9E3"/>
          <w:left w:val="none" w:sz="0" w:space="0" w:color="D9D9E3"/>
          <w:bottom w:val="none" w:sz="0" w:space="0" w:color="D9D9E3"/>
          <w:right w:val="none" w:sz="0" w:space="0" w:color="D9D9E3"/>
          <w:between w:val="none" w:sz="0" w:space="0" w:color="D9D9E3"/>
        </w:pBdr>
        <w:spacing w:line="480" w:lineRule="auto"/>
        <w:ind w:firstLine="720"/>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fldChar w:fldCharType="begin" w:fldLock="1"/>
      </w:r>
      <w:r w:rsidRPr="0097636B">
        <w:rPr>
          <w:rFonts w:ascii="Times New Roman" w:eastAsia="Times New Roman" w:hAnsi="Times New Roman" w:cs="Times New Roman"/>
          <w:sz w:val="24"/>
          <w:szCs w:val="24"/>
        </w:rPr>
        <w:instrText>ADDIN CSL_CITATION {"citationItems":[{"id":"ITEM-1","itemData":{"DOI":"10.1093/schbul/sbab090","ISSN":"0586-7614","abstract":"Current clinical phenomenological diagnosis in psychiatry neither captures biologically homologous disease entities nor allows for individualized treatment prescriptions based on neurobiology. In this report, we studied two large samples of cases with schizophrenia, schizoaffective, and bipolar I disorder with psychosis, presentations with clinical features of hallucinations, delusions, thought disorder, affective, or negative symptoms. A biomarker approach to subtyping psychosis cases (called psychosis Biotypes) captured neurobiological homology that was missed by conventional clinical diagnoses. Two samples (called “B-SNIP1” with 711 psychosis and 274 healthy persons, and the “replication sample” with 717 psychosis and 198 healthy persons) showed that 44 individual biomarkers, drawn from general cognition (BACS), motor inhibitory (stop signal), saccadic system (pro- and anti-saccades), and auditory EEG/ERP (paired-stimuli and oddball) tasks of psychosis-relevant brain functions were replicable (r’s from .96–.99) and temporally stable (r’s from .76–.95). Using numerical taxonomy (k-means clustering) with nine groups of integrated biomarker characteristics (called bio-factors) yielded three Biotypes that were virtually identical between the two samples and showed highly similar case assignments to subgroups based on cross-validations (88.5%–89%). Biotypes-1 and -2 shared poor cognition. Biotype-1 was further characterized by low neural response magnitudes, while Biotype-2 was further characterized by overactive neural responses and poor sensory motor inhibition. Biotype-3 was nearly normal on all bio-factors. Construct validation of Biotype EEG/ERP neurophysiology using measures of intrinsic neural activity and auditory steady state stimulation highlighted the robustness of these outcomes. Psychosis Biotypes may yield meaningful neurobiological targets for treatments and etiological investigations.","author":[{"dropping-particle":"","family":"Clementz","given":"Brett A","non-dropping-particle":"","parse-names":false,"suffix":""},{"dropping-particle":"","family":"Parker","given":"David A","non-dropping-particle":"","parse-names":false,"suffix":""},{"dropping-particle":"","family":"Trotti","given":"Rebekah L","non-dropping-particle":"","parse-names":false,"suffix":""},{"dropping-particle":"","family":"McDowell","given":"Jennifer E","non-dropping-particle":"","parse-names":false,"suffix":""},{"dropping-particle":"","family":"Keedy","given":"Sarah K","non-dropping-particle":"","parse-names":false,"suffix":""},{"dropping-particle":"","family":"Keshavan","given":"Matcheri S","non-dropping-particle":"","parse-names":false,"suffix":""},{"dropping-particle":"","family":"Pearlson","given":"Godfrey D","non-dropping-particle":"","parse-names":false,"suffix":""},{"dropping-particle":"","family":"Gershon","given":"Elliot S","non-dropping-particle":"","parse-names":false,"suffix":""},{"dropping-particle":"","family":"Ivleva","given":"Elena I","non-dropping-particle":"","parse-names":false,"suffix":""},{"dropping-particle":"","family":"Huang","given":"Ling-Yu","non-dropping-particle":"","parse-names":false,"suffix":""},{"dropping-particle":"","family":"Hill","given":"S Kristian","non-dropping-particle":"","parse-names":false,"suffix":""},{"dropping-particle":"","family":"Sweeney","given":"John A","non-dropping-particle":"","parse-names":false,"suffix":""},{"dropping-particle":"","family":"Thomas","given":"Olivia","non-dropping-particle":"","parse-names":false,"suffix":""},{"dropping-particle":"","family":"Hudgens-Haney","given":"Matthew","non-dropping-particle":"","parse-names":false,"suffix":""},{"dropping-particle":"","family":"Gibbons","given":"Robert D","non-dropping-particle":"","parse-names":false,"suffix":""},{"dropping-particle":"","family":"Tamminga","given":"Carol A","non-dropping-particle":"","parse-names":false,"suffix":""}],"container-title":"Schizophrenia Bulletin","id":"ITEM-1","issue":"1","issued":{"date-parts":[["2022","1","21"]]},"page":"56-68","title":"Psychosis Biotypes: Replication and Validation from the B-SNIP Consortium","type":"article-journal","volume":"48"},"uris":["http://www.mendeley.com/documents/?uuid=b1462e1c-31e7-4150-b9d1-04bb0de4a905"]}],"mendeley":{"formattedCitation":"(Clementz et al., 2022)","manualFormatting":"Clementz and colleagues ","plainTextFormattedCitation":"(Clementz et al., 2022)","previouslyFormattedCitation":"(Clementz et al., 2022)"},"properties":{"noteIndex":0},"schema":"https://github.com/citation-style-language/schema/raw/master/csl-citation.json"}</w:instrText>
      </w:r>
      <w:r w:rsidRPr="0097636B">
        <w:rPr>
          <w:rFonts w:ascii="Times New Roman" w:eastAsia="Times New Roman" w:hAnsi="Times New Roman" w:cs="Times New Roman"/>
          <w:sz w:val="24"/>
          <w:szCs w:val="24"/>
        </w:rPr>
        <w:fldChar w:fldCharType="separate"/>
      </w:r>
      <w:r w:rsidRPr="0097636B">
        <w:rPr>
          <w:rFonts w:ascii="Times New Roman" w:eastAsia="Times New Roman" w:hAnsi="Times New Roman" w:cs="Times New Roman"/>
          <w:noProof/>
          <w:sz w:val="24"/>
          <w:szCs w:val="24"/>
        </w:rPr>
        <w:t xml:space="preserve">Clementz and colleagues </w:t>
      </w:r>
      <w:r w:rsidRPr="0097636B">
        <w:rPr>
          <w:rFonts w:ascii="Times New Roman" w:eastAsia="Times New Roman" w:hAnsi="Times New Roman" w:cs="Times New Roman"/>
          <w:sz w:val="24"/>
          <w:szCs w:val="24"/>
        </w:rPr>
        <w:fldChar w:fldCharType="end"/>
      </w:r>
      <w:r w:rsidRPr="0097636B">
        <w:rPr>
          <w:rFonts w:ascii="Times New Roman" w:eastAsia="Times New Roman" w:hAnsi="Times New Roman" w:cs="Times New Roman"/>
          <w:sz w:val="24"/>
          <w:szCs w:val="24"/>
        </w:rPr>
        <w:t xml:space="preserve">provide a comprehensive method for biotype classification, which involves various tasks completed by participants, such as BACS </w:t>
      </w:r>
      <w:r w:rsidRPr="0097636B">
        <w:rPr>
          <w:rFonts w:ascii="Times New Roman" w:eastAsia="Times New Roman" w:hAnsi="Times New Roman" w:cs="Times New Roman"/>
          <w:sz w:val="24"/>
          <w:szCs w:val="24"/>
        </w:rPr>
        <w:fldChar w:fldCharType="begin" w:fldLock="1"/>
      </w:r>
      <w:r w:rsidRPr="0097636B">
        <w:rPr>
          <w:rFonts w:ascii="Times New Roman" w:eastAsia="Times New Roman" w:hAnsi="Times New Roman" w:cs="Times New Roman"/>
          <w:sz w:val="24"/>
          <w:szCs w:val="24"/>
        </w:rPr>
        <w:instrText>ADDIN CSL_CITATION {"citationItems":[{"id":"ITEM-1","itemData":{"DOI":"10.1016/j.schres.2003.09.011","ISSN":"09209964","PMID":"15099610","abstract":"Studies of neurocognitive function in patients with schizophrenia use widely variable assessment techniques. Clinical trials assessing the cognitive enhancing effect of new medications have used neurocognitive assessment batteries that differed in content, length and administration procedures. The Brief Assessment of Cognition in Schizophrenia (BACS) is a newly developed instrument that assesses the aspects of cognition found to be most impaired and most strongly correlated with outcome in patients with schizophrenia. The BACS requires less than 35 min to complete in patients with schizophrenia, yields a high completion rate in these patients, and has high reliability. The BACS was found to be as sensitive to cognitive impairment in patients with schizophrenia as a standard battery of tests that required over 2 h to administer. Compared to healthy controls matched for age and parental education, patients with schizophrenia performed 1.49 standard deviations lower on a composite score calculated from the BACS and 1.61 standard deviations lower on a composite score calculated from the standard battery. The BACS composite scores were highly correlated with the standard battery composite scores in patients (r=0.76) and healthy controls (r=0.90). These psychometric properties make the BACS a promising tool for assessing cognition repeatedly in patients with schizophrenia, especially in clinical trials of cognitive enhancement. © 2003 Elsevier B.V. All rights reserved.","author":[{"dropping-particle":"","family":"Keefe","given":"Richard S.E.","non-dropping-particle":"","parse-names":false,"suffix":""},{"dropping-particle":"","family":"Goldberg","given":"Terry E.","non-dropping-particle":"","parse-names":false,"suffix":""},{"dropping-particle":"","family":"Harvey","given":"Philip D.","non-dropping-particle":"","parse-names":false,"suffix":""},{"dropping-particle":"","family":"Gold","given":"James M.","non-dropping-particle":"","parse-names":false,"suffix":""},{"dropping-particle":"","family":"Poe","given":"Margaret P.","non-dropping-particle":"","parse-names":false,"suffix":""},{"dropping-particle":"","family":"Coughenour","given":"Leigh","non-dropping-particle":"","parse-names":false,"suffix":""}],"container-title":"Schizophrenia Research","id":"ITEM-1","issue":"2-3","issued":{"date-parts":[["2004"]]},"page":"283-297","title":"The Brief Assessment of Cognition in Schizophrenia: Reliability, sensitivity, and comparison with a standard neurocognitive battery","type":"article-journal","volume":"68"},"uris":["http://www.mendeley.com/documents/?uuid=84133af6-ccc9-4a49-a8bd-35c6c14e6046"]}],"mendeley":{"formattedCitation":"(Keefe et al., 2004)","plainTextFormattedCitation":"(Keefe et al., 2004)","previouslyFormattedCitation":"(Keefe et al., 2004)"},"properties":{"noteIndex":0},"schema":"https://github.com/citation-style-language/schema/raw/master/csl-citation.json"}</w:instrText>
      </w:r>
      <w:r w:rsidRPr="0097636B">
        <w:rPr>
          <w:rFonts w:ascii="Times New Roman" w:eastAsia="Times New Roman" w:hAnsi="Times New Roman" w:cs="Times New Roman"/>
          <w:sz w:val="24"/>
          <w:szCs w:val="24"/>
        </w:rPr>
        <w:fldChar w:fldCharType="separate"/>
      </w:r>
      <w:r w:rsidRPr="0097636B">
        <w:rPr>
          <w:rFonts w:ascii="Times New Roman" w:eastAsia="Times New Roman" w:hAnsi="Times New Roman" w:cs="Times New Roman"/>
          <w:noProof/>
          <w:sz w:val="24"/>
          <w:szCs w:val="24"/>
        </w:rPr>
        <w:t>(Keefe et al., 2004)</w:t>
      </w:r>
      <w:r w:rsidRPr="0097636B">
        <w:rPr>
          <w:rFonts w:ascii="Times New Roman" w:eastAsia="Times New Roman" w:hAnsi="Times New Roman" w:cs="Times New Roman"/>
          <w:sz w:val="24"/>
          <w:szCs w:val="24"/>
        </w:rPr>
        <w:fldChar w:fldCharType="end"/>
      </w:r>
      <w:r w:rsidRPr="0097636B">
        <w:rPr>
          <w:rFonts w:ascii="Times New Roman" w:eastAsia="Times New Roman" w:hAnsi="Times New Roman" w:cs="Times New Roman"/>
          <w:sz w:val="24"/>
          <w:szCs w:val="24"/>
        </w:rPr>
        <w:t xml:space="preserve">, stop-signal, pro- and anti-saccade, and auditory paired stimulus and oddball tasks. After quality control of the data and excluding participants who did not receive a Biotype classification, a total of three hundred ninety-three participants with psychotic disorders were included for the </w:t>
      </w:r>
      <w:sdt>
        <w:sdtPr>
          <w:tag w:val="goog_rdk_64"/>
          <w:id w:val="2118402889"/>
        </w:sdtPr>
        <w:sdtContent/>
      </w:sdt>
      <w:r w:rsidRPr="0097636B">
        <w:rPr>
          <w:rFonts w:ascii="Times New Roman" w:eastAsia="Times New Roman" w:hAnsi="Times New Roman" w:cs="Times New Roman"/>
          <w:sz w:val="24"/>
          <w:szCs w:val="24"/>
        </w:rPr>
        <w:t xml:space="preserve">Biotype </w:t>
      </w:r>
      <w:r w:rsidRPr="0097636B">
        <w:rPr>
          <w:rFonts w:ascii="Times New Roman" w:eastAsia="Times New Roman" w:hAnsi="Times New Roman" w:cs="Times New Roman"/>
          <w:sz w:val="24"/>
          <w:szCs w:val="24"/>
        </w:rPr>
        <w:lastRenderedPageBreak/>
        <w:t xml:space="preserve">between-group analysis in the study (138 Biotype-1, 122 Biotype-2, and 133 Biotype-3). The methods for each task were published using participants from the first iteration of the B-SNIP project (B-SNIP1) and subsequently replicated with the PARDIP and B-SNIP2 sample </w:t>
      </w:r>
      <w:r w:rsidRPr="0097636B">
        <w:rPr>
          <w:rFonts w:ascii="Times New Roman" w:eastAsia="Times New Roman" w:hAnsi="Times New Roman" w:cs="Times New Roman"/>
          <w:sz w:val="24"/>
          <w:szCs w:val="24"/>
        </w:rPr>
        <w:fldChar w:fldCharType="begin" w:fldLock="1"/>
      </w:r>
      <w:r w:rsidRPr="0097636B">
        <w:rPr>
          <w:rFonts w:ascii="Times New Roman" w:eastAsia="Times New Roman" w:hAnsi="Times New Roman" w:cs="Times New Roman"/>
          <w:sz w:val="24"/>
          <w:szCs w:val="24"/>
        </w:rPr>
        <w:instrText>ADDIN CSL_CITATION {"citationItems":[{"id":"ITEM-1","itemData":{"DOI":"10.1093/schbul/sbt132","ISSN":"17451701","PMID":"24080895","abstract":"Background: Elevated antisaccade error rate, reflecting problems with inhibitory behavioral control, is a promising intermediate phenotype for schizophrenia. Here, we consider whether it marks liability across psychotic disorders via common or different neurophysiological mechanisms and whether it represents a neurocognitive risk indicator apart from the generalized cognitive deficit. Methods: Schizophrenia (n = 267), schizoaffective (n = 150), and psychotic bipolar (n = 202) probands, their first-degree relatives (ns = 304, 193, 242, respectively), and healthy controls (n = 244), participating in the Bipolar-Schizophrenia Network on Intermediate Phenotypes consortium, performed antisaccade and prosaccade tasks and completed a neuropsychological battery. Results: Antisaccade error rate was elevated in proband groups with greatest deficit observed in schizophrenia and was unrelated to symptoms and antipsychotic treatment. Increased error rate was also observed among relatives, even those without history of psychosis or psychosis spectrum personality traits. Relatives' deficits were similar across proband diagnoses. Error rate was familial and remained elevated in proband and relative groups after accounting for generalized cognitive impairment. Speed of attentional shifting, indexed by prosaccade latency, was similarly influenced in all groups by manipulations that freed vs increasingly engaged attention systems and was inversely associated with antisaccade error rate in all but schizophrenia probands. Conclusions: These findings indicate that elevated antisaccade error rate represents an intermediate phenotype for psychosis across diagnostic categories, and that it tracks risk beyond that attributable to the generalized cognitive deficit. The greater severity of antisaccade impairment in schizophrenia and its independence from attention shifting processes suggest more severe and specific prefrontal inhibitory control deficits in this disorder. © The Author 2013.","author":[{"dropping-particle":"","family":"Reilly","given":"James L.","non-dropping-particle":"","parse-names":false,"suffix":""},{"dropping-particle":"","family":"Frankovich","given":"Kyle","non-dropping-particle":"","parse-names":false,"suffix":""},{"dropping-particle":"","family":"Hill","given":"Scot","non-dropping-particle":"","parse-names":false,"suffix":""},{"dropping-particle":"","family":"Gershon","given":"Elliot S.","non-dropping-particle":"","parse-names":false,"suffix":""},{"dropping-particle":"","family":"Keefe","given":"Richard S.E.","non-dropping-particle":"","parse-names":false,"suffix":""},{"dropping-particle":"","family":"Keshavan","given":"Matcheri S.","non-dropping-particle":"","parse-names":false,"suffix":""},{"dropping-particle":"","family":"Pearlson","given":"Godfrey D.","non-dropping-particle":"","parse-names":false,"suffix":""},{"dropping-particle":"","family":"Tamminga","given":"Carol A.","non-dropping-particle":"","parse-names":false,"suffix":""},{"dropping-particle":"","family":"Sweeney","given":"John A.","non-dropping-particle":"","parse-names":false,"suffix":""}],"container-title":"Schizophrenia Bulletin","id":"ITEM-1","issue":"5","issued":{"date-parts":[["2014"]]},"page":"1011-1021","title":"Elevated antisaccade error rate as an intermediate phenotype for psychosis across diagnostic categories","type":"article-journal","volume":"40"},"uris":["http://www.mendeley.com/documents/?uuid=4e3b3af9-e853-4fee-93b4-5fe79d23fa2f"]},{"id":"ITEM-2","itemData":{"DOI":"10.1016/j.schres.2014.08.025","ISSN":"15732509","PMID":"25261042","abstract":"Difficulty inhibiting context-inappropriate behavior is a common deficit in psychotic disorders. The diagnostic specificity of this impairment, its familiality, and its degree of independence from the generalized cognitive deficit associated with psychotic disorders remain to be clarified. Schizophrenia, schizoaffective and bipolar patients with history of psychosis (n = 523), their available first-degree biological relatives (n = 656), and healthy participants (n = 223) from the multi-site B-SNIP study completed a manual Stop Signal task. A nonlinear mixed model was used to fit logistic curves to success rates on Stop trials as a function of parametrically varied Stop Signal Delay. While schizophrenia patients had greater generalized cognitive deficit than bipolar patients, their deficits were similar on the Stop Signal task. Further, only bipolar patients showed impaired inhibitory control relative to healthy individuals after controlling for generalized cognitive deficit. Deficits accounted for by the generalized deficit were seen in relatives of schizophrenia and schizoaffective patients, but not in relatives of bipolar patients. In clinically stable patients with psychotic bipolar disorder, impaired inhibitory behavioral control was a specific cognitive impairment, distinct from the generalized neuropsychological impairment associated with psychotic disorders. Thus, in bipolar disorder with psychosis, a deficit in inhibitory control may contribute to risk for impulsive behavior. Because the deficit was not familial in bipolar families and showed a lack of independence from the generalized cognitive deficit in schizophrenia spectrum disorders, it appears to be a trait related to illness processes rather than one tracking familial risk factors.","author":[{"dropping-particle":"","family":"Ethridge","given":"Lauren E.","non-dropping-particle":"","parse-names":false,"suffix":""},{"dropping-particle":"","family":"Soilleux","given":"Melanie","non-dropping-particle":"","parse-names":false,"suffix":""},{"dropping-particle":"","family":"Nakonezny","given":"Paul A.","non-dropping-particle":"","parse-names":false,"suffix":""},{"dropping-particle":"","family":"Reilly","given":"James L.","non-dropping-particle":"","parse-names":false,"suffix":""},{"dropping-particle":"","family":"Kristian Hill","given":"S.","non-dropping-particle":"","parse-names":false,"suffix":""},{"dropping-particle":"","family":"Keefe","given":"Richard S.E.","non-dropping-particle":"","parse-names":false,"suffix":""},{"dropping-particle":"","family":"Gershon","given":"Elliot S.","non-dropping-particle":"","parse-names":false,"suffix":""},{"dropping-particle":"","family":"Pearlson","given":"Godfrey D.","non-dropping-particle":"","parse-names":false,"suffix":""},{"dropping-particle":"","family":"Tamminga","given":"Carol A.","non-dropping-particle":"","parse-names":false,"suffix":""},{"dropping-particle":"","family":"Keshavan","given":"Matcheri S.","non-dropping-particle":"","parse-names":false,"suffix":""},{"dropping-particle":"","family":"Sweeney","given":"John A.","non-dropping-particle":"","parse-names":false,"suffix":""}],"container-title":"Schizophrenia Research","id":"ITEM-2","issue":"2-3","issued":{"date-parts":[["2014"]]},"page":"491-498","title":"Behavioral response inhibition in psychotic disorders: Diagnostic specificity, familiality and relation to generalized cognitive deficit","type":"article-journal","volume":"159"},"uris":["http://www.mendeley.com/documents/?uuid=cd70d51f-dca1-4e67-9ffa-81f5e23dfe2d"]},{"id":"ITEM-3","itemData":{"PMID":"24923619","abstract":"BACKGROUND The investigators compared event-related potential (ERP) amplitudes and event-related oscillations across a broad frequency range during an auditory oddball task using a comprehensive analysis approach to describe shared and unique neural auditory processing characteristics among healthy subjects (HP), schizophrenia probands (SZ) and their first-degree relatives, and bipolar disorder I with psychosis probands (BDP) and their first-degree relatives. METHODS This Bipolar-Schizophrenia Network on Intermediate Phenotypes sample consisted of clinically stable SZ (n = 229) and BDP (n = 188), HP (n = 284), first-degree relatives of schizophrenia probands (n = 264), and first-degree relatives of bipolar disorder I with psychosis probands (n = 239). They were administered an auditory oddball task in the electroencephalography environment. Principal components analysis derived data-driven frequency bands evoked power. Spatial principal components analysis reduced ERP and frequency data to component waveforms for each subject. Clusters of time bins with significant group differences on response magnitude were assessed for proband/relative differences from HP and familiality. RESULTS Nine variables survived a linear discriminant analysis between HP, SZ, and BDP. Of those, two showed evidence (deficit in relatives and familiality) as genetic risk markers more specific to SZ (N1, P3b), one was specific to BDP (P2) and one for psychosis in general (N2). CONCLUSIONS This study supports for both shared and unique deficits in early sensory and late cognitive processing across psychotic diagnostic groups. Additional ERP and time-frequency component alterations (frontal N2/P2, late high, early, mid, and low frequency) may provide insight into deficits in underlying neural architecture and potential protective/compensatory mechanisms in unaffected relatives.","author":[{"dropping-particle":"","family":"Ethridge","given":"Lauren E","non-dropping-particle":"","parse-names":false,"suffix":""},{"dropping-particle":"","family":"Ph","given":"D","non-dropping-particle":"","parse-names":false,"suffix":""},{"dropping-particle":"","family":"Hamm","given":"Jordan P","non-dropping-particle":"","parse-names":false,"suffix":""},{"dropping-particle":"","family":"Pearlson","given":"Godfrey D","non-dropping-particle":"","parse-names":false,"suffix":""},{"dropping-particle":"","family":"Carol","given":"A","non-dropping-particle":"","parse-names":false,"suffix":""},{"dropping-particle":"","family":"Sweeney","given":"John A","non-dropping-particle":"","parse-names":false,"suffix":""},{"dropping-particle":"","family":"Ph","given":"D","non-dropping-particle":"","parse-names":false,"suffix":""},{"dropping-particle":"","family":"Keshavan","given":"Matcheri S","non-dropping-particle":"","parse-names":false,"suffix":""},{"dropping-particle":"","family":"Brett","given":"A","non-dropping-particle":"","parse-names":false,"suffix":""},{"dropping-particle":"","family":"Tamminga","given":"Carol A","non-dropping-particle":"","parse-names":false,"suffix":""},{"dropping-particle":"","family":"Sweeney","given":"John A","non-dropping-particle":"","parse-names":false,"suffix":""},{"dropping-particle":"","family":"Keshavan","given":"Matcheri S","non-dropping-particle":"","parse-names":false,"suffix":""},{"dropping-particle":"","family":"Clementz","given":"Brett A","non-dropping-particle":"","parse-names":false,"suffix":""},{"dropping-particle":"","family":"Ph","given":"D","non-dropping-particle":"","parse-names":false,"suffix":""},{"dropping-particle":"","family":"Hamm","given":"Jordan P","non-dropping-particle":"","parse-names":false,"suffix":""},{"dropping-particle":"","family":"Pearlson","given":"Godfrey D","non-dropping-particle":"","parse-names":false,"suffix":""},{"dropping-particle":"","family":"Carol","given":"A","non-dropping-particle":"","parse-names":false,"suffix":""},{"dropping-particle":"","family":"Sweeney","given":"John A","non-dropping-particle":"","parse-names":false,"suffix":""},{"dropping-particle":"","family":"Ph","given":"D","non-dropping-particle":"","parse-names":false,"suffix":""},{"dropping-particle":"","family":"Keshavan","given":"Matcheri S","non-dropping-particle":"","parse-names":false,"suffix":""},{"dropping-particle":"","family":"Brett","given":"A","non-dropping-particle":"","parse-names":false,"suffix":""}],"container-title":"Biological psychiatry","id":"ITEM-3","issue":"2","issued":{"date-parts":[["2017"]]},"page":"127-136","title":"Event-Related Potential and Time-Frequency Endophenotypes for Schizophrenia and Psychotic Bipolar Disorder","type":"article-journal","volume":"77"},"uris":["http://www.mendeley.com/documents/?uuid=2394987c-b2f7-4374-8949-42918fdcb269"]},{"id":"ITEM-4","itemData":{"DOI":"10.1111/psyp.12185","ISSN":"14698986","PMID":"24660885","abstract":"Disrupted sensory processing is a core feature of psychotic disorders. Auditory paired stimuli (PS) evoke a complex neural response, but it is uncertain which aspects reflect shared and/or distinct liability for the most common severe psychoses, schizophrenia (SZ) and psychotic bipolar disorder (BDP). Evoked time-voltage/time-frequency domain responses quantified with EEG during a typical PS paradigm (S1-S2) were compared among proband groups (SZ [n=232], BDP [181]), their relatives (SZrel [259], BDPrel [220]), and healthy participants (H [228]). Early S1-evoked responses were reduced in SZ and BDP, while later/S2 abnormalities showed SZ/SZrel and BDP/BDPrel specificity. Relatives' effects were absent/small despite significant familiality of the entire auditorineural response. This pattern suggests general and divergent biological pathways associated with psychosis, yet may reflect complications with conditioning solely on clinical phenomenology. © 2014 Society for Psychophysiological Research.","author":[{"dropping-particle":"","family":"Hamm","given":"Jordan P.","non-dropping-particle":"","parse-names":false,"suffix":""},{"dropping-particle":"","family":"Ethridge","given":"Lauren E.","non-dropping-particle":"","parse-names":false,"suffix":""},{"dropping-particle":"","family":"Boutros","given":"Nashaat N.","non-dropping-particle":"","parse-names":false,"suffix":""},{"dropping-particle":"","family":"Keshavan","given":"Matcheri S.","non-dropping-particle":"","parse-names":false,"suffix":""},{"dropping-particle":"","family":"Sweeney","given":"John A.","non-dropping-particle":"","parse-names":false,"suffix":""},{"dropping-particle":"","family":"Pearlson","given":"Godfrey D.","non-dropping-particle":"","parse-names":false,"suffix":""},{"dropping-particle":"","family":"Tamminga","given":"Carol A.","non-dropping-particle":"","parse-names":false,"suffix":""},{"dropping-particle":"","family":"Clementz","given":"Brett A.","non-dropping-particle":"","parse-names":false,"suffix":""}],"container-title":"Psychophysiology","id":"ITEM-4","issue":"4","issued":{"date-parts":[["2014"]]},"page":"348-357","title":"Diagnostic specificity and familiality of early versus late evoked potentials to auditory paired stimuli across the schizophrenia-bipolar psychosis spectrum","type":"article-journal","volume":"51"},"uris":["http://www.mendeley.com/documents/?uuid=f64450e2-756e-4af7-bd9a-eff475c1478d"]},{"id":"ITEM-5","itemData":{"DOI":"10.1016/j.schres.2020.06.033","ISSN":"15732509","PMID":"32674921","abstract":"Background: Deficits in inhibitory control on a Stop Signal Task (SST) were previously observed to be of similar magnitude across schizophrenia, schizoaffective, and bipolar disorder with psychosis, despite variation in general cognitive ability. Understanding different patterns of performance on the SST may elucidate different pathways to the impaired inhibitory control each group displayed. Comparing nonpsychotic bipolar disorder to the psychosis groups on SST may also expand our understanding of the shared neurobiology of this illness spectrum. Methods: We tested schizophrenia (n = 220), schizoaffective (n = 216), bipolar disorder with (n = 192) and without psychosis (n = 67), and 280 healthy comparison participants with a SST and the Brief Assessment of Cognition in Schizophrenia (BACS), a measure of general cognitive ability. Results: All patient groups had a similar degree of impaired inhibitory control over prepotent responses. However, bipolar groups differed from schizophrenia and schizoaffective groups in showing speeded responses and inhibition errors that were not accounted for by general cognitive ability. Schizophrenia and schizoaffective groups had a broader set of deficits on inhibition and greater general cognitive deficit, which fully accounted for the inhibition deficits. No differences were found between the clinically well-matched bipolar with and without psychosis groups, including for inhibitory control or general cognitive ability. Conclusions: We conclude that 1) while impaired inhibitory control on a SST is of similar magnitude across the schizo-bipolar spectrum, including nonpsychotic bipolar, different mechanisms may underlie the impairments, and 2) history of psychosis in bipolar disorder does not differentially impact inhibitory behavioral control or general cognitive abilities.","author":[{"dropping-particle":"","family":"Gotra","given":"Milena Y.","non-dropping-particle":"","parse-names":false,"suffix":""},{"dropping-particle":"","family":"Hill","given":"Scot K.","non-dropping-particle":"","parse-names":false,"suffix":""},{"dropping-particle":"","family":"Gershon","given":"Elliot S.","non-dropping-particle":"","parse-names":false,"suffix":""},{"dropping-particle":"","family":"Tamminga","given":"Carol A.","non-dropping-particle":"","parse-names":false,"suffix":""},{"dropping-particle":"","family":"Ivleva","given":"Elena I.","non-dropping-particle":"","parse-names":false,"suffix":""},{"dropping-particle":"","family":"Pearlson","given":"Godfrey D.","non-dropping-particle":"","parse-names":false,"suffix":""},{"dropping-particle":"","family":"Keshavan","given":"Matcheri S.","non-dropping-particle":"","parse-names":false,"suffix":""},{"dropping-particle":"","family":"Clementz","given":"Brett A.","non-dropping-particle":"","parse-names":false,"suffix":""},{"dropping-particle":"","family":"McDowell","given":"Jennifer E.","non-dropping-particle":"","parse-names":false,"suffix":""},{"dropping-particle":"","family":"Buckley","given":"Peter F.","non-dropping-particle":"","parse-names":false,"suffix":""},{"dropping-particle":"","family":"Sweeney","given":"John A.","non-dropping-particle":"","parse-names":false,"suffix":""},{"dropping-particle":"","family":"Keedy","given":"Sarah K.","non-dropping-particle":"","parse-names":false,"suffix":""}],"container-title":"Schizophrenia Research","id":"ITEM-5","issued":{"date-parts":[["2020"]]},"page":"148-157","title":"Distinguishing patterns of impairment on inhibitory control and general cognitive ability among bipolar with and without psychosis, schizophrenia, and schizoaffective disorder","type":"article-journal","volume":"223"},"uris":["http://www.mendeley.com/documents/?uuid=18f5c91d-7967-45ab-8798-8859450ded7d"]},{"id":"ITEM-6","itemData":{"DOI":"10.1017/S003329172000478X","ISSN":"14698978","PMID":"33622437","abstract":"Background. Antisaccade tasks can be used to index cognitive control processes, e.g. attention, behavioral inhibition, working memory, and goal maintenance in people with brain disorders. Though diagnoses of schizophrenia (SZ), schizoaffective (SAD), and bipolar I with psychosis (BDP) are typically considered to be distinct entities, previous work shows patterns of cognitive deficits differing in degree, rather than in kind, across these syndromes. Methods. Large samples of individuals with psychotic disorders were recruited through the Bipolar-Schizophrenia Network on Intermediate Phenotypes 2 (B-SNIP2) study. Anti- and pro-saccade task performances were evaluated in 189 people with SZ, 185 people with SAD, 96 people with BDP, and 279 healthy comparison participants. Logistic functions were fitted to each group's antisaccade speed-performance tradeoff patterns. Results. Psychosis groups had higher antisaccade error rates than the healthy group, with SZ and SAD participants committing 2 times as many errors, and BDP participants committing 1.5 times as many errors. Latencies on correctly performed antisaccade trials in SZ and SAD were longer than in healthy participants, although error trial latencies were preserved. Parameters of speed-performance tradeoff functions indicated that compared to the healthy group, SZ and SAD groups had optimal performance characterized by more errors, as well as less benefit from prolonged response latencies. Prosaccade metrics did not differ between groups. Conclusions. With basic prosaccade mechanisms intact, the higher speed-performance tradeoff cost for antisaccade performance in psychosis cases indicates a deficit that is specific to the higher-order cognitive aspects of saccade generation.","author":[{"dropping-particle":"","family":"Huang","given":"Ling Yu","non-dropping-particle":"","parse-names":false,"suffix":""},{"dropping-particle":"","family":"Jackson","given":"Brooke S.","non-dropping-particle":"","parse-names":false,"suffix":""},{"dropping-particle":"","family":"Rodrigue","given":"Amanda L.","non-dropping-particle":"","parse-names":false,"suffix":""},{"dropping-particle":"","family":"Tamminga","given":"Carol A.","non-dropping-particle":"","parse-names":false,"suffix":""},{"dropping-particle":"","family":"Gershon","given":"Elliot S.","non-dropping-particle":"","parse-names":false,"suffix":""},{"dropping-particle":"","family":"Pearlson","given":"Godfrey D.","non-dropping-particle":"","parse-names":false,"suffix":""},{"dropping-particle":"","family":"Keshavan","given":"Matcheri S.","non-dropping-particle":"","parse-names":false,"suffix":""},{"dropping-particle":"","family":"Keedy","given":"Sarah S.","non-dropping-particle":"","parse-names":false,"suffix":""},{"dropping-particle":"","family":"Kristian Hill","given":"S.","non-dropping-particle":"","parse-names":false,"suffix":""},{"dropping-particle":"","family":"Sweeney","given":"John A.","non-dropping-particle":"","parse-names":false,"suffix":""},{"dropping-particle":"","family":"Clementz","given":"Brett A.","non-dropping-particle":"","parse-names":false,"suffix":""},{"dropping-particle":"","family":"McDowell","given":"Jennifer E.","non-dropping-particle":"","parse-names":false,"suffix":""}],"container-title":"Psychological Medicine","id":"ITEM-6","issue":"13","issued":{"date-parts":[["2022"]]},"page":"2692-2701","title":"Antisaccade error rates and gap effects in psychosis syndromes from bipolar-schizophrenia network for intermediate phenotypes 2 (B-SNIP2)","type":"article-journal","volume":"52"},"uris":["http://www.mendeley.com/documents/?uuid=d7f52f8e-6050-4072-adc5-6f42c610cfb4"]},{"id":"ITEM-7","itemData":{"DOI":"10.1016/j.bionps.2020.100014","ISSN":"26661446","abstract":"Background: EEG responses during auditory paired-stimuli paradigms are putative biomarkers of psychosis syndromes. The initial iteration of the Bipolar-Schizophrenia Network on Intermediate Phenotypes (B-SNIP1) showed unique and common patterns of abnormalities across schizophrenia (SZ), schizoaffective disorder (SAD), and bipolar disorder with psychosis (BDP). This study replicates those findings in new and large samples of psychosis cases and extends them to an important comparison group, bipolar disorder without psychosis (BDNP). Methods: Paired stimuli responses from 64-sensor EEG recording were compared across psychosis (n = 597; SZ = 225, SAD = 201, BDP = 171), BDNP (n = 66), and healthy (n = 415) subjects from the second iteration of B-SNIP. EEG activity was analyzed in voltage and in the time-frequency domain. Principal component analysis (PCA) over sensors (sPCA) was used to efficiently capture EEG voltage responses to the paired stimuli. Evoked power was calculated via a Morlet wavelet procedure. A frequency PCA divided evoked power data into three frequency bands: Low (4−17 Hz), Beta (18−32 Hz), and Gamma (33−55 Hz). Each time-course (ERP Voltage, Low, Beta, and Gamma) were then segmented into 20 ms bins and analyzed for group differences. To efficiently summarize the multiple EEG components that best captured group differences we used multivariate discriminant and correlational analyses. This approach yields a reduced set of measures that may be useful in subsequent biomarker investigations. Results: Group ANOVAs identified 17 time-ranges that showed significant group differences (p &lt;.05 after FDR correction), constructively replicating B-SNIP1 findings. Multivariate linear discriminant analysis parsimoniously selected variables that best accounted for group differences: The P50 response to S1 and S2 uniquely separated BDNP from healthy and psychosis subjects (BDNP &gt; all other groups); the S1 N100 response separated groups along an axis of psychopathology severity (HC &gt; BDNP &gt; BDP &gt; SAD &gt; SZ); the S1 P200 response indexed psychosis psychopathology (HC/BDNP &gt; SAD/SZ/BDP); and the preparatory period to the S2 stimulus separated SZ from other groups (SZ &gt; SAD/BDP&gt;HC/BDNP). Canonical correlation identified an association between the neural responses during the S1 N100, S1 N200 and S2 preparatory period and PANSS positive symptoms and social functioning. The neural responses during the S1 P50 and S1 N100 were associated with PANSS Negative/Genera…","author":[{"dropping-particle":"","family":"Parker","given":"David A.","non-dropping-particle":"","parse-names":false,"suffix":""},{"dropping-particle":"","family":"Trotti","given":"Rebekah L.","non-dropping-particle":"","parse-names":false,"suffix":""},{"dropping-particle":"","family":"McDowell","given":"Jennifer E.","non-dropping-particle":"","parse-names":false,"suffix":""},{"dropping-particle":"","family":"Keedy","given":"Sarah K.","non-dropping-particle":"","parse-names":false,"suffix":""},{"dropping-particle":"","family":"Gershon","given":"Elliot S.","non-dropping-particle":"","parse-names":false,"suffix":""},{"dropping-particle":"","family":"Ivleva","given":"Elena I.","non-dropping-particle":"","parse-names":false,"suffix":""},{"dropping-particle":"","family":"Pearlson","given":"Godfrey D.","non-dropping-particle":"","parse-names":false,"suffix":""},{"dropping-particle":"","family":"Keshavan","given":"Matcheri S.","non-dropping-particle":"","parse-names":false,"suffix":""},{"dropping-particle":"","family":"Tamminga","given":"Carol A.","non-dropping-particle":"","parse-names":false,"suffix":""},{"dropping-particle":"","family":"Sweeney","given":"John A.","non-dropping-particle":"","parse-names":false,"suffix":""},{"dropping-particle":"","family":"Clementz","given":"Brett A.","non-dropping-particle":"","parse-names":false,"suffix":""}],"container-title":"Biomarkers in Neuropsychiatry","id":"ITEM-7","issued":{"date-parts":[["2020"]]},"title":"Auditory paired-stimuli responses across the psychosis and bipolar spectrum and their relationship to clinical features","type":"article-journal","volume":"3"},"uris":["http://www.mendeley.com/documents/?uuid=61f83016-d82c-407f-a007-c9e16110f5c6"]},{"id":"ITEM-8","itemData":{"DOI":"10.1176/appi.ajp.2021.20071043","ISSN":"15357228","PMID":"34407624","abstract":"OBJECTIVE: Neural activations during auditory oddball tasks may be endophenotypes for psychosis and bipolar disorder. The authors investigated oddball neural deviations that discriminate multiple diagnostic groups across the schizophrenia-bipolar spectrum (schizophrenia, schizoaffective disorder, psychotic bipolar disorder, and nonpsychotic bipolar disorder) and clarified their relationship to clinical and cognitive features. METHODS: Auditory oddball responses to standard and target tones from 64 sensor EEG recordings were compared across patients with psychosis (total N=597; schizophrenia, N=225; schizoaffective disorder, N=201; bipolar disorder with psychosis, N=171), patients with bipolar disorder without psychosis (N=66), and healthy comparison subjects (N=415) from the second iteration of the Bipolar-Schizophrenia Network for Intermediate Phenotypes (B-SNIP2) study. EEG activity was analyzed in voltage and in the time-frequency domain (low, beta, and gamma bands). Event-related potentials (ERPs) were compared with those from an independent sample collected during the first iteration of B-SNIP (B-SNIP1; healthy subjects, N=211; psychosis group, N=526) to establish the repeatability of complex oddball ERPs across multiple psychosis syndromes (r values &gt;0.94 between B-SNIP1 and B-SNIP2). RESULTS: Twenty-six EEG features differentiated the groups; they were used in discriminant and correlational analyses. EEG variables from the N100, P300, and low-frequency ranges separated the groups along a diagnostic continuum from healthy to bipolar disorder with psychosis/bipolar disorder without psychosis to schizoaffective disorder/schizophrenia and were strongly related to general cognitive function (r=0.91). P50 responses to standard trials and early beta/gamma frequency responses separated the bipolar disorder without psychosis group from the bipolar disorder with psychosis group. P200, N200, and late beta/gamma frequency responses separated the two bipolar disorder groups from the other groups. CONCLUSIONS: Neural deviations during auditory processing are related to psychosis history and bipolar disorder. There is a powerful transdiagnostic relationship between severity of these neural deviations and general cognitive performance. These results have implications for understanding the neurobiology of clinical syndromes across the schizophrenia-bipolar spectrum that may have an impact on future biomarker research.","author":[{"dropping-particle":"","family":"Parker","given":"David A.","non-dropping-particle":"","parse-names":false,"suffix":""},{"dropping-particle":"","family":"Trotti","given":"Rebekah L.","non-dropping-particle":"","parse-names":false,"suffix":""},{"dropping-particle":"","family":"McDowell","given":"Jennifer E.","non-dropping-particle":"","parse-names":false,"suffix":""},{"dropping-particle":"","family":"Keedy","given":"Sarah K.","non-dropping-particle":"","parse-names":false,"suffix":""},{"dropping-particle":"","family":"Hill","given":"S. Kristian","non-dropping-particle":"","parse-names":false,"suffix":""},{"dropping-particle":"","family":"Gershon","given":"Elliot S.","non-dropping-particle":"","parse-names":false,"suffix":""},{"dropping-particle":"","family":"Ivleva","given":"Elena I.","non-dropping-particle":"","parse-names":false,"suffix":""},{"dropping-particle":"","family":"Pearlson","given":"Godfrey D.","non-dropping-particle":"","parse-names":false,"suffix":""},{"dropping-particle":"","family":"Keshavan","given":"Matcheri S.","non-dropping-particle":"","parse-names":false,"suffix":""},{"dropping-particle":"","family":"Tamminga","given":"Carol A.","non-dropping-particle":"","parse-names":false,"suffix":""},{"dropping-particle":"","family":"Clementz","given":"Brett A.","non-dropping-particle":"","parse-names":false,"suffix":""}],"container-title":"The American journal of psychiatry","id":"ITEM-8","issue":"10","issued":{"date-parts":[["2021"]]},"page":"952-964","title":"Auditory Oddball Responses Across the Schizophrenia-Bipolar Spectrum and Their Relationship to Cognitive and Clinical Features","type":"article-journal","volume":"178"},"uris":["http://www.mendeley.com/documents/?uuid=270c80da-e802-4e80-85e7-e596cb6b48eb"]},{"id":"ITEM-9","itemData":{"DOI":"10.1176/appi.ajp.2015.14091200","ISSN":"15357228","PMID":"26651391","abstract":"Objective: Clinical phenomenology remains the primary means for classifyingpsychosesdespiteconsiderableevidence that this method incompletely captures biologically meaningful differentiations.Rather than relying onclinical diagnoses as the gold standard, this project drew on neurobiological heterogeneity among psychosis cases to delineate subgroups independent of their phenomenological manifestations. Method: A large biomarker panel (neuropsychological, stop signal, saccadic control, and auditory stimulation paradigms) characterizing diverse aspects of brain functionwascollected on individuals with schizophrenia, schizoaffective disorder, and bipolar disorder with psychosis (N=711), their first-degree relatives (N=883), and demographically comparable healthy subjects (N=278). Biomarker variance across paradigms was exploited to create nine integrated variables that were used to capture neurobiological varianceamongthe psychosis cases. Data on external validating measures (social functioning, structural magnetic resonance imaging, family biomarkers, and clinical information) were collected. Results: Multivariate taxometric analyses identified three neurobiologically distinct psychosis biotypes that did not respect clinical diagnosis boundaries. The same analysis procedure using clinical DSM diagnoses as the criteria was best described by a single severity continuum (schizophrenia worse than schizoaffective disorder worse than bipolar psychosis); this was not the case for biotypes. The external validating measures supported the distinctiveness of these subgroups compared with clinical diagnosis, highlighting a possible advantage of neurobiological versus clinical categorization schemesfor differentiatingpsychotic disorders. Conclusions: These data illustrate how multiple pathways may lead to clinically similar psychosis manifestations, and they provide explanations for the marked heterogeneity observed across laboratories on the same biomarker variables when DSM diagnoses are used as the gold standard.","author":[{"dropping-particle":"","family":"Clementz","given":"Brett A.","non-dropping-particle":"","parse-names":false,"suffix":""},{"dropping-particle":"","family":"Sweeney","given":"John A.","non-dropping-particle":"","parse-names":false,"suffix":""},{"dropping-particle":"","family":"Hamm","given":"Jordan P.","non-dropping-particle":"","parse-names":false,"suffix":""},{"dropping-particle":"","family":"Ivleva","given":"Elena I.","non-dropping-particle":"","parse-names":false,"suffix":""},{"dropping-particle":"","family":"Ethridge","given":"Lauren E.","non-dropping-particle":"","parse-names":false,"suffix":""},{"dropping-particle":"","family":"Pearlson","given":"Godfrey D.","non-dropping-particle":"","parse-names":false,"suffix":""},{"dropping-particle":"","family":"Keshavan","given":"Matcheri S.","non-dropping-particle":"","parse-names":false,"suffix":""},{"dropping-particle":"","family":"Tamminga","given":"Carol A.","non-dropping-particle":"","parse-names":false,"suffix":""}],"container-title":"American Journal of Psychiatry","id":"ITEM-9","issue":"4","issued":{"date-parts":[["2016"]]},"page":"373-384","title":"Identification of distinct psychosis biotypes using brain-based biomarkers","type":"article-journal","volume":"173"},"uris":["http://www.mendeley.com/documents/?uuid=0c37ee0d-bfbe-449f-97e6-d30fef8e0ad6"]},{"id":"ITEM-10","itemData":{"author":[{"dropping-particle":"","family":"Hill","given":"S Kristian","non-dropping-particle":"","parse-names":false,"suffix":""},{"dropping-particle":"","family":"Ph","given":"D","non-dropping-particle":"","parse-names":false,"suffix":""},{"dropping-particle":"","family":"Reilly","given":"James L","non-dropping-particle":"","parse-names":false,"suffix":""},{"dropping-particle":"","family":"Ph","given":"D","non-dropping-particle":"","parse-names":false,"suffix":""},{"dropping-particle":"","family":"Keefe","given":"Richard S E","non-dropping-particle":"","parse-names":false,"suffix":""},{"dropping-particle":"","family":"Ph","given":"D","non-dropping-particle":"","parse-names":false,"suffix":""},{"dropping-particle":"","family":"Gold","given":"James M","non-dropping-particle":"","parse-names":false,"suffix":""},{"dropping-particle":"","family":"Ph","given":"D","non-dropping-particle":"","parse-names":false,"suffix":""},{"dropping-particle":"","family":"Bishop","given":"Jeffrey R","non-dropping-particle":"","parse-names":false,"suffix":""},{"dropping-particle":"","family":"Pharm","given":"D","non-dropping-particle":"","parse-names":false,"suffix":""},{"dropping-particle":"","family":"Gershon","given":"Elliot S","non-dropping-particle":"","parse-names":false,"suffix":""},{"dropping-particle":"","family":"Tamminga","given":"Carol A","non-dropping-particle":"","parse-names":false,"suffix":""},{"dropping-particle":"","family":"Pearlson","given":"Godfrey D","non-dropping-particle":"","parse-names":false,"suffix":""},{"dropping-particle":"","family":"Sweeney","given":"John A","non-dropping-particle":"","parse-names":false,"suffix":""},{"dropping-particle":"","family":"Ph","given":"D","non-dropping-particle":"","parse-names":false,"suffix":""}],"container-title":"American Journal of Psychiatry","id":"ITEM-10","issue":"November","issued":{"date-parts":[["2013"]]},"page":"1275-1284","title":"Neuropsychological Impairments in Schizophrenia and Psychotic Bipolar Disorder: Findings from the Bipolar-Schizophrenia Network on Intermediate Phenotypes (B-SNIP) Study","type":"article-journal","volume":"170"},"uris":["http://www.mendeley.com/documents/?uuid=cf9be556-a155-4cbc-8161-dda5800808d4"]}],"mendeley":{"formattedCitation":"(Clementz et al., 2016; Ethridge et al., 2017, 2014; Gotra et al., 2020; Hamm et al., 2014; S Kristian Hill et al., 2013; Huang et al., 2022; Parker et al., 2020, 2021; Reilly et al., 2014)","plainTextFormattedCitation":"(Clementz et al., 2016; Ethridge et al., 2017, 2014; Gotra et al., 2020; Hamm et al., 2014; S Kristian Hill et al., 2013; Huang et al., 2022; Parker et al., 2020, 2021; Reilly et al., 2014)","previouslyFormattedCitation":"(Clementz et al., 2016; Ethridge et al., 2017, 2014; Gotra et al., 2020; Hamm et al., 2014; S Kristian Hill et al., 2013; Huang et al., 2022; Parker et al., 2020, 2021; Reilly et al., 2014)"},"properties":{"noteIndex":0},"schema":"https://github.com/citation-style-language/schema/raw/master/csl-citation.json"}</w:instrText>
      </w:r>
      <w:r w:rsidRPr="0097636B">
        <w:rPr>
          <w:rFonts w:ascii="Times New Roman" w:eastAsia="Times New Roman" w:hAnsi="Times New Roman" w:cs="Times New Roman"/>
          <w:sz w:val="24"/>
          <w:szCs w:val="24"/>
        </w:rPr>
        <w:fldChar w:fldCharType="separate"/>
      </w:r>
      <w:r w:rsidRPr="0097636B">
        <w:rPr>
          <w:rFonts w:ascii="Times New Roman" w:eastAsia="Times New Roman" w:hAnsi="Times New Roman" w:cs="Times New Roman"/>
          <w:noProof/>
          <w:sz w:val="24"/>
          <w:szCs w:val="24"/>
        </w:rPr>
        <w:t>(Clementz et al., 2016; Ethridge et al., 2017, 2014; Gotra et al., 2020; Hamm et al., 2014; S Kristian Hill et al., 2013; Huang et al., 2022; Parker et al., 2020, 2021; Reilly et al., 2014)</w:t>
      </w:r>
      <w:r w:rsidRPr="0097636B">
        <w:rPr>
          <w:rFonts w:ascii="Times New Roman" w:eastAsia="Times New Roman" w:hAnsi="Times New Roman" w:cs="Times New Roman"/>
          <w:sz w:val="24"/>
          <w:szCs w:val="24"/>
        </w:rPr>
        <w:fldChar w:fldCharType="end"/>
      </w:r>
      <w:r w:rsidRPr="0097636B">
        <w:rPr>
          <w:rFonts w:ascii="Times New Roman" w:eastAsia="Times New Roman" w:hAnsi="Times New Roman" w:cs="Times New Roman"/>
          <w:sz w:val="24"/>
          <w:szCs w:val="24"/>
        </w:rPr>
        <w:t>. Within each task, a principal components analysis was conducted based on the full combined sample (healthy and psychosis). The resulting components were referred to as "Biofactors" since they captured multiple aspects of neuro-cognition and psychophysiological responses.</w:t>
      </w:r>
    </w:p>
    <w:p w14:paraId="21B7370C" w14:textId="02C38EB7" w:rsidR="00BB200C" w:rsidRPr="00BB200C" w:rsidRDefault="005C23E8" w:rsidP="00BB200C">
      <w:pPr>
        <w:pBdr>
          <w:top w:val="none" w:sz="0" w:space="0" w:color="D9D9E3"/>
          <w:left w:val="none" w:sz="0" w:space="0" w:color="D9D9E3"/>
          <w:bottom w:val="none" w:sz="0" w:space="0" w:color="D9D9E3"/>
          <w:right w:val="none" w:sz="0" w:space="0" w:color="D9D9E3"/>
          <w:between w:val="none" w:sz="0" w:space="0" w:color="D9D9E3"/>
        </w:pBdr>
        <w:spacing w:after="300" w:line="480" w:lineRule="auto"/>
        <w:ind w:firstLine="720"/>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After examining the data, outliers were winsorized to -4 to 4 z-scores to avoid skewing a clustering solution. Then, data from participants with psychosis was standardized and submitted to a k-means clustering algorithm. GAP statistics and other clustering validation tools were used to verify that a 3 cluster solution was optimal. This analysis was performed on both B-SNIP1 subjects (n=711) and B-SNIP2 subjects (n=714), with a cross-validation of 88-89% in each sample, indicating a robust replication in independently collected samples.</w:t>
      </w:r>
    </w:p>
    <w:p w14:paraId="69F052FD" w14:textId="77777777" w:rsidR="00BB200C" w:rsidRDefault="00BB200C" w:rsidP="005C23E8">
      <w:pPr>
        <w:spacing w:line="480" w:lineRule="auto"/>
        <w:jc w:val="both"/>
        <w:rPr>
          <w:rFonts w:ascii="Times New Roman" w:eastAsia="Times New Roman" w:hAnsi="Times New Roman" w:cs="Times New Roman"/>
          <w:i/>
          <w:sz w:val="24"/>
          <w:szCs w:val="24"/>
        </w:rPr>
      </w:pPr>
    </w:p>
    <w:p w14:paraId="4FA11B15" w14:textId="77777777" w:rsidR="00BB200C" w:rsidRDefault="00BB200C" w:rsidP="005C23E8">
      <w:pPr>
        <w:spacing w:line="480" w:lineRule="auto"/>
        <w:jc w:val="both"/>
        <w:rPr>
          <w:rFonts w:ascii="Times New Roman" w:eastAsia="Times New Roman" w:hAnsi="Times New Roman" w:cs="Times New Roman"/>
          <w:i/>
          <w:sz w:val="24"/>
          <w:szCs w:val="24"/>
        </w:rPr>
      </w:pPr>
    </w:p>
    <w:p w14:paraId="6CB9B1CE" w14:textId="77777777" w:rsidR="00BB200C" w:rsidRDefault="00BB200C" w:rsidP="005C23E8">
      <w:pPr>
        <w:spacing w:line="480" w:lineRule="auto"/>
        <w:jc w:val="both"/>
        <w:rPr>
          <w:rFonts w:ascii="Times New Roman" w:eastAsia="Times New Roman" w:hAnsi="Times New Roman" w:cs="Times New Roman"/>
          <w:i/>
          <w:sz w:val="24"/>
          <w:szCs w:val="24"/>
        </w:rPr>
      </w:pPr>
    </w:p>
    <w:p w14:paraId="7EA02F42" w14:textId="77777777" w:rsidR="00BB200C" w:rsidRDefault="00BB200C" w:rsidP="005C23E8">
      <w:pPr>
        <w:spacing w:line="480" w:lineRule="auto"/>
        <w:jc w:val="both"/>
        <w:rPr>
          <w:rFonts w:ascii="Times New Roman" w:eastAsia="Times New Roman" w:hAnsi="Times New Roman" w:cs="Times New Roman"/>
          <w:i/>
          <w:sz w:val="24"/>
          <w:szCs w:val="24"/>
        </w:rPr>
      </w:pPr>
    </w:p>
    <w:p w14:paraId="19833C90" w14:textId="77777777" w:rsidR="00BB200C" w:rsidRDefault="00BB200C" w:rsidP="005C23E8">
      <w:pPr>
        <w:spacing w:line="480" w:lineRule="auto"/>
        <w:jc w:val="both"/>
        <w:rPr>
          <w:rFonts w:ascii="Times New Roman" w:eastAsia="Times New Roman" w:hAnsi="Times New Roman" w:cs="Times New Roman"/>
          <w:i/>
          <w:sz w:val="24"/>
          <w:szCs w:val="24"/>
        </w:rPr>
      </w:pPr>
    </w:p>
    <w:p w14:paraId="407B7025" w14:textId="77777777" w:rsidR="00BB200C" w:rsidRDefault="00BB200C" w:rsidP="005C23E8">
      <w:pPr>
        <w:spacing w:line="480" w:lineRule="auto"/>
        <w:jc w:val="both"/>
        <w:rPr>
          <w:rFonts w:ascii="Times New Roman" w:eastAsia="Times New Roman" w:hAnsi="Times New Roman" w:cs="Times New Roman"/>
          <w:i/>
          <w:sz w:val="24"/>
          <w:szCs w:val="24"/>
        </w:rPr>
      </w:pPr>
    </w:p>
    <w:p w14:paraId="7D87A686" w14:textId="77777777" w:rsidR="00BB200C" w:rsidRDefault="00BB200C" w:rsidP="005C23E8">
      <w:pPr>
        <w:spacing w:line="480" w:lineRule="auto"/>
        <w:jc w:val="both"/>
        <w:rPr>
          <w:rFonts w:ascii="Times New Roman" w:eastAsia="Times New Roman" w:hAnsi="Times New Roman" w:cs="Times New Roman"/>
          <w:i/>
          <w:sz w:val="24"/>
          <w:szCs w:val="24"/>
        </w:rPr>
      </w:pPr>
    </w:p>
    <w:p w14:paraId="6E7C66F2" w14:textId="77777777" w:rsidR="00BB200C" w:rsidRDefault="00BB200C" w:rsidP="005C23E8">
      <w:pPr>
        <w:spacing w:line="480" w:lineRule="auto"/>
        <w:jc w:val="both"/>
        <w:rPr>
          <w:rFonts w:ascii="Times New Roman" w:eastAsia="Times New Roman" w:hAnsi="Times New Roman" w:cs="Times New Roman"/>
          <w:i/>
          <w:sz w:val="24"/>
          <w:szCs w:val="24"/>
        </w:rPr>
      </w:pPr>
    </w:p>
    <w:p w14:paraId="7C59C29B" w14:textId="77777777" w:rsidR="00BB200C" w:rsidRDefault="00BB200C" w:rsidP="005C23E8">
      <w:pPr>
        <w:spacing w:line="480" w:lineRule="auto"/>
        <w:jc w:val="both"/>
        <w:rPr>
          <w:rFonts w:ascii="Times New Roman" w:eastAsia="Times New Roman" w:hAnsi="Times New Roman" w:cs="Times New Roman"/>
          <w:i/>
          <w:sz w:val="24"/>
          <w:szCs w:val="24"/>
        </w:rPr>
      </w:pPr>
    </w:p>
    <w:p w14:paraId="6C9712DE" w14:textId="35864D8C" w:rsidR="005C23E8" w:rsidRPr="0097636B" w:rsidRDefault="005C23E8" w:rsidP="005C23E8">
      <w:pPr>
        <w:spacing w:line="480" w:lineRule="auto"/>
        <w:jc w:val="both"/>
        <w:rPr>
          <w:rFonts w:ascii="Times New Roman" w:eastAsia="Times New Roman" w:hAnsi="Times New Roman" w:cs="Times New Roman"/>
          <w:i/>
          <w:sz w:val="24"/>
          <w:szCs w:val="24"/>
        </w:rPr>
      </w:pPr>
      <w:r w:rsidRPr="0097636B">
        <w:rPr>
          <w:rFonts w:ascii="Times New Roman" w:eastAsia="Times New Roman" w:hAnsi="Times New Roman" w:cs="Times New Roman"/>
          <w:i/>
          <w:sz w:val="24"/>
          <w:szCs w:val="24"/>
        </w:rPr>
        <w:lastRenderedPageBreak/>
        <w:t>Biotypes results</w:t>
      </w:r>
    </w:p>
    <w:p w14:paraId="7ABBCF26" w14:textId="77777777" w:rsidR="005C23E8" w:rsidRPr="0097636B" w:rsidRDefault="005C23E8" w:rsidP="005C23E8">
      <w:pPr>
        <w:spacing w:line="480" w:lineRule="auto"/>
        <w:jc w:val="both"/>
        <w:rPr>
          <w:rFonts w:eastAsia="Times New Roman"/>
          <w:b/>
          <w:iCs/>
          <w:sz w:val="16"/>
          <w:szCs w:val="16"/>
        </w:rPr>
      </w:pPr>
      <w:r w:rsidRPr="0097636B">
        <w:rPr>
          <w:rFonts w:eastAsia="Times New Roman"/>
          <w:b/>
          <w:iCs/>
          <w:sz w:val="16"/>
          <w:szCs w:val="16"/>
        </w:rPr>
        <w:t xml:space="preserve">Supplementary Table 1. </w:t>
      </w:r>
      <w:r w:rsidRPr="0097636B">
        <w:rPr>
          <w:rFonts w:eastAsia="Times New Roman"/>
          <w:bCs/>
          <w:i/>
          <w:sz w:val="16"/>
          <w:szCs w:val="16"/>
        </w:rPr>
        <w:t>Biotype groups demographic and clinical data</w:t>
      </w:r>
    </w:p>
    <w:tbl>
      <w:tblPr>
        <w:tblW w:w="9375" w:type="dxa"/>
        <w:tblBorders>
          <w:top w:val="nil"/>
          <w:left w:val="nil"/>
          <w:bottom w:val="nil"/>
          <w:right w:val="nil"/>
          <w:insideH w:val="nil"/>
          <w:insideV w:val="nil"/>
        </w:tblBorders>
        <w:tblLayout w:type="fixed"/>
        <w:tblLook w:val="0600" w:firstRow="0" w:lastRow="0" w:firstColumn="0" w:lastColumn="0" w:noHBand="1" w:noVBand="1"/>
      </w:tblPr>
      <w:tblGrid>
        <w:gridCol w:w="1965"/>
        <w:gridCol w:w="1710"/>
        <w:gridCol w:w="1800"/>
        <w:gridCol w:w="1590"/>
        <w:gridCol w:w="1440"/>
        <w:gridCol w:w="870"/>
      </w:tblGrid>
      <w:tr w:rsidR="005C23E8" w:rsidRPr="0097636B" w14:paraId="26E7220B" w14:textId="77777777" w:rsidTr="00AA657C">
        <w:trPr>
          <w:trHeight w:val="27"/>
        </w:trPr>
        <w:tc>
          <w:tcPr>
            <w:tcW w:w="1965" w:type="dxa"/>
            <w:tcBorders>
              <w:bottom w:val="single" w:sz="8" w:space="0" w:color="000000"/>
            </w:tcBorders>
            <w:tcMar>
              <w:top w:w="100" w:type="dxa"/>
              <w:left w:w="80" w:type="dxa"/>
              <w:bottom w:w="100" w:type="dxa"/>
              <w:right w:w="80" w:type="dxa"/>
            </w:tcMar>
            <w:vAlign w:val="bottom"/>
          </w:tcPr>
          <w:p w14:paraId="1206D26E" w14:textId="77777777" w:rsidR="005C23E8" w:rsidRPr="0097636B" w:rsidRDefault="005C23E8" w:rsidP="00AA657C">
            <w:pPr>
              <w:jc w:val="both"/>
              <w:rPr>
                <w:rFonts w:ascii="Times New Roman" w:eastAsia="Times New Roman" w:hAnsi="Times New Roman" w:cs="Times New Roman"/>
                <w:sz w:val="24"/>
                <w:szCs w:val="24"/>
              </w:rPr>
            </w:pPr>
          </w:p>
        </w:tc>
        <w:tc>
          <w:tcPr>
            <w:tcW w:w="1710" w:type="dxa"/>
            <w:tcBorders>
              <w:bottom w:val="single" w:sz="8" w:space="0" w:color="000000"/>
            </w:tcBorders>
            <w:tcMar>
              <w:top w:w="100" w:type="dxa"/>
              <w:left w:w="80" w:type="dxa"/>
              <w:bottom w:w="100" w:type="dxa"/>
              <w:right w:w="80" w:type="dxa"/>
            </w:tcMar>
            <w:vAlign w:val="bottom"/>
          </w:tcPr>
          <w:p w14:paraId="2AC36F8C"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Biotype 1</w:t>
            </w:r>
          </w:p>
        </w:tc>
        <w:tc>
          <w:tcPr>
            <w:tcW w:w="1800" w:type="dxa"/>
            <w:tcBorders>
              <w:bottom w:val="single" w:sz="8" w:space="0" w:color="000000"/>
            </w:tcBorders>
            <w:tcMar>
              <w:top w:w="100" w:type="dxa"/>
              <w:left w:w="80" w:type="dxa"/>
              <w:bottom w:w="100" w:type="dxa"/>
              <w:right w:w="80" w:type="dxa"/>
            </w:tcMar>
            <w:vAlign w:val="bottom"/>
          </w:tcPr>
          <w:p w14:paraId="269B206F"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Biotype 2</w:t>
            </w:r>
          </w:p>
        </w:tc>
        <w:tc>
          <w:tcPr>
            <w:tcW w:w="1590" w:type="dxa"/>
            <w:tcBorders>
              <w:bottom w:val="single" w:sz="8" w:space="0" w:color="000000"/>
            </w:tcBorders>
            <w:tcMar>
              <w:top w:w="100" w:type="dxa"/>
              <w:left w:w="80" w:type="dxa"/>
              <w:bottom w:w="100" w:type="dxa"/>
              <w:right w:w="80" w:type="dxa"/>
            </w:tcMar>
            <w:vAlign w:val="bottom"/>
          </w:tcPr>
          <w:p w14:paraId="2837FC3F"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Biotype 3</w:t>
            </w:r>
          </w:p>
        </w:tc>
        <w:tc>
          <w:tcPr>
            <w:tcW w:w="1440" w:type="dxa"/>
            <w:tcBorders>
              <w:bottom w:val="single" w:sz="8" w:space="0" w:color="000000"/>
            </w:tcBorders>
            <w:tcMar>
              <w:top w:w="100" w:type="dxa"/>
              <w:left w:w="80" w:type="dxa"/>
              <w:bottom w:w="100" w:type="dxa"/>
              <w:right w:w="80" w:type="dxa"/>
            </w:tcMar>
            <w:vAlign w:val="bottom"/>
          </w:tcPr>
          <w:p w14:paraId="06D4C007"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Healthy controls</w:t>
            </w:r>
          </w:p>
        </w:tc>
        <w:tc>
          <w:tcPr>
            <w:tcW w:w="870" w:type="dxa"/>
            <w:tcBorders>
              <w:bottom w:val="single" w:sz="8" w:space="0" w:color="000000"/>
            </w:tcBorders>
            <w:tcMar>
              <w:top w:w="100" w:type="dxa"/>
              <w:left w:w="80" w:type="dxa"/>
              <w:bottom w:w="100" w:type="dxa"/>
              <w:right w:w="80" w:type="dxa"/>
            </w:tcMar>
            <w:vAlign w:val="bottom"/>
          </w:tcPr>
          <w:p w14:paraId="2AD7766E"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i/>
                <w:sz w:val="24"/>
                <w:szCs w:val="24"/>
              </w:rPr>
              <w:t>p</w:t>
            </w:r>
            <w:r w:rsidRPr="0097636B">
              <w:rPr>
                <w:rFonts w:ascii="Times New Roman" w:eastAsia="Times New Roman" w:hAnsi="Times New Roman" w:cs="Times New Roman"/>
                <w:sz w:val="24"/>
                <w:szCs w:val="24"/>
              </w:rPr>
              <w:t>-value</w:t>
            </w:r>
          </w:p>
        </w:tc>
      </w:tr>
      <w:tr w:rsidR="005C23E8" w:rsidRPr="0097636B" w14:paraId="7E6D6D39" w14:textId="77777777" w:rsidTr="00AA657C">
        <w:trPr>
          <w:trHeight w:val="27"/>
        </w:trPr>
        <w:tc>
          <w:tcPr>
            <w:tcW w:w="1965" w:type="dxa"/>
            <w:tcBorders>
              <w:bottom w:val="single" w:sz="8" w:space="0" w:color="000000"/>
            </w:tcBorders>
            <w:tcMar>
              <w:top w:w="100" w:type="dxa"/>
              <w:left w:w="80" w:type="dxa"/>
              <w:bottom w:w="100" w:type="dxa"/>
              <w:right w:w="80" w:type="dxa"/>
            </w:tcMar>
            <w:vAlign w:val="bottom"/>
          </w:tcPr>
          <w:p w14:paraId="0C11CFCC"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Total (n)</w:t>
            </w:r>
          </w:p>
        </w:tc>
        <w:tc>
          <w:tcPr>
            <w:tcW w:w="1710" w:type="dxa"/>
            <w:tcBorders>
              <w:top w:val="single" w:sz="8" w:space="0" w:color="000000"/>
              <w:bottom w:val="single" w:sz="8" w:space="0" w:color="000000"/>
            </w:tcBorders>
            <w:tcMar>
              <w:top w:w="20" w:type="dxa"/>
              <w:left w:w="20" w:type="dxa"/>
              <w:bottom w:w="100" w:type="dxa"/>
              <w:right w:w="20" w:type="dxa"/>
            </w:tcMar>
            <w:vAlign w:val="bottom"/>
          </w:tcPr>
          <w:p w14:paraId="225D89BF"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138</w:t>
            </w:r>
          </w:p>
        </w:tc>
        <w:tc>
          <w:tcPr>
            <w:tcW w:w="1800" w:type="dxa"/>
            <w:tcBorders>
              <w:top w:val="single" w:sz="8" w:space="0" w:color="000000"/>
              <w:bottom w:val="single" w:sz="8" w:space="0" w:color="000000"/>
            </w:tcBorders>
            <w:tcMar>
              <w:top w:w="20" w:type="dxa"/>
              <w:left w:w="20" w:type="dxa"/>
              <w:bottom w:w="100" w:type="dxa"/>
              <w:right w:w="20" w:type="dxa"/>
            </w:tcMar>
            <w:vAlign w:val="bottom"/>
          </w:tcPr>
          <w:p w14:paraId="797A268C"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122</w:t>
            </w:r>
          </w:p>
        </w:tc>
        <w:tc>
          <w:tcPr>
            <w:tcW w:w="1590" w:type="dxa"/>
            <w:tcBorders>
              <w:top w:val="single" w:sz="8" w:space="0" w:color="000000"/>
              <w:bottom w:val="single" w:sz="8" w:space="0" w:color="000000"/>
            </w:tcBorders>
            <w:tcMar>
              <w:top w:w="20" w:type="dxa"/>
              <w:left w:w="20" w:type="dxa"/>
              <w:bottom w:w="100" w:type="dxa"/>
              <w:right w:w="20" w:type="dxa"/>
            </w:tcMar>
            <w:vAlign w:val="bottom"/>
          </w:tcPr>
          <w:p w14:paraId="5E25B19C"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133</w:t>
            </w:r>
          </w:p>
        </w:tc>
        <w:tc>
          <w:tcPr>
            <w:tcW w:w="1440" w:type="dxa"/>
            <w:tcBorders>
              <w:bottom w:val="single" w:sz="8" w:space="0" w:color="000000"/>
            </w:tcBorders>
            <w:tcMar>
              <w:top w:w="100" w:type="dxa"/>
              <w:left w:w="80" w:type="dxa"/>
              <w:bottom w:w="100" w:type="dxa"/>
              <w:right w:w="80" w:type="dxa"/>
            </w:tcMar>
            <w:vAlign w:val="bottom"/>
          </w:tcPr>
          <w:p w14:paraId="671B851C"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296</w:t>
            </w:r>
          </w:p>
        </w:tc>
        <w:tc>
          <w:tcPr>
            <w:tcW w:w="870" w:type="dxa"/>
            <w:tcBorders>
              <w:bottom w:val="single" w:sz="8" w:space="0" w:color="000000"/>
            </w:tcBorders>
            <w:tcMar>
              <w:top w:w="100" w:type="dxa"/>
              <w:left w:w="80" w:type="dxa"/>
              <w:bottom w:w="100" w:type="dxa"/>
              <w:right w:w="80" w:type="dxa"/>
            </w:tcMar>
            <w:vAlign w:val="bottom"/>
          </w:tcPr>
          <w:p w14:paraId="25CE8267"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w:t>
            </w:r>
          </w:p>
        </w:tc>
      </w:tr>
      <w:tr w:rsidR="005C23E8" w:rsidRPr="0097636B" w14:paraId="036CB86E" w14:textId="77777777" w:rsidTr="00AA657C">
        <w:trPr>
          <w:trHeight w:val="27"/>
        </w:trPr>
        <w:tc>
          <w:tcPr>
            <w:tcW w:w="1965" w:type="dxa"/>
            <w:tcBorders>
              <w:bottom w:val="single" w:sz="8" w:space="0" w:color="000000"/>
            </w:tcBorders>
            <w:tcMar>
              <w:top w:w="100" w:type="dxa"/>
              <w:left w:w="80" w:type="dxa"/>
              <w:bottom w:w="100" w:type="dxa"/>
              <w:right w:w="80" w:type="dxa"/>
            </w:tcMar>
            <w:vAlign w:val="bottom"/>
          </w:tcPr>
          <w:p w14:paraId="470432AC"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Age (mean (SD))</w:t>
            </w:r>
          </w:p>
        </w:tc>
        <w:tc>
          <w:tcPr>
            <w:tcW w:w="1710" w:type="dxa"/>
            <w:tcBorders>
              <w:top w:val="single" w:sz="8" w:space="0" w:color="000000"/>
              <w:bottom w:val="single" w:sz="8" w:space="0" w:color="000000"/>
            </w:tcBorders>
            <w:tcMar>
              <w:top w:w="20" w:type="dxa"/>
              <w:left w:w="20" w:type="dxa"/>
              <w:bottom w:w="100" w:type="dxa"/>
              <w:right w:w="20" w:type="dxa"/>
            </w:tcMar>
            <w:vAlign w:val="bottom"/>
          </w:tcPr>
          <w:p w14:paraId="0718B9D8"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36.59 (12.39)</w:t>
            </w:r>
          </w:p>
        </w:tc>
        <w:tc>
          <w:tcPr>
            <w:tcW w:w="1800" w:type="dxa"/>
            <w:tcBorders>
              <w:top w:val="single" w:sz="8" w:space="0" w:color="000000"/>
              <w:bottom w:val="single" w:sz="8" w:space="0" w:color="000000"/>
            </w:tcBorders>
            <w:tcMar>
              <w:top w:w="20" w:type="dxa"/>
              <w:left w:w="20" w:type="dxa"/>
              <w:bottom w:w="100" w:type="dxa"/>
              <w:right w:w="20" w:type="dxa"/>
            </w:tcMar>
            <w:vAlign w:val="bottom"/>
          </w:tcPr>
          <w:p w14:paraId="5A9E4046"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34.37 (12.65)</w:t>
            </w:r>
          </w:p>
        </w:tc>
        <w:tc>
          <w:tcPr>
            <w:tcW w:w="1590" w:type="dxa"/>
            <w:tcBorders>
              <w:top w:val="single" w:sz="8" w:space="0" w:color="000000"/>
              <w:bottom w:val="single" w:sz="8" w:space="0" w:color="000000"/>
            </w:tcBorders>
            <w:tcMar>
              <w:top w:w="20" w:type="dxa"/>
              <w:left w:w="20" w:type="dxa"/>
              <w:bottom w:w="100" w:type="dxa"/>
              <w:right w:w="20" w:type="dxa"/>
            </w:tcMar>
            <w:vAlign w:val="bottom"/>
          </w:tcPr>
          <w:p w14:paraId="0414AF1A"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32.54 (11.34)</w:t>
            </w:r>
          </w:p>
        </w:tc>
        <w:tc>
          <w:tcPr>
            <w:tcW w:w="1440" w:type="dxa"/>
            <w:tcBorders>
              <w:top w:val="single" w:sz="8" w:space="0" w:color="000000"/>
              <w:bottom w:val="single" w:sz="8" w:space="0" w:color="000000"/>
            </w:tcBorders>
            <w:tcMar>
              <w:top w:w="20" w:type="dxa"/>
              <w:left w:w="20" w:type="dxa"/>
              <w:bottom w:w="100" w:type="dxa"/>
              <w:right w:w="20" w:type="dxa"/>
            </w:tcMar>
            <w:vAlign w:val="bottom"/>
          </w:tcPr>
          <w:p w14:paraId="288E1A9D"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35.98 (12.25)</w:t>
            </w:r>
          </w:p>
        </w:tc>
        <w:tc>
          <w:tcPr>
            <w:tcW w:w="870" w:type="dxa"/>
            <w:tcBorders>
              <w:top w:val="single" w:sz="8" w:space="0" w:color="000000"/>
              <w:bottom w:val="single" w:sz="8" w:space="0" w:color="000000"/>
            </w:tcBorders>
            <w:tcMar>
              <w:top w:w="20" w:type="dxa"/>
              <w:left w:w="20" w:type="dxa"/>
              <w:bottom w:w="100" w:type="dxa"/>
              <w:right w:w="20" w:type="dxa"/>
            </w:tcMar>
            <w:vAlign w:val="bottom"/>
          </w:tcPr>
          <w:p w14:paraId="6E9FCC47"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0.020</w:t>
            </w:r>
          </w:p>
        </w:tc>
      </w:tr>
      <w:tr w:rsidR="005C23E8" w:rsidRPr="0097636B" w14:paraId="6DDA7415" w14:textId="77777777" w:rsidTr="00AA657C">
        <w:trPr>
          <w:trHeight w:val="27"/>
        </w:trPr>
        <w:tc>
          <w:tcPr>
            <w:tcW w:w="1965" w:type="dxa"/>
            <w:tcBorders>
              <w:bottom w:val="single" w:sz="8" w:space="0" w:color="000000"/>
            </w:tcBorders>
            <w:tcMar>
              <w:top w:w="100" w:type="dxa"/>
              <w:left w:w="80" w:type="dxa"/>
              <w:bottom w:w="100" w:type="dxa"/>
              <w:right w:w="80" w:type="dxa"/>
            </w:tcMar>
            <w:vAlign w:val="bottom"/>
          </w:tcPr>
          <w:p w14:paraId="7CEC1884"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Sex F (n (%))</w:t>
            </w:r>
          </w:p>
        </w:tc>
        <w:tc>
          <w:tcPr>
            <w:tcW w:w="1710" w:type="dxa"/>
            <w:tcBorders>
              <w:top w:val="single" w:sz="8" w:space="0" w:color="000000"/>
              <w:bottom w:val="single" w:sz="8" w:space="0" w:color="000000"/>
            </w:tcBorders>
            <w:tcMar>
              <w:top w:w="20" w:type="dxa"/>
              <w:left w:w="20" w:type="dxa"/>
              <w:bottom w:w="100" w:type="dxa"/>
              <w:right w:w="20" w:type="dxa"/>
            </w:tcMar>
            <w:vAlign w:val="bottom"/>
          </w:tcPr>
          <w:p w14:paraId="087587E0"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70 (50.7) </w:t>
            </w:r>
          </w:p>
        </w:tc>
        <w:tc>
          <w:tcPr>
            <w:tcW w:w="1800" w:type="dxa"/>
            <w:tcBorders>
              <w:top w:val="single" w:sz="8" w:space="0" w:color="000000"/>
              <w:bottom w:val="single" w:sz="8" w:space="0" w:color="000000"/>
            </w:tcBorders>
            <w:tcMar>
              <w:top w:w="20" w:type="dxa"/>
              <w:left w:w="20" w:type="dxa"/>
              <w:bottom w:w="100" w:type="dxa"/>
              <w:right w:w="20" w:type="dxa"/>
            </w:tcMar>
            <w:vAlign w:val="bottom"/>
          </w:tcPr>
          <w:p w14:paraId="1FEA6309"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62 (50.8) </w:t>
            </w:r>
          </w:p>
        </w:tc>
        <w:tc>
          <w:tcPr>
            <w:tcW w:w="1590" w:type="dxa"/>
            <w:tcBorders>
              <w:top w:val="single" w:sz="8" w:space="0" w:color="000000"/>
              <w:bottom w:val="single" w:sz="8" w:space="0" w:color="000000"/>
            </w:tcBorders>
            <w:tcMar>
              <w:top w:w="20" w:type="dxa"/>
              <w:left w:w="20" w:type="dxa"/>
              <w:bottom w:w="100" w:type="dxa"/>
              <w:right w:w="20" w:type="dxa"/>
            </w:tcMar>
            <w:vAlign w:val="bottom"/>
          </w:tcPr>
          <w:p w14:paraId="7DE60EC2"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63 (47.4) </w:t>
            </w:r>
          </w:p>
        </w:tc>
        <w:tc>
          <w:tcPr>
            <w:tcW w:w="1440" w:type="dxa"/>
            <w:tcBorders>
              <w:top w:val="single" w:sz="8" w:space="0" w:color="000000"/>
              <w:bottom w:val="single" w:sz="8" w:space="0" w:color="000000"/>
            </w:tcBorders>
            <w:tcMar>
              <w:top w:w="20" w:type="dxa"/>
              <w:left w:w="20" w:type="dxa"/>
              <w:bottom w:w="100" w:type="dxa"/>
              <w:right w:w="20" w:type="dxa"/>
            </w:tcMar>
            <w:vAlign w:val="bottom"/>
          </w:tcPr>
          <w:p w14:paraId="7DD1150B"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168 (56.9) </w:t>
            </w:r>
          </w:p>
        </w:tc>
        <w:tc>
          <w:tcPr>
            <w:tcW w:w="870" w:type="dxa"/>
            <w:tcBorders>
              <w:top w:val="single" w:sz="8" w:space="0" w:color="000000"/>
              <w:bottom w:val="single" w:sz="8" w:space="0" w:color="000000"/>
            </w:tcBorders>
            <w:tcMar>
              <w:top w:w="20" w:type="dxa"/>
              <w:left w:w="20" w:type="dxa"/>
              <w:bottom w:w="100" w:type="dxa"/>
              <w:right w:w="20" w:type="dxa"/>
            </w:tcMar>
            <w:vAlign w:val="bottom"/>
          </w:tcPr>
          <w:p w14:paraId="59214ED7"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0.257</w:t>
            </w:r>
          </w:p>
        </w:tc>
      </w:tr>
      <w:tr w:rsidR="005C23E8" w:rsidRPr="0097636B" w14:paraId="047AA72C" w14:textId="77777777" w:rsidTr="00AA657C">
        <w:trPr>
          <w:trHeight w:val="306"/>
        </w:trPr>
        <w:tc>
          <w:tcPr>
            <w:tcW w:w="1965" w:type="dxa"/>
            <w:tcMar>
              <w:top w:w="100" w:type="dxa"/>
              <w:left w:w="80" w:type="dxa"/>
              <w:bottom w:w="100" w:type="dxa"/>
              <w:right w:w="80" w:type="dxa"/>
            </w:tcMar>
            <w:vAlign w:val="bottom"/>
          </w:tcPr>
          <w:p w14:paraId="70A42BA2"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Race (n(%))</w:t>
            </w:r>
          </w:p>
        </w:tc>
        <w:tc>
          <w:tcPr>
            <w:tcW w:w="1710" w:type="dxa"/>
            <w:tcMar>
              <w:top w:w="100" w:type="dxa"/>
              <w:left w:w="80" w:type="dxa"/>
              <w:bottom w:w="100" w:type="dxa"/>
              <w:right w:w="80" w:type="dxa"/>
            </w:tcMar>
            <w:vAlign w:val="bottom"/>
          </w:tcPr>
          <w:p w14:paraId="652AD62B"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w:t>
            </w:r>
          </w:p>
        </w:tc>
        <w:tc>
          <w:tcPr>
            <w:tcW w:w="1800" w:type="dxa"/>
            <w:tcMar>
              <w:top w:w="100" w:type="dxa"/>
              <w:left w:w="80" w:type="dxa"/>
              <w:bottom w:w="100" w:type="dxa"/>
              <w:right w:w="80" w:type="dxa"/>
            </w:tcMar>
            <w:vAlign w:val="bottom"/>
          </w:tcPr>
          <w:p w14:paraId="37671440"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w:t>
            </w:r>
          </w:p>
        </w:tc>
        <w:tc>
          <w:tcPr>
            <w:tcW w:w="1590" w:type="dxa"/>
            <w:tcMar>
              <w:top w:w="100" w:type="dxa"/>
              <w:left w:w="80" w:type="dxa"/>
              <w:bottom w:w="100" w:type="dxa"/>
              <w:right w:w="80" w:type="dxa"/>
            </w:tcMar>
            <w:vAlign w:val="bottom"/>
          </w:tcPr>
          <w:p w14:paraId="0880B2EB"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w:t>
            </w:r>
          </w:p>
        </w:tc>
        <w:tc>
          <w:tcPr>
            <w:tcW w:w="1440" w:type="dxa"/>
            <w:tcMar>
              <w:top w:w="100" w:type="dxa"/>
              <w:left w:w="80" w:type="dxa"/>
              <w:bottom w:w="100" w:type="dxa"/>
              <w:right w:w="80" w:type="dxa"/>
            </w:tcMar>
            <w:vAlign w:val="bottom"/>
          </w:tcPr>
          <w:p w14:paraId="4C5CA8C7"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w:t>
            </w:r>
          </w:p>
        </w:tc>
        <w:tc>
          <w:tcPr>
            <w:tcW w:w="870" w:type="dxa"/>
            <w:tcMar>
              <w:top w:w="100" w:type="dxa"/>
              <w:left w:w="80" w:type="dxa"/>
              <w:bottom w:w="100" w:type="dxa"/>
              <w:right w:w="80" w:type="dxa"/>
            </w:tcMar>
            <w:vAlign w:val="bottom"/>
          </w:tcPr>
          <w:p w14:paraId="19C3B81B"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&lt;.001</w:t>
            </w:r>
          </w:p>
        </w:tc>
      </w:tr>
      <w:tr w:rsidR="005C23E8" w:rsidRPr="0097636B" w14:paraId="151678AB" w14:textId="77777777" w:rsidTr="00AA657C">
        <w:trPr>
          <w:trHeight w:val="27"/>
        </w:trPr>
        <w:tc>
          <w:tcPr>
            <w:tcW w:w="1965" w:type="dxa"/>
            <w:tcMar>
              <w:top w:w="100" w:type="dxa"/>
              <w:left w:w="80" w:type="dxa"/>
              <w:bottom w:w="100" w:type="dxa"/>
              <w:right w:w="80" w:type="dxa"/>
            </w:tcMar>
            <w:vAlign w:val="bottom"/>
          </w:tcPr>
          <w:p w14:paraId="706C01C6"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AA</w:t>
            </w:r>
          </w:p>
        </w:tc>
        <w:tc>
          <w:tcPr>
            <w:tcW w:w="1710" w:type="dxa"/>
            <w:tcMar>
              <w:top w:w="20" w:type="dxa"/>
              <w:left w:w="20" w:type="dxa"/>
              <w:bottom w:w="100" w:type="dxa"/>
              <w:right w:w="20" w:type="dxa"/>
            </w:tcMar>
            <w:vAlign w:val="bottom"/>
          </w:tcPr>
          <w:p w14:paraId="7A8CEB02"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70 (50.7) </w:t>
            </w:r>
          </w:p>
        </w:tc>
        <w:tc>
          <w:tcPr>
            <w:tcW w:w="1800" w:type="dxa"/>
            <w:tcMar>
              <w:top w:w="20" w:type="dxa"/>
              <w:left w:w="20" w:type="dxa"/>
              <w:bottom w:w="100" w:type="dxa"/>
              <w:right w:w="20" w:type="dxa"/>
            </w:tcMar>
            <w:vAlign w:val="bottom"/>
          </w:tcPr>
          <w:p w14:paraId="0B20A317"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43 (35.2) </w:t>
            </w:r>
          </w:p>
        </w:tc>
        <w:tc>
          <w:tcPr>
            <w:tcW w:w="1590" w:type="dxa"/>
            <w:tcMar>
              <w:top w:w="20" w:type="dxa"/>
              <w:left w:w="20" w:type="dxa"/>
              <w:bottom w:w="100" w:type="dxa"/>
              <w:right w:w="20" w:type="dxa"/>
            </w:tcMar>
            <w:vAlign w:val="bottom"/>
          </w:tcPr>
          <w:p w14:paraId="7E1D6A77"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16 (12.0) </w:t>
            </w:r>
          </w:p>
        </w:tc>
        <w:tc>
          <w:tcPr>
            <w:tcW w:w="1440" w:type="dxa"/>
            <w:tcMar>
              <w:top w:w="20" w:type="dxa"/>
              <w:left w:w="20" w:type="dxa"/>
              <w:bottom w:w="100" w:type="dxa"/>
              <w:right w:w="20" w:type="dxa"/>
            </w:tcMar>
            <w:vAlign w:val="bottom"/>
          </w:tcPr>
          <w:p w14:paraId="498A5183"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80 (27.1) </w:t>
            </w:r>
          </w:p>
        </w:tc>
        <w:tc>
          <w:tcPr>
            <w:tcW w:w="870" w:type="dxa"/>
            <w:tcMar>
              <w:top w:w="100" w:type="dxa"/>
              <w:left w:w="80" w:type="dxa"/>
              <w:bottom w:w="100" w:type="dxa"/>
              <w:right w:w="80" w:type="dxa"/>
            </w:tcMar>
            <w:vAlign w:val="bottom"/>
          </w:tcPr>
          <w:p w14:paraId="5A65F936" w14:textId="77777777" w:rsidR="005C23E8" w:rsidRPr="0097636B" w:rsidRDefault="005C23E8" w:rsidP="00AA657C">
            <w:pPr>
              <w:rPr>
                <w:rFonts w:ascii="Times New Roman" w:eastAsia="Times New Roman" w:hAnsi="Times New Roman" w:cs="Times New Roman"/>
                <w:sz w:val="24"/>
                <w:szCs w:val="24"/>
              </w:rPr>
            </w:pPr>
          </w:p>
        </w:tc>
      </w:tr>
      <w:tr w:rsidR="005C23E8" w:rsidRPr="0097636B" w14:paraId="35C5D452" w14:textId="77777777" w:rsidTr="00AA657C">
        <w:trPr>
          <w:trHeight w:val="27"/>
        </w:trPr>
        <w:tc>
          <w:tcPr>
            <w:tcW w:w="1965" w:type="dxa"/>
            <w:tcMar>
              <w:top w:w="100" w:type="dxa"/>
              <w:left w:w="80" w:type="dxa"/>
              <w:bottom w:w="100" w:type="dxa"/>
              <w:right w:w="80" w:type="dxa"/>
            </w:tcMar>
            <w:vAlign w:val="bottom"/>
          </w:tcPr>
          <w:p w14:paraId="1A1FE8C1"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AE</w:t>
            </w:r>
          </w:p>
        </w:tc>
        <w:tc>
          <w:tcPr>
            <w:tcW w:w="1710" w:type="dxa"/>
            <w:tcMar>
              <w:top w:w="20" w:type="dxa"/>
              <w:left w:w="20" w:type="dxa"/>
              <w:bottom w:w="100" w:type="dxa"/>
              <w:right w:w="20" w:type="dxa"/>
            </w:tcMar>
            <w:vAlign w:val="bottom"/>
          </w:tcPr>
          <w:p w14:paraId="5530E32B"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1 ( 0.7) </w:t>
            </w:r>
          </w:p>
        </w:tc>
        <w:tc>
          <w:tcPr>
            <w:tcW w:w="1800" w:type="dxa"/>
            <w:tcMar>
              <w:top w:w="20" w:type="dxa"/>
              <w:left w:w="20" w:type="dxa"/>
              <w:bottom w:w="100" w:type="dxa"/>
              <w:right w:w="20" w:type="dxa"/>
            </w:tcMar>
            <w:vAlign w:val="bottom"/>
          </w:tcPr>
          <w:p w14:paraId="4F87C528"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0 ( 0.0) </w:t>
            </w:r>
          </w:p>
        </w:tc>
        <w:tc>
          <w:tcPr>
            <w:tcW w:w="1590" w:type="dxa"/>
            <w:tcMar>
              <w:top w:w="20" w:type="dxa"/>
              <w:left w:w="20" w:type="dxa"/>
              <w:bottom w:w="100" w:type="dxa"/>
              <w:right w:w="20" w:type="dxa"/>
            </w:tcMar>
            <w:vAlign w:val="bottom"/>
          </w:tcPr>
          <w:p w14:paraId="26A375E3"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0 ( 0.0) </w:t>
            </w:r>
          </w:p>
        </w:tc>
        <w:tc>
          <w:tcPr>
            <w:tcW w:w="1440" w:type="dxa"/>
            <w:tcMar>
              <w:top w:w="20" w:type="dxa"/>
              <w:left w:w="20" w:type="dxa"/>
              <w:bottom w:w="100" w:type="dxa"/>
              <w:right w:w="20" w:type="dxa"/>
            </w:tcMar>
            <w:vAlign w:val="bottom"/>
          </w:tcPr>
          <w:p w14:paraId="67EE3D96"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1 ( 0.3) </w:t>
            </w:r>
          </w:p>
        </w:tc>
        <w:tc>
          <w:tcPr>
            <w:tcW w:w="870" w:type="dxa"/>
            <w:tcMar>
              <w:top w:w="100" w:type="dxa"/>
              <w:left w:w="80" w:type="dxa"/>
              <w:bottom w:w="100" w:type="dxa"/>
              <w:right w:w="80" w:type="dxa"/>
            </w:tcMar>
            <w:vAlign w:val="bottom"/>
          </w:tcPr>
          <w:p w14:paraId="39BD7F35" w14:textId="77777777" w:rsidR="005C23E8" w:rsidRPr="0097636B" w:rsidRDefault="005C23E8" w:rsidP="00AA657C">
            <w:pPr>
              <w:rPr>
                <w:rFonts w:ascii="Times New Roman" w:eastAsia="Times New Roman" w:hAnsi="Times New Roman" w:cs="Times New Roman"/>
                <w:sz w:val="24"/>
                <w:szCs w:val="24"/>
              </w:rPr>
            </w:pPr>
          </w:p>
        </w:tc>
      </w:tr>
      <w:tr w:rsidR="005C23E8" w:rsidRPr="0097636B" w14:paraId="3E4175CA" w14:textId="77777777" w:rsidTr="00AA657C">
        <w:trPr>
          <w:trHeight w:val="27"/>
        </w:trPr>
        <w:tc>
          <w:tcPr>
            <w:tcW w:w="1965" w:type="dxa"/>
            <w:tcMar>
              <w:top w:w="100" w:type="dxa"/>
              <w:left w:w="80" w:type="dxa"/>
              <w:bottom w:w="100" w:type="dxa"/>
              <w:right w:w="80" w:type="dxa"/>
            </w:tcMar>
            <w:vAlign w:val="bottom"/>
          </w:tcPr>
          <w:p w14:paraId="016F0CE2"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AS</w:t>
            </w:r>
          </w:p>
        </w:tc>
        <w:tc>
          <w:tcPr>
            <w:tcW w:w="1710" w:type="dxa"/>
            <w:tcMar>
              <w:top w:w="20" w:type="dxa"/>
              <w:left w:w="20" w:type="dxa"/>
              <w:bottom w:w="100" w:type="dxa"/>
              <w:right w:w="20" w:type="dxa"/>
            </w:tcMar>
            <w:vAlign w:val="bottom"/>
          </w:tcPr>
          <w:p w14:paraId="1C4DEB55"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1 ( 0.7) </w:t>
            </w:r>
          </w:p>
        </w:tc>
        <w:tc>
          <w:tcPr>
            <w:tcW w:w="1800" w:type="dxa"/>
            <w:tcMar>
              <w:top w:w="20" w:type="dxa"/>
              <w:left w:w="20" w:type="dxa"/>
              <w:bottom w:w="100" w:type="dxa"/>
              <w:right w:w="20" w:type="dxa"/>
            </w:tcMar>
            <w:vAlign w:val="bottom"/>
          </w:tcPr>
          <w:p w14:paraId="7449DC51"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2 ( 1.6) </w:t>
            </w:r>
          </w:p>
        </w:tc>
        <w:tc>
          <w:tcPr>
            <w:tcW w:w="1590" w:type="dxa"/>
            <w:tcMar>
              <w:top w:w="20" w:type="dxa"/>
              <w:left w:w="20" w:type="dxa"/>
              <w:bottom w:w="100" w:type="dxa"/>
              <w:right w:w="20" w:type="dxa"/>
            </w:tcMar>
            <w:vAlign w:val="bottom"/>
          </w:tcPr>
          <w:p w14:paraId="5095FCDC"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3 ( 2.3) </w:t>
            </w:r>
          </w:p>
        </w:tc>
        <w:tc>
          <w:tcPr>
            <w:tcW w:w="1440" w:type="dxa"/>
            <w:tcMar>
              <w:top w:w="20" w:type="dxa"/>
              <w:left w:w="20" w:type="dxa"/>
              <w:bottom w:w="100" w:type="dxa"/>
              <w:right w:w="20" w:type="dxa"/>
            </w:tcMar>
            <w:vAlign w:val="bottom"/>
          </w:tcPr>
          <w:p w14:paraId="251255AC"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14 ( 4.7) </w:t>
            </w:r>
          </w:p>
        </w:tc>
        <w:tc>
          <w:tcPr>
            <w:tcW w:w="870" w:type="dxa"/>
            <w:tcMar>
              <w:top w:w="100" w:type="dxa"/>
              <w:left w:w="80" w:type="dxa"/>
              <w:bottom w:w="100" w:type="dxa"/>
              <w:right w:w="80" w:type="dxa"/>
            </w:tcMar>
            <w:vAlign w:val="bottom"/>
          </w:tcPr>
          <w:p w14:paraId="4B6D617A" w14:textId="77777777" w:rsidR="005C23E8" w:rsidRPr="0097636B" w:rsidRDefault="005C23E8" w:rsidP="00AA657C">
            <w:pPr>
              <w:rPr>
                <w:rFonts w:ascii="Times New Roman" w:eastAsia="Times New Roman" w:hAnsi="Times New Roman" w:cs="Times New Roman"/>
                <w:sz w:val="24"/>
                <w:szCs w:val="24"/>
              </w:rPr>
            </w:pPr>
          </w:p>
        </w:tc>
      </w:tr>
      <w:tr w:rsidR="005C23E8" w:rsidRPr="0097636B" w14:paraId="5A4978EA" w14:textId="77777777" w:rsidTr="00AA657C">
        <w:trPr>
          <w:trHeight w:val="27"/>
        </w:trPr>
        <w:tc>
          <w:tcPr>
            <w:tcW w:w="1965" w:type="dxa"/>
            <w:tcMar>
              <w:top w:w="100" w:type="dxa"/>
              <w:left w:w="80" w:type="dxa"/>
              <w:bottom w:w="100" w:type="dxa"/>
              <w:right w:w="80" w:type="dxa"/>
            </w:tcMar>
            <w:vAlign w:val="bottom"/>
          </w:tcPr>
          <w:p w14:paraId="70509282"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CA</w:t>
            </w:r>
          </w:p>
        </w:tc>
        <w:tc>
          <w:tcPr>
            <w:tcW w:w="1710" w:type="dxa"/>
            <w:tcMar>
              <w:top w:w="20" w:type="dxa"/>
              <w:left w:w="20" w:type="dxa"/>
              <w:bottom w:w="100" w:type="dxa"/>
              <w:right w:w="20" w:type="dxa"/>
            </w:tcMar>
            <w:vAlign w:val="bottom"/>
          </w:tcPr>
          <w:p w14:paraId="5E11740B"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61 (44.2) </w:t>
            </w:r>
          </w:p>
        </w:tc>
        <w:tc>
          <w:tcPr>
            <w:tcW w:w="1800" w:type="dxa"/>
            <w:tcMar>
              <w:top w:w="20" w:type="dxa"/>
              <w:left w:w="20" w:type="dxa"/>
              <w:bottom w:w="100" w:type="dxa"/>
              <w:right w:w="20" w:type="dxa"/>
            </w:tcMar>
            <w:vAlign w:val="bottom"/>
          </w:tcPr>
          <w:p w14:paraId="5E9DBCB6"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70 (57.4) </w:t>
            </w:r>
          </w:p>
        </w:tc>
        <w:tc>
          <w:tcPr>
            <w:tcW w:w="1590" w:type="dxa"/>
            <w:tcMar>
              <w:top w:w="20" w:type="dxa"/>
              <w:left w:w="20" w:type="dxa"/>
              <w:bottom w:w="100" w:type="dxa"/>
              <w:right w:w="20" w:type="dxa"/>
            </w:tcMar>
            <w:vAlign w:val="bottom"/>
          </w:tcPr>
          <w:p w14:paraId="645D6F7A"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107 (80.5) </w:t>
            </w:r>
          </w:p>
        </w:tc>
        <w:tc>
          <w:tcPr>
            <w:tcW w:w="1440" w:type="dxa"/>
            <w:tcMar>
              <w:top w:w="20" w:type="dxa"/>
              <w:left w:w="20" w:type="dxa"/>
              <w:bottom w:w="100" w:type="dxa"/>
              <w:right w:w="20" w:type="dxa"/>
            </w:tcMar>
            <w:vAlign w:val="bottom"/>
          </w:tcPr>
          <w:p w14:paraId="6F8A8198"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187 (63.4) </w:t>
            </w:r>
          </w:p>
        </w:tc>
        <w:tc>
          <w:tcPr>
            <w:tcW w:w="870" w:type="dxa"/>
            <w:tcMar>
              <w:top w:w="100" w:type="dxa"/>
              <w:left w:w="80" w:type="dxa"/>
              <w:bottom w:w="100" w:type="dxa"/>
              <w:right w:w="80" w:type="dxa"/>
            </w:tcMar>
            <w:vAlign w:val="bottom"/>
          </w:tcPr>
          <w:p w14:paraId="2F9AA219" w14:textId="77777777" w:rsidR="005C23E8" w:rsidRPr="0097636B" w:rsidRDefault="005C23E8" w:rsidP="00AA657C">
            <w:pPr>
              <w:rPr>
                <w:rFonts w:ascii="Times New Roman" w:eastAsia="Times New Roman" w:hAnsi="Times New Roman" w:cs="Times New Roman"/>
                <w:sz w:val="24"/>
                <w:szCs w:val="24"/>
              </w:rPr>
            </w:pPr>
          </w:p>
        </w:tc>
      </w:tr>
      <w:tr w:rsidR="005C23E8" w:rsidRPr="0097636B" w14:paraId="2353789E" w14:textId="77777777" w:rsidTr="00AA657C">
        <w:trPr>
          <w:trHeight w:val="131"/>
        </w:trPr>
        <w:tc>
          <w:tcPr>
            <w:tcW w:w="1965" w:type="dxa"/>
            <w:tcMar>
              <w:top w:w="100" w:type="dxa"/>
              <w:left w:w="80" w:type="dxa"/>
              <w:bottom w:w="100" w:type="dxa"/>
              <w:right w:w="80" w:type="dxa"/>
            </w:tcMar>
            <w:vAlign w:val="bottom"/>
          </w:tcPr>
          <w:p w14:paraId="4FB08F0F"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MR</w:t>
            </w:r>
          </w:p>
        </w:tc>
        <w:tc>
          <w:tcPr>
            <w:tcW w:w="1710" w:type="dxa"/>
            <w:tcMar>
              <w:top w:w="20" w:type="dxa"/>
              <w:left w:w="20" w:type="dxa"/>
              <w:bottom w:w="100" w:type="dxa"/>
              <w:right w:w="20" w:type="dxa"/>
            </w:tcMar>
            <w:vAlign w:val="bottom"/>
          </w:tcPr>
          <w:p w14:paraId="436D1B6D"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3 ( 2.2) </w:t>
            </w:r>
          </w:p>
        </w:tc>
        <w:tc>
          <w:tcPr>
            <w:tcW w:w="1800" w:type="dxa"/>
            <w:tcMar>
              <w:top w:w="20" w:type="dxa"/>
              <w:left w:w="20" w:type="dxa"/>
              <w:bottom w:w="100" w:type="dxa"/>
              <w:right w:w="20" w:type="dxa"/>
            </w:tcMar>
            <w:vAlign w:val="bottom"/>
          </w:tcPr>
          <w:p w14:paraId="4BC1EA6E"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3 ( 2.5) </w:t>
            </w:r>
          </w:p>
        </w:tc>
        <w:tc>
          <w:tcPr>
            <w:tcW w:w="1590" w:type="dxa"/>
            <w:tcMar>
              <w:top w:w="20" w:type="dxa"/>
              <w:left w:w="20" w:type="dxa"/>
              <w:bottom w:w="100" w:type="dxa"/>
              <w:right w:w="20" w:type="dxa"/>
            </w:tcMar>
            <w:vAlign w:val="bottom"/>
          </w:tcPr>
          <w:p w14:paraId="694B62E3"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3 ( 2.3) </w:t>
            </w:r>
          </w:p>
        </w:tc>
        <w:tc>
          <w:tcPr>
            <w:tcW w:w="1440" w:type="dxa"/>
            <w:tcMar>
              <w:top w:w="20" w:type="dxa"/>
              <w:left w:w="20" w:type="dxa"/>
              <w:bottom w:w="100" w:type="dxa"/>
              <w:right w:w="20" w:type="dxa"/>
            </w:tcMar>
            <w:vAlign w:val="bottom"/>
          </w:tcPr>
          <w:p w14:paraId="0C1D9202"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6 ( 2.0) </w:t>
            </w:r>
          </w:p>
        </w:tc>
        <w:tc>
          <w:tcPr>
            <w:tcW w:w="870" w:type="dxa"/>
            <w:tcMar>
              <w:top w:w="100" w:type="dxa"/>
              <w:left w:w="80" w:type="dxa"/>
              <w:bottom w:w="100" w:type="dxa"/>
              <w:right w:w="80" w:type="dxa"/>
            </w:tcMar>
            <w:vAlign w:val="bottom"/>
          </w:tcPr>
          <w:p w14:paraId="65770DA6" w14:textId="77777777" w:rsidR="005C23E8" w:rsidRPr="0097636B" w:rsidRDefault="005C23E8" w:rsidP="00AA657C">
            <w:pPr>
              <w:rPr>
                <w:rFonts w:ascii="Times New Roman" w:eastAsia="Times New Roman" w:hAnsi="Times New Roman" w:cs="Times New Roman"/>
                <w:sz w:val="24"/>
                <w:szCs w:val="24"/>
              </w:rPr>
            </w:pPr>
          </w:p>
        </w:tc>
      </w:tr>
      <w:tr w:rsidR="005C23E8" w:rsidRPr="0097636B" w14:paraId="674959D3" w14:textId="77777777" w:rsidTr="00AA657C">
        <w:trPr>
          <w:trHeight w:val="27"/>
        </w:trPr>
        <w:tc>
          <w:tcPr>
            <w:tcW w:w="1965" w:type="dxa"/>
            <w:tcMar>
              <w:top w:w="100" w:type="dxa"/>
              <w:left w:w="80" w:type="dxa"/>
              <w:bottom w:w="100" w:type="dxa"/>
              <w:right w:w="80" w:type="dxa"/>
            </w:tcMar>
            <w:vAlign w:val="bottom"/>
          </w:tcPr>
          <w:p w14:paraId="5446FAAC"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NH</w:t>
            </w:r>
          </w:p>
        </w:tc>
        <w:tc>
          <w:tcPr>
            <w:tcW w:w="1710" w:type="dxa"/>
            <w:tcMar>
              <w:top w:w="20" w:type="dxa"/>
              <w:left w:w="20" w:type="dxa"/>
              <w:bottom w:w="100" w:type="dxa"/>
              <w:right w:w="20" w:type="dxa"/>
            </w:tcMar>
            <w:vAlign w:val="bottom"/>
          </w:tcPr>
          <w:p w14:paraId="420B77F1"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0 ( 0.0) </w:t>
            </w:r>
          </w:p>
        </w:tc>
        <w:tc>
          <w:tcPr>
            <w:tcW w:w="1800" w:type="dxa"/>
            <w:tcMar>
              <w:top w:w="20" w:type="dxa"/>
              <w:left w:w="20" w:type="dxa"/>
              <w:bottom w:w="100" w:type="dxa"/>
              <w:right w:w="20" w:type="dxa"/>
            </w:tcMar>
            <w:vAlign w:val="bottom"/>
          </w:tcPr>
          <w:p w14:paraId="4D054220"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0 ( 0.0) </w:t>
            </w:r>
          </w:p>
        </w:tc>
        <w:tc>
          <w:tcPr>
            <w:tcW w:w="1590" w:type="dxa"/>
            <w:tcMar>
              <w:top w:w="20" w:type="dxa"/>
              <w:left w:w="20" w:type="dxa"/>
              <w:bottom w:w="100" w:type="dxa"/>
              <w:right w:w="20" w:type="dxa"/>
            </w:tcMar>
            <w:vAlign w:val="bottom"/>
          </w:tcPr>
          <w:p w14:paraId="5DC69CD7"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0 ( 0.0) </w:t>
            </w:r>
          </w:p>
        </w:tc>
        <w:tc>
          <w:tcPr>
            <w:tcW w:w="1440" w:type="dxa"/>
            <w:tcMar>
              <w:top w:w="20" w:type="dxa"/>
              <w:left w:w="20" w:type="dxa"/>
              <w:bottom w:w="100" w:type="dxa"/>
              <w:right w:w="20" w:type="dxa"/>
            </w:tcMar>
            <w:vAlign w:val="bottom"/>
          </w:tcPr>
          <w:p w14:paraId="277BCE6E"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1 ( 0.3) </w:t>
            </w:r>
          </w:p>
        </w:tc>
        <w:tc>
          <w:tcPr>
            <w:tcW w:w="870" w:type="dxa"/>
            <w:tcMar>
              <w:top w:w="100" w:type="dxa"/>
              <w:left w:w="80" w:type="dxa"/>
              <w:bottom w:w="100" w:type="dxa"/>
              <w:right w:w="80" w:type="dxa"/>
            </w:tcMar>
            <w:vAlign w:val="bottom"/>
          </w:tcPr>
          <w:p w14:paraId="53AB2222" w14:textId="77777777" w:rsidR="005C23E8" w:rsidRPr="0097636B" w:rsidRDefault="005C23E8" w:rsidP="00AA657C">
            <w:pPr>
              <w:rPr>
                <w:rFonts w:ascii="Times New Roman" w:eastAsia="Times New Roman" w:hAnsi="Times New Roman" w:cs="Times New Roman"/>
                <w:sz w:val="24"/>
                <w:szCs w:val="24"/>
              </w:rPr>
            </w:pPr>
          </w:p>
        </w:tc>
      </w:tr>
      <w:tr w:rsidR="005C23E8" w:rsidRPr="0097636B" w14:paraId="401B7C6F" w14:textId="77777777" w:rsidTr="00AA657C">
        <w:trPr>
          <w:trHeight w:val="27"/>
        </w:trPr>
        <w:tc>
          <w:tcPr>
            <w:tcW w:w="1965" w:type="dxa"/>
            <w:tcBorders>
              <w:bottom w:val="single" w:sz="8" w:space="0" w:color="000000"/>
            </w:tcBorders>
            <w:tcMar>
              <w:top w:w="100" w:type="dxa"/>
              <w:left w:w="80" w:type="dxa"/>
              <w:bottom w:w="100" w:type="dxa"/>
              <w:right w:w="80" w:type="dxa"/>
            </w:tcMar>
            <w:vAlign w:val="bottom"/>
          </w:tcPr>
          <w:p w14:paraId="0407EDF0"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OT</w:t>
            </w:r>
          </w:p>
        </w:tc>
        <w:tc>
          <w:tcPr>
            <w:tcW w:w="1710" w:type="dxa"/>
            <w:tcBorders>
              <w:bottom w:val="single" w:sz="8" w:space="0" w:color="000000"/>
            </w:tcBorders>
            <w:tcMar>
              <w:top w:w="20" w:type="dxa"/>
              <w:left w:w="20" w:type="dxa"/>
              <w:bottom w:w="100" w:type="dxa"/>
              <w:right w:w="20" w:type="dxa"/>
            </w:tcMar>
            <w:vAlign w:val="bottom"/>
          </w:tcPr>
          <w:p w14:paraId="3F3FD473"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2 ( 1.4) </w:t>
            </w:r>
          </w:p>
        </w:tc>
        <w:tc>
          <w:tcPr>
            <w:tcW w:w="1800" w:type="dxa"/>
            <w:tcBorders>
              <w:bottom w:val="single" w:sz="8" w:space="0" w:color="000000"/>
            </w:tcBorders>
            <w:tcMar>
              <w:top w:w="20" w:type="dxa"/>
              <w:left w:w="20" w:type="dxa"/>
              <w:bottom w:w="100" w:type="dxa"/>
              <w:right w:w="20" w:type="dxa"/>
            </w:tcMar>
            <w:vAlign w:val="bottom"/>
          </w:tcPr>
          <w:p w14:paraId="0EC60577"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4 ( 3.3) </w:t>
            </w:r>
          </w:p>
        </w:tc>
        <w:tc>
          <w:tcPr>
            <w:tcW w:w="1590" w:type="dxa"/>
            <w:tcBorders>
              <w:bottom w:val="single" w:sz="8" w:space="0" w:color="000000"/>
            </w:tcBorders>
            <w:tcMar>
              <w:top w:w="20" w:type="dxa"/>
              <w:left w:w="20" w:type="dxa"/>
              <w:bottom w:w="100" w:type="dxa"/>
              <w:right w:w="20" w:type="dxa"/>
            </w:tcMar>
            <w:vAlign w:val="bottom"/>
          </w:tcPr>
          <w:p w14:paraId="5DCC56DC"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4 ( 3.0) </w:t>
            </w:r>
          </w:p>
        </w:tc>
        <w:tc>
          <w:tcPr>
            <w:tcW w:w="1440" w:type="dxa"/>
            <w:tcBorders>
              <w:bottom w:val="single" w:sz="8" w:space="0" w:color="000000"/>
            </w:tcBorders>
            <w:tcMar>
              <w:top w:w="20" w:type="dxa"/>
              <w:left w:w="20" w:type="dxa"/>
              <w:bottom w:w="100" w:type="dxa"/>
              <w:right w:w="20" w:type="dxa"/>
            </w:tcMar>
            <w:vAlign w:val="bottom"/>
          </w:tcPr>
          <w:p w14:paraId="032D0B58"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6 ( 2.0) </w:t>
            </w:r>
          </w:p>
        </w:tc>
        <w:tc>
          <w:tcPr>
            <w:tcW w:w="870" w:type="dxa"/>
            <w:tcBorders>
              <w:bottom w:val="single" w:sz="8" w:space="0" w:color="000000"/>
            </w:tcBorders>
            <w:tcMar>
              <w:top w:w="100" w:type="dxa"/>
              <w:left w:w="80" w:type="dxa"/>
              <w:bottom w:w="100" w:type="dxa"/>
              <w:right w:w="80" w:type="dxa"/>
            </w:tcMar>
            <w:vAlign w:val="bottom"/>
          </w:tcPr>
          <w:p w14:paraId="7218E524"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w:t>
            </w:r>
          </w:p>
        </w:tc>
      </w:tr>
      <w:tr w:rsidR="005C23E8" w:rsidRPr="0097636B" w14:paraId="3BB72E9E" w14:textId="77777777" w:rsidTr="00AA657C">
        <w:trPr>
          <w:trHeight w:val="27"/>
        </w:trPr>
        <w:tc>
          <w:tcPr>
            <w:tcW w:w="1965" w:type="dxa"/>
            <w:tcMar>
              <w:top w:w="100" w:type="dxa"/>
              <w:left w:w="80" w:type="dxa"/>
              <w:bottom w:w="100" w:type="dxa"/>
              <w:right w:w="80" w:type="dxa"/>
            </w:tcMar>
            <w:vAlign w:val="bottom"/>
          </w:tcPr>
          <w:p w14:paraId="79817D85"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Site (n(%))</w:t>
            </w:r>
          </w:p>
        </w:tc>
        <w:tc>
          <w:tcPr>
            <w:tcW w:w="1710" w:type="dxa"/>
            <w:tcMar>
              <w:top w:w="100" w:type="dxa"/>
              <w:left w:w="80" w:type="dxa"/>
              <w:bottom w:w="100" w:type="dxa"/>
              <w:right w:w="80" w:type="dxa"/>
            </w:tcMar>
            <w:vAlign w:val="bottom"/>
          </w:tcPr>
          <w:p w14:paraId="77B9574A"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w:t>
            </w:r>
          </w:p>
        </w:tc>
        <w:tc>
          <w:tcPr>
            <w:tcW w:w="1800" w:type="dxa"/>
            <w:tcMar>
              <w:top w:w="100" w:type="dxa"/>
              <w:left w:w="80" w:type="dxa"/>
              <w:bottom w:w="100" w:type="dxa"/>
              <w:right w:w="80" w:type="dxa"/>
            </w:tcMar>
            <w:vAlign w:val="bottom"/>
          </w:tcPr>
          <w:p w14:paraId="1C56BB61"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w:t>
            </w:r>
          </w:p>
        </w:tc>
        <w:tc>
          <w:tcPr>
            <w:tcW w:w="1590" w:type="dxa"/>
            <w:tcMar>
              <w:top w:w="100" w:type="dxa"/>
              <w:left w:w="80" w:type="dxa"/>
              <w:bottom w:w="100" w:type="dxa"/>
              <w:right w:w="80" w:type="dxa"/>
            </w:tcMar>
            <w:vAlign w:val="bottom"/>
          </w:tcPr>
          <w:p w14:paraId="465F37B4"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w:t>
            </w:r>
          </w:p>
        </w:tc>
        <w:tc>
          <w:tcPr>
            <w:tcW w:w="1440" w:type="dxa"/>
            <w:tcMar>
              <w:top w:w="100" w:type="dxa"/>
              <w:left w:w="80" w:type="dxa"/>
              <w:bottom w:w="100" w:type="dxa"/>
              <w:right w:w="80" w:type="dxa"/>
            </w:tcMar>
            <w:vAlign w:val="bottom"/>
          </w:tcPr>
          <w:p w14:paraId="4DE8C876"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w:t>
            </w:r>
          </w:p>
        </w:tc>
        <w:tc>
          <w:tcPr>
            <w:tcW w:w="870" w:type="dxa"/>
            <w:tcMar>
              <w:top w:w="100" w:type="dxa"/>
              <w:left w:w="80" w:type="dxa"/>
              <w:bottom w:w="100" w:type="dxa"/>
              <w:right w:w="80" w:type="dxa"/>
            </w:tcMar>
            <w:vAlign w:val="bottom"/>
          </w:tcPr>
          <w:p w14:paraId="765F290F"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&lt;.001</w:t>
            </w:r>
          </w:p>
        </w:tc>
      </w:tr>
      <w:tr w:rsidR="005C23E8" w:rsidRPr="0097636B" w14:paraId="632C3D9D" w14:textId="77777777" w:rsidTr="00AA657C">
        <w:trPr>
          <w:trHeight w:val="27"/>
        </w:trPr>
        <w:tc>
          <w:tcPr>
            <w:tcW w:w="1965" w:type="dxa"/>
            <w:tcMar>
              <w:top w:w="100" w:type="dxa"/>
              <w:left w:w="80" w:type="dxa"/>
              <w:bottom w:w="100" w:type="dxa"/>
              <w:right w:w="80" w:type="dxa"/>
            </w:tcMar>
            <w:vAlign w:val="bottom"/>
          </w:tcPr>
          <w:p w14:paraId="7D843B23"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Dallas</w:t>
            </w:r>
          </w:p>
        </w:tc>
        <w:tc>
          <w:tcPr>
            <w:tcW w:w="1710" w:type="dxa"/>
            <w:tcMar>
              <w:top w:w="20" w:type="dxa"/>
              <w:left w:w="20" w:type="dxa"/>
              <w:bottom w:w="100" w:type="dxa"/>
              <w:right w:w="20" w:type="dxa"/>
            </w:tcMar>
            <w:vAlign w:val="bottom"/>
          </w:tcPr>
          <w:p w14:paraId="54DDA274"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17 (12.3) </w:t>
            </w:r>
          </w:p>
        </w:tc>
        <w:tc>
          <w:tcPr>
            <w:tcW w:w="1800" w:type="dxa"/>
            <w:tcMar>
              <w:top w:w="20" w:type="dxa"/>
              <w:left w:w="20" w:type="dxa"/>
              <w:bottom w:w="100" w:type="dxa"/>
              <w:right w:w="20" w:type="dxa"/>
            </w:tcMar>
            <w:vAlign w:val="bottom"/>
          </w:tcPr>
          <w:p w14:paraId="55AE15FB"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14 (11.5) </w:t>
            </w:r>
          </w:p>
        </w:tc>
        <w:tc>
          <w:tcPr>
            <w:tcW w:w="1590" w:type="dxa"/>
            <w:tcMar>
              <w:top w:w="20" w:type="dxa"/>
              <w:left w:w="20" w:type="dxa"/>
              <w:bottom w:w="100" w:type="dxa"/>
              <w:right w:w="20" w:type="dxa"/>
            </w:tcMar>
            <w:vAlign w:val="bottom"/>
          </w:tcPr>
          <w:p w14:paraId="128E0FDC"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16 (12.0) </w:t>
            </w:r>
          </w:p>
        </w:tc>
        <w:tc>
          <w:tcPr>
            <w:tcW w:w="1440" w:type="dxa"/>
            <w:tcMar>
              <w:top w:w="20" w:type="dxa"/>
              <w:left w:w="20" w:type="dxa"/>
              <w:bottom w:w="100" w:type="dxa"/>
              <w:right w:w="20" w:type="dxa"/>
            </w:tcMar>
            <w:vAlign w:val="bottom"/>
          </w:tcPr>
          <w:p w14:paraId="6F031DF2"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47 (15.9) </w:t>
            </w:r>
          </w:p>
        </w:tc>
        <w:tc>
          <w:tcPr>
            <w:tcW w:w="870" w:type="dxa"/>
            <w:tcMar>
              <w:top w:w="100" w:type="dxa"/>
              <w:left w:w="80" w:type="dxa"/>
              <w:bottom w:w="100" w:type="dxa"/>
              <w:right w:w="80" w:type="dxa"/>
            </w:tcMar>
            <w:vAlign w:val="bottom"/>
          </w:tcPr>
          <w:p w14:paraId="65A0C180" w14:textId="77777777" w:rsidR="005C23E8" w:rsidRPr="0097636B" w:rsidRDefault="005C23E8" w:rsidP="00AA657C">
            <w:pPr>
              <w:rPr>
                <w:rFonts w:ascii="Times New Roman" w:eastAsia="Times New Roman" w:hAnsi="Times New Roman" w:cs="Times New Roman"/>
                <w:sz w:val="24"/>
                <w:szCs w:val="24"/>
              </w:rPr>
            </w:pPr>
          </w:p>
        </w:tc>
      </w:tr>
      <w:tr w:rsidR="005C23E8" w:rsidRPr="0097636B" w14:paraId="366BF1A1" w14:textId="77777777" w:rsidTr="00AA657C">
        <w:trPr>
          <w:trHeight w:val="27"/>
        </w:trPr>
        <w:tc>
          <w:tcPr>
            <w:tcW w:w="1965" w:type="dxa"/>
            <w:tcMar>
              <w:top w:w="100" w:type="dxa"/>
              <w:left w:w="80" w:type="dxa"/>
              <w:bottom w:w="100" w:type="dxa"/>
              <w:right w:w="80" w:type="dxa"/>
            </w:tcMar>
            <w:vAlign w:val="bottom"/>
          </w:tcPr>
          <w:p w14:paraId="3344A260"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Hartford</w:t>
            </w:r>
          </w:p>
        </w:tc>
        <w:tc>
          <w:tcPr>
            <w:tcW w:w="1710" w:type="dxa"/>
            <w:tcMar>
              <w:top w:w="20" w:type="dxa"/>
              <w:left w:w="20" w:type="dxa"/>
              <w:bottom w:w="100" w:type="dxa"/>
              <w:right w:w="20" w:type="dxa"/>
            </w:tcMar>
            <w:vAlign w:val="bottom"/>
          </w:tcPr>
          <w:p w14:paraId="6B161DC1"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25 (18.1) </w:t>
            </w:r>
          </w:p>
        </w:tc>
        <w:tc>
          <w:tcPr>
            <w:tcW w:w="1800" w:type="dxa"/>
            <w:tcMar>
              <w:top w:w="20" w:type="dxa"/>
              <w:left w:w="20" w:type="dxa"/>
              <w:bottom w:w="100" w:type="dxa"/>
              <w:right w:w="20" w:type="dxa"/>
            </w:tcMar>
            <w:vAlign w:val="bottom"/>
          </w:tcPr>
          <w:p w14:paraId="4A806FFF"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28 (23.0) </w:t>
            </w:r>
          </w:p>
        </w:tc>
        <w:tc>
          <w:tcPr>
            <w:tcW w:w="1590" w:type="dxa"/>
            <w:tcMar>
              <w:top w:w="20" w:type="dxa"/>
              <w:left w:w="20" w:type="dxa"/>
              <w:bottom w:w="100" w:type="dxa"/>
              <w:right w:w="20" w:type="dxa"/>
            </w:tcMar>
            <w:vAlign w:val="bottom"/>
          </w:tcPr>
          <w:p w14:paraId="3C555F48"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22 (16.5) </w:t>
            </w:r>
          </w:p>
        </w:tc>
        <w:tc>
          <w:tcPr>
            <w:tcW w:w="1440" w:type="dxa"/>
            <w:tcMar>
              <w:top w:w="20" w:type="dxa"/>
              <w:left w:w="20" w:type="dxa"/>
              <w:bottom w:w="100" w:type="dxa"/>
              <w:right w:w="20" w:type="dxa"/>
            </w:tcMar>
            <w:vAlign w:val="bottom"/>
          </w:tcPr>
          <w:p w14:paraId="3235183C"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57 (19.3) </w:t>
            </w:r>
          </w:p>
        </w:tc>
        <w:tc>
          <w:tcPr>
            <w:tcW w:w="870" w:type="dxa"/>
            <w:tcMar>
              <w:top w:w="100" w:type="dxa"/>
              <w:left w:w="80" w:type="dxa"/>
              <w:bottom w:w="100" w:type="dxa"/>
              <w:right w:w="80" w:type="dxa"/>
            </w:tcMar>
            <w:vAlign w:val="bottom"/>
          </w:tcPr>
          <w:p w14:paraId="39EF8FC9" w14:textId="77777777" w:rsidR="005C23E8" w:rsidRPr="0097636B" w:rsidRDefault="005C23E8" w:rsidP="00AA657C">
            <w:pPr>
              <w:rPr>
                <w:rFonts w:ascii="Times New Roman" w:eastAsia="Times New Roman" w:hAnsi="Times New Roman" w:cs="Times New Roman"/>
                <w:sz w:val="24"/>
                <w:szCs w:val="24"/>
              </w:rPr>
            </w:pPr>
          </w:p>
        </w:tc>
      </w:tr>
      <w:tr w:rsidR="005C23E8" w:rsidRPr="0097636B" w14:paraId="5C4A849C" w14:textId="77777777" w:rsidTr="00AA657C">
        <w:trPr>
          <w:trHeight w:val="27"/>
        </w:trPr>
        <w:tc>
          <w:tcPr>
            <w:tcW w:w="1965" w:type="dxa"/>
            <w:tcMar>
              <w:top w:w="100" w:type="dxa"/>
              <w:left w:w="80" w:type="dxa"/>
              <w:bottom w:w="100" w:type="dxa"/>
              <w:right w:w="80" w:type="dxa"/>
            </w:tcMar>
            <w:vAlign w:val="bottom"/>
          </w:tcPr>
          <w:p w14:paraId="66217EA2"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Baltimore</w:t>
            </w:r>
          </w:p>
        </w:tc>
        <w:tc>
          <w:tcPr>
            <w:tcW w:w="1710" w:type="dxa"/>
            <w:tcMar>
              <w:top w:w="20" w:type="dxa"/>
              <w:left w:w="20" w:type="dxa"/>
              <w:bottom w:w="100" w:type="dxa"/>
              <w:right w:w="20" w:type="dxa"/>
            </w:tcMar>
            <w:vAlign w:val="bottom"/>
          </w:tcPr>
          <w:p w14:paraId="2E040231"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53 (38.4) </w:t>
            </w:r>
          </w:p>
        </w:tc>
        <w:tc>
          <w:tcPr>
            <w:tcW w:w="1800" w:type="dxa"/>
            <w:tcMar>
              <w:top w:w="20" w:type="dxa"/>
              <w:left w:w="20" w:type="dxa"/>
              <w:bottom w:w="100" w:type="dxa"/>
              <w:right w:w="20" w:type="dxa"/>
            </w:tcMar>
            <w:vAlign w:val="bottom"/>
          </w:tcPr>
          <w:p w14:paraId="6AD4D682"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35 (28.7) </w:t>
            </w:r>
          </w:p>
        </w:tc>
        <w:tc>
          <w:tcPr>
            <w:tcW w:w="1590" w:type="dxa"/>
            <w:tcMar>
              <w:top w:w="20" w:type="dxa"/>
              <w:left w:w="20" w:type="dxa"/>
              <w:bottom w:w="100" w:type="dxa"/>
              <w:right w:w="20" w:type="dxa"/>
            </w:tcMar>
            <w:vAlign w:val="bottom"/>
          </w:tcPr>
          <w:p w14:paraId="023628B9"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25 (18.8) </w:t>
            </w:r>
          </w:p>
        </w:tc>
        <w:tc>
          <w:tcPr>
            <w:tcW w:w="1440" w:type="dxa"/>
            <w:tcMar>
              <w:top w:w="20" w:type="dxa"/>
              <w:left w:w="20" w:type="dxa"/>
              <w:bottom w:w="100" w:type="dxa"/>
              <w:right w:w="20" w:type="dxa"/>
            </w:tcMar>
            <w:vAlign w:val="bottom"/>
          </w:tcPr>
          <w:p w14:paraId="72C4FF78"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51 (17.2) </w:t>
            </w:r>
          </w:p>
        </w:tc>
        <w:tc>
          <w:tcPr>
            <w:tcW w:w="870" w:type="dxa"/>
            <w:tcMar>
              <w:top w:w="100" w:type="dxa"/>
              <w:left w:w="80" w:type="dxa"/>
              <w:bottom w:w="100" w:type="dxa"/>
              <w:right w:w="80" w:type="dxa"/>
            </w:tcMar>
            <w:vAlign w:val="bottom"/>
          </w:tcPr>
          <w:p w14:paraId="0A899CA1" w14:textId="77777777" w:rsidR="005C23E8" w:rsidRPr="0097636B" w:rsidRDefault="005C23E8" w:rsidP="00AA657C">
            <w:pPr>
              <w:rPr>
                <w:rFonts w:ascii="Times New Roman" w:eastAsia="Times New Roman" w:hAnsi="Times New Roman" w:cs="Times New Roman"/>
                <w:sz w:val="24"/>
                <w:szCs w:val="24"/>
              </w:rPr>
            </w:pPr>
          </w:p>
        </w:tc>
      </w:tr>
      <w:tr w:rsidR="005C23E8" w:rsidRPr="0097636B" w14:paraId="21D5C6E7" w14:textId="77777777" w:rsidTr="00AA657C">
        <w:trPr>
          <w:trHeight w:val="27"/>
        </w:trPr>
        <w:tc>
          <w:tcPr>
            <w:tcW w:w="1965" w:type="dxa"/>
            <w:tcMar>
              <w:top w:w="100" w:type="dxa"/>
              <w:left w:w="80" w:type="dxa"/>
              <w:bottom w:w="100" w:type="dxa"/>
              <w:right w:w="80" w:type="dxa"/>
            </w:tcMar>
            <w:vAlign w:val="bottom"/>
          </w:tcPr>
          <w:p w14:paraId="31CE3063"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Chicago</w:t>
            </w:r>
          </w:p>
        </w:tc>
        <w:tc>
          <w:tcPr>
            <w:tcW w:w="1710" w:type="dxa"/>
            <w:tcMar>
              <w:top w:w="20" w:type="dxa"/>
              <w:left w:w="20" w:type="dxa"/>
              <w:bottom w:w="100" w:type="dxa"/>
              <w:right w:w="20" w:type="dxa"/>
            </w:tcMar>
            <w:vAlign w:val="bottom"/>
          </w:tcPr>
          <w:p w14:paraId="4E230607"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25 (18.1) </w:t>
            </w:r>
          </w:p>
        </w:tc>
        <w:tc>
          <w:tcPr>
            <w:tcW w:w="1800" w:type="dxa"/>
            <w:tcMar>
              <w:top w:w="20" w:type="dxa"/>
              <w:left w:w="20" w:type="dxa"/>
              <w:bottom w:w="100" w:type="dxa"/>
              <w:right w:w="20" w:type="dxa"/>
            </w:tcMar>
            <w:vAlign w:val="bottom"/>
          </w:tcPr>
          <w:p w14:paraId="30AB1FFF"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24 (19.7) </w:t>
            </w:r>
          </w:p>
        </w:tc>
        <w:tc>
          <w:tcPr>
            <w:tcW w:w="1590" w:type="dxa"/>
            <w:tcMar>
              <w:top w:w="20" w:type="dxa"/>
              <w:left w:w="20" w:type="dxa"/>
              <w:bottom w:w="100" w:type="dxa"/>
              <w:right w:w="20" w:type="dxa"/>
            </w:tcMar>
            <w:vAlign w:val="bottom"/>
          </w:tcPr>
          <w:p w14:paraId="2FF7513B"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47 (35.3) </w:t>
            </w:r>
          </w:p>
        </w:tc>
        <w:tc>
          <w:tcPr>
            <w:tcW w:w="1440" w:type="dxa"/>
            <w:tcMar>
              <w:top w:w="20" w:type="dxa"/>
              <w:left w:w="20" w:type="dxa"/>
              <w:bottom w:w="100" w:type="dxa"/>
              <w:right w:w="20" w:type="dxa"/>
            </w:tcMar>
            <w:vAlign w:val="bottom"/>
          </w:tcPr>
          <w:p w14:paraId="3DF404DF"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61 (20.6) </w:t>
            </w:r>
          </w:p>
        </w:tc>
        <w:tc>
          <w:tcPr>
            <w:tcW w:w="870" w:type="dxa"/>
            <w:tcMar>
              <w:top w:w="100" w:type="dxa"/>
              <w:left w:w="80" w:type="dxa"/>
              <w:bottom w:w="100" w:type="dxa"/>
              <w:right w:w="80" w:type="dxa"/>
            </w:tcMar>
            <w:vAlign w:val="bottom"/>
          </w:tcPr>
          <w:p w14:paraId="556BC0F1" w14:textId="77777777" w:rsidR="005C23E8" w:rsidRPr="0097636B" w:rsidRDefault="005C23E8" w:rsidP="00AA657C">
            <w:pPr>
              <w:rPr>
                <w:rFonts w:ascii="Times New Roman" w:eastAsia="Times New Roman" w:hAnsi="Times New Roman" w:cs="Times New Roman"/>
                <w:sz w:val="24"/>
                <w:szCs w:val="24"/>
              </w:rPr>
            </w:pPr>
          </w:p>
        </w:tc>
      </w:tr>
      <w:tr w:rsidR="005C23E8" w:rsidRPr="0097636B" w14:paraId="5849BB79" w14:textId="77777777" w:rsidTr="00AA657C">
        <w:trPr>
          <w:trHeight w:val="27"/>
        </w:trPr>
        <w:tc>
          <w:tcPr>
            <w:tcW w:w="1965" w:type="dxa"/>
            <w:tcMar>
              <w:top w:w="100" w:type="dxa"/>
              <w:left w:w="80" w:type="dxa"/>
              <w:bottom w:w="100" w:type="dxa"/>
              <w:right w:w="80" w:type="dxa"/>
            </w:tcMar>
            <w:vAlign w:val="bottom"/>
          </w:tcPr>
          <w:p w14:paraId="213C4E3B"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Detroit</w:t>
            </w:r>
          </w:p>
        </w:tc>
        <w:tc>
          <w:tcPr>
            <w:tcW w:w="1710" w:type="dxa"/>
            <w:tcMar>
              <w:top w:w="20" w:type="dxa"/>
              <w:left w:w="20" w:type="dxa"/>
              <w:bottom w:w="100" w:type="dxa"/>
              <w:right w:w="20" w:type="dxa"/>
            </w:tcMar>
            <w:vAlign w:val="bottom"/>
          </w:tcPr>
          <w:p w14:paraId="2191FDC2"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2 ( 1.4) </w:t>
            </w:r>
          </w:p>
        </w:tc>
        <w:tc>
          <w:tcPr>
            <w:tcW w:w="1800" w:type="dxa"/>
            <w:tcMar>
              <w:top w:w="20" w:type="dxa"/>
              <w:left w:w="20" w:type="dxa"/>
              <w:bottom w:w="100" w:type="dxa"/>
              <w:right w:w="20" w:type="dxa"/>
            </w:tcMar>
            <w:vAlign w:val="bottom"/>
          </w:tcPr>
          <w:p w14:paraId="78C0CA86"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5 ( 4.1) </w:t>
            </w:r>
          </w:p>
        </w:tc>
        <w:tc>
          <w:tcPr>
            <w:tcW w:w="1590" w:type="dxa"/>
            <w:tcMar>
              <w:top w:w="20" w:type="dxa"/>
              <w:left w:w="20" w:type="dxa"/>
              <w:bottom w:w="100" w:type="dxa"/>
              <w:right w:w="20" w:type="dxa"/>
            </w:tcMar>
            <w:vAlign w:val="bottom"/>
          </w:tcPr>
          <w:p w14:paraId="172668B9"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7 ( 5.3) </w:t>
            </w:r>
          </w:p>
        </w:tc>
        <w:tc>
          <w:tcPr>
            <w:tcW w:w="1440" w:type="dxa"/>
            <w:tcMar>
              <w:top w:w="20" w:type="dxa"/>
              <w:left w:w="20" w:type="dxa"/>
              <w:bottom w:w="100" w:type="dxa"/>
              <w:right w:w="20" w:type="dxa"/>
            </w:tcMar>
            <w:vAlign w:val="bottom"/>
          </w:tcPr>
          <w:p w14:paraId="378C465E"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40 (13.5) </w:t>
            </w:r>
          </w:p>
        </w:tc>
        <w:tc>
          <w:tcPr>
            <w:tcW w:w="870" w:type="dxa"/>
            <w:tcMar>
              <w:top w:w="100" w:type="dxa"/>
              <w:left w:w="80" w:type="dxa"/>
              <w:bottom w:w="100" w:type="dxa"/>
              <w:right w:w="80" w:type="dxa"/>
            </w:tcMar>
            <w:vAlign w:val="bottom"/>
          </w:tcPr>
          <w:p w14:paraId="1B7450BA" w14:textId="77777777" w:rsidR="005C23E8" w:rsidRPr="0097636B" w:rsidRDefault="005C23E8" w:rsidP="00AA657C">
            <w:pPr>
              <w:rPr>
                <w:rFonts w:ascii="Times New Roman" w:eastAsia="Times New Roman" w:hAnsi="Times New Roman" w:cs="Times New Roman"/>
                <w:sz w:val="24"/>
                <w:szCs w:val="24"/>
              </w:rPr>
            </w:pPr>
          </w:p>
        </w:tc>
      </w:tr>
      <w:tr w:rsidR="005C23E8" w:rsidRPr="0097636B" w14:paraId="59417652" w14:textId="77777777" w:rsidTr="00AA657C">
        <w:trPr>
          <w:trHeight w:val="27"/>
        </w:trPr>
        <w:tc>
          <w:tcPr>
            <w:tcW w:w="1965" w:type="dxa"/>
            <w:tcBorders>
              <w:bottom w:val="single" w:sz="8" w:space="0" w:color="000000"/>
            </w:tcBorders>
            <w:tcMar>
              <w:top w:w="100" w:type="dxa"/>
              <w:left w:w="80" w:type="dxa"/>
              <w:bottom w:w="100" w:type="dxa"/>
              <w:right w:w="80" w:type="dxa"/>
            </w:tcMar>
            <w:vAlign w:val="bottom"/>
          </w:tcPr>
          <w:p w14:paraId="1FA9EAE0"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Boston</w:t>
            </w:r>
          </w:p>
        </w:tc>
        <w:tc>
          <w:tcPr>
            <w:tcW w:w="1710" w:type="dxa"/>
            <w:tcBorders>
              <w:bottom w:val="single" w:sz="8" w:space="0" w:color="000000"/>
            </w:tcBorders>
            <w:tcMar>
              <w:top w:w="20" w:type="dxa"/>
              <w:left w:w="20" w:type="dxa"/>
              <w:bottom w:w="100" w:type="dxa"/>
              <w:right w:w="20" w:type="dxa"/>
            </w:tcMar>
            <w:vAlign w:val="bottom"/>
          </w:tcPr>
          <w:p w14:paraId="54A445A7"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16 (11.6) </w:t>
            </w:r>
          </w:p>
        </w:tc>
        <w:tc>
          <w:tcPr>
            <w:tcW w:w="1800" w:type="dxa"/>
            <w:tcBorders>
              <w:bottom w:val="single" w:sz="8" w:space="0" w:color="000000"/>
            </w:tcBorders>
            <w:tcMar>
              <w:top w:w="20" w:type="dxa"/>
              <w:left w:w="20" w:type="dxa"/>
              <w:bottom w:w="100" w:type="dxa"/>
              <w:right w:w="20" w:type="dxa"/>
            </w:tcMar>
            <w:vAlign w:val="bottom"/>
          </w:tcPr>
          <w:p w14:paraId="3D10ECF0"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16 (13.1) </w:t>
            </w:r>
          </w:p>
        </w:tc>
        <w:tc>
          <w:tcPr>
            <w:tcW w:w="1590" w:type="dxa"/>
            <w:tcBorders>
              <w:bottom w:val="single" w:sz="8" w:space="0" w:color="000000"/>
            </w:tcBorders>
            <w:tcMar>
              <w:top w:w="20" w:type="dxa"/>
              <w:left w:w="20" w:type="dxa"/>
              <w:bottom w:w="100" w:type="dxa"/>
              <w:right w:w="20" w:type="dxa"/>
            </w:tcMar>
            <w:vAlign w:val="bottom"/>
          </w:tcPr>
          <w:p w14:paraId="4D5E81C9"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16 (12.0) </w:t>
            </w:r>
          </w:p>
        </w:tc>
        <w:tc>
          <w:tcPr>
            <w:tcW w:w="1440" w:type="dxa"/>
            <w:tcBorders>
              <w:bottom w:val="single" w:sz="8" w:space="0" w:color="000000"/>
            </w:tcBorders>
            <w:tcMar>
              <w:top w:w="20" w:type="dxa"/>
              <w:left w:w="20" w:type="dxa"/>
              <w:bottom w:w="100" w:type="dxa"/>
              <w:right w:w="20" w:type="dxa"/>
            </w:tcMar>
            <w:vAlign w:val="bottom"/>
          </w:tcPr>
          <w:p w14:paraId="3DA5EA9D"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40 (13.5) </w:t>
            </w:r>
          </w:p>
        </w:tc>
        <w:tc>
          <w:tcPr>
            <w:tcW w:w="870" w:type="dxa"/>
            <w:tcBorders>
              <w:bottom w:val="single" w:sz="8" w:space="0" w:color="000000"/>
            </w:tcBorders>
            <w:tcMar>
              <w:top w:w="100" w:type="dxa"/>
              <w:left w:w="80" w:type="dxa"/>
              <w:bottom w:w="100" w:type="dxa"/>
              <w:right w:w="80" w:type="dxa"/>
            </w:tcMar>
            <w:vAlign w:val="bottom"/>
          </w:tcPr>
          <w:p w14:paraId="212666C6"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w:t>
            </w:r>
          </w:p>
        </w:tc>
      </w:tr>
      <w:tr w:rsidR="005C23E8" w:rsidRPr="0097636B" w14:paraId="1D5AA0CA" w14:textId="77777777" w:rsidTr="00AA657C">
        <w:trPr>
          <w:trHeight w:val="27"/>
        </w:trPr>
        <w:tc>
          <w:tcPr>
            <w:tcW w:w="1965" w:type="dxa"/>
            <w:tcBorders>
              <w:bottom w:val="single" w:sz="8" w:space="0" w:color="000000"/>
            </w:tcBorders>
            <w:tcMar>
              <w:top w:w="100" w:type="dxa"/>
              <w:left w:w="80" w:type="dxa"/>
              <w:bottom w:w="100" w:type="dxa"/>
              <w:right w:w="80" w:type="dxa"/>
            </w:tcMar>
            <w:vAlign w:val="bottom"/>
          </w:tcPr>
          <w:p w14:paraId="3F651110" w14:textId="77777777" w:rsidR="005C23E8" w:rsidRPr="0097636B" w:rsidRDefault="005C23E8" w:rsidP="00AA657C">
            <w:pPr>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CPZ (mean (SD))</w:t>
            </w:r>
          </w:p>
        </w:tc>
        <w:tc>
          <w:tcPr>
            <w:tcW w:w="1710" w:type="dxa"/>
            <w:tcBorders>
              <w:top w:val="single" w:sz="8" w:space="0" w:color="000000"/>
              <w:bottom w:val="single" w:sz="8" w:space="0" w:color="000000"/>
            </w:tcBorders>
            <w:tcMar>
              <w:top w:w="20" w:type="dxa"/>
              <w:left w:w="20" w:type="dxa"/>
              <w:bottom w:w="100" w:type="dxa"/>
              <w:right w:w="20" w:type="dxa"/>
            </w:tcMar>
            <w:vAlign w:val="bottom"/>
          </w:tcPr>
          <w:p w14:paraId="234C7485"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473.08 (367.63)</w:t>
            </w:r>
          </w:p>
        </w:tc>
        <w:tc>
          <w:tcPr>
            <w:tcW w:w="1800" w:type="dxa"/>
            <w:tcBorders>
              <w:top w:val="single" w:sz="8" w:space="0" w:color="000000"/>
              <w:bottom w:val="single" w:sz="8" w:space="0" w:color="000000"/>
            </w:tcBorders>
            <w:tcMar>
              <w:top w:w="20" w:type="dxa"/>
              <w:left w:w="20" w:type="dxa"/>
              <w:bottom w:w="100" w:type="dxa"/>
              <w:right w:w="20" w:type="dxa"/>
            </w:tcMar>
            <w:vAlign w:val="bottom"/>
          </w:tcPr>
          <w:p w14:paraId="471EE6C3"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500.56 (436.24)</w:t>
            </w:r>
          </w:p>
        </w:tc>
        <w:tc>
          <w:tcPr>
            <w:tcW w:w="1590" w:type="dxa"/>
            <w:tcBorders>
              <w:top w:val="single" w:sz="8" w:space="0" w:color="000000"/>
              <w:bottom w:val="single" w:sz="8" w:space="0" w:color="000000"/>
            </w:tcBorders>
            <w:tcMar>
              <w:top w:w="20" w:type="dxa"/>
              <w:left w:w="20" w:type="dxa"/>
              <w:bottom w:w="100" w:type="dxa"/>
              <w:right w:w="20" w:type="dxa"/>
            </w:tcMar>
            <w:vAlign w:val="bottom"/>
          </w:tcPr>
          <w:p w14:paraId="07879585"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409.88 (417.31)</w:t>
            </w:r>
          </w:p>
        </w:tc>
        <w:tc>
          <w:tcPr>
            <w:tcW w:w="1440" w:type="dxa"/>
            <w:tcBorders>
              <w:bottom w:val="single" w:sz="8" w:space="0" w:color="000000"/>
            </w:tcBorders>
            <w:tcMar>
              <w:top w:w="100" w:type="dxa"/>
              <w:left w:w="80" w:type="dxa"/>
              <w:bottom w:w="100" w:type="dxa"/>
              <w:right w:w="80" w:type="dxa"/>
            </w:tcMar>
            <w:vAlign w:val="bottom"/>
          </w:tcPr>
          <w:p w14:paraId="777FB826"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N/A</w:t>
            </w:r>
          </w:p>
        </w:tc>
        <w:tc>
          <w:tcPr>
            <w:tcW w:w="870" w:type="dxa"/>
            <w:tcBorders>
              <w:bottom w:val="single" w:sz="8" w:space="0" w:color="000000"/>
            </w:tcBorders>
            <w:tcMar>
              <w:top w:w="100" w:type="dxa"/>
              <w:left w:w="80" w:type="dxa"/>
              <w:bottom w:w="100" w:type="dxa"/>
              <w:right w:w="80" w:type="dxa"/>
            </w:tcMar>
            <w:vAlign w:val="bottom"/>
          </w:tcPr>
          <w:p w14:paraId="79C889C7"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0.341</w:t>
            </w:r>
          </w:p>
        </w:tc>
      </w:tr>
      <w:tr w:rsidR="005C23E8" w:rsidRPr="0097636B" w14:paraId="244B4E72" w14:textId="77777777" w:rsidTr="00AA657C">
        <w:trPr>
          <w:trHeight w:val="433"/>
        </w:trPr>
        <w:tc>
          <w:tcPr>
            <w:tcW w:w="1965" w:type="dxa"/>
            <w:tcBorders>
              <w:bottom w:val="single" w:sz="8" w:space="0" w:color="000000"/>
            </w:tcBorders>
            <w:tcMar>
              <w:top w:w="100" w:type="dxa"/>
              <w:left w:w="80" w:type="dxa"/>
              <w:bottom w:w="100" w:type="dxa"/>
              <w:right w:w="80" w:type="dxa"/>
            </w:tcMar>
            <w:vAlign w:val="bottom"/>
          </w:tcPr>
          <w:p w14:paraId="38D724D9" w14:textId="77777777" w:rsidR="005C23E8" w:rsidRPr="0097636B" w:rsidRDefault="005C23E8" w:rsidP="00AA657C">
            <w:pPr>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Duration of illness  (mean (SD))</w:t>
            </w:r>
          </w:p>
        </w:tc>
        <w:tc>
          <w:tcPr>
            <w:tcW w:w="1710" w:type="dxa"/>
            <w:tcBorders>
              <w:top w:val="single" w:sz="8" w:space="0" w:color="000000"/>
              <w:bottom w:val="single" w:sz="8" w:space="0" w:color="000000"/>
            </w:tcBorders>
            <w:tcMar>
              <w:top w:w="20" w:type="dxa"/>
              <w:left w:w="20" w:type="dxa"/>
              <w:bottom w:w="100" w:type="dxa"/>
              <w:right w:w="20" w:type="dxa"/>
            </w:tcMar>
            <w:vAlign w:val="bottom"/>
          </w:tcPr>
          <w:p w14:paraId="30AD6CE7"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18.56 (12.25)</w:t>
            </w:r>
          </w:p>
        </w:tc>
        <w:tc>
          <w:tcPr>
            <w:tcW w:w="1800" w:type="dxa"/>
            <w:tcBorders>
              <w:top w:val="single" w:sz="8" w:space="0" w:color="000000"/>
              <w:bottom w:val="single" w:sz="8" w:space="0" w:color="000000"/>
            </w:tcBorders>
            <w:tcMar>
              <w:top w:w="20" w:type="dxa"/>
              <w:left w:w="20" w:type="dxa"/>
              <w:bottom w:w="100" w:type="dxa"/>
              <w:right w:w="20" w:type="dxa"/>
            </w:tcMar>
            <w:vAlign w:val="bottom"/>
          </w:tcPr>
          <w:p w14:paraId="0837AC1E"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16.07 (11.02)</w:t>
            </w:r>
          </w:p>
        </w:tc>
        <w:tc>
          <w:tcPr>
            <w:tcW w:w="1590" w:type="dxa"/>
            <w:tcBorders>
              <w:top w:val="single" w:sz="8" w:space="0" w:color="000000"/>
              <w:bottom w:val="single" w:sz="8" w:space="0" w:color="000000"/>
            </w:tcBorders>
            <w:tcMar>
              <w:top w:w="20" w:type="dxa"/>
              <w:left w:w="20" w:type="dxa"/>
              <w:bottom w:w="100" w:type="dxa"/>
              <w:right w:w="20" w:type="dxa"/>
            </w:tcMar>
            <w:vAlign w:val="bottom"/>
          </w:tcPr>
          <w:p w14:paraId="5AD2B857"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16.21 (11.18)</w:t>
            </w:r>
          </w:p>
        </w:tc>
        <w:tc>
          <w:tcPr>
            <w:tcW w:w="1440" w:type="dxa"/>
            <w:tcBorders>
              <w:bottom w:val="single" w:sz="8" w:space="0" w:color="000000"/>
            </w:tcBorders>
            <w:tcMar>
              <w:top w:w="100" w:type="dxa"/>
              <w:left w:w="80" w:type="dxa"/>
              <w:bottom w:w="100" w:type="dxa"/>
              <w:right w:w="80" w:type="dxa"/>
            </w:tcMar>
            <w:vAlign w:val="bottom"/>
          </w:tcPr>
          <w:p w14:paraId="60F6B958"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N/A</w:t>
            </w:r>
          </w:p>
        </w:tc>
        <w:tc>
          <w:tcPr>
            <w:tcW w:w="870" w:type="dxa"/>
            <w:tcBorders>
              <w:top w:val="single" w:sz="8" w:space="0" w:color="000000"/>
              <w:bottom w:val="single" w:sz="8" w:space="0" w:color="000000"/>
            </w:tcBorders>
            <w:tcMar>
              <w:top w:w="20" w:type="dxa"/>
              <w:left w:w="20" w:type="dxa"/>
              <w:bottom w:w="100" w:type="dxa"/>
              <w:right w:w="20" w:type="dxa"/>
            </w:tcMar>
            <w:vAlign w:val="bottom"/>
          </w:tcPr>
          <w:p w14:paraId="743159B4"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0.146</w:t>
            </w:r>
          </w:p>
        </w:tc>
      </w:tr>
      <w:tr w:rsidR="005C23E8" w:rsidRPr="0097636B" w14:paraId="1A53EE2F" w14:textId="77777777" w:rsidTr="00AA657C">
        <w:trPr>
          <w:trHeight w:val="755"/>
        </w:trPr>
        <w:tc>
          <w:tcPr>
            <w:tcW w:w="1965" w:type="dxa"/>
            <w:tcBorders>
              <w:bottom w:val="single" w:sz="8" w:space="0" w:color="000000"/>
            </w:tcBorders>
            <w:tcMar>
              <w:top w:w="100" w:type="dxa"/>
              <w:left w:w="80" w:type="dxa"/>
              <w:bottom w:w="100" w:type="dxa"/>
              <w:right w:w="80" w:type="dxa"/>
            </w:tcMar>
            <w:vAlign w:val="bottom"/>
          </w:tcPr>
          <w:p w14:paraId="780D2F39" w14:textId="77777777" w:rsidR="005C23E8" w:rsidRPr="0097636B" w:rsidRDefault="005C23E8" w:rsidP="00AA657C">
            <w:pPr>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lastRenderedPageBreak/>
              <w:t>PANSS (mean (SD))</w:t>
            </w:r>
          </w:p>
        </w:tc>
        <w:tc>
          <w:tcPr>
            <w:tcW w:w="1710" w:type="dxa"/>
            <w:tcBorders>
              <w:top w:val="single" w:sz="8" w:space="0" w:color="000000"/>
              <w:bottom w:val="single" w:sz="8" w:space="0" w:color="000000"/>
            </w:tcBorders>
            <w:tcMar>
              <w:top w:w="20" w:type="dxa"/>
              <w:left w:w="20" w:type="dxa"/>
              <w:bottom w:w="100" w:type="dxa"/>
              <w:right w:w="20" w:type="dxa"/>
            </w:tcMar>
            <w:vAlign w:val="bottom"/>
          </w:tcPr>
          <w:p w14:paraId="2CD9864F"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62.33 (16.82)</w:t>
            </w:r>
          </w:p>
        </w:tc>
        <w:tc>
          <w:tcPr>
            <w:tcW w:w="1800" w:type="dxa"/>
            <w:tcBorders>
              <w:top w:val="single" w:sz="8" w:space="0" w:color="000000"/>
              <w:bottom w:val="single" w:sz="8" w:space="0" w:color="000000"/>
            </w:tcBorders>
            <w:tcMar>
              <w:top w:w="20" w:type="dxa"/>
              <w:left w:w="20" w:type="dxa"/>
              <w:bottom w:w="100" w:type="dxa"/>
              <w:right w:w="20" w:type="dxa"/>
            </w:tcMar>
            <w:vAlign w:val="bottom"/>
          </w:tcPr>
          <w:p w14:paraId="30024E0E"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64.83 (17.07)</w:t>
            </w:r>
          </w:p>
        </w:tc>
        <w:tc>
          <w:tcPr>
            <w:tcW w:w="1590" w:type="dxa"/>
            <w:tcBorders>
              <w:top w:val="single" w:sz="8" w:space="0" w:color="000000"/>
              <w:bottom w:val="single" w:sz="8" w:space="0" w:color="000000"/>
            </w:tcBorders>
            <w:tcMar>
              <w:top w:w="20" w:type="dxa"/>
              <w:left w:w="20" w:type="dxa"/>
              <w:bottom w:w="100" w:type="dxa"/>
              <w:right w:w="20" w:type="dxa"/>
            </w:tcMar>
            <w:vAlign w:val="bottom"/>
          </w:tcPr>
          <w:p w14:paraId="63794241" w14:textId="77777777" w:rsidR="005C23E8" w:rsidRPr="0097636B" w:rsidRDefault="005C23E8" w:rsidP="00AA657C">
            <w:pPr>
              <w:ind w:right="-30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59.86 (17.05)</w:t>
            </w:r>
          </w:p>
        </w:tc>
        <w:tc>
          <w:tcPr>
            <w:tcW w:w="1440" w:type="dxa"/>
            <w:tcBorders>
              <w:bottom w:val="single" w:sz="8" w:space="0" w:color="000000"/>
            </w:tcBorders>
            <w:tcMar>
              <w:top w:w="100" w:type="dxa"/>
              <w:left w:w="80" w:type="dxa"/>
              <w:bottom w:w="100" w:type="dxa"/>
              <w:right w:w="80" w:type="dxa"/>
            </w:tcMar>
            <w:vAlign w:val="bottom"/>
          </w:tcPr>
          <w:p w14:paraId="3DEFA948"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N/A</w:t>
            </w:r>
          </w:p>
        </w:tc>
        <w:tc>
          <w:tcPr>
            <w:tcW w:w="870" w:type="dxa"/>
            <w:tcBorders>
              <w:bottom w:val="single" w:sz="8" w:space="0" w:color="000000"/>
            </w:tcBorders>
            <w:tcMar>
              <w:top w:w="100" w:type="dxa"/>
              <w:left w:w="80" w:type="dxa"/>
              <w:bottom w:w="100" w:type="dxa"/>
              <w:right w:w="80" w:type="dxa"/>
            </w:tcMar>
            <w:vAlign w:val="bottom"/>
          </w:tcPr>
          <w:p w14:paraId="2E3DF7B0"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0.073</w:t>
            </w:r>
          </w:p>
        </w:tc>
      </w:tr>
      <w:tr w:rsidR="005C23E8" w:rsidRPr="0097636B" w14:paraId="259F9F5F" w14:textId="77777777" w:rsidTr="00AA657C">
        <w:trPr>
          <w:trHeight w:val="345"/>
        </w:trPr>
        <w:tc>
          <w:tcPr>
            <w:tcW w:w="1965" w:type="dxa"/>
            <w:tcBorders>
              <w:bottom w:val="single" w:sz="8" w:space="0" w:color="000000"/>
            </w:tcBorders>
            <w:tcMar>
              <w:top w:w="100" w:type="dxa"/>
              <w:left w:w="80" w:type="dxa"/>
              <w:bottom w:w="100" w:type="dxa"/>
              <w:right w:w="80" w:type="dxa"/>
            </w:tcMar>
            <w:vAlign w:val="bottom"/>
          </w:tcPr>
          <w:p w14:paraId="20E55359" w14:textId="77777777" w:rsidR="005C23E8" w:rsidRPr="0097636B" w:rsidRDefault="005C23E8" w:rsidP="00AA657C">
            <w:pPr>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BACS (mean (SD))</w:t>
            </w:r>
          </w:p>
          <w:p w14:paraId="18BB41BF" w14:textId="77777777" w:rsidR="005C23E8" w:rsidRPr="0097636B" w:rsidRDefault="005C23E8" w:rsidP="00AA657C">
            <w:pPr>
              <w:jc w:val="both"/>
              <w:rPr>
                <w:rFonts w:ascii="Times New Roman" w:eastAsia="Times New Roman" w:hAnsi="Times New Roman" w:cs="Times New Roman"/>
                <w:sz w:val="24"/>
                <w:szCs w:val="24"/>
              </w:rPr>
            </w:pPr>
          </w:p>
        </w:tc>
        <w:tc>
          <w:tcPr>
            <w:tcW w:w="1710" w:type="dxa"/>
            <w:tcBorders>
              <w:bottom w:val="single" w:sz="8" w:space="0" w:color="000000"/>
            </w:tcBorders>
            <w:tcMar>
              <w:top w:w="100" w:type="dxa"/>
              <w:left w:w="80" w:type="dxa"/>
              <w:bottom w:w="100" w:type="dxa"/>
              <w:right w:w="80" w:type="dxa"/>
            </w:tcMar>
            <w:vAlign w:val="bottom"/>
          </w:tcPr>
          <w:p w14:paraId="62D5E9A4"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-1.90 (1.27)</w:t>
            </w:r>
          </w:p>
        </w:tc>
        <w:tc>
          <w:tcPr>
            <w:tcW w:w="1800" w:type="dxa"/>
            <w:tcBorders>
              <w:bottom w:val="single" w:sz="8" w:space="0" w:color="000000"/>
            </w:tcBorders>
            <w:tcMar>
              <w:top w:w="100" w:type="dxa"/>
              <w:left w:w="80" w:type="dxa"/>
              <w:bottom w:w="100" w:type="dxa"/>
              <w:right w:w="80" w:type="dxa"/>
            </w:tcMar>
            <w:vAlign w:val="bottom"/>
          </w:tcPr>
          <w:p w14:paraId="43712DB1"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-1.82 (1.27)</w:t>
            </w:r>
          </w:p>
        </w:tc>
        <w:tc>
          <w:tcPr>
            <w:tcW w:w="1590" w:type="dxa"/>
            <w:tcBorders>
              <w:bottom w:val="single" w:sz="8" w:space="0" w:color="000000"/>
            </w:tcBorders>
            <w:tcMar>
              <w:top w:w="100" w:type="dxa"/>
              <w:left w:w="80" w:type="dxa"/>
              <w:bottom w:w="100" w:type="dxa"/>
              <w:right w:w="80" w:type="dxa"/>
            </w:tcMar>
            <w:vAlign w:val="bottom"/>
          </w:tcPr>
          <w:p w14:paraId="67F2B577"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-0.39 (1.21)</w:t>
            </w:r>
          </w:p>
        </w:tc>
        <w:tc>
          <w:tcPr>
            <w:tcW w:w="1440" w:type="dxa"/>
            <w:tcBorders>
              <w:bottom w:val="single" w:sz="8" w:space="0" w:color="000000"/>
            </w:tcBorders>
            <w:tcMar>
              <w:top w:w="100" w:type="dxa"/>
              <w:left w:w="80" w:type="dxa"/>
              <w:bottom w:w="100" w:type="dxa"/>
              <w:right w:w="80" w:type="dxa"/>
            </w:tcMar>
            <w:vAlign w:val="bottom"/>
          </w:tcPr>
          <w:p w14:paraId="65289216"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0.02 (1.20)</w:t>
            </w:r>
          </w:p>
        </w:tc>
        <w:tc>
          <w:tcPr>
            <w:tcW w:w="870" w:type="dxa"/>
            <w:tcBorders>
              <w:bottom w:val="single" w:sz="8" w:space="0" w:color="000000"/>
            </w:tcBorders>
            <w:tcMar>
              <w:top w:w="100" w:type="dxa"/>
              <w:left w:w="80" w:type="dxa"/>
              <w:bottom w:w="100" w:type="dxa"/>
              <w:right w:w="80" w:type="dxa"/>
            </w:tcMar>
            <w:vAlign w:val="bottom"/>
          </w:tcPr>
          <w:p w14:paraId="6079397F" w14:textId="77777777" w:rsidR="005C23E8" w:rsidRPr="0097636B" w:rsidRDefault="005C23E8" w:rsidP="00AA657C">
            <w:pPr>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 xml:space="preserve"> &lt;0.001</w:t>
            </w:r>
          </w:p>
        </w:tc>
      </w:tr>
    </w:tbl>
    <w:p w14:paraId="77B1B801" w14:textId="77777777" w:rsidR="005C23E8" w:rsidRPr="0097636B" w:rsidRDefault="005C23E8" w:rsidP="005C23E8">
      <w:pPr>
        <w:spacing w:line="240" w:lineRule="auto"/>
        <w:jc w:val="both"/>
        <w:rPr>
          <w:rFonts w:ascii="Times New Roman" w:eastAsia="Times New Roman" w:hAnsi="Times New Roman" w:cs="Times New Roman"/>
          <w:sz w:val="24"/>
          <w:szCs w:val="24"/>
        </w:rPr>
      </w:pPr>
    </w:p>
    <w:p w14:paraId="77ECFCEA" w14:textId="77777777" w:rsidR="005C23E8" w:rsidRPr="0097636B" w:rsidRDefault="005C23E8" w:rsidP="005C23E8">
      <w:pPr>
        <w:spacing w:line="240" w:lineRule="auto"/>
        <w:jc w:val="both"/>
        <w:rPr>
          <w:rFonts w:eastAsia="Times New Roman"/>
          <w:sz w:val="16"/>
          <w:szCs w:val="16"/>
        </w:rPr>
      </w:pPr>
      <w:r w:rsidRPr="0097636B">
        <w:rPr>
          <w:rFonts w:eastAsia="Times New Roman"/>
          <w:bCs/>
          <w:i/>
          <w:iCs/>
          <w:sz w:val="16"/>
          <w:szCs w:val="16"/>
        </w:rPr>
        <w:t>Note.</w:t>
      </w:r>
      <w:r w:rsidRPr="0097636B">
        <w:rPr>
          <w:rFonts w:eastAsia="Times New Roman"/>
          <w:sz w:val="16"/>
          <w:szCs w:val="16"/>
        </w:rPr>
        <w:t xml:space="preserve"> Information is missing for the following variables: sex (n=1 control); race (n=1 control); duration of illness (n=10 patients); PANSS (n=9 patients); CPZ (n=136 patients); BACS (n=18 controls and n=7 patients); SD, Standard deviation; F, female; CA, Caucasian; AA, African American; AE, American Indian; AS, Asian; MR, Mixed Race; NH, Native Hawaiian; OT, Other; BACS, Brief Assessment of Cognition in Schizophrenia Total Composite Z score;  PANSS, Positive and Negative Syndrome Scale Total; CPZ,  chlorpromazine equivalents.</w:t>
      </w:r>
    </w:p>
    <w:p w14:paraId="59AF9544" w14:textId="77777777" w:rsidR="005C23E8" w:rsidRPr="0097636B" w:rsidRDefault="005C23E8" w:rsidP="005C23E8">
      <w:pPr>
        <w:spacing w:line="240" w:lineRule="auto"/>
        <w:jc w:val="both"/>
        <w:rPr>
          <w:rFonts w:eastAsia="Times New Roman"/>
          <w:sz w:val="16"/>
          <w:szCs w:val="16"/>
        </w:rPr>
      </w:pPr>
    </w:p>
    <w:p w14:paraId="3FFE4013" w14:textId="77777777" w:rsidR="005C23E8" w:rsidRPr="0097636B" w:rsidRDefault="005C23E8" w:rsidP="005C23E8">
      <w:pPr>
        <w:spacing w:line="240" w:lineRule="auto"/>
        <w:jc w:val="both"/>
        <w:rPr>
          <w:rFonts w:ascii="Times New Roman" w:eastAsia="Times New Roman" w:hAnsi="Times New Roman" w:cs="Times New Roman"/>
          <w:sz w:val="24"/>
          <w:szCs w:val="24"/>
        </w:rPr>
      </w:pPr>
    </w:p>
    <w:p w14:paraId="17ECE1BC" w14:textId="77777777" w:rsidR="005C23E8" w:rsidRPr="0097636B" w:rsidRDefault="005C23E8" w:rsidP="005C23E8">
      <w:pPr>
        <w:spacing w:line="240" w:lineRule="auto"/>
        <w:jc w:val="both"/>
        <w:rPr>
          <w:rFonts w:ascii="Times New Roman" w:eastAsia="Times New Roman" w:hAnsi="Times New Roman" w:cs="Times New Roman"/>
          <w:sz w:val="24"/>
          <w:szCs w:val="24"/>
        </w:rPr>
      </w:pPr>
    </w:p>
    <w:p w14:paraId="759CB20D" w14:textId="77777777" w:rsidR="005C23E8" w:rsidRPr="0097636B" w:rsidRDefault="005C23E8" w:rsidP="005C23E8">
      <w:pPr>
        <w:spacing w:line="480" w:lineRule="auto"/>
        <w:jc w:val="both"/>
        <w:rPr>
          <w:rFonts w:ascii="Times New Roman" w:eastAsia="Times New Roman" w:hAnsi="Times New Roman" w:cs="Times New Roman"/>
          <w:b/>
          <w:i/>
          <w:sz w:val="24"/>
          <w:szCs w:val="24"/>
        </w:rPr>
      </w:pPr>
      <w:r w:rsidRPr="0097636B">
        <w:rPr>
          <w:rFonts w:ascii="Times New Roman" w:eastAsia="Times New Roman" w:hAnsi="Times New Roman" w:cs="Times New Roman"/>
          <w:b/>
          <w:i/>
          <w:noProof/>
          <w:sz w:val="24"/>
          <w:szCs w:val="24"/>
        </w:rPr>
        <w:drawing>
          <wp:inline distT="0" distB="0" distL="0" distR="0" wp14:anchorId="51814D24" wp14:editId="687941F5">
            <wp:extent cx="5941060" cy="4369869"/>
            <wp:effectExtent l="0" t="0" r="2540" b="0"/>
            <wp:docPr id="1860589270"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89270" name="Picture 3" descr="A screenshot of a graph&#10;&#10;Description automatically generated"/>
                    <pic:cNvPicPr/>
                  </pic:nvPicPr>
                  <pic:blipFill rotWithShape="1">
                    <a:blip r:embed="rId8">
                      <a:extLst>
                        <a:ext uri="{28A0092B-C50C-407E-A947-70E740481C1C}">
                          <a14:useLocalDpi xmlns:a14="http://schemas.microsoft.com/office/drawing/2010/main" val="0"/>
                        </a:ext>
                      </a:extLst>
                    </a:blip>
                    <a:srcRect b="1679"/>
                    <a:stretch/>
                  </pic:blipFill>
                  <pic:spPr bwMode="auto">
                    <a:xfrm>
                      <a:off x="0" y="0"/>
                      <a:ext cx="5976383" cy="4395851"/>
                    </a:xfrm>
                    <a:prstGeom prst="rect">
                      <a:avLst/>
                    </a:prstGeom>
                    <a:ln>
                      <a:noFill/>
                    </a:ln>
                    <a:extLst>
                      <a:ext uri="{53640926-AAD7-44D8-BBD7-CCE9431645EC}">
                        <a14:shadowObscured xmlns:a14="http://schemas.microsoft.com/office/drawing/2010/main"/>
                      </a:ext>
                    </a:extLst>
                  </pic:spPr>
                </pic:pic>
              </a:graphicData>
            </a:graphic>
          </wp:inline>
        </w:drawing>
      </w:r>
    </w:p>
    <w:p w14:paraId="176784E0" w14:textId="77777777" w:rsidR="005C23E8" w:rsidRPr="0097636B" w:rsidRDefault="005C23E8" w:rsidP="005C23E8">
      <w:pPr>
        <w:spacing w:line="240" w:lineRule="auto"/>
        <w:jc w:val="both"/>
        <w:rPr>
          <w:rFonts w:eastAsia="Times New Roman"/>
          <w:iCs/>
          <w:sz w:val="16"/>
          <w:szCs w:val="16"/>
        </w:rPr>
      </w:pPr>
      <w:r w:rsidRPr="0097636B">
        <w:rPr>
          <w:rFonts w:eastAsia="Times New Roman"/>
          <w:b/>
          <w:iCs/>
          <w:sz w:val="16"/>
          <w:szCs w:val="16"/>
        </w:rPr>
        <w:t>Supplementary Fig 3.</w:t>
      </w:r>
      <w:r w:rsidRPr="0097636B">
        <w:rPr>
          <w:rFonts w:eastAsia="Times New Roman"/>
          <w:bCs/>
          <w:i/>
          <w:sz w:val="16"/>
          <w:szCs w:val="16"/>
        </w:rPr>
        <w:t xml:space="preserve"> </w:t>
      </w:r>
      <w:r w:rsidRPr="0097636B">
        <w:rPr>
          <w:rFonts w:eastAsia="Times New Roman"/>
          <w:bCs/>
          <w:iCs/>
          <w:sz w:val="16"/>
          <w:szCs w:val="16"/>
        </w:rPr>
        <w:t xml:space="preserve">Pearsons Correlations between each pair of variables. </w:t>
      </w:r>
      <w:r w:rsidRPr="0097636B">
        <w:rPr>
          <w:rFonts w:eastAsia="Times New Roman"/>
          <w:iCs/>
          <w:sz w:val="16"/>
          <w:szCs w:val="16"/>
        </w:rPr>
        <w:t>BACS, Brief Assessment of Cognition in Schizophrenia Total Composite Z score; PANSS, Positive and Negative Syndrome Scale Total; CPZ, chlorpromazine equivalents.</w:t>
      </w:r>
    </w:p>
    <w:p w14:paraId="79614B6E" w14:textId="77777777" w:rsidR="005C23E8" w:rsidRDefault="005C23E8" w:rsidP="005C23E8">
      <w:pPr>
        <w:spacing w:line="480" w:lineRule="auto"/>
        <w:jc w:val="both"/>
        <w:rPr>
          <w:rFonts w:ascii="Times New Roman" w:eastAsia="Times New Roman" w:hAnsi="Times New Roman" w:cs="Times New Roman"/>
          <w:i/>
          <w:sz w:val="24"/>
          <w:szCs w:val="24"/>
        </w:rPr>
      </w:pPr>
    </w:p>
    <w:p w14:paraId="51F200D4" w14:textId="77777777" w:rsidR="00C10158" w:rsidRPr="0097636B" w:rsidRDefault="00C10158" w:rsidP="005C23E8">
      <w:pPr>
        <w:spacing w:line="480" w:lineRule="auto"/>
        <w:jc w:val="both"/>
        <w:rPr>
          <w:rFonts w:ascii="Times New Roman" w:eastAsia="Times New Roman" w:hAnsi="Times New Roman" w:cs="Times New Roman"/>
          <w:i/>
          <w:sz w:val="24"/>
          <w:szCs w:val="24"/>
        </w:rPr>
      </w:pPr>
    </w:p>
    <w:p w14:paraId="2497B4CC" w14:textId="77777777" w:rsidR="005C23E8" w:rsidRPr="0097636B" w:rsidRDefault="005C23E8" w:rsidP="005C23E8">
      <w:pPr>
        <w:spacing w:line="480" w:lineRule="auto"/>
        <w:jc w:val="both"/>
        <w:rPr>
          <w:rFonts w:ascii="Times New Roman" w:eastAsia="Times New Roman" w:hAnsi="Times New Roman" w:cs="Times New Roman"/>
          <w:b/>
          <w:sz w:val="24"/>
          <w:szCs w:val="24"/>
        </w:rPr>
      </w:pPr>
      <w:r w:rsidRPr="0097636B">
        <w:rPr>
          <w:rFonts w:ascii="Times New Roman" w:eastAsia="Times New Roman" w:hAnsi="Times New Roman" w:cs="Times New Roman"/>
          <w:i/>
          <w:sz w:val="24"/>
          <w:szCs w:val="24"/>
        </w:rPr>
        <w:lastRenderedPageBreak/>
        <w:t>Supplementary references</w:t>
      </w:r>
    </w:p>
    <w:p w14:paraId="6AFFB712" w14:textId="77777777" w:rsidR="005C23E8" w:rsidRPr="0097636B" w:rsidRDefault="005C23E8" w:rsidP="005C23E8">
      <w:pPr>
        <w:spacing w:after="160" w:line="256" w:lineRule="auto"/>
        <w:ind w:left="720" w:hanging="72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1.</w:t>
      </w:r>
      <w:r w:rsidRPr="0097636B">
        <w:rPr>
          <w:rFonts w:ascii="Times New Roman" w:eastAsia="Times New Roman" w:hAnsi="Times New Roman" w:cs="Times New Roman"/>
          <w:sz w:val="24"/>
          <w:szCs w:val="24"/>
        </w:rPr>
        <w:tab/>
        <w:t>Clementz, B. A., Parker, D. A., Trotti, R. L., McDowell, J. E., Keedy, S. K., Keshavan, M. S., Pearlson, G. D., Gershon, E. S., Ivleva, E. I., Huang, L.-Y., Hill, S. K., Sweeney, J. A., Thomas, O., Hudgens-Haney, M., Gibbons, R. D., &amp; Tamminga, C. A. (2022). Psychosis Biotypes: Replication and Validation from the B-SNIP Consortium. Schizophrenia Bulletin, 48(1), 56–68. https://doi.org/10.1093/schbul/sbab090</w:t>
      </w:r>
    </w:p>
    <w:p w14:paraId="6F1F19E2" w14:textId="77777777" w:rsidR="005C23E8" w:rsidRPr="0097636B" w:rsidRDefault="005C23E8" w:rsidP="005C23E8">
      <w:pPr>
        <w:spacing w:after="160" w:line="256" w:lineRule="auto"/>
        <w:ind w:left="720" w:hanging="72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2.</w:t>
      </w:r>
      <w:r w:rsidRPr="0097636B">
        <w:rPr>
          <w:rFonts w:ascii="Times New Roman" w:eastAsia="Times New Roman" w:hAnsi="Times New Roman" w:cs="Times New Roman"/>
          <w:sz w:val="24"/>
          <w:szCs w:val="24"/>
        </w:rPr>
        <w:tab/>
        <w:t>Clementz, B. A., Sweeney, J. A., Hamm, J. P., Ivleva, E. I., Ethridge, L. E., Pearlson, G. D., Keshavan, M. S., &amp; Tamminga, C. A. (2016). Identification of distinct psychosis biotypes using brain-based biomarkers. American Journal of Psychiatry, 173(4), 373–384. https://doi.org/10.1176/appi.ajp.2015.14091200</w:t>
      </w:r>
    </w:p>
    <w:p w14:paraId="1730E61F" w14:textId="77777777" w:rsidR="005C23E8" w:rsidRPr="0097636B" w:rsidRDefault="005C23E8" w:rsidP="005C23E8">
      <w:pPr>
        <w:spacing w:after="160" w:line="256" w:lineRule="auto"/>
        <w:ind w:left="720" w:hanging="72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3.</w:t>
      </w:r>
      <w:r w:rsidRPr="0097636B">
        <w:rPr>
          <w:rFonts w:ascii="Times New Roman" w:eastAsia="Times New Roman" w:hAnsi="Times New Roman" w:cs="Times New Roman"/>
          <w:sz w:val="24"/>
          <w:szCs w:val="24"/>
        </w:rPr>
        <w:tab/>
        <w:t>Ethridge, L. E., Ph, D., Hamm, J. P., Pearlson, G. D., Carol, A., Sweeney, J. A., Ph, D., Keshavan, M. S., Brett, A., Tamminga, C. A., Sweeney, J. A., Keshavan, M. S., Clementz, B. A., Ph, D., Hamm, J. P., Pearlson, G. D., Carol, A., Sweeney, J. A., Ph, D., … Brett, A. (2017). Event-Related Potential and Time-Frequency Endophenotypes for Schizophrenia and Psychotic Bipolar Disorder. Biological Psychiatry, 77(2), 127–136.</w:t>
      </w:r>
    </w:p>
    <w:p w14:paraId="49F8DFD8" w14:textId="77777777" w:rsidR="005C23E8" w:rsidRPr="0097636B" w:rsidRDefault="005C23E8" w:rsidP="005C23E8">
      <w:pPr>
        <w:spacing w:after="160" w:line="256" w:lineRule="auto"/>
        <w:ind w:left="720" w:hanging="72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4.</w:t>
      </w:r>
      <w:r w:rsidRPr="0097636B">
        <w:rPr>
          <w:rFonts w:ascii="Times New Roman" w:eastAsia="Times New Roman" w:hAnsi="Times New Roman" w:cs="Times New Roman"/>
          <w:sz w:val="24"/>
          <w:szCs w:val="24"/>
        </w:rPr>
        <w:tab/>
        <w:t>Ethridge, L. E., Soilleux, M., Nakonezny, P. A., Reilly, J. L., Kristian Hill, S., Keefe, R. S. E., Gershon, E. S., Pearlson, G. D., Tamminga, C. A., Keshavan, M. S., &amp; Sweeney, J. A. (2014). Behavioral response inhibition in psychotic disorders: Diagnostic specificity, familiality and relation to generalized cognitive deficit. Schizophrenia Research, 159(2–3), 491–498. https://doi.org/10.1016/j.schres.2014.08.025</w:t>
      </w:r>
    </w:p>
    <w:p w14:paraId="6BB03E3A" w14:textId="77777777" w:rsidR="005C23E8" w:rsidRPr="0097636B" w:rsidRDefault="005C23E8" w:rsidP="005C23E8">
      <w:pPr>
        <w:spacing w:after="160" w:line="256" w:lineRule="auto"/>
        <w:ind w:left="720" w:hanging="72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5.</w:t>
      </w:r>
      <w:r w:rsidRPr="0097636B">
        <w:rPr>
          <w:rFonts w:ascii="Times New Roman" w:eastAsia="Times New Roman" w:hAnsi="Times New Roman" w:cs="Times New Roman"/>
          <w:sz w:val="24"/>
          <w:szCs w:val="24"/>
        </w:rPr>
        <w:tab/>
        <w:t>Gotra, M. Y., Hill, S. K., Gershon, E. S., Tamminga, C. A., Ivleva, E. I., Pearlson, G. D., Keshavan, M. S., Clementz, B. A., McDowell, J. E., Buckley, P. F., Sweeney, J. A., &amp; Keedy, S. K. (2020). Distinguishing patterns of impairment on inhibitory control and general cognitive ability among bipolar with and without psychosis, schizophrenia, and schizoaffective disorder. Schizophrenia Research, 223, 148–157. https://doi.org/10.1016/j.schres.2020.06.033</w:t>
      </w:r>
    </w:p>
    <w:p w14:paraId="63503253" w14:textId="77777777" w:rsidR="005C23E8" w:rsidRPr="0097636B" w:rsidRDefault="005C23E8" w:rsidP="005C23E8">
      <w:pPr>
        <w:spacing w:after="160" w:line="256" w:lineRule="auto"/>
        <w:ind w:left="720" w:hanging="72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6.</w:t>
      </w:r>
      <w:r w:rsidRPr="0097636B">
        <w:rPr>
          <w:rFonts w:ascii="Times New Roman" w:eastAsia="Times New Roman" w:hAnsi="Times New Roman" w:cs="Times New Roman"/>
          <w:sz w:val="24"/>
          <w:szCs w:val="24"/>
        </w:rPr>
        <w:tab/>
        <w:t>Hamm, J. P., Ethridge, L. E., Boutros, N. N., Keshavan, M. S., Sweeney, J. A., Pearlson, G. D., Tamminga, C. A., &amp; Clementz, B. A. (2014). Diagnostic specificity and familiality of early versus late evoked potentials to auditory paired stimuli across the schizophrenia-bipolar psychosis spectrum. Psychophysiology, 51(4), 348–357. https://doi.org/10.1111/psyp.12185</w:t>
      </w:r>
    </w:p>
    <w:p w14:paraId="16A792B7" w14:textId="77777777" w:rsidR="005C23E8" w:rsidRPr="0097636B" w:rsidRDefault="005C23E8" w:rsidP="005C23E8">
      <w:pPr>
        <w:spacing w:after="160" w:line="256" w:lineRule="auto"/>
        <w:ind w:left="720" w:hanging="72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7.</w:t>
      </w:r>
      <w:r w:rsidRPr="0097636B">
        <w:rPr>
          <w:rFonts w:ascii="Times New Roman" w:eastAsia="Times New Roman" w:hAnsi="Times New Roman" w:cs="Times New Roman"/>
          <w:sz w:val="24"/>
          <w:szCs w:val="24"/>
        </w:rPr>
        <w:tab/>
      </w:r>
      <w:r w:rsidRPr="0097636B">
        <w:rPr>
          <w:rFonts w:ascii="Times New Roman" w:hAnsi="Times New Roman" w:cs="Times New Roman"/>
          <w:noProof/>
          <w:sz w:val="24"/>
        </w:rPr>
        <w:t xml:space="preserve">Hill, S.K., Reilly, J. L., Keefe, R. S. E., Gold, J. M., Bishop, J. R., Gershon, E. S., … Sweeney, J. A. (2013). Neuropsychological impairments in schizophrenia and psychotic Bipolar disorder: Findings from the Bipolar-Schizophrenia Network on Intermediate Phenotypes (B-SNIP) study. </w:t>
      </w:r>
      <w:r w:rsidRPr="0097636B">
        <w:rPr>
          <w:rFonts w:ascii="Times New Roman" w:hAnsi="Times New Roman" w:cs="Times New Roman"/>
          <w:i/>
          <w:iCs/>
          <w:noProof/>
          <w:sz w:val="24"/>
        </w:rPr>
        <w:t>American Journal of Psychiatry</w:t>
      </w:r>
      <w:r w:rsidRPr="0097636B">
        <w:rPr>
          <w:rFonts w:ascii="Times New Roman" w:hAnsi="Times New Roman" w:cs="Times New Roman"/>
          <w:noProof/>
          <w:sz w:val="24"/>
        </w:rPr>
        <w:t xml:space="preserve">, </w:t>
      </w:r>
      <w:r w:rsidRPr="0097636B">
        <w:rPr>
          <w:rFonts w:ascii="Times New Roman" w:hAnsi="Times New Roman" w:cs="Times New Roman"/>
          <w:i/>
          <w:iCs/>
          <w:noProof/>
          <w:sz w:val="24"/>
        </w:rPr>
        <w:t>170</w:t>
      </w:r>
      <w:r w:rsidRPr="0097636B">
        <w:rPr>
          <w:rFonts w:ascii="Times New Roman" w:hAnsi="Times New Roman" w:cs="Times New Roman"/>
          <w:noProof/>
          <w:sz w:val="24"/>
        </w:rPr>
        <w:t>(11), 1275–1284.</w:t>
      </w:r>
    </w:p>
    <w:p w14:paraId="35B433EC" w14:textId="77777777" w:rsidR="005C23E8" w:rsidRPr="0097636B" w:rsidRDefault="005C23E8" w:rsidP="005C23E8">
      <w:pPr>
        <w:spacing w:after="160" w:line="256" w:lineRule="auto"/>
        <w:ind w:left="720" w:hanging="72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8.</w:t>
      </w:r>
      <w:r w:rsidRPr="0097636B">
        <w:rPr>
          <w:rFonts w:ascii="Times New Roman" w:eastAsia="Times New Roman" w:hAnsi="Times New Roman" w:cs="Times New Roman"/>
          <w:sz w:val="24"/>
          <w:szCs w:val="24"/>
        </w:rPr>
        <w:tab/>
        <w:t xml:space="preserve">Huang, L. Y., Jackson, B. S., Rodrigue, A. L., Tamminga, C. A., Gershon, E. S., Pearlson, G. D., Keshavan, M. S., Keedy, S. S., Kristian Hill, S., Sweeney, J. A., Clementz, B. A., &amp; McDowell, J. E. (2022). Antisaccade error rates and gap effects in psychosis syndromes from bipolar-schizophrenia network for intermediate phenotypes 2 (B-SNIP2). </w:t>
      </w:r>
      <w:r w:rsidRPr="0097636B">
        <w:rPr>
          <w:rFonts w:ascii="Times New Roman" w:eastAsia="Times New Roman" w:hAnsi="Times New Roman" w:cs="Times New Roman"/>
          <w:sz w:val="24"/>
          <w:szCs w:val="24"/>
        </w:rPr>
        <w:lastRenderedPageBreak/>
        <w:t>Psychological Medicine, 52(13), 2692–2701. https://doi.org/10.1017/S003329172000478X</w:t>
      </w:r>
    </w:p>
    <w:p w14:paraId="5D38BC79" w14:textId="77777777" w:rsidR="005C23E8" w:rsidRPr="0097636B" w:rsidRDefault="005C23E8" w:rsidP="005C23E8">
      <w:pPr>
        <w:spacing w:after="160" w:line="256" w:lineRule="auto"/>
        <w:ind w:left="720" w:hanging="72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9.</w:t>
      </w:r>
      <w:r w:rsidRPr="0097636B">
        <w:rPr>
          <w:rFonts w:ascii="Times New Roman" w:eastAsia="Times New Roman" w:hAnsi="Times New Roman" w:cs="Times New Roman"/>
          <w:sz w:val="24"/>
          <w:szCs w:val="24"/>
        </w:rPr>
        <w:tab/>
        <w:t>Keefe, R. S. E., Goldberg, T. E., Harvey, P. D., Gold, J. M., Poe, M. P., &amp; Coughenour, L. (2004). The Brief Assessment of Cognition in Schizophrenia: Reliability, sensitivity, and comparison with a standard neurocognitive battery. Schizophrenia Research, 68(2–3), 283–297. https://doi.org/10.1016/j.schres.2003.09.011</w:t>
      </w:r>
    </w:p>
    <w:p w14:paraId="64A362B2" w14:textId="77777777" w:rsidR="005C23E8" w:rsidRPr="0097636B" w:rsidRDefault="005C23E8" w:rsidP="005C23E8">
      <w:pPr>
        <w:spacing w:after="160" w:line="256" w:lineRule="auto"/>
        <w:ind w:left="720" w:hanging="72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10.</w:t>
      </w:r>
      <w:r w:rsidRPr="0097636B">
        <w:rPr>
          <w:rFonts w:ascii="Times New Roman" w:eastAsia="Times New Roman" w:hAnsi="Times New Roman" w:cs="Times New Roman"/>
          <w:sz w:val="24"/>
          <w:szCs w:val="24"/>
        </w:rPr>
        <w:tab/>
        <w:t>Parker, D. A., Trotti, R. L., McDowell, J. E., Keedy, S. K., Gershon, E. S., Ivleva, E. I., Pearlson, G. D., Keshavan, M. S., Tamminga, C. A., Sweeney, J. A., &amp; Clementz, B. A. (2020). Auditory paired-stimuli responses across the psychosis and bipolar spectrum and their relationship to clinical features. Biomarkers in Neuropsychiatry, 3. https://doi.org/10.1016/j.bionps.2020.100014</w:t>
      </w:r>
    </w:p>
    <w:p w14:paraId="6B0E205A" w14:textId="77777777" w:rsidR="005C23E8" w:rsidRPr="0097636B" w:rsidRDefault="005C23E8" w:rsidP="005C23E8">
      <w:pPr>
        <w:spacing w:after="160" w:line="256" w:lineRule="auto"/>
        <w:ind w:left="720" w:hanging="72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11.</w:t>
      </w:r>
      <w:r w:rsidRPr="0097636B">
        <w:rPr>
          <w:rFonts w:ascii="Times New Roman" w:eastAsia="Times New Roman" w:hAnsi="Times New Roman" w:cs="Times New Roman"/>
          <w:sz w:val="24"/>
          <w:szCs w:val="24"/>
        </w:rPr>
        <w:tab/>
        <w:t>Parker, D. A., Trotti, R. L., McDowell, J. E., Keedy, S. K., Hill, S. K., Gershon, E. S., Ivleva, E. I., Pearlson, G. D., Keshavan, M. S., Tamminga, C. A., &amp; Clementz, B. A. (2021). Auditory Oddball Responses Across the Schizophrenia-Bipolar Spectrum and Their Relationship to Cognitive and Clinical Features. The American Journal of Psychiatry, 178(10), 952–964. https://doi.org/10.1176/appi.ajp.2021.20071043</w:t>
      </w:r>
    </w:p>
    <w:p w14:paraId="17FC06CC" w14:textId="77777777" w:rsidR="005C23E8" w:rsidRPr="00C76A82" w:rsidRDefault="005C23E8" w:rsidP="005C23E8">
      <w:pPr>
        <w:spacing w:after="160" w:line="256" w:lineRule="auto"/>
        <w:ind w:left="720" w:hanging="720"/>
        <w:jc w:val="both"/>
        <w:rPr>
          <w:rFonts w:ascii="Times New Roman" w:eastAsia="Times New Roman" w:hAnsi="Times New Roman" w:cs="Times New Roman"/>
          <w:sz w:val="24"/>
          <w:szCs w:val="24"/>
        </w:rPr>
      </w:pPr>
      <w:r w:rsidRPr="0097636B">
        <w:rPr>
          <w:rFonts w:ascii="Times New Roman" w:eastAsia="Times New Roman" w:hAnsi="Times New Roman" w:cs="Times New Roman"/>
          <w:sz w:val="24"/>
          <w:szCs w:val="24"/>
        </w:rPr>
        <w:t>12.</w:t>
      </w:r>
      <w:r w:rsidRPr="0097636B">
        <w:rPr>
          <w:rFonts w:ascii="Times New Roman" w:eastAsia="Times New Roman" w:hAnsi="Times New Roman" w:cs="Times New Roman"/>
          <w:sz w:val="24"/>
          <w:szCs w:val="24"/>
        </w:rPr>
        <w:tab/>
        <w:t>Reilly, J. L., Frankovich, K., Hill, S., Gershon, E. S., Keefe, R. S. E., Keshavan, M. S., Pearlson, G. D., Tamminga, C. A., &amp; Sweeney, J. A. (2014). Elevated antisaccade error rate as an intermediate phenotype for psychosis across diagnostic categories. Schizophrenia Bulletin, 40(5), 1011–1021. https://doi.org/10.1093/schbul/sbt132</w:t>
      </w:r>
    </w:p>
    <w:p w14:paraId="3A9D7B61" w14:textId="77777777" w:rsidR="005C23E8" w:rsidRDefault="005C23E8" w:rsidP="005C23E8">
      <w:pPr>
        <w:spacing w:after="160" w:line="256" w:lineRule="auto"/>
        <w:ind w:left="720" w:hanging="720"/>
        <w:jc w:val="both"/>
        <w:rPr>
          <w:sz w:val="24"/>
          <w:szCs w:val="24"/>
        </w:rPr>
      </w:pPr>
    </w:p>
    <w:p w14:paraId="3FD370BB" w14:textId="77777777" w:rsidR="004C1AA5" w:rsidRDefault="004C1AA5"/>
    <w:sectPr w:rsidR="004C1AA5" w:rsidSect="00C1015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F537D" w14:textId="77777777" w:rsidR="00BE3528" w:rsidRDefault="00BE3528">
      <w:pPr>
        <w:spacing w:line="240" w:lineRule="auto"/>
      </w:pPr>
      <w:r>
        <w:separator/>
      </w:r>
    </w:p>
  </w:endnote>
  <w:endnote w:type="continuationSeparator" w:id="0">
    <w:p w14:paraId="3125F82C" w14:textId="77777777" w:rsidR="00BE3528" w:rsidRDefault="00BE35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432B7" w14:textId="77777777" w:rsidR="00114897" w:rsidRDefault="00000000">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325BA" w14:textId="77777777" w:rsidR="00BE3528" w:rsidRDefault="00BE3528">
      <w:pPr>
        <w:spacing w:line="240" w:lineRule="auto"/>
      </w:pPr>
      <w:r>
        <w:separator/>
      </w:r>
    </w:p>
  </w:footnote>
  <w:footnote w:type="continuationSeparator" w:id="0">
    <w:p w14:paraId="2D1ACFB4" w14:textId="77777777" w:rsidR="00BE3528" w:rsidRDefault="00BE352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3E8"/>
    <w:rsid w:val="00061413"/>
    <w:rsid w:val="00107A14"/>
    <w:rsid w:val="00114897"/>
    <w:rsid w:val="00127A48"/>
    <w:rsid w:val="001856A3"/>
    <w:rsid w:val="00192F7E"/>
    <w:rsid w:val="0033363A"/>
    <w:rsid w:val="00355D65"/>
    <w:rsid w:val="00453ABF"/>
    <w:rsid w:val="004C1AA5"/>
    <w:rsid w:val="0050146E"/>
    <w:rsid w:val="005B5771"/>
    <w:rsid w:val="005C23E8"/>
    <w:rsid w:val="007B453C"/>
    <w:rsid w:val="00862C5F"/>
    <w:rsid w:val="00917DD6"/>
    <w:rsid w:val="00B14489"/>
    <w:rsid w:val="00BB200C"/>
    <w:rsid w:val="00BE3528"/>
    <w:rsid w:val="00C10158"/>
    <w:rsid w:val="00C204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0CDA7BC"/>
  <w15:chartTrackingRefBased/>
  <w15:docId w15:val="{DAA8D54F-EDAB-0340-A546-D02E1C9BA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3E8"/>
    <w:pPr>
      <w:spacing w:line="276" w:lineRule="auto"/>
    </w:pPr>
    <w:rPr>
      <w:rFonts w:ascii="Arial" w:eastAsia="Arial" w:hAnsi="Arial" w:cs="Arial"/>
      <w:kern w:val="0"/>
      <w:sz w:val="22"/>
      <w:szCs w:val="22"/>
      <w:lang w:val="e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Pages>
  <Words>8210</Words>
  <Characters>49184</Characters>
  <Application>Microsoft Office Word</Application>
  <DocSecurity>0</DocSecurity>
  <Lines>712</Lines>
  <Paragraphs>142</Paragraphs>
  <ScaleCrop>false</ScaleCrop>
  <Company/>
  <LinksUpToDate>false</LinksUpToDate>
  <CharactersWithSpaces>57252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Alftieh</dc:creator>
  <cp:keywords/>
  <dc:description/>
  <cp:lastModifiedBy>Ahmad Alftieh</cp:lastModifiedBy>
  <cp:revision>4</cp:revision>
  <dcterms:created xsi:type="dcterms:W3CDTF">2023-09-05T15:55:00Z</dcterms:created>
  <dcterms:modified xsi:type="dcterms:W3CDTF">2023-12-04T18:14:00Z</dcterms:modified>
</cp:coreProperties>
</file>