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3F" w:rsidRDefault="005B50AB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Appendix</w:t>
      </w:r>
    </w:p>
    <w:p w:rsidR="00C0583F" w:rsidRDefault="005B50A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Appendix Table 1: Demographics and diagnostic distribution (excluding those lost to follow-up)</w:t>
      </w:r>
    </w:p>
    <w:tbl>
      <w:tblPr>
        <w:tblStyle w:val="a"/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701"/>
        <w:gridCol w:w="1843"/>
        <w:gridCol w:w="2977"/>
      </w:tblGrid>
      <w:tr w:rsidR="00C0583F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Demographic variables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 group</w:t>
            </w:r>
          </w:p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 municipalities)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Significance test</w:t>
            </w:r>
          </w:p>
        </w:tc>
      </w:tr>
      <w:tr w:rsidR="00C0583F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2,267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rPr>
          <w:trHeight w:val="418"/>
        </w:trPr>
        <w:tc>
          <w:tcPr>
            <w:tcW w:w="24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Gender (%) 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= 4.8102, df=1, p = 0.03</w:t>
            </w:r>
          </w:p>
        </w:tc>
      </w:tr>
      <w:tr w:rsidR="00C0583F"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Female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61.2% (n=284)</w:t>
            </w:r>
          </w:p>
        </w:tc>
        <w:tc>
          <w:tcPr>
            <w:tcW w:w="18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55.7% (n=1,262)</w:t>
            </w:r>
          </w:p>
        </w:tc>
        <w:tc>
          <w:tcPr>
            <w:tcW w:w="29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Male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38.8% (n=180)</w:t>
            </w: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44.3% (n=1,005)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Mean age in years 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29.6 (SD 7.0)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29.3 (SD 7.1)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 = -0.8, df = 2729, p=0.40</w:t>
            </w:r>
          </w:p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Civil status (%)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= 15.9230, df = 1 p=&lt;0.001  </w:t>
            </w:r>
          </w:p>
        </w:tc>
      </w:tr>
      <w:tr w:rsidR="00C0583F"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Married/de-facto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13.2% (n=61)</w:t>
            </w:r>
          </w:p>
        </w:tc>
        <w:tc>
          <w:tcPr>
            <w:tcW w:w="18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21.3 (n=482)</w:t>
            </w:r>
          </w:p>
        </w:tc>
        <w:tc>
          <w:tcPr>
            <w:tcW w:w="29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86.9% (n=403)</w:t>
            </w: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78.7 (n=1,785)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Country Background (%)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= 8.8560, df = 2, p= 0.01 </w:t>
            </w:r>
          </w:p>
        </w:tc>
      </w:tr>
      <w:tr w:rsidR="00C0583F"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Norway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18.1% (n=84)</w:t>
            </w:r>
          </w:p>
        </w:tc>
        <w:tc>
          <w:tcPr>
            <w:tcW w:w="18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23.8% (n=539)</w:t>
            </w:r>
          </w:p>
        </w:tc>
        <w:tc>
          <w:tcPr>
            <w:tcW w:w="29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1.7% (n=8)</w:t>
            </w: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2.6% (n=59)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80.2% (n=372)</w:t>
            </w: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73.6% (n=1,669)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children under 18 (mean)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 = 0.7, df = 2729, p=0.5</w:t>
            </w:r>
          </w:p>
        </w:tc>
      </w:tr>
      <w:tr w:rsidR="00C0583F">
        <w:trPr>
          <w:trHeight w:val="683"/>
        </w:trPr>
        <w:tc>
          <w:tcPr>
            <w:tcW w:w="24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Diagnostic distribution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=3.6424 df=4 p=0.457</w:t>
            </w:r>
          </w:p>
        </w:tc>
      </w:tr>
      <w:tr w:rsidR="00C0583F">
        <w:tc>
          <w:tcPr>
            <w:tcW w:w="24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Severe mental illness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8.4% (n=39)</w:t>
            </w: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9.7% (n=220) </w:t>
            </w:r>
          </w:p>
        </w:tc>
        <w:tc>
          <w:tcPr>
            <w:tcW w:w="2977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Other non-organic mental disorders 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43.1% (n=200)</w:t>
            </w:r>
          </w:p>
        </w:tc>
        <w:tc>
          <w:tcPr>
            <w:tcW w:w="18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46.5% (n=1,465)</w:t>
            </w:r>
          </w:p>
        </w:tc>
        <w:tc>
          <w:tcPr>
            <w:tcW w:w="29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Organic mental disorders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0.0% (n=0)</w:t>
            </w:r>
          </w:p>
        </w:tc>
        <w:tc>
          <w:tcPr>
            <w:tcW w:w="184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0.2% (n=5)</w:t>
            </w:r>
          </w:p>
        </w:tc>
        <w:tc>
          <w:tcPr>
            <w:tcW w:w="29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Somatic disorders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48.3% (n=224)</w:t>
            </w:r>
          </w:p>
          <w:p w:rsidR="00C0583F" w:rsidRDefault="00C0583F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44.8% (n=1,015)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583F">
        <w:tc>
          <w:tcPr>
            <w:tcW w:w="2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0.2% (n=1) </w:t>
            </w:r>
          </w:p>
        </w:tc>
        <w:tc>
          <w:tcPr>
            <w:tcW w:w="1843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5B50A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0.5% (n=11)</w:t>
            </w:r>
          </w:p>
        </w:tc>
        <w:tc>
          <w:tcPr>
            <w:tcW w:w="2977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Default="00C0583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925DFF" w:rsidRDefault="00925DF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b/>
          <w:sz w:val="16"/>
          <w:szCs w:val="16"/>
        </w:rPr>
      </w:pPr>
    </w:p>
    <w:p w:rsidR="00C0583F" w:rsidRDefault="005B50A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Figure 1 Parallel trend plots to assess the parallel-trends assumption</w:t>
      </w:r>
    </w:p>
    <w:p w:rsidR="00C0583F" w:rsidRDefault="003771C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object w:dxaOrig="594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in" o:ole="">
            <v:imagedata r:id="rId6" o:title=""/>
          </v:shape>
          <o:OLEObject Type="Embed" ProgID="AcroExch.Document.DC" ShapeID="_x0000_i1025" DrawAspect="Content" ObjectID="_1762080542" r:id="rId7"/>
        </w:object>
      </w:r>
    </w:p>
    <w:p w:rsidR="00C0583F" w:rsidRDefault="00C0583F">
      <w:pPr>
        <w:spacing w:line="360" w:lineRule="auto"/>
        <w:jc w:val="both"/>
        <w:rPr>
          <w:b/>
          <w:sz w:val="16"/>
          <w:szCs w:val="16"/>
        </w:rPr>
      </w:pPr>
    </w:p>
    <w:p w:rsidR="00C0583F" w:rsidRDefault="00C0583F">
      <w:pPr>
        <w:spacing w:line="360" w:lineRule="auto"/>
        <w:jc w:val="both"/>
        <w:rPr>
          <w:b/>
          <w:sz w:val="16"/>
          <w:szCs w:val="16"/>
        </w:rPr>
      </w:pPr>
    </w:p>
    <w:p w:rsidR="00C0583F" w:rsidRDefault="005B50A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Appendix Figure 2 Granger plot – post treatment effects over time</w:t>
      </w:r>
    </w:p>
    <w:p w:rsidR="00C0583F" w:rsidRDefault="00C0583F">
      <w:pPr>
        <w:spacing w:line="360" w:lineRule="auto"/>
        <w:jc w:val="both"/>
        <w:rPr>
          <w:sz w:val="16"/>
          <w:szCs w:val="16"/>
        </w:rPr>
      </w:pPr>
    </w:p>
    <w:p w:rsidR="00C0583F" w:rsidRDefault="00CF1BD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object w:dxaOrig="5940" w:dyaOrig="4320">
          <v:shape id="_x0000_i1026" type="#_x0000_t75" style="width:297pt;height:3in" o:ole="">
            <v:imagedata r:id="rId8" o:title=""/>
          </v:shape>
          <o:OLEObject Type="Embed" ProgID="AcroExch.Document.DC" ShapeID="_x0000_i1026" DrawAspect="Content" ObjectID="_1762080543" r:id="rId9"/>
        </w:object>
      </w:r>
    </w:p>
    <w:p w:rsidR="00CF1BDA" w:rsidRDefault="00CF1BDA">
      <w:pPr>
        <w:spacing w:after="160" w:line="360" w:lineRule="auto"/>
        <w:rPr>
          <w:b/>
          <w:sz w:val="16"/>
          <w:szCs w:val="16"/>
        </w:rPr>
      </w:pPr>
    </w:p>
    <w:p w:rsidR="00C0583F" w:rsidRDefault="005B50AB">
      <w:pPr>
        <w:spacing w:after="160" w:line="360" w:lineRule="auto"/>
        <w:rPr>
          <w:sz w:val="10"/>
          <w:szCs w:val="10"/>
        </w:rPr>
      </w:pPr>
      <w:r>
        <w:rPr>
          <w:b/>
          <w:sz w:val="16"/>
          <w:szCs w:val="16"/>
        </w:rPr>
        <w:t>Appendix Table 2: Triple difference results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583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BC0B21">
              <w:rPr>
                <w:b/>
                <w:sz w:val="16"/>
                <w:szCs w:val="16"/>
              </w:rPr>
              <w:t>Diagnostic group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0B21">
              <w:rPr>
                <w:b/>
                <w:sz w:val="16"/>
                <w:szCs w:val="16"/>
              </w:rPr>
              <w:t>ATET: Work days per year</w:t>
            </w:r>
            <w:r w:rsidRPr="00BC0B21">
              <w:rPr>
                <w:sz w:val="16"/>
                <w:szCs w:val="16"/>
              </w:rPr>
              <w:t xml:space="preserve"> </w:t>
            </w:r>
          </w:p>
        </w:tc>
      </w:tr>
      <w:tr w:rsidR="00C0583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 xml:space="preserve">All non-organic mental disorders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2.4 (p=0.51) (CI -5.4 - 10.2)</w:t>
            </w:r>
          </w:p>
        </w:tc>
      </w:tr>
      <w:tr w:rsidR="00C0583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Severe mental illness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0.8 (p=0.86) (CI -9.3 - 10.9)</w:t>
            </w:r>
          </w:p>
        </w:tc>
      </w:tr>
      <w:tr w:rsidR="00C0583F">
        <w:trPr>
          <w:trHeight w:val="39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Other non-organic mental disorders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5.0 (p=0.18) (CI -2.6 - 12.6)</w:t>
            </w:r>
          </w:p>
        </w:tc>
      </w:tr>
      <w:tr w:rsidR="00C0583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Somatic disorders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3F" w:rsidRPr="00BC0B21" w:rsidRDefault="005B5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BC0B21">
              <w:rPr>
                <w:sz w:val="16"/>
                <w:szCs w:val="16"/>
              </w:rPr>
              <w:t>0.3 (p=0.95) (CI -8.9 - 9.3)</w:t>
            </w:r>
          </w:p>
        </w:tc>
      </w:tr>
    </w:tbl>
    <w:p w:rsidR="00C0583F" w:rsidRDefault="00C0583F">
      <w:pPr>
        <w:spacing w:line="360" w:lineRule="auto"/>
        <w:jc w:val="both"/>
        <w:rPr>
          <w:sz w:val="16"/>
          <w:szCs w:val="16"/>
        </w:rPr>
      </w:pPr>
    </w:p>
    <w:bookmarkEnd w:id="0"/>
    <w:p w:rsidR="00C0583F" w:rsidRDefault="00C0583F">
      <w:pPr>
        <w:rPr>
          <w:sz w:val="16"/>
          <w:szCs w:val="16"/>
        </w:rPr>
      </w:pPr>
    </w:p>
    <w:sectPr w:rsidR="00C0583F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AB" w:rsidRDefault="005B50AB">
      <w:pPr>
        <w:spacing w:line="240" w:lineRule="auto"/>
      </w:pPr>
      <w:r>
        <w:separator/>
      </w:r>
    </w:p>
  </w:endnote>
  <w:endnote w:type="continuationSeparator" w:id="0">
    <w:p w:rsidR="005B50AB" w:rsidRDefault="005B5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3F" w:rsidRDefault="00C0583F"/>
  <w:p w:rsidR="00C0583F" w:rsidRDefault="00C0583F"/>
  <w:p w:rsidR="00C0583F" w:rsidRDefault="00C05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AB" w:rsidRDefault="005B50AB">
      <w:pPr>
        <w:spacing w:line="240" w:lineRule="auto"/>
      </w:pPr>
      <w:r>
        <w:separator/>
      </w:r>
    </w:p>
  </w:footnote>
  <w:footnote w:type="continuationSeparator" w:id="0">
    <w:p w:rsidR="005B50AB" w:rsidRDefault="005B50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3F"/>
    <w:rsid w:val="003771CB"/>
    <w:rsid w:val="005B50AB"/>
    <w:rsid w:val="00925DFF"/>
    <w:rsid w:val="00BC0B21"/>
    <w:rsid w:val="00C0583F"/>
    <w:rsid w:val="00CF1BDA"/>
    <w:rsid w:val="00D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5BB"/>
  <w15:docId w15:val="{5814623F-F5FA-48BF-941B-27DFB15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V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>Helse Nord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Wittlund Sina Marion</cp:lastModifiedBy>
  <cp:revision>6</cp:revision>
  <dcterms:created xsi:type="dcterms:W3CDTF">2023-11-21T13:00:00Z</dcterms:created>
  <dcterms:modified xsi:type="dcterms:W3CDTF">2023-11-21T13:02:00Z</dcterms:modified>
</cp:coreProperties>
</file>