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38" w:rsidRDefault="006F5F5B">
      <w:pPr>
        <w:spacing w:line="360" w:lineRule="auto"/>
        <w:ind w:firstLine="0"/>
        <w:jc w:val="center"/>
        <w:rPr>
          <w:b/>
        </w:rPr>
      </w:pPr>
      <w:r>
        <w:rPr>
          <w:b/>
        </w:rPr>
        <w:t>Supplement to:</w:t>
      </w:r>
    </w:p>
    <w:p w:rsidR="005B0E38" w:rsidRDefault="006F5F5B">
      <w:pPr>
        <w:spacing w:line="360" w:lineRule="auto"/>
        <w:ind w:firstLine="0"/>
        <w:jc w:val="center"/>
        <w:rPr>
          <w:b/>
        </w:rPr>
      </w:pPr>
      <w:r>
        <w:rPr>
          <w:b/>
        </w:rPr>
        <w:t>Amygdala-</w:t>
      </w:r>
      <w:r w:rsidR="00D512EE">
        <w:rPr>
          <w:b/>
        </w:rPr>
        <w:t xml:space="preserve">related </w:t>
      </w:r>
      <w:r w:rsidR="004A2C57">
        <w:rPr>
          <w:b/>
        </w:rPr>
        <w:t>e</w:t>
      </w:r>
      <w:r>
        <w:rPr>
          <w:b/>
        </w:rPr>
        <w:t>lect</w:t>
      </w:r>
      <w:r w:rsidR="00916A16">
        <w:rPr>
          <w:b/>
        </w:rPr>
        <w:t xml:space="preserve">rical </w:t>
      </w:r>
      <w:r w:rsidR="004A2C57">
        <w:rPr>
          <w:b/>
        </w:rPr>
        <w:t>f</w:t>
      </w:r>
      <w:r w:rsidR="00916A16">
        <w:rPr>
          <w:b/>
        </w:rPr>
        <w:t>ingerprint is modulated with</w:t>
      </w:r>
      <w:r>
        <w:rPr>
          <w:b/>
        </w:rPr>
        <w:t xml:space="preserve"> neurofeedback training and correlates with deep-brain activation: Proof-of-concept in </w:t>
      </w:r>
      <w:r w:rsidR="004A2C57">
        <w:rPr>
          <w:b/>
        </w:rPr>
        <w:t>borderline p</w:t>
      </w:r>
      <w:r>
        <w:rPr>
          <w:b/>
        </w:rPr>
        <w:t xml:space="preserve">ersonality </w:t>
      </w:r>
      <w:r w:rsidR="004A2C57">
        <w:rPr>
          <w:b/>
        </w:rPr>
        <w:t>d</w:t>
      </w:r>
      <w:r>
        <w:rPr>
          <w:b/>
        </w:rPr>
        <w:t xml:space="preserve">isorder  </w:t>
      </w:r>
    </w:p>
    <w:p w:rsidR="0096376C" w:rsidRDefault="0096376C" w:rsidP="0096376C">
      <w:pPr>
        <w:pBdr>
          <w:top w:val="nil"/>
          <w:left w:val="nil"/>
          <w:bottom w:val="nil"/>
          <w:right w:val="nil"/>
          <w:between w:val="nil"/>
        </w:pBdr>
        <w:spacing w:after="0"/>
        <w:jc w:val="center"/>
        <w:rPr>
          <w:color w:val="000000"/>
        </w:rPr>
      </w:pPr>
      <w:r>
        <w:t>Malte Zopfs*, Miroslava Jindrov</w:t>
      </w:r>
      <w:r w:rsidR="006E5FBD">
        <w:t>á</w:t>
      </w:r>
      <w:r>
        <w:t>, Guy Gurevitch, Jackob N. Keynan, Talma Hendler, Sarah Baumeister, Pascal</w:t>
      </w:r>
      <w:r w:rsidR="00D40ECC">
        <w:t>-M.</w:t>
      </w:r>
      <w:r>
        <w:t xml:space="preserve"> Aggensteiner, Sven Cornelisse, Daniel Brandeis, Christian Schmahl, </w:t>
      </w:r>
      <w:r>
        <w:rPr>
          <w:color w:val="000000"/>
        </w:rPr>
        <w:t>Christian Paret*</w:t>
      </w:r>
    </w:p>
    <w:p w:rsidR="005B0E38" w:rsidRDefault="005B0E38" w:rsidP="0096376C">
      <w:pPr>
        <w:pBdr>
          <w:top w:val="nil"/>
          <w:left w:val="nil"/>
          <w:bottom w:val="nil"/>
          <w:right w:val="nil"/>
          <w:between w:val="nil"/>
        </w:pBdr>
        <w:spacing w:after="0"/>
        <w:ind w:firstLine="0"/>
        <w:rPr>
          <w:b/>
        </w:rPr>
      </w:pPr>
    </w:p>
    <w:p w:rsidR="005B0E38" w:rsidRDefault="005B0E38">
      <w:pPr>
        <w:pBdr>
          <w:top w:val="nil"/>
          <w:left w:val="nil"/>
          <w:bottom w:val="nil"/>
          <w:right w:val="nil"/>
          <w:between w:val="nil"/>
        </w:pBdr>
        <w:spacing w:after="0"/>
        <w:ind w:firstLine="0"/>
        <w:rPr>
          <w:vertAlign w:val="superscript"/>
        </w:rPr>
      </w:pPr>
    </w:p>
    <w:p w:rsidR="005B0E38" w:rsidRDefault="005B0E38">
      <w:pPr>
        <w:pBdr>
          <w:top w:val="nil"/>
          <w:left w:val="nil"/>
          <w:bottom w:val="nil"/>
          <w:right w:val="nil"/>
          <w:between w:val="nil"/>
        </w:pBdr>
        <w:spacing w:after="0"/>
        <w:ind w:firstLine="0"/>
        <w:rPr>
          <w:vertAlign w:val="superscript"/>
        </w:rPr>
      </w:pPr>
    </w:p>
    <w:p w:rsidR="005B0E38" w:rsidRDefault="005B0E38">
      <w:pPr>
        <w:pBdr>
          <w:top w:val="nil"/>
          <w:left w:val="nil"/>
          <w:bottom w:val="nil"/>
          <w:right w:val="nil"/>
          <w:between w:val="nil"/>
        </w:pBdr>
        <w:spacing w:after="0"/>
        <w:ind w:firstLine="0"/>
        <w:rPr>
          <w:color w:val="000000"/>
        </w:rPr>
      </w:pPr>
    </w:p>
    <w:p w:rsidR="005B0E38" w:rsidRDefault="005B0E38">
      <w:pPr>
        <w:pBdr>
          <w:top w:val="nil"/>
          <w:left w:val="nil"/>
          <w:bottom w:val="nil"/>
          <w:right w:val="nil"/>
          <w:between w:val="nil"/>
        </w:pBdr>
        <w:spacing w:after="0"/>
        <w:ind w:firstLine="0"/>
        <w:rPr>
          <w:color w:val="000000"/>
        </w:rPr>
      </w:pPr>
    </w:p>
    <w:p w:rsidR="005B0E38" w:rsidRDefault="006F5F5B">
      <w:pPr>
        <w:pBdr>
          <w:top w:val="nil"/>
          <w:left w:val="nil"/>
          <w:bottom w:val="nil"/>
          <w:right w:val="nil"/>
          <w:between w:val="nil"/>
        </w:pBdr>
        <w:spacing w:after="0"/>
        <w:ind w:firstLine="0"/>
        <w:rPr>
          <w:color w:val="000000"/>
        </w:rPr>
      </w:pPr>
      <w:r>
        <w:rPr>
          <w:color w:val="000000"/>
        </w:rPr>
        <w:t>*</w:t>
      </w:r>
      <w:r>
        <w:t>Correspondence</w:t>
      </w:r>
      <w:r>
        <w:rPr>
          <w:color w:val="000000"/>
        </w:rPr>
        <w:t xml:space="preserve"> to:</w:t>
      </w:r>
    </w:p>
    <w:p w:rsidR="005B0E38" w:rsidRDefault="006F5F5B">
      <w:pPr>
        <w:pBdr>
          <w:top w:val="nil"/>
          <w:left w:val="nil"/>
          <w:bottom w:val="nil"/>
          <w:right w:val="nil"/>
          <w:between w:val="nil"/>
        </w:pBdr>
        <w:spacing w:after="0"/>
        <w:ind w:firstLine="0"/>
      </w:pPr>
      <w:r>
        <w:t>Malte Zopfs</w:t>
      </w:r>
    </w:p>
    <w:p w:rsidR="005B0E38" w:rsidRDefault="006F5F5B">
      <w:pPr>
        <w:spacing w:after="144" w:line="276" w:lineRule="auto"/>
        <w:ind w:firstLine="0"/>
      </w:pPr>
      <w:r>
        <w:t>Central Institute of Mental Health</w:t>
      </w:r>
    </w:p>
    <w:p w:rsidR="005B0E38" w:rsidRDefault="006F5F5B">
      <w:pPr>
        <w:spacing w:after="144" w:line="276" w:lineRule="auto"/>
        <w:ind w:firstLine="0"/>
      </w:pPr>
      <w:r>
        <w:t>J5, D-68159 Mannheim, Germany</w:t>
      </w:r>
    </w:p>
    <w:p w:rsidR="005B0E38" w:rsidRDefault="006F5F5B">
      <w:pPr>
        <w:spacing w:after="144" w:line="276" w:lineRule="auto"/>
        <w:ind w:firstLine="0"/>
      </w:pPr>
      <w:r>
        <w:t>Email: malte.zopfs@zi-mannheim.de</w:t>
      </w:r>
    </w:p>
    <w:p w:rsidR="005B0E38" w:rsidRDefault="006F5F5B">
      <w:pPr>
        <w:spacing w:after="144" w:line="276" w:lineRule="auto"/>
        <w:ind w:firstLine="0"/>
      </w:pPr>
      <w:r>
        <w:t>Tel: +49-(0)-621-1703-4463</w:t>
      </w:r>
    </w:p>
    <w:p w:rsidR="005B0E38" w:rsidRDefault="005B0E38">
      <w:pPr>
        <w:pBdr>
          <w:top w:val="nil"/>
          <w:left w:val="nil"/>
          <w:bottom w:val="nil"/>
          <w:right w:val="nil"/>
          <w:between w:val="nil"/>
        </w:pBdr>
        <w:spacing w:after="0"/>
        <w:ind w:firstLine="0"/>
      </w:pPr>
    </w:p>
    <w:p w:rsidR="005B0E38" w:rsidRDefault="006F5F5B">
      <w:pPr>
        <w:pBdr>
          <w:top w:val="nil"/>
          <w:left w:val="nil"/>
          <w:bottom w:val="nil"/>
          <w:right w:val="nil"/>
          <w:between w:val="nil"/>
        </w:pBdr>
        <w:spacing w:after="144" w:line="276" w:lineRule="auto"/>
        <w:ind w:firstLine="0"/>
        <w:rPr>
          <w:color w:val="000000"/>
        </w:rPr>
      </w:pPr>
      <w:r>
        <w:rPr>
          <w:color w:val="000000"/>
        </w:rPr>
        <w:t>Christian Paret</w:t>
      </w:r>
    </w:p>
    <w:p w:rsidR="005B0E38" w:rsidRDefault="006F5F5B">
      <w:pPr>
        <w:pBdr>
          <w:top w:val="nil"/>
          <w:left w:val="nil"/>
          <w:bottom w:val="nil"/>
          <w:right w:val="nil"/>
          <w:between w:val="nil"/>
        </w:pBdr>
        <w:spacing w:after="144" w:line="276" w:lineRule="auto"/>
        <w:ind w:firstLine="0"/>
        <w:rPr>
          <w:color w:val="000000"/>
        </w:rPr>
      </w:pPr>
      <w:r>
        <w:rPr>
          <w:color w:val="000000"/>
        </w:rPr>
        <w:t>Central Institute of Mental Health</w:t>
      </w:r>
    </w:p>
    <w:p w:rsidR="005B0E38" w:rsidRDefault="006F5F5B">
      <w:pPr>
        <w:pBdr>
          <w:top w:val="nil"/>
          <w:left w:val="nil"/>
          <w:bottom w:val="nil"/>
          <w:right w:val="nil"/>
          <w:between w:val="nil"/>
        </w:pBdr>
        <w:spacing w:after="144" w:line="276" w:lineRule="auto"/>
        <w:ind w:firstLine="0"/>
        <w:rPr>
          <w:color w:val="000000"/>
        </w:rPr>
      </w:pPr>
      <w:r>
        <w:rPr>
          <w:color w:val="000000"/>
        </w:rPr>
        <w:t>J5, D-68159 Mannheim, Germany</w:t>
      </w:r>
    </w:p>
    <w:p w:rsidR="005B0E38" w:rsidRDefault="006F5F5B">
      <w:pPr>
        <w:pBdr>
          <w:top w:val="nil"/>
          <w:left w:val="nil"/>
          <w:bottom w:val="nil"/>
          <w:right w:val="nil"/>
          <w:between w:val="nil"/>
        </w:pBdr>
        <w:spacing w:after="144" w:line="276" w:lineRule="auto"/>
        <w:ind w:firstLine="0"/>
        <w:rPr>
          <w:color w:val="000000"/>
        </w:rPr>
      </w:pPr>
      <w:r>
        <w:rPr>
          <w:color w:val="000000"/>
        </w:rPr>
        <w:t>Email: christian.paret@zi-mannheim.de</w:t>
      </w:r>
    </w:p>
    <w:p w:rsidR="005B0E38" w:rsidRPr="000107C8" w:rsidRDefault="006F5F5B">
      <w:pPr>
        <w:pBdr>
          <w:top w:val="nil"/>
          <w:left w:val="nil"/>
          <w:bottom w:val="nil"/>
          <w:right w:val="nil"/>
          <w:between w:val="nil"/>
        </w:pBdr>
        <w:spacing w:after="144" w:line="276" w:lineRule="auto"/>
        <w:ind w:firstLine="0"/>
        <w:rPr>
          <w:color w:val="000000"/>
          <w:lang w:val="de-DE"/>
        </w:rPr>
      </w:pPr>
      <w:r w:rsidRPr="000107C8">
        <w:rPr>
          <w:color w:val="000000"/>
          <w:lang w:val="de-DE"/>
        </w:rPr>
        <w:t>Tel: +49-(0)-621-1703-4462</w:t>
      </w:r>
    </w:p>
    <w:p w:rsidR="005B0E38" w:rsidRPr="000107C8" w:rsidRDefault="005B0E38">
      <w:pPr>
        <w:pBdr>
          <w:top w:val="nil"/>
          <w:left w:val="nil"/>
          <w:bottom w:val="nil"/>
          <w:right w:val="nil"/>
          <w:between w:val="nil"/>
        </w:pBdr>
        <w:spacing w:after="144"/>
        <w:rPr>
          <w:color w:val="000000"/>
          <w:lang w:val="de-DE"/>
        </w:rPr>
      </w:pPr>
    </w:p>
    <w:p w:rsidR="005B0E38" w:rsidRPr="000107C8" w:rsidRDefault="005B0E38">
      <w:pPr>
        <w:spacing w:line="360" w:lineRule="auto"/>
        <w:ind w:firstLine="0"/>
        <w:jc w:val="both"/>
        <w:rPr>
          <w:lang w:val="de-DE"/>
        </w:rPr>
      </w:pPr>
    </w:p>
    <w:p w:rsidR="005B0E38" w:rsidRPr="000107C8" w:rsidRDefault="006F5F5B">
      <w:pPr>
        <w:spacing w:line="360" w:lineRule="auto"/>
        <w:ind w:firstLine="0"/>
        <w:jc w:val="both"/>
        <w:rPr>
          <w:lang w:val="de-DE"/>
        </w:rPr>
      </w:pPr>
      <w:r w:rsidRPr="000107C8">
        <w:rPr>
          <w:lang w:val="de-DE"/>
        </w:rPr>
        <w:br w:type="page"/>
      </w:r>
    </w:p>
    <w:p w:rsidR="005B0E38" w:rsidRDefault="006F5F5B">
      <w:pPr>
        <w:pStyle w:val="berschrift1"/>
        <w:ind w:left="0" w:firstLine="0"/>
      </w:pPr>
      <w:bookmarkStart w:id="0" w:name="_gjdgxs" w:colFirst="0" w:colLast="0"/>
      <w:bookmarkEnd w:id="0"/>
      <w:r>
        <w:rPr>
          <w:b w:val="0"/>
        </w:rPr>
        <w:lastRenderedPageBreak/>
        <w:t>List of Content</w:t>
      </w:r>
    </w:p>
    <w:sdt>
      <w:sdtPr>
        <w:id w:val="-691838978"/>
        <w:docPartObj>
          <w:docPartGallery w:val="Table of Contents"/>
          <w:docPartUnique/>
        </w:docPartObj>
      </w:sdtPr>
      <w:sdtEndPr/>
      <w:sdtContent>
        <w:p w:rsidR="005B0E38" w:rsidRDefault="006F5F5B">
          <w:pPr>
            <w:widowControl w:val="0"/>
            <w:tabs>
              <w:tab w:val="right" w:pos="9071"/>
            </w:tabs>
            <w:spacing w:before="60" w:after="0" w:line="240" w:lineRule="auto"/>
            <w:ind w:firstLine="0"/>
            <w:rPr>
              <w:b/>
              <w:noProof/>
              <w:color w:val="000000"/>
            </w:rPr>
          </w:pPr>
          <w:r>
            <w:fldChar w:fldCharType="begin"/>
          </w:r>
          <w:r>
            <w:instrText xml:space="preserve"> TOC \h \u \z \t "Heading 1,1,Heading 2,2,Heading 3,3,Heading 4,4,Heading 5,5,Heading 6,6,"</w:instrText>
          </w:r>
          <w:r>
            <w:fldChar w:fldCharType="separate"/>
          </w:r>
          <w:hyperlink w:anchor="_gjdgxs">
            <w:r>
              <w:rPr>
                <w:b/>
                <w:noProof/>
                <w:color w:val="000000"/>
              </w:rPr>
              <w:t>List of Content</w:t>
            </w:r>
            <w:r>
              <w:rPr>
                <w:b/>
                <w:noProof/>
                <w:color w:val="000000"/>
              </w:rPr>
              <w:tab/>
            </w:r>
          </w:hyperlink>
          <w:r>
            <w:rPr>
              <w:noProof/>
            </w:rPr>
            <w:fldChar w:fldCharType="begin"/>
          </w:r>
          <w:r>
            <w:rPr>
              <w:noProof/>
            </w:rPr>
            <w:instrText xml:space="preserve"> PAGEREF _gjdgxs \h </w:instrText>
          </w:r>
          <w:r>
            <w:rPr>
              <w:noProof/>
            </w:rPr>
          </w:r>
          <w:r>
            <w:rPr>
              <w:noProof/>
            </w:rPr>
            <w:fldChar w:fldCharType="separate"/>
          </w:r>
          <w:r w:rsidR="009725D2">
            <w:rPr>
              <w:noProof/>
            </w:rPr>
            <w:t>2</w:t>
          </w:r>
          <w:r>
            <w:rPr>
              <w:noProof/>
            </w:rPr>
            <w:fldChar w:fldCharType="end"/>
          </w:r>
        </w:p>
        <w:p w:rsidR="005B0E38" w:rsidRDefault="009C38A6">
          <w:pPr>
            <w:widowControl w:val="0"/>
            <w:tabs>
              <w:tab w:val="right" w:pos="9071"/>
            </w:tabs>
            <w:spacing w:before="60" w:after="0" w:line="240" w:lineRule="auto"/>
            <w:ind w:firstLine="0"/>
            <w:rPr>
              <w:b/>
              <w:noProof/>
              <w:color w:val="000000"/>
            </w:rPr>
          </w:pPr>
          <w:hyperlink w:anchor="_vpjtutnpx5zn">
            <w:r w:rsidR="006F5F5B">
              <w:rPr>
                <w:b/>
                <w:noProof/>
                <w:color w:val="000000"/>
              </w:rPr>
              <w:t>1 Supplementary Methods</w:t>
            </w:r>
            <w:r w:rsidR="006F5F5B">
              <w:rPr>
                <w:b/>
                <w:noProof/>
                <w:color w:val="000000"/>
              </w:rPr>
              <w:tab/>
            </w:r>
          </w:hyperlink>
          <w:r w:rsidR="006F5F5B">
            <w:rPr>
              <w:noProof/>
            </w:rPr>
            <w:fldChar w:fldCharType="begin"/>
          </w:r>
          <w:r w:rsidR="006F5F5B">
            <w:rPr>
              <w:noProof/>
            </w:rPr>
            <w:instrText xml:space="preserve"> PAGEREF _vpjtutnpx5zn \h </w:instrText>
          </w:r>
          <w:r w:rsidR="006F5F5B">
            <w:rPr>
              <w:noProof/>
            </w:rPr>
          </w:r>
          <w:r w:rsidR="006F5F5B">
            <w:rPr>
              <w:noProof/>
            </w:rPr>
            <w:fldChar w:fldCharType="separate"/>
          </w:r>
          <w:r w:rsidR="009725D2">
            <w:rPr>
              <w:noProof/>
            </w:rPr>
            <w:t>3</w:t>
          </w:r>
          <w:r w:rsidR="006F5F5B">
            <w:rPr>
              <w:noProof/>
            </w:rPr>
            <w:fldChar w:fldCharType="end"/>
          </w:r>
        </w:p>
        <w:p w:rsidR="005B0E38" w:rsidRDefault="009C38A6">
          <w:pPr>
            <w:widowControl w:val="0"/>
            <w:tabs>
              <w:tab w:val="right" w:pos="9071"/>
            </w:tabs>
            <w:spacing w:before="60" w:after="0" w:line="240" w:lineRule="auto"/>
            <w:ind w:left="360" w:firstLine="0"/>
            <w:rPr>
              <w:noProof/>
              <w:color w:val="000000"/>
            </w:rPr>
          </w:pPr>
          <w:hyperlink w:anchor="_fdcj2jyvhj2g">
            <w:r w:rsidR="006F5F5B">
              <w:rPr>
                <w:noProof/>
                <w:color w:val="000000"/>
              </w:rPr>
              <w:t>1.1 MRI-EEG procedure and experimental task</w:t>
            </w:r>
            <w:r w:rsidR="006F5F5B">
              <w:rPr>
                <w:noProof/>
                <w:color w:val="000000"/>
              </w:rPr>
              <w:tab/>
            </w:r>
          </w:hyperlink>
          <w:r w:rsidR="006F5F5B">
            <w:rPr>
              <w:noProof/>
            </w:rPr>
            <w:fldChar w:fldCharType="begin"/>
          </w:r>
          <w:r w:rsidR="006F5F5B">
            <w:rPr>
              <w:noProof/>
            </w:rPr>
            <w:instrText xml:space="preserve"> PAGEREF _fdcj2jyvhj2g \h </w:instrText>
          </w:r>
          <w:r w:rsidR="006F5F5B">
            <w:rPr>
              <w:noProof/>
            </w:rPr>
          </w:r>
          <w:r w:rsidR="006F5F5B">
            <w:rPr>
              <w:noProof/>
            </w:rPr>
            <w:fldChar w:fldCharType="separate"/>
          </w:r>
          <w:r w:rsidR="009725D2">
            <w:rPr>
              <w:noProof/>
            </w:rPr>
            <w:t>3</w:t>
          </w:r>
          <w:r w:rsidR="006F5F5B">
            <w:rPr>
              <w:noProof/>
            </w:rPr>
            <w:fldChar w:fldCharType="end"/>
          </w:r>
        </w:p>
        <w:p w:rsidR="005B0E38" w:rsidRDefault="009C38A6">
          <w:pPr>
            <w:widowControl w:val="0"/>
            <w:tabs>
              <w:tab w:val="right" w:pos="9071"/>
            </w:tabs>
            <w:spacing w:before="60" w:after="0" w:line="240" w:lineRule="auto"/>
            <w:ind w:left="360" w:firstLine="0"/>
            <w:rPr>
              <w:noProof/>
              <w:color w:val="000000"/>
            </w:rPr>
          </w:pPr>
          <w:hyperlink w:anchor="_tb823ugbjvjd">
            <w:r w:rsidR="006F5F5B">
              <w:rPr>
                <w:noProof/>
                <w:color w:val="000000"/>
              </w:rPr>
              <w:t>1.2 Preprocessing of fMRI data</w:t>
            </w:r>
            <w:r w:rsidR="006F5F5B">
              <w:rPr>
                <w:noProof/>
                <w:color w:val="000000"/>
              </w:rPr>
              <w:tab/>
            </w:r>
          </w:hyperlink>
          <w:r w:rsidR="006F5F5B">
            <w:rPr>
              <w:noProof/>
            </w:rPr>
            <w:fldChar w:fldCharType="begin"/>
          </w:r>
          <w:r w:rsidR="006F5F5B">
            <w:rPr>
              <w:noProof/>
            </w:rPr>
            <w:instrText xml:space="preserve"> PAGEREF _tb823ugbjvjd \h </w:instrText>
          </w:r>
          <w:r w:rsidR="006F5F5B">
            <w:rPr>
              <w:noProof/>
            </w:rPr>
          </w:r>
          <w:r w:rsidR="006F5F5B">
            <w:rPr>
              <w:noProof/>
            </w:rPr>
            <w:fldChar w:fldCharType="separate"/>
          </w:r>
          <w:r w:rsidR="009725D2">
            <w:rPr>
              <w:noProof/>
            </w:rPr>
            <w:t>3</w:t>
          </w:r>
          <w:r w:rsidR="006F5F5B">
            <w:rPr>
              <w:noProof/>
            </w:rPr>
            <w:fldChar w:fldCharType="end"/>
          </w:r>
        </w:p>
        <w:p w:rsidR="005B0E38" w:rsidRDefault="009C38A6">
          <w:pPr>
            <w:widowControl w:val="0"/>
            <w:tabs>
              <w:tab w:val="right" w:pos="9071"/>
            </w:tabs>
            <w:spacing w:before="60" w:after="0" w:line="240" w:lineRule="auto"/>
            <w:ind w:left="360" w:firstLine="0"/>
            <w:rPr>
              <w:noProof/>
            </w:rPr>
          </w:pPr>
          <w:hyperlink w:anchor="_450x1lj26x01">
            <w:r w:rsidR="006F5F5B">
              <w:rPr>
                <w:noProof/>
                <w:color w:val="000000"/>
              </w:rPr>
              <w:t>1.3 Real-time fMRI analysis and amygdala BOLD-feedback computation</w:t>
            </w:r>
            <w:r w:rsidR="006F5F5B">
              <w:rPr>
                <w:noProof/>
                <w:color w:val="000000"/>
              </w:rPr>
              <w:tab/>
            </w:r>
          </w:hyperlink>
          <w:r w:rsidR="006F5F5B">
            <w:rPr>
              <w:noProof/>
            </w:rPr>
            <w:fldChar w:fldCharType="begin"/>
          </w:r>
          <w:r w:rsidR="006F5F5B">
            <w:rPr>
              <w:noProof/>
            </w:rPr>
            <w:instrText xml:space="preserve"> PAGEREF _450x1lj26x01 \h </w:instrText>
          </w:r>
          <w:r w:rsidR="006F5F5B">
            <w:rPr>
              <w:noProof/>
            </w:rPr>
          </w:r>
          <w:r w:rsidR="006F5F5B">
            <w:rPr>
              <w:noProof/>
            </w:rPr>
            <w:fldChar w:fldCharType="separate"/>
          </w:r>
          <w:r w:rsidR="009725D2">
            <w:rPr>
              <w:noProof/>
            </w:rPr>
            <w:t>7</w:t>
          </w:r>
          <w:r w:rsidR="006F5F5B">
            <w:rPr>
              <w:noProof/>
            </w:rPr>
            <w:fldChar w:fldCharType="end"/>
          </w:r>
        </w:p>
        <w:p w:rsidR="000107C8" w:rsidRPr="000107C8" w:rsidRDefault="009C38A6" w:rsidP="000107C8">
          <w:pPr>
            <w:widowControl w:val="0"/>
            <w:tabs>
              <w:tab w:val="right" w:pos="9071"/>
            </w:tabs>
            <w:spacing w:before="60" w:after="0" w:line="240" w:lineRule="auto"/>
            <w:ind w:firstLine="0"/>
            <w:rPr>
              <w:b/>
              <w:noProof/>
              <w:color w:val="000000"/>
            </w:rPr>
          </w:pPr>
          <w:hyperlink w:anchor="_cdu2kzy1fjfv">
            <w:r w:rsidR="000107C8">
              <w:rPr>
                <w:b/>
                <w:noProof/>
                <w:color w:val="000000"/>
              </w:rPr>
              <w:t>3 Supplementary Analysis of Clinical Data</w:t>
            </w:r>
            <w:r w:rsidR="000107C8">
              <w:rPr>
                <w:b/>
                <w:noProof/>
                <w:color w:val="000000"/>
              </w:rPr>
              <w:tab/>
            </w:r>
          </w:hyperlink>
          <w:r w:rsidR="000107C8" w:rsidRPr="000107C8">
            <w:rPr>
              <w:noProof/>
              <w:color w:val="000000"/>
            </w:rPr>
            <w:t>9</w:t>
          </w:r>
        </w:p>
        <w:p w:rsidR="005B0E38" w:rsidRDefault="00450835">
          <w:pPr>
            <w:widowControl w:val="0"/>
            <w:tabs>
              <w:tab w:val="right" w:pos="9071"/>
            </w:tabs>
            <w:spacing w:before="60" w:after="0" w:line="240" w:lineRule="auto"/>
            <w:ind w:firstLine="0"/>
            <w:rPr>
              <w:b/>
              <w:noProof/>
              <w:color w:val="000000"/>
            </w:rPr>
          </w:pPr>
          <w:hyperlink w:anchor="_cdu2kzy1fjfv">
            <w:r w:rsidR="000107C8">
              <w:rPr>
                <w:b/>
                <w:noProof/>
                <w:color w:val="000000"/>
              </w:rPr>
              <w:t>3</w:t>
            </w:r>
            <w:r w:rsidR="006F5F5B">
              <w:rPr>
                <w:b/>
                <w:noProof/>
                <w:color w:val="000000"/>
              </w:rPr>
              <w:t xml:space="preserve"> Supplementary Figures</w:t>
            </w:r>
            <w:r w:rsidR="006F5F5B">
              <w:rPr>
                <w:b/>
                <w:noProof/>
                <w:color w:val="000000"/>
              </w:rPr>
              <w:tab/>
            </w:r>
          </w:hyperlink>
          <w:r w:rsidR="000107C8">
            <w:rPr>
              <w:noProof/>
            </w:rPr>
            <w:t>10</w:t>
          </w:r>
        </w:p>
        <w:p w:rsidR="005B0E38" w:rsidRDefault="00450835">
          <w:pPr>
            <w:widowControl w:val="0"/>
            <w:tabs>
              <w:tab w:val="right" w:pos="9071"/>
            </w:tabs>
            <w:spacing w:before="60" w:after="0" w:line="240" w:lineRule="auto"/>
            <w:ind w:firstLine="0"/>
            <w:rPr>
              <w:b/>
              <w:noProof/>
              <w:color w:val="000000"/>
            </w:rPr>
          </w:pPr>
          <w:hyperlink w:anchor="_lhelfoq881cl">
            <w:r w:rsidR="000107C8">
              <w:rPr>
                <w:b/>
                <w:noProof/>
                <w:color w:val="000000"/>
              </w:rPr>
              <w:t>4</w:t>
            </w:r>
            <w:r w:rsidR="006F5F5B">
              <w:rPr>
                <w:b/>
                <w:noProof/>
                <w:color w:val="000000"/>
              </w:rPr>
              <w:t xml:space="preserve"> Supplementary Tables</w:t>
            </w:r>
            <w:r w:rsidR="006F5F5B">
              <w:rPr>
                <w:b/>
                <w:noProof/>
                <w:color w:val="000000"/>
              </w:rPr>
              <w:tab/>
            </w:r>
          </w:hyperlink>
          <w:r w:rsidR="006F5F5B">
            <w:rPr>
              <w:noProof/>
            </w:rPr>
            <w:fldChar w:fldCharType="begin"/>
          </w:r>
          <w:r w:rsidR="006F5F5B">
            <w:rPr>
              <w:noProof/>
            </w:rPr>
            <w:instrText xml:space="preserve"> PAGEREF _lhelfoq881cl \h </w:instrText>
          </w:r>
          <w:r w:rsidR="006F5F5B">
            <w:rPr>
              <w:noProof/>
            </w:rPr>
          </w:r>
          <w:r w:rsidR="006F5F5B">
            <w:rPr>
              <w:noProof/>
            </w:rPr>
            <w:fldChar w:fldCharType="separate"/>
          </w:r>
          <w:r w:rsidR="009725D2">
            <w:rPr>
              <w:noProof/>
            </w:rPr>
            <w:t>13</w:t>
          </w:r>
          <w:r w:rsidR="006F5F5B">
            <w:rPr>
              <w:noProof/>
            </w:rPr>
            <w:fldChar w:fldCharType="end"/>
          </w:r>
        </w:p>
        <w:p w:rsidR="005B0E38" w:rsidRDefault="00450835">
          <w:pPr>
            <w:widowControl w:val="0"/>
            <w:tabs>
              <w:tab w:val="right" w:pos="9071"/>
            </w:tabs>
            <w:spacing w:before="60" w:after="0" w:line="240" w:lineRule="auto"/>
            <w:ind w:firstLine="0"/>
            <w:rPr>
              <w:b/>
              <w:color w:val="000000"/>
            </w:rPr>
          </w:pPr>
          <w:hyperlink w:anchor="_x6uuaz9yoyfd">
            <w:r w:rsidR="000107C8">
              <w:rPr>
                <w:b/>
                <w:noProof/>
                <w:color w:val="000000"/>
              </w:rPr>
              <w:t>5</w:t>
            </w:r>
            <w:r w:rsidR="006F5F5B">
              <w:rPr>
                <w:b/>
                <w:noProof/>
                <w:color w:val="000000"/>
              </w:rPr>
              <w:t xml:space="preserve"> References</w:t>
            </w:r>
            <w:r w:rsidR="006F5F5B">
              <w:rPr>
                <w:b/>
                <w:noProof/>
                <w:color w:val="000000"/>
              </w:rPr>
              <w:tab/>
            </w:r>
          </w:hyperlink>
          <w:r w:rsidR="006F5F5B">
            <w:rPr>
              <w:noProof/>
            </w:rPr>
            <w:fldChar w:fldCharType="begin"/>
          </w:r>
          <w:r w:rsidR="006F5F5B">
            <w:rPr>
              <w:noProof/>
            </w:rPr>
            <w:instrText xml:space="preserve"> PAGEREF _x6uuaz9yoyfd \h </w:instrText>
          </w:r>
          <w:r w:rsidR="006F5F5B">
            <w:rPr>
              <w:noProof/>
            </w:rPr>
          </w:r>
          <w:r w:rsidR="006F5F5B">
            <w:rPr>
              <w:noProof/>
            </w:rPr>
            <w:fldChar w:fldCharType="separate"/>
          </w:r>
          <w:r w:rsidR="009725D2">
            <w:rPr>
              <w:noProof/>
            </w:rPr>
            <w:t>1</w:t>
          </w:r>
          <w:r w:rsidR="006F5F5B">
            <w:rPr>
              <w:noProof/>
            </w:rPr>
            <w:fldChar w:fldCharType="end"/>
          </w:r>
          <w:r w:rsidR="006F5F5B">
            <w:fldChar w:fldCharType="end"/>
          </w:r>
          <w:r w:rsidR="005E4D89">
            <w:t>6</w:t>
          </w:r>
        </w:p>
        <w:bookmarkStart w:id="1" w:name="_GoBack" w:displacedByCustomXml="next"/>
        <w:bookmarkEnd w:id="1" w:displacedByCustomXml="next"/>
      </w:sdtContent>
    </w:sdt>
    <w:p w:rsidR="005B0E38" w:rsidRDefault="006F5F5B">
      <w:pPr>
        <w:pStyle w:val="berschrift1"/>
        <w:ind w:left="0" w:firstLine="0"/>
      </w:pPr>
      <w:bookmarkStart w:id="2" w:name="_l9odmd3bso9e" w:colFirst="0" w:colLast="0"/>
      <w:bookmarkEnd w:id="2"/>
      <w:r>
        <w:br w:type="page"/>
      </w:r>
    </w:p>
    <w:p w:rsidR="005B0E38" w:rsidRDefault="006F5F5B">
      <w:pPr>
        <w:pStyle w:val="berschrift1"/>
        <w:numPr>
          <w:ilvl w:val="0"/>
          <w:numId w:val="1"/>
        </w:numPr>
      </w:pPr>
      <w:bookmarkStart w:id="3" w:name="_vpjtutnpx5zn" w:colFirst="0" w:colLast="0"/>
      <w:bookmarkEnd w:id="3"/>
      <w:r>
        <w:lastRenderedPageBreak/>
        <w:t>Supplementary Methods</w:t>
      </w:r>
    </w:p>
    <w:p w:rsidR="005B0E38" w:rsidRDefault="00D40ECC">
      <w:pPr>
        <w:pStyle w:val="berschrift2"/>
        <w:numPr>
          <w:ilvl w:val="1"/>
          <w:numId w:val="1"/>
        </w:numPr>
      </w:pPr>
      <w:bookmarkStart w:id="4" w:name="_fdcj2jyvhj2g" w:colFirst="0" w:colLast="0"/>
      <w:bookmarkEnd w:id="4"/>
      <w:r>
        <w:t>Simultaneous f</w:t>
      </w:r>
      <w:r w:rsidR="006F5F5B">
        <w:t>MRI-EEG procedure and experimental task</w:t>
      </w:r>
    </w:p>
    <w:p w:rsidR="005B0E38" w:rsidRDefault="006F5F5B">
      <w:pPr>
        <w:ind w:firstLine="0"/>
      </w:pPr>
      <w:r>
        <w:t>After positioning of the EEG cap and impedance check, participants entered the MR scanner. Their heads were lightly restrained in the head coil to limit movement during scanning. A computer screen was visible via a mirror placed upon the head coil. Impedances of EEG electrodes were checked before the MR measurement started and the helium pump was switched off to reduce artifacts. Participants were instructed to lie still in the scanner with eyes open and look at a fixation cross displayed on a blank computer screen during the resting state scan. During the neurofeedback (nf) runs, participants were instructed to downregulate a thermometer displayed on the screen. Each nf block consisted of a rest phase, followed by amygdala feedback and finger-tapping task as illustrated in Figure S1.</w:t>
      </w:r>
    </w:p>
    <w:p w:rsidR="005B0E38" w:rsidRDefault="006F5F5B">
      <w:pPr>
        <w:pStyle w:val="berschrift2"/>
        <w:numPr>
          <w:ilvl w:val="1"/>
          <w:numId w:val="1"/>
        </w:numPr>
      </w:pPr>
      <w:bookmarkStart w:id="5" w:name="_tb823ugbjvjd" w:colFirst="0" w:colLast="0"/>
      <w:bookmarkEnd w:id="5"/>
      <w:r>
        <w:t>Preprocessing of fMRI data</w:t>
      </w:r>
    </w:p>
    <w:p w:rsidR="005B0E38" w:rsidRDefault="006F5F5B">
      <w:pPr>
        <w:ind w:firstLine="0"/>
        <w:rPr>
          <w:color w:val="212529"/>
        </w:rPr>
      </w:pPr>
      <w:r>
        <w:rPr>
          <w:color w:val="212529"/>
        </w:rPr>
        <w:t xml:space="preserve">Results included in this manuscript come from preprocessing performed using </w:t>
      </w:r>
      <w:r>
        <w:rPr>
          <w:i/>
          <w:color w:val="212529"/>
        </w:rPr>
        <w:t>fMRIPrep</w:t>
      </w:r>
      <w:r>
        <w:rPr>
          <w:color w:val="212529"/>
        </w:rPr>
        <w:t xml:space="preserve"> 20.0.6 (Esteban, Markiewicz, et al. (2018); Esteban, Blair, et al. (2018); RRID:SCR_016216), which is based on </w:t>
      </w:r>
      <w:r>
        <w:rPr>
          <w:i/>
          <w:color w:val="212529"/>
        </w:rPr>
        <w:t>Nipype</w:t>
      </w:r>
      <w:r>
        <w:rPr>
          <w:color w:val="212529"/>
        </w:rPr>
        <w:t xml:space="preserve"> 1.4.2 (Gorgolewski et al. (2011); Gorgolewski et al. (2018); RRID:SCR_002502).</w:t>
      </w:r>
    </w:p>
    <w:p w:rsidR="005B0E38" w:rsidRDefault="006F5F5B">
      <w:pPr>
        <w:spacing w:line="360" w:lineRule="auto"/>
        <w:ind w:firstLine="0"/>
        <w:rPr>
          <w:b/>
          <w:color w:val="212529"/>
        </w:rPr>
      </w:pPr>
      <w:r>
        <w:rPr>
          <w:b/>
          <w:color w:val="212529"/>
        </w:rPr>
        <w:t>Anatomical data preprocessing</w:t>
      </w:r>
    </w:p>
    <w:p w:rsidR="005B0E38" w:rsidRDefault="006F5F5B">
      <w:pPr>
        <w:ind w:firstLine="0"/>
        <w:rPr>
          <w:color w:val="212529"/>
        </w:rPr>
      </w:pPr>
      <w:r>
        <w:rPr>
          <w:color w:val="212529"/>
        </w:rPr>
        <w:t xml:space="preserve">A total of 2 T1-weighted (T1w) images were found within the input BIDS dataset. All of them were corrected for intensity non-uniformity (INU) with </w:t>
      </w:r>
      <w:r>
        <w:rPr>
          <w:color w:val="E83E8C"/>
        </w:rPr>
        <w:t>N4BiasFieldCorrection</w:t>
      </w:r>
      <w:r>
        <w:rPr>
          <w:color w:val="212529"/>
        </w:rPr>
        <w:t xml:space="preserve"> (Tustison et al. 2010), distributed with ANTs 2.2.0 (Avants et al. 2008, RRID:SCR_004757). The T1w-reference was then skull-stripped with a </w:t>
      </w:r>
      <w:r>
        <w:rPr>
          <w:i/>
          <w:color w:val="212529"/>
        </w:rPr>
        <w:t>Nipype</w:t>
      </w:r>
      <w:r>
        <w:rPr>
          <w:color w:val="212529"/>
        </w:rPr>
        <w:t xml:space="preserve"> implementation of the </w:t>
      </w:r>
      <w:r>
        <w:rPr>
          <w:color w:val="E83E8C"/>
        </w:rPr>
        <w:t>antsBrainExtraction.sh</w:t>
      </w:r>
      <w:r>
        <w:rPr>
          <w:color w:val="212529"/>
        </w:rPr>
        <w:t xml:space="preserve"> workflow (from ANTs), using OASIS30ANTs as target template. Brain tissue segmentation </w:t>
      </w:r>
      <w:r>
        <w:rPr>
          <w:color w:val="212529"/>
        </w:rPr>
        <w:lastRenderedPageBreak/>
        <w:t xml:space="preserve">of cerebrospinal fluid (CSF), white-matter (WM) and gray-matter (GM) was performed on the brain-extracted T1w using </w:t>
      </w:r>
      <w:r>
        <w:rPr>
          <w:color w:val="E83E8C"/>
        </w:rPr>
        <w:t>fast</w:t>
      </w:r>
      <w:r>
        <w:rPr>
          <w:color w:val="212529"/>
        </w:rPr>
        <w:t xml:space="preserve"> (FSL 5.0.9, RRID:SCR_002823, Zhang, Brady, and Smith 2001). A T1w-reference map was computed after registration of 2 T1w images (after INU-correction) using </w:t>
      </w:r>
      <w:r>
        <w:rPr>
          <w:color w:val="E83E8C"/>
        </w:rPr>
        <w:t>mri_robust_template</w:t>
      </w:r>
      <w:r>
        <w:rPr>
          <w:color w:val="212529"/>
        </w:rPr>
        <w:t xml:space="preserve"> (FreeSurfer 6.0.1, Reuter, Rosas, and Fischl 2010). Brain surfaces were reconstructed using </w:t>
      </w:r>
      <w:r>
        <w:rPr>
          <w:color w:val="E83E8C"/>
        </w:rPr>
        <w:t>recon-all</w:t>
      </w:r>
      <w:r>
        <w:rPr>
          <w:color w:val="212529"/>
        </w:rPr>
        <w:t xml:space="preserve"> (FreeSurfer 6.0.1, RRID:SCR_001847, Dale, Fischl, and Sereno 1999), and the brain mask estimated previously was refined with a custom variation of the method to reconcile ANTs-derived and FreeSurfer-derived segmentations of the cortical gray-matter of Mindboggle (RRID:SCR_002438, Klein et al. 2017). Volume-based spatial normalization to one standard space (MNI152NLin2009cAsym) was performed through nonlinear registration with </w:t>
      </w:r>
      <w:r>
        <w:rPr>
          <w:color w:val="E83E8C"/>
        </w:rPr>
        <w:t>antsRegistration</w:t>
      </w:r>
      <w:r>
        <w:rPr>
          <w:color w:val="212529"/>
        </w:rPr>
        <w:t xml:space="preserve"> (ANTs 2.2.0), using brain-extracted versions of both T1w reference and the T1w template. The following template was selected for spatial normalization: </w:t>
      </w:r>
      <w:r>
        <w:rPr>
          <w:i/>
          <w:color w:val="212529"/>
        </w:rPr>
        <w:t>ICBM 152 Nonlinear Asymmetrical template version 2009c</w:t>
      </w:r>
      <w:r>
        <w:rPr>
          <w:color w:val="212529"/>
        </w:rPr>
        <w:t xml:space="preserve"> [Fonov et al. (2009), RRID:SCR_008796; TemplateFlow ID: MNI152NLin2009cAsym],</w:t>
      </w:r>
    </w:p>
    <w:p w:rsidR="005B0E38" w:rsidRDefault="006F5F5B">
      <w:pPr>
        <w:spacing w:line="360" w:lineRule="auto"/>
        <w:ind w:firstLine="0"/>
        <w:rPr>
          <w:b/>
          <w:color w:val="212529"/>
        </w:rPr>
      </w:pPr>
      <w:r>
        <w:rPr>
          <w:b/>
          <w:color w:val="212529"/>
        </w:rPr>
        <w:t>Functional data preprocessing</w:t>
      </w:r>
    </w:p>
    <w:p w:rsidR="005B0E38" w:rsidRDefault="006F5F5B">
      <w:pPr>
        <w:ind w:firstLine="0"/>
        <w:rPr>
          <w:color w:val="212529"/>
        </w:rPr>
      </w:pPr>
      <w:r>
        <w:rPr>
          <w:color w:val="212529"/>
        </w:rPr>
        <w:t xml:space="preserve">For each of the 5 BOLD runs found per subject (across all tasks and sessions), the following preprocessing was performed. First, a reference volume and its skull-stripped version were generated using a custom methodology of </w:t>
      </w:r>
      <w:r>
        <w:rPr>
          <w:i/>
          <w:color w:val="212529"/>
        </w:rPr>
        <w:t>fMRIPrep</w:t>
      </w:r>
      <w:r>
        <w:rPr>
          <w:color w:val="212529"/>
        </w:rPr>
        <w:t xml:space="preserve">. A B0-nonuniformity map (or </w:t>
      </w:r>
      <w:r>
        <w:rPr>
          <w:i/>
          <w:color w:val="212529"/>
        </w:rPr>
        <w:t>fieldmap</w:t>
      </w:r>
      <w:r>
        <w:rPr>
          <w:color w:val="212529"/>
        </w:rPr>
        <w:t xml:space="preserve">) was estimated based on a phase-difference map calculated with a dual-echo GRE (gradient-recall echo) sequence, processed with a custom workflow of </w:t>
      </w:r>
      <w:r>
        <w:rPr>
          <w:i/>
          <w:color w:val="212529"/>
        </w:rPr>
        <w:t>SDCFlows</w:t>
      </w:r>
      <w:r>
        <w:rPr>
          <w:color w:val="212529"/>
        </w:rPr>
        <w:t xml:space="preserve"> inspired by the </w:t>
      </w:r>
      <w:hyperlink r:id="rId7">
        <w:r>
          <w:rPr>
            <w:color w:val="007BFF"/>
          </w:rPr>
          <w:t>epidewarp.fsl script</w:t>
        </w:r>
      </w:hyperlink>
      <w:r>
        <w:rPr>
          <w:color w:val="212529"/>
        </w:rPr>
        <w:t xml:space="preserve"> and further improvements in HCP Pipelines (Glasser et al. 2013). The </w:t>
      </w:r>
      <w:r>
        <w:rPr>
          <w:i/>
          <w:color w:val="212529"/>
        </w:rPr>
        <w:t>fieldmap</w:t>
      </w:r>
      <w:r>
        <w:rPr>
          <w:color w:val="212529"/>
        </w:rPr>
        <w:t xml:space="preserve"> was then co-registered to the target EPI (echo-planar imaging) reference run and converted to a displacements field map (amenable to registration tools such as ANTs) with FSL’s </w:t>
      </w:r>
      <w:r>
        <w:rPr>
          <w:color w:val="E83E8C"/>
        </w:rPr>
        <w:t>fugue</w:t>
      </w:r>
      <w:r>
        <w:rPr>
          <w:color w:val="212529"/>
        </w:rPr>
        <w:t xml:space="preserve"> and other </w:t>
      </w:r>
      <w:r>
        <w:rPr>
          <w:i/>
          <w:color w:val="212529"/>
        </w:rPr>
        <w:t>SDCflows</w:t>
      </w:r>
      <w:r>
        <w:rPr>
          <w:color w:val="212529"/>
        </w:rPr>
        <w:t xml:space="preserve"> tools. Based on the estimated susceptibility distortion, a corrected EPI (echo-planar imaging) reference was calculated for a more accurate co-</w:t>
      </w:r>
      <w:r>
        <w:rPr>
          <w:color w:val="212529"/>
        </w:rPr>
        <w:lastRenderedPageBreak/>
        <w:t xml:space="preserve">registration with the anatomical reference. The BOLD reference was then co-registered to the T1w reference using </w:t>
      </w:r>
      <w:r>
        <w:rPr>
          <w:color w:val="E83E8C"/>
        </w:rPr>
        <w:t>bbregister</w:t>
      </w:r>
      <w:r>
        <w:rPr>
          <w:color w:val="212529"/>
        </w:rPr>
        <w:t xml:space="preserve"> (FreeSurfer) which implements boundary-based registration (Greve and Fischl 2009). Co-registration was configured with six degrees of freedom. Head-motion parameters with respect to the BOLD reference (transformation matrices, and six corresponding rotation and translation parameters) are estimated before any spatiotemporal filtering using </w:t>
      </w:r>
      <w:r>
        <w:rPr>
          <w:color w:val="E83E8C"/>
        </w:rPr>
        <w:t>mcflirt</w:t>
      </w:r>
      <w:r>
        <w:rPr>
          <w:color w:val="212529"/>
        </w:rPr>
        <w:t xml:space="preserve"> (FSL 5.0.9, Jenkinson et al. 2002). BOLD runs were slice-time corrected using </w:t>
      </w:r>
      <w:r>
        <w:rPr>
          <w:color w:val="E83E8C"/>
        </w:rPr>
        <w:t>3dTshift</w:t>
      </w:r>
      <w:r>
        <w:rPr>
          <w:color w:val="212529"/>
        </w:rPr>
        <w:t xml:space="preserve"> from AFNI 20160207 (Cox and Hyde 1997, RRID:SCR_005927). The BOLD time-series (including slice-timing correction when applied) were resampled onto their original, native space by applying a single, composite transform to correct for head-motion and susceptibility distortions. These resampled BOLD time-series will be referred to as </w:t>
      </w:r>
      <w:r>
        <w:rPr>
          <w:i/>
          <w:color w:val="212529"/>
        </w:rPr>
        <w:t>preprocessed BOLD in original space</w:t>
      </w:r>
      <w:r>
        <w:rPr>
          <w:color w:val="212529"/>
        </w:rPr>
        <w:t xml:space="preserve">, or just </w:t>
      </w:r>
      <w:r>
        <w:rPr>
          <w:i/>
          <w:color w:val="212529"/>
        </w:rPr>
        <w:t>preprocessed BOLD</w:t>
      </w:r>
      <w:r>
        <w:rPr>
          <w:color w:val="212529"/>
        </w:rPr>
        <w:t xml:space="preserve">. The BOLD time-series were resampled into standard space, generating a </w:t>
      </w:r>
      <w:r>
        <w:rPr>
          <w:i/>
          <w:color w:val="212529"/>
        </w:rPr>
        <w:t>preprocessed BOLD run in MNI152NLin2009cAsym space</w:t>
      </w:r>
      <w:r>
        <w:rPr>
          <w:color w:val="212529"/>
        </w:rPr>
        <w:t xml:space="preserve">. First, a reference volume and its skull-stripped version were generated using a custom methodology of </w:t>
      </w:r>
      <w:r>
        <w:rPr>
          <w:i/>
          <w:color w:val="212529"/>
        </w:rPr>
        <w:t>fMRIPrep</w:t>
      </w:r>
      <w:r>
        <w:rPr>
          <w:color w:val="212529"/>
        </w:rPr>
        <w:t xml:space="preserve">. Several confounding time-series were calculated based on the </w:t>
      </w:r>
      <w:r>
        <w:rPr>
          <w:i/>
          <w:color w:val="212529"/>
        </w:rPr>
        <w:t>preprocessed BOLD</w:t>
      </w:r>
      <w:r>
        <w:rPr>
          <w:color w:val="212529"/>
        </w:rPr>
        <w:t xml:space="preserve">: framewise displacement (FD), DVARS and three region-wise global signals. FD and DVARS are calculated for each functional run, both using their implementations in </w:t>
      </w:r>
      <w:r>
        <w:rPr>
          <w:i/>
          <w:color w:val="212529"/>
        </w:rPr>
        <w:t>Nipype</w:t>
      </w:r>
      <w:r>
        <w:rPr>
          <w:color w:val="212529"/>
        </w:rPr>
        <w:t xml:space="preserve"> (following the definitions by Power et al. 2014). The three global signals are extracted within the CSF, the WM, and the whole-brain masks. Additionally, a set of physiological regressors were extracted to allow for component-based noise correction (</w:t>
      </w:r>
      <w:r>
        <w:rPr>
          <w:i/>
          <w:color w:val="212529"/>
        </w:rPr>
        <w:t>CompCor</w:t>
      </w:r>
      <w:r>
        <w:rPr>
          <w:color w:val="212529"/>
        </w:rPr>
        <w:t xml:space="preserve">, Behzadi et al. 2007). Principal components are estimated after high-pass filtering the </w:t>
      </w:r>
      <w:r>
        <w:rPr>
          <w:i/>
          <w:color w:val="212529"/>
        </w:rPr>
        <w:t>preprocessed BOLD</w:t>
      </w:r>
      <w:r>
        <w:rPr>
          <w:color w:val="212529"/>
        </w:rPr>
        <w:t xml:space="preserve"> time-series (using a discrete cosine filter with 128s cut-off) for the two </w:t>
      </w:r>
      <w:r>
        <w:rPr>
          <w:i/>
          <w:color w:val="212529"/>
        </w:rPr>
        <w:t>CompCor</w:t>
      </w:r>
      <w:r>
        <w:rPr>
          <w:color w:val="212529"/>
        </w:rPr>
        <w:t xml:space="preserve"> variants: temporal (tCompCor) and anatomical (aCompCor). tCompCor components are then calculated from the top 5% variable voxels within a mask covering the subcortical regions. This subcortical mask is obtained by heavily eroding the brain mask, which ensures it does not include cortical GM regions. For </w:t>
      </w:r>
      <w:r>
        <w:rPr>
          <w:color w:val="212529"/>
        </w:rPr>
        <w:lastRenderedPageBreak/>
        <w:t xml:space="preserve">aCompCor, components are calculated within the intersection of the aforementioned mask and the union of CSF and WM masks calculated in T1w space, after their projection to the native space of each functional run (using the inverse BOLD-to-T1w transformation). Components are also calculated separately within the WM and CSF masks. For each CompCor decomposition, the </w:t>
      </w:r>
      <w:r>
        <w:rPr>
          <w:i/>
          <w:color w:val="212529"/>
        </w:rPr>
        <w:t>k</w:t>
      </w:r>
      <w:r>
        <w:rPr>
          <w:color w:val="212529"/>
        </w:rPr>
        <w:t xml:space="preserve"> components with the largest singular values are retained, such that the retained components’ time series are sufficient to explain 50 percent of variance across the nuisance mask (CSF, WM, combined, or temporal). The remaining components are dropped from consideration. The head-motion estimates calculated in the correction step were also placed within the corresponding confounds file. The confound time series derived from head motion estimates and global signals were expanded with the inclusion of temporal derivatives and quadratic terms for each (Satterthwaite et al. 2013). Frames that exceeded a threshold of 0.5 mm FD or 1.5 standardised DVARS were annotated as motion outliers. All resamplings can be performed with </w:t>
      </w:r>
      <w:r>
        <w:rPr>
          <w:i/>
          <w:color w:val="212529"/>
        </w:rPr>
        <w:t>a single interpolation step</w:t>
      </w:r>
      <w:r>
        <w:rPr>
          <w:color w:val="212529"/>
        </w:rPr>
        <w:t xml:space="preserve"> by composing all the pertinent transformations (i.e. head-motion transform matrices, susceptibility distortion correction when available, and co-registrations to anatomical and output spaces). Gridded (volumetric) resamplings were performed using </w:t>
      </w:r>
      <w:r>
        <w:rPr>
          <w:color w:val="E83E8C"/>
        </w:rPr>
        <w:t>antsApplyTransforms</w:t>
      </w:r>
      <w:r>
        <w:rPr>
          <w:color w:val="212529"/>
        </w:rPr>
        <w:t xml:space="preserve"> (ANTs), configured with Lanczos interpolation to minimize the smoothing effects of other kernels (Lanczos 1964). Non-gridded (surface) resamplings were performed using </w:t>
      </w:r>
      <w:r>
        <w:rPr>
          <w:color w:val="E83E8C"/>
        </w:rPr>
        <w:t>mri_vol2surf</w:t>
      </w:r>
      <w:r>
        <w:rPr>
          <w:color w:val="212529"/>
        </w:rPr>
        <w:t xml:space="preserve"> (FreeSurfer).</w:t>
      </w:r>
    </w:p>
    <w:p w:rsidR="005B0E38" w:rsidRDefault="006F5F5B">
      <w:pPr>
        <w:ind w:firstLine="0"/>
        <w:rPr>
          <w:color w:val="212529"/>
        </w:rPr>
      </w:pPr>
      <w:r>
        <w:rPr>
          <w:color w:val="212529"/>
        </w:rPr>
        <w:t xml:space="preserve">Many internal operations of </w:t>
      </w:r>
      <w:r>
        <w:rPr>
          <w:i/>
          <w:color w:val="212529"/>
        </w:rPr>
        <w:t>fMRIPrep</w:t>
      </w:r>
      <w:r>
        <w:rPr>
          <w:color w:val="212529"/>
        </w:rPr>
        <w:t xml:space="preserve"> use </w:t>
      </w:r>
      <w:r>
        <w:rPr>
          <w:i/>
          <w:color w:val="212529"/>
        </w:rPr>
        <w:t>Nilearn</w:t>
      </w:r>
      <w:r>
        <w:rPr>
          <w:color w:val="212529"/>
        </w:rPr>
        <w:t xml:space="preserve"> 0.6.2 (Abraham et al. 2014, RRID:SCR_001362), mostly within the functional processing workflow. For more details of the pipeline, see </w:t>
      </w:r>
      <w:hyperlink r:id="rId8">
        <w:r>
          <w:rPr>
            <w:color w:val="007BFF"/>
          </w:rPr>
          <w:t xml:space="preserve">the section corresponding to workflows in </w:t>
        </w:r>
      </w:hyperlink>
      <w:hyperlink r:id="rId9">
        <w:r>
          <w:rPr>
            <w:i/>
            <w:color w:val="007BFF"/>
          </w:rPr>
          <w:t>fMRIPrep</w:t>
        </w:r>
      </w:hyperlink>
      <w:hyperlink r:id="rId10">
        <w:r>
          <w:rPr>
            <w:color w:val="007BFF"/>
          </w:rPr>
          <w:t>’s documentation</w:t>
        </w:r>
      </w:hyperlink>
      <w:r>
        <w:rPr>
          <w:color w:val="212529"/>
        </w:rPr>
        <w:t>.</w:t>
      </w:r>
    </w:p>
    <w:p w:rsidR="005B0E38" w:rsidRDefault="006F5F5B">
      <w:pPr>
        <w:pBdr>
          <w:top w:val="none" w:sz="0" w:space="11" w:color="auto"/>
        </w:pBdr>
        <w:spacing w:after="80" w:line="360" w:lineRule="auto"/>
        <w:ind w:firstLine="0"/>
        <w:rPr>
          <w:b/>
        </w:rPr>
      </w:pPr>
      <w:r>
        <w:rPr>
          <w:b/>
        </w:rPr>
        <w:t>Copyright Waiver</w:t>
      </w:r>
    </w:p>
    <w:p w:rsidR="005B0E38" w:rsidRDefault="006F5F5B">
      <w:pPr>
        <w:ind w:firstLine="0"/>
        <w:rPr>
          <w:color w:val="212529"/>
        </w:rPr>
      </w:pPr>
      <w:r>
        <w:rPr>
          <w:color w:val="212529"/>
        </w:rPr>
        <w:lastRenderedPageBreak/>
        <w:t xml:space="preserve">The above boilerplate text was automatically generated by fMRIPrep with the express intention that users should copy and paste this text into their manuscripts </w:t>
      </w:r>
      <w:r>
        <w:rPr>
          <w:i/>
          <w:color w:val="212529"/>
        </w:rPr>
        <w:t>unchanged</w:t>
      </w:r>
      <w:r>
        <w:rPr>
          <w:color w:val="212529"/>
        </w:rPr>
        <w:t xml:space="preserve">. It is released under the </w:t>
      </w:r>
      <w:hyperlink r:id="rId11">
        <w:r>
          <w:rPr>
            <w:color w:val="007BFF"/>
          </w:rPr>
          <w:t>CC0</w:t>
        </w:r>
      </w:hyperlink>
      <w:r>
        <w:rPr>
          <w:color w:val="212529"/>
        </w:rPr>
        <w:t xml:space="preserve"> license.</w:t>
      </w:r>
    </w:p>
    <w:p w:rsidR="005B0E38" w:rsidRDefault="006F5F5B">
      <w:pPr>
        <w:pStyle w:val="berschrift2"/>
        <w:numPr>
          <w:ilvl w:val="1"/>
          <w:numId w:val="1"/>
        </w:numPr>
      </w:pPr>
      <w:bookmarkStart w:id="6" w:name="_450x1lj26x01" w:colFirst="0" w:colLast="0"/>
      <w:bookmarkEnd w:id="6"/>
      <w:r>
        <w:t>Real-time fMRI analysis and amygdala BOLD-feedback computation</w:t>
      </w:r>
    </w:p>
    <w:p w:rsidR="005B0E38" w:rsidRDefault="006F5F5B">
      <w:pPr>
        <w:ind w:firstLine="0"/>
      </w:pPr>
      <w:r>
        <w:rPr>
          <w:b/>
        </w:rPr>
        <w:t>Localization of the amygdala.</w:t>
      </w:r>
      <w:r>
        <w:t xml:space="preserve"> The brain mask definition, the quantification of BOLD-signal and the neurofeedback presentation to the participant was implemented as reported in a prior study by our group (Paret et al., 2018). Following image reconstruction at the scanner, volumes were transferred to a laptop for preprocessing and analysis with SPM12 (Wellcome Department of Cognitive Neurology, London, UK). Before beginning the neurofeedback tasks, the T1-weighted anatomical scan was segmented and normalized to Montreal Neurological Imaging (MNI) space. Then the anatomical masks of the Regions of Interest (ROIs) for feedback calculation were transformed to subject-native space. The ROI in this study was the right amygdala mask, produced with the Harvard–Oxford brain atlas with a probability threshold of 25%. For each participant, BOLD signal from the voxels within this mask were used to calculate their neurofeedback values. In order to correct for global signal fluctuations across the brain, the BOLD signal from a rectangular plane ROI (3x30x30 mm in AC–PC orientation, center of mass = [0,216,25], MNI coordinates) was recorded and subtracted from the target-ROI BOLD-activation.</w:t>
      </w:r>
    </w:p>
    <w:p w:rsidR="005B0E38" w:rsidRDefault="006F5F5B" w:rsidP="00C56934">
      <w:pPr>
        <w:ind w:firstLine="0"/>
        <w:rPr>
          <w:color w:val="010205"/>
        </w:rPr>
      </w:pPr>
      <w:r>
        <w:rPr>
          <w:b/>
        </w:rPr>
        <w:t xml:space="preserve">Quantification of BOLD signals for neurofeedback calculation. </w:t>
      </w:r>
      <w:r>
        <w:t xml:space="preserve">Functional images were realigned to the first image. For each ROI, BOLD signal data from all voxels were averaged. The resulting average time course was processed with a modified Kalman filter (Koush et al.,2012) and then detrended with Matlab’s (R2014b) detrend function. Detrending started </w:t>
      </w:r>
      <w:r>
        <w:lastRenderedPageBreak/>
        <w:t>with the 35th acquired volume before subjects received any feedback to allow for stabilization of the filter and detrend functions. Following this signal preprocessing, percent signal change from the global mean was calculated. The difference in signal change between the ROIs was used for feedback:</w:t>
      </w:r>
      <w:r w:rsidR="00C56934">
        <w:rPr>
          <w:noProof/>
          <w:lang w:val="de-DE"/>
        </w:rPr>
        <w:drawing>
          <wp:inline distT="0" distB="0" distL="0" distR="0" wp14:anchorId="0CE3B55D" wp14:editId="0C84765A">
            <wp:extent cx="5760720" cy="5314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31495"/>
                    </a:xfrm>
                    <a:prstGeom prst="rect">
                      <a:avLst/>
                    </a:prstGeom>
                  </pic:spPr>
                </pic:pic>
              </a:graphicData>
            </a:graphic>
          </wp:inline>
        </w:drawing>
      </w:r>
      <w:r>
        <w:rPr>
          <w:color w:val="010205"/>
        </w:rPr>
        <w:t xml:space="preserve">where </w:t>
      </w:r>
      <m:oMath>
        <m:sSub>
          <m:sSubPr>
            <m:ctrlPr>
              <w:rPr>
                <w:rFonts w:ascii="Cambria Math" w:hAnsi="Cambria Math"/>
                <w:color w:val="010205"/>
              </w:rPr>
            </m:ctrlPr>
          </m:sSubPr>
          <m:e>
            <m:r>
              <w:rPr>
                <w:rFonts w:ascii="Cambria Math" w:hAnsi="Cambria Math"/>
                <w:color w:val="010205"/>
              </w:rPr>
              <m:t>X</m:t>
            </m:r>
          </m:e>
          <m:sub>
            <m:r>
              <w:rPr>
                <w:rFonts w:ascii="Cambria Math" w:hAnsi="Cambria Math"/>
                <w:color w:val="010205"/>
              </w:rPr>
              <m:t>j,i</m:t>
            </m:r>
          </m:sub>
        </m:sSub>
      </m:oMath>
      <w:r>
        <w:rPr>
          <w:color w:val="010205"/>
        </w:rPr>
        <w:t xml:space="preserve"> is the most recent BOLD signal value received at the ROI.</w:t>
      </w:r>
    </w:p>
    <w:p w:rsidR="000107C8" w:rsidRDefault="006F5F5B">
      <w:pPr>
        <w:ind w:firstLine="0"/>
      </w:pPr>
      <w:r>
        <w:rPr>
          <w:b/>
        </w:rPr>
        <w:t xml:space="preserve">MR-BOLD feedback presentation. </w:t>
      </w:r>
      <w:r>
        <w:t xml:space="preserve">Stimulus presentation software (Presentation, Neurobehavioral Systems, Berkeley, CA) running on a separate computer received the score data via TCP/IP. The feedback display was refreshed upon receiving the next score with an update frequency of 0.5 Hz. Feedback was displayed as a colored rectangle moving on a vertical thermometer-like scale. In addition to moving up and down, the rectangle changed from dark red at the top of the scale over light green in the middle to dark green at the bottom. The thermometer-like scale had a resolution of six levels and adjusted the rectangle’s position within those levels according to variations within a range of two percent signal change above and below baseline. </w:t>
      </w:r>
    </w:p>
    <w:p w:rsidR="000107C8" w:rsidRDefault="000107C8">
      <w:r>
        <w:br w:type="page"/>
      </w:r>
    </w:p>
    <w:p w:rsidR="000107C8" w:rsidRDefault="000107C8" w:rsidP="000107C8">
      <w:pPr>
        <w:pStyle w:val="berschrift1"/>
        <w:numPr>
          <w:ilvl w:val="0"/>
          <w:numId w:val="1"/>
        </w:numPr>
      </w:pPr>
      <w:r>
        <w:lastRenderedPageBreak/>
        <w:t>Supplementary Analysis of Clinical Data</w:t>
      </w:r>
    </w:p>
    <w:p w:rsidR="000107C8" w:rsidRDefault="000107C8" w:rsidP="000107C8">
      <w:r>
        <w:t>Questionnaire data from the post-assessment of one subject was lost. After excluding an extreme value from the BDI-data analysis, we observed a non-significant Group main effect (ME) (F(23)=1.61, p=0.217), a significant Time ME (F(23)=8.84, p&lt;0.01) indicating decreasing depression, and a non-significant Group x Time interaction (F(23)=2.87, p=0.104). The ANOVA of ALS scores showed a non-significant Group ME (F(24)=0.21, p=0.653), a significant Time ME (F(24)=7.78, p=0.01) of decreasing affective lability, and a non-significant Group x Time interaction (F(24)=0.30, p=0.591). No effects were significant in the ANOVA of TAS scores (Group ME: F(24)=2.42, p=0.133; Time ME: F(24)=3.80, p=0.063, Group x Time interaction (F(24)=0.33, p=0.572).</w:t>
      </w:r>
    </w:p>
    <w:p w:rsidR="000107C8" w:rsidRDefault="00A7532C" w:rsidP="00A7532C">
      <w:r>
        <w:t xml:space="preserve">In line with reporting guidelines we explored correlations between NF training success (PES) and clinical improvement (N=14; affective lability: r=0.281, depression: r=0.236, alexithymia r=0.123; Online Supplement, Figure S3). Correlations were not significant. </w:t>
      </w:r>
    </w:p>
    <w:p w:rsidR="000107C8" w:rsidRDefault="000107C8">
      <w:r>
        <w:br w:type="page"/>
      </w:r>
    </w:p>
    <w:p w:rsidR="005B0E38" w:rsidRDefault="006F5F5B">
      <w:pPr>
        <w:pStyle w:val="berschrift1"/>
        <w:numPr>
          <w:ilvl w:val="0"/>
          <w:numId w:val="1"/>
        </w:numPr>
      </w:pPr>
      <w:bookmarkStart w:id="7" w:name="_cdu2kzy1fjfv" w:colFirst="0" w:colLast="0"/>
      <w:bookmarkEnd w:id="7"/>
      <w:r>
        <w:lastRenderedPageBreak/>
        <w:t>Supplementary Figures</w:t>
      </w:r>
    </w:p>
    <w:p w:rsidR="005B0E38" w:rsidRDefault="006F5F5B">
      <w:pPr>
        <w:widowControl w:val="0"/>
        <w:spacing w:after="120" w:line="276" w:lineRule="auto"/>
        <w:ind w:firstLine="0"/>
        <w:rPr>
          <w:rFonts w:ascii="Arial" w:eastAsia="Arial" w:hAnsi="Arial" w:cs="Arial"/>
          <w:color w:val="010205"/>
        </w:rPr>
      </w:pPr>
      <w:r>
        <w:rPr>
          <w:rFonts w:ascii="Arial" w:eastAsia="Arial" w:hAnsi="Arial" w:cs="Arial"/>
          <w:noProof/>
          <w:color w:val="010205"/>
          <w:lang w:val="de-DE"/>
        </w:rPr>
        <w:drawing>
          <wp:inline distT="19050" distB="19050" distL="19050" distR="19050">
            <wp:extent cx="5760410" cy="3263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760410" cy="3263900"/>
                    </a:xfrm>
                    <a:prstGeom prst="rect">
                      <a:avLst/>
                    </a:prstGeom>
                    <a:ln/>
                  </pic:spPr>
                </pic:pic>
              </a:graphicData>
            </a:graphic>
          </wp:inline>
        </w:drawing>
      </w:r>
    </w:p>
    <w:p w:rsidR="005B0E38" w:rsidRDefault="006F5F5B">
      <w:pPr>
        <w:widowControl w:val="0"/>
        <w:spacing w:after="120" w:line="360" w:lineRule="auto"/>
        <w:ind w:firstLine="0"/>
        <w:rPr>
          <w:sz w:val="28"/>
          <w:szCs w:val="28"/>
        </w:rPr>
      </w:pPr>
      <w:r>
        <w:rPr>
          <w:color w:val="010205"/>
        </w:rPr>
        <w:t xml:space="preserve">Supplementary Figure S1. Procedure of the fMRI-NF session at the beginning (“pre”) and at the end (“post”) of the study. Two different Amygdala-BOLD-NF tasks were </w:t>
      </w:r>
      <w:r w:rsidR="00D40ECC">
        <w:rPr>
          <w:color w:val="010205"/>
        </w:rPr>
        <w:t>performed</w:t>
      </w:r>
      <w:r>
        <w:rPr>
          <w:color w:val="010205"/>
        </w:rPr>
        <w:t>: a brief 2-block downregulation-NF session (termed “EFPTest”) and a longer 4-block NF-session including alternating up- or downregulation blocks (termed “UpDown”)</w:t>
      </w:r>
    </w:p>
    <w:p w:rsidR="005B0E38" w:rsidRDefault="006F5F5B">
      <w:pPr>
        <w:widowControl w:val="0"/>
        <w:spacing w:after="120" w:line="276" w:lineRule="auto"/>
        <w:ind w:firstLine="0"/>
      </w:pPr>
      <w:r>
        <w:rPr>
          <w:rFonts w:ascii="Arial" w:eastAsia="Arial" w:hAnsi="Arial" w:cs="Arial"/>
          <w:noProof/>
          <w:color w:val="010205"/>
          <w:lang w:val="de-DE"/>
        </w:rPr>
        <w:lastRenderedPageBreak/>
        <w:drawing>
          <wp:inline distT="114300" distB="114300" distL="114300" distR="114300">
            <wp:extent cx="5760410" cy="4267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60410" cy="4267200"/>
                    </a:xfrm>
                    <a:prstGeom prst="rect">
                      <a:avLst/>
                    </a:prstGeom>
                    <a:ln/>
                  </pic:spPr>
                </pic:pic>
              </a:graphicData>
            </a:graphic>
          </wp:inline>
        </w:drawing>
      </w:r>
    </w:p>
    <w:p w:rsidR="005B0E38" w:rsidRDefault="006F5F5B">
      <w:pPr>
        <w:ind w:firstLine="0"/>
      </w:pPr>
      <w:r>
        <w:t>Supplementary Figure S2. A) Patient flow chart including drop-out numbers and reason for dropping out of the study. B) The study’s timeline</w:t>
      </w:r>
      <w:r w:rsidR="00D40ECC">
        <w:t>,</w:t>
      </w:r>
      <w:r>
        <w:t xml:space="preserve"> which participants completed within the context of their 3-month residential therapy program.</w:t>
      </w:r>
    </w:p>
    <w:p w:rsidR="005B0E38" w:rsidRDefault="006F5F5B">
      <w:pPr>
        <w:ind w:firstLine="0"/>
      </w:pPr>
      <w:r>
        <w:br w:type="page"/>
      </w:r>
    </w:p>
    <w:p w:rsidR="005B0E38" w:rsidRDefault="006F5F5B">
      <w:pPr>
        <w:ind w:firstLine="0"/>
      </w:pPr>
      <w:r>
        <w:rPr>
          <w:noProof/>
          <w:lang w:val="de-DE"/>
        </w:rPr>
        <w:lastRenderedPageBreak/>
        <w:drawing>
          <wp:inline distT="114300" distB="114300" distL="114300" distR="114300">
            <wp:extent cx="2848293" cy="2708927"/>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848293" cy="2708927"/>
                    </a:xfrm>
                    <a:prstGeom prst="rect">
                      <a:avLst/>
                    </a:prstGeom>
                    <a:ln/>
                  </pic:spPr>
                </pic:pic>
              </a:graphicData>
            </a:graphic>
          </wp:inline>
        </w:drawing>
      </w:r>
      <w:r>
        <w:rPr>
          <w:noProof/>
          <w:lang w:val="de-DE"/>
        </w:rPr>
        <w:drawing>
          <wp:inline distT="114300" distB="114300" distL="114300" distR="114300">
            <wp:extent cx="2800668" cy="2663632"/>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800668" cy="2663632"/>
                    </a:xfrm>
                    <a:prstGeom prst="rect">
                      <a:avLst/>
                    </a:prstGeom>
                    <a:ln/>
                  </pic:spPr>
                </pic:pic>
              </a:graphicData>
            </a:graphic>
          </wp:inline>
        </w:drawing>
      </w:r>
    </w:p>
    <w:p w:rsidR="005B0E38" w:rsidRDefault="006F5F5B">
      <w:pPr>
        <w:ind w:firstLine="0"/>
      </w:pPr>
      <w:r>
        <w:rPr>
          <w:noProof/>
          <w:lang w:val="de-DE"/>
        </w:rPr>
        <w:drawing>
          <wp:inline distT="114300" distB="114300" distL="114300" distR="114300">
            <wp:extent cx="2829243" cy="269038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829243" cy="2690384"/>
                    </a:xfrm>
                    <a:prstGeom prst="rect">
                      <a:avLst/>
                    </a:prstGeom>
                    <a:ln/>
                  </pic:spPr>
                </pic:pic>
              </a:graphicData>
            </a:graphic>
          </wp:inline>
        </w:drawing>
      </w:r>
    </w:p>
    <w:p w:rsidR="005B0E38" w:rsidRDefault="00FF7B2E">
      <w:pPr>
        <w:ind w:firstLine="0"/>
      </w:pPr>
      <w:r>
        <w:t>Supplementary Figure S3</w:t>
      </w:r>
      <w:r w:rsidR="006F5F5B">
        <w:t>. Correlations of improvement in clinical outcomes (difference of post vs. pre) and neurofeedback training success (difference of means of final two and initial two sessions, N=14). Linear trend with 95%-confidence interval is shown. ALS=Affective Lability, BDI=Beck Depression Inventory, TAS=Toronto Alexithymia Scale, PES=personal effect size.</w:t>
      </w:r>
    </w:p>
    <w:p w:rsidR="005B0E38" w:rsidRDefault="006F5F5B">
      <w:pPr>
        <w:pStyle w:val="berschrift1"/>
        <w:numPr>
          <w:ilvl w:val="0"/>
          <w:numId w:val="1"/>
        </w:numPr>
      </w:pPr>
      <w:bookmarkStart w:id="8" w:name="_lhelfoq881cl" w:colFirst="0" w:colLast="0"/>
      <w:bookmarkEnd w:id="8"/>
      <w:r>
        <w:lastRenderedPageBreak/>
        <w:t>Supplementary Tables</w:t>
      </w:r>
    </w:p>
    <w:p w:rsidR="005B0E38" w:rsidRDefault="006F5F5B">
      <w:pPr>
        <w:ind w:firstLine="0"/>
      </w:pPr>
      <w:r>
        <w:t>Table S1: Replication (BPD) sample, study 1. Sample characteristics.</w:t>
      </w:r>
    </w:p>
    <w:tbl>
      <w:tblPr>
        <w:tblW w:w="7660" w:type="dxa"/>
        <w:tblCellMar>
          <w:left w:w="70" w:type="dxa"/>
          <w:right w:w="70" w:type="dxa"/>
        </w:tblCellMar>
        <w:tblLook w:val="04A0" w:firstRow="1" w:lastRow="0" w:firstColumn="1" w:lastColumn="0" w:noHBand="0" w:noVBand="1"/>
      </w:tblPr>
      <w:tblGrid>
        <w:gridCol w:w="5773"/>
        <w:gridCol w:w="917"/>
        <w:gridCol w:w="970"/>
      </w:tblGrid>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2F2F2"/>
            <w:noWrap/>
            <w:vAlign w:val="bottom"/>
            <w:hideMark/>
          </w:tcPr>
          <w:p w:rsidR="00916A16" w:rsidRPr="00916A16" w:rsidRDefault="00916A16" w:rsidP="00916A16">
            <w:pPr>
              <w:spacing w:after="0" w:line="240" w:lineRule="auto"/>
              <w:ind w:firstLine="0"/>
              <w:rPr>
                <w:b/>
                <w:bCs/>
                <w:i/>
                <w:iCs/>
                <w:sz w:val="20"/>
                <w:szCs w:val="20"/>
                <w:lang w:val="de-DE"/>
              </w:rPr>
            </w:pPr>
            <w:r w:rsidRPr="00916A16">
              <w:rPr>
                <w:b/>
                <w:bCs/>
                <w:i/>
                <w:iCs/>
                <w:sz w:val="20"/>
                <w:szCs w:val="20"/>
                <w:lang w:val="de-DE"/>
              </w:rPr>
              <w:t>Demographics</w:t>
            </w:r>
          </w:p>
        </w:tc>
        <w:tc>
          <w:tcPr>
            <w:tcW w:w="917" w:type="dxa"/>
            <w:tcBorders>
              <w:top w:val="nil"/>
              <w:left w:val="nil"/>
              <w:bottom w:val="single" w:sz="4" w:space="0" w:color="auto"/>
              <w:right w:val="single" w:sz="4" w:space="0" w:color="auto"/>
            </w:tcBorders>
            <w:shd w:val="clear" w:color="000000" w:fill="F2F2F2"/>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c>
          <w:tcPr>
            <w:tcW w:w="970" w:type="dxa"/>
            <w:tcBorders>
              <w:top w:val="nil"/>
              <w:left w:val="nil"/>
              <w:bottom w:val="single" w:sz="4" w:space="0" w:color="auto"/>
              <w:right w:val="single" w:sz="4" w:space="0" w:color="auto"/>
            </w:tcBorders>
            <w:shd w:val="clear" w:color="000000" w:fill="F2F2F2"/>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i/>
                <w:iCs/>
                <w:sz w:val="20"/>
                <w:szCs w:val="20"/>
                <w:lang w:val="de-DE"/>
              </w:rPr>
            </w:pPr>
            <w:r w:rsidRPr="00916A16">
              <w:rPr>
                <w:i/>
                <w:iCs/>
                <w:sz w:val="20"/>
                <w:szCs w:val="20"/>
                <w:lang w:val="de-DE"/>
              </w:rPr>
              <w:t>N</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16</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rPr>
                <w:sz w:val="20"/>
                <w:szCs w:val="20"/>
                <w:lang w:val="de-DE"/>
              </w:rPr>
            </w:pPr>
            <w:r w:rsidRPr="00916A16">
              <w:rPr>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female sex N (%)</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16</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(100)</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Age mean (SD)</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21.30</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EA0CF7" w:rsidP="00916A16">
            <w:pPr>
              <w:spacing w:after="0" w:line="240" w:lineRule="auto"/>
              <w:ind w:firstLine="0"/>
              <w:jc w:val="right"/>
              <w:rPr>
                <w:sz w:val="20"/>
                <w:szCs w:val="20"/>
                <w:lang w:val="de-DE"/>
              </w:rPr>
            </w:pPr>
            <w:r>
              <w:rPr>
                <w:sz w:val="20"/>
                <w:szCs w:val="20"/>
                <w:lang w:val="de-DE"/>
              </w:rPr>
              <w:t>(2.</w:t>
            </w:r>
            <w:r w:rsidR="00916A16" w:rsidRPr="00916A16">
              <w:rPr>
                <w:sz w:val="20"/>
                <w:szCs w:val="20"/>
                <w:lang w:val="de-DE"/>
              </w:rPr>
              <w:t>19)</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rPr>
                <w:b/>
                <w:bCs/>
                <w:i/>
                <w:iCs/>
                <w:sz w:val="20"/>
                <w:szCs w:val="20"/>
                <w:lang w:val="de-DE"/>
              </w:rPr>
            </w:pPr>
            <w:r w:rsidRPr="00916A16">
              <w:rPr>
                <w:b/>
                <w:bCs/>
                <w:i/>
                <w:iCs/>
                <w:sz w:val="20"/>
                <w:szCs w:val="20"/>
                <w:lang w:val="de-DE"/>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E7E6E6"/>
            <w:noWrap/>
            <w:vAlign w:val="bottom"/>
            <w:hideMark/>
          </w:tcPr>
          <w:p w:rsidR="00916A16" w:rsidRPr="00916A16" w:rsidRDefault="00916A16" w:rsidP="00916A16">
            <w:pPr>
              <w:spacing w:after="0" w:line="240" w:lineRule="auto"/>
              <w:ind w:firstLine="0"/>
              <w:rPr>
                <w:b/>
                <w:bCs/>
                <w:i/>
                <w:iCs/>
                <w:sz w:val="20"/>
                <w:szCs w:val="20"/>
                <w:lang w:val="de-DE"/>
              </w:rPr>
            </w:pPr>
            <w:r w:rsidRPr="00916A16">
              <w:rPr>
                <w:b/>
                <w:bCs/>
                <w:i/>
                <w:iCs/>
                <w:sz w:val="20"/>
                <w:szCs w:val="20"/>
                <w:lang w:val="de-DE"/>
              </w:rPr>
              <w:t>Self-report measures</w:t>
            </w:r>
          </w:p>
        </w:tc>
        <w:tc>
          <w:tcPr>
            <w:tcW w:w="917" w:type="dxa"/>
            <w:tcBorders>
              <w:top w:val="nil"/>
              <w:left w:val="nil"/>
              <w:bottom w:val="single" w:sz="4" w:space="0" w:color="auto"/>
              <w:right w:val="nil"/>
            </w:tcBorders>
            <w:shd w:val="clear" w:color="000000" w:fill="E7E6E6"/>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 </w:t>
            </w:r>
          </w:p>
        </w:tc>
        <w:tc>
          <w:tcPr>
            <w:tcW w:w="970" w:type="dxa"/>
            <w:tcBorders>
              <w:top w:val="nil"/>
              <w:left w:val="nil"/>
              <w:bottom w:val="single" w:sz="4" w:space="0" w:color="auto"/>
              <w:right w:val="single" w:sz="4" w:space="0" w:color="auto"/>
            </w:tcBorders>
            <w:shd w:val="clear" w:color="000000" w:fill="E7E6E6"/>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center"/>
            <w:hideMark/>
          </w:tcPr>
          <w:p w:rsidR="00916A16" w:rsidRPr="00916A16" w:rsidRDefault="00916A16" w:rsidP="00916A16">
            <w:pPr>
              <w:spacing w:after="0" w:line="240" w:lineRule="auto"/>
              <w:ind w:firstLine="0"/>
              <w:jc w:val="right"/>
              <w:rPr>
                <w:i/>
                <w:iCs/>
                <w:color w:val="000000"/>
                <w:sz w:val="20"/>
                <w:szCs w:val="20"/>
                <w:lang w:val="de-DE"/>
              </w:rPr>
            </w:pPr>
            <w:r w:rsidRPr="00916A16">
              <w:rPr>
                <w:i/>
                <w:iCs/>
                <w:color w:val="000000"/>
                <w:sz w:val="20"/>
                <w:szCs w:val="20"/>
                <w:lang w:val="de-DE"/>
              </w:rPr>
              <w:t>N</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15</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rPr>
                <w:b/>
                <w:bCs/>
                <w:i/>
                <w:iCs/>
                <w:sz w:val="20"/>
                <w:szCs w:val="20"/>
                <w:lang w:val="de-DE"/>
              </w:rPr>
            </w:pPr>
            <w:r w:rsidRPr="00916A16">
              <w:rPr>
                <w:b/>
                <w:bCs/>
                <w:i/>
                <w:iCs/>
                <w:sz w:val="20"/>
                <w:szCs w:val="20"/>
                <w:lang w:val="de-DE"/>
              </w:rPr>
              <w:t>Beck Depression Inventory (BDI)</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center"/>
              <w:rPr>
                <w:color w:val="000000"/>
                <w:sz w:val="20"/>
                <w:szCs w:val="20"/>
                <w:lang w:val="de-DE"/>
              </w:rPr>
            </w:pPr>
            <w:r w:rsidRPr="00916A16">
              <w:rPr>
                <w:color w:val="000000"/>
                <w:sz w:val="20"/>
                <w:szCs w:val="20"/>
                <w:lang w:val="de-DE"/>
              </w:rPr>
              <w:t>Mean</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center"/>
              <w:rPr>
                <w:sz w:val="20"/>
                <w:szCs w:val="20"/>
                <w:lang w:val="de-DE"/>
              </w:rPr>
            </w:pPr>
            <w:r w:rsidRPr="00916A16">
              <w:rPr>
                <w:sz w:val="20"/>
                <w:szCs w:val="20"/>
                <w:lang w:val="de-DE"/>
              </w:rPr>
              <w:t>SD</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center"/>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Total (SD)</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30.47</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13.92</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rPr>
                <w:b/>
                <w:bCs/>
                <w:i/>
                <w:iCs/>
                <w:color w:val="000000"/>
                <w:sz w:val="20"/>
                <w:szCs w:val="20"/>
                <w:lang w:val="de-DE"/>
              </w:rPr>
            </w:pPr>
            <w:r w:rsidRPr="00916A16">
              <w:rPr>
                <w:b/>
                <w:bCs/>
                <w:i/>
                <w:iCs/>
                <w:color w:val="000000"/>
                <w:sz w:val="20"/>
                <w:szCs w:val="20"/>
                <w:lang w:val="de-DE"/>
              </w:rPr>
              <w:t>Affect Lability Scale (ALS)</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 </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Total (SD)</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86.13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30.28</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Depression</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19.00</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6.40</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auto" w:fill="auto"/>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Hypomania</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14.93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7.70</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auto" w:fill="auto"/>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Biphasic shifts</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12.87</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5.82</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Anxiety</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12.93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4.38</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Anger</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9.33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7.07</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Anxiety Depression</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17.07</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4.91</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rPr>
                <w:b/>
                <w:bCs/>
                <w:i/>
                <w:iCs/>
                <w:sz w:val="20"/>
                <w:szCs w:val="20"/>
                <w:lang w:val="de-DE"/>
              </w:rPr>
            </w:pPr>
            <w:r w:rsidRPr="00916A16">
              <w:rPr>
                <w:b/>
                <w:bCs/>
                <w:i/>
                <w:iCs/>
                <w:sz w:val="20"/>
                <w:szCs w:val="20"/>
                <w:lang w:val="de-DE"/>
              </w:rPr>
              <w:t>Toronto Alexithymia Scale (TAS-26)</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sz w:val="20"/>
                <w:szCs w:val="20"/>
                <w:lang w:val="de-DE"/>
              </w:rPr>
            </w:pPr>
            <w:r w:rsidRPr="00916A16">
              <w:rPr>
                <w:sz w:val="20"/>
                <w:szCs w:val="20"/>
                <w:lang w:val="de-DE"/>
              </w:rPr>
              <w:t> </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Total (SD)</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55.53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11.33</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Identification of one's feelings</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22.73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7.17</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Difficulty Describing Feelings</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19.13</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3.94</w:t>
            </w:r>
          </w:p>
        </w:tc>
      </w:tr>
      <w:tr w:rsidR="00916A16" w:rsidRPr="00916A16" w:rsidTr="00916A16">
        <w:trPr>
          <w:trHeight w:val="290"/>
        </w:trPr>
        <w:tc>
          <w:tcPr>
            <w:tcW w:w="5773" w:type="dxa"/>
            <w:tcBorders>
              <w:top w:val="nil"/>
              <w:left w:val="single" w:sz="4" w:space="0" w:color="auto"/>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External thinking</w:t>
            </w:r>
          </w:p>
        </w:tc>
        <w:tc>
          <w:tcPr>
            <w:tcW w:w="917"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13.67</w:t>
            </w:r>
          </w:p>
        </w:tc>
        <w:tc>
          <w:tcPr>
            <w:tcW w:w="970" w:type="dxa"/>
            <w:tcBorders>
              <w:top w:val="nil"/>
              <w:left w:val="nil"/>
              <w:bottom w:val="single" w:sz="4" w:space="0" w:color="auto"/>
              <w:right w:val="single" w:sz="4" w:space="0" w:color="auto"/>
            </w:tcBorders>
            <w:shd w:val="clear" w:color="000000" w:fill="FFFFFF"/>
            <w:noWrap/>
            <w:vAlign w:val="bottom"/>
            <w:hideMark/>
          </w:tcPr>
          <w:p w:rsidR="00916A16" w:rsidRPr="00916A16" w:rsidRDefault="00916A16" w:rsidP="00916A16">
            <w:pPr>
              <w:spacing w:after="0" w:line="240" w:lineRule="auto"/>
              <w:ind w:firstLine="0"/>
              <w:jc w:val="right"/>
              <w:rPr>
                <w:color w:val="000000"/>
                <w:sz w:val="20"/>
                <w:szCs w:val="20"/>
                <w:lang w:val="de-DE"/>
              </w:rPr>
            </w:pPr>
            <w:r w:rsidRPr="00916A16">
              <w:rPr>
                <w:color w:val="000000"/>
                <w:sz w:val="20"/>
                <w:szCs w:val="20"/>
                <w:lang w:val="de-DE"/>
              </w:rPr>
              <w:t>3.81</w:t>
            </w:r>
          </w:p>
        </w:tc>
      </w:tr>
    </w:tbl>
    <w:p w:rsidR="00916A16" w:rsidRDefault="00916A16">
      <w:pPr>
        <w:widowControl w:val="0"/>
        <w:spacing w:after="120" w:line="276" w:lineRule="auto"/>
        <w:ind w:firstLine="0"/>
        <w:rPr>
          <w:color w:val="010205"/>
        </w:rPr>
      </w:pPr>
    </w:p>
    <w:p w:rsidR="009725D2" w:rsidRDefault="009725D2">
      <w:r>
        <w:rPr>
          <w:b/>
        </w:rPr>
        <w:br w:type="page"/>
      </w:r>
    </w:p>
    <w:p w:rsidR="00372807" w:rsidRPr="00372807" w:rsidRDefault="00372807" w:rsidP="00372807">
      <w:pPr>
        <w:spacing w:line="240" w:lineRule="auto"/>
        <w:ind w:firstLine="0"/>
      </w:pPr>
      <w:r w:rsidRPr="00372807">
        <w:lastRenderedPageBreak/>
        <w:t xml:space="preserve">Table </w:t>
      </w:r>
      <w:r>
        <w:t>S</w:t>
      </w:r>
      <w:r w:rsidR="005E4D89">
        <w:t>2</w:t>
      </w:r>
      <w:r w:rsidRPr="00372807">
        <w:t xml:space="preserve">. Demographics and </w:t>
      </w:r>
      <w:r w:rsidR="003E7B43">
        <w:t>psychometric measures</w:t>
      </w:r>
      <w:r w:rsidRPr="00372807">
        <w:t xml:space="preserve"> of completers vs. non-completers</w:t>
      </w:r>
    </w:p>
    <w:tbl>
      <w:tblPr>
        <w:tblW w:w="9696" w:type="dxa"/>
        <w:tblLook w:val="04A0" w:firstRow="1" w:lastRow="0" w:firstColumn="1" w:lastColumn="0" w:noHBand="0" w:noVBand="1"/>
      </w:tblPr>
      <w:tblGrid>
        <w:gridCol w:w="3256"/>
        <w:gridCol w:w="87"/>
        <w:gridCol w:w="711"/>
        <w:gridCol w:w="711"/>
        <w:gridCol w:w="821"/>
        <w:gridCol w:w="711"/>
        <w:gridCol w:w="1308"/>
        <w:gridCol w:w="1245"/>
        <w:gridCol w:w="846"/>
      </w:tblGrid>
      <w:tr w:rsidR="00372807" w:rsidRPr="00372807" w:rsidTr="00EA0CF7">
        <w:trPr>
          <w:trHeight w:val="288"/>
        </w:trPr>
        <w:tc>
          <w:tcPr>
            <w:tcW w:w="32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rPr>
                <w:b/>
                <w:bCs/>
                <w:i/>
                <w:iCs/>
                <w:sz w:val="20"/>
                <w:szCs w:val="20"/>
                <w:lang w:eastAsia="en-US"/>
              </w:rPr>
            </w:pPr>
            <w:r w:rsidRPr="00372807">
              <w:rPr>
                <w:b/>
                <w:bCs/>
                <w:i/>
                <w:iCs/>
                <w:sz w:val="20"/>
                <w:szCs w:val="20"/>
                <w:lang w:eastAsia="en-US"/>
              </w:rPr>
              <w:t>Demographics</w:t>
            </w:r>
          </w:p>
        </w:tc>
        <w:tc>
          <w:tcPr>
            <w:tcW w:w="1509" w:type="dxa"/>
            <w:gridSpan w:val="3"/>
            <w:tcBorders>
              <w:top w:val="single" w:sz="4" w:space="0" w:color="auto"/>
              <w:left w:val="nil"/>
              <w:bottom w:val="single" w:sz="4" w:space="0" w:color="auto"/>
              <w:right w:val="single" w:sz="4" w:space="0" w:color="000000"/>
            </w:tcBorders>
            <w:shd w:val="clear" w:color="000000" w:fill="DBDBDB"/>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completers</w:t>
            </w:r>
          </w:p>
        </w:tc>
        <w:tc>
          <w:tcPr>
            <w:tcW w:w="1532" w:type="dxa"/>
            <w:gridSpan w:val="2"/>
            <w:tcBorders>
              <w:top w:val="single" w:sz="4" w:space="0" w:color="auto"/>
              <w:left w:val="nil"/>
              <w:bottom w:val="single" w:sz="4" w:space="0" w:color="auto"/>
              <w:right w:val="single" w:sz="4" w:space="0" w:color="000000"/>
            </w:tcBorders>
            <w:shd w:val="clear" w:color="000000" w:fill="DBDBDB"/>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non-completers</w:t>
            </w:r>
          </w:p>
        </w:tc>
        <w:tc>
          <w:tcPr>
            <w:tcW w:w="1308"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statistical test</w:t>
            </w:r>
          </w:p>
        </w:tc>
        <w:tc>
          <w:tcPr>
            <w:tcW w:w="1245"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 xml:space="preserve">test-statistic </w:t>
            </w:r>
          </w:p>
        </w:tc>
        <w:tc>
          <w:tcPr>
            <w:tcW w:w="846"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 xml:space="preserve">p-value </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i/>
                <w:iCs/>
                <w:sz w:val="20"/>
                <w:szCs w:val="20"/>
                <w:lang w:eastAsia="en-US"/>
              </w:rPr>
            </w:pPr>
            <w:r w:rsidRPr="00372807">
              <w:rPr>
                <w:i/>
                <w:iCs/>
                <w:sz w:val="20"/>
                <w:szCs w:val="20"/>
                <w:lang w:eastAsia="en-US"/>
              </w:rPr>
              <w:t>N</w:t>
            </w:r>
          </w:p>
        </w:tc>
        <w:tc>
          <w:tcPr>
            <w:tcW w:w="142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29</w:t>
            </w:r>
          </w:p>
        </w:tc>
        <w:tc>
          <w:tcPr>
            <w:tcW w:w="153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16</w:t>
            </w:r>
          </w:p>
        </w:tc>
        <w:tc>
          <w:tcPr>
            <w:tcW w:w="1308" w:type="dxa"/>
            <w:tcBorders>
              <w:top w:val="nil"/>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 </w:t>
            </w:r>
          </w:p>
        </w:tc>
        <w:tc>
          <w:tcPr>
            <w:tcW w:w="20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 </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sz w:val="20"/>
                <w:szCs w:val="20"/>
                <w:lang w:eastAsia="en-US"/>
              </w:rPr>
            </w:pPr>
            <w:r w:rsidRPr="00372807">
              <w:rPr>
                <w:sz w:val="20"/>
                <w:szCs w:val="20"/>
                <w:lang w:eastAsia="en-US"/>
              </w:rPr>
              <w:t>female sex N (%)</w:t>
            </w:r>
          </w:p>
        </w:tc>
        <w:tc>
          <w:tcPr>
            <w:tcW w:w="142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29 (100)</w:t>
            </w:r>
          </w:p>
        </w:tc>
        <w:tc>
          <w:tcPr>
            <w:tcW w:w="153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16 (100)</w:t>
            </w:r>
          </w:p>
        </w:tc>
        <w:tc>
          <w:tcPr>
            <w:tcW w:w="1308" w:type="dxa"/>
            <w:tcBorders>
              <w:top w:val="nil"/>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 </w:t>
            </w:r>
          </w:p>
        </w:tc>
        <w:tc>
          <w:tcPr>
            <w:tcW w:w="2091" w:type="dxa"/>
            <w:gridSpan w:val="2"/>
            <w:vMerge/>
            <w:tcBorders>
              <w:top w:val="nil"/>
              <w:left w:val="nil"/>
              <w:bottom w:val="single" w:sz="4" w:space="0" w:color="auto"/>
              <w:right w:val="single" w:sz="4" w:space="0" w:color="auto"/>
            </w:tcBorders>
            <w:vAlign w:val="center"/>
            <w:hideMark/>
          </w:tcPr>
          <w:p w:rsidR="00372807" w:rsidRPr="00372807" w:rsidRDefault="00372807" w:rsidP="00372807">
            <w:pPr>
              <w:spacing w:after="0" w:line="240" w:lineRule="auto"/>
              <w:ind w:firstLine="0"/>
              <w:rPr>
                <w:color w:val="000000"/>
                <w:sz w:val="22"/>
                <w:szCs w:val="22"/>
                <w:lang w:eastAsia="en-US"/>
              </w:rPr>
            </w:pP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sz w:val="20"/>
                <w:szCs w:val="20"/>
                <w:lang w:eastAsia="en-US"/>
              </w:rPr>
            </w:pPr>
            <w:r w:rsidRPr="00372807">
              <w:rPr>
                <w:sz w:val="20"/>
                <w:szCs w:val="20"/>
                <w:lang w:eastAsia="en-US"/>
              </w:rPr>
              <w:t>Age mean (SD)</w:t>
            </w:r>
          </w:p>
        </w:tc>
        <w:tc>
          <w:tcPr>
            <w:tcW w:w="142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21</w:t>
            </w:r>
            <w:r w:rsidR="00EA0CF7">
              <w:rPr>
                <w:sz w:val="20"/>
                <w:szCs w:val="20"/>
                <w:lang w:eastAsia="en-US"/>
              </w:rPr>
              <w:t>.</w:t>
            </w:r>
            <w:r w:rsidRPr="00372807">
              <w:rPr>
                <w:sz w:val="20"/>
                <w:szCs w:val="20"/>
                <w:lang w:eastAsia="en-US"/>
              </w:rPr>
              <w:t>04 (1</w:t>
            </w:r>
            <w:r w:rsidR="00EA0CF7">
              <w:rPr>
                <w:sz w:val="20"/>
                <w:szCs w:val="20"/>
                <w:lang w:eastAsia="en-US"/>
              </w:rPr>
              <w:t>.</w:t>
            </w:r>
            <w:r w:rsidRPr="00372807">
              <w:rPr>
                <w:sz w:val="20"/>
                <w:szCs w:val="20"/>
                <w:lang w:eastAsia="en-US"/>
              </w:rPr>
              <w:t>92)</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center"/>
              <w:rPr>
                <w:sz w:val="20"/>
                <w:szCs w:val="20"/>
                <w:lang w:eastAsia="en-US"/>
              </w:rPr>
            </w:pPr>
            <w:r w:rsidRPr="00372807">
              <w:rPr>
                <w:sz w:val="20"/>
                <w:szCs w:val="20"/>
                <w:lang w:eastAsia="en-US"/>
              </w:rPr>
              <w:t>20</w:t>
            </w:r>
            <w:r w:rsidR="00EA0CF7">
              <w:rPr>
                <w:sz w:val="20"/>
                <w:szCs w:val="20"/>
                <w:lang w:eastAsia="en-US"/>
              </w:rPr>
              <w:t>.</w:t>
            </w:r>
            <w:r w:rsidRPr="00372807">
              <w:rPr>
                <w:sz w:val="20"/>
                <w:szCs w:val="20"/>
                <w:lang w:eastAsia="en-US"/>
              </w:rPr>
              <w:t>04 (1</w:t>
            </w:r>
            <w:r w:rsidR="00EA0CF7">
              <w:rPr>
                <w:sz w:val="20"/>
                <w:szCs w:val="20"/>
                <w:lang w:eastAsia="en-US"/>
              </w:rPr>
              <w:t>.</w:t>
            </w:r>
            <w:r w:rsidRPr="00372807">
              <w:rPr>
                <w:sz w:val="20"/>
                <w:szCs w:val="20"/>
                <w:lang w:eastAsia="en-US"/>
              </w:rPr>
              <w:t>56)</w:t>
            </w:r>
          </w:p>
        </w:tc>
        <w:tc>
          <w:tcPr>
            <w:tcW w:w="1308" w:type="dxa"/>
            <w:tcBorders>
              <w:top w:val="nil"/>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sz w:val="20"/>
                <w:szCs w:val="20"/>
                <w:lang w:eastAsia="en-US"/>
              </w:rPr>
            </w:pPr>
            <w:r w:rsidRPr="00372807">
              <w:rPr>
                <w:sz w:val="20"/>
                <w:szCs w:val="20"/>
                <w:lang w:eastAsia="en-US"/>
              </w:rPr>
              <w:t>t-test (df=47)</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-2.03</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0.0476</w:t>
            </w:r>
          </w:p>
        </w:tc>
      </w:tr>
      <w:tr w:rsidR="00372807" w:rsidRPr="00372807" w:rsidTr="00EA0CF7">
        <w:trPr>
          <w:trHeight w:val="288"/>
        </w:trPr>
        <w:tc>
          <w:tcPr>
            <w:tcW w:w="9696" w:type="dxa"/>
            <w:gridSpan w:val="9"/>
            <w:tcBorders>
              <w:top w:val="nil"/>
              <w:left w:val="nil"/>
              <w:bottom w:val="nil"/>
              <w:right w:val="nil"/>
            </w:tcBorders>
            <w:shd w:val="clear" w:color="000000" w:fill="FFFFFF"/>
            <w:noWrap/>
            <w:vAlign w:val="bottom"/>
            <w:hideMark/>
          </w:tcPr>
          <w:p w:rsidR="00372807" w:rsidRPr="00372807" w:rsidRDefault="00372807" w:rsidP="00372807">
            <w:pPr>
              <w:spacing w:after="0" w:line="240" w:lineRule="auto"/>
              <w:ind w:firstLine="0"/>
              <w:jc w:val="center"/>
              <w:rPr>
                <w:b/>
                <w:bCs/>
                <w:i/>
                <w:iCs/>
                <w:sz w:val="20"/>
                <w:szCs w:val="20"/>
                <w:lang w:eastAsia="en-US"/>
              </w:rPr>
            </w:pPr>
            <w:r w:rsidRPr="00372807">
              <w:rPr>
                <w:b/>
                <w:bCs/>
                <w:i/>
                <w:iCs/>
                <w:sz w:val="20"/>
                <w:szCs w:val="20"/>
                <w:lang w:eastAsia="en-US"/>
              </w:rPr>
              <w:t> </w:t>
            </w:r>
          </w:p>
        </w:tc>
      </w:tr>
      <w:tr w:rsidR="00372807" w:rsidRPr="00372807" w:rsidTr="00EA0CF7">
        <w:trPr>
          <w:trHeight w:val="288"/>
        </w:trPr>
        <w:tc>
          <w:tcPr>
            <w:tcW w:w="32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rPr>
                <w:b/>
                <w:bCs/>
                <w:i/>
                <w:iCs/>
                <w:sz w:val="20"/>
                <w:szCs w:val="20"/>
                <w:lang w:eastAsia="en-US"/>
              </w:rPr>
            </w:pPr>
            <w:r w:rsidRPr="00372807">
              <w:rPr>
                <w:b/>
                <w:bCs/>
                <w:i/>
                <w:iCs/>
                <w:sz w:val="20"/>
                <w:szCs w:val="20"/>
                <w:lang w:eastAsia="en-US"/>
              </w:rPr>
              <w:t>Self-report measures</w:t>
            </w:r>
          </w:p>
        </w:tc>
        <w:tc>
          <w:tcPr>
            <w:tcW w:w="798" w:type="dxa"/>
            <w:gridSpan w:val="2"/>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color w:val="000000"/>
                <w:sz w:val="20"/>
                <w:szCs w:val="20"/>
                <w:lang w:eastAsia="en-US"/>
              </w:rPr>
            </w:pPr>
            <w:r w:rsidRPr="00372807">
              <w:rPr>
                <w:color w:val="000000"/>
                <w:sz w:val="20"/>
                <w:szCs w:val="20"/>
                <w:lang w:eastAsia="en-US"/>
              </w:rPr>
              <w:t>mean</w:t>
            </w:r>
          </w:p>
        </w:tc>
        <w:tc>
          <w:tcPr>
            <w:tcW w:w="711"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color w:val="000000"/>
                <w:sz w:val="20"/>
                <w:szCs w:val="20"/>
                <w:lang w:eastAsia="en-US"/>
              </w:rPr>
            </w:pPr>
            <w:r w:rsidRPr="00372807">
              <w:rPr>
                <w:color w:val="000000"/>
                <w:sz w:val="20"/>
                <w:szCs w:val="20"/>
                <w:lang w:eastAsia="en-US"/>
              </w:rPr>
              <w:t>SD</w:t>
            </w:r>
          </w:p>
        </w:tc>
        <w:tc>
          <w:tcPr>
            <w:tcW w:w="821"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color w:val="000000"/>
                <w:sz w:val="20"/>
                <w:szCs w:val="20"/>
                <w:lang w:eastAsia="en-US"/>
              </w:rPr>
            </w:pPr>
            <w:r w:rsidRPr="00372807">
              <w:rPr>
                <w:color w:val="000000"/>
                <w:sz w:val="20"/>
                <w:szCs w:val="20"/>
                <w:lang w:eastAsia="en-US"/>
              </w:rPr>
              <w:t>mean</w:t>
            </w:r>
          </w:p>
        </w:tc>
        <w:tc>
          <w:tcPr>
            <w:tcW w:w="711"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color w:val="000000"/>
                <w:sz w:val="20"/>
                <w:szCs w:val="20"/>
                <w:lang w:eastAsia="en-US"/>
              </w:rPr>
            </w:pPr>
            <w:r w:rsidRPr="00372807">
              <w:rPr>
                <w:color w:val="000000"/>
                <w:sz w:val="20"/>
                <w:szCs w:val="20"/>
                <w:lang w:eastAsia="en-US"/>
              </w:rPr>
              <w:t>SD</w:t>
            </w:r>
          </w:p>
        </w:tc>
        <w:tc>
          <w:tcPr>
            <w:tcW w:w="1308"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statistical test</w:t>
            </w:r>
          </w:p>
        </w:tc>
        <w:tc>
          <w:tcPr>
            <w:tcW w:w="1245"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test-statistic</w:t>
            </w:r>
          </w:p>
        </w:tc>
        <w:tc>
          <w:tcPr>
            <w:tcW w:w="846" w:type="dxa"/>
            <w:tcBorders>
              <w:top w:val="single" w:sz="4" w:space="0" w:color="auto"/>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 xml:space="preserve">p-value </w:t>
            </w:r>
          </w:p>
        </w:tc>
      </w:tr>
      <w:tr w:rsidR="00372807" w:rsidRPr="00372807" w:rsidTr="00EA0CF7">
        <w:trPr>
          <w:trHeight w:val="288"/>
        </w:trPr>
        <w:tc>
          <w:tcPr>
            <w:tcW w:w="9696"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rPr>
                <w:b/>
                <w:bCs/>
                <w:i/>
                <w:iCs/>
                <w:sz w:val="20"/>
                <w:szCs w:val="20"/>
                <w:lang w:eastAsia="en-US"/>
              </w:rPr>
            </w:pPr>
            <w:r w:rsidRPr="00372807">
              <w:rPr>
                <w:b/>
                <w:bCs/>
                <w:i/>
                <w:iCs/>
                <w:sz w:val="20"/>
                <w:szCs w:val="20"/>
                <w:lang w:eastAsia="en-US"/>
              </w:rPr>
              <w:t>Beck Depression Inventory (BDI)</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 xml:space="preserve">Total </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38</w:t>
            </w:r>
            <w:r w:rsidR="00EA0CF7">
              <w:rPr>
                <w:color w:val="000000"/>
                <w:sz w:val="22"/>
                <w:szCs w:val="22"/>
                <w:lang w:eastAsia="en-US"/>
              </w:rPr>
              <w:t>.</w:t>
            </w:r>
            <w:r w:rsidRPr="00372807">
              <w:rPr>
                <w:color w:val="000000"/>
                <w:sz w:val="22"/>
                <w:szCs w:val="22"/>
                <w:lang w:eastAsia="en-US"/>
              </w:rPr>
              <w:t>72</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r w:rsidR="00EA0CF7">
              <w:rPr>
                <w:color w:val="000000"/>
                <w:sz w:val="22"/>
                <w:szCs w:val="22"/>
                <w:lang w:eastAsia="en-US"/>
              </w:rPr>
              <w:t>.</w:t>
            </w:r>
            <w:r w:rsidRPr="00372807">
              <w:rPr>
                <w:color w:val="000000"/>
                <w:sz w:val="22"/>
                <w:szCs w:val="22"/>
                <w:lang w:eastAsia="en-US"/>
              </w:rPr>
              <w:t>79</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38</w:t>
            </w:r>
            <w:r w:rsidR="00EA0CF7">
              <w:rPr>
                <w:color w:val="000000"/>
                <w:sz w:val="22"/>
                <w:szCs w:val="22"/>
                <w:lang w:eastAsia="en-US"/>
              </w:rPr>
              <w:t>.</w:t>
            </w:r>
            <w:r w:rsidRPr="00372807">
              <w:rPr>
                <w:color w:val="000000"/>
                <w:sz w:val="22"/>
                <w:szCs w:val="22"/>
                <w:lang w:eastAsia="en-US"/>
              </w:rPr>
              <w:t>38</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r w:rsidR="00EA0CF7">
              <w:rPr>
                <w:color w:val="000000"/>
                <w:sz w:val="22"/>
                <w:szCs w:val="22"/>
                <w:lang w:eastAsia="en-US"/>
              </w:rPr>
              <w:t>.</w:t>
            </w:r>
            <w:r w:rsidRPr="00372807">
              <w:rPr>
                <w:color w:val="000000"/>
                <w:sz w:val="22"/>
                <w:szCs w:val="22"/>
                <w:lang w:eastAsia="en-US"/>
              </w:rPr>
              <w:t>44</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249</w:t>
            </w:r>
            <w:r w:rsidR="00EA0CF7">
              <w:rPr>
                <w:color w:val="000000"/>
                <w:sz w:val="22"/>
                <w:szCs w:val="22"/>
                <w:lang w:eastAsia="en-US"/>
              </w:rPr>
              <w:t>.</w:t>
            </w:r>
            <w:r w:rsidRPr="00372807">
              <w:rPr>
                <w:color w:val="000000"/>
                <w:sz w:val="22"/>
                <w:szCs w:val="22"/>
                <w:lang w:eastAsia="en-US"/>
              </w:rPr>
              <w:t>500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69</w:t>
            </w:r>
          </w:p>
        </w:tc>
      </w:tr>
      <w:tr w:rsidR="00372807" w:rsidRPr="00372807" w:rsidTr="00EA0CF7">
        <w:trPr>
          <w:trHeight w:val="288"/>
        </w:trPr>
        <w:tc>
          <w:tcPr>
            <w:tcW w:w="9696"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rPr>
                <w:b/>
                <w:bCs/>
                <w:i/>
                <w:iCs/>
                <w:color w:val="000000"/>
                <w:sz w:val="20"/>
                <w:szCs w:val="20"/>
                <w:lang w:eastAsia="en-US"/>
              </w:rPr>
            </w:pPr>
            <w:r w:rsidRPr="00372807">
              <w:rPr>
                <w:b/>
                <w:bCs/>
                <w:i/>
                <w:iCs/>
                <w:color w:val="000000"/>
                <w:sz w:val="20"/>
                <w:szCs w:val="20"/>
                <w:lang w:eastAsia="en-US"/>
              </w:rPr>
              <w:t>Affect Lability Scale (ALS)</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sz w:val="20"/>
                <w:szCs w:val="20"/>
                <w:lang w:eastAsia="en-US"/>
              </w:rPr>
            </w:pPr>
            <w:r w:rsidRPr="00372807">
              <w:rPr>
                <w:sz w:val="20"/>
                <w:szCs w:val="20"/>
                <w:lang w:eastAsia="en-US"/>
              </w:rPr>
              <w:t xml:space="preserve">Total </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98</w:t>
            </w:r>
            <w:r w:rsidR="00EA0CF7">
              <w:rPr>
                <w:color w:val="000000"/>
                <w:sz w:val="22"/>
                <w:szCs w:val="22"/>
                <w:lang w:eastAsia="en-US"/>
              </w:rPr>
              <w:t>.</w:t>
            </w:r>
            <w:r w:rsidRPr="00372807">
              <w:rPr>
                <w:color w:val="000000"/>
                <w:sz w:val="22"/>
                <w:szCs w:val="22"/>
                <w:lang w:eastAsia="en-US"/>
              </w:rPr>
              <w:t>48</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27</w:t>
            </w:r>
            <w:r w:rsidR="00EA0CF7">
              <w:rPr>
                <w:color w:val="000000"/>
                <w:sz w:val="22"/>
                <w:szCs w:val="22"/>
                <w:lang w:eastAsia="en-US"/>
              </w:rPr>
              <w:t>.</w:t>
            </w:r>
            <w:r w:rsidRPr="00372807">
              <w:rPr>
                <w:color w:val="000000"/>
                <w:sz w:val="22"/>
                <w:szCs w:val="22"/>
                <w:lang w:eastAsia="en-US"/>
              </w:rPr>
              <w:t>78</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100</w:t>
            </w:r>
            <w:r w:rsidR="00EA0CF7">
              <w:rPr>
                <w:color w:val="000000"/>
                <w:sz w:val="22"/>
                <w:szCs w:val="22"/>
                <w:lang w:eastAsia="en-US"/>
              </w:rPr>
              <w:t>.</w:t>
            </w:r>
            <w:r w:rsidRPr="00372807">
              <w:rPr>
                <w:color w:val="000000"/>
                <w:sz w:val="22"/>
                <w:szCs w:val="22"/>
                <w:lang w:eastAsia="en-US"/>
              </w:rPr>
              <w:t>94</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w:t>
            </w:r>
            <w:r w:rsidR="00EA0CF7">
              <w:rPr>
                <w:color w:val="000000"/>
                <w:sz w:val="22"/>
                <w:szCs w:val="22"/>
                <w:lang w:eastAsia="en-US"/>
              </w:rPr>
              <w:t>.</w:t>
            </w:r>
            <w:r w:rsidRPr="00372807">
              <w:rPr>
                <w:color w:val="000000"/>
                <w:sz w:val="22"/>
                <w:szCs w:val="22"/>
                <w:lang w:eastAsia="en-US"/>
              </w:rPr>
              <w:t>97</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279</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78</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Depression</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22</w:t>
            </w:r>
            <w:r w:rsidR="00EA0CF7">
              <w:rPr>
                <w:color w:val="000000"/>
                <w:sz w:val="22"/>
                <w:szCs w:val="22"/>
                <w:lang w:eastAsia="en-US"/>
              </w:rPr>
              <w:t>.</w:t>
            </w:r>
            <w:r w:rsidRPr="00372807">
              <w:rPr>
                <w:color w:val="000000"/>
                <w:sz w:val="22"/>
                <w:szCs w:val="22"/>
                <w:lang w:eastAsia="en-US"/>
              </w:rPr>
              <w:t>28</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r w:rsidR="00EA0CF7">
              <w:rPr>
                <w:color w:val="000000"/>
                <w:sz w:val="22"/>
                <w:szCs w:val="22"/>
                <w:lang w:eastAsia="en-US"/>
              </w:rPr>
              <w:t>.</w:t>
            </w:r>
            <w:r w:rsidRPr="00372807">
              <w:rPr>
                <w:color w:val="000000"/>
                <w:sz w:val="22"/>
                <w:szCs w:val="22"/>
                <w:lang w:eastAsia="en-US"/>
              </w:rPr>
              <w:t>11</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21</w:t>
            </w:r>
            <w:r w:rsidR="00EA0CF7">
              <w:rPr>
                <w:color w:val="000000"/>
                <w:sz w:val="22"/>
                <w:szCs w:val="22"/>
                <w:lang w:eastAsia="en-US"/>
              </w:rPr>
              <w:t>.</w:t>
            </w:r>
            <w:r w:rsidRPr="00372807">
              <w:rPr>
                <w:color w:val="000000"/>
                <w:sz w:val="22"/>
                <w:szCs w:val="22"/>
                <w:lang w:eastAsia="en-US"/>
              </w:rPr>
              <w:t>25</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80</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224</w:t>
            </w:r>
            <w:r w:rsidR="00EA0CF7">
              <w:rPr>
                <w:color w:val="000000"/>
                <w:sz w:val="22"/>
                <w:szCs w:val="22"/>
                <w:lang w:eastAsia="en-US"/>
              </w:rPr>
              <w:t>.</w:t>
            </w:r>
            <w:r w:rsidRPr="00372807">
              <w:rPr>
                <w:color w:val="000000"/>
                <w:sz w:val="22"/>
                <w:szCs w:val="22"/>
                <w:lang w:eastAsia="en-US"/>
              </w:rPr>
              <w:t>500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87</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Anger</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r w:rsidR="00EA0CF7">
              <w:rPr>
                <w:color w:val="000000"/>
                <w:sz w:val="22"/>
                <w:szCs w:val="22"/>
                <w:lang w:eastAsia="en-US"/>
              </w:rPr>
              <w:t>.</w:t>
            </w:r>
            <w:r w:rsidRPr="00372807">
              <w:rPr>
                <w:color w:val="000000"/>
                <w:sz w:val="22"/>
                <w:szCs w:val="22"/>
                <w:lang w:eastAsia="en-US"/>
              </w:rPr>
              <w:t>34</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11</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r w:rsidR="00EA0CF7">
              <w:rPr>
                <w:color w:val="000000"/>
                <w:sz w:val="22"/>
                <w:szCs w:val="22"/>
                <w:lang w:eastAsia="en-US"/>
              </w:rPr>
              <w:t>.</w:t>
            </w:r>
            <w:r w:rsidRPr="00372807">
              <w:rPr>
                <w:color w:val="000000"/>
                <w:sz w:val="22"/>
                <w:szCs w:val="22"/>
                <w:lang w:eastAsia="en-US"/>
              </w:rPr>
              <w:t>75</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r w:rsidR="00EA0CF7">
              <w:rPr>
                <w:color w:val="000000"/>
                <w:sz w:val="22"/>
                <w:szCs w:val="22"/>
                <w:lang w:eastAsia="en-US"/>
              </w:rPr>
              <w:t>.</w:t>
            </w:r>
            <w:r w:rsidRPr="00372807">
              <w:rPr>
                <w:color w:val="000000"/>
                <w:sz w:val="22"/>
                <w:szCs w:val="22"/>
                <w:lang w:eastAsia="en-US"/>
              </w:rPr>
              <w:t>04</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238</w:t>
            </w:r>
            <w:r w:rsidR="00EA0CF7">
              <w:rPr>
                <w:color w:val="000000"/>
                <w:sz w:val="22"/>
                <w:szCs w:val="22"/>
                <w:lang w:eastAsia="en-US"/>
              </w:rPr>
              <w:t>.</w:t>
            </w:r>
            <w:r w:rsidRPr="00372807">
              <w:rPr>
                <w:color w:val="000000"/>
                <w:sz w:val="22"/>
                <w:szCs w:val="22"/>
                <w:lang w:eastAsia="en-US"/>
              </w:rPr>
              <w:t>000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90</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Anxiety Depression</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19</w:t>
            </w:r>
            <w:r w:rsidR="00EA0CF7">
              <w:rPr>
                <w:color w:val="000000"/>
                <w:sz w:val="22"/>
                <w:szCs w:val="22"/>
                <w:lang w:eastAsia="en-US"/>
              </w:rPr>
              <w:t>.</w:t>
            </w:r>
            <w:r w:rsidRPr="00372807">
              <w:rPr>
                <w:color w:val="000000"/>
                <w:sz w:val="22"/>
                <w:szCs w:val="22"/>
                <w:lang w:eastAsia="en-US"/>
              </w:rPr>
              <w:t>38</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29</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17</w:t>
            </w:r>
            <w:r w:rsidR="00EA0CF7">
              <w:rPr>
                <w:color w:val="000000"/>
                <w:sz w:val="22"/>
                <w:szCs w:val="22"/>
                <w:lang w:eastAsia="en-US"/>
              </w:rPr>
              <w:t>.</w:t>
            </w:r>
            <w:r w:rsidRPr="00372807">
              <w:rPr>
                <w:color w:val="000000"/>
                <w:sz w:val="22"/>
                <w:szCs w:val="22"/>
                <w:lang w:eastAsia="en-US"/>
              </w:rPr>
              <w:t>63</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r w:rsidR="00EA0CF7">
              <w:rPr>
                <w:color w:val="000000"/>
                <w:sz w:val="22"/>
                <w:szCs w:val="22"/>
                <w:lang w:eastAsia="en-US"/>
              </w:rPr>
              <w:t>.</w:t>
            </w:r>
            <w:r w:rsidRPr="00372807">
              <w:rPr>
                <w:color w:val="000000"/>
                <w:sz w:val="22"/>
                <w:szCs w:val="22"/>
                <w:lang w:eastAsia="en-US"/>
              </w:rPr>
              <w:t>18</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183</w:t>
            </w:r>
            <w:r w:rsidR="00EA0CF7">
              <w:rPr>
                <w:color w:val="000000"/>
                <w:sz w:val="22"/>
                <w:szCs w:val="22"/>
                <w:lang w:eastAsia="en-US"/>
              </w:rPr>
              <w:t>.</w:t>
            </w:r>
            <w:r w:rsidRPr="00372807">
              <w:rPr>
                <w:color w:val="000000"/>
                <w:sz w:val="22"/>
                <w:szCs w:val="22"/>
                <w:lang w:eastAsia="en-US"/>
              </w:rPr>
              <w:t>500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25</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Anxiety</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12</w:t>
            </w:r>
            <w:r w:rsidR="00EA0CF7">
              <w:rPr>
                <w:color w:val="000000"/>
                <w:sz w:val="22"/>
                <w:szCs w:val="22"/>
                <w:lang w:eastAsia="en-US"/>
              </w:rPr>
              <w:t>.</w:t>
            </w:r>
            <w:r w:rsidRPr="00372807">
              <w:rPr>
                <w:color w:val="000000"/>
                <w:sz w:val="22"/>
                <w:szCs w:val="22"/>
                <w:lang w:eastAsia="en-US"/>
              </w:rPr>
              <w:t>83</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90</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r w:rsidR="00EA0CF7">
              <w:rPr>
                <w:color w:val="000000"/>
                <w:sz w:val="22"/>
                <w:szCs w:val="22"/>
                <w:lang w:eastAsia="en-US"/>
              </w:rPr>
              <w:t>.</w:t>
            </w:r>
            <w:r w:rsidRPr="00372807">
              <w:rPr>
                <w:color w:val="000000"/>
                <w:sz w:val="22"/>
                <w:szCs w:val="22"/>
                <w:lang w:eastAsia="en-US"/>
              </w:rPr>
              <w:t>63</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46</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682</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50</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Hypomania</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17</w:t>
            </w:r>
            <w:r w:rsidR="00EA0CF7">
              <w:rPr>
                <w:color w:val="000000"/>
                <w:sz w:val="22"/>
                <w:szCs w:val="22"/>
                <w:lang w:eastAsia="en-US"/>
              </w:rPr>
              <w:t>.</w:t>
            </w:r>
            <w:r w:rsidRPr="00372807">
              <w:rPr>
                <w:color w:val="000000"/>
                <w:sz w:val="22"/>
                <w:szCs w:val="22"/>
                <w:lang w:eastAsia="en-US"/>
              </w:rPr>
              <w:t>72</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8</w:t>
            </w:r>
            <w:r w:rsidR="00EA0CF7">
              <w:rPr>
                <w:color w:val="000000"/>
                <w:sz w:val="22"/>
                <w:szCs w:val="22"/>
                <w:lang w:eastAsia="en-US"/>
              </w:rPr>
              <w:t>.</w:t>
            </w:r>
            <w:r w:rsidRPr="00372807">
              <w:rPr>
                <w:color w:val="000000"/>
                <w:sz w:val="22"/>
                <w:szCs w:val="22"/>
                <w:lang w:eastAsia="en-US"/>
              </w:rPr>
              <w:t>41</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19</w:t>
            </w:r>
            <w:r w:rsidR="00EA0CF7">
              <w:rPr>
                <w:color w:val="000000"/>
                <w:sz w:val="22"/>
                <w:szCs w:val="22"/>
                <w:lang w:eastAsia="en-US"/>
              </w:rPr>
              <w:t>.</w:t>
            </w:r>
            <w:r w:rsidRPr="00372807">
              <w:rPr>
                <w:color w:val="000000"/>
                <w:sz w:val="22"/>
                <w:szCs w:val="22"/>
                <w:lang w:eastAsia="en-US"/>
              </w:rPr>
              <w:t>94</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w:t>
            </w:r>
            <w:r w:rsidR="00EA0CF7">
              <w:rPr>
                <w:color w:val="000000"/>
                <w:sz w:val="22"/>
                <w:szCs w:val="22"/>
                <w:lang w:eastAsia="en-US"/>
              </w:rPr>
              <w:t>.</w:t>
            </w:r>
            <w:r w:rsidRPr="00372807">
              <w:rPr>
                <w:color w:val="000000"/>
                <w:sz w:val="22"/>
                <w:szCs w:val="22"/>
                <w:lang w:eastAsia="en-US"/>
              </w:rPr>
              <w:t>28</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885</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38</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Biphasic shifts</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15</w:t>
            </w:r>
            <w:r w:rsidR="00EA0CF7">
              <w:rPr>
                <w:color w:val="000000"/>
                <w:sz w:val="22"/>
                <w:szCs w:val="22"/>
                <w:lang w:eastAsia="en-US"/>
              </w:rPr>
              <w:t>.</w:t>
            </w:r>
            <w:r w:rsidRPr="00372807">
              <w:rPr>
                <w:color w:val="000000"/>
                <w:sz w:val="22"/>
                <w:szCs w:val="22"/>
                <w:lang w:eastAsia="en-US"/>
              </w:rPr>
              <w:t>93</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r w:rsidR="00EA0CF7">
              <w:rPr>
                <w:color w:val="000000"/>
                <w:sz w:val="22"/>
                <w:szCs w:val="22"/>
                <w:lang w:eastAsia="en-US"/>
              </w:rPr>
              <w:t>.</w:t>
            </w:r>
            <w:r w:rsidRPr="00372807">
              <w:rPr>
                <w:color w:val="000000"/>
                <w:sz w:val="22"/>
                <w:szCs w:val="22"/>
                <w:lang w:eastAsia="en-US"/>
              </w:rPr>
              <w:t>84</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17</w:t>
            </w:r>
            <w:r w:rsidR="00EA0CF7">
              <w:rPr>
                <w:color w:val="000000"/>
                <w:sz w:val="22"/>
                <w:szCs w:val="22"/>
                <w:lang w:eastAsia="en-US"/>
              </w:rPr>
              <w:t>.</w:t>
            </w:r>
            <w:r w:rsidRPr="00372807">
              <w:rPr>
                <w:color w:val="000000"/>
                <w:sz w:val="22"/>
                <w:szCs w:val="22"/>
                <w:lang w:eastAsia="en-US"/>
              </w:rPr>
              <w:t>75</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02</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990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33</w:t>
            </w:r>
          </w:p>
        </w:tc>
      </w:tr>
      <w:tr w:rsidR="00372807" w:rsidRPr="00372807" w:rsidTr="00EA0CF7">
        <w:trPr>
          <w:trHeight w:val="288"/>
        </w:trPr>
        <w:tc>
          <w:tcPr>
            <w:tcW w:w="9696"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rPr>
                <w:b/>
                <w:bCs/>
                <w:i/>
                <w:iCs/>
                <w:sz w:val="20"/>
                <w:szCs w:val="20"/>
                <w:lang w:eastAsia="en-US"/>
              </w:rPr>
            </w:pPr>
            <w:r w:rsidRPr="00372807">
              <w:rPr>
                <w:b/>
                <w:bCs/>
                <w:i/>
                <w:iCs/>
                <w:sz w:val="20"/>
                <w:szCs w:val="20"/>
                <w:lang w:eastAsia="en-US"/>
              </w:rPr>
              <w:t>Toronto Alexithymia Scale (TAS-26)</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 xml:space="preserve">Total </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60</w:t>
            </w:r>
            <w:r w:rsidR="00EA0CF7">
              <w:rPr>
                <w:color w:val="000000"/>
                <w:sz w:val="22"/>
                <w:szCs w:val="22"/>
                <w:lang w:eastAsia="en-US"/>
              </w:rPr>
              <w:t>.</w:t>
            </w:r>
            <w:r w:rsidRPr="00372807">
              <w:rPr>
                <w:color w:val="000000"/>
                <w:sz w:val="22"/>
                <w:szCs w:val="22"/>
                <w:lang w:eastAsia="en-US"/>
              </w:rPr>
              <w:t>34</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w:t>
            </w:r>
            <w:r w:rsidR="00EA0CF7">
              <w:rPr>
                <w:color w:val="000000"/>
                <w:sz w:val="22"/>
                <w:szCs w:val="22"/>
                <w:lang w:eastAsia="en-US"/>
              </w:rPr>
              <w:t>.</w:t>
            </w:r>
            <w:r w:rsidRPr="00372807">
              <w:rPr>
                <w:color w:val="000000"/>
                <w:sz w:val="22"/>
                <w:szCs w:val="22"/>
                <w:lang w:eastAsia="en-US"/>
              </w:rPr>
              <w:t>73</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59</w:t>
            </w:r>
            <w:r w:rsidR="00EA0CF7">
              <w:rPr>
                <w:color w:val="000000"/>
                <w:sz w:val="22"/>
                <w:szCs w:val="22"/>
                <w:lang w:eastAsia="en-US"/>
              </w:rPr>
              <w:t>.</w:t>
            </w:r>
            <w:r w:rsidRPr="00372807">
              <w:rPr>
                <w:color w:val="000000"/>
                <w:sz w:val="22"/>
                <w:szCs w:val="22"/>
                <w:lang w:eastAsia="en-US"/>
              </w:rPr>
              <w:t>19</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w:t>
            </w:r>
            <w:r w:rsidR="00EA0CF7">
              <w:rPr>
                <w:color w:val="000000"/>
                <w:sz w:val="22"/>
                <w:szCs w:val="22"/>
                <w:lang w:eastAsia="en-US"/>
              </w:rPr>
              <w:t>.</w:t>
            </w:r>
            <w:r w:rsidRPr="00372807">
              <w:rPr>
                <w:color w:val="000000"/>
                <w:sz w:val="22"/>
                <w:szCs w:val="22"/>
                <w:lang w:eastAsia="en-US"/>
              </w:rPr>
              <w:t>31</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447</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66</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Identification of one's feelings</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25</w:t>
            </w:r>
            <w:r w:rsidR="00EA0CF7">
              <w:rPr>
                <w:color w:val="000000"/>
                <w:sz w:val="22"/>
                <w:szCs w:val="22"/>
                <w:lang w:eastAsia="en-US"/>
              </w:rPr>
              <w:t>.</w:t>
            </w:r>
            <w:r w:rsidRPr="00372807">
              <w:rPr>
                <w:color w:val="000000"/>
                <w:sz w:val="22"/>
                <w:szCs w:val="22"/>
                <w:lang w:eastAsia="en-US"/>
              </w:rPr>
              <w:t>55</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r w:rsidR="00EA0CF7">
              <w:rPr>
                <w:color w:val="000000"/>
                <w:sz w:val="22"/>
                <w:szCs w:val="22"/>
                <w:lang w:eastAsia="en-US"/>
              </w:rPr>
              <w:t>.</w:t>
            </w:r>
            <w:r w:rsidRPr="00372807">
              <w:rPr>
                <w:color w:val="000000"/>
                <w:sz w:val="22"/>
                <w:szCs w:val="22"/>
                <w:lang w:eastAsia="en-US"/>
              </w:rPr>
              <w:t>09</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24</w:t>
            </w:r>
            <w:r w:rsidR="00EA0CF7">
              <w:rPr>
                <w:color w:val="000000"/>
                <w:sz w:val="22"/>
                <w:szCs w:val="22"/>
                <w:lang w:eastAsia="en-US"/>
              </w:rPr>
              <w:t>.</w:t>
            </w:r>
            <w:r w:rsidRPr="00372807">
              <w:rPr>
                <w:color w:val="000000"/>
                <w:sz w:val="22"/>
                <w:szCs w:val="22"/>
                <w:lang w:eastAsia="en-US"/>
              </w:rPr>
              <w:t>31</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03</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205</w:t>
            </w:r>
            <w:r w:rsidR="00EA0CF7">
              <w:rPr>
                <w:color w:val="000000"/>
                <w:sz w:val="22"/>
                <w:szCs w:val="22"/>
                <w:lang w:eastAsia="en-US"/>
              </w:rPr>
              <w:t>.</w:t>
            </w:r>
            <w:r w:rsidRPr="00372807">
              <w:rPr>
                <w:color w:val="000000"/>
                <w:sz w:val="22"/>
                <w:szCs w:val="22"/>
                <w:lang w:eastAsia="en-US"/>
              </w:rPr>
              <w:t>000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53</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Difficulty Describing Feelings</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20</w:t>
            </w:r>
            <w:r w:rsidR="00EA0CF7">
              <w:rPr>
                <w:color w:val="000000"/>
                <w:sz w:val="22"/>
                <w:szCs w:val="22"/>
                <w:lang w:eastAsia="en-US"/>
              </w:rPr>
              <w:t>.</w:t>
            </w:r>
            <w:r w:rsidRPr="00372807">
              <w:rPr>
                <w:color w:val="000000"/>
                <w:sz w:val="22"/>
                <w:szCs w:val="22"/>
                <w:lang w:eastAsia="en-US"/>
              </w:rPr>
              <w:t>03</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32</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18</w:t>
            </w:r>
            <w:r w:rsidR="00EA0CF7">
              <w:rPr>
                <w:color w:val="000000"/>
                <w:sz w:val="22"/>
                <w:szCs w:val="22"/>
                <w:lang w:eastAsia="en-US"/>
              </w:rPr>
              <w:t>.</w:t>
            </w:r>
            <w:r w:rsidRPr="00372807">
              <w:rPr>
                <w:color w:val="000000"/>
                <w:sz w:val="22"/>
                <w:szCs w:val="22"/>
                <w:lang w:eastAsia="en-US"/>
              </w:rPr>
              <w:t>94</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71</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211</w:t>
            </w:r>
            <w:r w:rsidR="00EA0CF7">
              <w:rPr>
                <w:color w:val="000000"/>
                <w:sz w:val="22"/>
                <w:szCs w:val="22"/>
                <w:lang w:eastAsia="en-US"/>
              </w:rPr>
              <w:t>.</w:t>
            </w:r>
            <w:r w:rsidRPr="00372807">
              <w:rPr>
                <w:color w:val="000000"/>
                <w:sz w:val="22"/>
                <w:szCs w:val="22"/>
                <w:lang w:eastAsia="en-US"/>
              </w:rPr>
              <w:t>000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63</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External thinking</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r w:rsidR="00EA0CF7">
              <w:rPr>
                <w:color w:val="000000"/>
                <w:sz w:val="22"/>
                <w:szCs w:val="22"/>
                <w:lang w:eastAsia="en-US"/>
              </w:rPr>
              <w:t>.</w:t>
            </w:r>
            <w:r w:rsidRPr="00372807">
              <w:rPr>
                <w:color w:val="000000"/>
                <w:sz w:val="22"/>
                <w:szCs w:val="22"/>
                <w:lang w:eastAsia="en-US"/>
              </w:rPr>
              <w:t>76</w:t>
            </w:r>
          </w:p>
        </w:tc>
        <w:tc>
          <w:tcPr>
            <w:tcW w:w="71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15</w:t>
            </w:r>
          </w:p>
        </w:tc>
        <w:tc>
          <w:tcPr>
            <w:tcW w:w="821"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15</w:t>
            </w:r>
            <w:r w:rsidR="00EA0CF7">
              <w:rPr>
                <w:color w:val="000000"/>
                <w:sz w:val="22"/>
                <w:szCs w:val="22"/>
                <w:lang w:eastAsia="en-US"/>
              </w:rPr>
              <w:t>.</w:t>
            </w:r>
            <w:r w:rsidRPr="00372807">
              <w:rPr>
                <w:color w:val="000000"/>
                <w:sz w:val="22"/>
                <w:szCs w:val="22"/>
                <w:lang w:eastAsia="en-US"/>
              </w:rPr>
              <w:t>94</w:t>
            </w:r>
          </w:p>
        </w:tc>
        <w:tc>
          <w:tcPr>
            <w:tcW w:w="711" w:type="dxa"/>
            <w:tcBorders>
              <w:top w:val="nil"/>
              <w:left w:val="nil"/>
              <w:bottom w:val="single" w:sz="4" w:space="0" w:color="auto"/>
              <w:right w:val="nil"/>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55</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t-test (df=43)</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882</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38</w:t>
            </w:r>
          </w:p>
        </w:tc>
      </w:tr>
      <w:tr w:rsidR="00372807" w:rsidRPr="00372807" w:rsidTr="00EA0CF7">
        <w:trPr>
          <w:trHeight w:val="276"/>
        </w:trPr>
        <w:tc>
          <w:tcPr>
            <w:tcW w:w="96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807" w:rsidRPr="00372807" w:rsidRDefault="00372807" w:rsidP="00372807">
            <w:pPr>
              <w:spacing w:after="0" w:line="240" w:lineRule="auto"/>
              <w:ind w:firstLine="0"/>
              <w:rPr>
                <w:b/>
                <w:bCs/>
                <w:i/>
                <w:iCs/>
                <w:color w:val="000000"/>
                <w:sz w:val="20"/>
                <w:szCs w:val="20"/>
                <w:lang w:eastAsia="en-US"/>
              </w:rPr>
            </w:pPr>
            <w:r w:rsidRPr="00372807">
              <w:rPr>
                <w:b/>
                <w:bCs/>
                <w:i/>
                <w:iCs/>
                <w:color w:val="000000"/>
                <w:sz w:val="20"/>
                <w:szCs w:val="20"/>
                <w:lang w:eastAsia="en-US"/>
              </w:rPr>
              <w:t>State Trait Anxiety Inventory (STAI)</w:t>
            </w:r>
          </w:p>
        </w:tc>
      </w:tr>
      <w:tr w:rsidR="00372807" w:rsidRPr="00372807" w:rsidTr="00EA0CF7">
        <w:trPr>
          <w:trHeight w:val="276"/>
        </w:trPr>
        <w:tc>
          <w:tcPr>
            <w:tcW w:w="3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Total</w:t>
            </w:r>
          </w:p>
        </w:tc>
        <w:tc>
          <w:tcPr>
            <w:tcW w:w="711" w:type="dxa"/>
            <w:tcBorders>
              <w:top w:val="nil"/>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64</w:t>
            </w:r>
            <w:r w:rsidR="00EA0CF7">
              <w:rPr>
                <w:color w:val="000000"/>
                <w:sz w:val="20"/>
                <w:szCs w:val="20"/>
                <w:lang w:eastAsia="en-US"/>
              </w:rPr>
              <w:t>.</w:t>
            </w:r>
            <w:r w:rsidRPr="00372807">
              <w:rPr>
                <w:color w:val="000000"/>
                <w:sz w:val="20"/>
                <w:szCs w:val="20"/>
                <w:lang w:eastAsia="en-US"/>
              </w:rPr>
              <w:t>59</w:t>
            </w:r>
          </w:p>
        </w:tc>
        <w:tc>
          <w:tcPr>
            <w:tcW w:w="711" w:type="dxa"/>
            <w:tcBorders>
              <w:top w:val="nil"/>
              <w:left w:val="nil"/>
              <w:bottom w:val="single" w:sz="4" w:space="0" w:color="auto"/>
              <w:right w:val="single" w:sz="4" w:space="0" w:color="auto"/>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7</w:t>
            </w:r>
            <w:r w:rsidR="00EA0CF7">
              <w:rPr>
                <w:color w:val="000000"/>
                <w:sz w:val="20"/>
                <w:szCs w:val="20"/>
                <w:lang w:eastAsia="en-US"/>
              </w:rPr>
              <w:t>.</w:t>
            </w:r>
            <w:r w:rsidRPr="00372807">
              <w:rPr>
                <w:color w:val="000000"/>
                <w:sz w:val="20"/>
                <w:szCs w:val="20"/>
                <w:lang w:eastAsia="en-US"/>
              </w:rPr>
              <w:t>50</w:t>
            </w:r>
          </w:p>
        </w:tc>
        <w:tc>
          <w:tcPr>
            <w:tcW w:w="821" w:type="dxa"/>
            <w:tcBorders>
              <w:top w:val="nil"/>
              <w:left w:val="nil"/>
              <w:bottom w:val="single" w:sz="4" w:space="0" w:color="auto"/>
              <w:right w:val="single" w:sz="4" w:space="0" w:color="auto"/>
            </w:tcBorders>
            <w:shd w:val="clear" w:color="000000" w:fill="FFFFFF"/>
            <w:noWrap/>
            <w:vAlign w:val="center"/>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61</w:t>
            </w:r>
            <w:r w:rsidR="00EA0CF7">
              <w:rPr>
                <w:color w:val="000000"/>
                <w:sz w:val="20"/>
                <w:szCs w:val="20"/>
                <w:lang w:eastAsia="en-US"/>
              </w:rPr>
              <w:t>.</w:t>
            </w:r>
            <w:r w:rsidRPr="00372807">
              <w:rPr>
                <w:color w:val="000000"/>
                <w:sz w:val="20"/>
                <w:szCs w:val="20"/>
                <w:lang w:eastAsia="en-US"/>
              </w:rPr>
              <w:t>81</w:t>
            </w:r>
          </w:p>
        </w:tc>
        <w:tc>
          <w:tcPr>
            <w:tcW w:w="711" w:type="dxa"/>
            <w:tcBorders>
              <w:top w:val="nil"/>
              <w:left w:val="nil"/>
              <w:bottom w:val="single" w:sz="4" w:space="0" w:color="auto"/>
              <w:right w:val="nil"/>
            </w:tcBorders>
            <w:shd w:val="clear" w:color="000000" w:fill="FFFFFF"/>
            <w:noWrap/>
            <w:vAlign w:val="bottom"/>
            <w:hideMark/>
          </w:tcPr>
          <w:p w:rsidR="00372807" w:rsidRPr="00372807" w:rsidRDefault="00372807" w:rsidP="00372807">
            <w:pPr>
              <w:spacing w:after="0" w:line="240" w:lineRule="auto"/>
              <w:ind w:firstLine="0"/>
              <w:jc w:val="right"/>
              <w:rPr>
                <w:color w:val="000000"/>
                <w:sz w:val="20"/>
                <w:szCs w:val="20"/>
                <w:lang w:eastAsia="en-US"/>
              </w:rPr>
            </w:pPr>
            <w:r w:rsidRPr="00372807">
              <w:rPr>
                <w:color w:val="000000"/>
                <w:sz w:val="20"/>
                <w:szCs w:val="20"/>
                <w:lang w:eastAsia="en-US"/>
              </w:rPr>
              <w:t>9</w:t>
            </w:r>
            <w:r w:rsidR="00EA0CF7">
              <w:rPr>
                <w:color w:val="000000"/>
                <w:sz w:val="20"/>
                <w:szCs w:val="20"/>
                <w:lang w:eastAsia="en-US"/>
              </w:rPr>
              <w:t>.</w:t>
            </w:r>
            <w:r w:rsidRPr="00372807">
              <w:rPr>
                <w:color w:val="000000"/>
                <w:sz w:val="20"/>
                <w:szCs w:val="20"/>
                <w:lang w:eastAsia="en-US"/>
              </w:rPr>
              <w:t>76</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Wilcoxon</w:t>
            </w:r>
          </w:p>
        </w:tc>
        <w:tc>
          <w:tcPr>
            <w:tcW w:w="124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203</w:t>
            </w:r>
            <w:r w:rsidR="00EA0CF7">
              <w:rPr>
                <w:color w:val="000000"/>
                <w:sz w:val="22"/>
                <w:szCs w:val="22"/>
                <w:lang w:eastAsia="en-US"/>
              </w:rPr>
              <w:t>.</w:t>
            </w:r>
            <w:r w:rsidRPr="00372807">
              <w:rPr>
                <w:color w:val="000000"/>
                <w:sz w:val="22"/>
                <w:szCs w:val="22"/>
                <w:lang w:eastAsia="en-US"/>
              </w:rPr>
              <w:t>000</w:t>
            </w:r>
          </w:p>
        </w:tc>
        <w:tc>
          <w:tcPr>
            <w:tcW w:w="846"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50</w:t>
            </w:r>
          </w:p>
        </w:tc>
      </w:tr>
      <w:tr w:rsidR="00372807" w:rsidRPr="00372807" w:rsidTr="00EA0CF7">
        <w:trPr>
          <w:trHeight w:val="276"/>
        </w:trPr>
        <w:tc>
          <w:tcPr>
            <w:tcW w:w="969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Note: statistical tests used (depending on the Shapiro-Wilk normalit</w:t>
            </w:r>
            <w:r w:rsidR="00EA0CF7">
              <w:rPr>
                <w:color w:val="000000"/>
                <w:sz w:val="22"/>
                <w:szCs w:val="22"/>
                <w:lang w:eastAsia="en-US"/>
              </w:rPr>
              <w:t>y test): Welsh's t-test and Wilc</w:t>
            </w:r>
            <w:r w:rsidRPr="00372807">
              <w:rPr>
                <w:color w:val="000000"/>
                <w:sz w:val="22"/>
                <w:szCs w:val="22"/>
                <w:lang w:eastAsia="en-US"/>
              </w:rPr>
              <w:t>oxon rank-sum test; significance level: 0</w:t>
            </w:r>
            <w:r w:rsidR="00EA0CF7">
              <w:rPr>
                <w:color w:val="000000"/>
                <w:sz w:val="22"/>
                <w:szCs w:val="22"/>
                <w:lang w:eastAsia="en-US"/>
              </w:rPr>
              <w:t>.</w:t>
            </w:r>
            <w:r w:rsidRPr="00372807">
              <w:rPr>
                <w:color w:val="000000"/>
                <w:sz w:val="22"/>
                <w:szCs w:val="22"/>
                <w:lang w:eastAsia="en-US"/>
              </w:rPr>
              <w:t>05.</w:t>
            </w:r>
          </w:p>
        </w:tc>
      </w:tr>
    </w:tbl>
    <w:p w:rsidR="00372807" w:rsidRPr="00372807" w:rsidRDefault="00372807" w:rsidP="00372807">
      <w:pPr>
        <w:spacing w:line="240" w:lineRule="auto"/>
        <w:ind w:firstLine="0"/>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BC60C6" w:rsidRDefault="00BC60C6" w:rsidP="00372807">
      <w:pPr>
        <w:widowControl w:val="0"/>
        <w:spacing w:after="120" w:line="276" w:lineRule="auto"/>
        <w:ind w:firstLine="0"/>
        <w:rPr>
          <w:color w:val="010205"/>
        </w:rPr>
      </w:pPr>
    </w:p>
    <w:p w:rsidR="00372807" w:rsidRPr="00372807" w:rsidRDefault="00372807" w:rsidP="00372807">
      <w:pPr>
        <w:widowControl w:val="0"/>
        <w:spacing w:after="120" w:line="276" w:lineRule="auto"/>
        <w:ind w:firstLine="0"/>
      </w:pPr>
      <w:r w:rsidRPr="00372807">
        <w:rPr>
          <w:color w:val="010205"/>
        </w:rPr>
        <w:lastRenderedPageBreak/>
        <w:t xml:space="preserve">Table </w:t>
      </w:r>
      <w:r>
        <w:rPr>
          <w:color w:val="010205"/>
        </w:rPr>
        <w:t>S</w:t>
      </w:r>
      <w:r w:rsidR="005E4D89">
        <w:rPr>
          <w:color w:val="010205"/>
        </w:rPr>
        <w:t>3</w:t>
      </w:r>
      <w:r w:rsidRPr="00372807">
        <w:rPr>
          <w:color w:val="010205"/>
        </w:rPr>
        <w:t xml:space="preserve">. </w:t>
      </w:r>
      <w:r w:rsidRPr="00372807">
        <w:t>Psychopharmacological medication and comorbidities completers vs. non-completers</w:t>
      </w:r>
    </w:p>
    <w:tbl>
      <w:tblPr>
        <w:tblW w:w="9859" w:type="dxa"/>
        <w:tblLook w:val="04A0" w:firstRow="1" w:lastRow="0" w:firstColumn="1" w:lastColumn="0" w:noHBand="0" w:noVBand="1"/>
      </w:tblPr>
      <w:tblGrid>
        <w:gridCol w:w="4759"/>
        <w:gridCol w:w="583"/>
        <w:gridCol w:w="1483"/>
        <w:gridCol w:w="583"/>
        <w:gridCol w:w="1195"/>
        <w:gridCol w:w="711"/>
        <w:gridCol w:w="740"/>
      </w:tblGrid>
      <w:tr w:rsidR="00372807" w:rsidRPr="00372807" w:rsidTr="00EA0CF7">
        <w:trPr>
          <w:trHeight w:val="288"/>
        </w:trPr>
        <w:tc>
          <w:tcPr>
            <w:tcW w:w="4759" w:type="dxa"/>
            <w:vMerge w:val="restart"/>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non-completer (N=16)</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completer (N=29)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U</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center"/>
              <w:rPr>
                <w:color w:val="000000"/>
                <w:sz w:val="22"/>
                <w:szCs w:val="22"/>
                <w:lang w:eastAsia="en-US"/>
              </w:rPr>
            </w:pPr>
            <w:r w:rsidRPr="00372807">
              <w:rPr>
                <w:color w:val="000000"/>
                <w:sz w:val="22"/>
                <w:szCs w:val="22"/>
                <w:lang w:eastAsia="en-US"/>
              </w:rPr>
              <w:t>p-value</w:t>
            </w:r>
          </w:p>
        </w:tc>
      </w:tr>
      <w:tr w:rsidR="00372807" w:rsidRPr="00372807" w:rsidTr="00EA0CF7">
        <w:trPr>
          <w:trHeight w:val="288"/>
        </w:trPr>
        <w:tc>
          <w:tcPr>
            <w:tcW w:w="4759" w:type="dxa"/>
            <w:vMerge/>
            <w:tcBorders>
              <w:top w:val="nil"/>
              <w:left w:val="nil"/>
              <w:bottom w:val="nil"/>
              <w:right w:val="single" w:sz="4" w:space="0" w:color="auto"/>
            </w:tcBorders>
            <w:vAlign w:val="center"/>
            <w:hideMark/>
          </w:tcPr>
          <w:p w:rsidR="00372807" w:rsidRPr="00372807" w:rsidRDefault="00372807" w:rsidP="00372807">
            <w:pPr>
              <w:spacing w:after="0" w:line="240" w:lineRule="auto"/>
              <w:ind w:firstLine="0"/>
              <w:rPr>
                <w:color w:val="000000"/>
                <w:sz w:val="22"/>
                <w:szCs w:val="22"/>
                <w:lang w:eastAsia="en-US"/>
              </w:rPr>
            </w:pP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sum</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 of group</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sum</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 of group</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r>
      <w:tr w:rsidR="00372807" w:rsidRPr="00372807" w:rsidTr="00EA0CF7">
        <w:trPr>
          <w:trHeight w:val="288"/>
        </w:trPr>
        <w:tc>
          <w:tcPr>
            <w:tcW w:w="4759" w:type="dxa"/>
            <w:tcBorders>
              <w:top w:val="nil"/>
              <w:left w:val="single" w:sz="4" w:space="0" w:color="auto"/>
              <w:bottom w:val="nil"/>
              <w:right w:val="nil"/>
            </w:tcBorders>
            <w:shd w:val="clear" w:color="000000" w:fill="DBDBDB"/>
            <w:noWrap/>
            <w:vAlign w:val="bottom"/>
            <w:hideMark/>
          </w:tcPr>
          <w:p w:rsidR="00372807" w:rsidRPr="00372807" w:rsidRDefault="00372807" w:rsidP="00372807">
            <w:pPr>
              <w:spacing w:after="0" w:line="240" w:lineRule="auto"/>
              <w:ind w:firstLine="0"/>
              <w:rPr>
                <w:b/>
                <w:bCs/>
                <w:color w:val="000000"/>
                <w:sz w:val="22"/>
                <w:szCs w:val="22"/>
                <w:lang w:eastAsia="en-US"/>
              </w:rPr>
            </w:pPr>
            <w:r w:rsidRPr="00372807">
              <w:rPr>
                <w:b/>
                <w:bCs/>
                <w:color w:val="000000"/>
                <w:sz w:val="22"/>
                <w:szCs w:val="22"/>
                <w:lang w:eastAsia="en-US"/>
              </w:rPr>
              <w:t>Psychopharmacological Medication</w:t>
            </w:r>
          </w:p>
        </w:tc>
        <w:tc>
          <w:tcPr>
            <w:tcW w:w="577"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c>
          <w:tcPr>
            <w:tcW w:w="1483"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c>
          <w:tcPr>
            <w:tcW w:w="465"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c>
          <w:tcPr>
            <w:tcW w:w="1195"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c>
          <w:tcPr>
            <w:tcW w:w="640"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c>
          <w:tcPr>
            <w:tcW w:w="740" w:type="dxa"/>
            <w:tcBorders>
              <w:top w:val="nil"/>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rPr>
                <w:rFonts w:ascii="Calibri" w:hAnsi="Calibri" w:cs="Calibri"/>
                <w:color w:val="000000"/>
                <w:sz w:val="22"/>
                <w:szCs w:val="22"/>
                <w:lang w:eastAsia="en-US"/>
              </w:rPr>
            </w:pPr>
            <w:r w:rsidRPr="00372807">
              <w:rPr>
                <w:rFonts w:ascii="Calibri" w:hAnsi="Calibri" w:cs="Calibri"/>
                <w:color w:val="000000"/>
                <w:sz w:val="22"/>
                <w:szCs w:val="22"/>
                <w:lang w:eastAsia="en-US"/>
              </w:rPr>
              <w:t> </w:t>
            </w:r>
          </w:p>
        </w:tc>
      </w:tr>
      <w:tr w:rsidR="00372807" w:rsidRPr="00372807" w:rsidTr="00EA0CF7">
        <w:trPr>
          <w:trHeight w:val="288"/>
        </w:trPr>
        <w:tc>
          <w:tcPr>
            <w:tcW w:w="4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Selective Serotonin Reuptake Inhibitor</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47</w:t>
            </w:r>
            <w:r w:rsidR="00EA0CF7">
              <w:rPr>
                <w:color w:val="000000"/>
                <w:sz w:val="22"/>
                <w:szCs w:val="22"/>
                <w:lang w:eastAsia="en-US"/>
              </w:rPr>
              <w:t>.</w:t>
            </w:r>
            <w:r w:rsidRPr="00372807">
              <w:rPr>
                <w:color w:val="000000"/>
                <w:sz w:val="22"/>
                <w:szCs w:val="22"/>
                <w:lang w:eastAsia="en-US"/>
              </w:rPr>
              <w:t>62</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w:t>
            </w:r>
            <w:r w:rsidR="00EA0CF7">
              <w:rPr>
                <w:color w:val="000000"/>
                <w:sz w:val="22"/>
                <w:szCs w:val="22"/>
                <w:lang w:eastAsia="en-US"/>
              </w:rPr>
              <w:t>.</w:t>
            </w:r>
            <w:r w:rsidRPr="00372807">
              <w:rPr>
                <w:color w:val="000000"/>
                <w:sz w:val="22"/>
                <w:szCs w:val="22"/>
                <w:lang w:eastAsia="en-US"/>
              </w:rPr>
              <w:t>33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360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314</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Serotonin antagonist</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w:t>
            </w:r>
            <w:r w:rsidR="00EA0CF7">
              <w:rPr>
                <w:color w:val="000000"/>
                <w:sz w:val="22"/>
                <w:szCs w:val="22"/>
                <w:lang w:eastAsia="en-US"/>
              </w:rPr>
              <w:t>.</w:t>
            </w:r>
            <w:r w:rsidRPr="00372807">
              <w:rPr>
                <w:color w:val="000000"/>
                <w:sz w:val="22"/>
                <w:szCs w:val="22"/>
                <w:lang w:eastAsia="en-US"/>
              </w:rPr>
              <w:t>52</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313</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970</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Selective Serotonin Noradrenalin Reuptake Inhibitors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w:t>
            </w:r>
            <w:r w:rsidR="00EA0CF7">
              <w:rPr>
                <w:color w:val="000000"/>
                <w:sz w:val="22"/>
                <w:szCs w:val="22"/>
                <w:lang w:eastAsia="en-US"/>
              </w:rPr>
              <w:t>.</w:t>
            </w:r>
            <w:r w:rsidRPr="00372807">
              <w:rPr>
                <w:color w:val="000000"/>
                <w:sz w:val="22"/>
                <w:szCs w:val="22"/>
                <w:lang w:eastAsia="en-US"/>
              </w:rPr>
              <w:t>52</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271</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213</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Tetracyclic antidepressants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w:t>
            </w:r>
            <w:r w:rsidR="00EA0CF7">
              <w:rPr>
                <w:color w:val="000000"/>
                <w:sz w:val="22"/>
                <w:szCs w:val="22"/>
                <w:lang w:eastAsia="en-US"/>
              </w:rPr>
              <w:t>.</w:t>
            </w:r>
            <w:r w:rsidRPr="00372807">
              <w:rPr>
                <w:color w:val="000000"/>
                <w:sz w:val="22"/>
                <w:szCs w:val="22"/>
                <w:lang w:eastAsia="en-US"/>
              </w:rPr>
              <w:t>33</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367</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176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Tricyclic antidepressants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248</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conventional antipsychotics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19</w:t>
            </w:r>
            <w:r w:rsidR="00EA0CF7">
              <w:rPr>
                <w:color w:val="000000"/>
                <w:sz w:val="22"/>
                <w:szCs w:val="22"/>
                <w:lang w:eastAsia="en-US"/>
              </w:rPr>
              <w:t>.</w:t>
            </w:r>
            <w:r w:rsidRPr="00372807">
              <w:rPr>
                <w:color w:val="000000"/>
                <w:sz w:val="22"/>
                <w:szCs w:val="22"/>
                <w:lang w:eastAsia="en-US"/>
              </w:rPr>
              <w:t>05</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891</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atypical antipsychotics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w:t>
            </w:r>
            <w:r w:rsidR="00EA0CF7">
              <w:rPr>
                <w:color w:val="000000"/>
                <w:sz w:val="22"/>
                <w:szCs w:val="22"/>
                <w:lang w:eastAsia="en-US"/>
              </w:rPr>
              <w:t>.</w:t>
            </w:r>
            <w:r w:rsidRPr="00372807">
              <w:rPr>
                <w:color w:val="000000"/>
                <w:sz w:val="22"/>
                <w:szCs w:val="22"/>
                <w:lang w:eastAsia="en-US"/>
              </w:rPr>
              <w:t>57</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287</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516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other medication</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8</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38</w:t>
            </w:r>
            <w:r w:rsidR="00EA0CF7">
              <w:rPr>
                <w:color w:val="000000"/>
                <w:sz w:val="22"/>
                <w:szCs w:val="22"/>
                <w:lang w:eastAsia="en-US"/>
              </w:rPr>
              <w:t>.</w:t>
            </w:r>
            <w:r w:rsidRPr="00372807">
              <w:rPr>
                <w:color w:val="000000"/>
                <w:sz w:val="22"/>
                <w:szCs w:val="22"/>
                <w:lang w:eastAsia="en-US"/>
              </w:rPr>
              <w:t>10</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272</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279</w:t>
            </w:r>
          </w:p>
        </w:tc>
      </w:tr>
      <w:tr w:rsidR="00372807" w:rsidRPr="00372807" w:rsidTr="00EA0CF7">
        <w:trPr>
          <w:trHeight w:val="288"/>
        </w:trPr>
        <w:tc>
          <w:tcPr>
            <w:tcW w:w="4759" w:type="dxa"/>
            <w:tcBorders>
              <w:top w:val="nil"/>
              <w:left w:val="single" w:sz="4" w:space="0" w:color="auto"/>
              <w:bottom w:val="nil"/>
              <w:right w:val="nil"/>
            </w:tcBorders>
            <w:shd w:val="clear" w:color="000000" w:fill="DBDBDB"/>
            <w:noWrap/>
            <w:vAlign w:val="bottom"/>
            <w:hideMark/>
          </w:tcPr>
          <w:p w:rsidR="00372807" w:rsidRPr="00372807" w:rsidRDefault="00372807" w:rsidP="00372807">
            <w:pPr>
              <w:spacing w:after="0" w:line="240" w:lineRule="auto"/>
              <w:ind w:firstLine="0"/>
              <w:rPr>
                <w:b/>
                <w:bCs/>
                <w:color w:val="000000"/>
                <w:sz w:val="22"/>
                <w:szCs w:val="22"/>
                <w:lang w:eastAsia="en-US"/>
              </w:rPr>
            </w:pPr>
            <w:r w:rsidRPr="00372807">
              <w:rPr>
                <w:b/>
                <w:bCs/>
                <w:color w:val="000000"/>
                <w:sz w:val="22"/>
                <w:szCs w:val="22"/>
                <w:lang w:eastAsia="en-US"/>
              </w:rPr>
              <w:t>Comorbidities</w:t>
            </w:r>
          </w:p>
        </w:tc>
        <w:tc>
          <w:tcPr>
            <w:tcW w:w="577"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1483"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465"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1195"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640" w:type="dxa"/>
            <w:tcBorders>
              <w:top w:val="nil"/>
              <w:left w:val="nil"/>
              <w:bottom w:val="nil"/>
              <w:right w:val="nil"/>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c>
          <w:tcPr>
            <w:tcW w:w="740" w:type="dxa"/>
            <w:tcBorders>
              <w:top w:val="nil"/>
              <w:left w:val="nil"/>
              <w:bottom w:val="single" w:sz="4" w:space="0" w:color="auto"/>
              <w:right w:val="single" w:sz="4" w:space="0" w:color="auto"/>
            </w:tcBorders>
            <w:shd w:val="clear" w:color="000000" w:fill="DBDBDB"/>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w:t>
            </w:r>
          </w:p>
        </w:tc>
      </w:tr>
      <w:tr w:rsidR="00372807" w:rsidRPr="00372807" w:rsidTr="00EA0CF7">
        <w:trPr>
          <w:trHeight w:val="288"/>
        </w:trPr>
        <w:tc>
          <w:tcPr>
            <w:tcW w:w="4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Major Depression F32</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16</w:t>
            </w:r>
            <w:r w:rsidR="00EA0CF7">
              <w:rPr>
                <w:color w:val="000000"/>
                <w:sz w:val="22"/>
                <w:szCs w:val="22"/>
                <w:lang w:eastAsia="en-US"/>
              </w:rPr>
              <w:t>.</w:t>
            </w:r>
            <w:r w:rsidRPr="00372807">
              <w:rPr>
                <w:color w:val="000000"/>
                <w:sz w:val="22"/>
                <w:szCs w:val="22"/>
                <w:lang w:eastAsia="en-US"/>
              </w:rPr>
              <w:t>67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277</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205</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Major depressive disorder remitted F32</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r w:rsidR="00EA0CF7">
              <w:rPr>
                <w:color w:val="000000"/>
                <w:sz w:val="22"/>
                <w:szCs w:val="22"/>
                <w:lang w:eastAsia="en-US"/>
              </w:rPr>
              <w:t>.</w:t>
            </w:r>
            <w:r w:rsidRPr="00372807">
              <w:rPr>
                <w:color w:val="000000"/>
                <w:sz w:val="22"/>
                <w:szCs w:val="22"/>
                <w:lang w:eastAsia="en-US"/>
              </w:rPr>
              <w:t>29</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318</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936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Major depressive disorder recurrent F33</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66</w:t>
            </w:r>
            <w:r w:rsidR="00EA0CF7">
              <w:rPr>
                <w:color w:val="000000"/>
                <w:sz w:val="22"/>
                <w:szCs w:val="22"/>
                <w:lang w:eastAsia="en-US"/>
              </w:rPr>
              <w:t>.</w:t>
            </w:r>
            <w:r w:rsidRPr="00372807">
              <w:rPr>
                <w:color w:val="000000"/>
                <w:sz w:val="22"/>
                <w:szCs w:val="22"/>
                <w:lang w:eastAsia="en-US"/>
              </w:rPr>
              <w:t>67</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388</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106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Bipolar disorder F31</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248</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Affective Disorders (total)</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19</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90</w:t>
            </w:r>
            <w:r w:rsidR="00EA0CF7">
              <w:rPr>
                <w:color w:val="000000"/>
                <w:sz w:val="22"/>
                <w:szCs w:val="22"/>
                <w:lang w:eastAsia="en-US"/>
              </w:rPr>
              <w:t>.</w:t>
            </w:r>
            <w:r w:rsidRPr="00372807">
              <w:rPr>
                <w:color w:val="000000"/>
                <w:sz w:val="22"/>
                <w:szCs w:val="22"/>
                <w:lang w:eastAsia="en-US"/>
              </w:rPr>
              <w:t>48</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23</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352</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374</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Anxiety Disorders (total)</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w:t>
            </w:r>
            <w:r w:rsidR="00EA0CF7">
              <w:rPr>
                <w:color w:val="000000"/>
                <w:sz w:val="22"/>
                <w:szCs w:val="22"/>
                <w:lang w:eastAsia="en-US"/>
              </w:rPr>
              <w:t>.</w:t>
            </w:r>
            <w:r w:rsidRPr="00372807">
              <w:rPr>
                <w:color w:val="000000"/>
                <w:sz w:val="22"/>
                <w:szCs w:val="22"/>
                <w:lang w:eastAsia="en-US"/>
              </w:rPr>
              <w:t>57</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370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081</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PTSD F43.1</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15</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71</w:t>
            </w:r>
            <w:r w:rsidR="00EA0CF7">
              <w:rPr>
                <w:color w:val="000000"/>
                <w:sz w:val="22"/>
                <w:szCs w:val="22"/>
                <w:lang w:eastAsia="en-US"/>
              </w:rPr>
              <w:t>.</w:t>
            </w:r>
            <w:r w:rsidRPr="00372807">
              <w:rPr>
                <w:color w:val="000000"/>
                <w:sz w:val="22"/>
                <w:szCs w:val="22"/>
                <w:lang w:eastAsia="en-US"/>
              </w:rPr>
              <w:t>43</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20</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730</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Dissociative and conversion disorders F44</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304</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426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Eating Disorders (total)</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19</w:t>
            </w:r>
            <w:r w:rsidR="00EA0CF7">
              <w:rPr>
                <w:color w:val="000000"/>
                <w:sz w:val="22"/>
                <w:szCs w:val="22"/>
                <w:lang w:eastAsia="en-US"/>
              </w:rPr>
              <w:t>.</w:t>
            </w:r>
            <w:r w:rsidRPr="00372807">
              <w:rPr>
                <w:color w:val="000000"/>
                <w:sz w:val="22"/>
                <w:szCs w:val="22"/>
                <w:lang w:eastAsia="en-US"/>
              </w:rPr>
              <w:t>05</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228</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046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ADHD F90.9</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319</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820</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Attention Deficit Disorder F98.80</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319</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820</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Schizophrenia F20</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248</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Obsessive compulsive disorder (OCD) F42</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288</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325</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Cannabis abuse F12.1</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298</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511</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Cannabis abuse F12.1 remitted</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309</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796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substance abusus F15.1</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304</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426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substance abusus F15.1 remitted</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330</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248</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alcohol abuse F10.1 remitted</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319</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820</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benzodiazepine abuse F13.2</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304</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426</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Nicotine dependence F17.2</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r w:rsidR="00EA0CF7">
              <w:rPr>
                <w:color w:val="000000"/>
                <w:sz w:val="22"/>
                <w:szCs w:val="22"/>
                <w:lang w:eastAsia="en-US"/>
              </w:rPr>
              <w:t>.</w:t>
            </w:r>
            <w:r w:rsidRPr="00372807">
              <w:rPr>
                <w:color w:val="000000"/>
                <w:sz w:val="22"/>
                <w:szCs w:val="22"/>
                <w:lang w:eastAsia="en-US"/>
              </w:rPr>
              <w:t>76</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4</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13</w:t>
            </w:r>
            <w:r w:rsidR="00EA0CF7">
              <w:rPr>
                <w:color w:val="000000"/>
                <w:sz w:val="22"/>
                <w:szCs w:val="22"/>
                <w:lang w:eastAsia="en-US"/>
              </w:rPr>
              <w:t>.</w:t>
            </w:r>
            <w:r w:rsidRPr="00372807">
              <w:rPr>
                <w:color w:val="000000"/>
                <w:sz w:val="22"/>
                <w:szCs w:val="22"/>
                <w:lang w:eastAsia="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288</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325</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Avoidant Personality disorder F60.6</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9</w:t>
            </w:r>
            <w:r w:rsidR="00EA0CF7">
              <w:rPr>
                <w:color w:val="000000"/>
                <w:sz w:val="22"/>
                <w:szCs w:val="22"/>
                <w:lang w:eastAsia="en-US"/>
              </w:rPr>
              <w:t>.</w:t>
            </w:r>
            <w:r w:rsidRPr="00372807">
              <w:rPr>
                <w:color w:val="000000"/>
                <w:sz w:val="22"/>
                <w:szCs w:val="22"/>
                <w:lang w:eastAsia="en-US"/>
              </w:rPr>
              <w:t>52</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324</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727</w:t>
            </w:r>
          </w:p>
        </w:tc>
      </w:tr>
      <w:tr w:rsidR="00372807" w:rsidRPr="00372807" w:rsidTr="00EA0CF7">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other comorbidities</w:t>
            </w:r>
          </w:p>
        </w:tc>
        <w:tc>
          <w:tcPr>
            <w:tcW w:w="577"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p>
        </w:tc>
        <w:tc>
          <w:tcPr>
            <w:tcW w:w="1483"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00</w:t>
            </w:r>
          </w:p>
        </w:tc>
        <w:tc>
          <w:tcPr>
            <w:tcW w:w="46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5</w:t>
            </w:r>
          </w:p>
        </w:tc>
        <w:tc>
          <w:tcPr>
            <w:tcW w:w="1195"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262</w:t>
            </w:r>
            <w:r w:rsidR="00EA0CF7">
              <w:rPr>
                <w:color w:val="000000"/>
                <w:sz w:val="22"/>
                <w:szCs w:val="22"/>
                <w:lang w:eastAsia="en-US"/>
              </w:rPr>
              <w:t>.</w:t>
            </w:r>
            <w:r w:rsidRPr="00372807">
              <w:rPr>
                <w:color w:val="000000"/>
                <w:sz w:val="22"/>
                <w:szCs w:val="22"/>
                <w:lang w:eastAsia="en-US"/>
              </w:rPr>
              <w:t>5</w:t>
            </w:r>
          </w:p>
        </w:tc>
        <w:tc>
          <w:tcPr>
            <w:tcW w:w="740" w:type="dxa"/>
            <w:tcBorders>
              <w:top w:val="nil"/>
              <w:left w:val="nil"/>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053</w:t>
            </w:r>
          </w:p>
        </w:tc>
      </w:tr>
      <w:tr w:rsidR="00372807" w:rsidRPr="00372807" w:rsidTr="00EA0CF7">
        <w:trPr>
          <w:trHeight w:val="288"/>
        </w:trPr>
        <w:tc>
          <w:tcPr>
            <w:tcW w:w="4759" w:type="dxa"/>
            <w:tcBorders>
              <w:top w:val="nil"/>
              <w:left w:val="single" w:sz="4" w:space="0" w:color="auto"/>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other comorbidities (total)</w:t>
            </w:r>
          </w:p>
        </w:tc>
        <w:tc>
          <w:tcPr>
            <w:tcW w:w="577"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14</w:t>
            </w:r>
          </w:p>
        </w:tc>
        <w:tc>
          <w:tcPr>
            <w:tcW w:w="1483"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66</w:t>
            </w:r>
            <w:r w:rsidR="00EA0CF7">
              <w:rPr>
                <w:color w:val="000000"/>
                <w:sz w:val="22"/>
                <w:szCs w:val="22"/>
                <w:lang w:eastAsia="en-US"/>
              </w:rPr>
              <w:t>.</w:t>
            </w:r>
            <w:r w:rsidRPr="00372807">
              <w:rPr>
                <w:color w:val="000000"/>
                <w:sz w:val="22"/>
                <w:szCs w:val="22"/>
                <w:lang w:eastAsia="en-US"/>
              </w:rPr>
              <w:t>67</w:t>
            </w:r>
          </w:p>
        </w:tc>
        <w:tc>
          <w:tcPr>
            <w:tcW w:w="465"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26</w:t>
            </w:r>
          </w:p>
        </w:tc>
        <w:tc>
          <w:tcPr>
            <w:tcW w:w="1195"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86</w:t>
            </w:r>
            <w:r w:rsidR="00EA0CF7">
              <w:rPr>
                <w:color w:val="000000"/>
                <w:sz w:val="22"/>
                <w:szCs w:val="22"/>
                <w:lang w:eastAsia="en-US"/>
              </w:rPr>
              <w:t>.</w:t>
            </w:r>
            <w:r w:rsidRPr="00372807">
              <w:rPr>
                <w:color w:val="000000"/>
                <w:sz w:val="22"/>
                <w:szCs w:val="22"/>
                <w:lang w:eastAsia="en-US"/>
              </w:rPr>
              <w:t>67</w:t>
            </w:r>
          </w:p>
        </w:tc>
        <w:tc>
          <w:tcPr>
            <w:tcW w:w="640"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268</w:t>
            </w:r>
          </w:p>
        </w:tc>
        <w:tc>
          <w:tcPr>
            <w:tcW w:w="740" w:type="dxa"/>
            <w:tcBorders>
              <w:top w:val="nil"/>
              <w:left w:val="nil"/>
              <w:bottom w:val="nil"/>
              <w:right w:val="single" w:sz="4" w:space="0" w:color="auto"/>
            </w:tcBorders>
            <w:shd w:val="clear" w:color="auto" w:fill="auto"/>
            <w:noWrap/>
            <w:vAlign w:val="bottom"/>
            <w:hideMark/>
          </w:tcPr>
          <w:p w:rsidR="00372807" w:rsidRPr="00372807" w:rsidRDefault="00372807" w:rsidP="00372807">
            <w:pPr>
              <w:spacing w:after="0" w:line="240" w:lineRule="auto"/>
              <w:ind w:firstLine="0"/>
              <w:jc w:val="right"/>
              <w:rPr>
                <w:color w:val="000000"/>
                <w:sz w:val="22"/>
                <w:szCs w:val="22"/>
                <w:lang w:eastAsia="en-US"/>
              </w:rPr>
            </w:pPr>
            <w:r w:rsidRPr="00372807">
              <w:rPr>
                <w:color w:val="000000"/>
                <w:sz w:val="22"/>
                <w:szCs w:val="22"/>
                <w:lang w:eastAsia="en-US"/>
              </w:rPr>
              <w:t>0</w:t>
            </w:r>
            <w:r w:rsidR="00EA0CF7">
              <w:rPr>
                <w:color w:val="000000"/>
                <w:sz w:val="22"/>
                <w:szCs w:val="22"/>
                <w:lang w:eastAsia="en-US"/>
              </w:rPr>
              <w:t>.</w:t>
            </w:r>
            <w:r w:rsidRPr="00372807">
              <w:rPr>
                <w:color w:val="000000"/>
                <w:sz w:val="22"/>
                <w:szCs w:val="22"/>
                <w:lang w:eastAsia="en-US"/>
              </w:rPr>
              <w:t>336</w:t>
            </w:r>
          </w:p>
        </w:tc>
      </w:tr>
      <w:tr w:rsidR="00372807" w:rsidRPr="00372807" w:rsidTr="00EA0CF7">
        <w:trPr>
          <w:trHeight w:val="288"/>
        </w:trPr>
        <w:tc>
          <w:tcPr>
            <w:tcW w:w="9859" w:type="dxa"/>
            <w:gridSpan w:val="7"/>
            <w:tcBorders>
              <w:top w:val="single" w:sz="4" w:space="0" w:color="auto"/>
              <w:left w:val="single" w:sz="4" w:space="0" w:color="auto"/>
              <w:bottom w:val="nil"/>
              <w:right w:val="single" w:sz="4" w:space="0" w:color="000000"/>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Note: Wilcoxon rank-sum test was used; significance level: 0</w:t>
            </w:r>
            <w:r w:rsidR="00EA0CF7">
              <w:rPr>
                <w:color w:val="000000"/>
                <w:sz w:val="22"/>
                <w:szCs w:val="22"/>
                <w:lang w:eastAsia="en-US"/>
              </w:rPr>
              <w:t>.</w:t>
            </w:r>
            <w:r w:rsidRPr="00372807">
              <w:rPr>
                <w:color w:val="000000"/>
                <w:sz w:val="22"/>
                <w:szCs w:val="22"/>
                <w:lang w:eastAsia="en-US"/>
              </w:rPr>
              <w:t>05; p-values are not FDR-corrected,</w:t>
            </w:r>
          </w:p>
        </w:tc>
      </w:tr>
      <w:tr w:rsidR="00372807" w:rsidRPr="00372807" w:rsidTr="00EA0CF7">
        <w:trPr>
          <w:trHeight w:val="288"/>
        </w:trPr>
        <w:tc>
          <w:tcPr>
            <w:tcW w:w="9859" w:type="dxa"/>
            <w:gridSpan w:val="7"/>
            <w:tcBorders>
              <w:top w:val="nil"/>
              <w:left w:val="single" w:sz="4" w:space="0" w:color="auto"/>
              <w:bottom w:val="single" w:sz="4" w:space="0" w:color="auto"/>
              <w:right w:val="single" w:sz="4" w:space="0" w:color="auto"/>
            </w:tcBorders>
            <w:shd w:val="clear" w:color="auto" w:fill="auto"/>
            <w:noWrap/>
            <w:vAlign w:val="bottom"/>
            <w:hideMark/>
          </w:tcPr>
          <w:p w:rsidR="00372807" w:rsidRPr="00372807" w:rsidRDefault="00372807" w:rsidP="00372807">
            <w:pPr>
              <w:spacing w:after="0" w:line="240" w:lineRule="auto"/>
              <w:ind w:firstLine="0"/>
              <w:rPr>
                <w:color w:val="000000"/>
                <w:sz w:val="22"/>
                <w:szCs w:val="22"/>
                <w:lang w:eastAsia="en-US"/>
              </w:rPr>
            </w:pPr>
            <w:r w:rsidRPr="00372807">
              <w:rPr>
                <w:color w:val="000000"/>
                <w:sz w:val="22"/>
                <w:szCs w:val="22"/>
                <w:lang w:eastAsia="en-US"/>
              </w:rPr>
              <w:t xml:space="preserve"> PTSD: Post Traumatic Stress Disorder, ADHD: Attention Deficit Hyperactivity Disorder.</w:t>
            </w:r>
          </w:p>
        </w:tc>
      </w:tr>
    </w:tbl>
    <w:p w:rsidR="005B0E38" w:rsidRDefault="006F5F5B">
      <w:pPr>
        <w:pStyle w:val="berschrift3"/>
        <w:keepNext w:val="0"/>
        <w:keepLines w:val="0"/>
        <w:spacing w:before="280" w:after="80"/>
        <w:ind w:left="0" w:firstLine="0"/>
        <w:rPr>
          <w:sz w:val="26"/>
          <w:szCs w:val="26"/>
        </w:rPr>
      </w:pPr>
      <w:r>
        <w:br w:type="page"/>
      </w:r>
    </w:p>
    <w:p w:rsidR="005B0E38" w:rsidRDefault="006F5F5B">
      <w:pPr>
        <w:pStyle w:val="berschrift1"/>
        <w:numPr>
          <w:ilvl w:val="0"/>
          <w:numId w:val="1"/>
        </w:numPr>
      </w:pPr>
      <w:bookmarkStart w:id="9" w:name="_x6uuaz9yoyfd" w:colFirst="0" w:colLast="0"/>
      <w:bookmarkEnd w:id="9"/>
      <w:r>
        <w:lastRenderedPageBreak/>
        <w:t>References</w:t>
      </w:r>
    </w:p>
    <w:p w:rsidR="005B0E38" w:rsidRDefault="006F5F5B">
      <w:pPr>
        <w:spacing w:before="240"/>
        <w:ind w:left="720" w:hanging="720"/>
      </w:pPr>
      <w:r>
        <w:t xml:space="preserve">Abraham, Alexandre, Fabian Pedregosa, Michael Eickenberg, Philippe Gervais, Andreas Mueller, Jean Kossaifi, Alexandre Gramfort, Bertrand Thirion, and Gael Varoquaux. 2014. “Machine Learning for Neuroimaging with Scikit-Learn.” </w:t>
      </w:r>
      <w:r>
        <w:rPr>
          <w:i/>
        </w:rPr>
        <w:t>Frontiers in Neuroinformatics</w:t>
      </w:r>
      <w:r>
        <w:t xml:space="preserve"> 8.</w:t>
      </w:r>
      <w:hyperlink r:id="rId18">
        <w:r>
          <w:t xml:space="preserve"> </w:t>
        </w:r>
      </w:hyperlink>
      <w:hyperlink r:id="rId19">
        <w:r>
          <w:rPr>
            <w:color w:val="1155CC"/>
            <w:u w:val="single"/>
          </w:rPr>
          <w:t>https://doi.org/10.3389/fninf.2014.00014</w:t>
        </w:r>
      </w:hyperlink>
      <w:r>
        <w:t>.</w:t>
      </w:r>
    </w:p>
    <w:p w:rsidR="005B0E38" w:rsidRDefault="006F5F5B">
      <w:pPr>
        <w:spacing w:before="240"/>
        <w:ind w:left="720" w:hanging="720"/>
      </w:pPr>
      <w:r>
        <w:t xml:space="preserve">Avants, B.B., C.L. Epstein, M. Grossman, and J.C. Gee. 2008. “Symmetric Diffeomorphic Image Registration with Cross-Correlation: Evaluating Automated Labeling of Elderly and Neurodegenerative Brain.” </w:t>
      </w:r>
      <w:r>
        <w:rPr>
          <w:i/>
        </w:rPr>
        <w:t>Medical Image Analysis</w:t>
      </w:r>
      <w:r>
        <w:t xml:space="preserve"> 12 (1): 26–41.</w:t>
      </w:r>
      <w:hyperlink r:id="rId20">
        <w:r>
          <w:t xml:space="preserve"> </w:t>
        </w:r>
      </w:hyperlink>
      <w:hyperlink r:id="rId21">
        <w:r>
          <w:rPr>
            <w:color w:val="1155CC"/>
            <w:u w:val="single"/>
          </w:rPr>
          <w:t>https://doi.org/10.1016/j.media.2007.06.004</w:t>
        </w:r>
      </w:hyperlink>
      <w:r>
        <w:t>.</w:t>
      </w:r>
    </w:p>
    <w:p w:rsidR="005B0E38" w:rsidRDefault="006F5F5B">
      <w:pPr>
        <w:spacing w:before="240"/>
        <w:ind w:left="720" w:hanging="720"/>
      </w:pPr>
      <w:r>
        <w:t xml:space="preserve">Behzadi, Yashar, Khaled Restom, Joy Liau, and Thomas T. Liu. 2007. “A Component Based Noise Correction Method (CompCor) for BOLD and Perfusion Based fMRI.” </w:t>
      </w:r>
      <w:r>
        <w:rPr>
          <w:i/>
        </w:rPr>
        <w:t>NeuroImage</w:t>
      </w:r>
      <w:r>
        <w:t xml:space="preserve"> 37 (1): 90–101.</w:t>
      </w:r>
      <w:hyperlink r:id="rId22">
        <w:r>
          <w:t xml:space="preserve"> </w:t>
        </w:r>
      </w:hyperlink>
      <w:hyperlink r:id="rId23">
        <w:r>
          <w:rPr>
            <w:color w:val="1155CC"/>
            <w:u w:val="single"/>
          </w:rPr>
          <w:t>https://doi.org/10.1016/j.neuroimage.2007.04.042</w:t>
        </w:r>
      </w:hyperlink>
      <w:r>
        <w:t>.</w:t>
      </w:r>
    </w:p>
    <w:p w:rsidR="005B0E38" w:rsidRDefault="006F5F5B">
      <w:pPr>
        <w:spacing w:before="240"/>
        <w:ind w:left="720" w:hanging="720"/>
      </w:pPr>
      <w:r>
        <w:t xml:space="preserve">Cox, Robert W., and James S. Hyde. 1997. “Software Tools for Analysis and Visualization of fMRI Data.” </w:t>
      </w:r>
      <w:r>
        <w:rPr>
          <w:i/>
        </w:rPr>
        <w:t>NMR in Biomedicine</w:t>
      </w:r>
      <w:r>
        <w:t xml:space="preserve"> 10 (4-5): 171–78.</w:t>
      </w:r>
      <w:hyperlink r:id="rId24">
        <w:r>
          <w:t xml:space="preserve"> </w:t>
        </w:r>
      </w:hyperlink>
      <w:hyperlink r:id="rId25">
        <w:r>
          <w:rPr>
            <w:color w:val="1155CC"/>
            <w:u w:val="single"/>
          </w:rPr>
          <w:t>https://doi.org/10.1002/(SICI)1099-1492(199706/08)10:4/5</w:t>
        </w:r>
      </w:hyperlink>
      <w:hyperlink r:id="rId26">
        <w:r>
          <w:rPr>
            <w:color w:val="1155CC"/>
            <w:u w:val="single"/>
          </w:rPr>
          <w:t>&lt;171::AID-NBM453&gt;3.0.CO;2-L</w:t>
        </w:r>
      </w:hyperlink>
      <w:r>
        <w:t>.</w:t>
      </w:r>
    </w:p>
    <w:p w:rsidR="005B0E38" w:rsidRDefault="006F5F5B">
      <w:pPr>
        <w:spacing w:before="240"/>
        <w:ind w:left="720" w:hanging="720"/>
      </w:pPr>
      <w:r>
        <w:t xml:space="preserve">Dale, Anders M., Bruce Fischl, and Martin I. Sereno. 1999. “Cortical Surface-Based Analysis: I. Segmentation and Surface Reconstruction.” </w:t>
      </w:r>
      <w:r>
        <w:rPr>
          <w:i/>
        </w:rPr>
        <w:t>NeuroImage</w:t>
      </w:r>
      <w:r>
        <w:t xml:space="preserve"> 9 (2): 179–94.</w:t>
      </w:r>
      <w:hyperlink r:id="rId27">
        <w:r>
          <w:t xml:space="preserve"> </w:t>
        </w:r>
      </w:hyperlink>
      <w:hyperlink r:id="rId28">
        <w:r>
          <w:rPr>
            <w:color w:val="1155CC"/>
            <w:u w:val="single"/>
          </w:rPr>
          <w:t>https://doi.org/10.1006/nimg.1998.0395</w:t>
        </w:r>
      </w:hyperlink>
      <w:r>
        <w:t>.</w:t>
      </w:r>
    </w:p>
    <w:p w:rsidR="005B0E38" w:rsidRDefault="006F5F5B">
      <w:pPr>
        <w:spacing w:before="240"/>
        <w:ind w:left="720" w:hanging="720"/>
      </w:pPr>
      <w:r>
        <w:t xml:space="preserve">Esteban, Oscar, Ross Blair, Christopher J. Markiewicz, Shoshana L. Berleant, Craig Moodie, Feilong Ma, Ayse Ilkay Isik, et al. 2018. “FMRIPrep.” </w:t>
      </w:r>
      <w:r>
        <w:rPr>
          <w:i/>
        </w:rPr>
        <w:t>Software</w:t>
      </w:r>
      <w:r>
        <w:t>. Zenodo.</w:t>
      </w:r>
      <w:hyperlink r:id="rId29">
        <w:r>
          <w:t xml:space="preserve"> </w:t>
        </w:r>
      </w:hyperlink>
      <w:hyperlink r:id="rId30">
        <w:r>
          <w:rPr>
            <w:color w:val="1155CC"/>
            <w:u w:val="single"/>
          </w:rPr>
          <w:t>https://doi.org/10.5281/zenodo.852659</w:t>
        </w:r>
      </w:hyperlink>
      <w:r>
        <w:t>.</w:t>
      </w:r>
    </w:p>
    <w:p w:rsidR="005B0E38" w:rsidRDefault="006F5F5B">
      <w:pPr>
        <w:spacing w:before="240"/>
        <w:ind w:left="720" w:hanging="720"/>
      </w:pPr>
      <w:r>
        <w:lastRenderedPageBreak/>
        <w:t xml:space="preserve">Esteban, Oscar, Christopher Markiewicz, Ross W Blair, Craig Moodie, Ayse Ilkay Isik, Asier Erramuzpe Aliaga, James Kent, et al. 2018. “fMRIPrep: A Robust Preprocessing Pipeline for Functional MRI.” </w:t>
      </w:r>
      <w:r>
        <w:rPr>
          <w:i/>
        </w:rPr>
        <w:t>Nature Methods</w:t>
      </w:r>
      <w:r>
        <w:t>.</w:t>
      </w:r>
      <w:hyperlink r:id="rId31">
        <w:r>
          <w:t xml:space="preserve"> </w:t>
        </w:r>
      </w:hyperlink>
      <w:hyperlink r:id="rId32">
        <w:r>
          <w:rPr>
            <w:color w:val="1155CC"/>
            <w:u w:val="single"/>
          </w:rPr>
          <w:t>https://doi.org/10.1038/s41592-018-0235-4</w:t>
        </w:r>
      </w:hyperlink>
      <w:r>
        <w:t>.</w:t>
      </w:r>
    </w:p>
    <w:p w:rsidR="005B0E38" w:rsidRDefault="006F5F5B">
      <w:pPr>
        <w:spacing w:before="240"/>
        <w:ind w:left="720" w:hanging="720"/>
      </w:pPr>
      <w:r>
        <w:t xml:space="preserve">Fonov, VS, AC Evans, RC McKinstry, CR Almli, and DL Collins. 2009. “Unbiased Nonlinear Average Age-Appropriate Brain Templates from Birth to Adulthood.” </w:t>
      </w:r>
      <w:r>
        <w:rPr>
          <w:i/>
        </w:rPr>
        <w:t>NeuroImage</w:t>
      </w:r>
      <w:r>
        <w:t xml:space="preserve"> 47, Supplement 1: S102.</w:t>
      </w:r>
      <w:hyperlink r:id="rId33">
        <w:r>
          <w:t xml:space="preserve"> </w:t>
        </w:r>
      </w:hyperlink>
      <w:hyperlink r:id="rId34">
        <w:r>
          <w:rPr>
            <w:color w:val="1155CC"/>
            <w:u w:val="single"/>
          </w:rPr>
          <w:t>https://doi.org/10.1016/S1053-8119(09)70884-5</w:t>
        </w:r>
      </w:hyperlink>
      <w:r>
        <w:t>.</w:t>
      </w:r>
    </w:p>
    <w:p w:rsidR="005B0E38" w:rsidRDefault="006F5F5B">
      <w:pPr>
        <w:spacing w:before="240"/>
        <w:ind w:left="720" w:hanging="720"/>
      </w:pPr>
      <w:r>
        <w:t xml:space="preserve">Glasser, Matthew F., Stamatios N. Sotiropoulos, J. Anthony Wilson, Timothy S. Coalson, Bruce Fischl, Jesper L. Andersson, Junqian Xu, et al. 2013. “The Minimal Preprocessing Pipelines for the Human Connectome Project.” </w:t>
      </w:r>
      <w:r>
        <w:rPr>
          <w:i/>
        </w:rPr>
        <w:t>NeuroImage</w:t>
      </w:r>
      <w:r>
        <w:t>, Mapping the connectome, 80: 105–24.</w:t>
      </w:r>
      <w:hyperlink r:id="rId35">
        <w:r>
          <w:t xml:space="preserve"> </w:t>
        </w:r>
      </w:hyperlink>
      <w:hyperlink r:id="rId36">
        <w:r>
          <w:rPr>
            <w:color w:val="1155CC"/>
            <w:u w:val="single"/>
          </w:rPr>
          <w:t>https://doi.org/10.1016/j.neuroimage.2013.04.127</w:t>
        </w:r>
      </w:hyperlink>
      <w:r>
        <w:t>.</w:t>
      </w:r>
    </w:p>
    <w:p w:rsidR="005B0E38" w:rsidRDefault="006F5F5B">
      <w:pPr>
        <w:spacing w:before="240"/>
        <w:ind w:left="720" w:hanging="720"/>
      </w:pPr>
      <w:r>
        <w:t xml:space="preserve">Gorgolewski, K., C. D. Burns, C. Madison, D. Clark, Y. O. Halchenko, M. L. Waskom, and S. Ghosh. 2011. “Nipype: A Flexible, Lightweight and Extensible Neuroimaging Data Processing Framework in Python.” </w:t>
      </w:r>
      <w:r>
        <w:rPr>
          <w:i/>
        </w:rPr>
        <w:t>Frontiers in Neuroinformatics</w:t>
      </w:r>
      <w:r>
        <w:t xml:space="preserve"> 5: 13.</w:t>
      </w:r>
      <w:hyperlink r:id="rId37">
        <w:r>
          <w:t xml:space="preserve"> </w:t>
        </w:r>
      </w:hyperlink>
      <w:hyperlink r:id="rId38">
        <w:r>
          <w:rPr>
            <w:color w:val="1155CC"/>
            <w:u w:val="single"/>
          </w:rPr>
          <w:t>https://doi.org/10.3389/fninf.2011.00013</w:t>
        </w:r>
      </w:hyperlink>
      <w:r>
        <w:t>.</w:t>
      </w:r>
    </w:p>
    <w:p w:rsidR="005B0E38" w:rsidRDefault="006F5F5B">
      <w:pPr>
        <w:spacing w:before="240"/>
        <w:ind w:left="720" w:hanging="720"/>
      </w:pPr>
      <w:r>
        <w:t xml:space="preserve">Gorgolewski, Krzysztof J., Oscar Esteban, Christopher J. Markiewicz, Erik Ziegler, David Gage Ellis, Michael Philipp Notter, Dorota Jarecka, et al. 2018. “Nipype.” </w:t>
      </w:r>
      <w:r>
        <w:rPr>
          <w:i/>
        </w:rPr>
        <w:t>Software</w:t>
      </w:r>
      <w:r>
        <w:t>. Zenodo.</w:t>
      </w:r>
      <w:hyperlink r:id="rId39">
        <w:r>
          <w:t xml:space="preserve"> </w:t>
        </w:r>
      </w:hyperlink>
      <w:hyperlink r:id="rId40">
        <w:r>
          <w:rPr>
            <w:color w:val="1155CC"/>
            <w:u w:val="single"/>
          </w:rPr>
          <w:t>https://doi.org/10.5281/zenodo.596855</w:t>
        </w:r>
      </w:hyperlink>
      <w:r>
        <w:t>.</w:t>
      </w:r>
    </w:p>
    <w:p w:rsidR="005B0E38" w:rsidRDefault="006F5F5B">
      <w:pPr>
        <w:spacing w:before="240"/>
        <w:ind w:left="720" w:hanging="720"/>
      </w:pPr>
      <w:r>
        <w:t xml:space="preserve">Greve, Douglas N, and Bruce Fischl. 2009. “Accurate and Robust Brain Image Alignment Using Boundary-Based Registration.” </w:t>
      </w:r>
      <w:r>
        <w:rPr>
          <w:i/>
        </w:rPr>
        <w:t>NeuroImage</w:t>
      </w:r>
      <w:r>
        <w:t xml:space="preserve"> 48 (1): 63–72.</w:t>
      </w:r>
      <w:hyperlink r:id="rId41">
        <w:r>
          <w:t xml:space="preserve"> </w:t>
        </w:r>
      </w:hyperlink>
      <w:hyperlink r:id="rId42">
        <w:r>
          <w:rPr>
            <w:color w:val="1155CC"/>
            <w:u w:val="single"/>
          </w:rPr>
          <w:t>https://doi.org/10.1016/j.neuroimage.2009.06.060</w:t>
        </w:r>
      </w:hyperlink>
      <w:r>
        <w:t>.</w:t>
      </w:r>
    </w:p>
    <w:p w:rsidR="005B0E38" w:rsidRDefault="006F5F5B">
      <w:pPr>
        <w:spacing w:before="240"/>
        <w:ind w:left="720" w:hanging="720"/>
      </w:pPr>
      <w:r>
        <w:lastRenderedPageBreak/>
        <w:t xml:space="preserve">Jenkinson, Mark, Peter Bannister, Michael Brady, and Stephen Smith. 2002. “Improved Optimization for the Robust and Accurate Linear Registration and Motion Correction of Brain Images.” </w:t>
      </w:r>
      <w:r>
        <w:rPr>
          <w:i/>
        </w:rPr>
        <w:t>NeuroImage</w:t>
      </w:r>
      <w:r>
        <w:t xml:space="preserve"> 17 (2): 825–41.</w:t>
      </w:r>
      <w:hyperlink r:id="rId43">
        <w:r>
          <w:t xml:space="preserve"> </w:t>
        </w:r>
      </w:hyperlink>
      <w:hyperlink r:id="rId44">
        <w:r>
          <w:rPr>
            <w:color w:val="1155CC"/>
            <w:u w:val="single"/>
          </w:rPr>
          <w:t>https://doi.org/10.1006/nimg.2002.1132</w:t>
        </w:r>
      </w:hyperlink>
      <w:r>
        <w:t>.</w:t>
      </w:r>
    </w:p>
    <w:p w:rsidR="005B0E38" w:rsidRDefault="006F5F5B">
      <w:pPr>
        <w:spacing w:before="240"/>
        <w:ind w:left="720" w:hanging="720"/>
      </w:pPr>
      <w:r>
        <w:t xml:space="preserve">Klein, Arno, Satrajit S. Ghosh, Forrest S. Bao, Joachim Giard, Yrjö Häme, Eliezer Stavsky, Noah Lee, et al. 2017. “Mindboggling Morphometry of Human Brains.” </w:t>
      </w:r>
      <w:r>
        <w:rPr>
          <w:i/>
        </w:rPr>
        <w:t>PLOS Computational Biology</w:t>
      </w:r>
      <w:r>
        <w:t xml:space="preserve"> 13 (2): e1005350.</w:t>
      </w:r>
      <w:hyperlink r:id="rId45">
        <w:r>
          <w:t xml:space="preserve"> </w:t>
        </w:r>
      </w:hyperlink>
      <w:hyperlink r:id="rId46">
        <w:r>
          <w:rPr>
            <w:color w:val="1155CC"/>
            <w:u w:val="single"/>
          </w:rPr>
          <w:t>https://doi.org/10.1371/journal.pcbi.1005350</w:t>
        </w:r>
      </w:hyperlink>
      <w:r>
        <w:t>.</w:t>
      </w:r>
    </w:p>
    <w:p w:rsidR="005B0E38" w:rsidRDefault="006F5F5B">
      <w:pPr>
        <w:spacing w:before="240"/>
        <w:ind w:left="720" w:hanging="720"/>
      </w:pPr>
      <w:r>
        <w:t xml:space="preserve">Lanczos, C. 1964. “Evaluation of Noisy Data.” </w:t>
      </w:r>
      <w:r>
        <w:rPr>
          <w:i/>
        </w:rPr>
        <w:t>Journal of the Society for Industrial and Applied Mathematics Series B Numerical Analysis</w:t>
      </w:r>
      <w:r>
        <w:t xml:space="preserve"> 1 (1): 76–85.</w:t>
      </w:r>
      <w:hyperlink r:id="rId47">
        <w:r>
          <w:t xml:space="preserve"> </w:t>
        </w:r>
      </w:hyperlink>
      <w:hyperlink r:id="rId48">
        <w:r>
          <w:rPr>
            <w:color w:val="1155CC"/>
            <w:u w:val="single"/>
          </w:rPr>
          <w:t>https://doi.org/10.1137/0701007</w:t>
        </w:r>
      </w:hyperlink>
      <w:r>
        <w:t>.</w:t>
      </w:r>
    </w:p>
    <w:p w:rsidR="005B0E38" w:rsidRDefault="006F5F5B">
      <w:pPr>
        <w:spacing w:before="240"/>
        <w:ind w:left="720" w:hanging="720"/>
      </w:pPr>
      <w:r>
        <w:t xml:space="preserve">Power, Jonathan D., Anish Mitra, Timothy O. Laumann, Abraham Z. Snyder, Bradley L. Schlaggar, and Steven E. Petersen. 2014. “Methods to Detect, Characterize, and Remove Motion Artifact in Resting State fMRI.” </w:t>
      </w:r>
      <w:r>
        <w:rPr>
          <w:i/>
        </w:rPr>
        <w:t>NeuroImage</w:t>
      </w:r>
      <w:r>
        <w:t xml:space="preserve"> 84 (Supplement C): 320–41.</w:t>
      </w:r>
      <w:hyperlink r:id="rId49">
        <w:r>
          <w:t xml:space="preserve"> </w:t>
        </w:r>
      </w:hyperlink>
      <w:hyperlink r:id="rId50">
        <w:r>
          <w:rPr>
            <w:color w:val="1155CC"/>
            <w:u w:val="single"/>
          </w:rPr>
          <w:t>https://doi.org/10.1016/j.neuroimage.2013.08.048</w:t>
        </w:r>
      </w:hyperlink>
      <w:r>
        <w:t>.</w:t>
      </w:r>
    </w:p>
    <w:p w:rsidR="005B0E38" w:rsidRDefault="006F5F5B">
      <w:pPr>
        <w:spacing w:before="240"/>
        <w:ind w:left="720" w:hanging="720"/>
      </w:pPr>
      <w:r>
        <w:t xml:space="preserve">Reuter, Martin, Herminia Diana Rosas, and Bruce Fischl. 2010. “Highly Accurate Inverse Consistent Registration: A Robust Approach.” </w:t>
      </w:r>
      <w:r>
        <w:rPr>
          <w:i/>
        </w:rPr>
        <w:t>NeuroImage</w:t>
      </w:r>
      <w:r>
        <w:t xml:space="preserve"> 53 (4): 1181–96.</w:t>
      </w:r>
      <w:hyperlink r:id="rId51">
        <w:r>
          <w:t xml:space="preserve"> </w:t>
        </w:r>
      </w:hyperlink>
      <w:hyperlink r:id="rId52">
        <w:r>
          <w:rPr>
            <w:color w:val="1155CC"/>
            <w:u w:val="single"/>
          </w:rPr>
          <w:t>https://doi.org/10.1016/j.neuroimage.2010.07.020</w:t>
        </w:r>
      </w:hyperlink>
      <w:r>
        <w:t>.</w:t>
      </w:r>
    </w:p>
    <w:p w:rsidR="005B0E38" w:rsidRDefault="006F5F5B">
      <w:pPr>
        <w:spacing w:before="240"/>
        <w:ind w:left="720" w:hanging="720"/>
      </w:pPr>
      <w:r>
        <w:t xml:space="preserve">Satterthwaite, Theodore D., Mark A. Elliott, Raphael T. Gerraty, Kosha Ruparel, James Loughead, Monica E. Calkins, Simon B. Eickhoff, et al. 2013. “An improved framework for confound regression and filtering for control of motion artifact in the preprocessing of resting-state functional connectivity data.” </w:t>
      </w:r>
      <w:r>
        <w:rPr>
          <w:i/>
        </w:rPr>
        <w:t>NeuroImage</w:t>
      </w:r>
      <w:r>
        <w:t xml:space="preserve"> 64 (1): 240–56.</w:t>
      </w:r>
      <w:hyperlink r:id="rId53">
        <w:r>
          <w:t xml:space="preserve"> </w:t>
        </w:r>
      </w:hyperlink>
      <w:hyperlink r:id="rId54">
        <w:r>
          <w:rPr>
            <w:color w:val="1155CC"/>
            <w:u w:val="single"/>
          </w:rPr>
          <w:t>https://doi.org/10.1016/j.neuroimage.2012.08.052</w:t>
        </w:r>
      </w:hyperlink>
      <w:r>
        <w:t>.</w:t>
      </w:r>
    </w:p>
    <w:p w:rsidR="005B0E38" w:rsidRDefault="006F5F5B">
      <w:pPr>
        <w:spacing w:before="240"/>
        <w:ind w:left="720" w:hanging="720"/>
      </w:pPr>
      <w:r>
        <w:lastRenderedPageBreak/>
        <w:t xml:space="preserve">Tustison, N. J., B. B. Avants, P. A. Cook, Y. Zheng, A. Egan, P. A. Yushkevich, and J. C. Gee. 2010. “N4ITK: Improved N3 Bias Correction.” </w:t>
      </w:r>
      <w:r>
        <w:rPr>
          <w:i/>
        </w:rPr>
        <w:t>IEEE Transactions on Medical Imaging</w:t>
      </w:r>
      <w:r>
        <w:t xml:space="preserve"> 29 (6): 1310–20.</w:t>
      </w:r>
      <w:hyperlink r:id="rId55">
        <w:r>
          <w:t xml:space="preserve"> </w:t>
        </w:r>
      </w:hyperlink>
      <w:hyperlink r:id="rId56">
        <w:r>
          <w:rPr>
            <w:color w:val="1155CC"/>
            <w:u w:val="single"/>
          </w:rPr>
          <w:t>https://doi.org/10.1109/TMI.2010.2046908</w:t>
        </w:r>
      </w:hyperlink>
      <w:r>
        <w:t>.</w:t>
      </w:r>
    </w:p>
    <w:p w:rsidR="005B0E38" w:rsidRDefault="006F5F5B">
      <w:pPr>
        <w:spacing w:before="240"/>
        <w:ind w:left="720" w:hanging="720"/>
      </w:pPr>
      <w:r>
        <w:t xml:space="preserve">Zhang, Y., M. Brady, and S. Smith. 2001. “Segmentation of Brain MR Images Through a Hidden Markov Random Field Model and the Expectation-Maximization Algorithm.” </w:t>
      </w:r>
      <w:r>
        <w:rPr>
          <w:i/>
        </w:rPr>
        <w:t>IEEE Transactions on Medical Imaging</w:t>
      </w:r>
      <w:r>
        <w:t xml:space="preserve"> 20 (1): 45–57.</w:t>
      </w:r>
      <w:hyperlink r:id="rId57">
        <w:r>
          <w:t xml:space="preserve"> </w:t>
        </w:r>
      </w:hyperlink>
      <w:hyperlink r:id="rId58">
        <w:r>
          <w:rPr>
            <w:color w:val="1155CC"/>
            <w:u w:val="single"/>
          </w:rPr>
          <w:t>https://doi.org/10.1109/42.906424</w:t>
        </w:r>
      </w:hyperlink>
      <w:r>
        <w:t>.</w:t>
      </w:r>
    </w:p>
    <w:p w:rsidR="005B0E38" w:rsidRDefault="005B0E38">
      <w:pPr>
        <w:ind w:left="992" w:firstLine="0"/>
      </w:pPr>
    </w:p>
    <w:p w:rsidR="005B0E38" w:rsidRDefault="005B0E38">
      <w:pPr>
        <w:widowControl w:val="0"/>
        <w:spacing w:after="120" w:line="276" w:lineRule="auto"/>
        <w:ind w:firstLine="0"/>
        <w:rPr>
          <w:color w:val="010205"/>
        </w:rPr>
      </w:pPr>
    </w:p>
    <w:p w:rsidR="005B0E38" w:rsidRDefault="005B0E38">
      <w:pPr>
        <w:widowControl w:val="0"/>
        <w:spacing w:after="120" w:line="276" w:lineRule="auto"/>
        <w:ind w:firstLine="0"/>
        <w:rPr>
          <w:color w:val="010205"/>
        </w:rPr>
      </w:pPr>
    </w:p>
    <w:p w:rsidR="005B0E38" w:rsidRDefault="005B0E38">
      <w:pPr>
        <w:widowControl w:val="0"/>
        <w:spacing w:after="120" w:line="276" w:lineRule="auto"/>
        <w:ind w:firstLine="0"/>
        <w:rPr>
          <w:color w:val="010205"/>
        </w:rPr>
      </w:pPr>
    </w:p>
    <w:p w:rsidR="005B0E38" w:rsidRDefault="005B0E38">
      <w:pPr>
        <w:ind w:firstLine="0"/>
      </w:pPr>
    </w:p>
    <w:p w:rsidR="005B0E38" w:rsidRDefault="005B0E38">
      <w:pPr>
        <w:ind w:firstLine="0"/>
      </w:pPr>
    </w:p>
    <w:sectPr w:rsidR="005B0E38">
      <w:headerReference w:type="default" r:id="rId59"/>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A6" w:rsidRDefault="009C38A6">
      <w:pPr>
        <w:spacing w:after="0" w:line="240" w:lineRule="auto"/>
      </w:pPr>
      <w:r>
        <w:separator/>
      </w:r>
    </w:p>
  </w:endnote>
  <w:endnote w:type="continuationSeparator" w:id="0">
    <w:p w:rsidR="009C38A6" w:rsidRDefault="009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A6" w:rsidRDefault="009C38A6">
      <w:pPr>
        <w:spacing w:after="0" w:line="240" w:lineRule="auto"/>
      </w:pPr>
      <w:r>
        <w:separator/>
      </w:r>
    </w:p>
  </w:footnote>
  <w:footnote w:type="continuationSeparator" w:id="0">
    <w:p w:rsidR="009C38A6" w:rsidRDefault="009C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F7" w:rsidRDefault="00EA0CF7">
    <w:pPr>
      <w:pBdr>
        <w:top w:val="nil"/>
        <w:left w:val="nil"/>
        <w:bottom w:val="nil"/>
        <w:right w:val="nil"/>
        <w:between w:val="nil"/>
      </w:pBdr>
      <w:tabs>
        <w:tab w:val="center" w:pos="4536"/>
        <w:tab w:val="right" w:pos="9072"/>
      </w:tabs>
      <w:spacing w:line="240" w:lineRule="auto"/>
      <w:ind w:firstLine="0"/>
      <w:rPr>
        <w:color w:val="000000"/>
        <w:sz w:val="22"/>
        <w:szCs w:val="22"/>
      </w:rPr>
    </w:pPr>
    <w:r>
      <w:rPr>
        <w:sz w:val="22"/>
        <w:szCs w:val="22"/>
      </w:rPr>
      <w:t>Amyg-EFP Neurofeedback in Borderline - Online Supplement</w:t>
    </w:r>
    <w:r>
      <w:rPr>
        <w:color w:val="000000"/>
        <w:sz w:val="22"/>
        <w:szCs w:val="22"/>
      </w:rPr>
      <w:tab/>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FB455E">
      <w:rPr>
        <w:noProof/>
        <w:color w:val="000000"/>
        <w:sz w:val="22"/>
        <w:szCs w:val="22"/>
      </w:rPr>
      <w:t>2</w:t>
    </w:r>
    <w:r>
      <w:rPr>
        <w:color w:val="000000"/>
        <w:sz w:val="22"/>
        <w:szCs w:val="22"/>
      </w:rPr>
      <w:fldChar w:fldCharType="end"/>
    </w:r>
  </w:p>
  <w:p w:rsidR="00EA0CF7" w:rsidRDefault="00EA0CF7">
    <w:pPr>
      <w:pBdr>
        <w:top w:val="nil"/>
        <w:left w:val="nil"/>
        <w:bottom w:val="nil"/>
        <w:right w:val="nil"/>
        <w:between w:val="nil"/>
      </w:pBdr>
      <w:tabs>
        <w:tab w:val="center" w:pos="4536"/>
        <w:tab w:val="right" w:pos="9072"/>
      </w:tabs>
      <w:spacing w:line="240"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85FBB"/>
    <w:multiLevelType w:val="multilevel"/>
    <w:tmpl w:val="ACAA67A6"/>
    <w:lvl w:ilvl="0">
      <w:start w:val="1"/>
      <w:numFmt w:val="decimal"/>
      <w:lvlText w:val="%1"/>
      <w:lvlJc w:val="left"/>
      <w:pPr>
        <w:ind w:left="992" w:hanging="992"/>
      </w:pPr>
      <w:rPr>
        <w:rFonts w:ascii="Times New Roman" w:eastAsia="Times New Roman" w:hAnsi="Times New Roman" w:cs="Times New Roman"/>
        <w:sz w:val="40"/>
        <w:szCs w:val="40"/>
      </w:rPr>
    </w:lvl>
    <w:lvl w:ilvl="1">
      <w:start w:val="1"/>
      <w:numFmt w:val="decimal"/>
      <w:lvlText w:val="%1.%2"/>
      <w:lvlJc w:val="left"/>
      <w:pPr>
        <w:ind w:left="992" w:hanging="992"/>
      </w:pPr>
      <w:rPr>
        <w:rFonts w:ascii="Times New Roman" w:eastAsia="Times New Roman" w:hAnsi="Times New Roman" w:cs="Times New Roman"/>
        <w:sz w:val="32"/>
        <w:szCs w:val="32"/>
      </w:rPr>
    </w:lvl>
    <w:lvl w:ilvl="2">
      <w:start w:val="1"/>
      <w:numFmt w:val="decimal"/>
      <w:lvlText w:val="%1.%2.%3"/>
      <w:lvlJc w:val="left"/>
      <w:pPr>
        <w:ind w:left="992" w:hanging="992"/>
      </w:pPr>
      <w:rPr>
        <w:rFonts w:ascii="Times New Roman" w:eastAsia="Times New Roman" w:hAnsi="Times New Roman" w:cs="Times New Roman"/>
        <w:sz w:val="24"/>
        <w:szCs w:val="24"/>
      </w:rPr>
    </w:lvl>
    <w:lvl w:ilvl="3">
      <w:start w:val="1"/>
      <w:numFmt w:val="decimal"/>
      <w:lvlText w:val=""/>
      <w:lvlJc w:val="left"/>
      <w:pPr>
        <w:ind w:left="992" w:hanging="992"/>
      </w:pPr>
    </w:lvl>
    <w:lvl w:ilvl="4">
      <w:start w:val="1"/>
      <w:numFmt w:val="lowerLetter"/>
      <w:lvlText w:val="(%5)"/>
      <w:lvlJc w:val="left"/>
      <w:pPr>
        <w:ind w:left="992" w:hanging="992"/>
      </w:pPr>
    </w:lvl>
    <w:lvl w:ilvl="5">
      <w:start w:val="1"/>
      <w:numFmt w:val="lowerRoman"/>
      <w:lvlText w:val="(%6)"/>
      <w:lvlJc w:val="left"/>
      <w:pPr>
        <w:ind w:left="992" w:hanging="992"/>
      </w:pPr>
    </w:lvl>
    <w:lvl w:ilvl="6">
      <w:start w:val="1"/>
      <w:numFmt w:val="decimal"/>
      <w:lvlText w:val="%7."/>
      <w:lvlJc w:val="left"/>
      <w:pPr>
        <w:ind w:left="992" w:hanging="992"/>
      </w:pPr>
    </w:lvl>
    <w:lvl w:ilvl="7">
      <w:start w:val="1"/>
      <w:numFmt w:val="lowerLetter"/>
      <w:lvlText w:val="%8."/>
      <w:lvlJc w:val="left"/>
      <w:pPr>
        <w:ind w:left="992" w:hanging="992"/>
      </w:pPr>
    </w:lvl>
    <w:lvl w:ilvl="8">
      <w:start w:val="1"/>
      <w:numFmt w:val="lowerRoman"/>
      <w:lvlText w:val="%9."/>
      <w:lvlJc w:val="left"/>
      <w:pPr>
        <w:ind w:left="992" w:hanging="99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38"/>
    <w:rsid w:val="000107C8"/>
    <w:rsid w:val="00015D9B"/>
    <w:rsid w:val="00147A26"/>
    <w:rsid w:val="002B047A"/>
    <w:rsid w:val="002D5E0B"/>
    <w:rsid w:val="00372807"/>
    <w:rsid w:val="003E7B43"/>
    <w:rsid w:val="0042460F"/>
    <w:rsid w:val="00450835"/>
    <w:rsid w:val="00451B01"/>
    <w:rsid w:val="004A2C57"/>
    <w:rsid w:val="00561402"/>
    <w:rsid w:val="005B0E38"/>
    <w:rsid w:val="005E4D89"/>
    <w:rsid w:val="006E5FBD"/>
    <w:rsid w:val="006F5F5B"/>
    <w:rsid w:val="008609EB"/>
    <w:rsid w:val="00916A16"/>
    <w:rsid w:val="0096376C"/>
    <w:rsid w:val="009725D2"/>
    <w:rsid w:val="009C38A6"/>
    <w:rsid w:val="00A1749B"/>
    <w:rsid w:val="00A7532C"/>
    <w:rsid w:val="00AC0A5D"/>
    <w:rsid w:val="00AE7187"/>
    <w:rsid w:val="00B15BF3"/>
    <w:rsid w:val="00BC60C6"/>
    <w:rsid w:val="00C56934"/>
    <w:rsid w:val="00C74803"/>
    <w:rsid w:val="00D40ECC"/>
    <w:rsid w:val="00D512EE"/>
    <w:rsid w:val="00D96F98"/>
    <w:rsid w:val="00EA0CF7"/>
    <w:rsid w:val="00FB455E"/>
    <w:rsid w:val="00FF7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9B23"/>
  <w15:docId w15:val="{CDF55A7E-670B-427A-A13A-E5E4A4D7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de-DE" w:bidi="ar-SA"/>
      </w:rPr>
    </w:rPrDefault>
    <w:pPrDefault>
      <w:pPr>
        <w:spacing w:after="240" w:line="48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1200"/>
      <w:ind w:left="992" w:hanging="992"/>
      <w:outlineLvl w:val="0"/>
    </w:pPr>
    <w:rPr>
      <w:b/>
      <w:sz w:val="40"/>
      <w:szCs w:val="40"/>
    </w:rPr>
  </w:style>
  <w:style w:type="paragraph" w:styleId="berschrift2">
    <w:name w:val="heading 2"/>
    <w:basedOn w:val="Standard"/>
    <w:next w:val="Standard"/>
    <w:pPr>
      <w:keepNext/>
      <w:keepLines/>
      <w:ind w:left="992" w:hanging="992"/>
      <w:outlineLvl w:val="1"/>
    </w:pPr>
    <w:rPr>
      <w:b/>
      <w:sz w:val="32"/>
      <w:szCs w:val="32"/>
    </w:rPr>
  </w:style>
  <w:style w:type="paragraph" w:styleId="berschrift3">
    <w:name w:val="heading 3"/>
    <w:basedOn w:val="Standard"/>
    <w:next w:val="Standard"/>
    <w:pPr>
      <w:keepNext/>
      <w:keepLines/>
      <w:spacing w:before="360"/>
      <w:ind w:left="992" w:hanging="992"/>
      <w:outlineLvl w:val="2"/>
    </w:pPr>
    <w:rPr>
      <w:b/>
    </w:rPr>
  </w:style>
  <w:style w:type="paragraph" w:styleId="berschrift4">
    <w:name w:val="heading 4"/>
    <w:basedOn w:val="Standard"/>
    <w:next w:val="Standard"/>
    <w:pPr>
      <w:keepNext/>
      <w:keepLines/>
      <w:spacing w:before="200"/>
      <w:ind w:left="992" w:hanging="992"/>
      <w:outlineLvl w:val="3"/>
    </w:pPr>
    <w:rPr>
      <w:b/>
    </w:rPr>
  </w:style>
  <w:style w:type="paragraph" w:styleId="berschrift5">
    <w:name w:val="heading 5"/>
    <w:basedOn w:val="Standard"/>
    <w:next w:val="Standard"/>
    <w:pPr>
      <w:keepNext/>
      <w:keepLines/>
      <w:spacing w:before="40" w:after="0"/>
      <w:outlineLvl w:val="4"/>
    </w:pPr>
    <w:rPr>
      <w:rFonts w:ascii="Cambria" w:eastAsia="Cambria" w:hAnsi="Cambria" w:cs="Cambria"/>
      <w:color w:val="366091"/>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bottom w:val="single" w:sz="8" w:space="4" w:color="4F81BD"/>
      </w:pBdr>
      <w:spacing w:after="300" w:line="240" w:lineRule="auto"/>
    </w:pPr>
    <w:rPr>
      <w:rFonts w:ascii="Cambria" w:eastAsia="Cambria" w:hAnsi="Cambria" w:cs="Cambria"/>
      <w:color w:val="17365D"/>
      <w:sz w:val="52"/>
      <w:szCs w:val="52"/>
    </w:rPr>
  </w:style>
  <w:style w:type="paragraph" w:styleId="Untertitel">
    <w:name w:val="Subtitle"/>
    <w:basedOn w:val="Standard"/>
    <w:next w:val="Standard"/>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9449">
      <w:bodyDiv w:val="1"/>
      <w:marLeft w:val="0"/>
      <w:marRight w:val="0"/>
      <w:marTop w:val="0"/>
      <w:marBottom w:val="0"/>
      <w:divBdr>
        <w:top w:val="none" w:sz="0" w:space="0" w:color="auto"/>
        <w:left w:val="none" w:sz="0" w:space="0" w:color="auto"/>
        <w:bottom w:val="none" w:sz="0" w:space="0" w:color="auto"/>
        <w:right w:val="none" w:sz="0" w:space="0" w:color="auto"/>
      </w:divBdr>
    </w:div>
    <w:div w:id="1856504968">
      <w:bodyDiv w:val="1"/>
      <w:marLeft w:val="0"/>
      <w:marRight w:val="0"/>
      <w:marTop w:val="0"/>
      <w:marBottom w:val="0"/>
      <w:divBdr>
        <w:top w:val="none" w:sz="0" w:space="0" w:color="auto"/>
        <w:left w:val="none" w:sz="0" w:space="0" w:color="auto"/>
        <w:bottom w:val="none" w:sz="0" w:space="0" w:color="auto"/>
        <w:right w:val="none" w:sz="0" w:space="0" w:color="auto"/>
      </w:divBdr>
    </w:div>
    <w:div w:id="210595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3389/fninf.2014.00014" TargetMode="External"/><Relationship Id="rId26" Type="http://schemas.openxmlformats.org/officeDocument/2006/relationships/hyperlink" Target="https://doi.org/10.1002/(SICI)1099-1492(199706/08)10:4/5%3C171::AID-NBM453%3E3.0.CO;2-L" TargetMode="External"/><Relationship Id="rId39" Type="http://schemas.openxmlformats.org/officeDocument/2006/relationships/hyperlink" Target="https://doi.org/10.5281/zenodo.596855" TargetMode="External"/><Relationship Id="rId21" Type="http://schemas.openxmlformats.org/officeDocument/2006/relationships/hyperlink" Target="https://doi.org/10.1016/j.media.2007.06.004" TargetMode="External"/><Relationship Id="rId34" Type="http://schemas.openxmlformats.org/officeDocument/2006/relationships/hyperlink" Target="https://doi.org/10.1016/S1053-8119(09)70884-5" TargetMode="External"/><Relationship Id="rId42" Type="http://schemas.openxmlformats.org/officeDocument/2006/relationships/hyperlink" Target="https://doi.org/10.1016/j.neuroimage.2009.06.060" TargetMode="External"/><Relationship Id="rId47" Type="http://schemas.openxmlformats.org/officeDocument/2006/relationships/hyperlink" Target="https://doi.org/10.1137/0701007" TargetMode="External"/><Relationship Id="rId50" Type="http://schemas.openxmlformats.org/officeDocument/2006/relationships/hyperlink" Target="https://doi.org/10.1016/j.neuroimage.2013.08.048" TargetMode="External"/><Relationship Id="rId55" Type="http://schemas.openxmlformats.org/officeDocument/2006/relationships/hyperlink" Target="https://doi.org/10.1109/TMI.2010.2046908" TargetMode="External"/><Relationship Id="rId7" Type="http://schemas.openxmlformats.org/officeDocument/2006/relationships/hyperlink" Target="http://www.nmr.mgh.harvard.edu/~greve/fbirn/b0/epidewarp.fs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doi.org/10.1016/j.media.2007.06.004" TargetMode="External"/><Relationship Id="rId29" Type="http://schemas.openxmlformats.org/officeDocument/2006/relationships/hyperlink" Target="https://doi.org/10.5281/zenodo.852659" TargetMode="External"/><Relationship Id="rId41" Type="http://schemas.openxmlformats.org/officeDocument/2006/relationships/hyperlink" Target="https://doi.org/10.1016/j.neuroimage.2009.06.060" TargetMode="External"/><Relationship Id="rId54" Type="http://schemas.openxmlformats.org/officeDocument/2006/relationships/hyperlink" Target="https://doi.org/10.1016/j.neuroimage.2012.08.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publicdomain/zero/1.0/" TargetMode="External"/><Relationship Id="rId24" Type="http://schemas.openxmlformats.org/officeDocument/2006/relationships/hyperlink" Target="https://doi.org/10.1002/(SICI)1099-1492(199706/08)10:4/5%3C171::AID-NBM453%3E3.0.CO;2-L" TargetMode="External"/><Relationship Id="rId32" Type="http://schemas.openxmlformats.org/officeDocument/2006/relationships/hyperlink" Target="https://doi.org/10.1038/s41592-018-0235-4" TargetMode="External"/><Relationship Id="rId37" Type="http://schemas.openxmlformats.org/officeDocument/2006/relationships/hyperlink" Target="https://doi.org/10.3389/fninf.2011.00013" TargetMode="External"/><Relationship Id="rId40" Type="http://schemas.openxmlformats.org/officeDocument/2006/relationships/hyperlink" Target="https://doi.org/10.5281/zenodo.596855" TargetMode="External"/><Relationship Id="rId45" Type="http://schemas.openxmlformats.org/officeDocument/2006/relationships/hyperlink" Target="https://doi.org/10.1371/journal.pcbi.1005350" TargetMode="External"/><Relationship Id="rId53" Type="http://schemas.openxmlformats.org/officeDocument/2006/relationships/hyperlink" Target="https://doi.org/10.1016/j.neuroimage.2012.08.052" TargetMode="External"/><Relationship Id="rId58" Type="http://schemas.openxmlformats.org/officeDocument/2006/relationships/hyperlink" Target="https://doi.org/10.1109/42.906424"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1016/j.neuroimage.2007.04.042" TargetMode="External"/><Relationship Id="rId28" Type="http://schemas.openxmlformats.org/officeDocument/2006/relationships/hyperlink" Target="https://doi.org/10.1006/nimg.1998.0395" TargetMode="External"/><Relationship Id="rId36" Type="http://schemas.openxmlformats.org/officeDocument/2006/relationships/hyperlink" Target="https://doi.org/10.1016/j.neuroimage.2013.04.127" TargetMode="External"/><Relationship Id="rId49" Type="http://schemas.openxmlformats.org/officeDocument/2006/relationships/hyperlink" Target="https://doi.org/10.1016/j.neuroimage.2013.08.048" TargetMode="External"/><Relationship Id="rId57" Type="http://schemas.openxmlformats.org/officeDocument/2006/relationships/hyperlink" Target="https://doi.org/10.1109/42.906424" TargetMode="External"/><Relationship Id="rId61" Type="http://schemas.openxmlformats.org/officeDocument/2006/relationships/theme" Target="theme/theme1.xml"/><Relationship Id="rId10" Type="http://schemas.openxmlformats.org/officeDocument/2006/relationships/hyperlink" Target="https://fmriprep.readthedocs.io/en/latest/workflows.html" TargetMode="External"/><Relationship Id="rId19" Type="http://schemas.openxmlformats.org/officeDocument/2006/relationships/hyperlink" Target="https://doi.org/10.3389/fninf.2014.00014" TargetMode="External"/><Relationship Id="rId31" Type="http://schemas.openxmlformats.org/officeDocument/2006/relationships/hyperlink" Target="https://doi.org/10.1038/s41592-018-0235-4" TargetMode="External"/><Relationship Id="rId44" Type="http://schemas.openxmlformats.org/officeDocument/2006/relationships/hyperlink" Target="https://doi.org/10.1006/nimg.2002.1132" TargetMode="External"/><Relationship Id="rId52" Type="http://schemas.openxmlformats.org/officeDocument/2006/relationships/hyperlink" Target="https://doi.org/10.1016/j.neuroimage.2010.07.02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mriprep.readthedocs.io/en/latest/workflows.html" TargetMode="External"/><Relationship Id="rId14" Type="http://schemas.openxmlformats.org/officeDocument/2006/relationships/image" Target="media/image3.png"/><Relationship Id="rId22" Type="http://schemas.openxmlformats.org/officeDocument/2006/relationships/hyperlink" Target="https://doi.org/10.1016/j.neuroimage.2007.04.042" TargetMode="External"/><Relationship Id="rId27" Type="http://schemas.openxmlformats.org/officeDocument/2006/relationships/hyperlink" Target="https://doi.org/10.1006/nimg.1998.0395" TargetMode="External"/><Relationship Id="rId30" Type="http://schemas.openxmlformats.org/officeDocument/2006/relationships/hyperlink" Target="https://doi.org/10.5281/zenodo.852659" TargetMode="External"/><Relationship Id="rId35" Type="http://schemas.openxmlformats.org/officeDocument/2006/relationships/hyperlink" Target="https://doi.org/10.1016/j.neuroimage.2013.04.127" TargetMode="External"/><Relationship Id="rId43" Type="http://schemas.openxmlformats.org/officeDocument/2006/relationships/hyperlink" Target="https://doi.org/10.1006/nimg.2002.1132" TargetMode="External"/><Relationship Id="rId48" Type="http://schemas.openxmlformats.org/officeDocument/2006/relationships/hyperlink" Target="https://doi.org/10.1137/0701007" TargetMode="External"/><Relationship Id="rId56" Type="http://schemas.openxmlformats.org/officeDocument/2006/relationships/hyperlink" Target="https://doi.org/10.1109/TMI.2010.2046908" TargetMode="External"/><Relationship Id="rId8" Type="http://schemas.openxmlformats.org/officeDocument/2006/relationships/hyperlink" Target="https://fmriprep.readthedocs.io/en/latest/workflows.html" TargetMode="External"/><Relationship Id="rId51" Type="http://schemas.openxmlformats.org/officeDocument/2006/relationships/hyperlink" Target="https://doi.org/10.1016/j.neuroimage.2010.07.020"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doi.org/10.1002/(SICI)1099-1492(199706/08)10:4/5" TargetMode="External"/><Relationship Id="rId33" Type="http://schemas.openxmlformats.org/officeDocument/2006/relationships/hyperlink" Target="https://doi.org/10.1016/S1053-8119(09)70884-5" TargetMode="External"/><Relationship Id="rId38" Type="http://schemas.openxmlformats.org/officeDocument/2006/relationships/hyperlink" Target="https://doi.org/10.3389/fninf.2011.00013" TargetMode="External"/><Relationship Id="rId46" Type="http://schemas.openxmlformats.org/officeDocument/2006/relationships/hyperlink" Target="https://doi.org/10.1371/journal.pcbi.1005350"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3654</Words>
  <Characters>23024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Paret,  Christian</dc:creator>
  <cp:lastModifiedBy>Paret,  Christian</cp:lastModifiedBy>
  <cp:revision>2</cp:revision>
  <cp:lastPrinted>2023-03-28T15:21:00Z</cp:lastPrinted>
  <dcterms:created xsi:type="dcterms:W3CDTF">2023-10-25T05:29:00Z</dcterms:created>
  <dcterms:modified xsi:type="dcterms:W3CDTF">2023-10-25T05:29:00Z</dcterms:modified>
</cp:coreProperties>
</file>