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B275" w14:textId="7611E3A9" w:rsidR="00961BC6" w:rsidRPr="0049219A" w:rsidRDefault="00961BC6" w:rsidP="00052E8E">
      <w:pPr>
        <w:spacing w:line="480" w:lineRule="auto"/>
        <w:jc w:val="right"/>
        <w:rPr>
          <w:rFonts w:ascii="Times New Roman" w:eastAsia="Times New Roman" w:hAnsi="Times New Roman" w:cs="Times New Roman"/>
          <w:bCs/>
          <w:i/>
          <w:iCs/>
          <w:color w:val="000000" w:themeColor="text1"/>
          <w:sz w:val="20"/>
          <w:szCs w:val="20"/>
        </w:rPr>
      </w:pPr>
      <w:r w:rsidRPr="0049219A">
        <w:rPr>
          <w:rFonts w:ascii="Times New Roman" w:eastAsia="Times New Roman" w:hAnsi="Times New Roman" w:cs="Times New Roman"/>
          <w:bCs/>
          <w:i/>
          <w:iCs/>
          <w:color w:val="000000" w:themeColor="text1"/>
          <w:sz w:val="20"/>
          <w:szCs w:val="20"/>
        </w:rPr>
        <w:t xml:space="preserve">Lamontagne et al – Clinical, behavioral, and electrophysiological profiles along a continuum </w:t>
      </w:r>
    </w:p>
    <w:p w14:paraId="0715C0B0" w14:textId="78B798E6" w:rsidR="00961BC6" w:rsidRPr="0049219A" w:rsidRDefault="00961BC6" w:rsidP="00052E8E">
      <w:pPr>
        <w:spacing w:line="480" w:lineRule="auto"/>
        <w:jc w:val="right"/>
        <w:rPr>
          <w:rFonts w:ascii="Times New Roman" w:eastAsia="Times New Roman" w:hAnsi="Times New Roman" w:cs="Times New Roman"/>
          <w:bCs/>
          <w:i/>
          <w:iCs/>
          <w:color w:val="000000" w:themeColor="text1"/>
          <w:sz w:val="20"/>
          <w:szCs w:val="20"/>
        </w:rPr>
      </w:pPr>
      <w:r w:rsidRPr="0049219A">
        <w:rPr>
          <w:rFonts w:ascii="Times New Roman" w:eastAsia="Times New Roman" w:hAnsi="Times New Roman" w:cs="Times New Roman"/>
          <w:bCs/>
          <w:i/>
          <w:iCs/>
          <w:color w:val="000000" w:themeColor="text1"/>
          <w:sz w:val="20"/>
          <w:szCs w:val="20"/>
        </w:rPr>
        <w:t>of suicide risk: Evidence from an implicit association task</w:t>
      </w:r>
    </w:p>
    <w:p w14:paraId="3B403351" w14:textId="77777777" w:rsidR="00961BC6" w:rsidRPr="0049219A" w:rsidRDefault="00961BC6" w:rsidP="00052E8E">
      <w:pPr>
        <w:widowControl w:val="0"/>
        <w:spacing w:line="480" w:lineRule="auto"/>
        <w:jc w:val="center"/>
        <w:rPr>
          <w:rFonts w:ascii="Times New Roman" w:hAnsi="Times New Roman" w:cs="Times New Roman"/>
          <w:bCs/>
          <w:iCs/>
          <w:color w:val="000000" w:themeColor="text1"/>
        </w:rPr>
      </w:pPr>
    </w:p>
    <w:p w14:paraId="06E41134" w14:textId="28FD7E7F" w:rsidR="00E44FF9" w:rsidRPr="0049219A" w:rsidRDefault="00332527" w:rsidP="00052E8E">
      <w:pPr>
        <w:widowControl w:val="0"/>
        <w:spacing w:line="480" w:lineRule="auto"/>
        <w:rPr>
          <w:rFonts w:ascii="Times New Roman" w:hAnsi="Times New Roman" w:cs="Times New Roman"/>
          <w:b/>
          <w:bCs/>
          <w:iCs/>
          <w:color w:val="000000" w:themeColor="text1"/>
        </w:rPr>
      </w:pPr>
      <w:r w:rsidRPr="0049219A">
        <w:rPr>
          <w:rFonts w:ascii="Times New Roman" w:hAnsi="Times New Roman" w:cs="Times New Roman"/>
          <w:b/>
          <w:bCs/>
          <w:iCs/>
          <w:color w:val="000000" w:themeColor="text1"/>
        </w:rPr>
        <w:t>SUPPLEMENT</w:t>
      </w:r>
    </w:p>
    <w:p w14:paraId="0A88C03F" w14:textId="6CF02572" w:rsidR="00332527" w:rsidRPr="0049219A" w:rsidRDefault="00332527" w:rsidP="00052E8E">
      <w:pPr>
        <w:spacing w:line="480" w:lineRule="auto"/>
        <w:rPr>
          <w:rFonts w:ascii="Times New Roman" w:hAnsi="Times New Roman" w:cs="Times New Roman"/>
          <w:b/>
          <w:bCs/>
          <w:color w:val="000000" w:themeColor="text1"/>
        </w:rPr>
      </w:pPr>
      <w:r w:rsidRPr="0049219A">
        <w:rPr>
          <w:rFonts w:ascii="Times New Roman" w:hAnsi="Times New Roman" w:cs="Times New Roman"/>
          <w:b/>
          <w:bCs/>
          <w:color w:val="000000" w:themeColor="text1"/>
        </w:rPr>
        <w:t>Supplemental Methods</w:t>
      </w:r>
    </w:p>
    <w:p w14:paraId="2F362EAA" w14:textId="24BEF749" w:rsidR="008717FE" w:rsidRPr="0049219A" w:rsidRDefault="008717FE" w:rsidP="00052E8E">
      <w:pPr>
        <w:widowControl w:val="0"/>
        <w:spacing w:line="480" w:lineRule="auto"/>
        <w:rPr>
          <w:rFonts w:ascii="Times New Roman" w:hAnsi="Times New Roman" w:cs="Times New Roman"/>
          <w:i/>
          <w:color w:val="000000" w:themeColor="text1"/>
        </w:rPr>
      </w:pPr>
      <w:r w:rsidRPr="0049219A">
        <w:rPr>
          <w:rFonts w:ascii="Times New Roman" w:hAnsi="Times New Roman" w:cs="Times New Roman"/>
          <w:i/>
          <w:color w:val="000000" w:themeColor="text1"/>
        </w:rPr>
        <w:t>Inclusion/Exclusion Criteria</w:t>
      </w:r>
    </w:p>
    <w:p w14:paraId="0D32F10A" w14:textId="2FE7C024" w:rsidR="008717FE" w:rsidRPr="0049219A" w:rsidRDefault="008C3DD8" w:rsidP="00052E8E">
      <w:pPr>
        <w:spacing w:line="480" w:lineRule="auto"/>
        <w:ind w:firstLine="720"/>
        <w:rPr>
          <w:rFonts w:ascii="Times New Roman" w:hAnsi="Times New Roman" w:cs="Times New Roman"/>
          <w:color w:val="000000" w:themeColor="text1"/>
        </w:rPr>
      </w:pPr>
      <w:r w:rsidRPr="0049219A">
        <w:rPr>
          <w:rFonts w:ascii="Times New Roman" w:hAnsi="Times New Roman" w:cs="Times New Roman"/>
          <w:iCs/>
          <w:color w:val="000000" w:themeColor="text1"/>
        </w:rPr>
        <w:t>While participants were recruited on the basis of suicide risk, a</w:t>
      </w:r>
      <w:r w:rsidR="008717FE" w:rsidRPr="0049219A">
        <w:rPr>
          <w:rFonts w:ascii="Times New Roman" w:hAnsi="Times New Roman" w:cs="Times New Roman"/>
          <w:iCs/>
          <w:color w:val="000000" w:themeColor="text1"/>
        </w:rPr>
        <w:t xml:space="preserve">ll participants in the current study were </w:t>
      </w:r>
      <w:r w:rsidRPr="0049219A">
        <w:rPr>
          <w:rFonts w:ascii="Times New Roman" w:hAnsi="Times New Roman" w:cs="Times New Roman"/>
          <w:iCs/>
          <w:color w:val="000000" w:themeColor="text1"/>
        </w:rPr>
        <w:t xml:space="preserve">also </w:t>
      </w:r>
      <w:r w:rsidR="008717FE" w:rsidRPr="0049219A">
        <w:rPr>
          <w:rFonts w:ascii="Times New Roman" w:hAnsi="Times New Roman" w:cs="Times New Roman"/>
          <w:iCs/>
          <w:color w:val="000000" w:themeColor="text1"/>
        </w:rPr>
        <w:t xml:space="preserve">assessed for psychiatric diagnoses using the Structured Clinical Interview for Axis I Diagnostic and Statistical Manual of Mental Disorders-Fifth edition (DSM-5) (SCID). Across groups, participants were excluded if they had current psychotic features or cognitive impairment, drug or alcohol dependence, or unstable medical conditions. All participants were maintained on their current psychiatric medication regimens during study participation. </w:t>
      </w:r>
      <w:r w:rsidR="009D0DE0" w:rsidRPr="0049219A">
        <w:rPr>
          <w:rFonts w:ascii="Times New Roman" w:hAnsi="Times New Roman" w:cs="Times New Roman"/>
          <w:iCs/>
          <w:color w:val="000000" w:themeColor="text1"/>
        </w:rPr>
        <w:t>Participants in the minimal risk (</w:t>
      </w:r>
      <w:r w:rsidR="008717FE" w:rsidRPr="0049219A">
        <w:rPr>
          <w:rFonts w:ascii="Times New Roman" w:hAnsi="Times New Roman" w:cs="Times New Roman"/>
          <w:iCs/>
          <w:color w:val="000000" w:themeColor="text1"/>
        </w:rPr>
        <w:t>MinR</w:t>
      </w:r>
      <w:r w:rsidR="009D0DE0" w:rsidRPr="0049219A">
        <w:rPr>
          <w:rFonts w:ascii="Times New Roman" w:hAnsi="Times New Roman" w:cs="Times New Roman"/>
          <w:iCs/>
          <w:color w:val="000000" w:themeColor="text1"/>
        </w:rPr>
        <w:t>)</w:t>
      </w:r>
      <w:r w:rsidR="008717FE" w:rsidRPr="0049219A">
        <w:rPr>
          <w:rFonts w:ascii="Times New Roman" w:hAnsi="Times New Roman" w:cs="Times New Roman"/>
          <w:iCs/>
          <w:color w:val="000000" w:themeColor="text1"/>
        </w:rPr>
        <w:t xml:space="preserve"> </w:t>
      </w:r>
      <w:r w:rsidR="009D0DE0" w:rsidRPr="0049219A">
        <w:rPr>
          <w:rFonts w:ascii="Times New Roman" w:hAnsi="Times New Roman" w:cs="Times New Roman"/>
          <w:iCs/>
          <w:color w:val="000000" w:themeColor="text1"/>
        </w:rPr>
        <w:t xml:space="preserve">group </w:t>
      </w:r>
      <w:r w:rsidR="008717FE" w:rsidRPr="0049219A">
        <w:rPr>
          <w:rFonts w:ascii="Times New Roman" w:hAnsi="Times New Roman" w:cs="Times New Roman"/>
          <w:iCs/>
          <w:color w:val="000000" w:themeColor="text1"/>
        </w:rPr>
        <w:t xml:space="preserve">were excluded if they had current or past Axis I DSM-5 diagnoses, lifetime suicide attempt or ideations, or first-degree family history of psychiatric diagnosis or suicide attempt or death. </w:t>
      </w:r>
      <w:r w:rsidR="004E0355" w:rsidRPr="0049219A">
        <w:rPr>
          <w:rFonts w:ascii="Times New Roman" w:hAnsi="Times New Roman" w:cs="Times New Roman"/>
          <w:iCs/>
          <w:color w:val="000000" w:themeColor="text1"/>
        </w:rPr>
        <w:t>Participants in the high risk (HR) group were excluded if they sustained a</w:t>
      </w:r>
      <w:r w:rsidR="00B16F46" w:rsidRPr="0049219A">
        <w:rPr>
          <w:rFonts w:ascii="Times New Roman" w:hAnsi="Times New Roman" w:cs="Times New Roman"/>
          <w:iCs/>
          <w:color w:val="000000" w:themeColor="text1"/>
        </w:rPr>
        <w:t xml:space="preserve">n </w:t>
      </w:r>
      <w:r w:rsidR="004E0355" w:rsidRPr="0049219A">
        <w:rPr>
          <w:rFonts w:ascii="Times New Roman" w:hAnsi="Times New Roman" w:cs="Times New Roman"/>
          <w:iCs/>
          <w:color w:val="000000" w:themeColor="text1"/>
        </w:rPr>
        <w:t>injury as a consequence of the suicide attempt that would preclude the</w:t>
      </w:r>
      <w:r w:rsidR="00C236AB" w:rsidRPr="0049219A">
        <w:rPr>
          <w:rFonts w:ascii="Times New Roman" w:hAnsi="Times New Roman" w:cs="Times New Roman"/>
          <w:iCs/>
          <w:color w:val="000000" w:themeColor="text1"/>
        </w:rPr>
        <w:t>ir</w:t>
      </w:r>
      <w:r w:rsidR="004E0355" w:rsidRPr="0049219A">
        <w:rPr>
          <w:rFonts w:ascii="Times New Roman" w:hAnsi="Times New Roman" w:cs="Times New Roman"/>
          <w:iCs/>
          <w:color w:val="000000" w:themeColor="text1"/>
        </w:rPr>
        <w:t xml:space="preserve"> ability to provide informed consent or understand and perform study procedures. </w:t>
      </w:r>
      <w:r w:rsidR="00B16F46" w:rsidRPr="0049219A">
        <w:rPr>
          <w:rFonts w:ascii="Times New Roman" w:hAnsi="Times New Roman" w:cs="Times New Roman"/>
          <w:iCs/>
          <w:color w:val="000000" w:themeColor="text1"/>
        </w:rPr>
        <w:t xml:space="preserve">In the event that participants were deemed ineligible for the study due to adverse effects of the suicide attempt, they were provided appropriate clinical stabilization until they could provide informed consent or be transferred to an appropriate treatment facility outside of the NIH. </w:t>
      </w:r>
      <w:r w:rsidR="000C3E09" w:rsidRPr="0049219A">
        <w:rPr>
          <w:rFonts w:ascii="Times New Roman" w:hAnsi="Times New Roman" w:cs="Times New Roman"/>
          <w:iCs/>
          <w:color w:val="000000" w:themeColor="text1"/>
        </w:rPr>
        <w:t xml:space="preserve">Participants in the </w:t>
      </w:r>
      <w:r w:rsidR="0067328B" w:rsidRPr="0049219A">
        <w:rPr>
          <w:rFonts w:ascii="Times New Roman" w:hAnsi="Times New Roman" w:cs="Times New Roman"/>
          <w:iCs/>
          <w:color w:val="000000" w:themeColor="text1"/>
        </w:rPr>
        <w:t>HR</w:t>
      </w:r>
      <w:r w:rsidR="000C3E09" w:rsidRPr="0049219A">
        <w:rPr>
          <w:rFonts w:ascii="Times New Roman" w:hAnsi="Times New Roman" w:cs="Times New Roman"/>
          <w:iCs/>
          <w:color w:val="000000" w:themeColor="text1"/>
        </w:rPr>
        <w:t xml:space="preserve"> group</w:t>
      </w:r>
      <w:r w:rsidR="008717FE" w:rsidRPr="0049219A">
        <w:rPr>
          <w:rFonts w:ascii="Times New Roman" w:hAnsi="Times New Roman" w:cs="Times New Roman"/>
          <w:iCs/>
          <w:color w:val="000000" w:themeColor="text1"/>
        </w:rPr>
        <w:t xml:space="preserve"> were </w:t>
      </w:r>
      <w:r w:rsidR="0067328B" w:rsidRPr="0049219A">
        <w:rPr>
          <w:rFonts w:ascii="Times New Roman" w:hAnsi="Times New Roman" w:cs="Times New Roman"/>
          <w:iCs/>
          <w:color w:val="000000" w:themeColor="text1"/>
        </w:rPr>
        <w:t xml:space="preserve">also </w:t>
      </w:r>
      <w:r w:rsidR="008717FE" w:rsidRPr="0049219A">
        <w:rPr>
          <w:rFonts w:ascii="Times New Roman" w:hAnsi="Times New Roman" w:cs="Times New Roman"/>
          <w:iCs/>
          <w:color w:val="000000" w:themeColor="text1"/>
        </w:rPr>
        <w:t xml:space="preserve">excluded if they posed a current homicidal risk or suicide risk that could not be managed in a voluntary inpatient setting. Additional precautions for research with individuals in acute suicide crises, such as checks of the physical environment and standardizing suicide-related language across research staff, are detailed in </w:t>
      </w:r>
      <w:r w:rsidR="00021D80" w:rsidRPr="0049219A">
        <w:rPr>
          <w:rFonts w:ascii="Times New Roman" w:hAnsi="Times New Roman" w:cs="Times New Roman"/>
          <w:iCs/>
          <w:color w:val="000000" w:themeColor="text1"/>
        </w:rPr>
        <w:t>Ballard et al. (2020)</w:t>
      </w:r>
      <w:r w:rsidR="008717FE" w:rsidRPr="0049219A">
        <w:rPr>
          <w:rFonts w:ascii="Times New Roman" w:hAnsi="Times New Roman" w:cs="Times New Roman"/>
          <w:iCs/>
          <w:color w:val="000000" w:themeColor="text1"/>
        </w:rPr>
        <w:t xml:space="preserve">. </w:t>
      </w:r>
      <w:r w:rsidR="008717FE" w:rsidRPr="0049219A">
        <w:rPr>
          <w:rFonts w:ascii="Times New Roman" w:hAnsi="Times New Roman" w:cs="Times New Roman"/>
          <w:color w:val="000000" w:themeColor="text1"/>
        </w:rPr>
        <w:t xml:space="preserve">Across </w:t>
      </w:r>
      <w:r w:rsidR="008717FE" w:rsidRPr="0049219A">
        <w:rPr>
          <w:rFonts w:ascii="Times New Roman" w:hAnsi="Times New Roman" w:cs="Times New Roman"/>
          <w:color w:val="000000" w:themeColor="text1"/>
        </w:rPr>
        <w:lastRenderedPageBreak/>
        <w:t>groups, participants had normal or corrected-to-normal vision and fluency in written and spoken English.</w:t>
      </w:r>
    </w:p>
    <w:p w14:paraId="70529CCF" w14:textId="3B308918" w:rsidR="00CC340E" w:rsidRPr="0049219A" w:rsidRDefault="008717FE" w:rsidP="00052E8E">
      <w:pPr>
        <w:spacing w:line="480" w:lineRule="auto"/>
        <w:ind w:firstLine="720"/>
        <w:rPr>
          <w:rFonts w:ascii="Times New Roman" w:hAnsi="Times New Roman" w:cs="Times New Roman"/>
          <w:iCs/>
          <w:color w:val="000000" w:themeColor="text1"/>
        </w:rPr>
      </w:pPr>
      <w:r w:rsidRPr="0049219A">
        <w:rPr>
          <w:rFonts w:ascii="Times New Roman" w:hAnsi="Times New Roman" w:cs="Times New Roman"/>
          <w:color w:val="000000" w:themeColor="text1"/>
        </w:rPr>
        <w:t xml:space="preserve">For the open-label ketamine pilot study, inclusion was limited to only those individuals </w:t>
      </w:r>
      <w:r w:rsidR="00362D51" w:rsidRPr="0049219A">
        <w:rPr>
          <w:rFonts w:ascii="Times New Roman" w:hAnsi="Times New Roman" w:cs="Times New Roman"/>
          <w:color w:val="000000" w:themeColor="text1"/>
        </w:rPr>
        <w:t xml:space="preserve">experiencing </w:t>
      </w:r>
      <w:r w:rsidRPr="0049219A">
        <w:rPr>
          <w:rFonts w:ascii="Times New Roman" w:hAnsi="Times New Roman" w:cs="Times New Roman"/>
          <w:color w:val="000000" w:themeColor="text1"/>
        </w:rPr>
        <w:t>a suicide attempt or ideation with intent in the past two weeks, representing those at highest risk for imminent suicidal behavior.</w:t>
      </w:r>
      <w:r w:rsidRPr="0049219A">
        <w:rPr>
          <w:rFonts w:ascii="Times New Roman" w:hAnsi="Times New Roman" w:cs="Times New Roman"/>
          <w:iCs/>
          <w:color w:val="000000" w:themeColor="text1"/>
        </w:rPr>
        <w:t xml:space="preserve"> These participants were required to have at least minimal symptoms of anxiety or suicidal ideation (MADRS &gt;10, HAM-A &gt;7 and SSI &gt;1). Suicidal ideation for this phase was not required</w:t>
      </w:r>
      <w:r w:rsidR="00362D51" w:rsidRPr="0049219A">
        <w:rPr>
          <w:rFonts w:ascii="Times New Roman" w:hAnsi="Times New Roman" w:cs="Times New Roman"/>
          <w:iCs/>
          <w:color w:val="000000" w:themeColor="text1"/>
        </w:rPr>
        <w:t xml:space="preserve"> in order</w:t>
      </w:r>
      <w:r w:rsidRPr="0049219A">
        <w:rPr>
          <w:rFonts w:ascii="Times New Roman" w:hAnsi="Times New Roman" w:cs="Times New Roman"/>
          <w:iCs/>
          <w:color w:val="000000" w:themeColor="text1"/>
        </w:rPr>
        <w:t xml:space="preserve"> to discourage participants from over-reporting suicidal thoughts in order to qualify for ketamine administration. Participants were excluded from this phase if they had medical contraindications to ketamine, including treatment with a</w:t>
      </w:r>
      <w:r w:rsidR="00362D51" w:rsidRPr="0049219A">
        <w:rPr>
          <w:rFonts w:ascii="Times New Roman" w:hAnsi="Times New Roman" w:cs="Times New Roman"/>
          <w:iCs/>
          <w:color w:val="000000" w:themeColor="text1"/>
        </w:rPr>
        <w:t xml:space="preserve"> monoamine oxidase inhibitor</w:t>
      </w:r>
      <w:r w:rsidRPr="0049219A">
        <w:rPr>
          <w:rFonts w:ascii="Times New Roman" w:hAnsi="Times New Roman" w:cs="Times New Roman"/>
          <w:iCs/>
          <w:color w:val="000000" w:themeColor="text1"/>
        </w:rPr>
        <w:t xml:space="preserve"> </w:t>
      </w:r>
      <w:r w:rsidR="00362D51"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MAOI</w:t>
      </w:r>
      <w:r w:rsidR="00362D51"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 xml:space="preserve"> within two weeks prior to study participation. </w:t>
      </w:r>
    </w:p>
    <w:p w14:paraId="0E75D0F6" w14:textId="58DE342C" w:rsidR="00E44FF9" w:rsidRPr="0049219A" w:rsidRDefault="00E44FF9" w:rsidP="00052E8E">
      <w:pPr>
        <w:spacing w:line="480" w:lineRule="auto"/>
        <w:rPr>
          <w:rFonts w:ascii="Times New Roman" w:hAnsi="Times New Roman" w:cs="Times New Roman"/>
          <w:iCs/>
          <w:color w:val="000000" w:themeColor="text1"/>
        </w:rPr>
      </w:pPr>
    </w:p>
    <w:p w14:paraId="2F8FDAFF" w14:textId="6CE14744" w:rsidR="00E44FF9" w:rsidRPr="0049219A" w:rsidRDefault="00B95013" w:rsidP="00052E8E">
      <w:pPr>
        <w:spacing w:line="480" w:lineRule="auto"/>
        <w:rPr>
          <w:rFonts w:ascii="Times New Roman" w:hAnsi="Times New Roman" w:cs="Times New Roman"/>
          <w:i/>
          <w:color w:val="000000" w:themeColor="text1"/>
        </w:rPr>
      </w:pPr>
      <w:r w:rsidRPr="0049219A">
        <w:rPr>
          <w:rFonts w:ascii="Times New Roman" w:hAnsi="Times New Roman" w:cs="Times New Roman"/>
          <w:i/>
          <w:color w:val="000000" w:themeColor="text1"/>
        </w:rPr>
        <w:t>Magnetoencephalography (</w:t>
      </w:r>
      <w:r w:rsidR="00E44FF9" w:rsidRPr="0049219A">
        <w:rPr>
          <w:rFonts w:ascii="Times New Roman" w:hAnsi="Times New Roman" w:cs="Times New Roman"/>
          <w:i/>
          <w:color w:val="000000" w:themeColor="text1"/>
        </w:rPr>
        <w:t>MEG</w:t>
      </w:r>
      <w:r w:rsidRPr="0049219A">
        <w:rPr>
          <w:rFonts w:ascii="Times New Roman" w:hAnsi="Times New Roman" w:cs="Times New Roman"/>
          <w:i/>
          <w:color w:val="000000" w:themeColor="text1"/>
        </w:rPr>
        <w:t>)</w:t>
      </w:r>
      <w:r w:rsidR="00E44FF9" w:rsidRPr="0049219A">
        <w:rPr>
          <w:rFonts w:ascii="Times New Roman" w:hAnsi="Times New Roman" w:cs="Times New Roman"/>
          <w:i/>
          <w:color w:val="000000" w:themeColor="text1"/>
        </w:rPr>
        <w:t xml:space="preserve"> acquisition, preprocessing, and source localization</w:t>
      </w:r>
    </w:p>
    <w:p w14:paraId="688EE767" w14:textId="463B8F08" w:rsidR="00E44FF9" w:rsidRPr="0049219A" w:rsidRDefault="00E44FF9" w:rsidP="00052E8E">
      <w:pPr>
        <w:spacing w:line="480" w:lineRule="auto"/>
        <w:ind w:firstLine="720"/>
        <w:rPr>
          <w:rFonts w:ascii="Times New Roman" w:hAnsi="Times New Roman" w:cs="Times New Roman"/>
          <w:iCs/>
          <w:color w:val="000000" w:themeColor="text1"/>
        </w:rPr>
      </w:pPr>
      <w:r w:rsidRPr="0049219A">
        <w:rPr>
          <w:rFonts w:ascii="Times New Roman" w:hAnsi="Times New Roman" w:cs="Times New Roman"/>
          <w:iCs/>
          <w:color w:val="000000" w:themeColor="text1"/>
        </w:rPr>
        <w:t>Electrophysiological data were acquired in a magnetically shielded room (</w:t>
      </w:r>
      <w:r w:rsidRPr="0049219A">
        <w:rPr>
          <w:rFonts w:ascii="Times New Roman" w:hAnsi="Times New Roman" w:cs="Times New Roman"/>
          <w:color w:val="000000" w:themeColor="text1"/>
        </w:rPr>
        <w:t>Vacuumschmelze, Hanau, Germany)</w:t>
      </w:r>
      <w:r w:rsidRPr="0049219A">
        <w:rPr>
          <w:rFonts w:ascii="Times New Roman" w:hAnsi="Times New Roman" w:cs="Times New Roman"/>
          <w:iCs/>
          <w:color w:val="000000" w:themeColor="text1"/>
        </w:rPr>
        <w:t xml:space="preserve"> using a 275-channel CTF MEG system with superconducting quantum interference device-based axial gradiometers (VSM MedTech Ltd., Coquitlam, BC, Canada). Data were collected at 1200 Hz with a bandwidth of 0-300 Hz. Synthetic third-order balancing was used for active noise cancellation. Each participant’s MEG data was co-registered to their MRI image using a T-1 weighted MRI scan (3T GE scanner; GE Signa, Milwaukee, WI) with MRI-visible fiducial markers placed on the head prior to scanning. MEG data were visually inspected offline</w:t>
      </w:r>
      <w:r w:rsidR="00E5078B"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 xml:space="preserve"> and trials with visible artifacts (e.g., head or muscle movements, eye blinks) and channels with excessive sensor noise were removed from analyses. Cleaned data were bandpass-filtered from 1 to 58 Hz and epoched from -100 to 1000 ms peristimulus time.</w:t>
      </w:r>
    </w:p>
    <w:p w14:paraId="1DF95FB6" w14:textId="029C85F1" w:rsidR="00E44FF9" w:rsidRPr="0049219A" w:rsidRDefault="00E44FF9" w:rsidP="00052E8E">
      <w:pPr>
        <w:widowControl w:val="0"/>
        <w:spacing w:line="480" w:lineRule="auto"/>
        <w:rPr>
          <w:rFonts w:ascii="Times New Roman" w:hAnsi="Times New Roman" w:cs="Times New Roman"/>
          <w:color w:val="000000" w:themeColor="text1"/>
        </w:rPr>
      </w:pPr>
      <w:r w:rsidRPr="0049219A">
        <w:rPr>
          <w:rFonts w:ascii="Times New Roman" w:hAnsi="Times New Roman" w:cs="Times New Roman"/>
          <w:iCs/>
          <w:color w:val="000000" w:themeColor="text1"/>
        </w:rPr>
        <w:lastRenderedPageBreak/>
        <w:tab/>
        <w:t>MEG data were source-localized to a 5mm grid in the gamma frequency (30-58 Hz) using a linearly constrained minimum variance beamforming algorithm (synthetic aperture magnetometry; SAM). Sources were localized to a 1s window from target word onset. Following co-registration of sensor positions to each participant’s canonical brain image, activation maps were constructed without prior constraints on source localizations</w:t>
      </w:r>
      <w:r w:rsidR="00E5078B"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 xml:space="preserve"> and statistical maps of group activity were computed. </w:t>
      </w:r>
      <w:r w:rsidRPr="0049219A">
        <w:rPr>
          <w:rFonts w:ascii="Times New Roman" w:eastAsiaTheme="minorHAnsi" w:hAnsi="Times New Roman" w:cs="Times New Roman"/>
          <w:color w:val="000000" w:themeColor="text1"/>
        </w:rPr>
        <w:t xml:space="preserve">Power estimates in the gamma frequency were calculated separately for self-life and self-death pairings. A linear mixed-effects model implemented in AFNI was used to evaluate main effects of group (HR, </w:t>
      </w:r>
      <w:r w:rsidR="00E5078B" w:rsidRPr="0049219A">
        <w:rPr>
          <w:rFonts w:ascii="Times New Roman" w:eastAsiaTheme="minorHAnsi" w:hAnsi="Times New Roman" w:cs="Times New Roman"/>
          <w:color w:val="000000" w:themeColor="text1"/>
        </w:rPr>
        <w:t>moderate risk (</w:t>
      </w:r>
      <w:r w:rsidRPr="0049219A">
        <w:rPr>
          <w:rFonts w:ascii="Times New Roman" w:eastAsiaTheme="minorHAnsi" w:hAnsi="Times New Roman" w:cs="Times New Roman"/>
          <w:color w:val="000000" w:themeColor="text1"/>
        </w:rPr>
        <w:t>MoR</w:t>
      </w:r>
      <w:r w:rsidR="00E5078B" w:rsidRPr="0049219A">
        <w:rPr>
          <w:rFonts w:ascii="Times New Roman" w:eastAsiaTheme="minorHAnsi" w:hAnsi="Times New Roman" w:cs="Times New Roman"/>
          <w:color w:val="000000" w:themeColor="text1"/>
        </w:rPr>
        <w:t>)</w:t>
      </w:r>
      <w:r w:rsidRPr="0049219A">
        <w:rPr>
          <w:rFonts w:ascii="Times New Roman" w:eastAsiaTheme="minorHAnsi" w:hAnsi="Times New Roman" w:cs="Times New Roman"/>
          <w:color w:val="000000" w:themeColor="text1"/>
        </w:rPr>
        <w:t xml:space="preserve">, </w:t>
      </w:r>
      <w:r w:rsidR="00897873" w:rsidRPr="0049219A">
        <w:rPr>
          <w:rFonts w:ascii="Times New Roman" w:eastAsiaTheme="minorHAnsi" w:hAnsi="Times New Roman" w:cs="Times New Roman"/>
          <w:color w:val="000000" w:themeColor="text1"/>
        </w:rPr>
        <w:t>low risk (</w:t>
      </w:r>
      <w:r w:rsidRPr="0049219A">
        <w:rPr>
          <w:rFonts w:ascii="Times New Roman" w:eastAsiaTheme="minorHAnsi" w:hAnsi="Times New Roman" w:cs="Times New Roman"/>
          <w:color w:val="000000" w:themeColor="text1"/>
        </w:rPr>
        <w:t>LR</w:t>
      </w:r>
      <w:r w:rsidR="00897873" w:rsidRPr="0049219A">
        <w:rPr>
          <w:rFonts w:ascii="Times New Roman" w:eastAsiaTheme="minorHAnsi" w:hAnsi="Times New Roman" w:cs="Times New Roman"/>
          <w:color w:val="000000" w:themeColor="text1"/>
        </w:rPr>
        <w:t>)</w:t>
      </w:r>
      <w:r w:rsidRPr="0049219A">
        <w:rPr>
          <w:rFonts w:ascii="Times New Roman" w:eastAsiaTheme="minorHAnsi" w:hAnsi="Times New Roman" w:cs="Times New Roman"/>
          <w:color w:val="000000" w:themeColor="text1"/>
        </w:rPr>
        <w:t xml:space="preserve">, MinR) and condition (self-life, self-death), as well as their interactions. </w:t>
      </w:r>
      <w:r w:rsidRPr="0049219A">
        <w:rPr>
          <w:rFonts w:ascii="Times New Roman" w:hAnsi="Times New Roman" w:cs="Times New Roman"/>
          <w:color w:val="000000" w:themeColor="text1"/>
        </w:rPr>
        <w:t>The computational resources of the NIH HPC Biowulf cluster were used for these analyses (</w:t>
      </w:r>
      <w:hyperlink r:id="rId6" w:tgtFrame="_blank" w:history="1">
        <w:r w:rsidRPr="0049219A">
          <w:rPr>
            <w:rFonts w:ascii="Times New Roman" w:hAnsi="Times New Roman" w:cs="Times New Roman"/>
            <w:color w:val="000000" w:themeColor="text1"/>
          </w:rPr>
          <w:t>http://hpc.nih.gov</w:t>
        </w:r>
      </w:hyperlink>
      <w:r w:rsidRPr="0049219A">
        <w:rPr>
          <w:rFonts w:ascii="Times New Roman" w:hAnsi="Times New Roman" w:cs="Times New Roman"/>
          <w:color w:val="000000" w:themeColor="text1"/>
        </w:rPr>
        <w:t>).</w:t>
      </w:r>
    </w:p>
    <w:p w14:paraId="6F8BA42D" w14:textId="77777777" w:rsidR="00FB50DD" w:rsidRPr="0049219A" w:rsidRDefault="00E44FF9" w:rsidP="00052E8E">
      <w:pPr>
        <w:widowControl w:val="0"/>
        <w:spacing w:line="480" w:lineRule="auto"/>
        <w:rPr>
          <w:rFonts w:ascii="Times New Roman" w:hAnsi="Times New Roman" w:cs="Times New Roman"/>
          <w:iCs/>
          <w:color w:val="000000" w:themeColor="text1"/>
        </w:rPr>
      </w:pPr>
      <w:r w:rsidRPr="0049219A">
        <w:rPr>
          <w:rFonts w:ascii="Times New Roman" w:hAnsi="Times New Roman" w:cs="Times New Roman"/>
          <w:iCs/>
          <w:color w:val="000000" w:themeColor="text1"/>
        </w:rPr>
        <w:tab/>
      </w:r>
    </w:p>
    <w:p w14:paraId="6B0419AE" w14:textId="716EF2F7" w:rsidR="009F4B45" w:rsidRPr="0049219A" w:rsidRDefault="009F4B45" w:rsidP="00052E8E">
      <w:pPr>
        <w:widowControl w:val="0"/>
        <w:spacing w:line="480" w:lineRule="auto"/>
        <w:rPr>
          <w:rFonts w:ascii="Times New Roman" w:hAnsi="Times New Roman" w:cs="Times New Roman"/>
          <w:i/>
          <w:iCs/>
          <w:color w:val="000000" w:themeColor="text1"/>
        </w:rPr>
      </w:pPr>
      <w:r w:rsidRPr="0049219A">
        <w:rPr>
          <w:rFonts w:ascii="Times New Roman" w:hAnsi="Times New Roman" w:cs="Times New Roman"/>
          <w:i/>
          <w:iCs/>
          <w:color w:val="000000" w:themeColor="text1"/>
        </w:rPr>
        <w:t>Dynamic Causal Modeling (DCM) Analysis</w:t>
      </w:r>
    </w:p>
    <w:p w14:paraId="14CB7FBB" w14:textId="5FBB80B7" w:rsidR="009F4B45" w:rsidRPr="0049219A" w:rsidRDefault="009F4B45" w:rsidP="00052E8E">
      <w:pPr>
        <w:widowControl w:val="0"/>
        <w:spacing w:line="480" w:lineRule="auto"/>
        <w:ind w:firstLine="720"/>
        <w:rPr>
          <w:rFonts w:ascii="Times New Roman" w:hAnsi="Times New Roman" w:cs="Times New Roman"/>
          <w:color w:val="000000" w:themeColor="text1"/>
        </w:rPr>
      </w:pPr>
      <w:r w:rsidRPr="0049219A">
        <w:rPr>
          <w:rFonts w:ascii="Times New Roman" w:hAnsi="Times New Roman" w:cs="Times New Roman"/>
          <w:color w:val="000000" w:themeColor="text1"/>
        </w:rPr>
        <w:t xml:space="preserve">A conductance-based neural mass model for DCM was used to estimate electrophysiological connectivity parameters based on the regions of interest identified in the source localization analysis. The canonical microcircuit (CMC) model implemented in SPM12 was used to model event-related potential (ERP) responses between these regions as previously described (see </w:t>
      </w:r>
      <w:r w:rsidR="00021D80" w:rsidRPr="0049219A">
        <w:rPr>
          <w:rFonts w:ascii="Times New Roman" w:hAnsi="Times New Roman" w:cs="Times New Roman"/>
          <w:color w:val="000000" w:themeColor="text1"/>
        </w:rPr>
        <w:t>Gilbert &amp; Moran, 2016</w:t>
      </w:r>
      <w:r w:rsidRPr="0049219A">
        <w:rPr>
          <w:rFonts w:ascii="Times New Roman" w:hAnsi="Times New Roman" w:cs="Times New Roman"/>
          <w:color w:val="000000" w:themeColor="text1"/>
        </w:rPr>
        <w:t xml:space="preserve">). As shown in </w:t>
      </w:r>
      <w:r w:rsidR="001D4C4F" w:rsidRPr="0049219A">
        <w:rPr>
          <w:rFonts w:ascii="Times New Roman" w:hAnsi="Times New Roman" w:cs="Times New Roman"/>
          <w:b/>
          <w:bCs/>
          <w:color w:val="000000" w:themeColor="text1"/>
        </w:rPr>
        <w:t xml:space="preserve">Supplemental </w:t>
      </w:r>
      <w:r w:rsidRPr="0049219A">
        <w:rPr>
          <w:rFonts w:ascii="Times New Roman" w:hAnsi="Times New Roman" w:cs="Times New Roman"/>
          <w:b/>
          <w:bCs/>
          <w:color w:val="000000" w:themeColor="text1"/>
        </w:rPr>
        <w:t>Fig</w:t>
      </w:r>
      <w:r w:rsidR="00C71555" w:rsidRPr="0049219A">
        <w:rPr>
          <w:rFonts w:ascii="Times New Roman" w:hAnsi="Times New Roman" w:cs="Times New Roman"/>
          <w:b/>
          <w:bCs/>
          <w:color w:val="000000" w:themeColor="text1"/>
        </w:rPr>
        <w:t>ure</w:t>
      </w:r>
      <w:r w:rsidRPr="0049219A">
        <w:rPr>
          <w:rFonts w:ascii="Times New Roman" w:hAnsi="Times New Roman" w:cs="Times New Roman"/>
          <w:b/>
          <w:bCs/>
          <w:color w:val="000000" w:themeColor="text1"/>
        </w:rPr>
        <w:t xml:space="preserve"> </w:t>
      </w:r>
      <w:r w:rsidR="0050727F" w:rsidRPr="0049219A">
        <w:rPr>
          <w:rFonts w:ascii="Times New Roman" w:hAnsi="Times New Roman" w:cs="Times New Roman"/>
          <w:b/>
          <w:bCs/>
          <w:color w:val="000000" w:themeColor="text1"/>
        </w:rPr>
        <w:t>S3</w:t>
      </w:r>
      <w:r w:rsidRPr="0049219A">
        <w:rPr>
          <w:rFonts w:ascii="Times New Roman" w:hAnsi="Times New Roman" w:cs="Times New Roman"/>
          <w:b/>
          <w:bCs/>
          <w:color w:val="000000" w:themeColor="text1"/>
        </w:rPr>
        <w:t>A</w:t>
      </w:r>
      <w:r w:rsidRPr="0049219A">
        <w:rPr>
          <w:rFonts w:ascii="Times New Roman" w:hAnsi="Times New Roman" w:cs="Times New Roman"/>
          <w:color w:val="000000" w:themeColor="text1"/>
        </w:rPr>
        <w:t>, the CMC model includes excitatory and inhibitory connection parameters from four distinct cell layers: superficial and deep pyramidal cells (SP</w:t>
      </w:r>
      <w:r w:rsidR="00C71555" w:rsidRPr="0049219A">
        <w:rPr>
          <w:rFonts w:ascii="Times New Roman" w:hAnsi="Times New Roman" w:cs="Times New Roman"/>
          <w:color w:val="000000" w:themeColor="text1"/>
        </w:rPr>
        <w:t>s</w:t>
      </w:r>
      <w:r w:rsidRPr="0049219A">
        <w:rPr>
          <w:rFonts w:ascii="Times New Roman" w:hAnsi="Times New Roman" w:cs="Times New Roman"/>
          <w:color w:val="000000" w:themeColor="text1"/>
        </w:rPr>
        <w:t>/DP</w:t>
      </w:r>
      <w:r w:rsidR="00C71555" w:rsidRPr="0049219A">
        <w:rPr>
          <w:rFonts w:ascii="Times New Roman" w:hAnsi="Times New Roman" w:cs="Times New Roman"/>
          <w:color w:val="000000" w:themeColor="text1"/>
        </w:rPr>
        <w:t>s</w:t>
      </w:r>
      <w:r w:rsidRPr="0049219A">
        <w:rPr>
          <w:rFonts w:ascii="Times New Roman" w:hAnsi="Times New Roman" w:cs="Times New Roman"/>
          <w:color w:val="000000" w:themeColor="text1"/>
        </w:rPr>
        <w:t>), inhibitory interneurons (II</w:t>
      </w:r>
      <w:r w:rsidR="00C71555" w:rsidRPr="0049219A">
        <w:rPr>
          <w:rFonts w:ascii="Times New Roman" w:hAnsi="Times New Roman" w:cs="Times New Roman"/>
          <w:color w:val="000000" w:themeColor="text1"/>
        </w:rPr>
        <w:t>s</w:t>
      </w:r>
      <w:r w:rsidRPr="0049219A">
        <w:rPr>
          <w:rFonts w:ascii="Times New Roman" w:hAnsi="Times New Roman" w:cs="Times New Roman"/>
          <w:color w:val="000000" w:themeColor="text1"/>
        </w:rPr>
        <w:t>), and spiny stellates (SS</w:t>
      </w:r>
      <w:r w:rsidR="00C71555" w:rsidRPr="0049219A">
        <w:rPr>
          <w:rFonts w:ascii="Times New Roman" w:hAnsi="Times New Roman" w:cs="Times New Roman"/>
          <w:color w:val="000000" w:themeColor="text1"/>
        </w:rPr>
        <w:t>s</w:t>
      </w:r>
      <w:r w:rsidRPr="0049219A">
        <w:rPr>
          <w:rFonts w:ascii="Times New Roman" w:hAnsi="Times New Roman" w:cs="Times New Roman"/>
          <w:color w:val="000000" w:themeColor="text1"/>
        </w:rPr>
        <w:t>). SPs carry feedforward connections to SSs and DPs</w:t>
      </w:r>
      <w:r w:rsidR="00C71555"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whereas DPs carry feedback connections to SPs and IIs. A Gaussian bump function was used in the analysis to model thalamic (stimulus-bound) input to the early visual cortex (EV).</w:t>
      </w:r>
    </w:p>
    <w:p w14:paraId="5DEFD4EA" w14:textId="0FE6955B" w:rsidR="009F4B45" w:rsidRPr="0049219A" w:rsidRDefault="009F4B45" w:rsidP="00052E8E">
      <w:pPr>
        <w:widowControl w:val="0"/>
        <w:spacing w:line="480" w:lineRule="auto"/>
        <w:rPr>
          <w:rFonts w:ascii="Times New Roman" w:hAnsi="Times New Roman" w:cs="Times New Roman"/>
          <w:color w:val="000000" w:themeColor="text1"/>
        </w:rPr>
      </w:pPr>
      <w:r w:rsidRPr="0049219A">
        <w:rPr>
          <w:rFonts w:ascii="Times New Roman" w:hAnsi="Times New Roman" w:cs="Times New Roman"/>
          <w:color w:val="000000" w:themeColor="text1"/>
        </w:rPr>
        <w:tab/>
        <w:t xml:space="preserve">Four regions were selected to model forward and backward connections in the network: </w:t>
      </w:r>
      <w:r w:rsidR="00283161" w:rsidRPr="0049219A">
        <w:rPr>
          <w:rFonts w:ascii="Times New Roman" w:hAnsi="Times New Roman" w:cs="Times New Roman"/>
          <w:color w:val="000000" w:themeColor="text1"/>
        </w:rPr>
        <w:lastRenderedPageBreak/>
        <w:t xml:space="preserve">the </w:t>
      </w:r>
      <w:r w:rsidRPr="0049219A">
        <w:rPr>
          <w:rFonts w:ascii="Times New Roman" w:hAnsi="Times New Roman" w:cs="Times New Roman"/>
          <w:color w:val="000000" w:themeColor="text1"/>
        </w:rPr>
        <w:t>EV (Talairach coordinates: -12, -97, -13),</w:t>
      </w:r>
      <w:r w:rsidR="00283161" w:rsidRPr="0049219A">
        <w:rPr>
          <w:rFonts w:ascii="Times New Roman" w:hAnsi="Times New Roman" w:cs="Times New Roman"/>
          <w:color w:val="000000" w:themeColor="text1"/>
        </w:rPr>
        <w:t xml:space="preserve"> the</w:t>
      </w:r>
      <w:r w:rsidRPr="0049219A">
        <w:rPr>
          <w:rFonts w:ascii="Times New Roman" w:hAnsi="Times New Roman" w:cs="Times New Roman"/>
          <w:color w:val="000000" w:themeColor="text1"/>
        </w:rPr>
        <w:t xml:space="preserve"> left </w:t>
      </w:r>
      <w:r w:rsidR="00283161" w:rsidRPr="0049219A">
        <w:rPr>
          <w:rFonts w:ascii="Times New Roman" w:hAnsi="Times New Roman" w:cs="Times New Roman"/>
          <w:color w:val="000000" w:themeColor="text1"/>
        </w:rPr>
        <w:t>posterior cingulate cortex (</w:t>
      </w:r>
      <w:r w:rsidRPr="0049219A">
        <w:rPr>
          <w:rFonts w:ascii="Times New Roman" w:hAnsi="Times New Roman" w:cs="Times New Roman"/>
          <w:color w:val="000000" w:themeColor="text1"/>
        </w:rPr>
        <w:t>PCC</w:t>
      </w:r>
      <w:r w:rsidR="00283161"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(-14, -59, 15),</w:t>
      </w:r>
      <w:r w:rsidR="00283161" w:rsidRPr="0049219A">
        <w:rPr>
          <w:rFonts w:ascii="Times New Roman" w:hAnsi="Times New Roman" w:cs="Times New Roman"/>
          <w:color w:val="000000" w:themeColor="text1"/>
        </w:rPr>
        <w:t xml:space="preserve"> the</w:t>
      </w:r>
      <w:r w:rsidRPr="0049219A">
        <w:rPr>
          <w:rFonts w:ascii="Times New Roman" w:hAnsi="Times New Roman" w:cs="Times New Roman"/>
          <w:color w:val="000000" w:themeColor="text1"/>
        </w:rPr>
        <w:t xml:space="preserve"> right insula (33, 3, 2), and </w:t>
      </w:r>
      <w:r w:rsidR="00283161"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 xml:space="preserve">right orbitofrontal cortex (OBF) (26, 50, -8). These candidate regions of interest were selected based on our source-level analyses. As shown in </w:t>
      </w:r>
      <w:r w:rsidR="00A30752" w:rsidRPr="0049219A">
        <w:rPr>
          <w:rFonts w:ascii="Times New Roman" w:hAnsi="Times New Roman" w:cs="Times New Roman"/>
          <w:b/>
          <w:bCs/>
          <w:color w:val="000000" w:themeColor="text1"/>
        </w:rPr>
        <w:t xml:space="preserve">Supplemental </w:t>
      </w:r>
      <w:r w:rsidRPr="0049219A">
        <w:rPr>
          <w:rFonts w:ascii="Times New Roman" w:hAnsi="Times New Roman" w:cs="Times New Roman"/>
          <w:b/>
          <w:bCs/>
          <w:color w:val="000000" w:themeColor="text1"/>
        </w:rPr>
        <w:t>Fig</w:t>
      </w:r>
      <w:r w:rsidR="00F07ECA" w:rsidRPr="0049219A">
        <w:rPr>
          <w:rFonts w:ascii="Times New Roman" w:hAnsi="Times New Roman" w:cs="Times New Roman"/>
          <w:b/>
          <w:bCs/>
          <w:color w:val="000000" w:themeColor="text1"/>
        </w:rPr>
        <w:t>ure</w:t>
      </w:r>
      <w:r w:rsidRPr="0049219A">
        <w:rPr>
          <w:rFonts w:ascii="Times New Roman" w:hAnsi="Times New Roman" w:cs="Times New Roman"/>
          <w:b/>
          <w:bCs/>
          <w:color w:val="000000" w:themeColor="text1"/>
        </w:rPr>
        <w:t xml:space="preserve"> </w:t>
      </w:r>
      <w:r w:rsidR="0050727F" w:rsidRPr="0049219A">
        <w:rPr>
          <w:rFonts w:ascii="Times New Roman" w:hAnsi="Times New Roman" w:cs="Times New Roman"/>
          <w:b/>
          <w:bCs/>
          <w:color w:val="000000" w:themeColor="text1"/>
        </w:rPr>
        <w:t>S3</w:t>
      </w:r>
      <w:r w:rsidRPr="0049219A">
        <w:rPr>
          <w:rFonts w:ascii="Times New Roman" w:hAnsi="Times New Roman" w:cs="Times New Roman"/>
          <w:b/>
          <w:bCs/>
          <w:color w:val="000000" w:themeColor="text1"/>
        </w:rPr>
        <w:t>B</w:t>
      </w:r>
      <w:r w:rsidRPr="0049219A">
        <w:rPr>
          <w:rFonts w:ascii="Times New Roman" w:hAnsi="Times New Roman" w:cs="Times New Roman"/>
          <w:color w:val="000000" w:themeColor="text1"/>
        </w:rPr>
        <w:t>, two plausible models were constructed to account for connectivity between these regions</w:t>
      </w:r>
      <w:r w:rsidR="00F07ECA" w:rsidRPr="0049219A">
        <w:rPr>
          <w:rFonts w:ascii="Times New Roman" w:hAnsi="Times New Roman" w:cs="Times New Roman"/>
          <w:color w:val="000000" w:themeColor="text1"/>
        </w:rPr>
        <w:t xml:space="preserve"> </w:t>
      </w:r>
      <w:r w:rsidRPr="0049219A">
        <w:rPr>
          <w:rFonts w:ascii="Times New Roman" w:hAnsi="Times New Roman" w:cs="Times New Roman"/>
          <w:color w:val="000000" w:themeColor="text1"/>
        </w:rPr>
        <w:t>of</w:t>
      </w:r>
      <w:r w:rsidR="00F07ECA" w:rsidRPr="0049219A">
        <w:rPr>
          <w:rFonts w:ascii="Times New Roman" w:hAnsi="Times New Roman" w:cs="Times New Roman"/>
          <w:color w:val="000000" w:themeColor="text1"/>
        </w:rPr>
        <w:t xml:space="preserve"> </w:t>
      </w:r>
      <w:r w:rsidRPr="0049219A">
        <w:rPr>
          <w:rFonts w:ascii="Times New Roman" w:hAnsi="Times New Roman" w:cs="Times New Roman"/>
          <w:color w:val="000000" w:themeColor="text1"/>
        </w:rPr>
        <w:t xml:space="preserve">interest. In Model 1, forward connections carried signals from </w:t>
      </w:r>
      <w:r w:rsidR="00810FA2"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 xml:space="preserve">EV to </w:t>
      </w:r>
      <w:r w:rsidR="00A8217D"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 xml:space="preserve">PCC and insula, as well as from </w:t>
      </w:r>
      <w:r w:rsidR="00A8217D"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 xml:space="preserve">PCC and insula to </w:t>
      </w:r>
      <w:r w:rsidR="00A8217D"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 xml:space="preserve">OBF. Recurrent backward connections ensured reciprocal connectivity between these regions. Model 2 included the same architecture with the addition of lateral connections between </w:t>
      </w:r>
      <w:r w:rsidR="008C734B" w:rsidRPr="0049219A">
        <w:rPr>
          <w:rFonts w:ascii="Times New Roman" w:hAnsi="Times New Roman" w:cs="Times New Roman"/>
          <w:color w:val="000000" w:themeColor="text1"/>
        </w:rPr>
        <w:t xml:space="preserve">the </w:t>
      </w:r>
      <w:r w:rsidRPr="0049219A">
        <w:rPr>
          <w:rFonts w:ascii="Times New Roman" w:hAnsi="Times New Roman" w:cs="Times New Roman"/>
          <w:color w:val="000000" w:themeColor="text1"/>
        </w:rPr>
        <w:t>PCC and insula. Modulations by trial type (i.e., self-life, self-death) were examined on all region-to-region connections.</w:t>
      </w:r>
    </w:p>
    <w:p w14:paraId="54C806BF" w14:textId="25B4DC94" w:rsidR="009F4B45" w:rsidRPr="0049219A" w:rsidRDefault="009F4B45" w:rsidP="00052E8E">
      <w:pPr>
        <w:widowControl w:val="0"/>
        <w:spacing w:line="480" w:lineRule="auto"/>
        <w:ind w:firstLine="720"/>
        <w:rPr>
          <w:rFonts w:ascii="Times New Roman" w:hAnsi="Times New Roman" w:cs="Times New Roman"/>
          <w:color w:val="000000" w:themeColor="text1"/>
        </w:rPr>
      </w:pPr>
      <w:r w:rsidRPr="0049219A">
        <w:rPr>
          <w:rFonts w:ascii="Times New Roman" w:hAnsi="Times New Roman" w:cs="Times New Roman"/>
          <w:color w:val="000000" w:themeColor="text1"/>
        </w:rPr>
        <w:t xml:space="preserve">The negative free energy bound on the log-model evidence was used to adjudicate between the two model architectures, and the one with the highest log-model evidence was chosen for subsequent analyses. The model architecture </w:t>
      </w:r>
      <w:r w:rsidRPr="0049219A">
        <w:rPr>
          <w:rFonts w:ascii="Times New Roman" w:hAnsi="Times New Roman" w:cs="Times New Roman"/>
          <w:b/>
          <w:bCs/>
          <w:color w:val="000000" w:themeColor="text1"/>
        </w:rPr>
        <w:t>(</w:t>
      </w:r>
      <w:r w:rsidR="00A30752" w:rsidRPr="0049219A">
        <w:rPr>
          <w:rFonts w:ascii="Times New Roman" w:hAnsi="Times New Roman" w:cs="Times New Roman"/>
          <w:b/>
          <w:bCs/>
          <w:color w:val="000000" w:themeColor="text1"/>
        </w:rPr>
        <w:t xml:space="preserve">Supplemental </w:t>
      </w:r>
      <w:r w:rsidRPr="0049219A">
        <w:rPr>
          <w:rFonts w:ascii="Times New Roman" w:hAnsi="Times New Roman" w:cs="Times New Roman"/>
          <w:b/>
          <w:bCs/>
          <w:color w:val="000000" w:themeColor="text1"/>
        </w:rPr>
        <w:t xml:space="preserve">Fig. </w:t>
      </w:r>
      <w:r w:rsidR="0050727F" w:rsidRPr="0049219A">
        <w:rPr>
          <w:rFonts w:ascii="Times New Roman" w:hAnsi="Times New Roman" w:cs="Times New Roman"/>
          <w:b/>
          <w:bCs/>
          <w:color w:val="000000" w:themeColor="text1"/>
        </w:rPr>
        <w:t>S3</w:t>
      </w:r>
      <w:r w:rsidRPr="0049219A">
        <w:rPr>
          <w:rFonts w:ascii="Times New Roman" w:hAnsi="Times New Roman" w:cs="Times New Roman"/>
          <w:b/>
          <w:bCs/>
          <w:color w:val="000000" w:themeColor="text1"/>
        </w:rPr>
        <w:t>B)</w:t>
      </w:r>
      <w:r w:rsidRPr="0049219A">
        <w:rPr>
          <w:rFonts w:ascii="Times New Roman" w:hAnsi="Times New Roman" w:cs="Times New Roman"/>
          <w:color w:val="000000" w:themeColor="text1"/>
        </w:rPr>
        <w:t xml:space="preserve"> was fitted to all participants</w:t>
      </w:r>
      <w:r w:rsidR="008C734B"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and parameter estimates were extracted to compare region-to-region connectivity and trial modulations on these connections. </w:t>
      </w:r>
    </w:p>
    <w:p w14:paraId="74524FC7" w14:textId="77777777" w:rsidR="009F4B45" w:rsidRPr="0049219A" w:rsidRDefault="009F4B45" w:rsidP="00052E8E">
      <w:pPr>
        <w:widowControl w:val="0"/>
        <w:spacing w:line="480" w:lineRule="auto"/>
        <w:rPr>
          <w:rFonts w:ascii="Times New Roman" w:hAnsi="Times New Roman" w:cs="Times New Roman"/>
          <w:i/>
          <w:color w:val="000000" w:themeColor="text1"/>
        </w:rPr>
      </w:pPr>
    </w:p>
    <w:p w14:paraId="6400ED98" w14:textId="175A0A85" w:rsidR="00FB50DD" w:rsidRPr="0049219A" w:rsidRDefault="00FB50DD" w:rsidP="00052E8E">
      <w:pPr>
        <w:widowControl w:val="0"/>
        <w:spacing w:line="480" w:lineRule="auto"/>
        <w:rPr>
          <w:rFonts w:ascii="Times New Roman" w:hAnsi="Times New Roman" w:cs="Times New Roman"/>
          <w:i/>
          <w:color w:val="000000" w:themeColor="text1"/>
        </w:rPr>
      </w:pPr>
      <w:r w:rsidRPr="0049219A">
        <w:rPr>
          <w:rFonts w:ascii="Times New Roman" w:hAnsi="Times New Roman" w:cs="Times New Roman"/>
          <w:i/>
          <w:color w:val="000000" w:themeColor="text1"/>
        </w:rPr>
        <w:t>Data Analysis</w:t>
      </w:r>
    </w:p>
    <w:p w14:paraId="0D046C46" w14:textId="6F56BF29" w:rsidR="00FB50DD" w:rsidRPr="0049219A" w:rsidRDefault="00FB50DD" w:rsidP="00052E8E">
      <w:pPr>
        <w:widowControl w:val="0"/>
        <w:spacing w:line="480" w:lineRule="auto"/>
        <w:rPr>
          <w:rFonts w:ascii="Times New Roman" w:hAnsi="Times New Roman" w:cs="Times New Roman"/>
          <w:iCs/>
          <w:color w:val="000000" w:themeColor="text1"/>
        </w:rPr>
      </w:pPr>
      <w:r w:rsidRPr="0049219A">
        <w:rPr>
          <w:rFonts w:ascii="Times New Roman" w:hAnsi="Times New Roman" w:cs="Times New Roman"/>
          <w:iCs/>
          <w:color w:val="000000" w:themeColor="text1"/>
        </w:rPr>
        <w:tab/>
        <w:t xml:space="preserve">Clinical measures and </w:t>
      </w:r>
      <w:r w:rsidR="008C734B" w:rsidRPr="0049219A">
        <w:rPr>
          <w:rFonts w:ascii="Times New Roman" w:hAnsi="Times New Roman" w:cs="Times New Roman"/>
          <w:color w:val="000000" w:themeColor="text1"/>
        </w:rPr>
        <w:t>Life-Death Implicit Association Task (</w:t>
      </w:r>
      <w:r w:rsidRPr="0049219A">
        <w:rPr>
          <w:rFonts w:ascii="Times New Roman" w:hAnsi="Times New Roman" w:cs="Times New Roman"/>
          <w:iCs/>
          <w:color w:val="000000" w:themeColor="text1"/>
        </w:rPr>
        <w:t>LD-IAT</w:t>
      </w:r>
      <w:r w:rsidR="008C734B"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 xml:space="preserve"> D-scores were analyzed using one-way ANOVAs to examine group differences. Paired sample </w:t>
      </w:r>
      <w:r w:rsidRPr="0049219A">
        <w:rPr>
          <w:rFonts w:ascii="Times New Roman" w:hAnsi="Times New Roman" w:cs="Times New Roman"/>
          <w:i/>
          <w:color w:val="000000" w:themeColor="text1"/>
        </w:rPr>
        <w:t>t</w:t>
      </w:r>
      <w:r w:rsidR="00D44BA2" w:rsidRPr="0049219A">
        <w:rPr>
          <w:rFonts w:ascii="Times New Roman" w:hAnsi="Times New Roman" w:cs="Times New Roman"/>
          <w:i/>
          <w:color w:val="000000" w:themeColor="text1"/>
        </w:rPr>
        <w:t>-</w:t>
      </w:r>
      <w:r w:rsidRPr="0049219A">
        <w:rPr>
          <w:rFonts w:ascii="Times New Roman" w:hAnsi="Times New Roman" w:cs="Times New Roman"/>
          <w:iCs/>
          <w:color w:val="000000" w:themeColor="text1"/>
        </w:rPr>
        <w:t>tests were used for the pilot study to compare treatment effects from baseline. As secondary analyses, D-scores for each group were compared to zero using a one-sample Wilcoxon signed-rank tests</w:t>
      </w:r>
      <w:r w:rsidR="00D44BA2" w:rsidRPr="0049219A">
        <w:rPr>
          <w:rFonts w:ascii="Times New Roman" w:hAnsi="Times New Roman" w:cs="Times New Roman"/>
          <w:iCs/>
          <w:color w:val="000000" w:themeColor="text1"/>
        </w:rPr>
        <w:t>,</w:t>
      </w:r>
      <w:r w:rsidRPr="0049219A">
        <w:rPr>
          <w:rFonts w:ascii="Times New Roman" w:hAnsi="Times New Roman" w:cs="Times New Roman"/>
          <w:iCs/>
          <w:color w:val="000000" w:themeColor="text1"/>
        </w:rPr>
        <w:t xml:space="preserve"> and </w:t>
      </w:r>
      <w:r w:rsidRPr="0049219A">
        <w:rPr>
          <w:rFonts w:ascii="Times New Roman" w:hAnsi="Times New Roman" w:cs="Times New Roman"/>
          <w:color w:val="000000" w:themeColor="text1"/>
        </w:rPr>
        <w:t>chi-square (χ</w:t>
      </w:r>
      <w:r w:rsidRPr="0049219A">
        <w:rPr>
          <w:rFonts w:ascii="Times New Roman" w:hAnsi="Times New Roman" w:cs="Times New Roman"/>
          <w:color w:val="000000" w:themeColor="text1"/>
          <w:vertAlign w:val="superscript"/>
        </w:rPr>
        <w:t>2</w:t>
      </w:r>
      <w:r w:rsidRPr="0049219A">
        <w:rPr>
          <w:rFonts w:ascii="Times New Roman" w:hAnsi="Times New Roman" w:cs="Times New Roman"/>
          <w:color w:val="000000" w:themeColor="text1"/>
        </w:rPr>
        <w:t>)</w:t>
      </w:r>
      <w:r w:rsidRPr="0049219A">
        <w:rPr>
          <w:rFonts w:ascii="Times New Roman" w:hAnsi="Times New Roman" w:cs="Times New Roman"/>
          <w:color w:val="000000" w:themeColor="text1"/>
          <w:vertAlign w:val="superscript"/>
        </w:rPr>
        <w:t xml:space="preserve"> </w:t>
      </w:r>
      <w:r w:rsidRPr="0049219A">
        <w:rPr>
          <w:rFonts w:ascii="Times New Roman" w:hAnsi="Times New Roman" w:cs="Times New Roman"/>
          <w:iCs/>
          <w:color w:val="000000" w:themeColor="text1"/>
        </w:rPr>
        <w:t xml:space="preserve">tests were used to determine whether groups differed on the proportion of D-scores that were either positive (i.e., greater than zero, denoting a self-death bias) or negative (i.e., less than zero, denoting a self-life bias). </w:t>
      </w:r>
    </w:p>
    <w:p w14:paraId="578554B2" w14:textId="0BB67FC6" w:rsidR="004C4EE8" w:rsidRPr="0049219A" w:rsidRDefault="004C4EE8" w:rsidP="00C236AB">
      <w:pPr>
        <w:spacing w:line="480" w:lineRule="auto"/>
        <w:ind w:firstLine="720"/>
        <w:rPr>
          <w:rFonts w:ascii="Times New Roman" w:hAnsi="Times New Roman" w:cs="Times New Roman"/>
          <w:color w:val="000000" w:themeColor="text1"/>
        </w:rPr>
      </w:pPr>
      <w:r w:rsidRPr="0049219A">
        <w:rPr>
          <w:rFonts w:ascii="Times New Roman" w:eastAsia="Times New Roman" w:hAnsi="Times New Roman" w:cs="Times New Roman"/>
          <w:color w:val="000000" w:themeColor="text1"/>
        </w:rPr>
        <w:lastRenderedPageBreak/>
        <w:t xml:space="preserve">Due to </w:t>
      </w:r>
      <w:r w:rsidR="00C236AB" w:rsidRPr="0049219A">
        <w:rPr>
          <w:rFonts w:ascii="Times New Roman" w:eastAsia="Times New Roman" w:hAnsi="Times New Roman" w:cs="Times New Roman"/>
          <w:color w:val="000000" w:themeColor="text1"/>
        </w:rPr>
        <w:t>the</w:t>
      </w:r>
      <w:r w:rsidRPr="0049219A">
        <w:rPr>
          <w:rFonts w:ascii="Times New Roman" w:eastAsia="Times New Roman" w:hAnsi="Times New Roman" w:cs="Times New Roman"/>
          <w:color w:val="000000" w:themeColor="text1"/>
        </w:rPr>
        <w:t xml:space="preserve"> small sample size in th</w:t>
      </w:r>
      <w:r w:rsidR="008F0177" w:rsidRPr="0049219A">
        <w:rPr>
          <w:rFonts w:ascii="Times New Roman" w:eastAsia="Times New Roman" w:hAnsi="Times New Roman" w:cs="Times New Roman"/>
          <w:color w:val="000000" w:themeColor="text1"/>
        </w:rPr>
        <w:t>e ketamine</w:t>
      </w:r>
      <w:r w:rsidRPr="0049219A">
        <w:rPr>
          <w:rFonts w:ascii="Times New Roman" w:eastAsia="Times New Roman" w:hAnsi="Times New Roman" w:cs="Times New Roman"/>
          <w:color w:val="000000" w:themeColor="text1"/>
        </w:rPr>
        <w:t xml:space="preserve"> pilot study, Bayesian data analyses were computed (JASP v.0.17.3) (University of Amsterdam, The Netherlands: www.jasp-stats.org) as a secondary analysis to compare</w:t>
      </w:r>
      <w:r w:rsidR="00C236AB" w:rsidRPr="0049219A">
        <w:rPr>
          <w:rFonts w:ascii="Times New Roman" w:eastAsia="Times New Roman" w:hAnsi="Times New Roman" w:cs="Times New Roman"/>
          <w:color w:val="000000" w:themeColor="text1"/>
        </w:rPr>
        <w:t xml:space="preserve"> the</w:t>
      </w:r>
      <w:r w:rsidRPr="0049219A">
        <w:rPr>
          <w:rFonts w:ascii="Times New Roman" w:eastAsia="Times New Roman" w:hAnsi="Times New Roman" w:cs="Times New Roman"/>
          <w:color w:val="000000" w:themeColor="text1"/>
        </w:rPr>
        <w:t xml:space="preserve"> effects of ketamine on insular gamma power. Bayes Factor (BF) analysis evaluates the extent to which one of the two hypotheses (null versus alternative) is better supported by the data. Given the absence of prior studies evaluating these parameters, we used a default Cauchy prior distribution with the effect size (</w:t>
      </w:r>
      <w:r w:rsidRPr="0049219A">
        <w:rPr>
          <w:rFonts w:ascii="Times New Roman" w:hAnsi="Times New Roman" w:cs="Times New Roman"/>
          <w:color w:val="000000" w:themeColor="text1"/>
        </w:rPr>
        <w:t>δ) located at 0 and the width parameter (</w:t>
      </w:r>
      <w:r w:rsidRPr="0049219A">
        <w:rPr>
          <w:rFonts w:ascii="Times New Roman" w:hAnsi="Times New Roman" w:cs="Times New Roman"/>
          <w:color w:val="000000" w:themeColor="text1"/>
        </w:rPr>
        <w:sym w:font="Symbol" w:char="F077"/>
      </w:r>
      <w:r w:rsidRPr="0049219A">
        <w:rPr>
          <w:rFonts w:ascii="Times New Roman" w:hAnsi="Times New Roman" w:cs="Times New Roman"/>
          <w:color w:val="000000" w:themeColor="text1"/>
        </w:rPr>
        <w:t xml:space="preserve">) set at 0.707. The BFs were interpreted based on convention (Lee &amp; Wagenmakers, 2014): (1) evidence in favor of the alternative hypothesis (BF </w:t>
      </w:r>
      <w:r w:rsidRPr="0049219A">
        <w:rPr>
          <w:rFonts w:ascii="Times New Roman" w:hAnsi="Times New Roman" w:cs="Times New Roman"/>
          <w:color w:val="000000" w:themeColor="text1"/>
          <w:u w:val="single"/>
        </w:rPr>
        <w:t>&gt;</w:t>
      </w:r>
      <w:r w:rsidRPr="0049219A">
        <w:rPr>
          <w:rFonts w:ascii="Times New Roman" w:hAnsi="Times New Roman" w:cs="Times New Roman"/>
          <w:color w:val="000000" w:themeColor="text1"/>
        </w:rPr>
        <w:t xml:space="preserve"> 3), (2) inconclusive results (0.33 &lt; BF &lt; 3), and (3) evidence in favor of the null hypothesis (BF </w:t>
      </w:r>
      <w:r w:rsidRPr="0049219A">
        <w:rPr>
          <w:rFonts w:ascii="Times New Roman" w:hAnsi="Times New Roman" w:cs="Times New Roman"/>
          <w:color w:val="000000" w:themeColor="text1"/>
          <w:u w:val="single"/>
        </w:rPr>
        <w:t>&lt;</w:t>
      </w:r>
      <w:r w:rsidRPr="0049219A">
        <w:rPr>
          <w:rFonts w:ascii="Times New Roman" w:hAnsi="Times New Roman" w:cs="Times New Roman"/>
          <w:color w:val="000000" w:themeColor="text1"/>
        </w:rPr>
        <w:t xml:space="preserve"> 0.33).</w:t>
      </w:r>
    </w:p>
    <w:p w14:paraId="4AD29E01" w14:textId="76D0B0D8" w:rsidR="00FB50DD" w:rsidRPr="0049219A" w:rsidRDefault="00FB50DD" w:rsidP="00052E8E">
      <w:pPr>
        <w:widowControl w:val="0"/>
        <w:spacing w:line="480" w:lineRule="auto"/>
        <w:ind w:firstLine="720"/>
        <w:rPr>
          <w:rFonts w:ascii="Times New Roman" w:hAnsi="Times New Roman" w:cs="Times New Roman"/>
          <w:iCs/>
          <w:color w:val="000000" w:themeColor="text1"/>
        </w:rPr>
      </w:pPr>
      <w:r w:rsidRPr="0049219A">
        <w:rPr>
          <w:rFonts w:ascii="Times New Roman" w:hAnsi="Times New Roman" w:cs="Times New Roman"/>
          <w:iCs/>
          <w:color w:val="000000" w:themeColor="text1"/>
        </w:rPr>
        <w:t>For each group, Pearson correlations were used to examine whether LD-IAT D-scores were associated with (1) each clinical measure and (2) gamma-band activity in regions that yielded significant effects in the source-level analyses. For all analyses, pairwise comparisons were reported for significant interactions using Fisher’s least significant difference (LSD) test. Greenhouse Geisser corrections were used for violations of sphericity.</w:t>
      </w:r>
    </w:p>
    <w:p w14:paraId="768E6BE4" w14:textId="243B3EF4" w:rsidR="00E44FF9" w:rsidRPr="0049219A" w:rsidRDefault="00E44FF9" w:rsidP="00052E8E">
      <w:pPr>
        <w:widowControl w:val="0"/>
        <w:spacing w:line="480" w:lineRule="auto"/>
        <w:ind w:firstLine="720"/>
        <w:rPr>
          <w:rFonts w:ascii="Times New Roman" w:hAnsi="Times New Roman" w:cs="Times New Roman"/>
          <w:iCs/>
          <w:color w:val="000000" w:themeColor="text1"/>
        </w:rPr>
      </w:pPr>
      <w:r w:rsidRPr="0049219A">
        <w:rPr>
          <w:rFonts w:ascii="Times New Roman" w:hAnsi="Times New Roman" w:cs="Times New Roman"/>
          <w:iCs/>
          <w:color w:val="000000" w:themeColor="text1"/>
        </w:rPr>
        <w:t xml:space="preserve">For MEG source-level analyses, a mixed-effects ANOVA was used to define source-localized cortical regions that showed a main effect of </w:t>
      </w:r>
      <w:r w:rsidR="00D44BA2" w:rsidRPr="0049219A">
        <w:rPr>
          <w:rFonts w:ascii="Times New Roman" w:hAnsi="Times New Roman" w:cs="Times New Roman"/>
          <w:iCs/>
          <w:color w:val="000000" w:themeColor="text1"/>
        </w:rPr>
        <w:t>g</w:t>
      </w:r>
      <w:r w:rsidRPr="0049219A">
        <w:rPr>
          <w:rFonts w:ascii="Times New Roman" w:hAnsi="Times New Roman" w:cs="Times New Roman"/>
          <w:iCs/>
          <w:color w:val="000000" w:themeColor="text1"/>
        </w:rPr>
        <w:t xml:space="preserve">roup (HR, MoR, LR, MinR) or </w:t>
      </w:r>
      <w:r w:rsidR="00D44BA2" w:rsidRPr="0049219A">
        <w:rPr>
          <w:rFonts w:ascii="Times New Roman" w:hAnsi="Times New Roman" w:cs="Times New Roman"/>
          <w:iCs/>
          <w:color w:val="000000" w:themeColor="text1"/>
        </w:rPr>
        <w:t>c</w:t>
      </w:r>
      <w:r w:rsidRPr="0049219A">
        <w:rPr>
          <w:rFonts w:ascii="Times New Roman" w:hAnsi="Times New Roman" w:cs="Times New Roman"/>
          <w:iCs/>
          <w:color w:val="000000" w:themeColor="text1"/>
        </w:rPr>
        <w:t xml:space="preserve">ondition (self-life, self-death), as well as </w:t>
      </w:r>
      <w:r w:rsidR="00D44BA2" w:rsidRPr="0049219A">
        <w:rPr>
          <w:rFonts w:ascii="Times New Roman" w:hAnsi="Times New Roman" w:cs="Times New Roman"/>
          <w:iCs/>
          <w:color w:val="000000" w:themeColor="text1"/>
        </w:rPr>
        <w:t>g</w:t>
      </w:r>
      <w:r w:rsidRPr="0049219A">
        <w:rPr>
          <w:rFonts w:ascii="Times New Roman" w:hAnsi="Times New Roman" w:cs="Times New Roman"/>
          <w:iCs/>
          <w:color w:val="000000" w:themeColor="text1"/>
        </w:rPr>
        <w:t>roup-by-</w:t>
      </w:r>
      <w:r w:rsidR="00D44BA2" w:rsidRPr="0049219A">
        <w:rPr>
          <w:rFonts w:ascii="Times New Roman" w:hAnsi="Times New Roman" w:cs="Times New Roman"/>
          <w:iCs/>
          <w:color w:val="000000" w:themeColor="text1"/>
        </w:rPr>
        <w:t>c</w:t>
      </w:r>
      <w:r w:rsidRPr="0049219A">
        <w:rPr>
          <w:rFonts w:ascii="Times New Roman" w:hAnsi="Times New Roman" w:cs="Times New Roman"/>
          <w:iCs/>
          <w:color w:val="000000" w:themeColor="text1"/>
        </w:rPr>
        <w:t xml:space="preserve">ondition interactions. Self-life and self-death trials were contrasted using a liberal criterion (p&lt;0.05, uncorrected) in order to generate candidate regions of interest for the DCM analysis. </w:t>
      </w:r>
    </w:p>
    <w:p w14:paraId="092A8043" w14:textId="77777777" w:rsidR="00E44FF9" w:rsidRPr="0049219A" w:rsidRDefault="00E44FF9" w:rsidP="00052E8E">
      <w:pPr>
        <w:widowControl w:val="0"/>
        <w:spacing w:line="480" w:lineRule="auto"/>
        <w:ind w:firstLine="720"/>
        <w:rPr>
          <w:rFonts w:ascii="Times New Roman" w:hAnsi="Times New Roman" w:cs="Times New Roman"/>
          <w:iCs/>
          <w:color w:val="000000" w:themeColor="text1"/>
        </w:rPr>
      </w:pPr>
      <w:r w:rsidRPr="0049219A">
        <w:rPr>
          <w:rFonts w:ascii="Times New Roman" w:hAnsi="Times New Roman" w:cs="Times New Roman"/>
          <w:iCs/>
          <w:color w:val="000000" w:themeColor="text1"/>
        </w:rPr>
        <w:t xml:space="preserve">For the DCM parameters, </w:t>
      </w:r>
      <w:r w:rsidRPr="0049219A">
        <w:rPr>
          <w:rFonts w:ascii="Times New Roman" w:hAnsi="Times New Roman" w:cs="Times New Roman"/>
          <w:color w:val="000000" w:themeColor="text1"/>
        </w:rPr>
        <w:t xml:space="preserve">Parametric Empirical Bayesian (PEB) analysis was used to identify the mixing of parameters contributing to both the average effect across all participants, as well as the difference between the HR group and the average effect across participants. Meaningful parameters were defined as those with a posterior probability (Pp) greater than 0.95. </w:t>
      </w:r>
      <w:r w:rsidRPr="0049219A">
        <w:rPr>
          <w:rFonts w:ascii="Times New Roman" w:hAnsi="Times New Roman" w:cs="Times New Roman"/>
          <w:color w:val="000000" w:themeColor="text1"/>
        </w:rPr>
        <w:lastRenderedPageBreak/>
        <w:t xml:space="preserve">We specifically tested region-to-region connectivity parameters and their modulation by trial type. </w:t>
      </w:r>
    </w:p>
    <w:p w14:paraId="5F846EC6" w14:textId="06AFFB3F" w:rsidR="00E44FF9" w:rsidRPr="0049219A" w:rsidRDefault="00E44FF9" w:rsidP="00052E8E">
      <w:pPr>
        <w:spacing w:line="480" w:lineRule="auto"/>
        <w:rPr>
          <w:color w:val="000000" w:themeColor="text1"/>
        </w:rPr>
      </w:pPr>
    </w:p>
    <w:p w14:paraId="6BDC51B0" w14:textId="24FB6362" w:rsidR="007D4027" w:rsidRPr="0049219A" w:rsidRDefault="00FB50DD" w:rsidP="00052E8E">
      <w:pPr>
        <w:spacing w:line="480" w:lineRule="auto"/>
        <w:rPr>
          <w:rFonts w:ascii="Times New Roman" w:hAnsi="Times New Roman" w:cs="Times New Roman"/>
          <w:b/>
          <w:bCs/>
          <w:color w:val="000000" w:themeColor="text1"/>
        </w:rPr>
      </w:pPr>
      <w:r w:rsidRPr="0049219A">
        <w:rPr>
          <w:rFonts w:ascii="Times New Roman" w:hAnsi="Times New Roman" w:cs="Times New Roman"/>
          <w:b/>
          <w:bCs/>
          <w:color w:val="000000" w:themeColor="text1"/>
        </w:rPr>
        <w:t>Supplemental Results</w:t>
      </w:r>
    </w:p>
    <w:p w14:paraId="39197C9C" w14:textId="7271B5F9" w:rsidR="0094665C" w:rsidRPr="0049219A" w:rsidRDefault="00FB50DD" w:rsidP="004B5CCD">
      <w:pPr>
        <w:spacing w:line="480" w:lineRule="auto"/>
        <w:rPr>
          <w:rFonts w:ascii="Times New Roman" w:eastAsia="Times New Roman" w:hAnsi="Times New Roman" w:cs="Times New Roman"/>
          <w:i/>
          <w:color w:val="000000" w:themeColor="text1"/>
        </w:rPr>
      </w:pPr>
      <w:r w:rsidRPr="0049219A">
        <w:rPr>
          <w:rFonts w:ascii="Times New Roman" w:hAnsi="Times New Roman" w:cs="Times New Roman"/>
          <w:i/>
          <w:iCs/>
          <w:color w:val="000000" w:themeColor="text1"/>
        </w:rPr>
        <w:t xml:space="preserve"> </w:t>
      </w:r>
      <w:r w:rsidR="007D4027" w:rsidRPr="0049219A">
        <w:rPr>
          <w:rFonts w:ascii="Times New Roman" w:eastAsia="Times New Roman" w:hAnsi="Times New Roman" w:cs="Times New Roman"/>
          <w:i/>
          <w:color w:val="000000" w:themeColor="text1"/>
        </w:rPr>
        <w:t>LD-IAT D-score</w:t>
      </w:r>
    </w:p>
    <w:p w14:paraId="45F0BF50" w14:textId="0F95BB4F" w:rsidR="007D4027" w:rsidRPr="0049219A" w:rsidRDefault="007D4027" w:rsidP="00052E8E">
      <w:pPr>
        <w:spacing w:line="480" w:lineRule="auto"/>
        <w:ind w:firstLine="720"/>
        <w:rPr>
          <w:rFonts w:ascii="Times New Roman" w:hAnsi="Times New Roman" w:cs="Times New Roman"/>
          <w:i/>
          <w:iCs/>
          <w:color w:val="000000" w:themeColor="text1"/>
        </w:rPr>
      </w:pPr>
      <w:r w:rsidRPr="0049219A">
        <w:rPr>
          <w:rFonts w:ascii="Times New Roman" w:hAnsi="Times New Roman" w:cs="Times New Roman"/>
          <w:color w:val="000000" w:themeColor="text1"/>
        </w:rPr>
        <w:t xml:space="preserve">As a secondary analysis, group differences in the proportion of individuals </w:t>
      </w:r>
      <w:r w:rsidR="0032654B" w:rsidRPr="0049219A">
        <w:rPr>
          <w:rFonts w:ascii="Times New Roman" w:hAnsi="Times New Roman" w:cs="Times New Roman"/>
          <w:color w:val="000000" w:themeColor="text1"/>
        </w:rPr>
        <w:t>with</w:t>
      </w:r>
      <w:r w:rsidRPr="0049219A">
        <w:rPr>
          <w:rFonts w:ascii="Times New Roman" w:hAnsi="Times New Roman" w:cs="Times New Roman"/>
          <w:color w:val="000000" w:themeColor="text1"/>
        </w:rPr>
        <w:t xml:space="preserve"> D-scores greater than zero (denoting a self-death bias)</w:t>
      </w:r>
      <w:r w:rsidR="0032654B" w:rsidRPr="0049219A">
        <w:rPr>
          <w:rFonts w:ascii="Times New Roman" w:hAnsi="Times New Roman" w:cs="Times New Roman"/>
          <w:color w:val="000000" w:themeColor="text1"/>
        </w:rPr>
        <w:t xml:space="preserve"> were examined</w:t>
      </w:r>
      <w:r w:rsidRPr="0049219A">
        <w:rPr>
          <w:rFonts w:ascii="Times New Roman" w:hAnsi="Times New Roman" w:cs="Times New Roman"/>
          <w:color w:val="000000" w:themeColor="text1"/>
        </w:rPr>
        <w:t>. A chi-squared test revealed significantly different proportions of positive D-scores between groups [</w:t>
      </w:r>
      <w:r w:rsidRPr="0049219A">
        <w:rPr>
          <w:rFonts w:ascii="Times New Roman" w:hAnsi="Times New Roman" w:cs="Times New Roman"/>
          <w:iCs/>
          <w:color w:val="000000" w:themeColor="text1"/>
        </w:rPr>
        <w:t>χ</w:t>
      </w:r>
      <w:r w:rsidRPr="0049219A">
        <w:rPr>
          <w:rFonts w:ascii="Times New Roman" w:hAnsi="Times New Roman" w:cs="Times New Roman"/>
          <w:iCs/>
          <w:color w:val="000000" w:themeColor="text1"/>
          <w:vertAlign w:val="superscript"/>
        </w:rPr>
        <w:t>2</w:t>
      </w:r>
      <w:r w:rsidRPr="0049219A">
        <w:rPr>
          <w:rFonts w:ascii="Times New Roman" w:hAnsi="Times New Roman" w:cs="Times New Roman"/>
          <w:color w:val="000000" w:themeColor="text1"/>
        </w:rPr>
        <w:t xml:space="preserve">(3, N=71)=11.44,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 xml:space="preserve">&lt;0.01]. Seven </w:t>
      </w:r>
      <w:r w:rsidR="00D378A4" w:rsidRPr="0049219A">
        <w:rPr>
          <w:rFonts w:ascii="Times New Roman" w:hAnsi="Times New Roman" w:cs="Times New Roman"/>
          <w:color w:val="000000" w:themeColor="text1"/>
        </w:rPr>
        <w:t>scores in the HR group</w:t>
      </w:r>
      <w:r w:rsidRPr="0049219A">
        <w:rPr>
          <w:rFonts w:ascii="Times New Roman" w:hAnsi="Times New Roman" w:cs="Times New Roman"/>
          <w:color w:val="000000" w:themeColor="text1"/>
        </w:rPr>
        <w:t xml:space="preserve"> were greater than zero (7/15; 46.7%), which was twice the proportion of MinR scores (5/21; 23.8%) and approximately eight times the proportion of MoR (1/17; 5.9%) and LR (1/18; 5.6%) scores greater than zero. These analyses corroborate the finding that more participants in the HR group demonstrated a self-death bias compared to </w:t>
      </w:r>
      <w:r w:rsidR="003F61CE" w:rsidRPr="0049219A">
        <w:rPr>
          <w:rFonts w:ascii="Times New Roman" w:hAnsi="Times New Roman" w:cs="Times New Roman"/>
          <w:color w:val="000000" w:themeColor="text1"/>
        </w:rPr>
        <w:t xml:space="preserve">individuals in </w:t>
      </w:r>
      <w:r w:rsidRPr="0049219A">
        <w:rPr>
          <w:rFonts w:ascii="Times New Roman" w:hAnsi="Times New Roman" w:cs="Times New Roman"/>
          <w:color w:val="000000" w:themeColor="text1"/>
        </w:rPr>
        <w:t>the MoR, LR, and MinR groups.</w:t>
      </w:r>
    </w:p>
    <w:p w14:paraId="4A83AA48" w14:textId="77777777" w:rsidR="007D4027" w:rsidRPr="0049219A" w:rsidRDefault="007D4027" w:rsidP="00052E8E">
      <w:pPr>
        <w:spacing w:line="480" w:lineRule="auto"/>
        <w:rPr>
          <w:rFonts w:ascii="Times New Roman" w:hAnsi="Times New Roman" w:cs="Times New Roman"/>
          <w:i/>
          <w:iCs/>
          <w:color w:val="000000" w:themeColor="text1"/>
        </w:rPr>
      </w:pPr>
    </w:p>
    <w:p w14:paraId="48AE0DD1" w14:textId="11E62E1C" w:rsidR="0094665C" w:rsidRPr="0049219A" w:rsidRDefault="0094665C" w:rsidP="00052E8E">
      <w:pPr>
        <w:widowControl w:val="0"/>
        <w:spacing w:line="480" w:lineRule="auto"/>
        <w:rPr>
          <w:rFonts w:ascii="Times New Roman" w:eastAsia="Times New Roman" w:hAnsi="Times New Roman" w:cs="Times New Roman"/>
          <w:i/>
          <w:color w:val="000000" w:themeColor="text1"/>
        </w:rPr>
      </w:pPr>
      <w:r w:rsidRPr="0049219A">
        <w:rPr>
          <w:rFonts w:ascii="Times New Roman" w:eastAsia="Times New Roman" w:hAnsi="Times New Roman" w:cs="Times New Roman"/>
          <w:i/>
          <w:color w:val="000000" w:themeColor="text1"/>
        </w:rPr>
        <w:t>Group differences in gamma power for self-life and self-death trials</w:t>
      </w:r>
    </w:p>
    <w:p w14:paraId="5FBA8D0B" w14:textId="303CC9CD" w:rsidR="0094665C" w:rsidRPr="0049219A" w:rsidRDefault="0094665C" w:rsidP="00052E8E">
      <w:pPr>
        <w:spacing w:line="480" w:lineRule="auto"/>
        <w:ind w:firstLine="720"/>
        <w:rPr>
          <w:rFonts w:ascii="Times New Roman" w:eastAsia="Times New Roman" w:hAnsi="Times New Roman" w:cs="Times New Roman"/>
          <w:color w:val="000000" w:themeColor="text1"/>
          <w:shd w:val="clear" w:color="auto" w:fill="FFFFFF"/>
        </w:rPr>
      </w:pPr>
      <w:r w:rsidRPr="0049219A">
        <w:rPr>
          <w:rFonts w:ascii="Times New Roman" w:eastAsia="Times New Roman" w:hAnsi="Times New Roman" w:cs="Times New Roman"/>
          <w:color w:val="000000" w:themeColor="text1"/>
          <w:shd w:val="clear" w:color="auto" w:fill="FFFFFF"/>
        </w:rPr>
        <w:t xml:space="preserve">As a secondary analysis, group differences in the proportion of individuals </w:t>
      </w:r>
      <w:r w:rsidR="00F938CA" w:rsidRPr="0049219A">
        <w:rPr>
          <w:rFonts w:ascii="Times New Roman" w:eastAsia="Times New Roman" w:hAnsi="Times New Roman" w:cs="Times New Roman"/>
          <w:color w:val="000000" w:themeColor="text1"/>
          <w:shd w:val="clear" w:color="auto" w:fill="FFFFFF"/>
        </w:rPr>
        <w:t>with</w:t>
      </w:r>
      <w:r w:rsidRPr="0049219A">
        <w:rPr>
          <w:rFonts w:ascii="Times New Roman" w:eastAsia="Times New Roman" w:hAnsi="Times New Roman" w:cs="Times New Roman"/>
          <w:color w:val="000000" w:themeColor="text1"/>
          <w:shd w:val="clear" w:color="auto" w:fill="FFFFFF"/>
        </w:rPr>
        <w:t xml:space="preserve"> higher self-death versus self-life gamma power in each region</w:t>
      </w:r>
      <w:r w:rsidR="00F938CA" w:rsidRPr="0049219A">
        <w:rPr>
          <w:rFonts w:ascii="Times New Roman" w:eastAsia="Times New Roman" w:hAnsi="Times New Roman" w:cs="Times New Roman"/>
          <w:color w:val="000000" w:themeColor="text1"/>
          <w:shd w:val="clear" w:color="auto" w:fill="FFFFFF"/>
        </w:rPr>
        <w:t xml:space="preserve"> were examined</w:t>
      </w:r>
      <w:r w:rsidRPr="0049219A">
        <w:rPr>
          <w:rFonts w:ascii="Times New Roman" w:eastAsia="Times New Roman" w:hAnsi="Times New Roman" w:cs="Times New Roman"/>
          <w:color w:val="000000" w:themeColor="text1"/>
          <w:shd w:val="clear" w:color="auto" w:fill="FFFFFF"/>
        </w:rPr>
        <w:t xml:space="preserve">. A significant chi-square was identified within the OBF </w:t>
      </w:r>
      <w:r w:rsidRPr="0049219A">
        <w:rPr>
          <w:rFonts w:ascii="Times New Roman" w:hAnsi="Times New Roman" w:cs="Times New Roman"/>
          <w:color w:val="000000" w:themeColor="text1"/>
        </w:rPr>
        <w:t>[</w:t>
      </w:r>
      <w:r w:rsidRPr="0049219A">
        <w:rPr>
          <w:rFonts w:ascii="Times New Roman" w:hAnsi="Times New Roman" w:cs="Times New Roman"/>
          <w:iCs/>
          <w:color w:val="000000" w:themeColor="text1"/>
        </w:rPr>
        <w:t>χ</w:t>
      </w:r>
      <w:r w:rsidRPr="0049219A">
        <w:rPr>
          <w:rFonts w:ascii="Times New Roman" w:hAnsi="Times New Roman" w:cs="Times New Roman"/>
          <w:iCs/>
          <w:color w:val="000000" w:themeColor="text1"/>
          <w:vertAlign w:val="superscript"/>
        </w:rPr>
        <w:t>2</w:t>
      </w:r>
      <w:r w:rsidRPr="0049219A">
        <w:rPr>
          <w:rFonts w:ascii="Times New Roman" w:hAnsi="Times New Roman" w:cs="Times New Roman"/>
          <w:color w:val="000000" w:themeColor="text1"/>
        </w:rPr>
        <w:t xml:space="preserve">(3, N=71)=12.71,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&lt;0.01], revealing a larger proportion of participants in the HR group (87%) with higher self-death compared to self-life gamma power than the MinR group (53%). These proportions were not different between the HR and MoR (61%) groups or the MinR and LR (26%) groups, further highlighting a specific contrast between HR and MinR participants with respect to OBF gamma power for self-death trials.</w:t>
      </w:r>
    </w:p>
    <w:p w14:paraId="5520A082" w14:textId="19FE2808" w:rsidR="0094665C" w:rsidRPr="0049219A" w:rsidRDefault="0094665C" w:rsidP="00052E8E">
      <w:pPr>
        <w:spacing w:line="480" w:lineRule="auto"/>
        <w:rPr>
          <w:rFonts w:ascii="Times New Roman" w:hAnsi="Times New Roman" w:cs="Times New Roman"/>
          <w:i/>
          <w:iCs/>
          <w:color w:val="000000" w:themeColor="text1"/>
        </w:rPr>
      </w:pPr>
    </w:p>
    <w:p w14:paraId="46527054" w14:textId="115B0973" w:rsidR="003F6AD1" w:rsidRPr="0049219A" w:rsidRDefault="003F6AD1" w:rsidP="00052E8E">
      <w:pPr>
        <w:widowControl w:val="0"/>
        <w:spacing w:line="480" w:lineRule="auto"/>
        <w:rPr>
          <w:rFonts w:ascii="Times New Roman" w:eastAsia="Times New Roman" w:hAnsi="Times New Roman" w:cs="Times New Roman"/>
          <w:i/>
          <w:color w:val="000000" w:themeColor="text1"/>
        </w:rPr>
      </w:pPr>
      <w:r w:rsidRPr="0049219A">
        <w:rPr>
          <w:rFonts w:ascii="Times New Roman" w:eastAsia="Times New Roman" w:hAnsi="Times New Roman" w:cs="Times New Roman"/>
          <w:i/>
          <w:color w:val="000000" w:themeColor="text1"/>
        </w:rPr>
        <w:lastRenderedPageBreak/>
        <w:t>Association between LD-IAT D-scores and clinical measures/gamma power</w:t>
      </w:r>
    </w:p>
    <w:p w14:paraId="3C0D448B" w14:textId="43ABC094" w:rsidR="003F6AD1" w:rsidRPr="0049219A" w:rsidRDefault="003F6AD1" w:rsidP="00052E8E">
      <w:pPr>
        <w:widowControl w:val="0"/>
        <w:spacing w:line="480" w:lineRule="auto"/>
        <w:ind w:firstLine="720"/>
        <w:rPr>
          <w:rFonts w:ascii="Times New Roman" w:eastAsia="Times New Roman" w:hAnsi="Times New Roman" w:cs="Times New Roman"/>
          <w:iCs/>
          <w:color w:val="000000" w:themeColor="text1"/>
        </w:rPr>
      </w:pPr>
      <w:r w:rsidRPr="0049219A">
        <w:rPr>
          <w:rFonts w:ascii="Times New Roman" w:eastAsia="Times New Roman" w:hAnsi="Times New Roman" w:cs="Times New Roman"/>
          <w:iCs/>
          <w:color w:val="000000" w:themeColor="text1"/>
        </w:rPr>
        <w:t xml:space="preserve">Across the full sample, D-scores positively correlated with </w:t>
      </w:r>
      <w:r w:rsidR="00F938CA" w:rsidRPr="0049219A">
        <w:rPr>
          <w:rFonts w:ascii="Times New Roman" w:eastAsia="Times New Roman" w:hAnsi="Times New Roman" w:cs="Times New Roman"/>
          <w:iCs/>
          <w:color w:val="000000" w:themeColor="text1"/>
        </w:rPr>
        <w:t>Beck Depression Inventory-II (</w:t>
      </w:r>
      <w:r w:rsidRPr="0049219A">
        <w:rPr>
          <w:rFonts w:ascii="Times New Roman" w:eastAsia="Times New Roman" w:hAnsi="Times New Roman" w:cs="Times New Roman"/>
          <w:iCs/>
          <w:color w:val="000000" w:themeColor="text1"/>
        </w:rPr>
        <w:t>BDI-II</w:t>
      </w:r>
      <w:r w:rsidR="00F938CA"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=0.25,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&lt;0.05) and </w:t>
      </w:r>
      <w:r w:rsidR="00F938CA" w:rsidRPr="0049219A">
        <w:rPr>
          <w:rFonts w:ascii="Times New Roman" w:eastAsia="Times New Roman" w:hAnsi="Times New Roman" w:cs="Times New Roman"/>
          <w:iCs/>
          <w:color w:val="000000" w:themeColor="text1"/>
        </w:rPr>
        <w:t>Beck Hopelessness Scale (</w:t>
      </w:r>
      <w:r w:rsidRPr="0049219A">
        <w:rPr>
          <w:rFonts w:ascii="Times New Roman" w:eastAsia="Times New Roman" w:hAnsi="Times New Roman" w:cs="Times New Roman"/>
          <w:iCs/>
          <w:color w:val="000000" w:themeColor="text1"/>
        </w:rPr>
        <w:t>BHS</w:t>
      </w:r>
      <w:r w:rsidR="00F938CA"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=0.27,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&lt;0.05) scores, such that higher </w:t>
      </w:r>
      <w:r w:rsidR="00D40C5C" w:rsidRPr="0049219A">
        <w:rPr>
          <w:rFonts w:ascii="Times New Roman" w:eastAsia="Times New Roman" w:hAnsi="Times New Roman" w:cs="Times New Roman"/>
          <w:iCs/>
          <w:color w:val="000000" w:themeColor="text1"/>
        </w:rPr>
        <w:t xml:space="preserve">severity of depressive symptoms </w:t>
      </w:r>
      <w:r w:rsidRPr="0049219A">
        <w:rPr>
          <w:rFonts w:ascii="Times New Roman" w:eastAsia="Times New Roman" w:hAnsi="Times New Roman" w:cs="Times New Roman"/>
          <w:iCs/>
          <w:color w:val="000000" w:themeColor="text1"/>
        </w:rPr>
        <w:t xml:space="preserve">and hopelessness was associated with a greater self-death bias. Although non-significant, positive correlations were also observed between D-scores and </w:t>
      </w:r>
      <w:r w:rsidR="00C112ED" w:rsidRPr="0049219A">
        <w:rPr>
          <w:rFonts w:ascii="Times New Roman" w:eastAsia="Times New Roman" w:hAnsi="Times New Roman" w:cs="Times New Roman"/>
          <w:iCs/>
          <w:color w:val="000000" w:themeColor="text1"/>
        </w:rPr>
        <w:t>Montgomery-Asberg Depression Rating Scale (</w:t>
      </w:r>
      <w:r w:rsidRPr="0049219A">
        <w:rPr>
          <w:rFonts w:ascii="Times New Roman" w:eastAsia="Times New Roman" w:hAnsi="Times New Roman" w:cs="Times New Roman"/>
          <w:iCs/>
          <w:color w:val="000000" w:themeColor="text1"/>
        </w:rPr>
        <w:t>MADRS</w:t>
      </w:r>
      <w:r w:rsidR="00C112ED"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w:t>
      </w:r>
      <w:r w:rsidR="00C112ED" w:rsidRPr="0049219A">
        <w:rPr>
          <w:rFonts w:ascii="Times New Roman" w:eastAsia="Times New Roman" w:hAnsi="Times New Roman" w:cs="Times New Roman"/>
          <w:iCs/>
          <w:color w:val="000000" w:themeColor="text1"/>
        </w:rPr>
        <w:t>Snaith-Hamilton Pleasure Scale (</w:t>
      </w:r>
      <w:r w:rsidRPr="0049219A">
        <w:rPr>
          <w:rFonts w:ascii="Times New Roman" w:eastAsia="Times New Roman" w:hAnsi="Times New Roman" w:cs="Times New Roman"/>
          <w:iCs/>
          <w:color w:val="000000" w:themeColor="text1"/>
        </w:rPr>
        <w:t>SHAPS</w:t>
      </w:r>
      <w:r w:rsidR="00C112ED"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and </w:t>
      </w:r>
      <w:r w:rsidR="00C112ED" w:rsidRPr="0049219A">
        <w:rPr>
          <w:rFonts w:ascii="Times New Roman" w:eastAsia="Times New Roman" w:hAnsi="Times New Roman" w:cs="Times New Roman"/>
          <w:iCs/>
          <w:color w:val="000000" w:themeColor="text1"/>
        </w:rPr>
        <w:t>Scale for Suicide Ideation (</w:t>
      </w:r>
      <w:r w:rsidRPr="0049219A">
        <w:rPr>
          <w:rFonts w:ascii="Times New Roman" w:eastAsia="Times New Roman" w:hAnsi="Times New Roman" w:cs="Times New Roman"/>
          <w:iCs/>
          <w:color w:val="000000" w:themeColor="text1"/>
        </w:rPr>
        <w:t>SSI</w:t>
      </w:r>
      <w:r w:rsidR="00C112ED"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scores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s&gt;0.11). For the MoR and LR groups, D-scores were positively associated with BDI-II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=0.53,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&lt;0.05) and past SSI scores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=0.54,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&lt;0.05), respectively. Contrary to expectations, D-scores inversely correlated with both SHAPS and </w:t>
      </w:r>
      <w:r w:rsidR="00335328" w:rsidRPr="0049219A">
        <w:rPr>
          <w:rFonts w:ascii="Times New Roman" w:eastAsia="Times New Roman" w:hAnsi="Times New Roman" w:cs="Times New Roman"/>
          <w:iCs/>
          <w:color w:val="000000" w:themeColor="text1"/>
        </w:rPr>
        <w:t>Barratt Impulsiveness Scale (</w:t>
      </w:r>
      <w:r w:rsidRPr="0049219A">
        <w:rPr>
          <w:rFonts w:ascii="Times New Roman" w:eastAsia="Times New Roman" w:hAnsi="Times New Roman" w:cs="Times New Roman"/>
          <w:iCs/>
          <w:color w:val="000000" w:themeColor="text1"/>
        </w:rPr>
        <w:t>BIS</w:t>
      </w:r>
      <w:r w:rsidR="00335328" w:rsidRPr="0049219A">
        <w:rPr>
          <w:rFonts w:ascii="Times New Roman" w:eastAsia="Times New Roman" w:hAnsi="Times New Roman" w:cs="Times New Roman"/>
          <w:iCs/>
          <w:color w:val="000000" w:themeColor="text1"/>
        </w:rPr>
        <w:t>)</w:t>
      </w:r>
      <w:r w:rsidRPr="0049219A">
        <w:rPr>
          <w:rFonts w:ascii="Times New Roman" w:eastAsia="Times New Roman" w:hAnsi="Times New Roman" w:cs="Times New Roman"/>
          <w:iCs/>
          <w:color w:val="000000" w:themeColor="text1"/>
        </w:rPr>
        <w:t xml:space="preserve"> scores for the MinR group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s&lt;0.05), such that higher anhedonia and impulsivity </w:t>
      </w:r>
      <w:r w:rsidR="004301FE" w:rsidRPr="0049219A">
        <w:rPr>
          <w:rFonts w:ascii="Times New Roman" w:eastAsia="Times New Roman" w:hAnsi="Times New Roman" w:cs="Times New Roman"/>
          <w:iCs/>
          <w:color w:val="000000" w:themeColor="text1"/>
        </w:rPr>
        <w:t xml:space="preserve">were </w:t>
      </w:r>
      <w:r w:rsidRPr="0049219A">
        <w:rPr>
          <w:rFonts w:ascii="Times New Roman" w:eastAsia="Times New Roman" w:hAnsi="Times New Roman" w:cs="Times New Roman"/>
          <w:iCs/>
          <w:color w:val="000000" w:themeColor="text1"/>
        </w:rPr>
        <w:t>associated with a greater self-life bias.</w:t>
      </w:r>
    </w:p>
    <w:p w14:paraId="283C0396" w14:textId="5248A4E8" w:rsidR="003F6AD1" w:rsidRPr="0049219A" w:rsidRDefault="003F6AD1" w:rsidP="00052E8E">
      <w:pPr>
        <w:widowControl w:val="0"/>
        <w:spacing w:line="480" w:lineRule="auto"/>
        <w:rPr>
          <w:rFonts w:ascii="Times New Roman" w:eastAsia="Times New Roman" w:hAnsi="Times New Roman" w:cs="Times New Roman"/>
          <w:iCs/>
          <w:color w:val="000000" w:themeColor="text1"/>
        </w:rPr>
      </w:pPr>
      <w:r w:rsidRPr="0049219A">
        <w:rPr>
          <w:rFonts w:ascii="Times New Roman" w:eastAsia="Times New Roman" w:hAnsi="Times New Roman" w:cs="Times New Roman"/>
          <w:iCs/>
          <w:color w:val="000000" w:themeColor="text1"/>
        </w:rPr>
        <w:tab/>
        <w:t xml:space="preserve">Across brain regions, no significant correlations </w:t>
      </w:r>
      <w:r w:rsidR="00B26B3D" w:rsidRPr="0049219A">
        <w:rPr>
          <w:rFonts w:ascii="Times New Roman" w:eastAsia="Times New Roman" w:hAnsi="Times New Roman" w:cs="Times New Roman"/>
          <w:iCs/>
          <w:color w:val="000000" w:themeColor="text1"/>
        </w:rPr>
        <w:t xml:space="preserve">were </w:t>
      </w:r>
      <w:r w:rsidRPr="0049219A">
        <w:rPr>
          <w:rFonts w:ascii="Times New Roman" w:eastAsia="Times New Roman" w:hAnsi="Times New Roman" w:cs="Times New Roman"/>
          <w:iCs/>
          <w:color w:val="000000" w:themeColor="text1"/>
        </w:rPr>
        <w:t>observed in the full sample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s&gt;0.29). For the HR group, significant inverse correlations were observed between D-scores and gamma power in the OBF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s&gt;-0.50,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s&lt;0.05), as well as non-significant inverse correlations in the PCC and insula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s&gt;0.11). This suggests that a greater self-death bias was associated with lower gamma power in these regions. The opposite pattern was observed in the MinR group, which showed significant </w:t>
      </w:r>
      <w:r w:rsidRPr="0049219A">
        <w:rPr>
          <w:rFonts w:ascii="Times New Roman" w:eastAsia="Times New Roman" w:hAnsi="Times New Roman" w:cs="Times New Roman"/>
          <w:i/>
          <w:color w:val="000000" w:themeColor="text1"/>
        </w:rPr>
        <w:t>positive</w:t>
      </w:r>
      <w:r w:rsidRPr="0049219A">
        <w:rPr>
          <w:rFonts w:ascii="Times New Roman" w:eastAsia="Times New Roman" w:hAnsi="Times New Roman" w:cs="Times New Roman"/>
          <w:iCs/>
          <w:color w:val="000000" w:themeColor="text1"/>
        </w:rPr>
        <w:t xml:space="preserve"> correlations between D-scores and gamma power in the OBF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s&gt;0.53,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 xml:space="preserve">s&lt;0.03) and insula (self-death trials only; </w:t>
      </w:r>
      <w:r w:rsidRPr="0049219A">
        <w:rPr>
          <w:rFonts w:ascii="Times New Roman" w:eastAsia="Times New Roman" w:hAnsi="Times New Roman" w:cs="Times New Roman"/>
          <w:i/>
          <w:color w:val="000000" w:themeColor="text1"/>
        </w:rPr>
        <w:t>r</w:t>
      </w:r>
      <w:r w:rsidRPr="0049219A">
        <w:rPr>
          <w:rFonts w:ascii="Times New Roman" w:eastAsia="Times New Roman" w:hAnsi="Times New Roman" w:cs="Times New Roman"/>
          <w:iCs/>
          <w:color w:val="000000" w:themeColor="text1"/>
        </w:rPr>
        <w:t xml:space="preserve">=0.65,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&lt;0.01), as well as non-significant positive correlations in the PCC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s&gt;0.49). There were no significant correlations in the MoR or LR groups (</w:t>
      </w:r>
      <w:r w:rsidRPr="0049219A">
        <w:rPr>
          <w:rFonts w:ascii="Times New Roman" w:eastAsia="Times New Roman" w:hAnsi="Times New Roman" w:cs="Times New Roman"/>
          <w:i/>
          <w:color w:val="000000" w:themeColor="text1"/>
        </w:rPr>
        <w:t>p</w:t>
      </w:r>
      <w:r w:rsidRPr="0049219A">
        <w:rPr>
          <w:rFonts w:ascii="Times New Roman" w:eastAsia="Times New Roman" w:hAnsi="Times New Roman" w:cs="Times New Roman"/>
          <w:iCs/>
          <w:color w:val="000000" w:themeColor="text1"/>
        </w:rPr>
        <w:t>s&gt;0.18).</w:t>
      </w:r>
    </w:p>
    <w:p w14:paraId="552D0B09" w14:textId="77777777" w:rsidR="003F6AD1" w:rsidRPr="0049219A" w:rsidRDefault="003F6AD1" w:rsidP="00052E8E">
      <w:pPr>
        <w:spacing w:line="480" w:lineRule="auto"/>
        <w:rPr>
          <w:rFonts w:ascii="Times New Roman" w:hAnsi="Times New Roman" w:cs="Times New Roman"/>
          <w:i/>
          <w:iCs/>
          <w:color w:val="000000" w:themeColor="text1"/>
        </w:rPr>
      </w:pPr>
    </w:p>
    <w:p w14:paraId="2B7A99A9" w14:textId="23C913A5" w:rsidR="00FB50DD" w:rsidRPr="0049219A" w:rsidRDefault="00FB50DD" w:rsidP="00052E8E">
      <w:pPr>
        <w:spacing w:line="480" w:lineRule="auto"/>
        <w:rPr>
          <w:rFonts w:ascii="Times New Roman" w:hAnsi="Times New Roman" w:cs="Times New Roman"/>
          <w:i/>
          <w:iCs/>
          <w:color w:val="000000" w:themeColor="text1"/>
        </w:rPr>
      </w:pPr>
      <w:r w:rsidRPr="0049219A">
        <w:rPr>
          <w:rFonts w:ascii="Times New Roman" w:hAnsi="Times New Roman" w:cs="Times New Roman"/>
          <w:i/>
          <w:iCs/>
          <w:color w:val="000000" w:themeColor="text1"/>
        </w:rPr>
        <w:t>Ketamine</w:t>
      </w:r>
      <w:r w:rsidR="00B26B3D" w:rsidRPr="0049219A">
        <w:rPr>
          <w:rFonts w:ascii="Times New Roman" w:hAnsi="Times New Roman" w:cs="Times New Roman"/>
          <w:i/>
          <w:iCs/>
          <w:color w:val="000000" w:themeColor="text1"/>
        </w:rPr>
        <w:t>’s</w:t>
      </w:r>
      <w:r w:rsidRPr="0049219A">
        <w:rPr>
          <w:rFonts w:ascii="Times New Roman" w:hAnsi="Times New Roman" w:cs="Times New Roman"/>
          <w:i/>
          <w:iCs/>
          <w:color w:val="000000" w:themeColor="text1"/>
        </w:rPr>
        <w:t xml:space="preserve"> effects on clinical measures </w:t>
      </w:r>
      <w:r w:rsidR="00B26B3D" w:rsidRPr="0049219A">
        <w:rPr>
          <w:rFonts w:ascii="Times New Roman" w:hAnsi="Times New Roman" w:cs="Times New Roman"/>
          <w:i/>
          <w:iCs/>
          <w:color w:val="000000" w:themeColor="text1"/>
        </w:rPr>
        <w:t>and</w:t>
      </w:r>
      <w:r w:rsidRPr="0049219A">
        <w:rPr>
          <w:rFonts w:ascii="Times New Roman" w:hAnsi="Times New Roman" w:cs="Times New Roman"/>
          <w:i/>
          <w:iCs/>
          <w:color w:val="000000" w:themeColor="text1"/>
        </w:rPr>
        <w:t xml:space="preserve"> LD-IAT D-score</w:t>
      </w:r>
    </w:p>
    <w:p w14:paraId="32508860" w14:textId="3A9A5C66" w:rsidR="00FB50DD" w:rsidRPr="0049219A" w:rsidRDefault="00FB50DD" w:rsidP="00052E8E">
      <w:pPr>
        <w:spacing w:line="480" w:lineRule="auto"/>
        <w:rPr>
          <w:rFonts w:ascii="Times New Roman" w:hAnsi="Times New Roman" w:cs="Times New Roman"/>
          <w:color w:val="000000" w:themeColor="text1"/>
        </w:rPr>
      </w:pPr>
      <w:r w:rsidRPr="0049219A">
        <w:rPr>
          <w:rFonts w:ascii="Times New Roman" w:hAnsi="Times New Roman" w:cs="Times New Roman"/>
          <w:color w:val="000000" w:themeColor="text1"/>
        </w:rPr>
        <w:lastRenderedPageBreak/>
        <w:tab/>
      </w:r>
      <w:r w:rsidR="00B26B3D" w:rsidRPr="0049219A">
        <w:rPr>
          <w:rFonts w:ascii="Times New Roman" w:hAnsi="Times New Roman" w:cs="Times New Roman"/>
          <w:color w:val="000000" w:themeColor="text1"/>
        </w:rPr>
        <w:t>K</w:t>
      </w:r>
      <w:r w:rsidRPr="0049219A">
        <w:rPr>
          <w:rFonts w:ascii="Times New Roman" w:hAnsi="Times New Roman" w:cs="Times New Roman"/>
          <w:color w:val="000000" w:themeColor="text1"/>
        </w:rPr>
        <w:t>etamine administration did not alter LD-IAT D-scores compared to baseline</w:t>
      </w:r>
      <w:r w:rsidR="00662284" w:rsidRPr="0049219A">
        <w:rPr>
          <w:rFonts w:ascii="Times New Roman" w:hAnsi="Times New Roman" w:cs="Times New Roman"/>
          <w:color w:val="000000" w:themeColor="text1"/>
        </w:rPr>
        <w:t xml:space="preserve"> (</w:t>
      </w:r>
      <w:r w:rsidR="00662284" w:rsidRPr="0049219A">
        <w:rPr>
          <w:rFonts w:ascii="Times New Roman" w:hAnsi="Times New Roman" w:cs="Times New Roman"/>
          <w:b/>
          <w:bCs/>
          <w:color w:val="000000" w:themeColor="text1"/>
        </w:rPr>
        <w:t>Supplemental</w:t>
      </w:r>
      <w:r w:rsidR="00662284" w:rsidRPr="0049219A">
        <w:rPr>
          <w:rFonts w:ascii="Times New Roman" w:hAnsi="Times New Roman" w:cs="Times New Roman"/>
          <w:color w:val="000000" w:themeColor="text1"/>
        </w:rPr>
        <w:t xml:space="preserve"> </w:t>
      </w:r>
      <w:r w:rsidR="00662284" w:rsidRPr="0049219A">
        <w:rPr>
          <w:rFonts w:ascii="Times New Roman" w:hAnsi="Times New Roman" w:cs="Times New Roman"/>
          <w:b/>
          <w:bCs/>
          <w:color w:val="000000" w:themeColor="text1"/>
        </w:rPr>
        <w:t>Table S</w:t>
      </w:r>
      <w:r w:rsidR="0050727F" w:rsidRPr="0049219A">
        <w:rPr>
          <w:rFonts w:ascii="Times New Roman" w:hAnsi="Times New Roman" w:cs="Times New Roman"/>
          <w:b/>
          <w:bCs/>
          <w:color w:val="000000" w:themeColor="text1"/>
        </w:rPr>
        <w:t>4</w:t>
      </w:r>
      <w:r w:rsidR="00662284"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however, ketamine significantly decreased BDI-II and BHS scores relative to baseline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s&lt;0.05)</w:t>
      </w:r>
      <w:r w:rsidR="00662284" w:rsidRPr="0049219A">
        <w:rPr>
          <w:rFonts w:ascii="Times New Roman" w:hAnsi="Times New Roman" w:cs="Times New Roman"/>
          <w:color w:val="000000" w:themeColor="text1"/>
        </w:rPr>
        <w:t>.</w:t>
      </w:r>
      <w:r w:rsidR="00B26B3D" w:rsidRPr="0049219A">
        <w:rPr>
          <w:rFonts w:ascii="Times New Roman" w:hAnsi="Times New Roman" w:cs="Times New Roman"/>
          <w:color w:val="000000" w:themeColor="text1"/>
        </w:rPr>
        <w:t xml:space="preserve"> </w:t>
      </w:r>
      <w:r w:rsidRPr="0049219A">
        <w:rPr>
          <w:rFonts w:ascii="Times New Roman" w:hAnsi="Times New Roman" w:cs="Times New Roman"/>
          <w:color w:val="000000" w:themeColor="text1"/>
        </w:rPr>
        <w:t>Although ketamine decreased MADRS, SHAPS, and SSI scores relative to baseline, these effects did not reach statistical significance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 xml:space="preserve">s&gt;0.06). Notably, the Cohen’s </w:t>
      </w:r>
      <w:r w:rsidRPr="0049219A">
        <w:rPr>
          <w:rFonts w:ascii="Times New Roman" w:hAnsi="Times New Roman" w:cs="Times New Roman"/>
          <w:i/>
          <w:iCs/>
          <w:color w:val="000000" w:themeColor="text1"/>
        </w:rPr>
        <w:t>d</w:t>
      </w:r>
      <w:r w:rsidRPr="0049219A">
        <w:rPr>
          <w:rFonts w:ascii="Times New Roman" w:hAnsi="Times New Roman" w:cs="Times New Roman"/>
          <w:color w:val="000000" w:themeColor="text1"/>
        </w:rPr>
        <w:t xml:space="preserve"> effect sizes were large for the SHAPS and SSI effects (</w:t>
      </w:r>
      <w:r w:rsidRPr="0049219A">
        <w:rPr>
          <w:rFonts w:ascii="Times New Roman" w:hAnsi="Times New Roman" w:cs="Times New Roman"/>
          <w:i/>
          <w:iCs/>
          <w:color w:val="000000" w:themeColor="text1"/>
        </w:rPr>
        <w:t>d</w:t>
      </w:r>
      <w:r w:rsidRPr="0049219A">
        <w:rPr>
          <w:rFonts w:ascii="Times New Roman" w:hAnsi="Times New Roman" w:cs="Times New Roman"/>
          <w:color w:val="000000" w:themeColor="text1"/>
        </w:rPr>
        <w:t>s&gt;0.98).</w:t>
      </w:r>
    </w:p>
    <w:p w14:paraId="47BD08C2" w14:textId="3D0DAA53" w:rsidR="00FB50DD" w:rsidRPr="0049219A" w:rsidRDefault="000919F5" w:rsidP="00052E8E">
      <w:pPr>
        <w:spacing w:line="480" w:lineRule="auto"/>
        <w:ind w:firstLine="720"/>
        <w:rPr>
          <w:rFonts w:ascii="Times New Roman" w:hAnsi="Times New Roman" w:cs="Times New Roman"/>
          <w:color w:val="000000" w:themeColor="text1"/>
        </w:rPr>
      </w:pPr>
      <w:r w:rsidRPr="0049219A">
        <w:rPr>
          <w:rFonts w:ascii="Times New Roman" w:hAnsi="Times New Roman" w:cs="Times New Roman"/>
          <w:color w:val="000000" w:themeColor="text1"/>
        </w:rPr>
        <w:t>A</w:t>
      </w:r>
      <w:r w:rsidR="00FB50DD" w:rsidRPr="0049219A">
        <w:rPr>
          <w:rFonts w:ascii="Times New Roman" w:hAnsi="Times New Roman" w:cs="Times New Roman"/>
          <w:color w:val="000000" w:themeColor="text1"/>
        </w:rPr>
        <w:t>n inverse correlation emerged between post-ketamine D-scores and self-death gamma power in the left insula (</w:t>
      </w:r>
      <w:r w:rsidR="00FB50DD" w:rsidRPr="0049219A">
        <w:rPr>
          <w:rFonts w:ascii="Times New Roman" w:hAnsi="Times New Roman" w:cs="Times New Roman"/>
          <w:i/>
          <w:iCs/>
          <w:color w:val="000000" w:themeColor="text1"/>
        </w:rPr>
        <w:t>r</w:t>
      </w:r>
      <w:r w:rsidR="00FB50DD" w:rsidRPr="0049219A">
        <w:rPr>
          <w:rFonts w:ascii="Times New Roman" w:hAnsi="Times New Roman" w:cs="Times New Roman"/>
          <w:color w:val="000000" w:themeColor="text1"/>
        </w:rPr>
        <w:t xml:space="preserve">=-0.89, </w:t>
      </w:r>
      <w:r w:rsidR="00FB50DD" w:rsidRPr="0049219A">
        <w:rPr>
          <w:rFonts w:ascii="Times New Roman" w:hAnsi="Times New Roman" w:cs="Times New Roman"/>
          <w:i/>
          <w:iCs/>
          <w:color w:val="000000" w:themeColor="text1"/>
        </w:rPr>
        <w:t>p</w:t>
      </w:r>
      <w:r w:rsidR="00FB50DD" w:rsidRPr="0049219A">
        <w:rPr>
          <w:rFonts w:ascii="Times New Roman" w:hAnsi="Times New Roman" w:cs="Times New Roman"/>
          <w:color w:val="000000" w:themeColor="text1"/>
        </w:rPr>
        <w:t>&lt;0.05), such that lower D-scores (denoting a self-life bias) were associated with higher gamma power in this region</w:t>
      </w:r>
      <w:r w:rsidRPr="0049219A">
        <w:rPr>
          <w:rFonts w:ascii="Times New Roman" w:hAnsi="Times New Roman" w:cs="Times New Roman"/>
          <w:color w:val="000000" w:themeColor="text1"/>
        </w:rPr>
        <w:t xml:space="preserve"> (</w:t>
      </w:r>
      <w:r w:rsidRPr="0049219A">
        <w:rPr>
          <w:rFonts w:ascii="Times New Roman" w:hAnsi="Times New Roman" w:cs="Times New Roman"/>
          <w:b/>
          <w:bCs/>
          <w:color w:val="000000" w:themeColor="text1"/>
        </w:rPr>
        <w:t>Supplemental Table S</w:t>
      </w:r>
      <w:r w:rsidR="0050727F" w:rsidRPr="0049219A">
        <w:rPr>
          <w:rFonts w:ascii="Times New Roman" w:hAnsi="Times New Roman" w:cs="Times New Roman"/>
          <w:b/>
          <w:bCs/>
          <w:color w:val="000000" w:themeColor="text1"/>
        </w:rPr>
        <w:t>5</w:t>
      </w:r>
      <w:r w:rsidRPr="0049219A">
        <w:rPr>
          <w:rFonts w:ascii="Times New Roman" w:hAnsi="Times New Roman" w:cs="Times New Roman"/>
          <w:b/>
          <w:bCs/>
          <w:color w:val="000000" w:themeColor="text1"/>
        </w:rPr>
        <w:t>)</w:t>
      </w:r>
      <w:r w:rsidR="00FB50DD" w:rsidRPr="0049219A">
        <w:rPr>
          <w:rFonts w:ascii="Times New Roman" w:hAnsi="Times New Roman" w:cs="Times New Roman"/>
          <w:color w:val="000000" w:themeColor="text1"/>
        </w:rPr>
        <w:t xml:space="preserve">. </w:t>
      </w:r>
    </w:p>
    <w:p w14:paraId="3A05CCC0" w14:textId="7196798E" w:rsidR="00FB50DD" w:rsidRPr="0049219A" w:rsidRDefault="00FB50DD" w:rsidP="00052E8E">
      <w:pPr>
        <w:spacing w:line="480" w:lineRule="auto"/>
        <w:ind w:firstLine="720"/>
        <w:rPr>
          <w:rFonts w:ascii="Times New Roman" w:hAnsi="Times New Roman" w:cs="Times New Roman"/>
          <w:color w:val="000000" w:themeColor="text1"/>
        </w:rPr>
      </w:pPr>
      <w:r w:rsidRPr="0049219A">
        <w:rPr>
          <w:rFonts w:ascii="Times New Roman" w:hAnsi="Times New Roman" w:cs="Times New Roman"/>
          <w:color w:val="000000" w:themeColor="text1"/>
        </w:rPr>
        <w:t>At baseline, higher MADRS scores were associated with lower gamma power in the right insula (</w:t>
      </w:r>
      <w:r w:rsidRPr="0049219A">
        <w:rPr>
          <w:rFonts w:ascii="Times New Roman" w:hAnsi="Times New Roman" w:cs="Times New Roman"/>
          <w:i/>
          <w:iCs/>
          <w:color w:val="000000" w:themeColor="text1"/>
        </w:rPr>
        <w:t>r</w:t>
      </w:r>
      <w:r w:rsidRPr="0049219A">
        <w:rPr>
          <w:rFonts w:ascii="Times New Roman" w:hAnsi="Times New Roman" w:cs="Times New Roman"/>
          <w:color w:val="000000" w:themeColor="text1"/>
        </w:rPr>
        <w:t xml:space="preserve">=-0.89,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=0.04). The same relationship was identified after ketamine administration (</w:t>
      </w:r>
      <w:r w:rsidRPr="0049219A">
        <w:rPr>
          <w:rFonts w:ascii="Times New Roman" w:hAnsi="Times New Roman" w:cs="Times New Roman"/>
          <w:i/>
          <w:iCs/>
          <w:color w:val="000000" w:themeColor="text1"/>
        </w:rPr>
        <w:t>r</w:t>
      </w:r>
      <w:r w:rsidRPr="0049219A">
        <w:rPr>
          <w:rFonts w:ascii="Times New Roman" w:hAnsi="Times New Roman" w:cs="Times New Roman"/>
          <w:color w:val="000000" w:themeColor="text1"/>
        </w:rPr>
        <w:t xml:space="preserve">=-0.93,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=0.02). Interestingly, baseline BDI-II scores correlated positively with post-ketamine left insular gamma power for self-life (</w:t>
      </w:r>
      <w:r w:rsidRPr="0049219A">
        <w:rPr>
          <w:rFonts w:ascii="Times New Roman" w:hAnsi="Times New Roman" w:cs="Times New Roman"/>
          <w:i/>
          <w:iCs/>
          <w:color w:val="000000" w:themeColor="text1"/>
        </w:rPr>
        <w:t>r</w:t>
      </w:r>
      <w:r w:rsidRPr="0049219A">
        <w:rPr>
          <w:rFonts w:ascii="Times New Roman" w:hAnsi="Times New Roman" w:cs="Times New Roman"/>
          <w:color w:val="000000" w:themeColor="text1"/>
        </w:rPr>
        <w:t xml:space="preserve">=0.94,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=0.02) and self-death (</w:t>
      </w:r>
      <w:r w:rsidRPr="0049219A">
        <w:rPr>
          <w:rFonts w:ascii="Times New Roman" w:hAnsi="Times New Roman" w:cs="Times New Roman"/>
          <w:i/>
          <w:iCs/>
          <w:color w:val="000000" w:themeColor="text1"/>
        </w:rPr>
        <w:t>r</w:t>
      </w:r>
      <w:r w:rsidRPr="0049219A">
        <w:rPr>
          <w:rFonts w:ascii="Times New Roman" w:hAnsi="Times New Roman" w:cs="Times New Roman"/>
          <w:color w:val="000000" w:themeColor="text1"/>
        </w:rPr>
        <w:t xml:space="preserve">=0.90,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=0.04) trials, perhaps suggesting that ketamine has more pronounced effects on insular gamma power in those with greater severity</w:t>
      </w:r>
      <w:r w:rsidR="009027FC" w:rsidRPr="0049219A">
        <w:rPr>
          <w:rFonts w:ascii="Times New Roman" w:hAnsi="Times New Roman" w:cs="Times New Roman"/>
          <w:color w:val="000000" w:themeColor="text1"/>
        </w:rPr>
        <w:t xml:space="preserve"> of depressive symptoms</w:t>
      </w:r>
      <w:r w:rsidRPr="0049219A">
        <w:rPr>
          <w:rFonts w:ascii="Times New Roman" w:hAnsi="Times New Roman" w:cs="Times New Roman"/>
          <w:color w:val="000000" w:themeColor="text1"/>
        </w:rPr>
        <w:t>. No other effects emerged between clinical measures and D-scores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s&gt;0.08) or gamma power (</w:t>
      </w: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s&gt;0.14) before and after ketamine administration.</w:t>
      </w:r>
    </w:p>
    <w:p w14:paraId="67ED9ADB" w14:textId="77777777" w:rsidR="005F1246" w:rsidRPr="0049219A" w:rsidRDefault="005F1246" w:rsidP="00052E8E">
      <w:pPr>
        <w:spacing w:line="480" w:lineRule="auto"/>
        <w:rPr>
          <w:rFonts w:ascii="Times New Roman" w:hAnsi="Times New Roman" w:cs="Times New Roman"/>
          <w:b/>
          <w:bCs/>
          <w:color w:val="000000" w:themeColor="text1"/>
        </w:rPr>
      </w:pPr>
    </w:p>
    <w:p w14:paraId="12CCFDA9" w14:textId="5E82182F" w:rsidR="0040588A" w:rsidRPr="0049219A" w:rsidRDefault="005F1246" w:rsidP="00052E8E">
      <w:pPr>
        <w:spacing w:line="480" w:lineRule="auto"/>
        <w:rPr>
          <w:rFonts w:ascii="Times New Roman" w:hAnsi="Times New Roman" w:cs="Times New Roman"/>
          <w:b/>
          <w:bCs/>
          <w:color w:val="000000" w:themeColor="text1"/>
        </w:rPr>
      </w:pPr>
      <w:r w:rsidRPr="0049219A">
        <w:rPr>
          <w:rFonts w:ascii="Times New Roman" w:hAnsi="Times New Roman" w:cs="Times New Roman"/>
          <w:b/>
          <w:bCs/>
          <w:color w:val="000000" w:themeColor="text1"/>
        </w:rPr>
        <w:t xml:space="preserve">Supplemental </w:t>
      </w:r>
      <w:r w:rsidR="0040588A" w:rsidRPr="0049219A">
        <w:rPr>
          <w:rFonts w:ascii="Times New Roman" w:hAnsi="Times New Roman" w:cs="Times New Roman"/>
          <w:b/>
          <w:bCs/>
          <w:color w:val="000000" w:themeColor="text1"/>
        </w:rPr>
        <w:t>References</w:t>
      </w:r>
    </w:p>
    <w:p w14:paraId="063739E9" w14:textId="154DD11D" w:rsidR="0040588A" w:rsidRPr="0049219A" w:rsidRDefault="005B65B9" w:rsidP="00052E8E">
      <w:pPr>
        <w:spacing w:line="480" w:lineRule="auto"/>
        <w:rPr>
          <w:rFonts w:ascii="Times New Roman" w:hAnsi="Times New Roman" w:cs="Times New Roman"/>
          <w:color w:val="000000" w:themeColor="text1"/>
          <w:shd w:val="clear" w:color="auto" w:fill="FFFFFF"/>
        </w:rPr>
      </w:pPr>
      <w:r w:rsidRPr="0049219A">
        <w:rPr>
          <w:rFonts w:ascii="Times New Roman" w:hAnsi="Times New Roman" w:cs="Times New Roman"/>
          <w:color w:val="000000" w:themeColor="text1"/>
          <w:shd w:val="clear" w:color="auto" w:fill="FFFFFF"/>
        </w:rPr>
        <w:t>Ballard, E. D., Waldman, L., Yarrington, J. S., Gerlus, N., Newman, L. E., Lee, L., ... &amp; Zarate Jr, C. A. (2020). Neurobiological research with suicidal participants: A framework for investigators. </w:t>
      </w:r>
      <w:r w:rsidRPr="0049219A">
        <w:rPr>
          <w:rFonts w:ascii="Times New Roman" w:hAnsi="Times New Roman" w:cs="Times New Roman"/>
          <w:i/>
          <w:iCs/>
          <w:color w:val="000000" w:themeColor="text1"/>
          <w:shd w:val="clear" w:color="auto" w:fill="FFFFFF"/>
        </w:rPr>
        <w:t xml:space="preserve">General </w:t>
      </w:r>
      <w:r w:rsidR="00A30752" w:rsidRPr="0049219A">
        <w:rPr>
          <w:rFonts w:ascii="Times New Roman" w:hAnsi="Times New Roman" w:cs="Times New Roman"/>
          <w:i/>
          <w:iCs/>
          <w:color w:val="000000" w:themeColor="text1"/>
          <w:shd w:val="clear" w:color="auto" w:fill="FFFFFF"/>
        </w:rPr>
        <w:t>H</w:t>
      </w:r>
      <w:r w:rsidRPr="0049219A">
        <w:rPr>
          <w:rFonts w:ascii="Times New Roman" w:hAnsi="Times New Roman" w:cs="Times New Roman"/>
          <w:i/>
          <w:iCs/>
          <w:color w:val="000000" w:themeColor="text1"/>
          <w:shd w:val="clear" w:color="auto" w:fill="FFFFFF"/>
        </w:rPr>
        <w:t xml:space="preserve">ospital </w:t>
      </w:r>
      <w:r w:rsidR="00A30752" w:rsidRPr="0049219A">
        <w:rPr>
          <w:rFonts w:ascii="Times New Roman" w:hAnsi="Times New Roman" w:cs="Times New Roman"/>
          <w:i/>
          <w:iCs/>
          <w:color w:val="000000" w:themeColor="text1"/>
          <w:shd w:val="clear" w:color="auto" w:fill="FFFFFF"/>
        </w:rPr>
        <w:t>P</w:t>
      </w:r>
      <w:r w:rsidRPr="0049219A">
        <w:rPr>
          <w:rFonts w:ascii="Times New Roman" w:hAnsi="Times New Roman" w:cs="Times New Roman"/>
          <w:i/>
          <w:iCs/>
          <w:color w:val="000000" w:themeColor="text1"/>
          <w:shd w:val="clear" w:color="auto" w:fill="FFFFFF"/>
        </w:rPr>
        <w:t>sychiatry</w:t>
      </w:r>
      <w:r w:rsidRPr="0049219A">
        <w:rPr>
          <w:rFonts w:ascii="Times New Roman" w:hAnsi="Times New Roman" w:cs="Times New Roman"/>
          <w:color w:val="000000" w:themeColor="text1"/>
          <w:shd w:val="clear" w:color="auto" w:fill="FFFFFF"/>
        </w:rPr>
        <w:t>, </w:t>
      </w:r>
      <w:r w:rsidRPr="0049219A">
        <w:rPr>
          <w:rFonts w:ascii="Times New Roman" w:hAnsi="Times New Roman" w:cs="Times New Roman"/>
          <w:i/>
          <w:iCs/>
          <w:color w:val="000000" w:themeColor="text1"/>
          <w:shd w:val="clear" w:color="auto" w:fill="FFFFFF"/>
        </w:rPr>
        <w:t>62</w:t>
      </w:r>
      <w:r w:rsidRPr="0049219A">
        <w:rPr>
          <w:rFonts w:ascii="Times New Roman" w:hAnsi="Times New Roman" w:cs="Times New Roman"/>
          <w:color w:val="000000" w:themeColor="text1"/>
          <w:shd w:val="clear" w:color="auto" w:fill="FFFFFF"/>
        </w:rPr>
        <w:t>, 43-48.</w:t>
      </w:r>
      <w:r w:rsidR="00193AB7" w:rsidRPr="0049219A">
        <w:rPr>
          <w:rFonts w:ascii="Times New Roman" w:hAnsi="Times New Roman" w:cs="Times New Roman"/>
          <w:color w:val="000000" w:themeColor="text1"/>
          <w:shd w:val="clear" w:color="auto" w:fill="FFFFFF"/>
        </w:rPr>
        <w:t xml:space="preserve"> </w:t>
      </w:r>
      <w:r w:rsidR="00A30752" w:rsidRPr="0049219A">
        <w:rPr>
          <w:rFonts w:ascii="Times New Roman" w:hAnsi="Times New Roman" w:cs="Times New Roman"/>
          <w:color w:val="000000" w:themeColor="text1"/>
          <w:shd w:val="clear" w:color="auto" w:fill="FFFFFF"/>
        </w:rPr>
        <w:t>d</w:t>
      </w:r>
      <w:r w:rsidR="00193AB7" w:rsidRPr="0049219A">
        <w:rPr>
          <w:rFonts w:ascii="Times New Roman" w:hAnsi="Times New Roman" w:cs="Times New Roman"/>
          <w:color w:val="000000" w:themeColor="text1"/>
          <w:shd w:val="clear" w:color="auto" w:fill="FFFFFF"/>
        </w:rPr>
        <w:t xml:space="preserve">oi: </w:t>
      </w:r>
      <w:hyperlink r:id="rId7" w:tgtFrame="_blank" w:tooltip="Persistent link using digital object identifier" w:history="1">
        <w:r w:rsidR="00193AB7" w:rsidRPr="0049219A">
          <w:rPr>
            <w:rStyle w:val="anchor-text"/>
            <w:rFonts w:ascii="Times New Roman" w:hAnsi="Times New Roman" w:cs="Times New Roman"/>
            <w:color w:val="000000" w:themeColor="text1"/>
          </w:rPr>
          <w:t>https://doi.org/10.1016/j.genhosppsych.2019.11.007</w:t>
        </w:r>
      </w:hyperlink>
    </w:p>
    <w:p w14:paraId="15189160" w14:textId="77777777" w:rsidR="00193AB7" w:rsidRPr="0049219A" w:rsidRDefault="00193AB7" w:rsidP="00193AB7">
      <w:pPr>
        <w:spacing w:line="480" w:lineRule="auto"/>
        <w:rPr>
          <w:rFonts w:ascii="Times New Roman" w:hAnsi="Times New Roman" w:cs="Times New Roman"/>
          <w:color w:val="000000" w:themeColor="text1"/>
          <w:shd w:val="clear" w:color="auto" w:fill="FFFFFF"/>
        </w:rPr>
      </w:pPr>
    </w:p>
    <w:p w14:paraId="4A16AB86" w14:textId="7C7EDFA4" w:rsidR="00193AB7" w:rsidRPr="0049219A" w:rsidRDefault="00193AB7" w:rsidP="00193AB7">
      <w:pPr>
        <w:spacing w:line="480" w:lineRule="auto"/>
        <w:rPr>
          <w:rFonts w:ascii="Times New Roman" w:hAnsi="Times New Roman" w:cs="Times New Roman"/>
          <w:color w:val="000000" w:themeColor="text1"/>
          <w:shd w:val="clear" w:color="auto" w:fill="FFFFFF"/>
        </w:rPr>
      </w:pPr>
      <w:r w:rsidRPr="0049219A">
        <w:rPr>
          <w:rFonts w:ascii="Times New Roman" w:hAnsi="Times New Roman" w:cs="Times New Roman"/>
          <w:color w:val="000000" w:themeColor="text1"/>
          <w:shd w:val="clear" w:color="auto" w:fill="FFFFFF"/>
        </w:rPr>
        <w:lastRenderedPageBreak/>
        <w:t>Gilbert, J. R., &amp; Moran, R. J. (2016). Inputs to prefrontal cortex support visual recognition in the aging brain. </w:t>
      </w:r>
      <w:r w:rsidRPr="0049219A">
        <w:rPr>
          <w:rFonts w:ascii="Times New Roman" w:hAnsi="Times New Roman" w:cs="Times New Roman"/>
          <w:i/>
          <w:iCs/>
          <w:color w:val="000000" w:themeColor="text1"/>
          <w:shd w:val="clear" w:color="auto" w:fill="FFFFFF"/>
        </w:rPr>
        <w:t xml:space="preserve">Scientific </w:t>
      </w:r>
      <w:r w:rsidR="00A30752" w:rsidRPr="0049219A">
        <w:rPr>
          <w:rFonts w:ascii="Times New Roman" w:hAnsi="Times New Roman" w:cs="Times New Roman"/>
          <w:i/>
          <w:iCs/>
          <w:color w:val="000000" w:themeColor="text1"/>
          <w:shd w:val="clear" w:color="auto" w:fill="FFFFFF"/>
        </w:rPr>
        <w:t>R</w:t>
      </w:r>
      <w:r w:rsidRPr="0049219A">
        <w:rPr>
          <w:rFonts w:ascii="Times New Roman" w:hAnsi="Times New Roman" w:cs="Times New Roman"/>
          <w:i/>
          <w:iCs/>
          <w:color w:val="000000" w:themeColor="text1"/>
          <w:shd w:val="clear" w:color="auto" w:fill="FFFFFF"/>
        </w:rPr>
        <w:t>eports</w:t>
      </w:r>
      <w:r w:rsidRPr="0049219A">
        <w:rPr>
          <w:rFonts w:ascii="Times New Roman" w:hAnsi="Times New Roman" w:cs="Times New Roman"/>
          <w:color w:val="000000" w:themeColor="text1"/>
          <w:shd w:val="clear" w:color="auto" w:fill="FFFFFF"/>
        </w:rPr>
        <w:t>, </w:t>
      </w:r>
      <w:r w:rsidRPr="0049219A">
        <w:rPr>
          <w:rFonts w:ascii="Times New Roman" w:hAnsi="Times New Roman" w:cs="Times New Roman"/>
          <w:i/>
          <w:iCs/>
          <w:color w:val="000000" w:themeColor="text1"/>
          <w:shd w:val="clear" w:color="auto" w:fill="FFFFFF"/>
        </w:rPr>
        <w:t>6</w:t>
      </w:r>
      <w:r w:rsidRPr="0049219A">
        <w:rPr>
          <w:rFonts w:ascii="Times New Roman" w:hAnsi="Times New Roman" w:cs="Times New Roman"/>
          <w:color w:val="000000" w:themeColor="text1"/>
          <w:shd w:val="clear" w:color="auto" w:fill="FFFFFF"/>
        </w:rPr>
        <w:t xml:space="preserve">(1), 1-9. </w:t>
      </w:r>
      <w:r w:rsidR="00A30752" w:rsidRPr="0049219A">
        <w:rPr>
          <w:rFonts w:ascii="Times New Roman" w:hAnsi="Times New Roman" w:cs="Times New Roman"/>
          <w:color w:val="000000" w:themeColor="text1"/>
          <w:shd w:val="clear" w:color="auto" w:fill="FFFFFF"/>
        </w:rPr>
        <w:t>d</w:t>
      </w:r>
      <w:r w:rsidRPr="0049219A">
        <w:rPr>
          <w:rFonts w:ascii="Times New Roman" w:hAnsi="Times New Roman" w:cs="Times New Roman"/>
          <w:color w:val="000000" w:themeColor="text1"/>
          <w:shd w:val="clear" w:color="auto" w:fill="FFFFFF"/>
        </w:rPr>
        <w:t>oi: https://doi.org/</w:t>
      </w:r>
      <w:r w:rsidRPr="0049219A">
        <w:rPr>
          <w:rFonts w:ascii="Times New Roman" w:eastAsiaTheme="minorHAnsi" w:hAnsi="Times New Roman" w:cs="Times New Roman"/>
          <w:color w:val="000000" w:themeColor="text1"/>
        </w:rPr>
        <w:t>10.1038/srep31943</w:t>
      </w:r>
    </w:p>
    <w:p w14:paraId="79E8D63E" w14:textId="6597E503" w:rsidR="0040588A" w:rsidRPr="0049219A" w:rsidRDefault="0040588A" w:rsidP="00052E8E">
      <w:pPr>
        <w:spacing w:line="480" w:lineRule="auto"/>
        <w:rPr>
          <w:color w:val="000000" w:themeColor="text1"/>
        </w:rPr>
      </w:pPr>
    </w:p>
    <w:p w14:paraId="66B0649D" w14:textId="5BDABDE8" w:rsidR="009E6E99" w:rsidRPr="0049219A" w:rsidRDefault="009E6E99" w:rsidP="009E6E99">
      <w:pPr>
        <w:spacing w:line="480" w:lineRule="auto"/>
        <w:rPr>
          <w:rFonts w:ascii="Times New Roman" w:hAnsi="Times New Roman" w:cs="Times New Roman"/>
          <w:color w:val="000000" w:themeColor="text1"/>
        </w:rPr>
      </w:pPr>
      <w:r w:rsidRPr="0049219A">
        <w:rPr>
          <w:rFonts w:ascii="Times New Roman" w:hAnsi="Times New Roman" w:cs="Times New Roman"/>
          <w:color w:val="000000" w:themeColor="text1"/>
          <w:shd w:val="clear" w:color="auto" w:fill="FFFFFF"/>
        </w:rPr>
        <w:t>Lee, M. D., &amp; Wagenmakers, E. J. (2014). </w:t>
      </w:r>
      <w:r w:rsidRPr="0049219A">
        <w:rPr>
          <w:rFonts w:ascii="Times New Roman" w:hAnsi="Times New Roman" w:cs="Times New Roman"/>
          <w:i/>
          <w:iCs/>
          <w:color w:val="000000" w:themeColor="text1"/>
          <w:shd w:val="clear" w:color="auto" w:fill="FFFFFF"/>
        </w:rPr>
        <w:t>Bayesian Cognitive Modeling: A Practical Course</w:t>
      </w:r>
      <w:r w:rsidRPr="0049219A">
        <w:rPr>
          <w:rFonts w:ascii="Times New Roman" w:hAnsi="Times New Roman" w:cs="Times New Roman"/>
          <w:color w:val="000000" w:themeColor="text1"/>
          <w:shd w:val="clear" w:color="auto" w:fill="FFFFFF"/>
        </w:rPr>
        <w:t>. Cambridge: Cambridge University Press.</w:t>
      </w:r>
    </w:p>
    <w:p w14:paraId="0C3EF7AD" w14:textId="77777777" w:rsidR="009E6E99" w:rsidRPr="0049219A" w:rsidRDefault="009E6E99" w:rsidP="00052E8E">
      <w:pPr>
        <w:spacing w:line="480" w:lineRule="auto"/>
        <w:rPr>
          <w:color w:val="000000" w:themeColor="text1"/>
        </w:rPr>
      </w:pPr>
    </w:p>
    <w:p w14:paraId="3E306BE6" w14:textId="77777777" w:rsidR="00006947" w:rsidRPr="0049219A" w:rsidRDefault="00006947" w:rsidP="00006947">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br w:type="page"/>
      </w:r>
    </w:p>
    <w:p w14:paraId="4CC3584B" w14:textId="3272FC64" w:rsidR="001C195A" w:rsidRPr="0049219A" w:rsidRDefault="001C195A" w:rsidP="001C195A">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lastRenderedPageBreak/>
        <w:t>Supplementa</w:t>
      </w:r>
      <w:r w:rsidR="003C3142" w:rsidRPr="0049219A">
        <w:rPr>
          <w:rFonts w:ascii="Times New Roman" w:hAnsi="Times New Roman" w:cs="Times New Roman"/>
          <w:b/>
          <w:bCs/>
          <w:color w:val="000000" w:themeColor="text1"/>
        </w:rPr>
        <w:t>l</w:t>
      </w:r>
      <w:r w:rsidRPr="0049219A">
        <w:rPr>
          <w:rFonts w:ascii="Times New Roman" w:hAnsi="Times New Roman" w:cs="Times New Roman"/>
          <w:b/>
          <w:bCs/>
          <w:color w:val="000000" w:themeColor="text1"/>
        </w:rPr>
        <w:t xml:space="preserve"> Figure Legends</w:t>
      </w:r>
    </w:p>
    <w:p w14:paraId="2C504821" w14:textId="77777777" w:rsidR="001C195A" w:rsidRPr="0049219A" w:rsidRDefault="001C195A" w:rsidP="001C195A">
      <w:pPr>
        <w:rPr>
          <w:rFonts w:ascii="Times New Roman" w:hAnsi="Times New Roman" w:cs="Times New Roman"/>
          <w:b/>
          <w:bCs/>
          <w:color w:val="000000" w:themeColor="text1"/>
        </w:rPr>
      </w:pPr>
    </w:p>
    <w:p w14:paraId="4846A2D3" w14:textId="4DF909BC" w:rsidR="001C195A" w:rsidRPr="0049219A" w:rsidRDefault="001C195A" w:rsidP="00C42E7F">
      <w:pPr>
        <w:spacing w:line="480" w:lineRule="auto"/>
        <w:rPr>
          <w:rFonts w:ascii="Times New Roman" w:hAnsi="Times New Roman" w:cs="Times New Roman"/>
          <w:color w:val="000000" w:themeColor="text1"/>
        </w:rPr>
      </w:pPr>
      <w:r w:rsidRPr="0049219A">
        <w:rPr>
          <w:rFonts w:ascii="Times New Roman" w:hAnsi="Times New Roman" w:cs="Times New Roman"/>
          <w:b/>
          <w:bCs/>
          <w:color w:val="000000" w:themeColor="text1"/>
        </w:rPr>
        <w:t>Supplementa</w:t>
      </w:r>
      <w:r w:rsidR="003C3142" w:rsidRPr="0049219A">
        <w:rPr>
          <w:rFonts w:ascii="Times New Roman" w:hAnsi="Times New Roman" w:cs="Times New Roman"/>
          <w:b/>
          <w:bCs/>
          <w:color w:val="000000" w:themeColor="text1"/>
        </w:rPr>
        <w:t>l</w:t>
      </w:r>
      <w:r w:rsidRPr="0049219A">
        <w:rPr>
          <w:rFonts w:ascii="Times New Roman" w:hAnsi="Times New Roman" w:cs="Times New Roman"/>
          <w:b/>
          <w:bCs/>
          <w:color w:val="000000" w:themeColor="text1"/>
        </w:rPr>
        <w:t xml:space="preserve"> Fig</w:t>
      </w:r>
      <w:r w:rsidR="003C3142" w:rsidRPr="0049219A">
        <w:rPr>
          <w:rFonts w:ascii="Times New Roman" w:hAnsi="Times New Roman" w:cs="Times New Roman"/>
          <w:b/>
          <w:bCs/>
          <w:color w:val="000000" w:themeColor="text1"/>
        </w:rPr>
        <w:t>ure</w:t>
      </w:r>
      <w:r w:rsidRPr="0049219A">
        <w:rPr>
          <w:rFonts w:ascii="Times New Roman" w:hAnsi="Times New Roman" w:cs="Times New Roman"/>
          <w:b/>
          <w:bCs/>
          <w:color w:val="000000" w:themeColor="text1"/>
        </w:rPr>
        <w:t xml:space="preserve"> S</w:t>
      </w:r>
      <w:r w:rsidR="00A171D0" w:rsidRPr="0049219A">
        <w:rPr>
          <w:rFonts w:ascii="Times New Roman" w:hAnsi="Times New Roman" w:cs="Times New Roman"/>
          <w:b/>
          <w:bCs/>
          <w:color w:val="000000" w:themeColor="text1"/>
        </w:rPr>
        <w:t>1</w:t>
      </w:r>
      <w:r w:rsidRPr="0049219A">
        <w:rPr>
          <w:rFonts w:ascii="Times New Roman" w:hAnsi="Times New Roman" w:cs="Times New Roman"/>
          <w:b/>
          <w:bCs/>
          <w:color w:val="000000" w:themeColor="text1"/>
        </w:rPr>
        <w:t xml:space="preserve">. </w:t>
      </w:r>
      <w:r w:rsidRPr="0049219A">
        <w:rPr>
          <w:rFonts w:ascii="Times New Roman" w:hAnsi="Times New Roman" w:cs="Times New Roman"/>
          <w:color w:val="000000" w:themeColor="text1"/>
        </w:rPr>
        <w:t>The Life-Death Implicit Association Task (LD-IAT). During the four training blocks (top panel), participants are shown single</w:t>
      </w:r>
      <w:r w:rsidR="00363A2D"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category stimuli and asked to indicate whether the target word was associated with life or death (half of trials) or self (“me”) or other (“not me”) (half of trials). During the four critical blocks (bottom panel), participants are asked to categorize life/death with self/other. Target stimuli were presented for 1.5s with an intertrial interval of 1.5-2.5s.</w:t>
      </w:r>
    </w:p>
    <w:p w14:paraId="565786C1" w14:textId="77777777" w:rsidR="001C195A" w:rsidRPr="0049219A" w:rsidRDefault="001C195A" w:rsidP="00C42E7F">
      <w:pPr>
        <w:spacing w:line="480" w:lineRule="auto"/>
        <w:rPr>
          <w:rFonts w:ascii="Times New Roman" w:hAnsi="Times New Roman" w:cs="Times New Roman"/>
          <w:b/>
          <w:bCs/>
          <w:color w:val="000000" w:themeColor="text1"/>
        </w:rPr>
      </w:pPr>
    </w:p>
    <w:p w14:paraId="15BC4F73" w14:textId="124DF87F" w:rsidR="00A171D0" w:rsidRPr="0049219A" w:rsidRDefault="00A171D0" w:rsidP="00A171D0">
      <w:pPr>
        <w:spacing w:line="480" w:lineRule="auto"/>
        <w:rPr>
          <w:rFonts w:ascii="Times New Roman" w:hAnsi="Times New Roman" w:cs="Times New Roman"/>
          <w:color w:val="000000" w:themeColor="text1"/>
        </w:rPr>
      </w:pPr>
      <w:r w:rsidRPr="0049219A">
        <w:rPr>
          <w:rFonts w:ascii="Times New Roman" w:hAnsi="Times New Roman" w:cs="Times New Roman"/>
          <w:b/>
          <w:bCs/>
          <w:color w:val="000000" w:themeColor="text1"/>
        </w:rPr>
        <w:t xml:space="preserve">Supplemental Figure S2. </w:t>
      </w:r>
      <w:r w:rsidRPr="0049219A">
        <w:rPr>
          <w:rFonts w:ascii="Times New Roman" w:hAnsi="Times New Roman" w:cs="Times New Roman"/>
          <w:color w:val="000000" w:themeColor="text1"/>
        </w:rPr>
        <w:t xml:space="preserve">Main effect of self-life/death word pairings and gamma power. Across the entire sample, enhanced gamma power for self-death compared to self-life conditions was identified within the posterior cingulate cortex (PCC). </w:t>
      </w:r>
    </w:p>
    <w:p w14:paraId="1369B977" w14:textId="68252863" w:rsidR="001C195A" w:rsidRPr="0049219A" w:rsidRDefault="001C195A" w:rsidP="00006947">
      <w:pPr>
        <w:rPr>
          <w:rFonts w:ascii="Times New Roman" w:hAnsi="Times New Roman" w:cs="Times New Roman"/>
          <w:b/>
          <w:bCs/>
          <w:color w:val="000000" w:themeColor="text1"/>
        </w:rPr>
      </w:pPr>
    </w:p>
    <w:p w14:paraId="748B5D1E" w14:textId="77777777" w:rsidR="00A171D0" w:rsidRPr="0049219A" w:rsidRDefault="00A171D0" w:rsidP="00006947">
      <w:pPr>
        <w:rPr>
          <w:rFonts w:ascii="Times New Roman" w:hAnsi="Times New Roman" w:cs="Times New Roman"/>
          <w:b/>
          <w:bCs/>
          <w:color w:val="000000" w:themeColor="text1"/>
        </w:rPr>
      </w:pPr>
    </w:p>
    <w:p w14:paraId="66A25167" w14:textId="6E665DB0" w:rsidR="00A171D0" w:rsidRPr="0049219A" w:rsidRDefault="00A171D0" w:rsidP="00A171D0">
      <w:pPr>
        <w:spacing w:line="480" w:lineRule="auto"/>
        <w:rPr>
          <w:rFonts w:ascii="Times New Roman" w:hAnsi="Times New Roman" w:cs="Times New Roman"/>
          <w:color w:val="000000" w:themeColor="text1"/>
        </w:rPr>
      </w:pPr>
      <w:r w:rsidRPr="0049219A">
        <w:rPr>
          <w:rFonts w:ascii="Times New Roman" w:hAnsi="Times New Roman" w:cs="Times New Roman"/>
          <w:b/>
          <w:bCs/>
          <w:color w:val="000000" w:themeColor="text1"/>
        </w:rPr>
        <w:t xml:space="preserve">Supplemental Figure S3. </w:t>
      </w:r>
      <w:r w:rsidRPr="0049219A">
        <w:rPr>
          <w:rFonts w:ascii="Times New Roman" w:hAnsi="Times New Roman" w:cs="Times New Roman"/>
          <w:color w:val="000000" w:themeColor="text1"/>
        </w:rPr>
        <w:t xml:space="preserve">Dynamic causal modeling (DCM) for the Life-Death Implicit Association Task (LD-IAT). </w:t>
      </w:r>
      <w:r w:rsidRPr="0049219A">
        <w:rPr>
          <w:rFonts w:ascii="Times New Roman" w:hAnsi="Times New Roman" w:cs="Times New Roman"/>
          <w:b/>
          <w:bCs/>
          <w:color w:val="000000" w:themeColor="text1"/>
        </w:rPr>
        <w:t xml:space="preserve">(A) </w:t>
      </w:r>
      <w:r w:rsidRPr="0049219A">
        <w:rPr>
          <w:rFonts w:ascii="Times New Roman" w:hAnsi="Times New Roman" w:cs="Times New Roman"/>
          <w:color w:val="000000" w:themeColor="text1"/>
        </w:rPr>
        <w:t xml:space="preserve">Canonical microcircuit (CMC) model. The CMC model includes excitatory and inhibitory connection parameters from four distinct cell layers: superficial and deep pyramidal cells (SPs/DPs), inhibitory interneurons (IIs), and spiny stellates (SSs). SPs carry feedforward prediction errors to SSs and DPs, whereas DPs carry feedback predictions to SPs and IIs (image adapted from Gilbert &amp; Moran, 2016). </w:t>
      </w:r>
      <w:r w:rsidRPr="0049219A">
        <w:rPr>
          <w:rFonts w:ascii="Times New Roman" w:hAnsi="Times New Roman" w:cs="Times New Roman"/>
          <w:b/>
          <w:bCs/>
          <w:color w:val="000000" w:themeColor="text1"/>
        </w:rPr>
        <w:t>(B)</w:t>
      </w:r>
      <w:r w:rsidRPr="0049219A">
        <w:rPr>
          <w:rFonts w:ascii="Times New Roman" w:hAnsi="Times New Roman" w:cs="Times New Roman"/>
          <w:color w:val="000000" w:themeColor="text1"/>
        </w:rPr>
        <w:t xml:space="preserve"> Model architecture. Two plausible models were constructed to account for interconnections between early visual cortex (EV), posterior cingulate cortex (PCC), insula (INS), and orbitofrontal cortex (OBF). </w:t>
      </w:r>
      <w:r w:rsidRPr="0049219A">
        <w:rPr>
          <w:rFonts w:ascii="Times New Roman" w:hAnsi="Times New Roman" w:cs="Times New Roman"/>
          <w:b/>
          <w:bCs/>
          <w:color w:val="000000" w:themeColor="text1"/>
        </w:rPr>
        <w:t>(C)</w:t>
      </w:r>
      <w:r w:rsidRPr="0049219A">
        <w:rPr>
          <w:rFonts w:ascii="Times New Roman" w:hAnsi="Times New Roman" w:cs="Times New Roman"/>
          <w:color w:val="000000" w:themeColor="text1"/>
        </w:rPr>
        <w:t xml:space="preserve"> Bayesian model selection. Among the two models, results from Bayesian model selection showed strongest evidence for Model 2, which consisted of fully reciprocated forward and </w:t>
      </w:r>
      <w:r w:rsidRPr="0049219A">
        <w:rPr>
          <w:rFonts w:ascii="Times New Roman" w:hAnsi="Times New Roman" w:cs="Times New Roman"/>
          <w:color w:val="000000" w:themeColor="text1"/>
        </w:rPr>
        <w:lastRenderedPageBreak/>
        <w:t>backward connections between the EV and PCC, PCC and OBF, OBF and INS, INS and EV, as well as lateral connections between the PCC and INS.</w:t>
      </w:r>
    </w:p>
    <w:p w14:paraId="127A6B6F" w14:textId="77777777" w:rsidR="001C195A" w:rsidRPr="0049219A" w:rsidRDefault="001C195A" w:rsidP="00006947">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br w:type="page"/>
      </w:r>
    </w:p>
    <w:p w14:paraId="43AAA30C" w14:textId="08D36216" w:rsidR="00A171D0" w:rsidRPr="0049219A" w:rsidRDefault="00A171D0" w:rsidP="00A171D0">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lastRenderedPageBreak/>
        <w:t>Supplemental Table S1.</w:t>
      </w:r>
      <w:r w:rsidRPr="0049219A">
        <w:rPr>
          <w:rFonts w:ascii="Times New Roman" w:hAnsi="Times New Roman" w:cs="Times New Roman"/>
          <w:color w:val="000000" w:themeColor="text1"/>
        </w:rPr>
        <w:t xml:space="preserve"> </w:t>
      </w:r>
      <w:r w:rsidRPr="0049219A">
        <w:rPr>
          <w:rFonts w:ascii="Times New Roman" w:hAnsi="Times New Roman" w:cs="Times New Roman"/>
          <w:b/>
          <w:bCs/>
          <w:color w:val="000000" w:themeColor="text1"/>
        </w:rPr>
        <w:t xml:space="preserve">Dynamic Causal Modeling (DCM) parameters mediating region-to-region connectivity and the difference between trial types on the Life-Death Implicit Association Task (LD-IAT). </w:t>
      </w:r>
    </w:p>
    <w:tbl>
      <w:tblPr>
        <w:tblW w:w="8720" w:type="dxa"/>
        <w:tblCellMar>
          <w:left w:w="0" w:type="dxa"/>
          <w:right w:w="0" w:type="dxa"/>
        </w:tblCellMar>
        <w:tblLook w:val="04A0" w:firstRow="1" w:lastRow="0" w:firstColumn="1" w:lastColumn="0" w:noHBand="0" w:noVBand="1"/>
      </w:tblPr>
      <w:tblGrid>
        <w:gridCol w:w="5480"/>
        <w:gridCol w:w="1620"/>
        <w:gridCol w:w="1620"/>
      </w:tblGrid>
      <w:tr w:rsidR="00A171D0" w:rsidRPr="0049219A" w14:paraId="4027F794" w14:textId="77777777" w:rsidTr="004C21D6">
        <w:trPr>
          <w:trHeight w:val="241"/>
        </w:trPr>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882B336" w14:textId="77777777" w:rsidR="00A171D0" w:rsidRPr="0049219A" w:rsidRDefault="00A171D0" w:rsidP="004C21D6">
            <w:pPr>
              <w:jc w:val="center"/>
              <w:rPr>
                <w:rFonts w:ascii="Times New Roman" w:hAnsi="Times New Roman" w:cs="Times New Roman"/>
                <w:color w:val="000000" w:themeColor="text1"/>
              </w:rPr>
            </w:pPr>
          </w:p>
          <w:p w14:paraId="1921E1D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Parameter</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43E1593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Parameter Estimate</w:t>
            </w:r>
          </w:p>
          <w:p w14:paraId="372916C2"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(Ep)</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3E5AE0A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Posterior Probability</w:t>
            </w:r>
          </w:p>
          <w:p w14:paraId="3F6927C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(Pp)</w:t>
            </w:r>
          </w:p>
        </w:tc>
      </w:tr>
      <w:tr w:rsidR="00A171D0" w:rsidRPr="0049219A" w14:paraId="63B5E63B"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851AD06"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b/>
                <w:bCs/>
                <w:color w:val="000000" w:themeColor="text1"/>
              </w:rPr>
              <w:t>Region-to-region Connectivity</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067AB3A"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3420A710"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r>
      <w:tr w:rsidR="00A171D0" w:rsidRPr="0049219A" w14:paraId="7A096A20"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544E41F8"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1. Forward Connection (SP to SS) – EV to PCC</w:t>
            </w:r>
          </w:p>
          <w:p w14:paraId="5945AD7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611BCCE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-0.598</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2906F4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w:t>
            </w:r>
          </w:p>
        </w:tc>
      </w:tr>
      <w:tr w:rsidR="00A171D0" w:rsidRPr="0049219A" w14:paraId="1320096D"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6395971"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2. Forward Connection (SP to DP) – EV to PCC</w:t>
            </w:r>
          </w:p>
          <w:p w14:paraId="712932B8"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48BA18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-0.3919</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0BC1567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w:t>
            </w:r>
          </w:p>
        </w:tc>
      </w:tr>
      <w:tr w:rsidR="00A171D0" w:rsidRPr="0049219A" w14:paraId="3F447C9D"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4F16526B"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3. Forward Connection (SP to DP) – PCC to INS</w:t>
            </w:r>
          </w:p>
          <w:p w14:paraId="2664B913"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11CDE74"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-0.1988</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4B8EC5B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0.529</w:t>
            </w:r>
          </w:p>
        </w:tc>
      </w:tr>
      <w:tr w:rsidR="00A171D0" w:rsidRPr="0049219A" w14:paraId="445BC6FC"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416D64A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4. Backward Connection (DP to II) – PCC to EV</w:t>
            </w:r>
          </w:p>
          <w:p w14:paraId="1CBA6D46"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36FEE8C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0.1705</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6C34E5A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0.502</w:t>
            </w:r>
          </w:p>
        </w:tc>
      </w:tr>
      <w:tr w:rsidR="00A171D0" w:rsidRPr="0049219A" w14:paraId="6D007946"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FED80C0"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5. Backward Connection (DP to II) – INS to PCC</w:t>
            </w:r>
          </w:p>
          <w:p w14:paraId="2570F901"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7A0D582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-0.1773</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6CFACFB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0.520</w:t>
            </w:r>
          </w:p>
        </w:tc>
      </w:tr>
      <w:tr w:rsidR="00A171D0" w:rsidRPr="0049219A" w14:paraId="4DC2E73A"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463956C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b/>
                <w:bCs/>
                <w:color w:val="000000" w:themeColor="text1"/>
              </w:rPr>
              <w:t>Trial Modulation</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20C232B6" w14:textId="77777777" w:rsidR="00A171D0" w:rsidRPr="0049219A" w:rsidRDefault="00A171D0" w:rsidP="004C21D6">
            <w:pPr>
              <w:jc w:val="center"/>
              <w:rPr>
                <w:rFonts w:ascii="Times New Roman" w:hAnsi="Times New Roman" w:cs="Times New Roman"/>
                <w:color w:val="000000" w:themeColor="text1"/>
              </w:rPr>
            </w:pP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520289D" w14:textId="77777777" w:rsidR="00A171D0" w:rsidRPr="0049219A" w:rsidRDefault="00A171D0" w:rsidP="004C21D6">
            <w:pPr>
              <w:jc w:val="center"/>
              <w:rPr>
                <w:rFonts w:ascii="Times New Roman" w:hAnsi="Times New Roman" w:cs="Times New Roman"/>
                <w:color w:val="000000" w:themeColor="text1"/>
              </w:rPr>
            </w:pPr>
          </w:p>
        </w:tc>
      </w:tr>
      <w:tr w:rsidR="00A171D0" w:rsidRPr="0049219A" w14:paraId="6D4E0C2D"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492D6DE4"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1. Forward Connections – EV to INS</w:t>
            </w:r>
          </w:p>
          <w:p w14:paraId="6EDDAB27"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48FBE384"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0.7658</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2540B9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w:t>
            </w:r>
          </w:p>
        </w:tc>
      </w:tr>
      <w:tr w:rsidR="00A171D0" w:rsidRPr="0049219A" w14:paraId="35E57723"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66361681"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2. Forward Connections – PCC to INS</w:t>
            </w:r>
          </w:p>
          <w:p w14:paraId="440A42E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58B4A0C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-0.3059</w:t>
            </w:r>
          </w:p>
        </w:tc>
        <w:tc>
          <w:tcPr>
            <w:tcW w:w="1620" w:type="dxa"/>
            <w:tcBorders>
              <w:top w:val="single" w:sz="8" w:space="0" w:color="A5A5A5"/>
              <w:left w:val="single" w:sz="8" w:space="0" w:color="A5A5A5"/>
              <w:bottom w:val="single" w:sz="8" w:space="0" w:color="A5A5A5"/>
              <w:right w:val="single" w:sz="8" w:space="0" w:color="A5A5A5"/>
            </w:tcBorders>
            <w:shd w:val="clear" w:color="auto" w:fill="E1E1E1"/>
            <w:tcMar>
              <w:top w:w="15" w:type="dxa"/>
              <w:left w:w="108" w:type="dxa"/>
              <w:bottom w:w="0" w:type="dxa"/>
              <w:right w:w="108" w:type="dxa"/>
            </w:tcMar>
            <w:hideMark/>
          </w:tcPr>
          <w:p w14:paraId="2488F9D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0.536</w:t>
            </w:r>
          </w:p>
        </w:tc>
      </w:tr>
      <w:tr w:rsidR="00A171D0" w:rsidRPr="0049219A" w14:paraId="502675C9" w14:textId="77777777" w:rsidTr="004C21D6">
        <w:tc>
          <w:tcPr>
            <w:tcW w:w="548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3F183EE0"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3. Backward Connections – OBF to PCC</w:t>
            </w:r>
          </w:p>
          <w:p w14:paraId="2030E3F4"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EA5D38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-0.5604</w:t>
            </w:r>
          </w:p>
        </w:tc>
        <w:tc>
          <w:tcPr>
            <w:tcW w:w="1620" w:type="dxa"/>
            <w:tcBorders>
              <w:top w:val="single" w:sz="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14:paraId="0AB1556A"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w:t>
            </w:r>
          </w:p>
        </w:tc>
      </w:tr>
    </w:tbl>
    <w:p w14:paraId="6E817549" w14:textId="77777777" w:rsidR="00A171D0" w:rsidRPr="0049219A" w:rsidRDefault="00A171D0" w:rsidP="00A171D0">
      <w:pPr>
        <w:rPr>
          <w:rFonts w:ascii="Times New Roman" w:hAnsi="Times New Roman" w:cs="Times New Roman"/>
          <w:color w:val="000000" w:themeColor="text1"/>
        </w:rPr>
      </w:pPr>
      <w:r w:rsidRPr="0049219A">
        <w:rPr>
          <w:rFonts w:ascii="Times New Roman" w:hAnsi="Times New Roman" w:cs="Times New Roman"/>
          <w:color w:val="000000" w:themeColor="text1"/>
        </w:rPr>
        <w:t>Parametric empirical Bayesian analysis was used to identify the mixing of parameters contributing to both region-to-region connectivity and the difference between trial types (self-life versus self-death) in the LD-IAT. All effects compare the high risk (HR) group with the average across all groups. Meaningful parameters were defined as those with a posterior probability (Pp) greater than 0.95. Across trial types, significant effects were found on the forward connections between the early visual cortex (EV) and posterior cingulate cortex (PCC) carried by superficial pyramidal cells (SPs) to both spiny stellates (SSs) and deep pyramidal cells (DPs). Significant trial modulations were also found on the forward connections from the EV to the insula (INS) and backward connections from the orbitofrontal cortex (OBF) to the PCC. II: inhibitory interneurons.</w:t>
      </w:r>
    </w:p>
    <w:p w14:paraId="5C18833B" w14:textId="043DEE70" w:rsidR="00A171D0" w:rsidRPr="0049219A" w:rsidRDefault="00A171D0">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br w:type="page"/>
      </w:r>
    </w:p>
    <w:p w14:paraId="1523A71E" w14:textId="277CEE54" w:rsidR="00A171D0" w:rsidRPr="0049219A" w:rsidRDefault="00A171D0" w:rsidP="00A171D0">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lastRenderedPageBreak/>
        <w:t>Supplemental Table S2. Bivariate correlations between Life-Death Implicit Association Task (LD-IAT) D-score and clinical measures.</w:t>
      </w:r>
    </w:p>
    <w:tbl>
      <w:tblPr>
        <w:tblW w:w="9120" w:type="dxa"/>
        <w:tblCellMar>
          <w:left w:w="0" w:type="dxa"/>
          <w:right w:w="0" w:type="dxa"/>
        </w:tblCellMar>
        <w:tblLook w:val="0420" w:firstRow="1" w:lastRow="0" w:firstColumn="0" w:lastColumn="0" w:noHBand="0" w:noVBand="1"/>
      </w:tblPr>
      <w:tblGrid>
        <w:gridCol w:w="1776"/>
        <w:gridCol w:w="1535"/>
        <w:gridCol w:w="1478"/>
        <w:gridCol w:w="1356"/>
        <w:gridCol w:w="1458"/>
        <w:gridCol w:w="1517"/>
      </w:tblGrid>
      <w:tr w:rsidR="00A171D0" w:rsidRPr="0049219A" w14:paraId="525EF9B9" w14:textId="77777777" w:rsidTr="004C21D6">
        <w:trPr>
          <w:trHeight w:val="584"/>
        </w:trPr>
        <w:tc>
          <w:tcPr>
            <w:tcW w:w="178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3CEE804" w14:textId="77777777" w:rsidR="00A171D0" w:rsidRPr="0049219A" w:rsidRDefault="00A171D0" w:rsidP="004C21D6">
            <w:pPr>
              <w:rPr>
                <w:rFonts w:ascii="Times New Roman" w:hAnsi="Times New Roman" w:cs="Times New Roman"/>
                <w:color w:val="000000" w:themeColor="text1"/>
              </w:rPr>
            </w:pPr>
          </w:p>
        </w:tc>
        <w:tc>
          <w:tcPr>
            <w:tcW w:w="7360" w:type="dxa"/>
            <w:gridSpan w:val="5"/>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3A7AB3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D-Score</w:t>
            </w:r>
          </w:p>
        </w:tc>
      </w:tr>
      <w:tr w:rsidR="00A171D0" w:rsidRPr="0049219A" w14:paraId="59EA44B4" w14:textId="77777777" w:rsidTr="004C21D6">
        <w:trPr>
          <w:trHeight w:val="584"/>
        </w:trPr>
        <w:tc>
          <w:tcPr>
            <w:tcW w:w="17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09F0B45" w14:textId="77777777" w:rsidR="00A171D0" w:rsidRPr="0049219A" w:rsidRDefault="00A171D0" w:rsidP="004C21D6">
            <w:pPr>
              <w:rPr>
                <w:rFonts w:ascii="Times New Roman" w:hAnsi="Times New Roman" w:cs="Times New Roman"/>
                <w:color w:val="000000" w:themeColor="text1"/>
              </w:rPr>
            </w:pPr>
          </w:p>
        </w:tc>
        <w:tc>
          <w:tcPr>
            <w:tcW w:w="15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080207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High</w:t>
            </w:r>
          </w:p>
          <w:p w14:paraId="1E6A839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Risk</w:t>
            </w:r>
          </w:p>
        </w:tc>
        <w:tc>
          <w:tcPr>
            <w:tcW w:w="14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7473C8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Moderate Risk</w:t>
            </w:r>
          </w:p>
        </w:tc>
        <w:tc>
          <w:tcPr>
            <w:tcW w:w="13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2EAE15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Low</w:t>
            </w:r>
          </w:p>
          <w:p w14:paraId="07D4753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Risk</w:t>
            </w:r>
          </w:p>
        </w:tc>
        <w:tc>
          <w:tcPr>
            <w:tcW w:w="14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CA297C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Minimal Risk</w:t>
            </w:r>
          </w:p>
        </w:tc>
        <w:tc>
          <w:tcPr>
            <w:tcW w:w="15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4A680D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Total</w:t>
            </w:r>
          </w:p>
          <w:p w14:paraId="02AA4A1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(Full Sample)</w:t>
            </w:r>
          </w:p>
        </w:tc>
      </w:tr>
      <w:tr w:rsidR="00A171D0" w:rsidRPr="0049219A" w14:paraId="778E64F5"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B5A8523"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BDI-II</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AB24EB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.10</w:t>
            </w: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5832C8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.53*</w:t>
            </w: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4512E82"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.19</w:t>
            </w: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97212C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w:t>
            </w: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8476F8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.25*</w:t>
            </w:r>
          </w:p>
        </w:tc>
      </w:tr>
      <w:tr w:rsidR="00A171D0" w:rsidRPr="0049219A" w14:paraId="1D48FC42"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CC3FFD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MADRS</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639D5A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.17</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3C67AF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.42</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068A6D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-.03</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9D5F7D4"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-.30</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091327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.21</w:t>
            </w:r>
          </w:p>
        </w:tc>
      </w:tr>
      <w:tr w:rsidR="00A171D0" w:rsidRPr="0049219A" w14:paraId="6087E57F"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4023656"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HAM-A</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3EB4A3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.23</w:t>
            </w: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48B436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.18</w:t>
            </w: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DA57FF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-.20</w:t>
            </w: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12AED63"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-.31</w:t>
            </w: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6E1D3D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.06</w:t>
            </w:r>
          </w:p>
        </w:tc>
      </w:tr>
      <w:tr w:rsidR="00A171D0" w:rsidRPr="0049219A" w14:paraId="30B43C27"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87C1A8B"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BHS</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C13256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-.30</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58FCC1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.39</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8968EF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.18</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2F75B2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.12</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67063DF"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.27*</w:t>
            </w:r>
          </w:p>
        </w:tc>
      </w:tr>
      <w:tr w:rsidR="00A171D0" w:rsidRPr="0049219A" w14:paraId="7A70100E"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D746B5A"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BIS</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647249A"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-.24</w:t>
            </w: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253F7A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-.16</w:t>
            </w: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A513F2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.06</w:t>
            </w: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9F08173"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-.71*</w:t>
            </w: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AA3012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-.17</w:t>
            </w:r>
          </w:p>
        </w:tc>
      </w:tr>
      <w:tr w:rsidR="00A171D0" w:rsidRPr="0049219A" w14:paraId="5C7D85CA"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824CF97"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SHAPS</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73C99E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.15</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AE9797A"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.25</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9E624A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.43</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D18BA5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-.78**</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8B25542"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.17</w:t>
            </w:r>
          </w:p>
        </w:tc>
      </w:tr>
      <w:tr w:rsidR="00A171D0" w:rsidRPr="0049219A" w14:paraId="274D173C"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68274CB"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SSI Current</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5C7647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-.14</w:t>
            </w: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D66F9F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.16</w:t>
            </w: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290111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.11</w:t>
            </w: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BEC2DB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N/A</w:t>
            </w: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EA3A71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.17</w:t>
            </w:r>
          </w:p>
        </w:tc>
      </w:tr>
      <w:tr w:rsidR="00A171D0" w:rsidRPr="0049219A" w14:paraId="5797DF5A"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3812D64"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SSI Past</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DB731F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803B183"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0BDA29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.54*</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61356F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N/A</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EFB3E7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.17</w:t>
            </w:r>
          </w:p>
        </w:tc>
      </w:tr>
    </w:tbl>
    <w:p w14:paraId="78605928" w14:textId="77777777" w:rsidR="00A171D0" w:rsidRPr="0049219A" w:rsidRDefault="00A171D0" w:rsidP="00A171D0">
      <w:pPr>
        <w:rPr>
          <w:rFonts w:ascii="Times New Roman" w:hAnsi="Times New Roman" w:cs="Times New Roman"/>
          <w:color w:val="000000" w:themeColor="text1"/>
        </w:rPr>
      </w:pPr>
      <w:r w:rsidRPr="0049219A">
        <w:rPr>
          <w:rFonts w:ascii="Times New Roman" w:hAnsi="Times New Roman" w:cs="Times New Roman"/>
          <w:color w:val="000000" w:themeColor="text1"/>
        </w:rPr>
        <w:t>Asterisks denote statistical significance, (*) p&lt;0.05, (**) p&lt;0.01. Values reflect bivariate correlations between the life-death implicit association task (LD-IAT) D-score and total scores on the following clinical measures: Beck Depression Inventory-II (BDI-II); Montgomery-Åsberg Depression Rating Scale (MADRS); Hamilton Anxiety Rating Scale (HAM-A); Beck Hopelessness Scale (BHS); Barratt Impulsiveness Scale (BIS); Snaith-Hamilton Pleasure Scale (SHAPS); Scale for Suicide Ideation (SSI).</w:t>
      </w:r>
    </w:p>
    <w:p w14:paraId="23494F17" w14:textId="77777777" w:rsidR="00A171D0" w:rsidRPr="0049219A" w:rsidRDefault="00A171D0" w:rsidP="00A171D0">
      <w:pPr>
        <w:rPr>
          <w:rFonts w:ascii="Times New Roman" w:hAnsi="Times New Roman" w:cs="Times New Roman"/>
          <w:color w:val="000000" w:themeColor="text1"/>
        </w:rPr>
      </w:pPr>
      <w:r w:rsidRPr="0049219A">
        <w:rPr>
          <w:rFonts w:ascii="Times New Roman" w:hAnsi="Times New Roman" w:cs="Times New Roman"/>
          <w:color w:val="000000" w:themeColor="text1"/>
        </w:rPr>
        <w:br w:type="page"/>
      </w:r>
    </w:p>
    <w:p w14:paraId="5D2EB800" w14:textId="401A0024" w:rsidR="00A171D0" w:rsidRPr="0049219A" w:rsidRDefault="00A171D0" w:rsidP="00A171D0">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lastRenderedPageBreak/>
        <w:t>Supplemental Table S3. Bivariate correlations between LD-IAT D-score and gamma power.</w:t>
      </w:r>
    </w:p>
    <w:tbl>
      <w:tblPr>
        <w:tblW w:w="9120" w:type="dxa"/>
        <w:tblCellMar>
          <w:left w:w="0" w:type="dxa"/>
          <w:right w:w="0" w:type="dxa"/>
        </w:tblCellMar>
        <w:tblLook w:val="0420" w:firstRow="1" w:lastRow="0" w:firstColumn="0" w:lastColumn="0" w:noHBand="0" w:noVBand="1"/>
      </w:tblPr>
      <w:tblGrid>
        <w:gridCol w:w="1775"/>
        <w:gridCol w:w="1536"/>
        <w:gridCol w:w="1478"/>
        <w:gridCol w:w="1356"/>
        <w:gridCol w:w="1458"/>
        <w:gridCol w:w="1517"/>
      </w:tblGrid>
      <w:tr w:rsidR="00A171D0" w:rsidRPr="0049219A" w14:paraId="4F797C47" w14:textId="77777777" w:rsidTr="004C21D6">
        <w:trPr>
          <w:trHeight w:val="584"/>
        </w:trPr>
        <w:tc>
          <w:tcPr>
            <w:tcW w:w="178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455B848" w14:textId="77777777" w:rsidR="00A171D0" w:rsidRPr="0049219A" w:rsidRDefault="00A171D0" w:rsidP="004C21D6">
            <w:pPr>
              <w:rPr>
                <w:rFonts w:ascii="Times New Roman" w:hAnsi="Times New Roman" w:cs="Times New Roman"/>
                <w:color w:val="000000" w:themeColor="text1"/>
              </w:rPr>
            </w:pPr>
          </w:p>
        </w:tc>
        <w:tc>
          <w:tcPr>
            <w:tcW w:w="7360" w:type="dxa"/>
            <w:gridSpan w:val="5"/>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78B8BA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D-Score</w:t>
            </w:r>
          </w:p>
        </w:tc>
      </w:tr>
      <w:tr w:rsidR="00A171D0" w:rsidRPr="0049219A" w14:paraId="7B5122DE" w14:textId="77777777" w:rsidTr="004C21D6">
        <w:trPr>
          <w:trHeight w:val="584"/>
        </w:trPr>
        <w:tc>
          <w:tcPr>
            <w:tcW w:w="17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2A19E3E" w14:textId="77777777" w:rsidR="00A171D0" w:rsidRPr="0049219A" w:rsidRDefault="00A171D0" w:rsidP="004C21D6">
            <w:pPr>
              <w:rPr>
                <w:rFonts w:ascii="Times New Roman" w:hAnsi="Times New Roman" w:cs="Times New Roman"/>
                <w:color w:val="000000" w:themeColor="text1"/>
              </w:rPr>
            </w:pPr>
          </w:p>
        </w:tc>
        <w:tc>
          <w:tcPr>
            <w:tcW w:w="15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D4059F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High</w:t>
            </w:r>
          </w:p>
          <w:p w14:paraId="78C7F70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Risk</w:t>
            </w:r>
          </w:p>
        </w:tc>
        <w:tc>
          <w:tcPr>
            <w:tcW w:w="14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A5BBA8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Moderate Risk</w:t>
            </w:r>
          </w:p>
        </w:tc>
        <w:tc>
          <w:tcPr>
            <w:tcW w:w="13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C0F50D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Low</w:t>
            </w:r>
          </w:p>
          <w:p w14:paraId="129E123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Risk</w:t>
            </w:r>
          </w:p>
        </w:tc>
        <w:tc>
          <w:tcPr>
            <w:tcW w:w="14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52E93D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Minimal</w:t>
            </w:r>
          </w:p>
          <w:p w14:paraId="76EA653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Risk</w:t>
            </w:r>
          </w:p>
        </w:tc>
        <w:tc>
          <w:tcPr>
            <w:tcW w:w="15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93AAF9A"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Total</w:t>
            </w:r>
          </w:p>
          <w:p w14:paraId="7B6F63B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(Full Sample)</w:t>
            </w:r>
          </w:p>
        </w:tc>
      </w:tr>
      <w:tr w:rsidR="00A171D0" w:rsidRPr="0049219A" w14:paraId="1C65FC11" w14:textId="77777777" w:rsidTr="004C21D6">
        <w:trPr>
          <w:trHeight w:val="443"/>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2B39243"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b/>
                <w:bCs/>
                <w:color w:val="000000" w:themeColor="text1"/>
              </w:rPr>
              <w:t>PCC</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FEF8AB" w14:textId="77777777" w:rsidR="00A171D0" w:rsidRPr="0049219A" w:rsidRDefault="00A171D0" w:rsidP="004C21D6">
            <w:pPr>
              <w:jc w:val="center"/>
              <w:rPr>
                <w:rFonts w:ascii="Times New Roman" w:hAnsi="Times New Roman" w:cs="Times New Roman"/>
                <w:color w:val="000000" w:themeColor="text1"/>
              </w:rPr>
            </w:pP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9969A5A" w14:textId="77777777" w:rsidR="00A171D0" w:rsidRPr="0049219A" w:rsidRDefault="00A171D0" w:rsidP="004C21D6">
            <w:pPr>
              <w:jc w:val="center"/>
              <w:rPr>
                <w:rFonts w:ascii="Times New Roman" w:hAnsi="Times New Roman" w:cs="Times New Roman"/>
                <w:color w:val="000000" w:themeColor="text1"/>
              </w:rPr>
            </w:pP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1AC4DA1" w14:textId="77777777" w:rsidR="00A171D0" w:rsidRPr="0049219A" w:rsidRDefault="00A171D0" w:rsidP="004C21D6">
            <w:pPr>
              <w:jc w:val="center"/>
              <w:rPr>
                <w:rFonts w:ascii="Times New Roman" w:hAnsi="Times New Roman" w:cs="Times New Roman"/>
                <w:color w:val="000000" w:themeColor="text1"/>
              </w:rPr>
            </w:pP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A2AF8A5" w14:textId="77777777" w:rsidR="00A171D0" w:rsidRPr="0049219A" w:rsidRDefault="00A171D0" w:rsidP="004C21D6">
            <w:pPr>
              <w:jc w:val="center"/>
              <w:rPr>
                <w:rFonts w:ascii="Times New Roman" w:hAnsi="Times New Roman" w:cs="Times New Roman"/>
                <w:color w:val="000000" w:themeColor="text1"/>
              </w:rPr>
            </w:pP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D91C601" w14:textId="77777777" w:rsidR="00A171D0" w:rsidRPr="0049219A" w:rsidRDefault="00A171D0" w:rsidP="004C21D6">
            <w:pPr>
              <w:jc w:val="center"/>
              <w:rPr>
                <w:rFonts w:ascii="Times New Roman" w:hAnsi="Times New Roman" w:cs="Times New Roman"/>
                <w:color w:val="000000" w:themeColor="text1"/>
              </w:rPr>
            </w:pPr>
          </w:p>
        </w:tc>
      </w:tr>
      <w:tr w:rsidR="00A171D0" w:rsidRPr="0049219A" w14:paraId="304176D6"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F83DAA4"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Self-life</w:t>
            </w:r>
          </w:p>
          <w:p w14:paraId="50677D79"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Self-death</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D457821"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-.24</w:t>
            </w:r>
          </w:p>
          <w:p w14:paraId="5D1E566A"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-.23</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FE604D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-.14</w:t>
            </w:r>
          </w:p>
          <w:p w14:paraId="665467E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-.24</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22BA9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-.25</w:t>
            </w:r>
          </w:p>
          <w:p w14:paraId="025D437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-.28</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EF21BC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.07</w:t>
            </w:r>
          </w:p>
          <w:p w14:paraId="39214CB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.18</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D88A64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-.12</w:t>
            </w:r>
          </w:p>
          <w:p w14:paraId="0E60BD0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-.11</w:t>
            </w:r>
          </w:p>
        </w:tc>
      </w:tr>
      <w:tr w:rsidR="00A171D0" w:rsidRPr="0049219A" w14:paraId="56A0BDE9" w14:textId="77777777" w:rsidTr="004C21D6">
        <w:trPr>
          <w:trHeight w:val="454"/>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A78C4C9"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b/>
                <w:bCs/>
                <w:color w:val="000000" w:themeColor="text1"/>
              </w:rPr>
              <w:t>Insula</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6223313" w14:textId="77777777" w:rsidR="00A171D0" w:rsidRPr="0049219A" w:rsidRDefault="00A171D0" w:rsidP="004C21D6">
            <w:pPr>
              <w:jc w:val="center"/>
              <w:rPr>
                <w:rFonts w:ascii="Times New Roman" w:hAnsi="Times New Roman" w:cs="Times New Roman"/>
                <w:color w:val="000000" w:themeColor="text1"/>
              </w:rPr>
            </w:pP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90E5ADC" w14:textId="77777777" w:rsidR="00A171D0" w:rsidRPr="0049219A" w:rsidRDefault="00A171D0" w:rsidP="004C21D6">
            <w:pPr>
              <w:jc w:val="center"/>
              <w:rPr>
                <w:rFonts w:ascii="Times New Roman" w:hAnsi="Times New Roman" w:cs="Times New Roman"/>
                <w:color w:val="000000" w:themeColor="text1"/>
              </w:rPr>
            </w:pP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6C08688" w14:textId="77777777" w:rsidR="00A171D0" w:rsidRPr="0049219A" w:rsidRDefault="00A171D0" w:rsidP="004C21D6">
            <w:pPr>
              <w:jc w:val="center"/>
              <w:rPr>
                <w:rFonts w:ascii="Times New Roman" w:hAnsi="Times New Roman" w:cs="Times New Roman"/>
                <w:color w:val="000000" w:themeColor="text1"/>
              </w:rPr>
            </w:pP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2F5FCBA" w14:textId="77777777" w:rsidR="00A171D0" w:rsidRPr="0049219A" w:rsidRDefault="00A171D0" w:rsidP="004C21D6">
            <w:pPr>
              <w:jc w:val="center"/>
              <w:rPr>
                <w:rFonts w:ascii="Times New Roman" w:hAnsi="Times New Roman" w:cs="Times New Roman"/>
                <w:color w:val="000000" w:themeColor="text1"/>
              </w:rPr>
            </w:pP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1ED45F0" w14:textId="77777777" w:rsidR="00A171D0" w:rsidRPr="0049219A" w:rsidRDefault="00A171D0" w:rsidP="004C21D6">
            <w:pPr>
              <w:jc w:val="center"/>
              <w:rPr>
                <w:rFonts w:ascii="Times New Roman" w:hAnsi="Times New Roman" w:cs="Times New Roman"/>
                <w:color w:val="000000" w:themeColor="text1"/>
              </w:rPr>
            </w:pPr>
          </w:p>
        </w:tc>
      </w:tr>
      <w:tr w:rsidR="00A171D0" w:rsidRPr="0049219A" w14:paraId="33BC9C9D"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FA2768C"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Self-life</w:t>
            </w:r>
          </w:p>
          <w:p w14:paraId="46AAD012"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Self-death</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1FD1C1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-.43</w:t>
            </w:r>
          </w:p>
          <w:p w14:paraId="062B076E"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-.29</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C8CA7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-.12</w:t>
            </w:r>
          </w:p>
          <w:p w14:paraId="210C50B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-.16</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0802369"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.27</w:t>
            </w:r>
          </w:p>
          <w:p w14:paraId="7EDB6B2D"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.26</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2AB9D4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.43</w:t>
            </w:r>
          </w:p>
          <w:p w14:paraId="4CBC7C7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.65**</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60091E3"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.04</w:t>
            </w:r>
          </w:p>
          <w:p w14:paraId="0EE9A07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.13</w:t>
            </w:r>
          </w:p>
        </w:tc>
      </w:tr>
      <w:tr w:rsidR="00A171D0" w:rsidRPr="0049219A" w14:paraId="4C414A27" w14:textId="77777777" w:rsidTr="004C21D6">
        <w:trPr>
          <w:trHeight w:val="432"/>
        </w:trPr>
        <w:tc>
          <w:tcPr>
            <w:tcW w:w="17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5D10827"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b/>
                <w:bCs/>
                <w:color w:val="000000" w:themeColor="text1"/>
              </w:rPr>
              <w:t>OBF</w:t>
            </w:r>
          </w:p>
        </w:tc>
        <w:tc>
          <w:tcPr>
            <w:tcW w:w="1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F32A732" w14:textId="77777777" w:rsidR="00A171D0" w:rsidRPr="0049219A" w:rsidRDefault="00A171D0" w:rsidP="004C21D6">
            <w:pPr>
              <w:jc w:val="center"/>
              <w:rPr>
                <w:rFonts w:ascii="Times New Roman" w:hAnsi="Times New Roman" w:cs="Times New Roman"/>
                <w:color w:val="000000" w:themeColor="text1"/>
              </w:rPr>
            </w:pPr>
          </w:p>
        </w:tc>
        <w:tc>
          <w:tcPr>
            <w:tcW w:w="1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544F9A2" w14:textId="77777777" w:rsidR="00A171D0" w:rsidRPr="0049219A" w:rsidRDefault="00A171D0" w:rsidP="004C21D6">
            <w:pPr>
              <w:jc w:val="center"/>
              <w:rPr>
                <w:rFonts w:ascii="Times New Roman" w:hAnsi="Times New Roman" w:cs="Times New Roman"/>
                <w:color w:val="000000" w:themeColor="text1"/>
              </w:rPr>
            </w:pPr>
          </w:p>
        </w:tc>
        <w:tc>
          <w:tcPr>
            <w:tcW w:w="13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229BF33" w14:textId="77777777" w:rsidR="00A171D0" w:rsidRPr="0049219A" w:rsidRDefault="00A171D0" w:rsidP="004C21D6">
            <w:pPr>
              <w:jc w:val="center"/>
              <w:rPr>
                <w:rFonts w:ascii="Times New Roman" w:hAnsi="Times New Roman" w:cs="Times New Roman"/>
                <w:color w:val="000000" w:themeColor="text1"/>
              </w:rPr>
            </w:pPr>
          </w:p>
        </w:tc>
        <w:tc>
          <w:tcPr>
            <w:tcW w:w="14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698F167" w14:textId="77777777" w:rsidR="00A171D0" w:rsidRPr="0049219A" w:rsidRDefault="00A171D0" w:rsidP="004C21D6">
            <w:pPr>
              <w:jc w:val="center"/>
              <w:rPr>
                <w:rFonts w:ascii="Times New Roman" w:hAnsi="Times New Roman" w:cs="Times New Roman"/>
                <w:color w:val="000000" w:themeColor="text1"/>
              </w:rPr>
            </w:pPr>
          </w:p>
        </w:tc>
        <w:tc>
          <w:tcPr>
            <w:tcW w:w="1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471C937" w14:textId="77777777" w:rsidR="00A171D0" w:rsidRPr="0049219A" w:rsidRDefault="00A171D0" w:rsidP="004C21D6">
            <w:pPr>
              <w:jc w:val="center"/>
              <w:rPr>
                <w:rFonts w:ascii="Times New Roman" w:hAnsi="Times New Roman" w:cs="Times New Roman"/>
                <w:color w:val="000000" w:themeColor="text1"/>
              </w:rPr>
            </w:pPr>
          </w:p>
        </w:tc>
      </w:tr>
      <w:tr w:rsidR="00A171D0" w:rsidRPr="0049219A" w14:paraId="52E03367" w14:textId="77777777" w:rsidTr="004C21D6">
        <w:trPr>
          <w:trHeight w:val="584"/>
        </w:trPr>
        <w:tc>
          <w:tcPr>
            <w:tcW w:w="17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FC687B7"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Self-life</w:t>
            </w:r>
          </w:p>
          <w:p w14:paraId="7E51779B" w14:textId="77777777" w:rsidR="00A171D0" w:rsidRPr="0049219A" w:rsidRDefault="00A171D0" w:rsidP="004C21D6">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Self-death</w:t>
            </w:r>
          </w:p>
        </w:tc>
        <w:tc>
          <w:tcPr>
            <w:tcW w:w="1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6666687"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-.61**</w:t>
            </w:r>
          </w:p>
          <w:p w14:paraId="71780E33"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-.50*</w:t>
            </w:r>
          </w:p>
        </w:tc>
        <w:tc>
          <w:tcPr>
            <w:tcW w:w="1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5C5AD78"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-.23</w:t>
            </w:r>
          </w:p>
          <w:p w14:paraId="2B9CA0A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-.34</w:t>
            </w:r>
          </w:p>
        </w:tc>
        <w:tc>
          <w:tcPr>
            <w:tcW w:w="13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2CBC1CB"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.10</w:t>
            </w:r>
          </w:p>
          <w:p w14:paraId="4DD65925"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.06</w:t>
            </w:r>
          </w:p>
        </w:tc>
        <w:tc>
          <w:tcPr>
            <w:tcW w:w="14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326B676"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.53*</w:t>
            </w:r>
          </w:p>
          <w:p w14:paraId="6F32946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.63**</w:t>
            </w:r>
          </w:p>
        </w:tc>
        <w:tc>
          <w:tcPr>
            <w:tcW w:w="1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274DEFC"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-.07</w:t>
            </w:r>
          </w:p>
          <w:p w14:paraId="589B24D0" w14:textId="77777777" w:rsidR="00A171D0" w:rsidRPr="0049219A" w:rsidRDefault="00A171D0" w:rsidP="004C21D6">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-.04</w:t>
            </w:r>
          </w:p>
        </w:tc>
      </w:tr>
    </w:tbl>
    <w:p w14:paraId="7E20E037" w14:textId="77777777" w:rsidR="00A171D0" w:rsidRPr="0049219A" w:rsidRDefault="00A171D0" w:rsidP="00A171D0">
      <w:pPr>
        <w:rPr>
          <w:rFonts w:ascii="Times New Roman" w:hAnsi="Times New Roman" w:cs="Times New Roman"/>
          <w:color w:val="000000" w:themeColor="text1"/>
        </w:rPr>
      </w:pPr>
      <w:r w:rsidRPr="0049219A">
        <w:rPr>
          <w:rFonts w:ascii="Times New Roman" w:hAnsi="Times New Roman" w:cs="Times New Roman"/>
          <w:color w:val="000000" w:themeColor="text1"/>
        </w:rPr>
        <w:t>Asterisks denote statistical significance, (*) p&lt;0.05, (**) p&lt;0.01. Values reflect bivariate correlations between the Life-Death Implicit Association Task (LD-IAT) D-score and gamma power estimates for self-life and self-death trials in the posterior cingulate cortex (PCC), right insula, and orbitofrontal cortex (OBF).</w:t>
      </w:r>
    </w:p>
    <w:p w14:paraId="7A832B5E" w14:textId="77777777" w:rsidR="00A171D0" w:rsidRPr="0049219A" w:rsidRDefault="00A171D0">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br w:type="page"/>
      </w:r>
    </w:p>
    <w:p w14:paraId="50BF4435" w14:textId="20E1338B" w:rsidR="00006947" w:rsidRPr="0049219A" w:rsidRDefault="00E64D26" w:rsidP="00006947">
      <w:pPr>
        <w:rPr>
          <w:rFonts w:ascii="Times New Roman" w:hAnsi="Times New Roman" w:cs="Times New Roman"/>
          <w:color w:val="000000" w:themeColor="text1"/>
        </w:rPr>
      </w:pPr>
      <w:r w:rsidRPr="0049219A">
        <w:rPr>
          <w:rFonts w:ascii="Times New Roman" w:hAnsi="Times New Roman" w:cs="Times New Roman"/>
          <w:b/>
          <w:bCs/>
          <w:color w:val="000000" w:themeColor="text1"/>
        </w:rPr>
        <w:lastRenderedPageBreak/>
        <w:t>Supplementa</w:t>
      </w:r>
      <w:r w:rsidR="00975AAB" w:rsidRPr="0049219A">
        <w:rPr>
          <w:rFonts w:ascii="Times New Roman" w:hAnsi="Times New Roman" w:cs="Times New Roman"/>
          <w:b/>
          <w:bCs/>
          <w:color w:val="000000" w:themeColor="text1"/>
        </w:rPr>
        <w:t>l</w:t>
      </w:r>
      <w:r w:rsidRPr="0049219A">
        <w:rPr>
          <w:rFonts w:ascii="Times New Roman" w:hAnsi="Times New Roman" w:cs="Times New Roman"/>
          <w:b/>
          <w:bCs/>
          <w:color w:val="000000" w:themeColor="text1"/>
        </w:rPr>
        <w:t xml:space="preserve"> </w:t>
      </w:r>
      <w:r w:rsidR="00006947" w:rsidRPr="0049219A">
        <w:rPr>
          <w:rFonts w:ascii="Times New Roman" w:hAnsi="Times New Roman" w:cs="Times New Roman"/>
          <w:b/>
          <w:bCs/>
          <w:color w:val="000000" w:themeColor="text1"/>
        </w:rPr>
        <w:t>Table S</w:t>
      </w:r>
      <w:r w:rsidR="00A171D0" w:rsidRPr="0049219A">
        <w:rPr>
          <w:rFonts w:ascii="Times New Roman" w:hAnsi="Times New Roman" w:cs="Times New Roman"/>
          <w:b/>
          <w:bCs/>
          <w:color w:val="000000" w:themeColor="text1"/>
        </w:rPr>
        <w:t>4</w:t>
      </w:r>
      <w:r w:rsidR="00006947" w:rsidRPr="0049219A">
        <w:rPr>
          <w:rFonts w:ascii="Times New Roman" w:hAnsi="Times New Roman" w:cs="Times New Roman"/>
          <w:b/>
          <w:bCs/>
          <w:color w:val="000000" w:themeColor="text1"/>
        </w:rPr>
        <w:t>.</w:t>
      </w:r>
      <w:r w:rsidR="00006947" w:rsidRPr="0049219A">
        <w:rPr>
          <w:rFonts w:ascii="Times New Roman" w:hAnsi="Times New Roman" w:cs="Times New Roman"/>
          <w:color w:val="000000" w:themeColor="text1"/>
        </w:rPr>
        <w:t xml:space="preserve"> </w:t>
      </w:r>
      <w:r w:rsidR="00006947" w:rsidRPr="0049219A">
        <w:rPr>
          <w:rFonts w:ascii="Times New Roman" w:hAnsi="Times New Roman" w:cs="Times New Roman"/>
          <w:b/>
          <w:bCs/>
          <w:color w:val="000000" w:themeColor="text1"/>
        </w:rPr>
        <w:t xml:space="preserve">Effects of ketamine on </w:t>
      </w:r>
      <w:r w:rsidR="004B5CCD" w:rsidRPr="0049219A">
        <w:rPr>
          <w:rFonts w:ascii="Times New Roman" w:hAnsi="Times New Roman" w:cs="Times New Roman"/>
          <w:b/>
          <w:bCs/>
          <w:color w:val="000000" w:themeColor="text1"/>
        </w:rPr>
        <w:t>LD</w:t>
      </w:r>
      <w:r w:rsidR="00006947" w:rsidRPr="0049219A">
        <w:rPr>
          <w:rFonts w:ascii="Times New Roman" w:hAnsi="Times New Roman" w:cs="Times New Roman"/>
          <w:b/>
          <w:bCs/>
          <w:color w:val="000000" w:themeColor="text1"/>
        </w:rPr>
        <w:t>-IAT D-score and clinical measures.</w:t>
      </w:r>
    </w:p>
    <w:tbl>
      <w:tblPr>
        <w:tblW w:w="6780" w:type="dxa"/>
        <w:jc w:val="center"/>
        <w:tblCellMar>
          <w:left w:w="0" w:type="dxa"/>
          <w:right w:w="0" w:type="dxa"/>
        </w:tblCellMar>
        <w:tblLook w:val="0420" w:firstRow="1" w:lastRow="0" w:firstColumn="0" w:lastColumn="0" w:noHBand="0" w:noVBand="1"/>
      </w:tblPr>
      <w:tblGrid>
        <w:gridCol w:w="1700"/>
        <w:gridCol w:w="1640"/>
        <w:gridCol w:w="1240"/>
        <w:gridCol w:w="1080"/>
        <w:gridCol w:w="1120"/>
      </w:tblGrid>
      <w:tr w:rsidR="00957973" w:rsidRPr="0049219A" w14:paraId="567A72AA" w14:textId="77777777" w:rsidTr="00957973">
        <w:trPr>
          <w:trHeight w:val="584"/>
          <w:jc w:val="center"/>
        </w:trPr>
        <w:tc>
          <w:tcPr>
            <w:tcW w:w="17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C6D047C" w14:textId="77777777" w:rsidR="00957973" w:rsidRPr="0049219A" w:rsidRDefault="00957973" w:rsidP="00957973">
            <w:pPr>
              <w:rPr>
                <w:rFonts w:ascii="Times New Roman" w:hAnsi="Times New Roman" w:cs="Times New Roman"/>
                <w:color w:val="000000" w:themeColor="text1"/>
              </w:rPr>
            </w:pPr>
          </w:p>
        </w:tc>
        <w:tc>
          <w:tcPr>
            <w:tcW w:w="5080" w:type="dxa"/>
            <w:gridSpan w:val="4"/>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D51CEE1" w14:textId="77777777" w:rsidR="00957973" w:rsidRPr="0049219A" w:rsidRDefault="00957973" w:rsidP="00957973">
            <w:pPr>
              <w:rPr>
                <w:rFonts w:ascii="Times New Roman" w:hAnsi="Times New Roman" w:cs="Times New Roman"/>
                <w:color w:val="000000" w:themeColor="text1"/>
              </w:rPr>
            </w:pPr>
          </w:p>
        </w:tc>
      </w:tr>
      <w:tr w:rsidR="00957973" w:rsidRPr="0049219A" w14:paraId="1B0710E9" w14:textId="77777777" w:rsidTr="00957973">
        <w:trPr>
          <w:trHeight w:val="584"/>
          <w:jc w:val="center"/>
        </w:trPr>
        <w:tc>
          <w:tcPr>
            <w:tcW w:w="17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28DD74C" w14:textId="77777777" w:rsidR="00957973" w:rsidRPr="0049219A" w:rsidRDefault="00957973" w:rsidP="00957973">
            <w:pPr>
              <w:rPr>
                <w:rFonts w:ascii="Times New Roman" w:hAnsi="Times New Roman" w:cs="Times New Roman"/>
                <w:color w:val="000000" w:themeColor="text1"/>
              </w:rPr>
            </w:pPr>
          </w:p>
        </w:tc>
        <w:tc>
          <w:tcPr>
            <w:tcW w:w="16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6895BE6"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Delta Score</w:t>
            </w:r>
          </w:p>
          <w:p w14:paraId="5E973F80"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w:t>
            </w:r>
            <w:r w:rsidRPr="0049219A">
              <w:rPr>
                <w:rFonts w:ascii="Cambria Math" w:hAnsi="Cambria Math" w:cs="Cambria Math"/>
                <w:color w:val="000000" w:themeColor="text1"/>
              </w:rPr>
              <w:t>𝚫</w:t>
            </w:r>
            <w:r w:rsidRPr="0049219A">
              <w:rPr>
                <w:rFonts w:ascii="Times New Roman" w:hAnsi="Times New Roman" w:cs="Times New Roman"/>
                <w:color w:val="000000" w:themeColor="text1"/>
              </w:rPr>
              <w:t>Post - Pre)</w:t>
            </w:r>
          </w:p>
        </w:tc>
        <w:tc>
          <w:tcPr>
            <w:tcW w:w="12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B6BED23"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i/>
                <w:iCs/>
                <w:color w:val="000000" w:themeColor="text1"/>
              </w:rPr>
              <w:t>t</w:t>
            </w:r>
            <w:r w:rsidRPr="0049219A">
              <w:rPr>
                <w:rFonts w:ascii="Times New Roman" w:hAnsi="Times New Roman" w:cs="Times New Roman"/>
                <w:color w:val="000000" w:themeColor="text1"/>
              </w:rPr>
              <w:t xml:space="preserve"> value</w:t>
            </w:r>
          </w:p>
        </w:tc>
        <w:tc>
          <w:tcPr>
            <w:tcW w:w="10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675372D"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i/>
                <w:iCs/>
                <w:color w:val="000000" w:themeColor="text1"/>
              </w:rPr>
              <w:t>p</w:t>
            </w:r>
            <w:r w:rsidRPr="0049219A">
              <w:rPr>
                <w:rFonts w:ascii="Times New Roman" w:hAnsi="Times New Roman" w:cs="Times New Roman"/>
                <w:color w:val="000000" w:themeColor="text1"/>
              </w:rPr>
              <w:t xml:space="preserve"> value</w:t>
            </w:r>
          </w:p>
        </w:tc>
        <w:tc>
          <w:tcPr>
            <w:tcW w:w="11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9D27CB4"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 xml:space="preserve">Cohen’s </w:t>
            </w:r>
            <w:r w:rsidRPr="0049219A">
              <w:rPr>
                <w:rFonts w:ascii="Times New Roman" w:hAnsi="Times New Roman" w:cs="Times New Roman"/>
                <w:i/>
                <w:iCs/>
                <w:color w:val="000000" w:themeColor="text1"/>
              </w:rPr>
              <w:t>d</w:t>
            </w:r>
          </w:p>
        </w:tc>
      </w:tr>
      <w:tr w:rsidR="00957973" w:rsidRPr="0049219A" w14:paraId="2D340984"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9207682"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D-Score</w:t>
            </w:r>
          </w:p>
        </w:tc>
        <w:tc>
          <w:tcPr>
            <w:tcW w:w="16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6F5E72" w14:textId="0101B19C"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0.08</w:t>
            </w:r>
          </w:p>
          <w:p w14:paraId="64873A1E"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w:t>
            </w:r>
            <w:r w:rsidRPr="0049219A">
              <w:rPr>
                <w:rFonts w:ascii="Times New Roman" w:hAnsi="Times New Roman" w:cs="Times New Roman"/>
                <w:color w:val="000000" w:themeColor="text1"/>
                <w:u w:val="single"/>
              </w:rPr>
              <w:t>+</w:t>
            </w:r>
            <w:r w:rsidRPr="0049219A">
              <w:rPr>
                <w:rFonts w:ascii="Times New Roman" w:hAnsi="Times New Roman" w:cs="Times New Roman"/>
                <w:color w:val="000000" w:themeColor="text1"/>
              </w:rPr>
              <w:t>0.12)</w:t>
            </w:r>
          </w:p>
        </w:tc>
        <w:tc>
          <w:tcPr>
            <w:tcW w:w="1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2CD70BC"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0.62</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E6A9BFD"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0.57</w:t>
            </w:r>
          </w:p>
        </w:tc>
        <w:tc>
          <w:tcPr>
            <w:tcW w:w="11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AEEFB86"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0.28</w:t>
            </w:r>
          </w:p>
        </w:tc>
      </w:tr>
      <w:tr w:rsidR="00957973" w:rsidRPr="0049219A" w14:paraId="615A90FE"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05DCB85"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BDI-II</w:t>
            </w:r>
          </w:p>
        </w:tc>
        <w:tc>
          <w:tcPr>
            <w:tcW w:w="16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9557A7E"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-14.67* (</w:t>
            </w:r>
            <w:r w:rsidRPr="0049219A">
              <w:rPr>
                <w:rFonts w:ascii="Times New Roman" w:hAnsi="Times New Roman" w:cs="Times New Roman"/>
                <w:b/>
                <w:bCs/>
                <w:color w:val="000000" w:themeColor="text1"/>
                <w:u w:val="single"/>
              </w:rPr>
              <w:t>+</w:t>
            </w:r>
            <w:r w:rsidRPr="0049219A">
              <w:rPr>
                <w:rFonts w:ascii="Times New Roman" w:hAnsi="Times New Roman" w:cs="Times New Roman"/>
                <w:b/>
                <w:bCs/>
                <w:color w:val="000000" w:themeColor="text1"/>
              </w:rPr>
              <w:t>4.33)</w:t>
            </w:r>
          </w:p>
        </w:tc>
        <w:tc>
          <w:tcPr>
            <w:tcW w:w="1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F491110"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-3.39</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1204BC3"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0.02</w:t>
            </w:r>
          </w:p>
        </w:tc>
        <w:tc>
          <w:tcPr>
            <w:tcW w:w="11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072D1D"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1.38</w:t>
            </w:r>
            <w:r w:rsidRPr="0049219A">
              <w:rPr>
                <w:rFonts w:ascii="Times New Roman" w:hAnsi="Times New Roman" w:cs="Times New Roman"/>
                <w:b/>
                <w:bCs/>
                <w:color w:val="000000" w:themeColor="text1"/>
                <w:vertAlign w:val="superscript"/>
              </w:rPr>
              <w:t>#</w:t>
            </w:r>
          </w:p>
        </w:tc>
      </w:tr>
      <w:tr w:rsidR="00957973" w:rsidRPr="0049219A" w14:paraId="645EBD25"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A79554F"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MADRS</w:t>
            </w:r>
          </w:p>
        </w:tc>
        <w:tc>
          <w:tcPr>
            <w:tcW w:w="16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BCAAD43" w14:textId="39076F89"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-3.67</w:t>
            </w:r>
          </w:p>
          <w:p w14:paraId="3965BCF4"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w:t>
            </w:r>
            <w:r w:rsidRPr="0049219A">
              <w:rPr>
                <w:rFonts w:ascii="Times New Roman" w:hAnsi="Times New Roman" w:cs="Times New Roman"/>
                <w:color w:val="000000" w:themeColor="text1"/>
                <w:u w:val="single"/>
              </w:rPr>
              <w:t>+</w:t>
            </w:r>
            <w:r w:rsidRPr="0049219A">
              <w:rPr>
                <w:rFonts w:ascii="Times New Roman" w:hAnsi="Times New Roman" w:cs="Times New Roman"/>
                <w:color w:val="000000" w:themeColor="text1"/>
              </w:rPr>
              <w:t>7.74)</w:t>
            </w:r>
          </w:p>
        </w:tc>
        <w:tc>
          <w:tcPr>
            <w:tcW w:w="1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F0EBFC6"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-0.47</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3DFCE52"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0.66</w:t>
            </w:r>
          </w:p>
        </w:tc>
        <w:tc>
          <w:tcPr>
            <w:tcW w:w="11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BFAECE3"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0.19</w:t>
            </w:r>
          </w:p>
        </w:tc>
      </w:tr>
      <w:tr w:rsidR="00957973" w:rsidRPr="0049219A" w14:paraId="47165153"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18B17E0"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BHS</w:t>
            </w:r>
          </w:p>
        </w:tc>
        <w:tc>
          <w:tcPr>
            <w:tcW w:w="16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01FA146" w14:textId="6D4EA7A5"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-6.00*</w:t>
            </w:r>
          </w:p>
          <w:p w14:paraId="087ADD6A"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w:t>
            </w:r>
            <w:r w:rsidRPr="0049219A">
              <w:rPr>
                <w:rFonts w:ascii="Times New Roman" w:hAnsi="Times New Roman" w:cs="Times New Roman"/>
                <w:b/>
                <w:bCs/>
                <w:color w:val="000000" w:themeColor="text1"/>
                <w:u w:val="single"/>
              </w:rPr>
              <w:t>+</w:t>
            </w:r>
            <w:r w:rsidRPr="0049219A">
              <w:rPr>
                <w:rFonts w:ascii="Times New Roman" w:hAnsi="Times New Roman" w:cs="Times New Roman"/>
                <w:b/>
                <w:bCs/>
                <w:color w:val="000000" w:themeColor="text1"/>
              </w:rPr>
              <w:t>1.98)</w:t>
            </w:r>
          </w:p>
        </w:tc>
        <w:tc>
          <w:tcPr>
            <w:tcW w:w="1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C8CDD08"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-3.03</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3087E94"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0.03</w:t>
            </w:r>
          </w:p>
        </w:tc>
        <w:tc>
          <w:tcPr>
            <w:tcW w:w="11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7ECEB94"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1.24</w:t>
            </w:r>
            <w:r w:rsidRPr="0049219A">
              <w:rPr>
                <w:rFonts w:ascii="Times New Roman" w:hAnsi="Times New Roman" w:cs="Times New Roman"/>
                <w:b/>
                <w:bCs/>
                <w:color w:val="000000" w:themeColor="text1"/>
                <w:vertAlign w:val="superscript"/>
              </w:rPr>
              <w:t>#</w:t>
            </w:r>
          </w:p>
        </w:tc>
      </w:tr>
      <w:tr w:rsidR="00957973" w:rsidRPr="0049219A" w14:paraId="739256B3"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E3ABEB6"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SHAPS</w:t>
            </w:r>
          </w:p>
        </w:tc>
        <w:tc>
          <w:tcPr>
            <w:tcW w:w="16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EB3129F" w14:textId="7D82582D"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-7.67</w:t>
            </w:r>
          </w:p>
          <w:p w14:paraId="66DE5B0A"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w:t>
            </w:r>
            <w:r w:rsidRPr="0049219A">
              <w:rPr>
                <w:rFonts w:ascii="Times New Roman" w:hAnsi="Times New Roman" w:cs="Times New Roman"/>
                <w:color w:val="000000" w:themeColor="text1"/>
                <w:u w:val="single"/>
              </w:rPr>
              <w:t>+</w:t>
            </w:r>
            <w:r w:rsidRPr="0049219A">
              <w:rPr>
                <w:rFonts w:ascii="Times New Roman" w:hAnsi="Times New Roman" w:cs="Times New Roman"/>
                <w:color w:val="000000" w:themeColor="text1"/>
              </w:rPr>
              <w:t>3.19)</w:t>
            </w:r>
          </w:p>
        </w:tc>
        <w:tc>
          <w:tcPr>
            <w:tcW w:w="1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B578371"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-2.40</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75A8D12"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0.06</w:t>
            </w:r>
          </w:p>
        </w:tc>
        <w:tc>
          <w:tcPr>
            <w:tcW w:w="11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7E2D1AB"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0.98</w:t>
            </w:r>
            <w:r w:rsidRPr="0049219A">
              <w:rPr>
                <w:rFonts w:ascii="Times New Roman" w:hAnsi="Times New Roman" w:cs="Times New Roman"/>
                <w:color w:val="000000" w:themeColor="text1"/>
                <w:vertAlign w:val="superscript"/>
              </w:rPr>
              <w:t>#</w:t>
            </w:r>
          </w:p>
        </w:tc>
      </w:tr>
      <w:tr w:rsidR="00957973" w:rsidRPr="0049219A" w14:paraId="0BD53842" w14:textId="77777777" w:rsidTr="00957973">
        <w:trPr>
          <w:trHeight w:val="584"/>
          <w:jc w:val="center"/>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014F91A"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SSI Current</w:t>
            </w:r>
          </w:p>
        </w:tc>
        <w:tc>
          <w:tcPr>
            <w:tcW w:w="16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A53FD3" w14:textId="0C7DC4A4"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-1.40</w:t>
            </w:r>
          </w:p>
          <w:p w14:paraId="118E5247"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w:t>
            </w:r>
            <w:r w:rsidRPr="0049219A">
              <w:rPr>
                <w:rFonts w:ascii="Times New Roman" w:hAnsi="Times New Roman" w:cs="Times New Roman"/>
                <w:color w:val="000000" w:themeColor="text1"/>
                <w:u w:val="single"/>
              </w:rPr>
              <w:t>+</w:t>
            </w:r>
            <w:r w:rsidRPr="0049219A">
              <w:rPr>
                <w:rFonts w:ascii="Times New Roman" w:hAnsi="Times New Roman" w:cs="Times New Roman"/>
                <w:color w:val="000000" w:themeColor="text1"/>
              </w:rPr>
              <w:t>0.60)</w:t>
            </w:r>
          </w:p>
        </w:tc>
        <w:tc>
          <w:tcPr>
            <w:tcW w:w="1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BF7325B"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-2.33</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5538840"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0.08</w:t>
            </w:r>
          </w:p>
        </w:tc>
        <w:tc>
          <w:tcPr>
            <w:tcW w:w="11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09EEC20"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1.04</w:t>
            </w:r>
            <w:r w:rsidRPr="0049219A">
              <w:rPr>
                <w:rFonts w:ascii="Times New Roman" w:hAnsi="Times New Roman" w:cs="Times New Roman"/>
                <w:color w:val="000000" w:themeColor="text1"/>
                <w:vertAlign w:val="superscript"/>
              </w:rPr>
              <w:t>#</w:t>
            </w:r>
          </w:p>
        </w:tc>
      </w:tr>
    </w:tbl>
    <w:p w14:paraId="54A8859C" w14:textId="13D28943" w:rsidR="00006947" w:rsidRPr="0049219A" w:rsidRDefault="00006947" w:rsidP="00006947">
      <w:pPr>
        <w:rPr>
          <w:rFonts w:ascii="Times New Roman" w:hAnsi="Times New Roman" w:cs="Times New Roman"/>
          <w:color w:val="000000" w:themeColor="text1"/>
        </w:rPr>
      </w:pPr>
      <w:r w:rsidRPr="0049219A">
        <w:rPr>
          <w:rFonts w:ascii="Times New Roman" w:hAnsi="Times New Roman" w:cs="Times New Roman"/>
          <w:color w:val="000000" w:themeColor="text1"/>
        </w:rPr>
        <w:t>Delta scores reflect the mean (</w:t>
      </w:r>
      <w:r w:rsidRPr="0049219A">
        <w:rPr>
          <w:rFonts w:ascii="Times New Roman" w:hAnsi="Times New Roman" w:cs="Times New Roman"/>
          <w:color w:val="000000" w:themeColor="text1"/>
          <w:u w:val="single"/>
        </w:rPr>
        <w:t>+</w:t>
      </w:r>
      <w:r w:rsidRPr="0049219A">
        <w:rPr>
          <w:rFonts w:ascii="Times New Roman" w:hAnsi="Times New Roman" w:cs="Times New Roman"/>
          <w:color w:val="000000" w:themeColor="text1"/>
        </w:rPr>
        <w:t xml:space="preserve">SEM) difference between baseline and post-ketamine scores on the </w:t>
      </w:r>
      <w:r w:rsidR="004B5CCD" w:rsidRPr="0049219A">
        <w:rPr>
          <w:rFonts w:ascii="Times New Roman" w:hAnsi="Times New Roman" w:cs="Times New Roman"/>
          <w:color w:val="000000" w:themeColor="text1"/>
        </w:rPr>
        <w:t>Life-Death</w:t>
      </w:r>
      <w:r w:rsidRPr="0049219A">
        <w:rPr>
          <w:rFonts w:ascii="Times New Roman" w:hAnsi="Times New Roman" w:cs="Times New Roman"/>
          <w:color w:val="000000" w:themeColor="text1"/>
        </w:rPr>
        <w:t xml:space="preserve"> </w:t>
      </w:r>
      <w:r w:rsidR="00E77686" w:rsidRPr="0049219A">
        <w:rPr>
          <w:rFonts w:ascii="Times New Roman" w:hAnsi="Times New Roman" w:cs="Times New Roman"/>
          <w:color w:val="000000" w:themeColor="text1"/>
        </w:rPr>
        <w:t>I</w:t>
      </w:r>
      <w:r w:rsidRPr="0049219A">
        <w:rPr>
          <w:rFonts w:ascii="Times New Roman" w:hAnsi="Times New Roman" w:cs="Times New Roman"/>
          <w:color w:val="000000" w:themeColor="text1"/>
        </w:rPr>
        <w:t xml:space="preserve">mplicit </w:t>
      </w:r>
      <w:r w:rsidR="00E77686" w:rsidRPr="0049219A">
        <w:rPr>
          <w:rFonts w:ascii="Times New Roman" w:hAnsi="Times New Roman" w:cs="Times New Roman"/>
          <w:color w:val="000000" w:themeColor="text1"/>
        </w:rPr>
        <w:t>A</w:t>
      </w:r>
      <w:r w:rsidRPr="0049219A">
        <w:rPr>
          <w:rFonts w:ascii="Times New Roman" w:hAnsi="Times New Roman" w:cs="Times New Roman"/>
          <w:color w:val="000000" w:themeColor="text1"/>
        </w:rPr>
        <w:t xml:space="preserve">ssociation </w:t>
      </w:r>
      <w:r w:rsidR="00E77686" w:rsidRPr="0049219A">
        <w:rPr>
          <w:rFonts w:ascii="Times New Roman" w:hAnsi="Times New Roman" w:cs="Times New Roman"/>
          <w:color w:val="000000" w:themeColor="text1"/>
        </w:rPr>
        <w:t xml:space="preserve">Task </w:t>
      </w:r>
      <w:r w:rsidRPr="0049219A">
        <w:rPr>
          <w:rFonts w:ascii="Times New Roman" w:hAnsi="Times New Roman" w:cs="Times New Roman"/>
          <w:color w:val="000000" w:themeColor="text1"/>
        </w:rPr>
        <w:t>(</w:t>
      </w:r>
      <w:r w:rsidR="004B5CCD" w:rsidRPr="0049219A">
        <w:rPr>
          <w:rFonts w:ascii="Times New Roman" w:hAnsi="Times New Roman" w:cs="Times New Roman"/>
          <w:color w:val="000000" w:themeColor="text1"/>
        </w:rPr>
        <w:t>LD</w:t>
      </w:r>
      <w:r w:rsidRPr="0049219A">
        <w:rPr>
          <w:rFonts w:ascii="Times New Roman" w:hAnsi="Times New Roman" w:cs="Times New Roman"/>
          <w:color w:val="000000" w:themeColor="text1"/>
        </w:rPr>
        <w:t>-IAT) D-score and clinical measures. (*) denotes statistical significance, p&lt;0.05. (#) denotes large effect sizes. BDI-II</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Beck Depression Inventory-II; MADRS</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Montgomery</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Åsberg Depression Rating Scale; BHS</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Beck Hopelessness Scale; SHAPS</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Snaith</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Hamilton Pleasure Scale; SSI</w:t>
      </w:r>
      <w:r w:rsidR="00E77686" w:rsidRPr="0049219A">
        <w:rPr>
          <w:rFonts w:ascii="Times New Roman" w:hAnsi="Times New Roman" w:cs="Times New Roman"/>
          <w:color w:val="000000" w:themeColor="text1"/>
        </w:rPr>
        <w:t>:</w:t>
      </w:r>
      <w:r w:rsidRPr="0049219A">
        <w:rPr>
          <w:rFonts w:ascii="Times New Roman" w:hAnsi="Times New Roman" w:cs="Times New Roman"/>
          <w:color w:val="000000" w:themeColor="text1"/>
        </w:rPr>
        <w:t xml:space="preserve"> Scale for Suicide Ideation. </w:t>
      </w:r>
    </w:p>
    <w:p w14:paraId="1FAFE353" w14:textId="77777777" w:rsidR="00006947" w:rsidRPr="0049219A" w:rsidRDefault="00006947" w:rsidP="00006947">
      <w:pPr>
        <w:rPr>
          <w:rFonts w:ascii="Times New Roman" w:hAnsi="Times New Roman" w:cs="Times New Roman"/>
          <w:b/>
          <w:bCs/>
          <w:color w:val="000000" w:themeColor="text1"/>
        </w:rPr>
      </w:pPr>
    </w:p>
    <w:p w14:paraId="4C4D68EE" w14:textId="77777777" w:rsidR="00006947" w:rsidRPr="0049219A" w:rsidRDefault="00006947" w:rsidP="00006947">
      <w:pPr>
        <w:rPr>
          <w:rFonts w:ascii="Times New Roman" w:hAnsi="Times New Roman" w:cs="Times New Roman"/>
          <w:b/>
          <w:bCs/>
          <w:color w:val="000000" w:themeColor="text1"/>
        </w:rPr>
      </w:pPr>
    </w:p>
    <w:p w14:paraId="5A0218DC" w14:textId="77777777" w:rsidR="00006947" w:rsidRPr="0049219A" w:rsidRDefault="00006947" w:rsidP="00006947">
      <w:pPr>
        <w:rPr>
          <w:rFonts w:ascii="Times New Roman" w:hAnsi="Times New Roman" w:cs="Times New Roman"/>
          <w:color w:val="000000" w:themeColor="text1"/>
        </w:rPr>
      </w:pPr>
    </w:p>
    <w:p w14:paraId="3164C1AB" w14:textId="77777777" w:rsidR="00006947" w:rsidRPr="0049219A" w:rsidRDefault="00006947" w:rsidP="00006947">
      <w:pPr>
        <w:rPr>
          <w:rFonts w:ascii="Times New Roman" w:hAnsi="Times New Roman" w:cs="Times New Roman"/>
          <w:color w:val="000000" w:themeColor="text1"/>
        </w:rPr>
      </w:pPr>
    </w:p>
    <w:p w14:paraId="4156A911" w14:textId="77777777" w:rsidR="00006947" w:rsidRPr="0049219A" w:rsidRDefault="00006947" w:rsidP="00006947">
      <w:pPr>
        <w:rPr>
          <w:rFonts w:ascii="Times New Roman" w:hAnsi="Times New Roman" w:cs="Times New Roman"/>
          <w:b/>
          <w:bCs/>
          <w:color w:val="000000" w:themeColor="text1"/>
        </w:rPr>
      </w:pPr>
      <w:r w:rsidRPr="0049219A">
        <w:rPr>
          <w:rFonts w:ascii="Times New Roman" w:hAnsi="Times New Roman" w:cs="Times New Roman"/>
          <w:b/>
          <w:bCs/>
          <w:color w:val="000000" w:themeColor="text1"/>
        </w:rPr>
        <w:br w:type="page"/>
      </w:r>
    </w:p>
    <w:p w14:paraId="016682E2" w14:textId="57866BFC" w:rsidR="00006947" w:rsidRPr="0049219A" w:rsidRDefault="00975AAB" w:rsidP="00006947">
      <w:pPr>
        <w:rPr>
          <w:rFonts w:ascii="Times New Roman" w:hAnsi="Times New Roman" w:cs="Times New Roman"/>
          <w:color w:val="000000" w:themeColor="text1"/>
        </w:rPr>
      </w:pPr>
      <w:r w:rsidRPr="0049219A">
        <w:rPr>
          <w:rFonts w:ascii="Times New Roman" w:hAnsi="Times New Roman" w:cs="Times New Roman"/>
          <w:b/>
          <w:bCs/>
          <w:color w:val="000000" w:themeColor="text1"/>
        </w:rPr>
        <w:lastRenderedPageBreak/>
        <w:t xml:space="preserve">Supplemental </w:t>
      </w:r>
      <w:r w:rsidR="00006947" w:rsidRPr="0049219A">
        <w:rPr>
          <w:rFonts w:ascii="Times New Roman" w:hAnsi="Times New Roman" w:cs="Times New Roman"/>
          <w:b/>
          <w:bCs/>
          <w:color w:val="000000" w:themeColor="text1"/>
        </w:rPr>
        <w:t>Table S</w:t>
      </w:r>
      <w:r w:rsidR="00A171D0" w:rsidRPr="0049219A">
        <w:rPr>
          <w:rFonts w:ascii="Times New Roman" w:hAnsi="Times New Roman" w:cs="Times New Roman"/>
          <w:b/>
          <w:bCs/>
          <w:color w:val="000000" w:themeColor="text1"/>
        </w:rPr>
        <w:t>5</w:t>
      </w:r>
      <w:r w:rsidR="00006947" w:rsidRPr="0049219A">
        <w:rPr>
          <w:rFonts w:ascii="Times New Roman" w:hAnsi="Times New Roman" w:cs="Times New Roman"/>
          <w:b/>
          <w:bCs/>
          <w:color w:val="000000" w:themeColor="text1"/>
        </w:rPr>
        <w:t>.</w:t>
      </w:r>
      <w:r w:rsidR="00006947" w:rsidRPr="0049219A">
        <w:rPr>
          <w:rFonts w:ascii="Times New Roman" w:hAnsi="Times New Roman" w:cs="Times New Roman"/>
          <w:color w:val="000000" w:themeColor="text1"/>
        </w:rPr>
        <w:t xml:space="preserve"> </w:t>
      </w:r>
      <w:r w:rsidR="00006947" w:rsidRPr="0049219A">
        <w:rPr>
          <w:rFonts w:ascii="Times New Roman" w:hAnsi="Times New Roman" w:cs="Times New Roman"/>
          <w:b/>
          <w:bCs/>
          <w:color w:val="000000" w:themeColor="text1"/>
        </w:rPr>
        <w:t xml:space="preserve">Bivariate correlations between gamma power and </w:t>
      </w:r>
      <w:r w:rsidR="004B5CCD" w:rsidRPr="0049219A">
        <w:rPr>
          <w:rFonts w:ascii="Times New Roman" w:hAnsi="Times New Roman" w:cs="Times New Roman"/>
          <w:b/>
          <w:bCs/>
          <w:color w:val="000000" w:themeColor="text1"/>
        </w:rPr>
        <w:t>LD</w:t>
      </w:r>
      <w:r w:rsidR="00006947" w:rsidRPr="0049219A">
        <w:rPr>
          <w:rFonts w:ascii="Times New Roman" w:hAnsi="Times New Roman" w:cs="Times New Roman"/>
          <w:b/>
          <w:bCs/>
          <w:color w:val="000000" w:themeColor="text1"/>
        </w:rPr>
        <w:t>-IAT D-score.</w:t>
      </w:r>
    </w:p>
    <w:tbl>
      <w:tblPr>
        <w:tblW w:w="5880" w:type="dxa"/>
        <w:jc w:val="center"/>
        <w:tblCellMar>
          <w:left w:w="0" w:type="dxa"/>
          <w:right w:w="0" w:type="dxa"/>
        </w:tblCellMar>
        <w:tblLook w:val="0420" w:firstRow="1" w:lastRow="0" w:firstColumn="0" w:lastColumn="0" w:noHBand="0" w:noVBand="1"/>
      </w:tblPr>
      <w:tblGrid>
        <w:gridCol w:w="2171"/>
        <w:gridCol w:w="1874"/>
        <w:gridCol w:w="1835"/>
      </w:tblGrid>
      <w:tr w:rsidR="00957973" w:rsidRPr="0049219A" w14:paraId="03A75C43" w14:textId="77777777" w:rsidTr="00957973">
        <w:trPr>
          <w:trHeight w:val="584"/>
          <w:jc w:val="center"/>
        </w:trPr>
        <w:tc>
          <w:tcPr>
            <w:tcW w:w="218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29468A" w14:textId="77777777" w:rsidR="00957973" w:rsidRPr="0049219A" w:rsidRDefault="00957973" w:rsidP="00957973">
            <w:pPr>
              <w:rPr>
                <w:rFonts w:ascii="Times New Roman" w:hAnsi="Times New Roman" w:cs="Times New Roman"/>
                <w:color w:val="000000" w:themeColor="text1"/>
              </w:rPr>
            </w:pPr>
          </w:p>
        </w:tc>
        <w:tc>
          <w:tcPr>
            <w:tcW w:w="372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C841F08" w14:textId="77777777" w:rsidR="00957973" w:rsidRPr="0049219A" w:rsidRDefault="00957973" w:rsidP="00957973">
            <w:pPr>
              <w:rPr>
                <w:rFonts w:ascii="Times New Roman" w:hAnsi="Times New Roman" w:cs="Times New Roman"/>
                <w:color w:val="000000" w:themeColor="text1"/>
              </w:rPr>
            </w:pPr>
          </w:p>
        </w:tc>
      </w:tr>
      <w:tr w:rsidR="00957973" w:rsidRPr="0049219A" w14:paraId="0B58B25C" w14:textId="77777777" w:rsidTr="00957973">
        <w:trPr>
          <w:trHeight w:val="584"/>
          <w:jc w:val="center"/>
        </w:trPr>
        <w:tc>
          <w:tcPr>
            <w:tcW w:w="21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68B2E76" w14:textId="77777777" w:rsidR="00957973" w:rsidRPr="0049219A" w:rsidRDefault="00957973" w:rsidP="00957973">
            <w:pPr>
              <w:rPr>
                <w:rFonts w:ascii="Times New Roman" w:hAnsi="Times New Roman" w:cs="Times New Roman"/>
                <w:color w:val="000000" w:themeColor="text1"/>
              </w:rPr>
            </w:pPr>
          </w:p>
        </w:tc>
        <w:tc>
          <w:tcPr>
            <w:tcW w:w="18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4824094" w14:textId="3D501EEB"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Baseline</w:t>
            </w:r>
          </w:p>
          <w:p w14:paraId="73F45431"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D-Score</w:t>
            </w:r>
          </w:p>
        </w:tc>
        <w:tc>
          <w:tcPr>
            <w:tcW w:w="18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F4EC140"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Post-Ketamine D-score</w:t>
            </w:r>
          </w:p>
        </w:tc>
      </w:tr>
      <w:tr w:rsidR="00957973" w:rsidRPr="0049219A" w14:paraId="068F0F47" w14:textId="77777777" w:rsidTr="00957973">
        <w:trPr>
          <w:trHeight w:val="443"/>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4BF1B82"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b/>
                <w:bCs/>
                <w:color w:val="000000" w:themeColor="text1"/>
              </w:rPr>
              <w:t>Left Insula</w:t>
            </w:r>
          </w:p>
        </w:tc>
        <w:tc>
          <w:tcPr>
            <w:tcW w:w="18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28F2AE3" w14:textId="77777777" w:rsidR="00957973" w:rsidRPr="0049219A" w:rsidRDefault="00957973" w:rsidP="00957973">
            <w:pPr>
              <w:jc w:val="center"/>
              <w:rPr>
                <w:rFonts w:ascii="Times New Roman" w:hAnsi="Times New Roman" w:cs="Times New Roman"/>
                <w:color w:val="000000" w:themeColor="text1"/>
              </w:rPr>
            </w:pPr>
          </w:p>
        </w:tc>
        <w:tc>
          <w:tcPr>
            <w:tcW w:w="18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96D0615" w14:textId="77777777" w:rsidR="00957973" w:rsidRPr="0049219A" w:rsidRDefault="00957973" w:rsidP="00957973">
            <w:pPr>
              <w:jc w:val="center"/>
              <w:rPr>
                <w:rFonts w:ascii="Times New Roman" w:hAnsi="Times New Roman" w:cs="Times New Roman"/>
                <w:color w:val="000000" w:themeColor="text1"/>
              </w:rPr>
            </w:pPr>
          </w:p>
        </w:tc>
      </w:tr>
      <w:tr w:rsidR="00957973" w:rsidRPr="0049219A" w14:paraId="5D09B863" w14:textId="77777777" w:rsidTr="00957973">
        <w:trPr>
          <w:trHeight w:val="584"/>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949BA62"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Self-life</w:t>
            </w:r>
          </w:p>
          <w:p w14:paraId="5C802627"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Self-death</w:t>
            </w:r>
          </w:p>
        </w:tc>
        <w:tc>
          <w:tcPr>
            <w:tcW w:w="18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449D3B"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-.20</w:t>
            </w:r>
          </w:p>
          <w:p w14:paraId="5250ABF6"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-.58</w:t>
            </w:r>
          </w:p>
        </w:tc>
        <w:tc>
          <w:tcPr>
            <w:tcW w:w="18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BE1D9CD"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-.78</w:t>
            </w:r>
          </w:p>
          <w:p w14:paraId="226D7AB8"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b/>
                <w:bCs/>
                <w:color w:val="000000" w:themeColor="text1"/>
              </w:rPr>
              <w:t>-.89*</w:t>
            </w:r>
          </w:p>
        </w:tc>
      </w:tr>
      <w:tr w:rsidR="00957973" w:rsidRPr="0049219A" w14:paraId="699AB992" w14:textId="77777777" w:rsidTr="00957973">
        <w:trPr>
          <w:trHeight w:val="454"/>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8F39C1C"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b/>
                <w:bCs/>
                <w:color w:val="000000" w:themeColor="text1"/>
              </w:rPr>
              <w:t>Right Insula</w:t>
            </w:r>
          </w:p>
        </w:tc>
        <w:tc>
          <w:tcPr>
            <w:tcW w:w="18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4B8B877" w14:textId="77777777" w:rsidR="00957973" w:rsidRPr="0049219A" w:rsidRDefault="00957973" w:rsidP="00957973">
            <w:pPr>
              <w:jc w:val="center"/>
              <w:rPr>
                <w:rFonts w:ascii="Times New Roman" w:hAnsi="Times New Roman" w:cs="Times New Roman"/>
                <w:color w:val="000000" w:themeColor="text1"/>
              </w:rPr>
            </w:pPr>
          </w:p>
        </w:tc>
        <w:tc>
          <w:tcPr>
            <w:tcW w:w="18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D895BFD" w14:textId="77777777" w:rsidR="00957973" w:rsidRPr="0049219A" w:rsidRDefault="00957973" w:rsidP="00957973">
            <w:pPr>
              <w:jc w:val="center"/>
              <w:rPr>
                <w:rFonts w:ascii="Times New Roman" w:hAnsi="Times New Roman" w:cs="Times New Roman"/>
                <w:color w:val="000000" w:themeColor="text1"/>
              </w:rPr>
            </w:pPr>
          </w:p>
        </w:tc>
      </w:tr>
      <w:tr w:rsidR="00957973" w:rsidRPr="0049219A" w14:paraId="6CBA985C" w14:textId="77777777" w:rsidTr="00957973">
        <w:trPr>
          <w:trHeight w:val="584"/>
          <w:jc w:val="center"/>
        </w:trPr>
        <w:tc>
          <w:tcPr>
            <w:tcW w:w="21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FCE0CDF"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Self-life</w:t>
            </w:r>
          </w:p>
          <w:p w14:paraId="4ED0CA5C" w14:textId="77777777" w:rsidR="00957973" w:rsidRPr="0049219A" w:rsidRDefault="00957973" w:rsidP="00957973">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     Self-death</w:t>
            </w:r>
          </w:p>
        </w:tc>
        <w:tc>
          <w:tcPr>
            <w:tcW w:w="18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F0154C"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.19</w:t>
            </w:r>
          </w:p>
          <w:p w14:paraId="276DD156"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-.14</w:t>
            </w:r>
          </w:p>
        </w:tc>
        <w:tc>
          <w:tcPr>
            <w:tcW w:w="18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04AA15"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-.55</w:t>
            </w:r>
          </w:p>
          <w:p w14:paraId="3CFDB94D" w14:textId="77777777" w:rsidR="00957973" w:rsidRPr="0049219A" w:rsidRDefault="00957973" w:rsidP="00957973">
            <w:pPr>
              <w:jc w:val="center"/>
              <w:rPr>
                <w:rFonts w:ascii="Times New Roman" w:hAnsi="Times New Roman" w:cs="Times New Roman"/>
                <w:color w:val="000000" w:themeColor="text1"/>
              </w:rPr>
            </w:pPr>
            <w:r w:rsidRPr="0049219A">
              <w:rPr>
                <w:rFonts w:ascii="Times New Roman" w:hAnsi="Times New Roman" w:cs="Times New Roman"/>
                <w:color w:val="000000" w:themeColor="text1"/>
              </w:rPr>
              <w:t>-.10</w:t>
            </w:r>
          </w:p>
        </w:tc>
      </w:tr>
    </w:tbl>
    <w:p w14:paraId="54B7CFB3" w14:textId="3AF86EC7" w:rsidR="00006947" w:rsidRPr="0049219A" w:rsidRDefault="00006947" w:rsidP="00006947">
      <w:pPr>
        <w:rPr>
          <w:rFonts w:ascii="Times New Roman" w:hAnsi="Times New Roman" w:cs="Times New Roman"/>
          <w:color w:val="000000" w:themeColor="text1"/>
        </w:rPr>
      </w:pPr>
      <w:r w:rsidRPr="0049219A">
        <w:rPr>
          <w:rFonts w:ascii="Times New Roman" w:hAnsi="Times New Roman" w:cs="Times New Roman"/>
          <w:color w:val="000000" w:themeColor="text1"/>
        </w:rPr>
        <w:t xml:space="preserve">Asterisks denote statistical significance, (*) p&lt;0.05. Values reflect bivariate correlations between </w:t>
      </w:r>
      <w:r w:rsidR="004B5CCD" w:rsidRPr="0049219A">
        <w:rPr>
          <w:rFonts w:ascii="Times New Roman" w:hAnsi="Times New Roman" w:cs="Times New Roman"/>
          <w:color w:val="000000" w:themeColor="text1"/>
        </w:rPr>
        <w:t>Life-Death</w:t>
      </w:r>
      <w:r w:rsidRPr="0049219A">
        <w:rPr>
          <w:rFonts w:ascii="Times New Roman" w:hAnsi="Times New Roman" w:cs="Times New Roman"/>
          <w:color w:val="000000" w:themeColor="text1"/>
        </w:rPr>
        <w:t xml:space="preserve"> </w:t>
      </w:r>
      <w:r w:rsidR="006C1758" w:rsidRPr="0049219A">
        <w:rPr>
          <w:rFonts w:ascii="Times New Roman" w:hAnsi="Times New Roman" w:cs="Times New Roman"/>
          <w:color w:val="000000" w:themeColor="text1"/>
        </w:rPr>
        <w:t>I</w:t>
      </w:r>
      <w:r w:rsidRPr="0049219A">
        <w:rPr>
          <w:rFonts w:ascii="Times New Roman" w:hAnsi="Times New Roman" w:cs="Times New Roman"/>
          <w:color w:val="000000" w:themeColor="text1"/>
        </w:rPr>
        <w:t xml:space="preserve">mplicit </w:t>
      </w:r>
      <w:r w:rsidR="006C1758" w:rsidRPr="0049219A">
        <w:rPr>
          <w:rFonts w:ascii="Times New Roman" w:hAnsi="Times New Roman" w:cs="Times New Roman"/>
          <w:color w:val="000000" w:themeColor="text1"/>
        </w:rPr>
        <w:t>A</w:t>
      </w:r>
      <w:r w:rsidRPr="0049219A">
        <w:rPr>
          <w:rFonts w:ascii="Times New Roman" w:hAnsi="Times New Roman" w:cs="Times New Roman"/>
          <w:color w:val="000000" w:themeColor="text1"/>
        </w:rPr>
        <w:t xml:space="preserve">ssociation </w:t>
      </w:r>
      <w:r w:rsidR="006C1758" w:rsidRPr="0049219A">
        <w:rPr>
          <w:rFonts w:ascii="Times New Roman" w:hAnsi="Times New Roman" w:cs="Times New Roman"/>
          <w:color w:val="000000" w:themeColor="text1"/>
        </w:rPr>
        <w:t>T</w:t>
      </w:r>
      <w:r w:rsidRPr="0049219A">
        <w:rPr>
          <w:rFonts w:ascii="Times New Roman" w:hAnsi="Times New Roman" w:cs="Times New Roman"/>
          <w:color w:val="000000" w:themeColor="text1"/>
        </w:rPr>
        <w:t>ask (</w:t>
      </w:r>
      <w:r w:rsidR="004B5CCD" w:rsidRPr="0049219A">
        <w:rPr>
          <w:rFonts w:ascii="Times New Roman" w:hAnsi="Times New Roman" w:cs="Times New Roman"/>
          <w:color w:val="000000" w:themeColor="text1"/>
        </w:rPr>
        <w:t>LD</w:t>
      </w:r>
      <w:r w:rsidRPr="0049219A">
        <w:rPr>
          <w:rFonts w:ascii="Times New Roman" w:hAnsi="Times New Roman" w:cs="Times New Roman"/>
          <w:color w:val="000000" w:themeColor="text1"/>
        </w:rPr>
        <w:t>-IAT) D-score and gamma power estimates for self-life and self-death trials in the left and right insula.</w:t>
      </w:r>
    </w:p>
    <w:p w14:paraId="0F399FF3" w14:textId="30B9EA6C" w:rsidR="00623893" w:rsidRPr="0049219A" w:rsidRDefault="00623893" w:rsidP="00052E8E">
      <w:pPr>
        <w:spacing w:line="480" w:lineRule="auto"/>
        <w:rPr>
          <w:color w:val="000000" w:themeColor="text1"/>
        </w:rPr>
      </w:pPr>
    </w:p>
    <w:p w14:paraId="6762ED1A" w14:textId="125952F8" w:rsidR="00623893" w:rsidRPr="0049219A" w:rsidRDefault="00623893" w:rsidP="006C1758">
      <w:pPr>
        <w:rPr>
          <w:color w:val="000000" w:themeColor="text1"/>
        </w:rPr>
      </w:pPr>
    </w:p>
    <w:sectPr w:rsidR="00623893" w:rsidRPr="004921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674A" w14:textId="77777777" w:rsidR="00380A84" w:rsidRDefault="00380A84" w:rsidP="00052E8E">
      <w:r>
        <w:separator/>
      </w:r>
    </w:p>
  </w:endnote>
  <w:endnote w:type="continuationSeparator" w:id="0">
    <w:p w14:paraId="50B678A8" w14:textId="77777777" w:rsidR="00380A84" w:rsidRDefault="00380A84" w:rsidP="0005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411834"/>
      <w:docPartObj>
        <w:docPartGallery w:val="Page Numbers (Bottom of Page)"/>
        <w:docPartUnique/>
      </w:docPartObj>
    </w:sdtPr>
    <w:sdtContent>
      <w:p w14:paraId="61E65D52" w14:textId="054248A9" w:rsidR="00052E8E" w:rsidRDefault="00052E8E" w:rsidP="005E2A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5882F" w14:textId="77777777" w:rsidR="00052E8E" w:rsidRDefault="0005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812691"/>
      <w:docPartObj>
        <w:docPartGallery w:val="Page Numbers (Bottom of Page)"/>
        <w:docPartUnique/>
      </w:docPartObj>
    </w:sdtPr>
    <w:sdtContent>
      <w:p w14:paraId="18F9A0C3" w14:textId="51BCFCC9" w:rsidR="00052E8E" w:rsidRDefault="00052E8E" w:rsidP="005E2A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210CED" w14:textId="77777777" w:rsidR="00052E8E" w:rsidRDefault="0005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A400" w14:textId="77777777" w:rsidR="00380A84" w:rsidRDefault="00380A84" w:rsidP="00052E8E">
      <w:r>
        <w:separator/>
      </w:r>
    </w:p>
  </w:footnote>
  <w:footnote w:type="continuationSeparator" w:id="0">
    <w:p w14:paraId="0C5D16C5" w14:textId="77777777" w:rsidR="00380A84" w:rsidRDefault="00380A84" w:rsidP="0005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1B"/>
    <w:rsid w:val="00002B77"/>
    <w:rsid w:val="00006947"/>
    <w:rsid w:val="00011077"/>
    <w:rsid w:val="000160F2"/>
    <w:rsid w:val="00021D80"/>
    <w:rsid w:val="00052E8E"/>
    <w:rsid w:val="00060610"/>
    <w:rsid w:val="00072E79"/>
    <w:rsid w:val="000919F5"/>
    <w:rsid w:val="000C3E09"/>
    <w:rsid w:val="0011722A"/>
    <w:rsid w:val="001207CF"/>
    <w:rsid w:val="00193AB7"/>
    <w:rsid w:val="001A5586"/>
    <w:rsid w:val="001C195A"/>
    <w:rsid w:val="001D4C4F"/>
    <w:rsid w:val="00205AA4"/>
    <w:rsid w:val="00283161"/>
    <w:rsid w:val="002E3330"/>
    <w:rsid w:val="0032654B"/>
    <w:rsid w:val="00332527"/>
    <w:rsid w:val="00335328"/>
    <w:rsid w:val="00362D51"/>
    <w:rsid w:val="00363A2D"/>
    <w:rsid w:val="00380A84"/>
    <w:rsid w:val="003C3142"/>
    <w:rsid w:val="003F61CE"/>
    <w:rsid w:val="003F6AD1"/>
    <w:rsid w:val="0040588A"/>
    <w:rsid w:val="00423DC4"/>
    <w:rsid w:val="004301FE"/>
    <w:rsid w:val="00490584"/>
    <w:rsid w:val="0049219A"/>
    <w:rsid w:val="004B5CCD"/>
    <w:rsid w:val="004C4EE8"/>
    <w:rsid w:val="004E0355"/>
    <w:rsid w:val="0050727F"/>
    <w:rsid w:val="00532DA2"/>
    <w:rsid w:val="0053788D"/>
    <w:rsid w:val="005B65B9"/>
    <w:rsid w:val="005F1246"/>
    <w:rsid w:val="00623893"/>
    <w:rsid w:val="00662284"/>
    <w:rsid w:val="0067328B"/>
    <w:rsid w:val="006C1758"/>
    <w:rsid w:val="006C5B21"/>
    <w:rsid w:val="007D4027"/>
    <w:rsid w:val="00810FA2"/>
    <w:rsid w:val="0081571F"/>
    <w:rsid w:val="008717FE"/>
    <w:rsid w:val="00880DE2"/>
    <w:rsid w:val="00897873"/>
    <w:rsid w:val="008C3DD8"/>
    <w:rsid w:val="008C734B"/>
    <w:rsid w:val="008F0177"/>
    <w:rsid w:val="009027FC"/>
    <w:rsid w:val="0091082E"/>
    <w:rsid w:val="009239D2"/>
    <w:rsid w:val="0094665C"/>
    <w:rsid w:val="00957973"/>
    <w:rsid w:val="00961BC6"/>
    <w:rsid w:val="00973D1B"/>
    <w:rsid w:val="00975AAB"/>
    <w:rsid w:val="009D0DE0"/>
    <w:rsid w:val="009E6E99"/>
    <w:rsid w:val="009F4B45"/>
    <w:rsid w:val="00A171D0"/>
    <w:rsid w:val="00A2638F"/>
    <w:rsid w:val="00A30752"/>
    <w:rsid w:val="00A701DB"/>
    <w:rsid w:val="00A8217D"/>
    <w:rsid w:val="00B16F46"/>
    <w:rsid w:val="00B245A5"/>
    <w:rsid w:val="00B26B3D"/>
    <w:rsid w:val="00B95013"/>
    <w:rsid w:val="00BB7991"/>
    <w:rsid w:val="00C112ED"/>
    <w:rsid w:val="00C236AB"/>
    <w:rsid w:val="00C42E7F"/>
    <w:rsid w:val="00C71555"/>
    <w:rsid w:val="00C75A0D"/>
    <w:rsid w:val="00CC340E"/>
    <w:rsid w:val="00D378A4"/>
    <w:rsid w:val="00D40C5C"/>
    <w:rsid w:val="00D44BA2"/>
    <w:rsid w:val="00D50BD6"/>
    <w:rsid w:val="00E03621"/>
    <w:rsid w:val="00E44FF9"/>
    <w:rsid w:val="00E5078B"/>
    <w:rsid w:val="00E64D26"/>
    <w:rsid w:val="00E77686"/>
    <w:rsid w:val="00F07ECA"/>
    <w:rsid w:val="00F60AFF"/>
    <w:rsid w:val="00F938CA"/>
    <w:rsid w:val="00FB50DD"/>
    <w:rsid w:val="00FF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DCE9"/>
  <w15:chartTrackingRefBased/>
  <w15:docId w15:val="{DBC3EA20-9E9B-D54B-8625-CE80BC0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E8E"/>
    <w:pPr>
      <w:tabs>
        <w:tab w:val="center" w:pos="4680"/>
        <w:tab w:val="right" w:pos="9360"/>
      </w:tabs>
    </w:pPr>
  </w:style>
  <w:style w:type="character" w:customStyle="1" w:styleId="FooterChar">
    <w:name w:val="Footer Char"/>
    <w:basedOn w:val="DefaultParagraphFont"/>
    <w:link w:val="Footer"/>
    <w:uiPriority w:val="99"/>
    <w:rsid w:val="00052E8E"/>
    <w:rPr>
      <w:rFonts w:ascii="Calibri" w:eastAsia="Calibri" w:hAnsi="Calibri" w:cs="Calibri"/>
    </w:rPr>
  </w:style>
  <w:style w:type="character" w:styleId="PageNumber">
    <w:name w:val="page number"/>
    <w:basedOn w:val="DefaultParagraphFont"/>
    <w:uiPriority w:val="99"/>
    <w:semiHidden/>
    <w:unhideWhenUsed/>
    <w:rsid w:val="00052E8E"/>
  </w:style>
  <w:style w:type="character" w:styleId="CommentReference">
    <w:name w:val="annotation reference"/>
    <w:basedOn w:val="DefaultParagraphFont"/>
    <w:uiPriority w:val="99"/>
    <w:semiHidden/>
    <w:unhideWhenUsed/>
    <w:rsid w:val="00E64D26"/>
    <w:rPr>
      <w:sz w:val="16"/>
      <w:szCs w:val="16"/>
    </w:rPr>
  </w:style>
  <w:style w:type="paragraph" w:styleId="CommentText">
    <w:name w:val="annotation text"/>
    <w:basedOn w:val="Normal"/>
    <w:link w:val="CommentTextChar"/>
    <w:uiPriority w:val="99"/>
    <w:semiHidden/>
    <w:unhideWhenUsed/>
    <w:rsid w:val="00E64D26"/>
    <w:rPr>
      <w:sz w:val="20"/>
      <w:szCs w:val="20"/>
    </w:rPr>
  </w:style>
  <w:style w:type="character" w:customStyle="1" w:styleId="CommentTextChar">
    <w:name w:val="Comment Text Char"/>
    <w:basedOn w:val="DefaultParagraphFont"/>
    <w:link w:val="CommentText"/>
    <w:uiPriority w:val="99"/>
    <w:semiHidden/>
    <w:rsid w:val="00E64D2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Calibri" w:eastAsia="Calibri" w:hAnsi="Calibri" w:cs="Calibri"/>
      <w:b/>
      <w:bCs/>
      <w:sz w:val="20"/>
      <w:szCs w:val="20"/>
    </w:rPr>
  </w:style>
  <w:style w:type="paragraph" w:styleId="Revision">
    <w:name w:val="Revision"/>
    <w:hidden/>
    <w:uiPriority w:val="99"/>
    <w:semiHidden/>
    <w:rsid w:val="003C3142"/>
    <w:rPr>
      <w:rFonts w:ascii="Calibri" w:eastAsia="Calibri" w:hAnsi="Calibri" w:cs="Calibri"/>
    </w:rPr>
  </w:style>
  <w:style w:type="character" w:customStyle="1" w:styleId="anchor-text">
    <w:name w:val="anchor-text"/>
    <w:basedOn w:val="DefaultParagraphFont"/>
    <w:rsid w:val="0019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302331">
      <w:bodyDiv w:val="1"/>
      <w:marLeft w:val="0"/>
      <w:marRight w:val="0"/>
      <w:marTop w:val="0"/>
      <w:marBottom w:val="0"/>
      <w:divBdr>
        <w:top w:val="none" w:sz="0" w:space="0" w:color="auto"/>
        <w:left w:val="none" w:sz="0" w:space="0" w:color="auto"/>
        <w:bottom w:val="none" w:sz="0" w:space="0" w:color="auto"/>
        <w:right w:val="none" w:sz="0" w:space="0" w:color="auto"/>
      </w:divBdr>
    </w:div>
    <w:div w:id="1361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16/j.genhosppsych.2019.11.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pc.nih.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Steven J.</dc:creator>
  <cp:keywords/>
  <dc:description/>
  <cp:lastModifiedBy>Henter, Ioline (NIH/NIMH) [E]</cp:lastModifiedBy>
  <cp:revision>5</cp:revision>
  <dcterms:created xsi:type="dcterms:W3CDTF">2023-08-21T14:25:00Z</dcterms:created>
  <dcterms:modified xsi:type="dcterms:W3CDTF">2023-08-23T19:57:00Z</dcterms:modified>
</cp:coreProperties>
</file>