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47C" w:rsidRDefault="0045347C" w:rsidP="004E1843">
      <w:pPr>
        <w:jc w:val="center"/>
        <w:rPr>
          <w:b/>
          <w:iCs/>
        </w:rPr>
      </w:pPr>
      <w:r>
        <w:rPr>
          <w:b/>
          <w:iCs/>
        </w:rPr>
        <w:t>SUPPLEMENT</w:t>
      </w:r>
      <w:r w:rsidR="00BB5A1C">
        <w:rPr>
          <w:b/>
          <w:iCs/>
        </w:rPr>
        <w:t>ARY MATERIAL</w:t>
      </w:r>
    </w:p>
    <w:p w:rsidR="00855785" w:rsidRDefault="00855785" w:rsidP="0045347C">
      <w:pPr>
        <w:jc w:val="center"/>
        <w:rPr>
          <w:b/>
          <w:iCs/>
        </w:rPr>
      </w:pPr>
    </w:p>
    <w:p w:rsidR="004E1843" w:rsidRDefault="004E1843" w:rsidP="00855785">
      <w:pPr>
        <w:rPr>
          <w:bCs/>
          <w:iCs/>
        </w:rPr>
      </w:pPr>
    </w:p>
    <w:p w:rsidR="00BB5A1C" w:rsidRDefault="00855785" w:rsidP="00855785">
      <w:pPr>
        <w:rPr>
          <w:bCs/>
          <w:iCs/>
        </w:rPr>
      </w:pPr>
      <w:r w:rsidRPr="00855785">
        <w:rPr>
          <w:bCs/>
          <w:iCs/>
        </w:rPr>
        <w:t>Supplemental Table</w:t>
      </w:r>
      <w:r w:rsidR="000B6ED4">
        <w:rPr>
          <w:bCs/>
          <w:iCs/>
        </w:rPr>
        <w:t xml:space="preserve"> 1</w:t>
      </w:r>
      <w:r w:rsidRPr="00855785">
        <w:rPr>
          <w:bCs/>
          <w:iCs/>
        </w:rPr>
        <w:t>. Time Schedule of Measurement of Predictor Variables</w:t>
      </w:r>
    </w:p>
    <w:p w:rsidR="00C74702" w:rsidRDefault="00C74702" w:rsidP="00855785">
      <w:pPr>
        <w:rPr>
          <w:bCs/>
          <w:iCs/>
        </w:rPr>
      </w:pPr>
    </w:p>
    <w:p w:rsidR="004E1843" w:rsidRPr="004E1843" w:rsidRDefault="004E1843" w:rsidP="00855785">
      <w:pPr>
        <w:rPr>
          <w:bCs/>
          <w:iCs/>
        </w:rPr>
      </w:pPr>
    </w:p>
    <w:tbl>
      <w:tblPr>
        <w:tblStyle w:val="TableGrid"/>
        <w:tblpPr w:leftFromText="180" w:rightFromText="180" w:vertAnchor="page" w:horzAnchor="margin" w:tblpY="2765"/>
        <w:tblW w:w="0" w:type="auto"/>
        <w:tblLook w:val="04A0" w:firstRow="1" w:lastRow="0" w:firstColumn="1" w:lastColumn="0" w:noHBand="0" w:noVBand="1"/>
      </w:tblPr>
      <w:tblGrid>
        <w:gridCol w:w="2230"/>
        <w:gridCol w:w="1746"/>
        <w:gridCol w:w="1814"/>
        <w:gridCol w:w="1814"/>
        <w:gridCol w:w="1746"/>
      </w:tblGrid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Acute Phase Baseline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Acute Phase Termination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Stabilization Phase Week 4</w:t>
            </w:r>
          </w:p>
        </w:tc>
        <w:tc>
          <w:tcPr>
            <w:tcW w:w="1746" w:type="dxa"/>
          </w:tcPr>
          <w:p w:rsid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RCT Baseline</w:t>
            </w:r>
          </w:p>
          <w:p w:rsidR="00CB2554" w:rsidRPr="00064130" w:rsidRDefault="00EB0131" w:rsidP="000641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CB2554">
              <w:rPr>
                <w:bCs/>
                <w:iCs/>
              </w:rPr>
              <w:t xml:space="preserve">end of Stabilization </w:t>
            </w:r>
            <w:r w:rsidR="00562A47">
              <w:rPr>
                <w:bCs/>
                <w:iCs/>
              </w:rPr>
              <w:t>P</w:t>
            </w:r>
            <w:r w:rsidR="00CB2554">
              <w:rPr>
                <w:bCs/>
                <w:iCs/>
              </w:rPr>
              <w:t>hase)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Sociodemographic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Inpatient status at acute phase enrollment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Study site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Number of lifetime depressive episodes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Duration of current episode of depression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Age of onset of first major depressive episode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rPr>
          <w:trHeight w:val="61"/>
        </w:trPr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Treatment resistance in current episode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Suicide attempt in current episode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Ham-D</w:t>
            </w:r>
            <w:r w:rsidRPr="00064130">
              <w:rPr>
                <w:bCs/>
                <w:iCs/>
                <w:vertAlign w:val="subscript"/>
              </w:rPr>
              <w:t>17</w:t>
            </w:r>
            <w:r w:rsidRPr="00064130">
              <w:rPr>
                <w:bCs/>
                <w:iCs/>
              </w:rPr>
              <w:t xml:space="preserve"> total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SADS delusion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HADS anxiety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CORE total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BPRS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CGI severity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CIRS-G total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Simpson Angus Scale Total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Barnes Akathisia Rating Scale global score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  <w:vertAlign w:val="superscript"/>
              </w:rPr>
            </w:pPr>
            <w:r w:rsidRPr="00064130">
              <w:rPr>
                <w:bCs/>
                <w:iCs/>
              </w:rPr>
              <w:t xml:space="preserve">Neuropsychological </w:t>
            </w:r>
            <w:proofErr w:type="spellStart"/>
            <w:r w:rsidRPr="00064130">
              <w:rPr>
                <w:bCs/>
                <w:iCs/>
              </w:rPr>
              <w:t>measures</w:t>
            </w:r>
            <w:r w:rsidRPr="00064130">
              <w:rPr>
                <w:bCs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  <w:tr w:rsidR="00064130" w:rsidRPr="00064130" w:rsidTr="00064130">
        <w:tc>
          <w:tcPr>
            <w:tcW w:w="2230" w:type="dxa"/>
          </w:tcPr>
          <w:p w:rsidR="00064130" w:rsidRPr="00064130" w:rsidRDefault="00064130" w:rsidP="00064130">
            <w:pPr>
              <w:rPr>
                <w:bCs/>
                <w:iCs/>
              </w:rPr>
            </w:pPr>
            <w:r w:rsidRPr="00064130">
              <w:rPr>
                <w:bCs/>
                <w:iCs/>
              </w:rPr>
              <w:t>Dosages of sertraline and olanzapine</w:t>
            </w: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814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</w:p>
        </w:tc>
        <w:tc>
          <w:tcPr>
            <w:tcW w:w="1746" w:type="dxa"/>
          </w:tcPr>
          <w:p w:rsidR="00064130" w:rsidRPr="00064130" w:rsidRDefault="00064130" w:rsidP="00064130">
            <w:pPr>
              <w:jc w:val="center"/>
              <w:rPr>
                <w:bCs/>
                <w:iCs/>
              </w:rPr>
            </w:pPr>
            <w:r w:rsidRPr="00064130">
              <w:rPr>
                <w:bCs/>
                <w:iCs/>
              </w:rPr>
              <w:t>X</w:t>
            </w:r>
          </w:p>
        </w:tc>
      </w:tr>
    </w:tbl>
    <w:p w:rsidR="004E1843" w:rsidRPr="001A4759" w:rsidRDefault="004E1843" w:rsidP="004E1843">
      <w:r w:rsidRPr="001A4759">
        <w:lastRenderedPageBreak/>
        <w:t>Abbreviations: BPRS = Brief Psychiatric Rating Scale; CGI = Clinical Global Impression; CIRS-G = Cumulative Illness Rating Scale for Geriatrics; CORE = the CORE measure of psychomotor disturbance; HADS = Hospital Anxiety and Depression Scale; HAM-D</w:t>
      </w:r>
      <w:r w:rsidRPr="001A4759">
        <w:rPr>
          <w:vertAlign w:val="subscript"/>
        </w:rPr>
        <w:t>17</w:t>
      </w:r>
      <w:r w:rsidRPr="001A4759">
        <w:t xml:space="preserve"> =17-item Hamilton Depression Rating Scale; SADS = Schedule for Affective Disorders and Schizophrenia </w:t>
      </w:r>
    </w:p>
    <w:p w:rsidR="004E1843" w:rsidRDefault="004E1843" w:rsidP="004E1843"/>
    <w:p w:rsidR="004E1843" w:rsidRPr="001A4759" w:rsidRDefault="004E1843" w:rsidP="004E1843">
      <w:proofErr w:type="gramStart"/>
      <w:r>
        <w:rPr>
          <w:vertAlign w:val="superscript"/>
        </w:rPr>
        <w:t xml:space="preserve">a </w:t>
      </w:r>
      <w:r>
        <w:t>Neuropsychological instruments</w:t>
      </w:r>
      <w:proofErr w:type="gramEnd"/>
      <w:r>
        <w:t xml:space="preserve"> were the </w:t>
      </w:r>
      <w:r w:rsidRPr="001A4759">
        <w:t>Delis-Kaplan Executive Function System</w:t>
      </w:r>
      <w:r>
        <w:t>,</w:t>
      </w:r>
      <w:r w:rsidRPr="001A4759">
        <w:t xml:space="preserve"> Repeatable Battery for the Assessment of Neuropsychological Status</w:t>
      </w:r>
      <w:r>
        <w:t xml:space="preserve">, and </w:t>
      </w:r>
      <w:r w:rsidRPr="001A4759">
        <w:t>Mini Mental State Examination</w:t>
      </w:r>
      <w:r>
        <w:t xml:space="preserve">. </w:t>
      </w:r>
    </w:p>
    <w:p w:rsidR="00BB5A1C" w:rsidRPr="00064130" w:rsidRDefault="00BB5A1C" w:rsidP="004E1843">
      <w:pPr>
        <w:rPr>
          <w:bCs/>
          <w:iCs/>
        </w:rPr>
      </w:pPr>
    </w:p>
    <w:p w:rsidR="00BB5A1C" w:rsidRPr="00064130" w:rsidRDefault="00BB5A1C" w:rsidP="0045347C">
      <w:pPr>
        <w:jc w:val="center"/>
        <w:rPr>
          <w:bCs/>
          <w:iCs/>
        </w:rPr>
      </w:pPr>
    </w:p>
    <w:p w:rsidR="00BB5A1C" w:rsidRPr="00064130" w:rsidRDefault="00BB5A1C" w:rsidP="0045347C">
      <w:pPr>
        <w:jc w:val="center"/>
        <w:rPr>
          <w:bCs/>
          <w:iCs/>
        </w:rPr>
      </w:pPr>
    </w:p>
    <w:p w:rsidR="00BB5A1C" w:rsidRPr="00064130" w:rsidRDefault="00BB5A1C" w:rsidP="0045347C">
      <w:pPr>
        <w:jc w:val="center"/>
        <w:rPr>
          <w:bCs/>
          <w:iCs/>
        </w:rPr>
      </w:pPr>
    </w:p>
    <w:p w:rsidR="00BB5A1C" w:rsidRDefault="00BB5A1C" w:rsidP="0045347C">
      <w:pPr>
        <w:jc w:val="center"/>
        <w:rPr>
          <w:b/>
          <w:iCs/>
        </w:rPr>
      </w:pPr>
    </w:p>
    <w:p w:rsidR="00BB5A1C" w:rsidRDefault="00BB5A1C" w:rsidP="0045347C">
      <w:pPr>
        <w:jc w:val="center"/>
        <w:rPr>
          <w:b/>
          <w:iCs/>
        </w:rPr>
      </w:pPr>
    </w:p>
    <w:p w:rsidR="00BB5A1C" w:rsidRDefault="00BB5A1C" w:rsidP="0045347C">
      <w:pPr>
        <w:jc w:val="center"/>
        <w:rPr>
          <w:b/>
          <w:iCs/>
        </w:rPr>
      </w:pPr>
    </w:p>
    <w:p w:rsidR="00BB5A1C" w:rsidRDefault="00BB5A1C" w:rsidP="0045347C">
      <w:pPr>
        <w:jc w:val="center"/>
        <w:rPr>
          <w:b/>
          <w:iCs/>
        </w:rPr>
      </w:pPr>
    </w:p>
    <w:p w:rsidR="00BB5A1C" w:rsidRDefault="00BB5A1C" w:rsidP="0045347C">
      <w:pPr>
        <w:jc w:val="center"/>
        <w:rPr>
          <w:b/>
          <w:iCs/>
        </w:rPr>
      </w:pPr>
    </w:p>
    <w:p w:rsidR="00BB5A1C" w:rsidRDefault="00BB5A1C" w:rsidP="0045347C">
      <w:pPr>
        <w:jc w:val="center"/>
        <w:rPr>
          <w:b/>
          <w:iCs/>
        </w:rPr>
      </w:pPr>
    </w:p>
    <w:p w:rsidR="0045347C" w:rsidRDefault="0045347C" w:rsidP="0045347C">
      <w:pPr>
        <w:jc w:val="center"/>
        <w:rPr>
          <w:b/>
          <w:iCs/>
        </w:rPr>
      </w:pPr>
    </w:p>
    <w:p w:rsidR="0045347C" w:rsidRDefault="0045347C" w:rsidP="0045347C">
      <w:pPr>
        <w:jc w:val="center"/>
        <w:rPr>
          <w:b/>
          <w:iCs/>
        </w:rPr>
      </w:pPr>
    </w:p>
    <w:p w:rsidR="002B0656" w:rsidRDefault="0045347C">
      <w:r w:rsidRPr="001E6A48">
        <w:rPr>
          <w:bCs/>
          <w:iCs/>
          <w:noProof/>
        </w:rPr>
        <w:lastRenderedPageBreak/>
        <w:drawing>
          <wp:inline distT="0" distB="0" distL="0" distR="0" wp14:anchorId="1D67D68D" wp14:editId="339EB3D1">
            <wp:extent cx="54864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7C" w:rsidRDefault="0045347C"/>
    <w:p w:rsidR="0045347C" w:rsidRDefault="0045347C"/>
    <w:p w:rsidR="0045347C" w:rsidRDefault="0045347C" w:rsidP="0045347C">
      <w:pPr>
        <w:rPr>
          <w:bCs/>
          <w:iCs/>
        </w:rPr>
      </w:pPr>
      <w:r w:rsidRPr="009F5613">
        <w:rPr>
          <w:bCs/>
          <w:iCs/>
        </w:rPr>
        <w:t>Supplemental Figure</w:t>
      </w:r>
      <w:r w:rsidR="000B6ED4">
        <w:rPr>
          <w:bCs/>
          <w:iCs/>
        </w:rPr>
        <w:t xml:space="preserve"> 1</w:t>
      </w:r>
      <w:r w:rsidRPr="009F5613">
        <w:rPr>
          <w:bCs/>
          <w:iCs/>
        </w:rPr>
        <w:t>.</w:t>
      </w:r>
      <w:r>
        <w:rPr>
          <w:bCs/>
          <w:iCs/>
        </w:rPr>
        <w:t xml:space="preserve"> </w:t>
      </w:r>
      <w:r w:rsidRPr="00965CAB">
        <w:rPr>
          <w:bCs/>
          <w:iCs/>
        </w:rPr>
        <w:t xml:space="preserve">Variable importance in predicting membership of </w:t>
      </w:r>
      <w:r>
        <w:rPr>
          <w:bCs/>
          <w:iCs/>
        </w:rPr>
        <w:t xml:space="preserve">the </w:t>
      </w:r>
      <w:r w:rsidRPr="00965CAB">
        <w:rPr>
          <w:bCs/>
          <w:iCs/>
        </w:rPr>
        <w:t>worsening depression</w:t>
      </w:r>
      <w:r>
        <w:rPr>
          <w:bCs/>
          <w:iCs/>
        </w:rPr>
        <w:t xml:space="preserve"> </w:t>
      </w:r>
      <w:r w:rsidRPr="00965CAB">
        <w:rPr>
          <w:bCs/>
          <w:iCs/>
        </w:rPr>
        <w:t xml:space="preserve">trajectory </w:t>
      </w:r>
      <w:r>
        <w:rPr>
          <w:bCs/>
          <w:iCs/>
        </w:rPr>
        <w:t xml:space="preserve">subgroup among participants in the randomized phase of STOP-PD II (N=126), </w:t>
      </w:r>
      <w:r w:rsidRPr="00C33B4C">
        <w:rPr>
          <w:bCs/>
          <w:i/>
        </w:rPr>
        <w:t>excluding</w:t>
      </w:r>
      <w:r>
        <w:rPr>
          <w:bCs/>
          <w:iCs/>
        </w:rPr>
        <w:t xml:space="preserve"> depression severity score at onset of remission from the random forest model. </w:t>
      </w:r>
      <w:r w:rsidRPr="004A41EB">
        <w:rPr>
          <w:bCs/>
          <w:iCs/>
        </w:rPr>
        <w:t xml:space="preserve">Predictors are presented from top to bottom in order of importance. </w:t>
      </w:r>
      <w:r>
        <w:rPr>
          <w:bCs/>
          <w:iCs/>
        </w:rPr>
        <w:t>(</w:t>
      </w:r>
      <w:r w:rsidRPr="004A41EB">
        <w:rPr>
          <w:bCs/>
          <w:iCs/>
        </w:rPr>
        <w:t>The horizontal axis represents mean decrease in Gini Impurity Index</w:t>
      </w:r>
      <w:r>
        <w:rPr>
          <w:bCs/>
          <w:iCs/>
        </w:rPr>
        <w:t xml:space="preserve">, which is </w:t>
      </w:r>
      <w:r w:rsidRPr="004A41EB">
        <w:rPr>
          <w:bCs/>
          <w:iCs/>
        </w:rPr>
        <w:t>a weighted average of reduction in leaf node impurities</w:t>
      </w:r>
      <w:r>
        <w:rPr>
          <w:bCs/>
          <w:iCs/>
        </w:rPr>
        <w:t xml:space="preserve">). </w:t>
      </w:r>
      <w:r w:rsidRPr="004A41EB">
        <w:rPr>
          <w:bCs/>
          <w:iCs/>
        </w:rPr>
        <w:t xml:space="preserve"> </w:t>
      </w:r>
    </w:p>
    <w:p w:rsidR="0045347C" w:rsidRDefault="0045347C" w:rsidP="0045347C">
      <w:pPr>
        <w:spacing w:line="480" w:lineRule="auto"/>
        <w:rPr>
          <w:bCs/>
          <w:iCs/>
        </w:rPr>
      </w:pPr>
    </w:p>
    <w:p w:rsidR="0045347C" w:rsidRDefault="0045347C"/>
    <w:sectPr w:rsidR="00453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9A1" w:rsidRDefault="00EF79A1" w:rsidP="0045347C">
      <w:r>
        <w:separator/>
      </w:r>
    </w:p>
  </w:endnote>
  <w:endnote w:type="continuationSeparator" w:id="0">
    <w:p w:rsidR="00EF79A1" w:rsidRDefault="00EF79A1" w:rsidP="0045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9A1" w:rsidRDefault="00EF79A1" w:rsidP="0045347C">
      <w:r>
        <w:separator/>
      </w:r>
    </w:p>
  </w:footnote>
  <w:footnote w:type="continuationSeparator" w:id="0">
    <w:p w:rsidR="00EF79A1" w:rsidRDefault="00EF79A1" w:rsidP="0045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79"/>
    <w:rsid w:val="00064130"/>
    <w:rsid w:val="000B6ED4"/>
    <w:rsid w:val="001162FF"/>
    <w:rsid w:val="00271294"/>
    <w:rsid w:val="002A2216"/>
    <w:rsid w:val="002B0656"/>
    <w:rsid w:val="0045347C"/>
    <w:rsid w:val="004E1843"/>
    <w:rsid w:val="00562A47"/>
    <w:rsid w:val="00623B22"/>
    <w:rsid w:val="00641364"/>
    <w:rsid w:val="00855785"/>
    <w:rsid w:val="008E05D5"/>
    <w:rsid w:val="00B71721"/>
    <w:rsid w:val="00B93E00"/>
    <w:rsid w:val="00BB5A1C"/>
    <w:rsid w:val="00C0299B"/>
    <w:rsid w:val="00C74702"/>
    <w:rsid w:val="00CB2554"/>
    <w:rsid w:val="00D27179"/>
    <w:rsid w:val="00EB0131"/>
    <w:rsid w:val="00E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7CEE7"/>
  <w15:chartTrackingRefBased/>
  <w15:docId w15:val="{6F9DD50C-E439-F046-B6E9-7D279708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4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347C"/>
  </w:style>
  <w:style w:type="paragraph" w:styleId="Footer">
    <w:name w:val="footer"/>
    <w:basedOn w:val="Normal"/>
    <w:link w:val="FooterChar"/>
    <w:uiPriority w:val="99"/>
    <w:unhideWhenUsed/>
    <w:rsid w:val="004534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347C"/>
  </w:style>
  <w:style w:type="table" w:styleId="TableGrid">
    <w:name w:val="Table Grid"/>
    <w:basedOn w:val="TableNormal"/>
    <w:uiPriority w:val="39"/>
    <w:rsid w:val="0006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Flint</dc:creator>
  <cp:keywords/>
  <dc:description/>
  <cp:lastModifiedBy>Alastair Flint</cp:lastModifiedBy>
  <cp:revision>27</cp:revision>
  <dcterms:created xsi:type="dcterms:W3CDTF">2023-08-27T22:22:00Z</dcterms:created>
  <dcterms:modified xsi:type="dcterms:W3CDTF">2023-09-07T00:31:00Z</dcterms:modified>
</cp:coreProperties>
</file>